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2E6C5" w14:textId="77777777" w:rsidR="00FF0418" w:rsidRDefault="00FF0418" w:rsidP="001B66AB">
      <w:pPr>
        <w:spacing w:after="194" w:line="360" w:lineRule="auto"/>
        <w:jc w:val="both"/>
        <w:rPr>
          <w:rFonts w:asciiTheme="majorBidi" w:hAnsiTheme="majorBidi" w:cstheme="majorBidi"/>
          <w:b/>
          <w:sz w:val="24"/>
          <w:szCs w:val="24"/>
        </w:rPr>
      </w:pPr>
    </w:p>
    <w:p w14:paraId="123A6071" w14:textId="6F2FAE03" w:rsidR="002C3ABC" w:rsidRPr="006B4D94" w:rsidRDefault="002C3ABC" w:rsidP="00D34DD5">
      <w:pPr>
        <w:spacing w:after="194" w:line="360" w:lineRule="auto"/>
        <w:ind w:left="-252"/>
        <w:jc w:val="both"/>
        <w:rPr>
          <w:rFonts w:asciiTheme="majorBidi" w:hAnsiTheme="majorBidi" w:cstheme="majorBidi"/>
          <w:b/>
          <w:bCs/>
          <w:color w:val="000000" w:themeColor="text1"/>
          <w:sz w:val="24"/>
          <w:szCs w:val="24"/>
        </w:rPr>
      </w:pPr>
      <w:proofErr w:type="spellStart"/>
      <w:r w:rsidRPr="00D34DD5">
        <w:rPr>
          <w:rFonts w:asciiTheme="majorBidi" w:hAnsiTheme="majorBidi" w:cstheme="majorBidi"/>
          <w:b/>
          <w:bCs/>
          <w:color w:val="000000" w:themeColor="text1"/>
          <w:sz w:val="24"/>
          <w:szCs w:val="24"/>
        </w:rPr>
        <w:t>Binucleated</w:t>
      </w:r>
      <w:proofErr w:type="spellEnd"/>
      <w:r w:rsidRPr="00D34DD5">
        <w:rPr>
          <w:rFonts w:asciiTheme="majorBidi" w:hAnsiTheme="majorBidi" w:cstheme="majorBidi"/>
          <w:b/>
          <w:bCs/>
          <w:color w:val="000000" w:themeColor="text1"/>
          <w:sz w:val="24"/>
          <w:szCs w:val="24"/>
        </w:rPr>
        <w:t xml:space="preserve"> Cells: A comprehensive </w:t>
      </w:r>
      <w:r w:rsidR="00D34DD5">
        <w:rPr>
          <w:rFonts w:asciiTheme="majorBidi" w:hAnsiTheme="majorBidi" w:cstheme="majorBidi"/>
          <w:b/>
          <w:bCs/>
          <w:color w:val="000000" w:themeColor="text1"/>
          <w:sz w:val="24"/>
          <w:szCs w:val="24"/>
        </w:rPr>
        <w:t>R</w:t>
      </w:r>
      <w:r w:rsidRPr="00D34DD5">
        <w:rPr>
          <w:rFonts w:asciiTheme="majorBidi" w:hAnsiTheme="majorBidi" w:cstheme="majorBidi"/>
          <w:b/>
          <w:bCs/>
          <w:color w:val="000000" w:themeColor="text1"/>
          <w:sz w:val="24"/>
          <w:szCs w:val="24"/>
        </w:rPr>
        <w:t>eview of Biological and Pathological Significance</w:t>
      </w:r>
    </w:p>
    <w:p w14:paraId="155D43DD" w14:textId="77777777" w:rsidR="00BA7C72" w:rsidRPr="00B11426" w:rsidRDefault="009E06C1" w:rsidP="00C10DD5">
      <w:pPr>
        <w:pStyle w:val="NormalWeb"/>
        <w:spacing w:before="0" w:beforeAutospacing="0" w:after="0" w:afterAutospacing="0" w:line="360" w:lineRule="auto"/>
        <w:contextualSpacing/>
        <w:jc w:val="both"/>
        <w:rPr>
          <w:rFonts w:asciiTheme="majorBidi" w:hAnsiTheme="majorBidi" w:cstheme="majorBidi"/>
        </w:rPr>
      </w:pPr>
      <w:r>
        <w:rPr>
          <w:rStyle w:val="Strong"/>
          <w:rFonts w:asciiTheme="majorBidi" w:hAnsiTheme="majorBidi" w:cstheme="majorBidi"/>
        </w:rPr>
        <w:t>ABSTRACT</w:t>
      </w:r>
    </w:p>
    <w:p w14:paraId="360128C3" w14:textId="77777777" w:rsidR="00397FCB" w:rsidRPr="0089749F" w:rsidRDefault="00397FCB" w:rsidP="0089749F">
      <w:pPr>
        <w:pStyle w:val="NormalWeb"/>
        <w:spacing w:before="0" w:after="0" w:line="360" w:lineRule="auto"/>
        <w:jc w:val="both"/>
        <w:rPr>
          <w:rStyle w:val="Emphasis"/>
          <w:rFonts w:asciiTheme="majorBidi" w:hAnsiTheme="majorBidi" w:cstheme="majorBidi"/>
          <w:i w:val="0"/>
          <w:iCs w:val="0"/>
        </w:rPr>
      </w:pPr>
      <w:r w:rsidRPr="00397FCB">
        <w:rPr>
          <w:rStyle w:val="Emphasis"/>
          <w:rFonts w:asciiTheme="majorBidi" w:hAnsiTheme="majorBidi" w:cstheme="majorBidi"/>
          <w:b/>
          <w:bCs/>
        </w:rPr>
        <w:t>Background</w:t>
      </w:r>
      <w:r w:rsidRPr="00397FCB">
        <w:rPr>
          <w:rStyle w:val="Emphasis"/>
          <w:rFonts w:asciiTheme="majorBidi" w:hAnsiTheme="majorBidi" w:cstheme="majorBidi"/>
          <w:i w:val="0"/>
          <w:iCs w:val="0"/>
        </w:rPr>
        <w:t xml:space="preserve">: Binucleated cells are a type of cell that contains two nuclei within their cytoplasm and are commonly observed in both normal and pathological conditions. They play essential roles in physiological processes, such as tissue repair and adaptation, and are also implicated in various diseases. Understanding their formation and behavior is critical to uncovering their significance in health and disease. </w:t>
      </w:r>
      <w:r w:rsidRPr="00397FCB">
        <w:rPr>
          <w:rStyle w:val="Emphasis"/>
          <w:rFonts w:asciiTheme="majorBidi" w:hAnsiTheme="majorBidi" w:cstheme="majorBidi"/>
          <w:b/>
          <w:bCs/>
        </w:rPr>
        <w:t>Objectives</w:t>
      </w:r>
      <w:r w:rsidRPr="00397FCB">
        <w:rPr>
          <w:rStyle w:val="Emphasis"/>
          <w:rFonts w:asciiTheme="majorBidi" w:hAnsiTheme="majorBidi" w:cstheme="majorBidi"/>
          <w:i w:val="0"/>
          <w:iCs w:val="0"/>
        </w:rPr>
        <w:t xml:space="preserve">: This review aims to discuss the literature on binucleated cells, focusing on their presence in normal tissues and disease states, the mechanisms of their formation, their clinical significance, and potential implications in diagnostics and therapeutics. </w:t>
      </w:r>
      <w:r w:rsidRPr="00397FCB">
        <w:rPr>
          <w:rStyle w:val="Emphasis"/>
          <w:rFonts w:asciiTheme="majorBidi" w:hAnsiTheme="majorBidi" w:cstheme="majorBidi"/>
          <w:b/>
          <w:bCs/>
        </w:rPr>
        <w:t>Methods</w:t>
      </w:r>
      <w:r w:rsidRPr="00397FCB">
        <w:rPr>
          <w:rStyle w:val="Emphasis"/>
          <w:rFonts w:asciiTheme="majorBidi" w:hAnsiTheme="majorBidi" w:cstheme="majorBidi"/>
          <w:i w:val="0"/>
          <w:iCs w:val="0"/>
        </w:rPr>
        <w:t xml:space="preserve">: For this narrative review, PubMed, Medline, and Google Scholar were utilized to search for articles about binucleated cells. The final set includes 23 academic articles that matched the inclusion criteria. </w:t>
      </w:r>
      <w:r w:rsidRPr="00397FCB">
        <w:rPr>
          <w:rStyle w:val="Emphasis"/>
          <w:rFonts w:asciiTheme="majorBidi" w:hAnsiTheme="majorBidi" w:cstheme="majorBidi"/>
          <w:b/>
          <w:bCs/>
        </w:rPr>
        <w:t>Results</w:t>
      </w:r>
      <w:r w:rsidRPr="00397FCB">
        <w:rPr>
          <w:rStyle w:val="Emphasis"/>
          <w:rFonts w:asciiTheme="majorBidi" w:hAnsiTheme="majorBidi" w:cstheme="majorBidi"/>
          <w:i w:val="0"/>
          <w:iCs w:val="0"/>
        </w:rPr>
        <w:t xml:space="preserve">: The reviewed studies indicate that binucleated cells are present in various normal tissues, including the liver, bone, and spleen, where they contribute to regeneration and immune response. They also play </w:t>
      </w:r>
      <w:r>
        <w:rPr>
          <w:rStyle w:val="Emphasis"/>
          <w:rFonts w:asciiTheme="majorBidi" w:hAnsiTheme="majorBidi" w:cstheme="majorBidi"/>
          <w:i w:val="0"/>
          <w:iCs w:val="0"/>
        </w:rPr>
        <w:t xml:space="preserve">significant roles in autoimmune </w:t>
      </w:r>
      <w:r w:rsidRPr="00397FCB">
        <w:rPr>
          <w:rStyle w:val="Emphasis"/>
          <w:rFonts w:asciiTheme="majorBidi" w:hAnsiTheme="majorBidi" w:cstheme="majorBidi"/>
          <w:i w:val="0"/>
          <w:iCs w:val="0"/>
        </w:rPr>
        <w:t>diseases, infections (e.g., HPV and HSV), and cancers</w:t>
      </w:r>
      <w:r>
        <w:rPr>
          <w:rStyle w:val="Emphasis"/>
          <w:rFonts w:asciiTheme="majorBidi" w:hAnsiTheme="majorBidi" w:cstheme="majorBidi"/>
          <w:i w:val="0"/>
          <w:iCs w:val="0"/>
        </w:rPr>
        <w:t xml:space="preserve">, serving as crucial diagnostic </w:t>
      </w:r>
      <w:r w:rsidRPr="00397FCB">
        <w:rPr>
          <w:rStyle w:val="Emphasis"/>
          <w:rFonts w:asciiTheme="majorBidi" w:hAnsiTheme="majorBidi" w:cstheme="majorBidi"/>
          <w:i w:val="0"/>
          <w:iCs w:val="0"/>
        </w:rPr>
        <w:t xml:space="preserve">markers for early detection and disease progression. </w:t>
      </w:r>
      <w:r>
        <w:rPr>
          <w:rStyle w:val="Emphasis"/>
          <w:rFonts w:asciiTheme="majorBidi" w:hAnsiTheme="majorBidi" w:cstheme="majorBidi"/>
          <w:i w:val="0"/>
          <w:iCs w:val="0"/>
        </w:rPr>
        <w:t xml:space="preserve">Conclusions: Binucleated cells </w:t>
      </w:r>
      <w:r w:rsidRPr="00397FCB">
        <w:rPr>
          <w:rStyle w:val="Emphasis"/>
          <w:rFonts w:asciiTheme="majorBidi" w:hAnsiTheme="majorBidi" w:cstheme="majorBidi"/>
          <w:i w:val="0"/>
          <w:iCs w:val="0"/>
        </w:rPr>
        <w:t>represent a valuable tool for understanding and addres</w:t>
      </w:r>
      <w:r>
        <w:rPr>
          <w:rStyle w:val="Emphasis"/>
          <w:rFonts w:asciiTheme="majorBidi" w:hAnsiTheme="majorBidi" w:cstheme="majorBidi"/>
          <w:i w:val="0"/>
          <w:iCs w:val="0"/>
        </w:rPr>
        <w:t xml:space="preserve">sing diseases. Their biological </w:t>
      </w:r>
      <w:r w:rsidRPr="00397FCB">
        <w:rPr>
          <w:rStyle w:val="Emphasis"/>
          <w:rFonts w:asciiTheme="majorBidi" w:hAnsiTheme="majorBidi" w:cstheme="majorBidi"/>
          <w:i w:val="0"/>
          <w:iCs w:val="0"/>
        </w:rPr>
        <w:t xml:space="preserve">and pathological roles open new avenues for scientific </w:t>
      </w:r>
      <w:r>
        <w:rPr>
          <w:rStyle w:val="Emphasis"/>
          <w:rFonts w:asciiTheme="majorBidi" w:hAnsiTheme="majorBidi" w:cstheme="majorBidi"/>
          <w:i w:val="0"/>
          <w:iCs w:val="0"/>
        </w:rPr>
        <w:t xml:space="preserve">advancements in diagnostics and </w:t>
      </w:r>
      <w:r w:rsidRPr="00397FCB">
        <w:rPr>
          <w:rStyle w:val="Emphasis"/>
          <w:rFonts w:asciiTheme="majorBidi" w:hAnsiTheme="majorBidi" w:cstheme="majorBidi"/>
          <w:i w:val="0"/>
          <w:iCs w:val="0"/>
        </w:rPr>
        <w:t>treatment strategies.</w:t>
      </w:r>
    </w:p>
    <w:p w14:paraId="65859282" w14:textId="77777777" w:rsidR="00397FCB" w:rsidRPr="00397FCB" w:rsidRDefault="00BA7C72" w:rsidP="00397FCB">
      <w:pPr>
        <w:pStyle w:val="NormalWeb"/>
        <w:spacing w:before="0" w:after="0" w:line="360" w:lineRule="auto"/>
        <w:jc w:val="both"/>
        <w:rPr>
          <w:rStyle w:val="Emphasis"/>
          <w:rFonts w:asciiTheme="majorBidi" w:hAnsiTheme="majorBidi" w:cstheme="majorBidi"/>
        </w:rPr>
      </w:pPr>
      <w:r w:rsidRPr="00162A5C">
        <w:rPr>
          <w:rStyle w:val="Emphasis"/>
          <w:rFonts w:asciiTheme="majorBidi" w:hAnsiTheme="majorBidi" w:cstheme="majorBidi"/>
          <w:b/>
          <w:bCs/>
        </w:rPr>
        <w:t>Keywords</w:t>
      </w:r>
      <w:r w:rsidR="007F0807" w:rsidRPr="00162A5C">
        <w:rPr>
          <w:rStyle w:val="Emphasis"/>
          <w:rFonts w:asciiTheme="majorBidi" w:hAnsiTheme="majorBidi" w:cstheme="majorBidi"/>
          <w:i w:val="0"/>
          <w:iCs w:val="0"/>
        </w:rPr>
        <w:t>:</w:t>
      </w:r>
      <w:r w:rsidR="00397FCB">
        <w:rPr>
          <w:rStyle w:val="Emphasis"/>
          <w:rFonts w:asciiTheme="majorBidi" w:hAnsiTheme="majorBidi" w:cstheme="majorBidi"/>
          <w:i w:val="0"/>
          <w:iCs w:val="0"/>
        </w:rPr>
        <w:t xml:space="preserve"> </w:t>
      </w:r>
      <w:r w:rsidR="00397FCB" w:rsidRPr="00397FCB">
        <w:rPr>
          <w:rStyle w:val="Emphasis"/>
          <w:rFonts w:asciiTheme="majorBidi" w:hAnsiTheme="majorBidi" w:cstheme="majorBidi"/>
        </w:rPr>
        <w:t>Binucleated cells, Cell fusion, Cytokinesis failure, Polyploidization, Endoreplication, Binucleated cells in infection.</w:t>
      </w:r>
    </w:p>
    <w:p w14:paraId="1F4EE9EB" w14:textId="77777777" w:rsidR="000A75A1" w:rsidRPr="00C10DD5" w:rsidRDefault="000A75A1" w:rsidP="00C10DD5">
      <w:pPr>
        <w:pStyle w:val="NormalWeb"/>
        <w:spacing w:before="0" w:beforeAutospacing="0" w:after="0" w:afterAutospacing="0" w:line="360" w:lineRule="auto"/>
        <w:contextualSpacing/>
        <w:jc w:val="both"/>
        <w:rPr>
          <w:rFonts w:asciiTheme="majorBidi" w:hAnsiTheme="majorBidi" w:cstheme="majorBidi"/>
          <w:b/>
          <w:bCs/>
        </w:rPr>
      </w:pPr>
    </w:p>
    <w:p w14:paraId="3170AF2B" w14:textId="77777777" w:rsidR="002E4DC4" w:rsidRPr="002E4DC4" w:rsidRDefault="00E72BE9" w:rsidP="009D2DB3">
      <w:pPr>
        <w:pStyle w:val="NormalWeb"/>
        <w:spacing w:before="0" w:beforeAutospacing="0" w:after="240" w:afterAutospacing="0" w:line="360" w:lineRule="auto"/>
        <w:contextualSpacing/>
        <w:jc w:val="both"/>
        <w:rPr>
          <w:rFonts w:asciiTheme="majorBidi" w:hAnsiTheme="majorBidi" w:cstheme="majorBidi"/>
          <w:b/>
          <w:bCs/>
        </w:rPr>
      </w:pPr>
      <w:r>
        <w:rPr>
          <w:rFonts w:asciiTheme="majorBidi" w:hAnsiTheme="majorBidi" w:cstheme="majorBidi"/>
          <w:b/>
          <w:bCs/>
        </w:rPr>
        <w:t xml:space="preserve">1. </w:t>
      </w:r>
      <w:r w:rsidR="00B11426">
        <w:rPr>
          <w:rFonts w:asciiTheme="majorBidi" w:hAnsiTheme="majorBidi" w:cstheme="majorBidi"/>
          <w:b/>
          <w:bCs/>
        </w:rPr>
        <w:t>INTRODUCTION</w:t>
      </w:r>
    </w:p>
    <w:p w14:paraId="4AFCD372" w14:textId="77777777" w:rsidR="008142FE" w:rsidRPr="008142FE" w:rsidRDefault="008142FE" w:rsidP="00C770E1">
      <w:pPr>
        <w:spacing w:line="360" w:lineRule="auto"/>
        <w:ind w:right="148"/>
        <w:jc w:val="both"/>
        <w:rPr>
          <w:rFonts w:asciiTheme="majorBidi" w:eastAsia="Times New Roman" w:hAnsiTheme="majorBidi" w:cstheme="majorBidi"/>
          <w:color w:val="0E101A"/>
          <w:sz w:val="24"/>
          <w:szCs w:val="24"/>
        </w:rPr>
      </w:pPr>
      <w:r w:rsidRPr="008142FE">
        <w:rPr>
          <w:rFonts w:asciiTheme="majorBidi" w:eastAsia="Times New Roman" w:hAnsiTheme="majorBidi" w:cstheme="majorBidi"/>
          <w:color w:val="0E101A"/>
          <w:sz w:val="24"/>
          <w:szCs w:val="24"/>
        </w:rPr>
        <w:t xml:space="preserve">Binucleated cells are characterized by the presence of two distinct nuclei within a single cell </w:t>
      </w:r>
      <w:r w:rsidRPr="008142FE">
        <w:rPr>
          <w:rFonts w:asciiTheme="majorBidi" w:eastAsia="Times New Roman" w:hAnsiTheme="majorBidi" w:cstheme="majorBidi"/>
          <w:b/>
          <w:bCs/>
          <w:color w:val="0E101A"/>
          <w:sz w:val="24"/>
          <w:szCs w:val="24"/>
        </w:rPr>
        <w:t>[1].</w:t>
      </w:r>
      <w:r w:rsidRPr="008142FE">
        <w:rPr>
          <w:rFonts w:asciiTheme="majorBidi" w:eastAsia="Times New Roman" w:hAnsiTheme="majorBidi" w:cstheme="majorBidi"/>
          <w:color w:val="0E101A"/>
          <w:sz w:val="24"/>
          <w:szCs w:val="24"/>
        </w:rPr>
        <w:t xml:space="preserve"> They are observed not only in malignant tumors </w:t>
      </w:r>
      <w:r>
        <w:rPr>
          <w:rFonts w:asciiTheme="majorBidi" w:eastAsia="Times New Roman" w:hAnsiTheme="majorBidi" w:cstheme="majorBidi"/>
          <w:color w:val="0E101A"/>
          <w:sz w:val="24"/>
          <w:szCs w:val="24"/>
        </w:rPr>
        <w:t xml:space="preserve">but also in normal tissues </w:t>
      </w:r>
      <w:r w:rsidRPr="008142FE">
        <w:rPr>
          <w:rFonts w:asciiTheme="majorBidi" w:eastAsia="Times New Roman" w:hAnsiTheme="majorBidi" w:cstheme="majorBidi"/>
          <w:b/>
          <w:bCs/>
          <w:color w:val="0E101A"/>
          <w:sz w:val="24"/>
          <w:szCs w:val="24"/>
        </w:rPr>
        <w:t>[2].</w:t>
      </w:r>
      <w:r w:rsidRPr="008142FE">
        <w:rPr>
          <w:rFonts w:asciiTheme="majorBidi" w:eastAsia="Times New Roman" w:hAnsiTheme="majorBidi" w:cstheme="majorBidi"/>
          <w:color w:val="0E101A"/>
          <w:sz w:val="24"/>
          <w:szCs w:val="24"/>
        </w:rPr>
        <w:t xml:space="preserve"> In normal tissues, they can be found in the heart, muscle cells, platelet progenitor megakaryocytes, live</w:t>
      </w:r>
      <w:r>
        <w:rPr>
          <w:rFonts w:asciiTheme="majorBidi" w:eastAsia="Times New Roman" w:hAnsiTheme="majorBidi" w:cstheme="majorBidi"/>
          <w:color w:val="0E101A"/>
          <w:sz w:val="24"/>
          <w:szCs w:val="24"/>
        </w:rPr>
        <w:t xml:space="preserve">r parenchyma, and bladder </w:t>
      </w:r>
      <w:r w:rsidRPr="008142FE">
        <w:rPr>
          <w:rFonts w:asciiTheme="majorBidi" w:eastAsia="Times New Roman" w:hAnsiTheme="majorBidi" w:cstheme="majorBidi"/>
          <w:b/>
          <w:bCs/>
          <w:color w:val="0E101A"/>
          <w:sz w:val="24"/>
          <w:szCs w:val="24"/>
        </w:rPr>
        <w:t>[3].</w:t>
      </w:r>
      <w:r w:rsidRPr="008142FE">
        <w:rPr>
          <w:rFonts w:asciiTheme="majorBidi" w:eastAsia="Times New Roman" w:hAnsiTheme="majorBidi" w:cstheme="majorBidi"/>
          <w:color w:val="0E101A"/>
          <w:sz w:val="24"/>
          <w:szCs w:val="24"/>
        </w:rPr>
        <w:t xml:space="preserve"> In malignant tumors, they appear in malignant epithelium tumors, pancreatic cancer, angiosarcoma, and </w:t>
      </w:r>
      <w:r w:rsidRPr="008142FE">
        <w:rPr>
          <w:rFonts w:asciiTheme="majorBidi" w:eastAsia="Times New Roman" w:hAnsiTheme="majorBidi" w:cstheme="majorBidi"/>
          <w:color w:val="0E101A"/>
          <w:sz w:val="24"/>
          <w:szCs w:val="24"/>
        </w:rPr>
        <w:lastRenderedPageBreak/>
        <w:t xml:space="preserve">acute myeloid leukemia </w:t>
      </w:r>
      <w:r w:rsidRPr="008142FE">
        <w:rPr>
          <w:rFonts w:asciiTheme="majorBidi" w:eastAsia="Times New Roman" w:hAnsiTheme="majorBidi" w:cstheme="majorBidi"/>
          <w:b/>
          <w:bCs/>
          <w:color w:val="0E101A"/>
          <w:sz w:val="24"/>
          <w:szCs w:val="24"/>
        </w:rPr>
        <w:t>[4].</w:t>
      </w:r>
      <w:r w:rsidRPr="008142FE">
        <w:rPr>
          <w:rFonts w:asciiTheme="majorBidi" w:eastAsia="Times New Roman" w:hAnsiTheme="majorBidi" w:cstheme="majorBidi"/>
          <w:color w:val="0E101A"/>
          <w:sz w:val="24"/>
          <w:szCs w:val="24"/>
        </w:rPr>
        <w:t xml:space="preserve"> The biological importance of binucleated cells in normal tissue lies in their ability to protect tissues from genetic damage or serve as part of normal development, as seen in liver and heart tissues, where they help prevent cellular degeneration </w:t>
      </w:r>
      <w:r w:rsidRPr="008142FE">
        <w:rPr>
          <w:rFonts w:asciiTheme="majorBidi" w:eastAsia="Times New Roman" w:hAnsiTheme="majorBidi" w:cstheme="majorBidi"/>
          <w:b/>
          <w:bCs/>
          <w:color w:val="0E101A"/>
          <w:sz w:val="24"/>
          <w:szCs w:val="24"/>
        </w:rPr>
        <w:t>[5].</w:t>
      </w:r>
      <w:r w:rsidRPr="008142FE">
        <w:rPr>
          <w:rFonts w:asciiTheme="majorBidi" w:eastAsia="Times New Roman" w:hAnsiTheme="majorBidi" w:cstheme="majorBidi"/>
          <w:color w:val="0E101A"/>
          <w:sz w:val="24"/>
          <w:szCs w:val="24"/>
        </w:rPr>
        <w:t xml:space="preserve"> In tumors, binucleated cells may indicate genetic instability, contributing to tumorigenesis and metastasis. Their presence can be associated with specific stages of tumor development </w:t>
      </w:r>
      <w:r w:rsidRPr="008142FE">
        <w:rPr>
          <w:rFonts w:asciiTheme="majorBidi" w:eastAsia="Times New Roman" w:hAnsiTheme="majorBidi" w:cstheme="majorBidi"/>
          <w:b/>
          <w:bCs/>
          <w:color w:val="0E101A"/>
          <w:sz w:val="24"/>
          <w:szCs w:val="24"/>
        </w:rPr>
        <w:t>[6],</w:t>
      </w:r>
      <w:r w:rsidRPr="008142FE">
        <w:rPr>
          <w:rFonts w:asciiTheme="majorBidi" w:eastAsia="Times New Roman" w:hAnsiTheme="majorBidi" w:cstheme="majorBidi"/>
          <w:color w:val="0E101A"/>
          <w:sz w:val="24"/>
          <w:szCs w:val="24"/>
        </w:rPr>
        <w:t xml:space="preserve"> and may also act as a marker for genetic damage in cancer cells, which facilitates the transformation of normal cells into cancerous ones </w:t>
      </w:r>
      <w:r w:rsidRPr="008142FE">
        <w:rPr>
          <w:rFonts w:asciiTheme="majorBidi" w:eastAsia="Times New Roman" w:hAnsiTheme="majorBidi" w:cstheme="majorBidi"/>
          <w:b/>
          <w:bCs/>
          <w:color w:val="0E101A"/>
          <w:sz w:val="24"/>
          <w:szCs w:val="24"/>
        </w:rPr>
        <w:t>[7].</w:t>
      </w:r>
      <w:r w:rsidRPr="008142FE">
        <w:rPr>
          <w:rFonts w:asciiTheme="majorBidi" w:eastAsia="Times New Roman" w:hAnsiTheme="majorBidi" w:cstheme="majorBidi"/>
          <w:color w:val="0E101A"/>
          <w:sz w:val="24"/>
          <w:szCs w:val="24"/>
        </w:rPr>
        <w:t xml:space="preserve"> There are two different mechanisms for the formation of binucleated cells: cell-cell fusion and abnormal mitosis </w:t>
      </w:r>
      <w:r w:rsidRPr="008142FE">
        <w:rPr>
          <w:rFonts w:asciiTheme="majorBidi" w:eastAsia="Times New Roman" w:hAnsiTheme="majorBidi" w:cstheme="majorBidi"/>
          <w:b/>
          <w:bCs/>
          <w:color w:val="0E101A"/>
          <w:sz w:val="24"/>
          <w:szCs w:val="24"/>
        </w:rPr>
        <w:t>[8].</w:t>
      </w:r>
      <w:r w:rsidRPr="008142FE">
        <w:rPr>
          <w:rFonts w:asciiTheme="majorBidi" w:eastAsia="Times New Roman" w:hAnsiTheme="majorBidi" w:cstheme="majorBidi"/>
          <w:color w:val="0E101A"/>
          <w:sz w:val="24"/>
          <w:szCs w:val="24"/>
        </w:rPr>
        <w:t xml:space="preserve"> Cell fusion is a specialized biological process in which cell membranes merge to create a new cell containing two or more nuclei. This process is crucial in many biological systems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9</w:t>
      </w:r>
      <w:r w:rsidRPr="00752639">
        <w:rPr>
          <w:rFonts w:asciiTheme="majorBidi" w:eastAsia="Times New Roman" w:hAnsiTheme="majorBidi" w:cstheme="majorBidi"/>
          <w:b/>
          <w:bCs/>
          <w:color w:val="0E101A"/>
          <w:sz w:val="24"/>
          <w:szCs w:val="24"/>
        </w:rPr>
        <w:t xml:space="preserve">]. </w:t>
      </w:r>
      <w:r w:rsidRPr="008142FE">
        <w:rPr>
          <w:rFonts w:asciiTheme="majorBidi" w:eastAsia="Times New Roman" w:hAnsiTheme="majorBidi" w:cstheme="majorBidi"/>
          <w:color w:val="0E101A"/>
          <w:sz w:val="24"/>
          <w:szCs w:val="24"/>
        </w:rPr>
        <w:t xml:space="preserve">Abnormal mitosis refers to a cell division process where errors occur, such as cytokinesis failure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10</w:t>
      </w:r>
      <w:r w:rsidRPr="00752639">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chromosomal instability, and cellular stress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11</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Binucleated cells may be reversible or irreversible. Reversible binucleated cells can divide and proliferate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12</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whereas irreversible binucleated cells usually undergo cell death or senescence due to significant genetic mutations, preventing them from proliferating or surviving for long periods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13</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While binucleated cells have been linked to certain diseases, their role and underlying mechanisms are not fully understood. There is a need to investigate the biological significance of binucleation and its association with pathological states. This narrative review aims to bridge this gap by summarizing recent findings, highlighting their clinical relevance, and providing a foundation for future research in the field.</w:t>
      </w:r>
    </w:p>
    <w:p w14:paraId="267D4583" w14:textId="77777777" w:rsidR="008664E4" w:rsidRDefault="008664E4" w:rsidP="008664E4">
      <w:pPr>
        <w:spacing w:line="360" w:lineRule="auto"/>
        <w:ind w:right="148"/>
        <w:jc w:val="both"/>
        <w:rPr>
          <w:rFonts w:asciiTheme="majorBidi" w:eastAsia="Times New Roman" w:hAnsiTheme="majorBidi" w:cstheme="majorBidi"/>
          <w:color w:val="0E101A"/>
          <w:sz w:val="24"/>
          <w:szCs w:val="24"/>
        </w:rPr>
      </w:pPr>
    </w:p>
    <w:p w14:paraId="14502501" w14:textId="77777777" w:rsidR="00DD036B" w:rsidRPr="008664E4" w:rsidRDefault="00DD036B" w:rsidP="008664E4">
      <w:pPr>
        <w:spacing w:line="360" w:lineRule="auto"/>
        <w:ind w:right="148"/>
        <w:jc w:val="both"/>
        <w:rPr>
          <w:rFonts w:asciiTheme="majorBidi" w:eastAsia="Times New Roman" w:hAnsiTheme="majorBidi" w:cstheme="majorBidi"/>
          <w:color w:val="0E101A"/>
          <w:sz w:val="24"/>
          <w:szCs w:val="24"/>
        </w:rPr>
        <w:sectPr w:rsidR="00DD036B" w:rsidRPr="008664E4" w:rsidSect="00FF0418">
          <w:headerReference w:type="even" r:id="rId8"/>
          <w:headerReference w:type="default" r:id="rId9"/>
          <w:footerReference w:type="even" r:id="rId10"/>
          <w:footerReference w:type="default" r:id="rId11"/>
          <w:headerReference w:type="first" r:id="rId12"/>
          <w:footerReference w:type="first" r:id="rId13"/>
          <w:pgSz w:w="11910" w:h="16840"/>
          <w:pgMar w:top="1580" w:right="1701" w:bottom="280" w:left="1843" w:header="720" w:footer="720" w:gutter="0"/>
          <w:cols w:space="720"/>
        </w:sectPr>
      </w:pPr>
    </w:p>
    <w:p w14:paraId="61A84B10" w14:textId="77777777" w:rsidR="005E774D" w:rsidRPr="00142FF4" w:rsidRDefault="006D6E9F" w:rsidP="008A34A0">
      <w:pPr>
        <w:spacing w:after="0" w:line="360" w:lineRule="auto"/>
        <w:contextualSpacing/>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 xml:space="preserve">2. </w:t>
      </w:r>
      <w:r w:rsidRPr="006D6E9F">
        <w:rPr>
          <w:rFonts w:asciiTheme="majorBidi" w:eastAsia="Times New Roman" w:hAnsiTheme="majorBidi" w:cstheme="majorBidi"/>
          <w:b/>
          <w:bCs/>
          <w:color w:val="0E101A"/>
          <w:sz w:val="24"/>
          <w:szCs w:val="24"/>
        </w:rPr>
        <w:t>MATERIALS AND METHODS</w:t>
      </w:r>
    </w:p>
    <w:p w14:paraId="10548B64" w14:textId="3AD6F0A0" w:rsidR="00A54F9D" w:rsidRPr="006D6E9F" w:rsidRDefault="003260F8" w:rsidP="003260F8">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color w:val="0E101A"/>
          <w:sz w:val="24"/>
          <w:szCs w:val="24"/>
        </w:rPr>
        <w:t xml:space="preserve">In this review, we conducted a narrative analysis and discussed the relevant literature that has examined </w:t>
      </w:r>
      <w:proofErr w:type="spellStart"/>
      <w:r>
        <w:rPr>
          <w:rFonts w:asciiTheme="majorBidi" w:eastAsia="Times New Roman" w:hAnsiTheme="majorBidi" w:cstheme="majorBidi"/>
          <w:color w:val="0E101A"/>
          <w:sz w:val="24"/>
          <w:szCs w:val="24"/>
        </w:rPr>
        <w:t>binucleated</w:t>
      </w:r>
      <w:proofErr w:type="spellEnd"/>
      <w:r>
        <w:rPr>
          <w:rFonts w:asciiTheme="majorBidi" w:eastAsia="Times New Roman" w:hAnsiTheme="majorBidi" w:cstheme="majorBidi"/>
          <w:color w:val="0E101A"/>
          <w:sz w:val="24"/>
          <w:szCs w:val="24"/>
        </w:rPr>
        <w:t xml:space="preserve"> cells with various designs. The literature was searched on PubMed, Medline, and Google Scholar using the Chrome browser. The search terms were "</w:t>
      </w:r>
      <w:proofErr w:type="spellStart"/>
      <w:r>
        <w:rPr>
          <w:rFonts w:asciiTheme="majorBidi" w:eastAsia="Times New Roman" w:hAnsiTheme="majorBidi" w:cstheme="majorBidi"/>
          <w:color w:val="0E101A"/>
          <w:sz w:val="24"/>
          <w:szCs w:val="24"/>
        </w:rPr>
        <w:t>binucleated</w:t>
      </w:r>
      <w:proofErr w:type="spellEnd"/>
      <w:r>
        <w:rPr>
          <w:rFonts w:asciiTheme="majorBidi" w:eastAsia="Times New Roman" w:hAnsiTheme="majorBidi" w:cstheme="majorBidi"/>
          <w:color w:val="0E101A"/>
          <w:sz w:val="24"/>
          <w:szCs w:val="24"/>
        </w:rPr>
        <w:t xml:space="preserve"> cells", "mechanism of </w:t>
      </w:r>
      <w:proofErr w:type="spellStart"/>
      <w:r>
        <w:rPr>
          <w:rFonts w:asciiTheme="majorBidi" w:eastAsia="Times New Roman" w:hAnsiTheme="majorBidi" w:cstheme="majorBidi"/>
          <w:color w:val="0E101A"/>
          <w:sz w:val="24"/>
          <w:szCs w:val="24"/>
        </w:rPr>
        <w:t>binucleation</w:t>
      </w:r>
      <w:proofErr w:type="spellEnd"/>
      <w:r>
        <w:rPr>
          <w:rFonts w:asciiTheme="majorBidi" w:eastAsia="Times New Roman" w:hAnsiTheme="majorBidi" w:cstheme="majorBidi"/>
          <w:color w:val="0E101A"/>
          <w:sz w:val="24"/>
          <w:szCs w:val="24"/>
        </w:rPr>
        <w:t>", "cell fusion", "cytokinesis failure", "</w:t>
      </w:r>
      <w:proofErr w:type="spellStart"/>
      <w:r>
        <w:rPr>
          <w:rFonts w:asciiTheme="majorBidi" w:eastAsia="Times New Roman" w:hAnsiTheme="majorBidi" w:cstheme="majorBidi"/>
          <w:color w:val="0E101A"/>
          <w:sz w:val="24"/>
          <w:szCs w:val="24"/>
        </w:rPr>
        <w:t>binucleated</w:t>
      </w:r>
      <w:proofErr w:type="spellEnd"/>
      <w:r>
        <w:rPr>
          <w:rFonts w:asciiTheme="majorBidi" w:eastAsia="Times New Roman" w:hAnsiTheme="majorBidi" w:cstheme="majorBidi"/>
          <w:color w:val="0E101A"/>
          <w:sz w:val="24"/>
          <w:szCs w:val="24"/>
        </w:rPr>
        <w:t xml:space="preserve"> cells in infection", and "</w:t>
      </w:r>
      <w:proofErr w:type="spellStart"/>
      <w:r>
        <w:rPr>
          <w:rFonts w:asciiTheme="majorBidi" w:eastAsia="Times New Roman" w:hAnsiTheme="majorBidi" w:cstheme="majorBidi"/>
          <w:color w:val="0E101A"/>
          <w:sz w:val="24"/>
          <w:szCs w:val="24"/>
        </w:rPr>
        <w:t>polyploidization</w:t>
      </w:r>
      <w:proofErr w:type="spellEnd"/>
      <w:r>
        <w:rPr>
          <w:rFonts w:asciiTheme="majorBidi" w:eastAsia="Times New Roman" w:hAnsiTheme="majorBidi" w:cstheme="majorBidi"/>
          <w:color w:val="0E101A"/>
          <w:sz w:val="24"/>
          <w:szCs w:val="24"/>
        </w:rPr>
        <w:t xml:space="preserve">". The inclusion criteria stipulated that the articles were written in English and addressed research published within the last 10 years. The exclusion criteria included articles written in non-English languages, studies that did not directly focus on </w:t>
      </w:r>
      <w:proofErr w:type="spellStart"/>
      <w:r>
        <w:rPr>
          <w:rFonts w:asciiTheme="majorBidi" w:eastAsia="Times New Roman" w:hAnsiTheme="majorBidi" w:cstheme="majorBidi"/>
          <w:color w:val="0E101A"/>
          <w:sz w:val="24"/>
          <w:szCs w:val="24"/>
        </w:rPr>
        <w:t>binucleated</w:t>
      </w:r>
      <w:proofErr w:type="spellEnd"/>
      <w:r>
        <w:rPr>
          <w:rFonts w:asciiTheme="majorBidi" w:eastAsia="Times New Roman" w:hAnsiTheme="majorBidi" w:cstheme="majorBidi"/>
          <w:color w:val="0E101A"/>
          <w:sz w:val="24"/>
          <w:szCs w:val="24"/>
        </w:rPr>
        <w:t xml:space="preserve"> cells, duplicate studies, articles lacking full-text availability, and research published more than 10 years ago. Ultimately, I selected a total of 23 studies. In addition to these selected studies, several other works were chosen from their references. </w:t>
      </w:r>
    </w:p>
    <w:p w14:paraId="1674485B" w14:textId="77777777" w:rsidR="005347CE" w:rsidRPr="005347CE" w:rsidRDefault="005347CE" w:rsidP="005347CE">
      <w:pPr>
        <w:tabs>
          <w:tab w:val="left" w:pos="1134"/>
        </w:tabs>
        <w:spacing w:before="240" w:after="0" w:line="360" w:lineRule="auto"/>
        <w:jc w:val="both"/>
        <w:rPr>
          <w:rFonts w:ascii="Times New Roman" w:eastAsia="Times New Roman" w:hAnsi="Times New Roman" w:cs="Times New Roman"/>
          <w:b/>
          <w:bCs/>
          <w:color w:val="0E101A"/>
          <w:sz w:val="24"/>
          <w:szCs w:val="24"/>
          <w:lang w:bidi="hi-IN"/>
        </w:rPr>
      </w:pPr>
      <w:r w:rsidRPr="005347CE">
        <w:rPr>
          <w:rFonts w:ascii="Times New Roman" w:eastAsia="Times New Roman" w:hAnsi="Times New Roman" w:cs="Times New Roman"/>
          <w:b/>
          <w:bCs/>
          <w:color w:val="0E101A"/>
          <w:sz w:val="24"/>
          <w:szCs w:val="24"/>
          <w:lang w:bidi="hi-IN"/>
        </w:rPr>
        <w:t>2.1. Binucleated cells in normal tissues</w:t>
      </w:r>
    </w:p>
    <w:p w14:paraId="06089A69" w14:textId="0F37DE6B" w:rsidR="005347CE" w:rsidRPr="005347CE" w:rsidRDefault="0038463C" w:rsidP="005347CE">
      <w:pPr>
        <w:tabs>
          <w:tab w:val="left" w:pos="1134"/>
        </w:tabs>
        <w:spacing w:after="0" w:line="360" w:lineRule="auto"/>
        <w:jc w:val="both"/>
        <w:rPr>
          <w:rFonts w:ascii="Times New Roman" w:eastAsia="Times New Roman" w:hAnsi="Times New Roman" w:cs="Times New Roman"/>
          <w:b/>
          <w:bCs/>
          <w:color w:val="0E101A"/>
          <w:sz w:val="24"/>
          <w:szCs w:val="24"/>
          <w:lang w:bidi="hi-IN"/>
        </w:rPr>
      </w:pPr>
      <w:r>
        <w:rPr>
          <w:rFonts w:ascii="Times New Roman" w:eastAsia="Times New Roman" w:hAnsi="Times New Roman" w:cs="Times New Roman"/>
          <w:b/>
          <w:bCs/>
          <w:color w:val="0E101A"/>
          <w:sz w:val="24"/>
          <w:szCs w:val="24"/>
          <w:lang w:bidi="hi-IN"/>
        </w:rPr>
        <w:t>2.1.1 B</w:t>
      </w:r>
      <w:r w:rsidR="005347CE" w:rsidRPr="005347CE">
        <w:rPr>
          <w:rFonts w:ascii="Times New Roman" w:eastAsia="Times New Roman" w:hAnsi="Times New Roman" w:cs="Times New Roman"/>
          <w:b/>
          <w:bCs/>
          <w:color w:val="0E101A"/>
          <w:sz w:val="24"/>
          <w:szCs w:val="24"/>
          <w:lang w:bidi="hi-IN"/>
        </w:rPr>
        <w:t>one marrow</w:t>
      </w:r>
    </w:p>
    <w:p w14:paraId="13186F56" w14:textId="77777777" w:rsidR="005347CE" w:rsidRDefault="005347CE" w:rsidP="00981ADA">
      <w:pPr>
        <w:tabs>
          <w:tab w:val="left" w:pos="1134"/>
        </w:tabs>
        <w:spacing w:after="0" w:line="360" w:lineRule="auto"/>
        <w:jc w:val="both"/>
        <w:rPr>
          <w:rFonts w:ascii="Times New Roman" w:eastAsia="Times New Roman" w:hAnsi="Times New Roman" w:cs="Times New Roman"/>
          <w:color w:val="0E101A"/>
          <w:sz w:val="24"/>
          <w:szCs w:val="24"/>
          <w:lang w:bidi="hi-IN"/>
        </w:rPr>
      </w:pPr>
      <w:r w:rsidRPr="005347CE">
        <w:rPr>
          <w:rFonts w:ascii="Times New Roman" w:eastAsia="Times New Roman" w:hAnsi="Times New Roman" w:cs="Times New Roman"/>
          <w:color w:val="0E101A"/>
          <w:sz w:val="24"/>
          <w:szCs w:val="24"/>
          <w:lang w:bidi="hi-IN"/>
        </w:rPr>
        <w:t xml:space="preserve">Recent research challenges the belief that adult cells are restricted to their tissue of origin, highlighting their plasticity and potential to differentiate into unrelated lineages, termed adult cell plasticity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14</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This concept emerged from bone marrow transplantation studies, showing that bone marrow-derived cells (BMDCs) could transdifferentiate into neuronal-like cells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15</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Bone marrow contains two key stem cell types: hematopoietic stem cells (HSCs), which produce blood cells, and mesenchymal stromal cells (MSCs), which differentiate into mesodermal lineages like osteocytes and adipocytes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16</w:t>
      </w:r>
      <w:r w:rsidRP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Both BMDCs and MSCs have shown the ability to transdifferentiate into neural-like cells in </w:t>
      </w:r>
      <w:r w:rsidR="00981ADA">
        <w:rPr>
          <w:rFonts w:ascii="Times New Roman" w:eastAsia="Times New Roman" w:hAnsi="Times New Roman" w:cs="Times New Roman"/>
          <w:color w:val="0E101A"/>
          <w:sz w:val="24"/>
          <w:szCs w:val="24"/>
          <w:lang w:bidi="hi-IN"/>
        </w:rPr>
        <w:t xml:space="preserve">vitro </w:t>
      </w:r>
      <w:r w:rsidR="00981ADA" w:rsidRPr="00981ADA">
        <w:rPr>
          <w:rFonts w:ascii="Times New Roman" w:eastAsia="Times New Roman" w:hAnsi="Times New Roman" w:cs="Times New Roman"/>
          <w:b/>
          <w:bCs/>
          <w:color w:val="0E101A"/>
          <w:sz w:val="24"/>
          <w:szCs w:val="24"/>
          <w:lang w:bidi="hi-IN"/>
        </w:rPr>
        <w:t xml:space="preserve">[17] </w:t>
      </w:r>
      <w:r w:rsidR="00981ADA">
        <w:rPr>
          <w:rFonts w:ascii="Times New Roman" w:eastAsia="Times New Roman" w:hAnsi="Times New Roman" w:cs="Times New Roman"/>
          <w:color w:val="0E101A"/>
          <w:sz w:val="24"/>
          <w:szCs w:val="24"/>
          <w:lang w:bidi="hi-IN"/>
        </w:rPr>
        <w:t xml:space="preserve">and in vivo </w:t>
      </w:r>
      <w:r w:rsidR="00981ADA" w:rsidRPr="00981ADA">
        <w:rPr>
          <w:rFonts w:ascii="Times New Roman" w:eastAsia="Times New Roman" w:hAnsi="Times New Roman" w:cs="Times New Roman"/>
          <w:b/>
          <w:bCs/>
          <w:color w:val="0E101A"/>
          <w:sz w:val="24"/>
          <w:szCs w:val="24"/>
          <w:lang w:bidi="hi-IN"/>
        </w:rPr>
        <w:t>[15</w:t>
      </w:r>
      <w:r w:rsidRPr="00981ADA">
        <w:rPr>
          <w:rFonts w:ascii="Times New Roman" w:eastAsia="Times New Roman" w:hAnsi="Times New Roman" w:cs="Times New Roman"/>
          <w:b/>
          <w:bCs/>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However, some studies debate these findings, suggesting neural-like morphologies in vitro may result from cytoplasmic retraction rather than neurite extension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18</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Additionally, BMDCs might fuse with host neurons rather than undergoing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explaining the presence of binucleated neurons after BMDC transplantation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19</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Bueno et al.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20</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demonstrated in an experimental study that human BM-MSCs can form binucleated cells, suggesting these cells play a role in neural differentiation without fusing with existing neurons. These findings underscore the potential of neuronal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and its implications for neurodegenerative disease therapies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21</w:t>
      </w:r>
      <w:r w:rsidRPr="00981ADA">
        <w:rPr>
          <w:rFonts w:ascii="Times New Roman" w:eastAsia="Times New Roman" w:hAnsi="Times New Roman" w:cs="Times New Roman"/>
          <w:b/>
          <w:bCs/>
          <w:color w:val="0E101A"/>
          <w:sz w:val="24"/>
          <w:szCs w:val="24"/>
          <w:lang w:bidi="hi-IN"/>
        </w:rPr>
        <w:t>].</w:t>
      </w:r>
    </w:p>
    <w:p w14:paraId="2B73EAC5" w14:textId="50599893" w:rsidR="00921F02" w:rsidRPr="00921F02" w:rsidRDefault="00921F02" w:rsidP="000F3447">
      <w:pPr>
        <w:tabs>
          <w:tab w:val="left" w:pos="1134"/>
        </w:tabs>
        <w:spacing w:after="0" w:line="360" w:lineRule="auto"/>
        <w:jc w:val="both"/>
        <w:rPr>
          <w:rFonts w:ascii="Times New Roman" w:eastAsia="Times New Roman" w:hAnsi="Times New Roman" w:cs="Times New Roman"/>
          <w:b/>
          <w:bCs/>
          <w:color w:val="0E101A"/>
          <w:sz w:val="24"/>
          <w:szCs w:val="24"/>
          <w:lang w:bidi="ar-QA"/>
        </w:rPr>
      </w:pPr>
      <w:r w:rsidRPr="00695D8C">
        <w:rPr>
          <w:rFonts w:ascii="Times New Roman" w:eastAsia="Times New Roman" w:hAnsi="Times New Roman" w:cs="Times New Roman"/>
          <w:b/>
          <w:bCs/>
          <w:color w:val="0E101A"/>
          <w:sz w:val="24"/>
          <w:szCs w:val="24"/>
          <w:lang w:bidi="hi-IN"/>
        </w:rPr>
        <w:t xml:space="preserve">2.1.2. </w:t>
      </w:r>
      <w:r w:rsidR="000F3447" w:rsidRPr="00695D8C">
        <w:rPr>
          <w:rFonts w:ascii="Times New Roman" w:eastAsia="Times New Roman" w:hAnsi="Times New Roman" w:cs="Times New Roman"/>
          <w:b/>
          <w:bCs/>
          <w:color w:val="0E101A"/>
          <w:sz w:val="24"/>
          <w:szCs w:val="24"/>
          <w:lang w:bidi="ar-QA"/>
        </w:rPr>
        <w:t>The brain</w:t>
      </w:r>
      <w:r w:rsidR="000F3447">
        <w:rPr>
          <w:rFonts w:ascii="Times New Roman" w:eastAsia="Times New Roman" w:hAnsi="Times New Roman" w:cs="Times New Roman"/>
          <w:b/>
          <w:bCs/>
          <w:color w:val="0E101A"/>
          <w:sz w:val="24"/>
          <w:szCs w:val="24"/>
          <w:lang w:bidi="ar-QA"/>
        </w:rPr>
        <w:t xml:space="preserve"> </w:t>
      </w:r>
    </w:p>
    <w:p w14:paraId="190247B5" w14:textId="6242EE73" w:rsidR="006D6E9F" w:rsidRDefault="00921F02" w:rsidP="00BE166D">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lastRenderedPageBreak/>
        <w:drawing>
          <wp:anchor distT="0" distB="0" distL="0" distR="0" simplePos="0" relativeHeight="251659264" behindDoc="1" locked="0" layoutInCell="1" allowOverlap="1" wp14:anchorId="2E079068" wp14:editId="733BB4C1">
            <wp:simplePos x="0" y="0"/>
            <wp:positionH relativeFrom="page">
              <wp:posOffset>1041400</wp:posOffset>
            </wp:positionH>
            <wp:positionV relativeFrom="paragraph">
              <wp:posOffset>2911475</wp:posOffset>
            </wp:positionV>
            <wp:extent cx="5939790" cy="2311400"/>
            <wp:effectExtent l="0" t="0" r="3810" b="0"/>
            <wp:wrapThrough wrapText="bothSides">
              <wp:wrapPolygon edited="0">
                <wp:start x="0" y="0"/>
                <wp:lineTo x="0" y="21363"/>
                <wp:lineTo x="21545" y="21363"/>
                <wp:lineTo x="21545" y="0"/>
                <wp:lineTo x="0" y="0"/>
              </wp:wrapPolygon>
            </wp:wrapThrough>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5939790" cy="2311400"/>
                    </a:xfrm>
                    <a:prstGeom prst="rect">
                      <a:avLst/>
                    </a:prstGeom>
                  </pic:spPr>
                </pic:pic>
              </a:graphicData>
            </a:graphic>
            <wp14:sizeRelV relativeFrom="margin">
              <wp14:pctHeight>0</wp14:pctHeight>
            </wp14:sizeRelV>
          </wp:anchor>
        </w:drawing>
      </w:r>
      <w:r w:rsidR="00BE166D">
        <w:rPr>
          <w:rFonts w:ascii="Times New Roman" w:eastAsia="Times New Roman" w:hAnsi="Times New Roman" w:cs="Times New Roman"/>
          <w:color w:val="0E101A"/>
          <w:sz w:val="24"/>
          <w:szCs w:val="24"/>
          <w:lang w:bidi="hi-IN"/>
        </w:rPr>
        <w:t xml:space="preserve">Kemp et al. </w:t>
      </w:r>
      <w:r w:rsidRPr="00921F02">
        <w:rPr>
          <w:rFonts w:ascii="Times New Roman" w:eastAsia="Times New Roman" w:hAnsi="Times New Roman" w:cs="Times New Roman"/>
          <w:color w:val="0E101A"/>
          <w:sz w:val="24"/>
          <w:szCs w:val="24"/>
          <w:lang w:bidi="hi-IN"/>
        </w:rPr>
        <w:t>explored the occurrence of binucleated cells in the brain, particularly in cerebellar Purkinje cells, arisin</w:t>
      </w:r>
      <w:r w:rsidR="00BE166D">
        <w:rPr>
          <w:rFonts w:ascii="Times New Roman" w:eastAsia="Times New Roman" w:hAnsi="Times New Roman" w:cs="Times New Roman"/>
          <w:color w:val="0E101A"/>
          <w:sz w:val="24"/>
          <w:szCs w:val="24"/>
          <w:lang w:bidi="hi-IN"/>
        </w:rPr>
        <w:t xml:space="preserve">g from bone marrow cell fusion </w:t>
      </w:r>
      <w:r w:rsidR="00BE166D" w:rsidRPr="00981ADA">
        <w:rPr>
          <w:rFonts w:ascii="Times New Roman" w:eastAsia="Times New Roman" w:hAnsi="Times New Roman" w:cs="Times New Roman"/>
          <w:b/>
          <w:bCs/>
          <w:color w:val="0E101A"/>
          <w:sz w:val="24"/>
          <w:szCs w:val="24"/>
          <w:lang w:bidi="hi-IN"/>
        </w:rPr>
        <w:t>[22</w:t>
      </w:r>
      <w:r w:rsidR="00BE166D">
        <w:rPr>
          <w:rFonts w:ascii="Times New Roman" w:eastAsia="Times New Roman" w:hAnsi="Times New Roman" w:cs="Times New Roman"/>
          <w:b/>
          <w:bCs/>
          <w:color w:val="0E101A"/>
          <w:sz w:val="24"/>
          <w:szCs w:val="24"/>
          <w:lang w:bidi="hi-IN"/>
        </w:rPr>
        <w:t xml:space="preserve">]. </w:t>
      </w:r>
      <w:r w:rsidRPr="00921F02">
        <w:rPr>
          <w:rFonts w:ascii="Times New Roman" w:eastAsia="Times New Roman" w:hAnsi="Times New Roman" w:cs="Times New Roman"/>
          <w:color w:val="0E101A"/>
          <w:sz w:val="24"/>
          <w:szCs w:val="24"/>
          <w:lang w:bidi="hi-IN"/>
        </w:rPr>
        <w:t xml:space="preserve">This process is believed to occur in response to injury or inflammation and may represent a novel mechanism for neuronal repair. Research indicates that cell fusion events increase under conditions such as aging, radiation exposure, inflammation, and chemotherapy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The role of immune cell infiltration in forming binucleated cells remains unclear, although soluble factors may significantly influence this process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Binucleated cells are hypothesized to aid in neuroprotection and the restoration of homeostasis in neurodegenerative diseases, making them a promising area for therapeutic research. These findings provide insights into endogenous neuronal repair mechanisms, potentially offering new avenues for treating neurodegeneration and brain injuries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p>
    <w:p w14:paraId="0785B0D1" w14:textId="77777777" w:rsidR="006D6E9F" w:rsidRDefault="00921F02" w:rsidP="00981ADA">
      <w:pPr>
        <w:tabs>
          <w:tab w:val="left" w:pos="1134"/>
        </w:tabs>
        <w:spacing w:after="0"/>
        <w:jc w:val="both"/>
        <w:rPr>
          <w:rFonts w:ascii="Times New Roman" w:eastAsia="Times New Roman" w:hAnsi="Times New Roman" w:cs="Times New Roman"/>
          <w:color w:val="0E101A"/>
          <w:sz w:val="24"/>
          <w:szCs w:val="24"/>
          <w:lang w:bidi="hi-IN"/>
        </w:rPr>
      </w:pPr>
      <w:r w:rsidRPr="00921F02">
        <w:rPr>
          <w:rFonts w:ascii="Times New Roman" w:eastAsia="Times New Roman" w:hAnsi="Times New Roman" w:cs="Times New Roman"/>
          <w:b/>
          <w:bCs/>
          <w:color w:val="0E101A"/>
          <w:sz w:val="24"/>
          <w:szCs w:val="24"/>
          <w:lang w:bidi="hi-IN"/>
        </w:rPr>
        <w:t>Fig.1</w:t>
      </w:r>
      <w:r w:rsid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921F02">
        <w:rPr>
          <w:rFonts w:ascii="Times New Roman" w:eastAsia="Times New Roman" w:hAnsi="Times New Roman" w:cs="Times New Roman"/>
          <w:color w:val="0E101A"/>
          <w:sz w:val="24"/>
          <w:szCs w:val="24"/>
          <w:lang w:bidi="hi-IN"/>
        </w:rPr>
        <w:t>A binucleated Purkinje cell in the human cerebellum. This 3D confocal image shows cells in the human cerebellum, with Purkinje cells labeled using the Calbindin-D28K marker (green) and DAPI nuclear stain (blue). The hatched region in part (</w:t>
      </w:r>
      <w:r>
        <w:rPr>
          <w:rFonts w:ascii="Times New Roman" w:eastAsia="Times New Roman" w:hAnsi="Times New Roman" w:cs="Times New Roman"/>
          <w:color w:val="0E101A"/>
          <w:sz w:val="24"/>
          <w:szCs w:val="24"/>
          <w:lang w:bidi="hi-IN"/>
        </w:rPr>
        <w:t>A</w:t>
      </w:r>
      <w:r w:rsidRPr="00921F02">
        <w:rPr>
          <w:rFonts w:ascii="Times New Roman" w:eastAsia="Times New Roman" w:hAnsi="Times New Roman" w:cs="Times New Roman"/>
          <w:color w:val="0E101A"/>
          <w:sz w:val="24"/>
          <w:szCs w:val="24"/>
          <w:lang w:bidi="hi-IN"/>
        </w:rPr>
        <w:t>) corresponds to the magnified image shown in part (</w:t>
      </w:r>
      <w:r>
        <w:rPr>
          <w:rFonts w:ascii="Times New Roman" w:eastAsia="Times New Roman" w:hAnsi="Times New Roman" w:cs="Times New Roman"/>
          <w:color w:val="0E101A"/>
          <w:sz w:val="24"/>
          <w:szCs w:val="24"/>
          <w:lang w:bidi="hi-IN"/>
        </w:rPr>
        <w:t>B</w:t>
      </w:r>
      <w:r w:rsidRPr="00921F02">
        <w:rPr>
          <w:rFonts w:ascii="Times New Roman" w:eastAsia="Times New Roman" w:hAnsi="Times New Roman" w:cs="Times New Roman"/>
          <w:color w:val="0E101A"/>
          <w:sz w:val="24"/>
          <w:szCs w:val="24"/>
          <w:lang w:bidi="hi-IN"/>
        </w:rPr>
        <w:t xml:space="preserve">), with a scale bar of 25 </w:t>
      </w:r>
      <w:proofErr w:type="spellStart"/>
      <w:r w:rsidRPr="00921F02">
        <w:rPr>
          <w:rFonts w:ascii="Times New Roman" w:eastAsia="Times New Roman" w:hAnsi="Times New Roman" w:cs="Times New Roman"/>
          <w:color w:val="0E101A"/>
          <w:sz w:val="24"/>
          <w:szCs w:val="24"/>
          <w:lang w:bidi="hi-IN"/>
        </w:rPr>
        <w:t>μm</w:t>
      </w:r>
      <w:proofErr w:type="spellEnd"/>
      <w:r w:rsidRPr="00921F02">
        <w:rPr>
          <w:rFonts w:ascii="Times New Roman" w:eastAsia="Times New Roman" w:hAnsi="Times New Roman" w:cs="Times New Roman"/>
          <w:color w:val="0E101A"/>
          <w:sz w:val="24"/>
          <w:szCs w:val="24"/>
          <w:lang w:bidi="hi-IN"/>
        </w:rPr>
        <w:t xml:space="preserve">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22</w:t>
      </w:r>
      <w:r w:rsidRPr="00981ADA">
        <w:rPr>
          <w:rFonts w:ascii="Times New Roman" w:eastAsia="Times New Roman" w:hAnsi="Times New Roman" w:cs="Times New Roman"/>
          <w:b/>
          <w:bCs/>
          <w:color w:val="0E101A"/>
          <w:sz w:val="24"/>
          <w:szCs w:val="24"/>
          <w:lang w:bidi="hi-IN"/>
        </w:rPr>
        <w:t>].</w:t>
      </w:r>
    </w:p>
    <w:p w14:paraId="2EDCEF09" w14:textId="28586122" w:rsidR="00DC0D12" w:rsidRPr="00DC0D12" w:rsidRDefault="0038463C" w:rsidP="00921F02">
      <w:pPr>
        <w:tabs>
          <w:tab w:val="left" w:pos="1134"/>
        </w:tabs>
        <w:spacing w:after="0" w:line="360" w:lineRule="auto"/>
        <w:jc w:val="both"/>
        <w:rPr>
          <w:rFonts w:ascii="Times New Roman" w:eastAsia="Times New Roman" w:hAnsi="Times New Roman" w:cs="Times New Roman"/>
          <w:b/>
          <w:bCs/>
          <w:color w:val="0E101A"/>
          <w:sz w:val="24"/>
          <w:szCs w:val="24"/>
          <w:lang w:bidi="hi-IN"/>
        </w:rPr>
      </w:pPr>
      <w:r>
        <w:rPr>
          <w:rFonts w:ascii="Times New Roman" w:eastAsia="Times New Roman" w:hAnsi="Times New Roman" w:cs="Times New Roman"/>
          <w:b/>
          <w:bCs/>
          <w:color w:val="0E101A"/>
          <w:sz w:val="24"/>
          <w:szCs w:val="24"/>
          <w:lang w:bidi="hi-IN"/>
        </w:rPr>
        <w:t>2.1.3. T</w:t>
      </w:r>
      <w:r w:rsidR="00DC0D12" w:rsidRPr="00DC0D12">
        <w:rPr>
          <w:rFonts w:ascii="Times New Roman" w:eastAsia="Times New Roman" w:hAnsi="Times New Roman" w:cs="Times New Roman"/>
          <w:b/>
          <w:bCs/>
          <w:color w:val="0E101A"/>
          <w:sz w:val="24"/>
          <w:szCs w:val="24"/>
          <w:lang w:bidi="hi-IN"/>
        </w:rPr>
        <w:t>he heart</w:t>
      </w:r>
    </w:p>
    <w:p w14:paraId="30F6D05F" w14:textId="5FC676C5" w:rsidR="0022799C" w:rsidRDefault="00DC0D12" w:rsidP="0022799C">
      <w:pPr>
        <w:tabs>
          <w:tab w:val="left" w:pos="1134"/>
        </w:tabs>
        <w:spacing w:after="0" w:line="360" w:lineRule="auto"/>
        <w:jc w:val="both"/>
        <w:rPr>
          <w:rFonts w:ascii="Times New Roman" w:eastAsia="Times New Roman" w:hAnsi="Times New Roman" w:cs="Times New Roman"/>
          <w:color w:val="0E101A"/>
          <w:sz w:val="24"/>
          <w:szCs w:val="24"/>
          <w:lang w:bidi="hi-IN"/>
        </w:rPr>
      </w:pPr>
      <w:r w:rsidRPr="00DC0D12">
        <w:rPr>
          <w:rFonts w:ascii="Times New Roman" w:eastAsia="Times New Roman" w:hAnsi="Times New Roman" w:cs="Times New Roman"/>
          <w:color w:val="0E101A"/>
          <w:sz w:val="24"/>
          <w:szCs w:val="24"/>
          <w:lang w:bidi="hi-IN"/>
        </w:rPr>
        <w:t xml:space="preserve">Binucleated cardiomyocytes (CMs) are polyploid heart muscle cells, often resulting from cytokinesis failure during cell division, where cytoplasmic division does not follow nuclear division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24</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These cells are particularly significant due to their enhanced contractile function, larger cellular size, and distinct electrical properties, which are crucial for maintaining coordinated heart rhythms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25</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Binucleated CMs are more prevalent in the ventricles, supporting their specialized structural and functional roles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26</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formation of binucleated and polyploid CMs occurs through regulated failures in karyokinesis and cytokinesis, distinct from the uncontrolled mitotic failures seen in cancer cells. This </w:t>
      </w:r>
      <w:r w:rsidRPr="00DC0D12">
        <w:rPr>
          <w:rFonts w:ascii="Times New Roman" w:eastAsia="Times New Roman" w:hAnsi="Times New Roman" w:cs="Times New Roman"/>
          <w:color w:val="0E101A"/>
          <w:sz w:val="24"/>
          <w:szCs w:val="24"/>
          <w:lang w:bidi="hi-IN"/>
        </w:rPr>
        <w:lastRenderedPageBreak/>
        <w:t xml:space="preserve">programmed process reduces the proliferative potential of polyploid CMs, limiting their ability to regenerate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 xml:space="preserve">]. </w:t>
      </w:r>
      <w:r w:rsidRPr="00DC0D12">
        <w:rPr>
          <w:rFonts w:ascii="Times New Roman" w:eastAsia="Times New Roman" w:hAnsi="Times New Roman" w:cs="Times New Roman"/>
          <w:color w:val="0E101A"/>
          <w:sz w:val="24"/>
          <w:szCs w:val="24"/>
          <w:lang w:bidi="hi-IN"/>
        </w:rPr>
        <w:t xml:space="preserve">Despite questions about transcriptional differences between diploid and polyploid cardiomyocytes, current findings suggest that transcriptional profiles may be more injury-dependent than nucleation-related, necessitating further research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Developing cardiomyocytes possess a greater regenerative capacity due to their ability to divide during the embryonic stage. In contrast, most adult cardiomyocytes lose this capacity </w:t>
      </w:r>
      <w:proofErr w:type="spellStart"/>
      <w:r w:rsidRPr="00DC0D12">
        <w:rPr>
          <w:rFonts w:ascii="Times New Roman" w:eastAsia="Times New Roman" w:hAnsi="Times New Roman" w:cs="Times New Roman"/>
          <w:color w:val="0E101A"/>
          <w:sz w:val="24"/>
          <w:szCs w:val="24"/>
          <w:lang w:bidi="hi-IN"/>
        </w:rPr>
        <w:t>postnatally</w:t>
      </w:r>
      <w:proofErr w:type="spellEnd"/>
      <w:r w:rsidRPr="00DC0D12">
        <w:rPr>
          <w:rFonts w:ascii="Times New Roman" w:eastAsia="Times New Roman" w:hAnsi="Times New Roman" w:cs="Times New Roman"/>
          <w:color w:val="0E101A"/>
          <w:sz w:val="24"/>
          <w:szCs w:val="24"/>
          <w:lang w:bidi="hi-IN"/>
        </w:rPr>
        <w:t>, becoming "</w:t>
      </w:r>
      <w:proofErr w:type="spellStart"/>
      <w:r w:rsidRPr="00DC0D12">
        <w:rPr>
          <w:rFonts w:ascii="Times New Roman" w:eastAsia="Times New Roman" w:hAnsi="Times New Roman" w:cs="Times New Roman"/>
          <w:color w:val="0E101A"/>
          <w:sz w:val="24"/>
          <w:szCs w:val="24"/>
          <w:lang w:bidi="hi-IN"/>
        </w:rPr>
        <w:t>acytokinetic</w:t>
      </w:r>
      <w:proofErr w:type="spellEnd"/>
      <w:r w:rsidRPr="00DC0D12">
        <w:rPr>
          <w:rFonts w:ascii="Times New Roman" w:eastAsia="Times New Roman" w:hAnsi="Times New Roman" w:cs="Times New Roman"/>
          <w:color w:val="0E101A"/>
          <w:sz w:val="24"/>
          <w:szCs w:val="24"/>
          <w:lang w:bidi="hi-IN"/>
        </w:rPr>
        <w:t xml:space="preserve">," which limits heart regeneration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rise in multinucleated and polyploid CMs is linked to a diminished capacity for regeneration, as these cells cannot effectively replace dead cells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29</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Metabolic reprogramming has been identified as a potential mechanism to enhance the regenerative capacity of the heart. This process increases cell cycle activity in mononuclear diploid CMs, potentially improving cardiac repair post-injury. Activation of developmental signaling pathways in the heart can further promote this reprogramming and enhance recovery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This highlights the role of binucleated cardiomyocytes in heart function, their contribution to cardiac efficiency, and the challenges they pose in </w:t>
      </w:r>
      <w:r w:rsidR="0022799C">
        <w:rPr>
          <w:noProof/>
        </w:rPr>
        <w:drawing>
          <wp:anchor distT="0" distB="0" distL="114300" distR="114300" simplePos="0" relativeHeight="251660288" behindDoc="0" locked="0" layoutInCell="1" allowOverlap="1" wp14:anchorId="54923B2F" wp14:editId="7FC92684">
            <wp:simplePos x="0" y="0"/>
            <wp:positionH relativeFrom="margin">
              <wp:posOffset>34290</wp:posOffset>
            </wp:positionH>
            <wp:positionV relativeFrom="paragraph">
              <wp:posOffset>4291965</wp:posOffset>
            </wp:positionV>
            <wp:extent cx="5485765" cy="3284220"/>
            <wp:effectExtent l="0" t="0" r="635" b="0"/>
            <wp:wrapThrough wrapText="bothSides">
              <wp:wrapPolygon edited="0">
                <wp:start x="0" y="0"/>
                <wp:lineTo x="0" y="21425"/>
                <wp:lineTo x="21527" y="21425"/>
                <wp:lineTo x="21527" y="0"/>
                <wp:lineTo x="0" y="0"/>
              </wp:wrapPolygon>
            </wp:wrapThrough>
            <wp:docPr id="1" name="Picture 1" descr="Cells 12 01571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s 12 01571 g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765"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D12">
        <w:rPr>
          <w:rFonts w:ascii="Times New Roman" w:eastAsia="Times New Roman" w:hAnsi="Times New Roman" w:cs="Times New Roman"/>
          <w:color w:val="0E101A"/>
          <w:sz w:val="24"/>
          <w:szCs w:val="24"/>
          <w:lang w:bidi="hi-IN"/>
        </w:rPr>
        <w:t>regeneration and repair.</w:t>
      </w:r>
    </w:p>
    <w:p w14:paraId="5FC4DD60" w14:textId="5BC759BA" w:rsidR="00AE3A70" w:rsidRDefault="00634EE7"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t xml:space="preserve">Fig.2. </w:t>
      </w:r>
      <w:r w:rsidR="00AE3A70" w:rsidRPr="0077095C">
        <w:rPr>
          <w:rFonts w:ascii="Times New Roman" w:eastAsia="Times New Roman" w:hAnsi="Times New Roman" w:cs="Times New Roman"/>
          <w:b/>
          <w:bCs/>
          <w:color w:val="0E101A"/>
          <w:sz w:val="24"/>
          <w:szCs w:val="24"/>
          <w:lang w:bidi="hi-IN"/>
        </w:rPr>
        <w:t>The relationship between cardiomyocyte polyploidy, development, and heart injury [</w:t>
      </w:r>
      <w:r w:rsidR="0077095C" w:rsidRPr="0077095C">
        <w:rPr>
          <w:rFonts w:ascii="Times New Roman" w:eastAsia="Times New Roman" w:hAnsi="Times New Roman" w:cs="Times New Roman"/>
          <w:b/>
          <w:bCs/>
          <w:color w:val="0E101A"/>
          <w:sz w:val="24"/>
          <w:szCs w:val="24"/>
          <w:lang w:bidi="hi-IN"/>
        </w:rPr>
        <w:t>28</w:t>
      </w:r>
      <w:r w:rsidR="00AE3A70" w:rsidRPr="0077095C">
        <w:rPr>
          <w:rFonts w:ascii="Times New Roman" w:eastAsia="Times New Roman" w:hAnsi="Times New Roman" w:cs="Times New Roman"/>
          <w:b/>
          <w:bCs/>
          <w:color w:val="0E101A"/>
          <w:sz w:val="24"/>
          <w:szCs w:val="24"/>
          <w:lang w:bidi="hi-IN"/>
        </w:rPr>
        <w:t>].</w:t>
      </w:r>
    </w:p>
    <w:p w14:paraId="09CA1F92" w14:textId="2A29E634" w:rsidR="0022799C" w:rsidRDefault="0022799C" w:rsidP="0077095C">
      <w:pPr>
        <w:tabs>
          <w:tab w:val="left" w:pos="1134"/>
        </w:tabs>
        <w:spacing w:after="0"/>
        <w:jc w:val="both"/>
        <w:rPr>
          <w:rFonts w:ascii="Times New Roman" w:eastAsia="Times New Roman" w:hAnsi="Times New Roman" w:cs="Times New Roman"/>
          <w:b/>
          <w:bCs/>
          <w:color w:val="0E101A"/>
          <w:sz w:val="24"/>
          <w:szCs w:val="24"/>
          <w:lang w:bidi="hi-IN"/>
        </w:rPr>
      </w:pPr>
    </w:p>
    <w:p w14:paraId="24711B47" w14:textId="77777777" w:rsidR="0022799C" w:rsidRPr="0077095C" w:rsidRDefault="0022799C" w:rsidP="0077095C">
      <w:pPr>
        <w:tabs>
          <w:tab w:val="left" w:pos="1134"/>
        </w:tabs>
        <w:spacing w:after="0"/>
        <w:jc w:val="both"/>
        <w:rPr>
          <w:rFonts w:ascii="Times New Roman" w:eastAsia="Times New Roman" w:hAnsi="Times New Roman" w:cs="Times New Roman"/>
          <w:b/>
          <w:bCs/>
          <w:color w:val="0E101A"/>
          <w:sz w:val="24"/>
          <w:szCs w:val="24"/>
          <w:lang w:bidi="hi-IN"/>
        </w:rPr>
      </w:pPr>
    </w:p>
    <w:p w14:paraId="1E6D966D" w14:textId="1EA7B5FF" w:rsidR="000C46C4" w:rsidRPr="000C46C4" w:rsidRDefault="00BE20BC" w:rsidP="000C46C4">
      <w:pPr>
        <w:tabs>
          <w:tab w:val="left" w:pos="1134"/>
        </w:tabs>
        <w:spacing w:after="0" w:line="360" w:lineRule="auto"/>
        <w:jc w:val="both"/>
        <w:rPr>
          <w:rFonts w:ascii="Times New Roman" w:eastAsia="Times New Roman" w:hAnsi="Times New Roman" w:cs="Times New Roman"/>
          <w:b/>
          <w:bCs/>
          <w:color w:val="0E101A"/>
          <w:sz w:val="24"/>
          <w:szCs w:val="24"/>
          <w:lang w:bidi="hi-IN"/>
        </w:rPr>
      </w:pPr>
      <w:r>
        <w:rPr>
          <w:rFonts w:ascii="Times New Roman" w:eastAsia="Times New Roman" w:hAnsi="Times New Roman" w:cs="Times New Roman"/>
          <w:b/>
          <w:bCs/>
          <w:color w:val="0E101A"/>
          <w:sz w:val="24"/>
          <w:szCs w:val="24"/>
          <w:lang w:bidi="hi-IN"/>
        </w:rPr>
        <w:lastRenderedPageBreak/>
        <w:t xml:space="preserve">2.1.4. The </w:t>
      </w:r>
      <w:r w:rsidR="002E284D">
        <w:rPr>
          <w:rFonts w:ascii="Times New Roman" w:eastAsia="Times New Roman" w:hAnsi="Times New Roman" w:cs="Times New Roman"/>
          <w:b/>
          <w:bCs/>
          <w:color w:val="0E101A"/>
          <w:sz w:val="24"/>
          <w:szCs w:val="24"/>
          <w:lang w:bidi="hi-IN"/>
        </w:rPr>
        <w:t>l</w:t>
      </w:r>
      <w:r w:rsidR="000C46C4" w:rsidRPr="000C46C4">
        <w:rPr>
          <w:rFonts w:ascii="Times New Roman" w:eastAsia="Times New Roman" w:hAnsi="Times New Roman" w:cs="Times New Roman"/>
          <w:b/>
          <w:bCs/>
          <w:color w:val="0E101A"/>
          <w:sz w:val="24"/>
          <w:szCs w:val="24"/>
          <w:lang w:bidi="hi-IN"/>
        </w:rPr>
        <w:t>iver</w:t>
      </w:r>
    </w:p>
    <w:p w14:paraId="6D30924F" w14:textId="77777777" w:rsidR="006D6E9F" w:rsidRDefault="000C46C4"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drawing>
          <wp:anchor distT="0" distB="0" distL="0" distR="0" simplePos="0" relativeHeight="251662336" behindDoc="1" locked="0" layoutInCell="1" allowOverlap="1" wp14:anchorId="49E2A42D" wp14:editId="16C125E5">
            <wp:simplePos x="0" y="0"/>
            <wp:positionH relativeFrom="margin">
              <wp:posOffset>-330200</wp:posOffset>
            </wp:positionH>
            <wp:positionV relativeFrom="paragraph">
              <wp:posOffset>3747135</wp:posOffset>
            </wp:positionV>
            <wp:extent cx="6149340" cy="2959100"/>
            <wp:effectExtent l="0" t="0" r="3810" b="0"/>
            <wp:wrapThrough wrapText="bothSides">
              <wp:wrapPolygon edited="0">
                <wp:start x="0" y="0"/>
                <wp:lineTo x="0" y="21415"/>
                <wp:lineTo x="21546" y="21415"/>
                <wp:lineTo x="21546" y="0"/>
                <wp:lineTo x="0" y="0"/>
              </wp:wrapPolygon>
            </wp:wrapThrough>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149340" cy="2959100"/>
                    </a:xfrm>
                    <a:prstGeom prst="rect">
                      <a:avLst/>
                    </a:prstGeom>
                  </pic:spPr>
                </pic:pic>
              </a:graphicData>
            </a:graphic>
            <wp14:sizeRelV relativeFrom="margin">
              <wp14:pctHeight>0</wp14:pctHeight>
            </wp14:sizeRelV>
          </wp:anchor>
        </w:drawing>
      </w:r>
      <w:r w:rsidRPr="000C46C4">
        <w:rPr>
          <w:rFonts w:ascii="Times New Roman" w:eastAsia="Times New Roman" w:hAnsi="Times New Roman" w:cs="Times New Roman"/>
          <w:color w:val="0E101A"/>
          <w:sz w:val="24"/>
          <w:szCs w:val="24"/>
          <w:lang w:bidi="hi-IN"/>
        </w:rPr>
        <w:t xml:space="preserve">The liver is an organ that carries out essential functions such as nutrient synthesis and distribution, storage of amino acids, lipids, and carbohydrates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30</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These functions are conducted primarily by hepatocytes. At birth, every hepatocyte contains a single nucleus with a 2n DNA content, making them diploid. As development progresses after birth, hepatocytes typically become polyploid due to the failure of cytokinesis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31</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Polyploid hepatocytes can take many forms: they can be tetraploid (binucleated with two 2n nuclei or mononucleated with one 4n nucleus) or </w:t>
      </w:r>
      <w:proofErr w:type="spellStart"/>
      <w:r w:rsidRPr="000C46C4">
        <w:rPr>
          <w:rFonts w:ascii="Times New Roman" w:eastAsia="Times New Roman" w:hAnsi="Times New Roman" w:cs="Times New Roman"/>
          <w:color w:val="0E101A"/>
          <w:sz w:val="24"/>
          <w:szCs w:val="24"/>
          <w:lang w:bidi="hi-IN"/>
        </w:rPr>
        <w:t>octaploid</w:t>
      </w:r>
      <w:proofErr w:type="spellEnd"/>
      <w:r w:rsidRPr="000C46C4">
        <w:rPr>
          <w:rFonts w:ascii="Times New Roman" w:eastAsia="Times New Roman" w:hAnsi="Times New Roman" w:cs="Times New Roman"/>
          <w:color w:val="0E101A"/>
          <w:sz w:val="24"/>
          <w:szCs w:val="24"/>
          <w:lang w:bidi="hi-IN"/>
        </w:rPr>
        <w:t xml:space="preserve"> (</w:t>
      </w:r>
      <w:proofErr w:type="spellStart"/>
      <w:r w:rsidRPr="000C46C4">
        <w:rPr>
          <w:rFonts w:ascii="Times New Roman" w:eastAsia="Times New Roman" w:hAnsi="Times New Roman" w:cs="Times New Roman"/>
          <w:color w:val="0E101A"/>
          <w:sz w:val="24"/>
          <w:szCs w:val="24"/>
          <w:lang w:bidi="hi-IN"/>
        </w:rPr>
        <w:t>binucleated</w:t>
      </w:r>
      <w:proofErr w:type="spellEnd"/>
      <w:r w:rsidRPr="000C46C4">
        <w:rPr>
          <w:rFonts w:ascii="Times New Roman" w:eastAsia="Times New Roman" w:hAnsi="Times New Roman" w:cs="Times New Roman"/>
          <w:color w:val="0E101A"/>
          <w:sz w:val="24"/>
          <w:szCs w:val="24"/>
          <w:lang w:bidi="hi-IN"/>
        </w:rPr>
        <w:t xml:space="preserve"> with two 4n nuclei or mononucleated with one 8n nucleus), and the proportion of polyploid hepatocytes rises with age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32</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 mechanisms that can lead to polyploidization in hepatocytes are: cell fusion and alternative cell cycling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33</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Zhang et al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34</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conducted a review article on the origins and functions of hepatic polyploidy and hypothesized that polyploidy in the liver is regulated during development and in response to cellular stress or disease. It is hypothesized that polyploidy enhances the metabolic capacity of hepatocytes to support rapid growth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35</w:t>
      </w:r>
      <w:r w:rsidRPr="0077095C">
        <w:rPr>
          <w:rFonts w:ascii="Times New Roman" w:eastAsia="Times New Roman" w:hAnsi="Times New Roman" w:cs="Times New Roman"/>
          <w:b/>
          <w:bCs/>
          <w:color w:val="0E101A"/>
          <w:sz w:val="24"/>
          <w:szCs w:val="24"/>
          <w:lang w:bidi="hi-IN"/>
        </w:rPr>
        <w:t>].</w:t>
      </w:r>
    </w:p>
    <w:p w14:paraId="7B69E22C" w14:textId="77777777" w:rsidR="000C46C4" w:rsidRPr="000C46C4" w:rsidRDefault="000C46C4" w:rsidP="000C46C4">
      <w:pPr>
        <w:tabs>
          <w:tab w:val="left" w:pos="1134"/>
        </w:tabs>
        <w:spacing w:after="0" w:line="360" w:lineRule="auto"/>
        <w:jc w:val="both"/>
        <w:rPr>
          <w:rFonts w:ascii="Times New Roman" w:eastAsia="Times New Roman" w:hAnsi="Times New Roman" w:cs="Times New Roman"/>
          <w:color w:val="0E101A"/>
          <w:sz w:val="18"/>
          <w:szCs w:val="18"/>
          <w:lang w:bidi="hi-IN"/>
        </w:rPr>
      </w:pPr>
    </w:p>
    <w:p w14:paraId="2816AD65" w14:textId="77777777" w:rsidR="000C46C4" w:rsidRDefault="000C46C4" w:rsidP="0077095C">
      <w:pPr>
        <w:pStyle w:val="BodyText"/>
        <w:spacing w:before="47"/>
        <w:jc w:val="both"/>
        <w:rPr>
          <w:b/>
          <w:bCs/>
          <w:spacing w:val="-4"/>
          <w:sz w:val="24"/>
          <w:szCs w:val="24"/>
        </w:rPr>
      </w:pPr>
      <w:r w:rsidRPr="0077095C">
        <w:rPr>
          <w:b/>
          <w:bCs/>
          <w:spacing w:val="-4"/>
          <w:sz w:val="24"/>
          <w:szCs w:val="24"/>
        </w:rPr>
        <w:t>Fig.3. Polyploid</w:t>
      </w:r>
      <w:r w:rsidRPr="0077095C">
        <w:rPr>
          <w:b/>
          <w:bCs/>
          <w:spacing w:val="-22"/>
          <w:sz w:val="24"/>
          <w:szCs w:val="24"/>
        </w:rPr>
        <w:t xml:space="preserve"> </w:t>
      </w:r>
      <w:r w:rsidRPr="0077095C">
        <w:rPr>
          <w:b/>
          <w:bCs/>
          <w:spacing w:val="-4"/>
          <w:sz w:val="24"/>
          <w:szCs w:val="24"/>
        </w:rPr>
        <w:t>hepatocytes</w:t>
      </w:r>
      <w:r w:rsidRPr="0077095C">
        <w:rPr>
          <w:b/>
          <w:bCs/>
          <w:spacing w:val="-24"/>
          <w:sz w:val="24"/>
          <w:szCs w:val="24"/>
        </w:rPr>
        <w:t xml:space="preserve"> </w:t>
      </w:r>
      <w:r w:rsidRPr="0077095C">
        <w:rPr>
          <w:b/>
          <w:bCs/>
          <w:spacing w:val="-4"/>
          <w:sz w:val="24"/>
          <w:szCs w:val="24"/>
        </w:rPr>
        <w:t>safeguard</w:t>
      </w:r>
      <w:r w:rsidRPr="0077095C">
        <w:rPr>
          <w:b/>
          <w:bCs/>
          <w:spacing w:val="-22"/>
          <w:sz w:val="24"/>
          <w:szCs w:val="24"/>
        </w:rPr>
        <w:t xml:space="preserve"> </w:t>
      </w:r>
      <w:r w:rsidRPr="0077095C">
        <w:rPr>
          <w:b/>
          <w:bCs/>
          <w:spacing w:val="-4"/>
          <w:sz w:val="24"/>
          <w:szCs w:val="24"/>
        </w:rPr>
        <w:t>the</w:t>
      </w:r>
      <w:r w:rsidRPr="0077095C">
        <w:rPr>
          <w:b/>
          <w:bCs/>
          <w:spacing w:val="-23"/>
          <w:sz w:val="24"/>
          <w:szCs w:val="24"/>
        </w:rPr>
        <w:t xml:space="preserve"> </w:t>
      </w:r>
      <w:r w:rsidRPr="0077095C">
        <w:rPr>
          <w:b/>
          <w:bCs/>
          <w:spacing w:val="-4"/>
          <w:sz w:val="24"/>
          <w:szCs w:val="24"/>
        </w:rPr>
        <w:t>liver</w:t>
      </w:r>
      <w:r w:rsidRPr="0077095C">
        <w:rPr>
          <w:b/>
          <w:bCs/>
          <w:spacing w:val="-22"/>
          <w:sz w:val="24"/>
          <w:szCs w:val="24"/>
        </w:rPr>
        <w:t xml:space="preserve"> </w:t>
      </w:r>
      <w:r w:rsidRPr="0077095C">
        <w:rPr>
          <w:b/>
          <w:bCs/>
          <w:spacing w:val="-4"/>
          <w:sz w:val="24"/>
          <w:szCs w:val="24"/>
        </w:rPr>
        <w:t>against</w:t>
      </w:r>
      <w:r w:rsidRPr="0077095C">
        <w:rPr>
          <w:b/>
          <w:bCs/>
          <w:spacing w:val="-25"/>
          <w:sz w:val="24"/>
          <w:szCs w:val="24"/>
        </w:rPr>
        <w:t xml:space="preserve"> </w:t>
      </w:r>
      <w:r w:rsidRPr="0077095C">
        <w:rPr>
          <w:b/>
          <w:bCs/>
          <w:spacing w:val="-4"/>
          <w:sz w:val="24"/>
          <w:szCs w:val="24"/>
        </w:rPr>
        <w:t>tumorigenesis</w:t>
      </w:r>
      <w:r w:rsidRPr="0077095C">
        <w:rPr>
          <w:b/>
          <w:bCs/>
          <w:spacing w:val="-23"/>
          <w:sz w:val="24"/>
          <w:szCs w:val="24"/>
        </w:rPr>
        <w:t xml:space="preserve"> </w:t>
      </w:r>
      <w:r w:rsidRPr="0077095C">
        <w:rPr>
          <w:b/>
          <w:bCs/>
          <w:spacing w:val="-4"/>
          <w:sz w:val="24"/>
          <w:szCs w:val="24"/>
        </w:rPr>
        <w:t>induced</w:t>
      </w:r>
      <w:r w:rsidRPr="0077095C">
        <w:rPr>
          <w:b/>
          <w:bCs/>
          <w:spacing w:val="-22"/>
          <w:sz w:val="24"/>
          <w:szCs w:val="24"/>
        </w:rPr>
        <w:t xml:space="preserve"> </w:t>
      </w:r>
      <w:r w:rsidRPr="0077095C">
        <w:rPr>
          <w:b/>
          <w:bCs/>
          <w:spacing w:val="-4"/>
          <w:sz w:val="24"/>
          <w:szCs w:val="24"/>
        </w:rPr>
        <w:t>by</w:t>
      </w:r>
      <w:r w:rsidRPr="0077095C">
        <w:rPr>
          <w:b/>
          <w:bCs/>
          <w:spacing w:val="-21"/>
          <w:sz w:val="24"/>
          <w:szCs w:val="24"/>
        </w:rPr>
        <w:t xml:space="preserve"> </w:t>
      </w:r>
      <w:r w:rsidRPr="0077095C">
        <w:rPr>
          <w:b/>
          <w:bCs/>
          <w:spacing w:val="-4"/>
          <w:sz w:val="24"/>
          <w:szCs w:val="24"/>
        </w:rPr>
        <w:t>mutagens</w:t>
      </w:r>
      <w:r w:rsidRPr="0077095C">
        <w:rPr>
          <w:b/>
          <w:bCs/>
          <w:spacing w:val="-23"/>
          <w:sz w:val="24"/>
          <w:szCs w:val="24"/>
        </w:rPr>
        <w:t xml:space="preserve"> </w:t>
      </w:r>
      <w:r w:rsidRPr="0077095C">
        <w:rPr>
          <w:b/>
          <w:bCs/>
          <w:spacing w:val="-4"/>
          <w:sz w:val="24"/>
          <w:szCs w:val="24"/>
        </w:rPr>
        <w:t>[</w:t>
      </w:r>
      <w:r w:rsidR="0077095C" w:rsidRPr="0077095C">
        <w:rPr>
          <w:b/>
          <w:bCs/>
          <w:spacing w:val="-4"/>
          <w:sz w:val="24"/>
          <w:szCs w:val="24"/>
        </w:rPr>
        <w:t>34</w:t>
      </w:r>
      <w:r w:rsidRPr="0077095C">
        <w:rPr>
          <w:b/>
          <w:bCs/>
          <w:spacing w:val="-4"/>
          <w:sz w:val="24"/>
          <w:szCs w:val="24"/>
        </w:rPr>
        <w:t>].</w:t>
      </w:r>
    </w:p>
    <w:p w14:paraId="0906B577" w14:textId="77777777" w:rsidR="0077095C" w:rsidRDefault="0077095C" w:rsidP="0077095C">
      <w:pPr>
        <w:pStyle w:val="BodyText"/>
        <w:spacing w:before="47"/>
        <w:jc w:val="both"/>
        <w:rPr>
          <w:b/>
          <w:bCs/>
          <w:spacing w:val="-4"/>
          <w:sz w:val="24"/>
          <w:szCs w:val="24"/>
        </w:rPr>
      </w:pPr>
    </w:p>
    <w:p w14:paraId="616C4B6E" w14:textId="754DC1BE" w:rsidR="0077095C" w:rsidRDefault="0077095C" w:rsidP="0077095C">
      <w:pPr>
        <w:pStyle w:val="BodyText"/>
        <w:spacing w:before="47"/>
        <w:jc w:val="both"/>
        <w:rPr>
          <w:b/>
          <w:bCs/>
          <w:spacing w:val="-4"/>
          <w:sz w:val="24"/>
          <w:szCs w:val="24"/>
        </w:rPr>
      </w:pPr>
    </w:p>
    <w:p w14:paraId="430E819F" w14:textId="1E8F844F" w:rsidR="00022606" w:rsidRDefault="00022606" w:rsidP="0077095C">
      <w:pPr>
        <w:pStyle w:val="BodyText"/>
        <w:spacing w:before="47"/>
        <w:jc w:val="both"/>
        <w:rPr>
          <w:b/>
          <w:bCs/>
          <w:spacing w:val="-4"/>
          <w:sz w:val="24"/>
          <w:szCs w:val="24"/>
        </w:rPr>
      </w:pPr>
    </w:p>
    <w:p w14:paraId="02D3927C" w14:textId="77777777" w:rsidR="00022606" w:rsidRPr="0077095C" w:rsidRDefault="00022606" w:rsidP="0077095C">
      <w:pPr>
        <w:pStyle w:val="BodyText"/>
        <w:spacing w:before="47"/>
        <w:jc w:val="both"/>
        <w:rPr>
          <w:b/>
          <w:bCs/>
          <w:spacing w:val="-4"/>
          <w:sz w:val="24"/>
          <w:szCs w:val="24"/>
        </w:rPr>
      </w:pPr>
    </w:p>
    <w:p w14:paraId="12969374" w14:textId="46F9DE3E" w:rsidR="00B24ECA" w:rsidRPr="00B24ECA" w:rsidRDefault="002E284D" w:rsidP="00B24ECA">
      <w:pPr>
        <w:pStyle w:val="BodyText"/>
        <w:spacing w:before="47"/>
        <w:jc w:val="both"/>
        <w:rPr>
          <w:b/>
          <w:bCs/>
          <w:sz w:val="24"/>
          <w:szCs w:val="24"/>
        </w:rPr>
      </w:pPr>
      <w:r>
        <w:rPr>
          <w:b/>
          <w:bCs/>
          <w:sz w:val="24"/>
          <w:szCs w:val="24"/>
        </w:rPr>
        <w:lastRenderedPageBreak/>
        <w:t xml:space="preserve">2.1.5. The </w:t>
      </w:r>
      <w:r w:rsidR="00B24ECA" w:rsidRPr="00B24ECA">
        <w:rPr>
          <w:b/>
          <w:bCs/>
          <w:sz w:val="24"/>
          <w:szCs w:val="24"/>
        </w:rPr>
        <w:t>lung</w:t>
      </w:r>
    </w:p>
    <w:p w14:paraId="35A39079" w14:textId="1C4B1984" w:rsidR="00B24ECA" w:rsidRPr="00B24ECA" w:rsidRDefault="00B24ECA" w:rsidP="004D3459">
      <w:pPr>
        <w:pStyle w:val="BodyText"/>
        <w:spacing w:before="47" w:line="360" w:lineRule="auto"/>
        <w:jc w:val="both"/>
        <w:rPr>
          <w:sz w:val="24"/>
          <w:szCs w:val="24"/>
        </w:rPr>
      </w:pPr>
      <w:r w:rsidRPr="00B24ECA">
        <w:rPr>
          <w:sz w:val="24"/>
          <w:szCs w:val="24"/>
        </w:rPr>
        <w:t>Guild et al</w:t>
      </w:r>
      <w:r w:rsidR="00C56EC5">
        <w:rPr>
          <w:sz w:val="24"/>
          <w:szCs w:val="24"/>
        </w:rPr>
        <w:t>.</w:t>
      </w:r>
      <w:r w:rsidRPr="00B24ECA">
        <w:rPr>
          <w:sz w:val="24"/>
          <w:szCs w:val="24"/>
        </w:rPr>
        <w:t xml:space="preserve"> conducted an experimental study on evidence for lung barrier regeneration by differentiation before binucleated and stem cell division, focused on understanding the mechanisms of lung tissue repair after injury, specifically in the alveolar epithelial layer, the study explores how cells regenerate, particularly the role of stem cells</w:t>
      </w:r>
      <w:r w:rsidR="009D5155">
        <w:rPr>
          <w:sz w:val="24"/>
          <w:szCs w:val="24"/>
        </w:rPr>
        <w:t xml:space="preserve">, </w:t>
      </w:r>
      <w:r w:rsidR="009D5155" w:rsidRPr="00D30EC2">
        <w:rPr>
          <w:sz w:val="24"/>
          <w:szCs w:val="24"/>
        </w:rPr>
        <w:t xml:space="preserve">alveolar type </w:t>
      </w:r>
      <w:r w:rsidR="00D8629A">
        <w:rPr>
          <w:sz w:val="24"/>
          <w:szCs w:val="24"/>
        </w:rPr>
        <w:t>I</w:t>
      </w:r>
      <w:r w:rsidR="009D5155">
        <w:rPr>
          <w:sz w:val="24"/>
          <w:szCs w:val="24"/>
        </w:rPr>
        <w:t xml:space="preserve"> </w:t>
      </w:r>
      <w:r w:rsidR="00D8629A">
        <w:rPr>
          <w:sz w:val="24"/>
          <w:szCs w:val="24"/>
        </w:rPr>
        <w:t>(AT1</w:t>
      </w:r>
      <w:r w:rsidRPr="00B24ECA">
        <w:rPr>
          <w:sz w:val="24"/>
          <w:szCs w:val="24"/>
        </w:rPr>
        <w:t xml:space="preserve">) and </w:t>
      </w:r>
      <w:proofErr w:type="spellStart"/>
      <w:r w:rsidRPr="00B24ECA">
        <w:rPr>
          <w:sz w:val="24"/>
          <w:szCs w:val="24"/>
        </w:rPr>
        <w:t>binucleated</w:t>
      </w:r>
      <w:proofErr w:type="spellEnd"/>
      <w:r w:rsidRPr="00B24ECA">
        <w:rPr>
          <w:sz w:val="24"/>
          <w:szCs w:val="24"/>
        </w:rPr>
        <w:t xml:space="preserve"> cells in tissue repair</w:t>
      </w:r>
      <w:r w:rsidR="004D3459">
        <w:rPr>
          <w:sz w:val="24"/>
          <w:szCs w:val="24"/>
        </w:rPr>
        <w:t xml:space="preserve"> </w:t>
      </w:r>
      <w:r w:rsidR="004D3459" w:rsidRPr="0077095C">
        <w:rPr>
          <w:b/>
          <w:bCs/>
          <w:sz w:val="24"/>
          <w:szCs w:val="24"/>
        </w:rPr>
        <w:t>[35]</w:t>
      </w:r>
      <w:r w:rsidRPr="00B24ECA">
        <w:rPr>
          <w:sz w:val="24"/>
          <w:szCs w:val="24"/>
        </w:rPr>
        <w:t xml:space="preserve">. The lung epithelium consists of a thin cellular layer that plays a dual role in gas exchange and preventing fluid leakage from capillaries into alveoli </w:t>
      </w:r>
      <w:r w:rsidRPr="0077095C">
        <w:rPr>
          <w:b/>
          <w:bCs/>
          <w:sz w:val="24"/>
          <w:szCs w:val="24"/>
        </w:rPr>
        <w:t>[</w:t>
      </w:r>
      <w:r w:rsidR="0077095C" w:rsidRPr="0077095C">
        <w:rPr>
          <w:b/>
          <w:bCs/>
          <w:sz w:val="24"/>
          <w:szCs w:val="24"/>
        </w:rPr>
        <w:t>36</w:t>
      </w:r>
      <w:r w:rsidRPr="0077095C">
        <w:rPr>
          <w:b/>
          <w:bCs/>
          <w:sz w:val="24"/>
          <w:szCs w:val="24"/>
        </w:rPr>
        <w:t>].</w:t>
      </w:r>
      <w:r>
        <w:rPr>
          <w:sz w:val="24"/>
          <w:szCs w:val="24"/>
        </w:rPr>
        <w:t xml:space="preserve"> </w:t>
      </w:r>
      <w:r w:rsidRPr="00B24ECA">
        <w:rPr>
          <w:sz w:val="24"/>
          <w:szCs w:val="24"/>
        </w:rPr>
        <w:t>Given these limitations, the alveolar epithelium has developed into a fragile, simple monolayer made up of cuboidal, surfac</w:t>
      </w:r>
      <w:r w:rsidR="0070732D">
        <w:rPr>
          <w:sz w:val="24"/>
          <w:szCs w:val="24"/>
        </w:rPr>
        <w:t>tant-producing</w:t>
      </w:r>
      <w:r w:rsidR="00D8629A">
        <w:rPr>
          <w:sz w:val="24"/>
          <w:szCs w:val="24"/>
        </w:rPr>
        <w:t xml:space="preserve"> alveolar type II</w:t>
      </w:r>
      <w:r w:rsidR="0070732D">
        <w:rPr>
          <w:sz w:val="24"/>
          <w:szCs w:val="24"/>
        </w:rPr>
        <w:t xml:space="preserve"> </w:t>
      </w:r>
      <w:r w:rsidRPr="00B24ECA">
        <w:rPr>
          <w:sz w:val="24"/>
          <w:szCs w:val="24"/>
        </w:rPr>
        <w:t>(AT2) cells and</w:t>
      </w:r>
      <w:r w:rsidR="0070732D">
        <w:rPr>
          <w:sz w:val="24"/>
          <w:szCs w:val="24"/>
        </w:rPr>
        <w:t xml:space="preserve"> extremely thin </w:t>
      </w:r>
      <w:r w:rsidRPr="00B24ECA">
        <w:rPr>
          <w:sz w:val="24"/>
          <w:szCs w:val="24"/>
        </w:rPr>
        <w:t xml:space="preserve">(AT1) cells </w:t>
      </w:r>
      <w:r w:rsidRPr="0077095C">
        <w:rPr>
          <w:b/>
          <w:bCs/>
          <w:sz w:val="24"/>
          <w:szCs w:val="24"/>
        </w:rPr>
        <w:t>[</w:t>
      </w:r>
      <w:r w:rsidR="0077095C" w:rsidRPr="0077095C">
        <w:rPr>
          <w:b/>
          <w:bCs/>
          <w:sz w:val="24"/>
          <w:szCs w:val="24"/>
        </w:rPr>
        <w:t>37</w:t>
      </w:r>
      <w:r w:rsidRPr="0077095C">
        <w:rPr>
          <w:b/>
          <w:bCs/>
          <w:sz w:val="24"/>
          <w:szCs w:val="24"/>
        </w:rPr>
        <w:t>].</w:t>
      </w:r>
      <w:r w:rsidRPr="00B24ECA">
        <w:rPr>
          <w:sz w:val="24"/>
          <w:szCs w:val="24"/>
        </w:rPr>
        <w:t xml:space="preserve"> When this epithelium layer is damaged, it is rapidly repaired without scarring through</w:t>
      </w:r>
      <w:r w:rsidR="0070732D">
        <w:rPr>
          <w:sz w:val="24"/>
          <w:szCs w:val="24"/>
        </w:rPr>
        <w:t xml:space="preserve"> the action of </w:t>
      </w:r>
      <w:r w:rsidRPr="00B24ECA">
        <w:rPr>
          <w:sz w:val="24"/>
          <w:szCs w:val="24"/>
        </w:rPr>
        <w:t>(AT2) stem cells, which dif</w:t>
      </w:r>
      <w:r w:rsidR="0070732D">
        <w:rPr>
          <w:sz w:val="24"/>
          <w:szCs w:val="24"/>
        </w:rPr>
        <w:t xml:space="preserve">ferentiate into </w:t>
      </w:r>
      <w:r w:rsidRPr="00B24ECA">
        <w:rPr>
          <w:sz w:val="24"/>
          <w:szCs w:val="24"/>
        </w:rPr>
        <w:t xml:space="preserve">(AT1) cells to restore functionality </w:t>
      </w:r>
      <w:r w:rsidRPr="0077095C">
        <w:rPr>
          <w:b/>
          <w:bCs/>
          <w:sz w:val="24"/>
          <w:szCs w:val="24"/>
        </w:rPr>
        <w:t>[</w:t>
      </w:r>
      <w:r w:rsidR="0077095C" w:rsidRPr="0077095C">
        <w:rPr>
          <w:b/>
          <w:bCs/>
          <w:sz w:val="24"/>
          <w:szCs w:val="24"/>
        </w:rPr>
        <w:t>38</w:t>
      </w:r>
      <w:r w:rsidRPr="0077095C">
        <w:rPr>
          <w:b/>
          <w:bCs/>
          <w:sz w:val="24"/>
          <w:szCs w:val="24"/>
        </w:rPr>
        <w:t>].</w:t>
      </w:r>
      <w:r w:rsidRPr="00B24ECA">
        <w:rPr>
          <w:sz w:val="24"/>
          <w:szCs w:val="24"/>
        </w:rPr>
        <w:t xml:space="preserve"> Binucleated AT2 cells play a critical role in the repair process. When AT2 cells are depleted due to their transformation into AT1 cells, binucleated cells undergo a unique division process. First, they undergo ploidy reduction (reduction in DNA content), followed by further stages of cell division to replenish the depleted AT2 cells. This process is regulated by epidermal growth factor receptors (EGFR) and the surrounding cellular microenvironment, ensuring rapid and efficient repair to maintain alveolar function </w:t>
      </w:r>
      <w:r w:rsidRPr="0077095C">
        <w:rPr>
          <w:b/>
          <w:bCs/>
          <w:sz w:val="24"/>
          <w:szCs w:val="24"/>
        </w:rPr>
        <w:t>[</w:t>
      </w:r>
      <w:r w:rsidR="0077095C" w:rsidRPr="0077095C">
        <w:rPr>
          <w:b/>
          <w:bCs/>
          <w:sz w:val="24"/>
          <w:szCs w:val="24"/>
        </w:rPr>
        <w:t>38</w:t>
      </w:r>
      <w:r w:rsidRPr="0077095C">
        <w:rPr>
          <w:b/>
          <w:bCs/>
          <w:sz w:val="24"/>
          <w:szCs w:val="24"/>
        </w:rPr>
        <w:t>].</w:t>
      </w:r>
    </w:p>
    <w:p w14:paraId="5EEA48CC" w14:textId="16795D45" w:rsidR="00B24ECA" w:rsidRPr="00B24ECA" w:rsidRDefault="00ED0353" w:rsidP="00B24ECA">
      <w:pPr>
        <w:pStyle w:val="BodyText"/>
        <w:spacing w:before="47" w:line="360" w:lineRule="auto"/>
        <w:jc w:val="both"/>
        <w:rPr>
          <w:b/>
          <w:bCs/>
          <w:sz w:val="24"/>
          <w:szCs w:val="24"/>
        </w:rPr>
      </w:pPr>
      <w:r>
        <w:rPr>
          <w:b/>
          <w:bCs/>
          <w:sz w:val="24"/>
          <w:szCs w:val="24"/>
        </w:rPr>
        <w:t xml:space="preserve">2.1.6. The </w:t>
      </w:r>
      <w:r w:rsidR="00B24ECA" w:rsidRPr="00B24ECA">
        <w:rPr>
          <w:b/>
          <w:bCs/>
          <w:sz w:val="24"/>
          <w:szCs w:val="24"/>
        </w:rPr>
        <w:t xml:space="preserve">renal and </w:t>
      </w:r>
      <w:proofErr w:type="spellStart"/>
      <w:r w:rsidR="00B24ECA" w:rsidRPr="00B24ECA">
        <w:rPr>
          <w:b/>
          <w:bCs/>
          <w:sz w:val="24"/>
          <w:szCs w:val="24"/>
        </w:rPr>
        <w:t>urothelium</w:t>
      </w:r>
      <w:proofErr w:type="spellEnd"/>
    </w:p>
    <w:p w14:paraId="5CF7A7F4" w14:textId="77777777" w:rsidR="000C46C4" w:rsidRDefault="00B24ECA" w:rsidP="0077095C">
      <w:pPr>
        <w:pStyle w:val="BodyText"/>
        <w:spacing w:before="47" w:line="360" w:lineRule="auto"/>
        <w:jc w:val="both"/>
        <w:rPr>
          <w:sz w:val="24"/>
          <w:szCs w:val="24"/>
        </w:rPr>
      </w:pPr>
      <w:proofErr w:type="spellStart"/>
      <w:r w:rsidRPr="00B24ECA">
        <w:rPr>
          <w:sz w:val="24"/>
          <w:szCs w:val="24"/>
        </w:rPr>
        <w:t>Mühldorfer</w:t>
      </w:r>
      <w:proofErr w:type="spellEnd"/>
      <w:r w:rsidRPr="00B24ECA">
        <w:rPr>
          <w:sz w:val="24"/>
          <w:szCs w:val="24"/>
        </w:rPr>
        <w:t xml:space="preserve"> et al. </w:t>
      </w:r>
      <w:r w:rsidRPr="0077095C">
        <w:rPr>
          <w:b/>
          <w:bCs/>
          <w:sz w:val="24"/>
          <w:szCs w:val="24"/>
        </w:rPr>
        <w:t>[</w:t>
      </w:r>
      <w:r w:rsidR="0077095C" w:rsidRPr="0077095C">
        <w:rPr>
          <w:b/>
          <w:bCs/>
          <w:sz w:val="24"/>
          <w:szCs w:val="24"/>
        </w:rPr>
        <w:t>39</w:t>
      </w:r>
      <w:r w:rsidRPr="0077095C">
        <w:rPr>
          <w:b/>
          <w:bCs/>
          <w:sz w:val="24"/>
          <w:szCs w:val="24"/>
        </w:rPr>
        <w:t>]</w:t>
      </w:r>
      <w:r w:rsidRPr="00B24ECA">
        <w:rPr>
          <w:sz w:val="24"/>
          <w:szCs w:val="24"/>
        </w:rPr>
        <w:t xml:space="preserve"> studied binucleation in podocytes, highlighting its association with foot process widening in renal diseases such as minimal change disease (MCD), IgA nephropathy (IgA-GN), lupus nephritis (LN), and diabetic nephropathy (DN). Podocytes are critical components of the glomerular filtration barrier </w:t>
      </w:r>
      <w:r w:rsidRPr="0077095C">
        <w:rPr>
          <w:b/>
          <w:bCs/>
          <w:sz w:val="24"/>
          <w:szCs w:val="24"/>
        </w:rPr>
        <w:t>[</w:t>
      </w:r>
      <w:r w:rsidR="0077095C" w:rsidRPr="0077095C">
        <w:rPr>
          <w:b/>
          <w:bCs/>
          <w:sz w:val="24"/>
          <w:szCs w:val="24"/>
        </w:rPr>
        <w:t>40</w:t>
      </w:r>
      <w:r w:rsidRPr="0077095C">
        <w:rPr>
          <w:b/>
          <w:bCs/>
          <w:sz w:val="24"/>
          <w:szCs w:val="24"/>
        </w:rPr>
        <w:t xml:space="preserve">], </w:t>
      </w:r>
      <w:r w:rsidRPr="00B24ECA">
        <w:rPr>
          <w:sz w:val="24"/>
          <w:szCs w:val="24"/>
        </w:rPr>
        <w:t>and they are terminally differentiated cells that typically do not proliferate. However, under conditions</w:t>
      </w:r>
      <w:r w:rsidR="0077095C">
        <w:rPr>
          <w:sz w:val="24"/>
          <w:szCs w:val="24"/>
        </w:rPr>
        <w:t xml:space="preserve"> of renal injury or stress </w:t>
      </w:r>
      <w:r w:rsidR="0077095C" w:rsidRPr="0077095C">
        <w:rPr>
          <w:b/>
          <w:bCs/>
          <w:sz w:val="24"/>
          <w:szCs w:val="24"/>
        </w:rPr>
        <w:t>[</w:t>
      </w:r>
      <w:r w:rsidRPr="0077095C">
        <w:rPr>
          <w:b/>
          <w:bCs/>
          <w:sz w:val="24"/>
          <w:szCs w:val="24"/>
        </w:rPr>
        <w:t>4</w:t>
      </w:r>
      <w:r w:rsidR="0077095C" w:rsidRPr="0077095C">
        <w:rPr>
          <w:b/>
          <w:bCs/>
          <w:sz w:val="24"/>
          <w:szCs w:val="24"/>
        </w:rPr>
        <w:t>1</w:t>
      </w:r>
      <w:r w:rsidRPr="0077095C">
        <w:rPr>
          <w:b/>
          <w:bCs/>
          <w:sz w:val="24"/>
          <w:szCs w:val="24"/>
        </w:rPr>
        <w:t>],</w:t>
      </w:r>
      <w:r w:rsidRPr="00B24ECA">
        <w:rPr>
          <w:sz w:val="24"/>
          <w:szCs w:val="24"/>
        </w:rPr>
        <w:t xml:space="preserve"> podocytes may re-enter the cell cycle but fail to complete division </w:t>
      </w:r>
      <w:r w:rsidRPr="0077095C">
        <w:rPr>
          <w:b/>
          <w:bCs/>
          <w:sz w:val="24"/>
          <w:szCs w:val="24"/>
        </w:rPr>
        <w:t>[</w:t>
      </w:r>
      <w:r w:rsidR="0077095C" w:rsidRPr="0077095C">
        <w:rPr>
          <w:b/>
          <w:bCs/>
          <w:sz w:val="24"/>
          <w:szCs w:val="24"/>
        </w:rPr>
        <w:t>42</w:t>
      </w:r>
      <w:r w:rsidRPr="0077095C">
        <w:rPr>
          <w:b/>
          <w:bCs/>
          <w:sz w:val="24"/>
          <w:szCs w:val="24"/>
        </w:rPr>
        <w:t>],</w:t>
      </w:r>
      <w:r w:rsidRPr="00B24ECA">
        <w:rPr>
          <w:sz w:val="24"/>
          <w:szCs w:val="24"/>
        </w:rPr>
        <w:t xml:space="preserve"> leading to the formation of binucleated or multinucleated cells </w:t>
      </w:r>
      <w:r w:rsidRPr="0077095C">
        <w:rPr>
          <w:b/>
          <w:bCs/>
          <w:sz w:val="24"/>
          <w:szCs w:val="24"/>
        </w:rPr>
        <w:t>[</w:t>
      </w:r>
      <w:r w:rsidR="0077095C" w:rsidRPr="0077095C">
        <w:rPr>
          <w:b/>
          <w:bCs/>
          <w:sz w:val="24"/>
          <w:szCs w:val="24"/>
        </w:rPr>
        <w:t>43</w:t>
      </w:r>
      <w:r w:rsidRPr="0077095C">
        <w:rPr>
          <w:b/>
          <w:bCs/>
          <w:sz w:val="24"/>
          <w:szCs w:val="24"/>
        </w:rPr>
        <w:t>].</w:t>
      </w:r>
      <w:r w:rsidRPr="00B24ECA">
        <w:rPr>
          <w:sz w:val="24"/>
          <w:szCs w:val="24"/>
        </w:rPr>
        <w:t xml:space="preserve"> The study found binucleated podocytes prevalent in renal biopsies, particularly in IgA nephropathy. Their presence in IgA-GN patients showed a weak correlation with glomerular structural damage and serum creatinine levels. However, no significant association was observed between binucleated podocytes and kidney function in other renal diseases. Challenges in accurately classifying podocyte nuclei were noted due to morphological variations. The findings suggest that binucleated podocytes could serve as markers of renal damage, necessitating </w:t>
      </w:r>
      <w:r w:rsidR="0077095C">
        <w:rPr>
          <w:noProof/>
          <w:sz w:val="16"/>
        </w:rPr>
        <w:lastRenderedPageBreak/>
        <w:drawing>
          <wp:anchor distT="0" distB="0" distL="0" distR="0" simplePos="0" relativeHeight="251664384" behindDoc="1" locked="0" layoutInCell="1" allowOverlap="1" wp14:anchorId="0AD789FA" wp14:editId="09D4EFC0">
            <wp:simplePos x="0" y="0"/>
            <wp:positionH relativeFrom="page">
              <wp:posOffset>1117600</wp:posOffset>
            </wp:positionH>
            <wp:positionV relativeFrom="paragraph">
              <wp:posOffset>311785</wp:posOffset>
            </wp:positionV>
            <wp:extent cx="5937250" cy="2957195"/>
            <wp:effectExtent l="0" t="0" r="635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5937250" cy="2957195"/>
                    </a:xfrm>
                    <a:prstGeom prst="rect">
                      <a:avLst/>
                    </a:prstGeom>
                  </pic:spPr>
                </pic:pic>
              </a:graphicData>
            </a:graphic>
          </wp:anchor>
        </w:drawing>
      </w:r>
      <w:r w:rsidRPr="00B24ECA">
        <w:rPr>
          <w:sz w:val="24"/>
          <w:szCs w:val="24"/>
        </w:rPr>
        <w:t>further research to determine their role in disease progression.</w:t>
      </w:r>
    </w:p>
    <w:p w14:paraId="23F3206C" w14:textId="77777777" w:rsidR="0077095C" w:rsidRPr="0077095C" w:rsidRDefault="0077095C" w:rsidP="0077095C">
      <w:pPr>
        <w:pStyle w:val="BodyText"/>
        <w:spacing w:before="47" w:line="360" w:lineRule="auto"/>
        <w:jc w:val="both"/>
        <w:rPr>
          <w:sz w:val="6"/>
          <w:szCs w:val="6"/>
        </w:rPr>
      </w:pPr>
    </w:p>
    <w:p w14:paraId="412F8E79" w14:textId="0A6BB982" w:rsidR="006D6E9F" w:rsidRPr="0077095C" w:rsidRDefault="005E2C4C"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t>Fig.4. Potential bi-nucleated and lobulated podocytes in renal disease. Representative examples from podocytes with potential bi-nucleated (A–D; arrowhead, PB) and lobulated podocytes (E–H; red arrowhead, L) were shown. Scale bar represents 20 µm in semi-thin sections (A, B, E, and F) and 4 µm in electr</w:t>
      </w:r>
      <w:r w:rsidR="00D251A2">
        <w:rPr>
          <w:rFonts w:ascii="Times New Roman" w:eastAsia="Times New Roman" w:hAnsi="Times New Roman" w:cs="Times New Roman"/>
          <w:b/>
          <w:bCs/>
          <w:color w:val="0E101A"/>
          <w:sz w:val="24"/>
          <w:szCs w:val="24"/>
          <w:lang w:bidi="hi-IN"/>
        </w:rPr>
        <w:t xml:space="preserve">on microscopic pictures (C, D, </w:t>
      </w:r>
      <w:r w:rsidRPr="0077095C">
        <w:rPr>
          <w:rFonts w:ascii="Times New Roman" w:eastAsia="Times New Roman" w:hAnsi="Times New Roman" w:cs="Times New Roman"/>
          <w:b/>
          <w:bCs/>
          <w:color w:val="0E101A"/>
          <w:sz w:val="24"/>
          <w:szCs w:val="24"/>
          <w:lang w:bidi="hi-IN"/>
        </w:rPr>
        <w:t>G</w:t>
      </w:r>
      <w:r w:rsidR="008E48B2">
        <w:rPr>
          <w:rFonts w:ascii="Times New Roman" w:eastAsia="Times New Roman" w:hAnsi="Times New Roman" w:cs="Times New Roman"/>
          <w:b/>
          <w:bCs/>
          <w:color w:val="0E101A"/>
          <w:sz w:val="24"/>
          <w:szCs w:val="24"/>
          <w:lang w:bidi="hi-IN"/>
        </w:rPr>
        <w:t>,</w:t>
      </w:r>
      <w:r w:rsidRPr="0077095C">
        <w:rPr>
          <w:rFonts w:ascii="Times New Roman" w:eastAsia="Times New Roman" w:hAnsi="Times New Roman" w:cs="Times New Roman"/>
          <w:b/>
          <w:bCs/>
          <w:color w:val="0E101A"/>
          <w:sz w:val="24"/>
          <w:szCs w:val="24"/>
          <w:lang w:bidi="hi-IN"/>
        </w:rPr>
        <w:t xml:space="preserve"> and H). A color version of the figure is available in the online supplemental material [</w:t>
      </w:r>
      <w:r w:rsidR="0077095C" w:rsidRPr="0077095C">
        <w:rPr>
          <w:rFonts w:ascii="Times New Roman" w:eastAsia="Times New Roman" w:hAnsi="Times New Roman" w:cs="Times New Roman"/>
          <w:b/>
          <w:bCs/>
          <w:color w:val="0E101A"/>
          <w:sz w:val="24"/>
          <w:szCs w:val="24"/>
          <w:lang w:bidi="hi-IN"/>
        </w:rPr>
        <w:t>39</w:t>
      </w:r>
      <w:r w:rsidRPr="0077095C">
        <w:rPr>
          <w:rFonts w:ascii="Times New Roman" w:eastAsia="Times New Roman" w:hAnsi="Times New Roman" w:cs="Times New Roman"/>
          <w:b/>
          <w:bCs/>
          <w:color w:val="0E101A"/>
          <w:sz w:val="24"/>
          <w:szCs w:val="24"/>
          <w:lang w:bidi="hi-IN"/>
        </w:rPr>
        <w:t>].</w:t>
      </w:r>
    </w:p>
    <w:p w14:paraId="58799D7C"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C9B7C9B" w14:textId="5A2D7090" w:rsidR="006D6E9F" w:rsidRDefault="0058233C" w:rsidP="0058233C">
      <w:pPr>
        <w:tabs>
          <w:tab w:val="left" w:pos="1134"/>
        </w:tabs>
        <w:spacing w:after="0" w:line="360" w:lineRule="auto"/>
        <w:jc w:val="both"/>
        <w:rPr>
          <w:rFonts w:ascii="Times New Roman" w:eastAsia="Times New Roman" w:hAnsi="Times New Roman" w:cs="Times New Roman"/>
          <w:color w:val="0E101A"/>
          <w:sz w:val="24"/>
          <w:szCs w:val="24"/>
          <w:lang w:bidi="hi-IN"/>
        </w:rPr>
      </w:pPr>
      <w:r>
        <w:rPr>
          <w:rFonts w:ascii="Times New Roman" w:eastAsia="Times New Roman" w:hAnsi="Times New Roman" w:cs="Times New Roman"/>
          <w:color w:val="0E101A"/>
          <w:sz w:val="24"/>
          <w:szCs w:val="24"/>
          <w:lang w:bidi="hi-IN"/>
        </w:rPr>
        <w:t xml:space="preserve">Wang et al. </w:t>
      </w:r>
      <w:r w:rsidR="005E2C4C" w:rsidRPr="005E2C4C">
        <w:rPr>
          <w:rFonts w:ascii="Times New Roman" w:eastAsia="Times New Roman" w:hAnsi="Times New Roman" w:cs="Times New Roman"/>
          <w:color w:val="0E101A"/>
          <w:sz w:val="24"/>
          <w:szCs w:val="24"/>
          <w:lang w:bidi="hi-IN"/>
        </w:rPr>
        <w:t xml:space="preserve">conducted </w:t>
      </w:r>
      <w:r w:rsidR="00B70E8C" w:rsidRPr="005E2C4C">
        <w:rPr>
          <w:rFonts w:ascii="Times New Roman" w:eastAsia="Times New Roman" w:hAnsi="Times New Roman" w:cs="Times New Roman"/>
          <w:color w:val="0E101A"/>
          <w:sz w:val="24"/>
          <w:szCs w:val="24"/>
          <w:lang w:bidi="hi-IN"/>
        </w:rPr>
        <w:t>an experimental technique</w:t>
      </w:r>
      <w:r w:rsidR="005E2C4C" w:rsidRPr="005E2C4C">
        <w:rPr>
          <w:rFonts w:ascii="Times New Roman" w:eastAsia="Times New Roman" w:hAnsi="Times New Roman" w:cs="Times New Roman"/>
          <w:color w:val="0E101A"/>
          <w:sz w:val="24"/>
          <w:szCs w:val="24"/>
          <w:lang w:bidi="hi-IN"/>
        </w:rPr>
        <w:t xml:space="preserve"> on polyploid superficial cells that </w:t>
      </w:r>
      <w:r>
        <w:rPr>
          <w:rFonts w:ascii="Times New Roman" w:eastAsia="Times New Roman" w:hAnsi="Times New Roman" w:cs="Times New Roman"/>
          <w:color w:val="0E101A"/>
          <w:sz w:val="24"/>
          <w:szCs w:val="24"/>
          <w:lang w:bidi="hi-IN"/>
        </w:rPr>
        <w:t xml:space="preserve">maintain the urothelial barrier </w:t>
      </w:r>
      <w:r w:rsidRPr="0077095C">
        <w:rPr>
          <w:rFonts w:ascii="Times New Roman" w:eastAsia="Times New Roman" w:hAnsi="Times New Roman" w:cs="Times New Roman"/>
          <w:b/>
          <w:bCs/>
          <w:color w:val="0E101A"/>
          <w:sz w:val="24"/>
          <w:szCs w:val="24"/>
          <w:lang w:bidi="hi-IN"/>
        </w:rPr>
        <w:t>[44</w:t>
      </w:r>
      <w:r>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005E2C4C" w:rsidRPr="005E2C4C">
        <w:rPr>
          <w:rFonts w:ascii="Times New Roman" w:eastAsia="Times New Roman" w:hAnsi="Times New Roman" w:cs="Times New Roman"/>
          <w:color w:val="0E101A"/>
          <w:sz w:val="24"/>
          <w:szCs w:val="24"/>
          <w:lang w:bidi="hi-IN"/>
        </w:rPr>
        <w:t xml:space="preserve">The </w:t>
      </w:r>
      <w:proofErr w:type="spellStart"/>
      <w:r w:rsidR="005E2C4C" w:rsidRPr="005E2C4C">
        <w:rPr>
          <w:rFonts w:ascii="Times New Roman" w:eastAsia="Times New Roman" w:hAnsi="Times New Roman" w:cs="Times New Roman"/>
          <w:color w:val="0E101A"/>
          <w:sz w:val="24"/>
          <w:szCs w:val="24"/>
          <w:lang w:bidi="hi-IN"/>
        </w:rPr>
        <w:t>urothelium</w:t>
      </w:r>
      <w:proofErr w:type="spellEnd"/>
      <w:r w:rsidR="005E2C4C" w:rsidRPr="005E2C4C">
        <w:rPr>
          <w:rFonts w:ascii="Times New Roman" w:eastAsia="Times New Roman" w:hAnsi="Times New Roman" w:cs="Times New Roman"/>
          <w:color w:val="0E101A"/>
          <w:sz w:val="24"/>
          <w:szCs w:val="24"/>
          <w:lang w:bidi="hi-IN"/>
        </w:rPr>
        <w:t xml:space="preserve"> serves as an epithelial barrier stretching from the renal pelvis to the bladder neck. It protects against pathogens and toxins while regulating the movement of water and ions between the mucosa and the underlying tissues. Polyploid cells in the urothelium are formed through incomplete cytokinesis, where cells enter mitosis but do not complete the division, resulting in binucleated cells. These cells can further increase their DNA content through endoreplication, which allows them to adapt to environmental changes </w:t>
      </w:r>
      <w:r w:rsidR="005E2C4C"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45</w:t>
      </w:r>
      <w:r w:rsidR="005E2C4C" w:rsidRPr="0077095C">
        <w:rPr>
          <w:rFonts w:ascii="Times New Roman" w:eastAsia="Times New Roman" w:hAnsi="Times New Roman" w:cs="Times New Roman"/>
          <w:b/>
          <w:bCs/>
          <w:color w:val="0E101A"/>
          <w:sz w:val="24"/>
          <w:szCs w:val="24"/>
          <w:lang w:bidi="hi-IN"/>
        </w:rPr>
        <w:t>].</w:t>
      </w:r>
      <w:r w:rsidR="005E2C4C" w:rsidRPr="005E2C4C">
        <w:rPr>
          <w:rFonts w:ascii="Times New Roman" w:eastAsia="Times New Roman" w:hAnsi="Times New Roman" w:cs="Times New Roman"/>
          <w:color w:val="0E101A"/>
          <w:sz w:val="24"/>
          <w:szCs w:val="24"/>
          <w:lang w:bidi="hi-IN"/>
        </w:rPr>
        <w:t xml:space="preserve"> These polyploid cells contribute to the integrity and function of the urothelial barrier, which is essential for protecting the underlying tissues from urine and pathogens </w:t>
      </w:r>
      <w:r w:rsidR="005E2C4C"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46</w:t>
      </w:r>
      <w:r w:rsidR="005E2C4C" w:rsidRPr="0077095C">
        <w:rPr>
          <w:rFonts w:ascii="Times New Roman" w:eastAsia="Times New Roman" w:hAnsi="Times New Roman" w:cs="Times New Roman"/>
          <w:b/>
          <w:bCs/>
          <w:color w:val="0E101A"/>
          <w:sz w:val="24"/>
          <w:szCs w:val="24"/>
          <w:lang w:bidi="hi-IN"/>
        </w:rPr>
        <w:t>].</w:t>
      </w:r>
    </w:p>
    <w:p w14:paraId="040828FE"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8195437"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EC0A7D0"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FF28446"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r>
        <w:rPr>
          <w:noProof/>
        </w:rPr>
        <w:lastRenderedPageBreak/>
        <w:drawing>
          <wp:anchor distT="0" distB="0" distL="114300" distR="114300" simplePos="0" relativeHeight="251665408" behindDoc="0" locked="0" layoutInCell="1" allowOverlap="1" wp14:anchorId="48FE4781" wp14:editId="5E0A06E3">
            <wp:simplePos x="0" y="0"/>
            <wp:positionH relativeFrom="column">
              <wp:posOffset>330200</wp:posOffset>
            </wp:positionH>
            <wp:positionV relativeFrom="paragraph">
              <wp:posOffset>4445</wp:posOffset>
            </wp:positionV>
            <wp:extent cx="4686300" cy="4089400"/>
            <wp:effectExtent l="0" t="0" r="0" b="6350"/>
            <wp:wrapThrough wrapText="bothSides">
              <wp:wrapPolygon edited="0">
                <wp:start x="0" y="0"/>
                <wp:lineTo x="0" y="21533"/>
                <wp:lineTo x="21512" y="21533"/>
                <wp:lineTo x="21512" y="0"/>
                <wp:lineTo x="0" y="0"/>
              </wp:wrapPolygon>
            </wp:wrapThrough>
            <wp:docPr id="2" name="Picture 2" descr="graphic file with name nihms-1510165-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ile with name nihms-1510165-f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408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1D43"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6F747724" w14:textId="77777777" w:rsidR="0091587E" w:rsidRDefault="0091587E" w:rsidP="00C10DD5">
      <w:pPr>
        <w:spacing w:after="0" w:line="360" w:lineRule="auto"/>
        <w:jc w:val="both"/>
        <w:rPr>
          <w:rFonts w:asciiTheme="majorBidi" w:eastAsia="Times New Roman" w:hAnsiTheme="majorBidi" w:cstheme="majorBidi"/>
          <w:b/>
          <w:bCs/>
          <w:color w:val="0E101A"/>
          <w:sz w:val="24"/>
          <w:szCs w:val="24"/>
        </w:rPr>
      </w:pPr>
    </w:p>
    <w:p w14:paraId="620B9E2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72C03F85"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451D856"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62E5415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1009A318"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CC291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520E4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9FA105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952621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88A60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F8A4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C57E941"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39C564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7B332" w14:textId="77777777" w:rsidR="00F93CB8" w:rsidRPr="00967F94" w:rsidRDefault="00F93CB8" w:rsidP="0077095C">
      <w:pPr>
        <w:tabs>
          <w:tab w:val="left" w:pos="1134"/>
        </w:tabs>
        <w:spacing w:after="0" w:line="360" w:lineRule="auto"/>
        <w:jc w:val="center"/>
        <w:rPr>
          <w:rFonts w:ascii="Times New Roman" w:eastAsia="Times New Roman" w:hAnsi="Times New Roman" w:cs="Times New Roman"/>
          <w:b/>
          <w:bCs/>
          <w:color w:val="0E101A"/>
          <w:sz w:val="24"/>
          <w:szCs w:val="24"/>
          <w:lang w:bidi="hi-IN"/>
        </w:rPr>
      </w:pPr>
      <w:r w:rsidRPr="00967F94">
        <w:rPr>
          <w:rFonts w:ascii="Times New Roman" w:eastAsia="Times New Roman" w:hAnsi="Times New Roman" w:cs="Times New Roman"/>
          <w:b/>
          <w:bCs/>
          <w:color w:val="0E101A"/>
          <w:sz w:val="24"/>
          <w:szCs w:val="24"/>
          <w:lang w:bidi="hi-IN"/>
        </w:rPr>
        <w:t>Fig.5. Homeostasis and regeneration after acute injury [</w:t>
      </w:r>
      <w:r w:rsidR="0077095C" w:rsidRPr="00967F94">
        <w:rPr>
          <w:rFonts w:ascii="Times New Roman" w:eastAsia="Times New Roman" w:hAnsi="Times New Roman" w:cs="Times New Roman"/>
          <w:b/>
          <w:bCs/>
          <w:color w:val="0E101A"/>
          <w:sz w:val="24"/>
          <w:szCs w:val="24"/>
          <w:lang w:bidi="hi-IN"/>
        </w:rPr>
        <w:t>44</w:t>
      </w:r>
      <w:r w:rsidRPr="00967F94">
        <w:rPr>
          <w:rFonts w:ascii="Times New Roman" w:eastAsia="Times New Roman" w:hAnsi="Times New Roman" w:cs="Times New Roman"/>
          <w:b/>
          <w:bCs/>
          <w:color w:val="0E101A"/>
          <w:sz w:val="24"/>
          <w:szCs w:val="24"/>
          <w:lang w:bidi="hi-IN"/>
        </w:rPr>
        <w:t>].</w:t>
      </w:r>
    </w:p>
    <w:p w14:paraId="4F925C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CE91FD2" w14:textId="47D812B8" w:rsidR="00F93CB8" w:rsidRPr="00F93CB8" w:rsidRDefault="00372667" w:rsidP="00F93CB8">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2.1.7. T</w:t>
      </w:r>
      <w:r w:rsidR="00F93CB8" w:rsidRPr="00F93CB8">
        <w:rPr>
          <w:rFonts w:asciiTheme="majorBidi" w:eastAsia="Times New Roman" w:hAnsiTheme="majorBidi" w:cstheme="majorBidi"/>
          <w:b/>
          <w:bCs/>
          <w:color w:val="0E101A"/>
          <w:sz w:val="24"/>
          <w:szCs w:val="24"/>
        </w:rPr>
        <w:t>he mammary gland</w:t>
      </w:r>
    </w:p>
    <w:p w14:paraId="33D3A71E" w14:textId="77777777" w:rsidR="009D6800" w:rsidRDefault="0090534F" w:rsidP="009D6800">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color w:val="0E101A"/>
          <w:sz w:val="24"/>
          <w:szCs w:val="24"/>
        </w:rPr>
        <w:t>E</w:t>
      </w:r>
      <w:r w:rsidR="00F93CB8" w:rsidRPr="00F93CB8">
        <w:rPr>
          <w:rFonts w:asciiTheme="majorBidi" w:eastAsia="Times New Roman" w:hAnsiTheme="majorBidi" w:cstheme="majorBidi"/>
          <w:color w:val="0E101A"/>
          <w:sz w:val="24"/>
          <w:szCs w:val="24"/>
        </w:rPr>
        <w:t>xplored the mammary epithelium, focusing on the role of binucleated alveolar epithelial cells during lactation</w:t>
      </w:r>
      <w:r>
        <w:rPr>
          <w:rFonts w:asciiTheme="majorBidi" w:eastAsia="Times New Roman" w:hAnsiTheme="majorBidi" w:cstheme="majorBidi"/>
          <w:color w:val="0E101A"/>
          <w:sz w:val="24"/>
          <w:szCs w:val="24"/>
        </w:rPr>
        <w:t xml:space="preserve"> </w:t>
      </w:r>
      <w:r w:rsidRPr="0077095C">
        <w:rPr>
          <w:rFonts w:asciiTheme="majorBidi" w:eastAsia="Times New Roman" w:hAnsiTheme="majorBidi" w:cstheme="majorBidi"/>
          <w:b/>
          <w:bCs/>
          <w:color w:val="0E101A"/>
          <w:sz w:val="24"/>
          <w:szCs w:val="24"/>
        </w:rPr>
        <w:t>[47]</w:t>
      </w:r>
      <w:r w:rsidR="00F93CB8" w:rsidRPr="00F93CB8">
        <w:rPr>
          <w:rFonts w:asciiTheme="majorBidi" w:eastAsia="Times New Roman" w:hAnsiTheme="majorBidi" w:cstheme="majorBidi"/>
          <w:color w:val="0E101A"/>
          <w:sz w:val="24"/>
          <w:szCs w:val="24"/>
        </w:rPr>
        <w:t xml:space="preserve">. The mammary gland undergoes structural changes throughout life stages such as puberty, pregnancy, lactation, and involution </w:t>
      </w:r>
      <w:r w:rsidR="00F93CB8"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48</w:t>
      </w:r>
      <w:r w:rsidR="00F93CB8" w:rsidRPr="0077095C">
        <w:rPr>
          <w:rFonts w:asciiTheme="majorBidi" w:eastAsia="Times New Roman" w:hAnsiTheme="majorBidi" w:cstheme="majorBidi"/>
          <w:b/>
          <w:bCs/>
          <w:color w:val="0E101A"/>
          <w:sz w:val="24"/>
          <w:szCs w:val="24"/>
        </w:rPr>
        <w:t>].</w:t>
      </w:r>
      <w:r w:rsidR="00F93CB8" w:rsidRPr="00F93CB8">
        <w:rPr>
          <w:rFonts w:asciiTheme="majorBidi" w:eastAsia="Times New Roman" w:hAnsiTheme="majorBidi" w:cstheme="majorBidi"/>
          <w:color w:val="0E101A"/>
          <w:sz w:val="24"/>
          <w:szCs w:val="24"/>
        </w:rPr>
        <w:t xml:space="preserve"> At birth, it features a rudimentary ductal structure composed of basal/myoepithelial cells expressing keratin 14 (K14) and luminal cells expressing keratin 8 (K8) or hormone receptors (ER+/PR+) </w:t>
      </w:r>
      <w:r w:rsidR="00F93CB8"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49</w:t>
      </w:r>
      <w:r w:rsidR="00F93CB8" w:rsidRPr="0077095C">
        <w:rPr>
          <w:rFonts w:asciiTheme="majorBidi" w:eastAsia="Times New Roman" w:hAnsiTheme="majorBidi" w:cstheme="majorBidi"/>
          <w:b/>
          <w:bCs/>
          <w:color w:val="0E101A"/>
          <w:sz w:val="24"/>
          <w:szCs w:val="24"/>
        </w:rPr>
        <w:t>].</w:t>
      </w:r>
      <w:r w:rsidR="00F93CB8" w:rsidRPr="00F93CB8">
        <w:rPr>
          <w:rFonts w:asciiTheme="majorBidi" w:eastAsia="Times New Roman" w:hAnsiTheme="majorBidi" w:cstheme="majorBidi"/>
          <w:color w:val="0E101A"/>
          <w:sz w:val="24"/>
          <w:szCs w:val="24"/>
        </w:rPr>
        <w:t xml:space="preserve"> During lactation, binucleated cells play a pivotal role by producing large amounts of milk proteins, lipids, and carbohydrates to nourish offspring </w:t>
      </w:r>
      <w:r w:rsidR="00F93CB8"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50</w:t>
      </w:r>
      <w:r w:rsidR="00F93CB8" w:rsidRPr="0077095C">
        <w:rPr>
          <w:rFonts w:asciiTheme="majorBidi" w:eastAsia="Times New Roman" w:hAnsiTheme="majorBidi" w:cstheme="majorBidi"/>
          <w:b/>
          <w:bCs/>
          <w:color w:val="0E101A"/>
          <w:sz w:val="24"/>
          <w:szCs w:val="24"/>
        </w:rPr>
        <w:t>].</w:t>
      </w:r>
      <w:r w:rsidR="00F93CB8" w:rsidRPr="00F93CB8">
        <w:rPr>
          <w:rFonts w:asciiTheme="majorBidi" w:eastAsia="Times New Roman" w:hAnsiTheme="majorBidi" w:cstheme="majorBidi"/>
          <w:color w:val="0E101A"/>
          <w:sz w:val="24"/>
          <w:szCs w:val="24"/>
        </w:rPr>
        <w:t xml:space="preserve"> These cells emerge as polyploid during lactation onset, increasing cytoplasmic volume to support organelles like ribosomes, ER, and Golgi apparatus, essential for milk synthesis </w:t>
      </w:r>
      <w:r w:rsidR="00F93CB8"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51</w:t>
      </w:r>
      <w:r w:rsidR="00F93CB8" w:rsidRPr="0077095C">
        <w:rPr>
          <w:rFonts w:asciiTheme="majorBidi" w:eastAsia="Times New Roman" w:hAnsiTheme="majorBidi" w:cstheme="majorBidi"/>
          <w:b/>
          <w:bCs/>
          <w:color w:val="0E101A"/>
          <w:sz w:val="24"/>
          <w:szCs w:val="24"/>
        </w:rPr>
        <w:t>].</w:t>
      </w:r>
      <w:r w:rsidR="00F93CB8" w:rsidRPr="00F93CB8">
        <w:rPr>
          <w:rFonts w:asciiTheme="majorBidi" w:eastAsia="Times New Roman" w:hAnsiTheme="majorBidi" w:cstheme="majorBidi"/>
          <w:color w:val="0E101A"/>
          <w:sz w:val="24"/>
          <w:szCs w:val="24"/>
        </w:rPr>
        <w:t xml:space="preserve"> Their larger size also enhances apical surface area, facilitating efficient milk secretion. This highlights the adaptive significance of </w:t>
      </w:r>
      <w:proofErr w:type="spellStart"/>
      <w:r w:rsidR="00F93CB8" w:rsidRPr="00F93CB8">
        <w:rPr>
          <w:rFonts w:asciiTheme="majorBidi" w:eastAsia="Times New Roman" w:hAnsiTheme="majorBidi" w:cstheme="majorBidi"/>
          <w:color w:val="0E101A"/>
          <w:sz w:val="24"/>
          <w:szCs w:val="24"/>
        </w:rPr>
        <w:t>binucleated</w:t>
      </w:r>
      <w:proofErr w:type="spellEnd"/>
      <w:r w:rsidR="00F93CB8" w:rsidRPr="00F93CB8">
        <w:rPr>
          <w:rFonts w:asciiTheme="majorBidi" w:eastAsia="Times New Roman" w:hAnsiTheme="majorBidi" w:cstheme="majorBidi"/>
          <w:color w:val="0E101A"/>
          <w:sz w:val="24"/>
          <w:szCs w:val="24"/>
        </w:rPr>
        <w:t xml:space="preserve"> cells in </w:t>
      </w:r>
      <w:proofErr w:type="spellStart"/>
      <w:r w:rsidR="00F93CB8" w:rsidRPr="00F93CB8">
        <w:rPr>
          <w:rFonts w:asciiTheme="majorBidi" w:eastAsia="Times New Roman" w:hAnsiTheme="majorBidi" w:cstheme="majorBidi"/>
          <w:color w:val="0E101A"/>
          <w:sz w:val="24"/>
          <w:szCs w:val="24"/>
        </w:rPr>
        <w:t>lactogenesis</w:t>
      </w:r>
      <w:proofErr w:type="spellEnd"/>
      <w:r w:rsidR="00F93CB8" w:rsidRPr="00F93CB8">
        <w:rPr>
          <w:rFonts w:asciiTheme="majorBidi" w:eastAsia="Times New Roman" w:hAnsiTheme="majorBidi" w:cstheme="majorBidi"/>
          <w:color w:val="0E101A"/>
          <w:sz w:val="24"/>
          <w:szCs w:val="24"/>
        </w:rPr>
        <w:t xml:space="preserve"> </w:t>
      </w:r>
      <w:r w:rsidR="00F93CB8"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52</w:t>
      </w:r>
      <w:r w:rsidR="00F93CB8" w:rsidRPr="0077095C">
        <w:rPr>
          <w:rFonts w:asciiTheme="majorBidi" w:eastAsia="Times New Roman" w:hAnsiTheme="majorBidi" w:cstheme="majorBidi"/>
          <w:b/>
          <w:bCs/>
          <w:color w:val="0E101A"/>
          <w:sz w:val="24"/>
          <w:szCs w:val="24"/>
        </w:rPr>
        <w:t>].</w:t>
      </w:r>
    </w:p>
    <w:p w14:paraId="1E0D471F" w14:textId="7CBE83CF" w:rsidR="00F93CB8" w:rsidRPr="00F93CB8" w:rsidRDefault="00F93CB8" w:rsidP="009D6800">
      <w:pPr>
        <w:spacing w:after="0" w:line="360" w:lineRule="auto"/>
        <w:jc w:val="both"/>
        <w:rPr>
          <w:rFonts w:asciiTheme="majorBidi" w:eastAsia="Times New Roman" w:hAnsiTheme="majorBidi" w:cstheme="majorBidi"/>
          <w:color w:val="0E101A"/>
          <w:sz w:val="24"/>
          <w:szCs w:val="24"/>
        </w:rPr>
      </w:pPr>
      <w:r>
        <w:rPr>
          <w:noProof/>
        </w:rPr>
        <w:lastRenderedPageBreak/>
        <w:drawing>
          <wp:anchor distT="0" distB="0" distL="114300" distR="114300" simplePos="0" relativeHeight="251666432" behindDoc="0" locked="0" layoutInCell="1" allowOverlap="1" wp14:anchorId="41B7294D" wp14:editId="2AB84BF6">
            <wp:simplePos x="0" y="0"/>
            <wp:positionH relativeFrom="margin">
              <wp:align>right</wp:align>
            </wp:positionH>
            <wp:positionV relativeFrom="paragraph">
              <wp:posOffset>169545</wp:posOffset>
            </wp:positionV>
            <wp:extent cx="5486400" cy="2743200"/>
            <wp:effectExtent l="0" t="0" r="0" b="0"/>
            <wp:wrapThrough wrapText="bothSides">
              <wp:wrapPolygon edited="0">
                <wp:start x="0" y="0"/>
                <wp:lineTo x="0" y="21450"/>
                <wp:lineTo x="21525" y="21450"/>
                <wp:lineTo x="21525" y="0"/>
                <wp:lineTo x="0" y="0"/>
              </wp:wrapPolygon>
            </wp:wrapThrough>
            <wp:docPr id="7" name="Picture 7" descr="https://www.researchgate.net/publication/360565234/figure/fig2/AS:1179222064267268@1658159857630/Schematic-representation-of-the-structure-and-morphological-changes-in-mammary-gland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ublication/360565234/figure/fig2/AS:1179222064267268@1658159857630/Schematic-representation-of-the-structure-and-morphological-changes-in-mammary-gland_W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24DC" w14:textId="77777777" w:rsidR="00F93CB8" w:rsidRPr="00D2097E" w:rsidRDefault="00F93CB8" w:rsidP="0077095C">
      <w:pPr>
        <w:spacing w:before="120"/>
        <w:ind w:left="360"/>
        <w:rPr>
          <w:rFonts w:asciiTheme="majorBidi" w:hAnsiTheme="majorBidi" w:cstheme="majorBidi"/>
          <w:b/>
          <w:spacing w:val="-4"/>
          <w:sz w:val="24"/>
          <w:szCs w:val="24"/>
        </w:rPr>
      </w:pPr>
      <w:r w:rsidRPr="009D6800">
        <w:rPr>
          <w:rFonts w:asciiTheme="majorBidi" w:hAnsiTheme="majorBidi" w:cstheme="majorBidi"/>
          <w:b/>
          <w:spacing w:val="-4"/>
          <w:sz w:val="24"/>
          <w:szCs w:val="24"/>
        </w:rPr>
        <w:t xml:space="preserve">Fig.6. </w:t>
      </w:r>
      <w:r w:rsidRPr="00D2097E">
        <w:rPr>
          <w:rFonts w:asciiTheme="majorBidi" w:hAnsiTheme="majorBidi" w:cstheme="majorBidi"/>
          <w:b/>
          <w:spacing w:val="-4"/>
          <w:sz w:val="24"/>
          <w:szCs w:val="24"/>
        </w:rPr>
        <w:t>The</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structure</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and</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morphological</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changes</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in</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mammary</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gland</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during</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lactation</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and</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involution</w:t>
      </w:r>
      <w:r w:rsidRPr="009D6800">
        <w:rPr>
          <w:rFonts w:asciiTheme="majorBidi" w:hAnsiTheme="majorBidi" w:cstheme="majorBidi"/>
          <w:b/>
          <w:spacing w:val="-4"/>
          <w:sz w:val="24"/>
          <w:szCs w:val="24"/>
        </w:rPr>
        <w:t xml:space="preserve"> </w:t>
      </w:r>
      <w:r w:rsidRPr="00D2097E">
        <w:rPr>
          <w:rFonts w:asciiTheme="majorBidi" w:hAnsiTheme="majorBidi" w:cstheme="majorBidi"/>
          <w:b/>
          <w:spacing w:val="-4"/>
          <w:sz w:val="24"/>
          <w:szCs w:val="24"/>
        </w:rPr>
        <w:t>[</w:t>
      </w:r>
      <w:r w:rsidR="0077095C">
        <w:rPr>
          <w:rFonts w:asciiTheme="majorBidi" w:hAnsiTheme="majorBidi" w:cstheme="majorBidi"/>
          <w:b/>
          <w:spacing w:val="-4"/>
          <w:sz w:val="24"/>
          <w:szCs w:val="24"/>
        </w:rPr>
        <w:t>53</w:t>
      </w:r>
      <w:r w:rsidRPr="00D2097E">
        <w:rPr>
          <w:rFonts w:asciiTheme="majorBidi" w:hAnsiTheme="majorBidi" w:cstheme="majorBidi"/>
          <w:b/>
          <w:spacing w:val="-4"/>
          <w:sz w:val="24"/>
          <w:szCs w:val="24"/>
        </w:rPr>
        <w:t>].</w:t>
      </w:r>
    </w:p>
    <w:p w14:paraId="6288F96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r>
        <w:rPr>
          <w:noProof/>
        </w:rPr>
        <w:drawing>
          <wp:anchor distT="0" distB="0" distL="114300" distR="114300" simplePos="0" relativeHeight="251667456" behindDoc="0" locked="0" layoutInCell="1" allowOverlap="1" wp14:anchorId="7B46DFCD" wp14:editId="6904A798">
            <wp:simplePos x="0" y="0"/>
            <wp:positionH relativeFrom="column">
              <wp:posOffset>355600</wp:posOffset>
            </wp:positionH>
            <wp:positionV relativeFrom="paragraph">
              <wp:posOffset>4445</wp:posOffset>
            </wp:positionV>
            <wp:extent cx="4388485" cy="3790950"/>
            <wp:effectExtent l="0" t="0" r="0" b="0"/>
            <wp:wrapThrough wrapText="bothSides">
              <wp:wrapPolygon edited="0">
                <wp:start x="0" y="0"/>
                <wp:lineTo x="0" y="21491"/>
                <wp:lineTo x="21472" y="21491"/>
                <wp:lineTo x="21472" y="0"/>
                <wp:lineTo x="0" y="0"/>
              </wp:wrapPolygon>
            </wp:wrapThrough>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848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459B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C82293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8738F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45212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BA72F6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7D1D3A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B1ED6A"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FEDA80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B53773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C1284E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D8163A9"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7D9511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09B628"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A9DD0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34A4E03" w14:textId="77777777" w:rsidR="00D2097E" w:rsidRPr="00D2097E" w:rsidRDefault="0006459D" w:rsidP="00E510DE">
      <w:pPr>
        <w:spacing w:after="0" w:line="360" w:lineRule="auto"/>
        <w:jc w:val="center"/>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Pr>
          <w:rFonts w:asciiTheme="majorBidi" w:eastAsia="Times New Roman" w:hAnsiTheme="majorBidi" w:cstheme="majorBidi" w:hint="cs"/>
          <w:b/>
          <w:bCs/>
          <w:color w:val="0E101A"/>
          <w:sz w:val="24"/>
          <w:szCs w:val="24"/>
          <w:rtl/>
        </w:rPr>
        <w:t>7</w:t>
      </w:r>
      <w:r w:rsidR="00D2097E" w:rsidRPr="00D2097E">
        <w:rPr>
          <w:rFonts w:asciiTheme="majorBidi" w:eastAsia="Times New Roman" w:hAnsiTheme="majorBidi" w:cstheme="majorBidi"/>
          <w:b/>
          <w:bCs/>
          <w:color w:val="0E101A"/>
          <w:sz w:val="24"/>
          <w:szCs w:val="24"/>
        </w:rPr>
        <w:t>.</w:t>
      </w:r>
      <w:r w:rsidR="00D2097E">
        <w:rPr>
          <w:rFonts w:asciiTheme="majorBidi" w:eastAsia="Times New Roman" w:hAnsiTheme="majorBidi" w:cstheme="majorBidi"/>
          <w:b/>
          <w:bCs/>
          <w:color w:val="0E101A"/>
          <w:sz w:val="24"/>
          <w:szCs w:val="24"/>
        </w:rPr>
        <w:t xml:space="preserve"> C</w:t>
      </w:r>
      <w:r w:rsidR="00D2097E" w:rsidRPr="00D2097E">
        <w:rPr>
          <w:rFonts w:asciiTheme="majorBidi" w:eastAsia="Times New Roman" w:hAnsiTheme="majorBidi" w:cstheme="majorBidi"/>
          <w:b/>
          <w:bCs/>
          <w:color w:val="0E101A"/>
          <w:sz w:val="24"/>
          <w:szCs w:val="24"/>
        </w:rPr>
        <w:t>onfocal image of a mammary ductal portion [</w:t>
      </w:r>
      <w:r w:rsidR="00E510DE">
        <w:rPr>
          <w:rFonts w:asciiTheme="majorBidi" w:eastAsia="Times New Roman" w:hAnsiTheme="majorBidi" w:cstheme="majorBidi"/>
          <w:b/>
          <w:bCs/>
          <w:color w:val="0E101A"/>
          <w:sz w:val="24"/>
          <w:szCs w:val="24"/>
        </w:rPr>
        <w:t>47</w:t>
      </w:r>
      <w:r w:rsidR="00D2097E" w:rsidRPr="00D2097E">
        <w:rPr>
          <w:rFonts w:asciiTheme="majorBidi" w:eastAsia="Times New Roman" w:hAnsiTheme="majorBidi" w:cstheme="majorBidi"/>
          <w:b/>
          <w:bCs/>
          <w:color w:val="0E101A"/>
          <w:sz w:val="24"/>
          <w:szCs w:val="24"/>
        </w:rPr>
        <w:t>].</w:t>
      </w:r>
    </w:p>
    <w:p w14:paraId="149F961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94ECC3F"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EFE746F" w14:textId="328272B8" w:rsidR="00EB6083" w:rsidRPr="00EB6083" w:rsidRDefault="009D6800" w:rsidP="00EB6083">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2.1.8. T</w:t>
      </w:r>
      <w:r w:rsidR="004326D4">
        <w:rPr>
          <w:rFonts w:asciiTheme="majorBidi" w:eastAsia="Times New Roman" w:hAnsiTheme="majorBidi" w:cstheme="majorBidi"/>
          <w:b/>
          <w:bCs/>
          <w:color w:val="0E101A"/>
          <w:sz w:val="24"/>
          <w:szCs w:val="24"/>
        </w:rPr>
        <w:t xml:space="preserve">he </w:t>
      </w:r>
      <w:r w:rsidR="00EB6083" w:rsidRPr="00EB6083">
        <w:rPr>
          <w:rFonts w:asciiTheme="majorBidi" w:eastAsia="Times New Roman" w:hAnsiTheme="majorBidi" w:cstheme="majorBidi"/>
          <w:b/>
          <w:bCs/>
          <w:color w:val="0E101A"/>
          <w:sz w:val="24"/>
          <w:szCs w:val="24"/>
        </w:rPr>
        <w:t>oral mucosa</w:t>
      </w:r>
    </w:p>
    <w:p w14:paraId="32C5C794" w14:textId="29FE1FD2" w:rsidR="00EB6083" w:rsidRPr="00EB6083" w:rsidRDefault="00EB6083" w:rsidP="00427681">
      <w:pPr>
        <w:spacing w:after="0" w:line="360" w:lineRule="auto"/>
        <w:jc w:val="both"/>
        <w:rPr>
          <w:rFonts w:asciiTheme="majorBidi" w:eastAsia="Times New Roman" w:hAnsiTheme="majorBidi" w:cstheme="majorBidi"/>
          <w:color w:val="0E101A"/>
          <w:sz w:val="24"/>
          <w:szCs w:val="24"/>
        </w:rPr>
      </w:pPr>
      <w:r w:rsidRPr="00EB6083">
        <w:rPr>
          <w:rFonts w:asciiTheme="majorBidi" w:eastAsia="Times New Roman" w:hAnsiTheme="majorBidi" w:cstheme="majorBidi"/>
          <w:color w:val="0E101A"/>
          <w:sz w:val="24"/>
          <w:szCs w:val="24"/>
        </w:rPr>
        <w:t>Oliveira et al. conducted a study on the use of psychotropic drugs among health science students, focusing on the prevalence of binuclea</w:t>
      </w:r>
      <w:r w:rsidR="00427681">
        <w:rPr>
          <w:rFonts w:asciiTheme="majorBidi" w:eastAsia="Times New Roman" w:hAnsiTheme="majorBidi" w:cstheme="majorBidi"/>
          <w:color w:val="0E101A"/>
          <w:sz w:val="24"/>
          <w:szCs w:val="24"/>
        </w:rPr>
        <w:t xml:space="preserve">ted cells in the buccal mucosa </w:t>
      </w:r>
      <w:r w:rsidR="00427681" w:rsidRPr="00E510DE">
        <w:rPr>
          <w:rFonts w:asciiTheme="majorBidi" w:eastAsia="Times New Roman" w:hAnsiTheme="majorBidi" w:cstheme="majorBidi"/>
          <w:b/>
          <w:bCs/>
          <w:color w:val="0E101A"/>
          <w:sz w:val="24"/>
          <w:szCs w:val="24"/>
        </w:rPr>
        <w:t>[54]</w:t>
      </w:r>
      <w:r w:rsidR="00427681">
        <w:rPr>
          <w:rFonts w:asciiTheme="majorBidi" w:eastAsia="Times New Roman" w:hAnsiTheme="majorBidi" w:cstheme="majorBidi"/>
          <w:color w:val="0E101A"/>
          <w:sz w:val="24"/>
          <w:szCs w:val="24"/>
        </w:rPr>
        <w:t xml:space="preserve">. They </w:t>
      </w:r>
      <w:r w:rsidRPr="00EB6083">
        <w:rPr>
          <w:rFonts w:asciiTheme="majorBidi" w:eastAsia="Times New Roman" w:hAnsiTheme="majorBidi" w:cstheme="majorBidi"/>
          <w:color w:val="0E101A"/>
          <w:sz w:val="24"/>
          <w:szCs w:val="24"/>
        </w:rPr>
        <w:t xml:space="preserve">found a high prevalence of psychoactive drug use, with a statistical association between drug use and the occurrence of binucleated cells in the oral mucosa. Although more common in females, this difference was not statistically significant. Other studies have shown that stress, anxiety, and depression, particularly in females, are linked to cellular changes, including binucleation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55</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w:t>
      </w:r>
      <w:r w:rsidR="00E510DE">
        <w:rPr>
          <w:rFonts w:asciiTheme="majorBidi" w:eastAsia="Times New Roman" w:hAnsiTheme="majorBidi" w:cstheme="majorBidi"/>
          <w:color w:val="0E101A"/>
          <w:sz w:val="24"/>
          <w:szCs w:val="24"/>
        </w:rPr>
        <w:t xml:space="preserve"> Similarly, Minhas et al. </w:t>
      </w:r>
      <w:r w:rsidRPr="00EB6083">
        <w:rPr>
          <w:rFonts w:asciiTheme="majorBidi" w:eastAsia="Times New Roman" w:hAnsiTheme="majorBidi" w:cstheme="majorBidi"/>
          <w:color w:val="0E101A"/>
          <w:sz w:val="24"/>
          <w:szCs w:val="24"/>
        </w:rPr>
        <w:t>observed binucleated cells in both irradiated cancer cells and normal buccal mucosa of patients receiving chemoradiotherapy, indicating that ionizing radiation also induces binucleation.</w:t>
      </w:r>
    </w:p>
    <w:p w14:paraId="688638FA" w14:textId="27CBE1AA" w:rsidR="00EB6083" w:rsidRPr="00EB6083" w:rsidRDefault="00BD25CA" w:rsidP="00EB6083">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2.1.9. T</w:t>
      </w:r>
      <w:r w:rsidR="00EB6083" w:rsidRPr="00EB6083">
        <w:rPr>
          <w:rFonts w:asciiTheme="majorBidi" w:eastAsia="Times New Roman" w:hAnsiTheme="majorBidi" w:cstheme="majorBidi"/>
          <w:b/>
          <w:bCs/>
          <w:color w:val="0E101A"/>
          <w:sz w:val="24"/>
          <w:szCs w:val="24"/>
        </w:rPr>
        <w:t>he spleen</w:t>
      </w:r>
    </w:p>
    <w:p w14:paraId="0044C237" w14:textId="74D5D276" w:rsidR="00993B1E" w:rsidRDefault="00EB6083" w:rsidP="00BB71F2">
      <w:pPr>
        <w:spacing w:after="0" w:line="360" w:lineRule="auto"/>
        <w:jc w:val="both"/>
        <w:rPr>
          <w:rFonts w:asciiTheme="majorBidi" w:eastAsia="Times New Roman" w:hAnsiTheme="majorBidi" w:cstheme="majorBidi"/>
          <w:color w:val="0E101A"/>
          <w:sz w:val="24"/>
          <w:szCs w:val="24"/>
        </w:rPr>
      </w:pPr>
      <w:r>
        <w:rPr>
          <w:noProof/>
        </w:rPr>
        <w:drawing>
          <wp:anchor distT="0" distB="0" distL="114300" distR="114300" simplePos="0" relativeHeight="251669504" behindDoc="0" locked="0" layoutInCell="1" allowOverlap="1" wp14:anchorId="729E5040" wp14:editId="3E79A5E1">
            <wp:simplePos x="0" y="0"/>
            <wp:positionH relativeFrom="margin">
              <wp:align>right</wp:align>
            </wp:positionH>
            <wp:positionV relativeFrom="paragraph">
              <wp:posOffset>2108835</wp:posOffset>
            </wp:positionV>
            <wp:extent cx="5486400" cy="3048000"/>
            <wp:effectExtent l="0" t="0" r="0" b="0"/>
            <wp:wrapThrough wrapText="bothSides">
              <wp:wrapPolygon edited="0">
                <wp:start x="0" y="0"/>
                <wp:lineTo x="0" y="21465"/>
                <wp:lineTo x="21525" y="21465"/>
                <wp:lineTo x="21525" y="0"/>
                <wp:lineTo x="0" y="0"/>
              </wp:wrapPolygon>
            </wp:wrapThrough>
            <wp:docPr id="9" name="Picture 9" descr="https://www.researchgate.net/profile/Edouard-Cornet/publication/24170317/figure/fig1/AS:398492481671168@1472019419167/Morphologic-features-showing-typical-binucleated-cells-in-a-PPBL-patient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searchgate.net/profile/Edouard-Cornet/publication/24170317/figure/fig1/AS:398492481671168@1472019419167/Morphologic-features-showing-typical-binucleated-cells-in-a-PPBL-patient_W6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F2">
        <w:rPr>
          <w:rFonts w:asciiTheme="majorBidi" w:eastAsia="Times New Roman" w:hAnsiTheme="majorBidi" w:cstheme="majorBidi"/>
          <w:color w:val="0E101A"/>
          <w:sz w:val="24"/>
          <w:szCs w:val="24"/>
        </w:rPr>
        <w:t xml:space="preserve">Sun et al. </w:t>
      </w:r>
      <w:r w:rsidRPr="00EB6083">
        <w:rPr>
          <w:rFonts w:asciiTheme="majorBidi" w:eastAsia="Times New Roman" w:hAnsiTheme="majorBidi" w:cstheme="majorBidi"/>
          <w:color w:val="0E101A"/>
          <w:sz w:val="24"/>
          <w:szCs w:val="24"/>
        </w:rPr>
        <w:t>investigated the role of binucleated cells in persistent polyclonal B-cell lymphocytosis (PPBL) and their importance in differentiati</w:t>
      </w:r>
      <w:r w:rsidR="00BB71F2">
        <w:rPr>
          <w:rFonts w:asciiTheme="majorBidi" w:eastAsia="Times New Roman" w:hAnsiTheme="majorBidi" w:cstheme="majorBidi"/>
          <w:color w:val="0E101A"/>
          <w:sz w:val="24"/>
          <w:szCs w:val="24"/>
        </w:rPr>
        <w:t xml:space="preserve">ng it from malignant lymphomas </w:t>
      </w:r>
      <w:r w:rsidR="00BB71F2" w:rsidRPr="00E510DE">
        <w:rPr>
          <w:rFonts w:asciiTheme="majorBidi" w:eastAsia="Times New Roman" w:hAnsiTheme="majorBidi" w:cstheme="majorBidi"/>
          <w:b/>
          <w:bCs/>
          <w:color w:val="0E101A"/>
          <w:sz w:val="24"/>
          <w:szCs w:val="24"/>
        </w:rPr>
        <w:t>[56]</w:t>
      </w:r>
      <w:r w:rsidR="00BB71F2">
        <w:rPr>
          <w:rFonts w:asciiTheme="majorBidi" w:eastAsia="Times New Roman" w:hAnsiTheme="majorBidi" w:cstheme="majorBidi"/>
          <w:color w:val="0E101A"/>
          <w:sz w:val="24"/>
          <w:szCs w:val="24"/>
        </w:rPr>
        <w:t xml:space="preserve">. </w:t>
      </w:r>
      <w:r w:rsidRPr="00EB6083">
        <w:rPr>
          <w:rFonts w:asciiTheme="majorBidi" w:eastAsia="Times New Roman" w:hAnsiTheme="majorBidi" w:cstheme="majorBidi"/>
          <w:color w:val="0E101A"/>
          <w:sz w:val="24"/>
          <w:szCs w:val="24"/>
        </w:rPr>
        <w:t xml:space="preserve">Analyzing a spleen sample from a 38-year-old woman with progressive splenomegaly, the study found that binucleated cells are a hallmark of PPBL, frequently observed in peripheral blood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57</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These cells result from abnormal B-cell division, likely triggered by chronic antigenic stimulation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Despite PPBL's resemblance to lymphoma in histological and immunophenotypic features, genetic and clinical analyses are essential for accurate differentiation, preventing unnecessary treatments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p>
    <w:p w14:paraId="68DB60F7" w14:textId="77777777" w:rsidR="00993B1E" w:rsidRPr="00993B1E" w:rsidRDefault="00993B1E" w:rsidP="00E510DE">
      <w:pPr>
        <w:spacing w:after="0" w:line="360" w:lineRule="auto"/>
        <w:jc w:val="center"/>
        <w:rPr>
          <w:rFonts w:asciiTheme="majorBidi" w:eastAsia="Times New Roman" w:hAnsiTheme="majorBidi" w:cstheme="majorBidi"/>
          <w:b/>
          <w:bCs/>
          <w:color w:val="0E101A"/>
          <w:sz w:val="24"/>
          <w:szCs w:val="24"/>
        </w:rPr>
      </w:pPr>
      <w:r w:rsidRPr="00993B1E">
        <w:rPr>
          <w:rFonts w:asciiTheme="majorBidi" w:hAnsiTheme="majorBidi" w:cstheme="majorBidi"/>
          <w:b/>
          <w:bCs/>
          <w:spacing w:val="-4"/>
          <w:sz w:val="24"/>
          <w:szCs w:val="24"/>
        </w:rPr>
        <w:t>Fig. 8.</w:t>
      </w:r>
      <w:r w:rsidRPr="00993B1E">
        <w:rPr>
          <w:rFonts w:asciiTheme="majorBidi" w:hAnsiTheme="majorBidi" w:cstheme="majorBidi"/>
          <w:b/>
          <w:bCs/>
          <w:spacing w:val="-5"/>
          <w:sz w:val="24"/>
          <w:szCs w:val="24"/>
        </w:rPr>
        <w:t xml:space="preserve"> </w:t>
      </w:r>
      <w:r w:rsidRPr="00993B1E">
        <w:rPr>
          <w:rFonts w:asciiTheme="majorBidi" w:hAnsiTheme="majorBidi" w:cstheme="majorBidi"/>
          <w:b/>
          <w:bCs/>
          <w:spacing w:val="-4"/>
          <w:sz w:val="24"/>
          <w:szCs w:val="24"/>
        </w:rPr>
        <w:t>Morphologic</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features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showing</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typical</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binucleated</w:t>
      </w:r>
      <w:r w:rsidRPr="00993B1E">
        <w:rPr>
          <w:rFonts w:asciiTheme="majorBidi" w:hAnsiTheme="majorBidi" w:cstheme="majorBidi"/>
          <w:b/>
          <w:bCs/>
          <w:spacing w:val="-15"/>
          <w:sz w:val="24"/>
          <w:szCs w:val="24"/>
        </w:rPr>
        <w:t xml:space="preserve"> </w:t>
      </w:r>
      <w:r w:rsidRPr="00993B1E">
        <w:rPr>
          <w:rFonts w:asciiTheme="majorBidi" w:hAnsiTheme="majorBidi" w:cstheme="majorBidi"/>
          <w:b/>
          <w:bCs/>
          <w:spacing w:val="-4"/>
          <w:sz w:val="24"/>
          <w:szCs w:val="24"/>
        </w:rPr>
        <w:t>cells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in</w:t>
      </w:r>
      <w:r w:rsidRPr="00993B1E">
        <w:rPr>
          <w:rFonts w:asciiTheme="majorBidi" w:hAnsiTheme="majorBidi" w:cstheme="majorBidi"/>
          <w:b/>
          <w:bCs/>
          <w:spacing w:val="-18"/>
          <w:sz w:val="24"/>
          <w:szCs w:val="24"/>
        </w:rPr>
        <w:t xml:space="preserve"> </w:t>
      </w:r>
      <w:r w:rsidRPr="00993B1E">
        <w:rPr>
          <w:rFonts w:asciiTheme="majorBidi" w:hAnsiTheme="majorBidi" w:cstheme="majorBidi"/>
          <w:b/>
          <w:bCs/>
          <w:spacing w:val="-4"/>
          <w:sz w:val="24"/>
          <w:szCs w:val="24"/>
        </w:rPr>
        <w:t>a</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PPBL</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patient</w:t>
      </w:r>
      <w:r w:rsidRPr="00993B1E">
        <w:rPr>
          <w:rFonts w:asciiTheme="majorBidi" w:hAnsiTheme="majorBidi" w:cstheme="majorBidi"/>
          <w:b/>
          <w:bCs/>
          <w:spacing w:val="-9"/>
          <w:sz w:val="24"/>
          <w:szCs w:val="24"/>
        </w:rPr>
        <w:t xml:space="preserve"> </w:t>
      </w:r>
      <w:r w:rsidRPr="00993B1E">
        <w:rPr>
          <w:rFonts w:asciiTheme="majorBidi" w:hAnsiTheme="majorBidi" w:cstheme="majorBidi"/>
          <w:b/>
          <w:bCs/>
          <w:spacing w:val="-4"/>
          <w:sz w:val="24"/>
          <w:szCs w:val="24"/>
        </w:rPr>
        <w:t>[</w:t>
      </w:r>
      <w:r w:rsidR="00E510DE">
        <w:rPr>
          <w:rFonts w:asciiTheme="majorBidi" w:hAnsiTheme="majorBidi" w:cstheme="majorBidi"/>
          <w:b/>
          <w:bCs/>
          <w:spacing w:val="-4"/>
          <w:sz w:val="24"/>
          <w:szCs w:val="24"/>
        </w:rPr>
        <w:t>56</w:t>
      </w:r>
      <w:r w:rsidRPr="00993B1E">
        <w:rPr>
          <w:rFonts w:asciiTheme="majorBidi" w:hAnsiTheme="majorBidi" w:cstheme="majorBidi"/>
          <w:b/>
          <w:bCs/>
          <w:spacing w:val="-4"/>
          <w:sz w:val="24"/>
          <w:szCs w:val="24"/>
        </w:rPr>
        <w:t>].</w:t>
      </w:r>
    </w:p>
    <w:p w14:paraId="4323CB48" w14:textId="77777777" w:rsidR="00EB6083" w:rsidRPr="0084732D" w:rsidRDefault="00B05E3A" w:rsidP="0084732D">
      <w:pPr>
        <w:spacing w:after="0"/>
        <w:jc w:val="both"/>
        <w:rPr>
          <w:rFonts w:asciiTheme="majorBidi" w:eastAsia="Times New Roman" w:hAnsiTheme="majorBidi" w:cstheme="majorBidi"/>
          <w:b/>
          <w:bCs/>
          <w:color w:val="0E101A"/>
          <w:sz w:val="24"/>
          <w:szCs w:val="24"/>
        </w:rPr>
      </w:pPr>
      <w:r w:rsidRPr="0084732D">
        <w:rPr>
          <w:rFonts w:asciiTheme="majorBidi" w:eastAsia="Times New Roman" w:hAnsiTheme="majorBidi" w:cstheme="majorBidi"/>
          <w:b/>
          <w:bCs/>
          <w:color w:val="0E101A"/>
          <w:sz w:val="24"/>
          <w:szCs w:val="24"/>
        </w:rPr>
        <w:lastRenderedPageBreak/>
        <w:t>Fig.9. Histological features of the spleen. Images of the HCE-stained spleen sections at 20x (A), 100x (B), and 400x (C, D) magnification showing expansion of the white pulp nodules and significant infiltration of the red pulp by small mature lymphocytes with minimal cytologic atypia. Occasional binucleated lymphocytes are noted in the splenic sinusoids, indicated by black arrows (C, D, and D inset) [</w:t>
      </w:r>
      <w:r w:rsidR="0084732D">
        <w:rPr>
          <w:rFonts w:asciiTheme="majorBidi" w:eastAsia="Times New Roman" w:hAnsiTheme="majorBidi" w:cstheme="majorBidi"/>
          <w:b/>
          <w:bCs/>
          <w:color w:val="0E101A"/>
          <w:sz w:val="24"/>
          <w:szCs w:val="24"/>
        </w:rPr>
        <w:t>56</w:t>
      </w:r>
      <w:r w:rsidRPr="0084732D">
        <w:rPr>
          <w:rFonts w:asciiTheme="majorBidi" w:eastAsia="Times New Roman" w:hAnsiTheme="majorBidi" w:cstheme="majorBidi"/>
          <w:b/>
          <w:bCs/>
          <w:color w:val="0E101A"/>
          <w:sz w:val="24"/>
          <w:szCs w:val="24"/>
        </w:rPr>
        <w:t>].</w:t>
      </w:r>
      <w:r w:rsidRPr="0084732D">
        <w:rPr>
          <w:b/>
          <w:bCs/>
          <w:noProof/>
        </w:rPr>
        <w:drawing>
          <wp:anchor distT="0" distB="0" distL="114300" distR="114300" simplePos="0" relativeHeight="251670528" behindDoc="0" locked="0" layoutInCell="1" allowOverlap="1" wp14:anchorId="5BDD81AD" wp14:editId="5BC4BAFD">
            <wp:simplePos x="0" y="0"/>
            <wp:positionH relativeFrom="margin">
              <wp:align>right</wp:align>
            </wp:positionH>
            <wp:positionV relativeFrom="paragraph">
              <wp:posOffset>0</wp:posOffset>
            </wp:positionV>
            <wp:extent cx="5486400" cy="3105150"/>
            <wp:effectExtent l="0" t="0" r="0" b="0"/>
            <wp:wrapThrough wrapText="bothSides">
              <wp:wrapPolygon edited="0">
                <wp:start x="0" y="0"/>
                <wp:lineTo x="0" y="21467"/>
                <wp:lineTo x="21525" y="21467"/>
                <wp:lineTo x="21525" y="0"/>
                <wp:lineTo x="0" y="0"/>
              </wp:wrapPolygon>
            </wp:wrapThrough>
            <wp:docPr id="10" name="Picture 10" descr="https://www.researchgate.net/profile/Ridas-Juskevicius/publication/230696910/figure/fig1/AS:214254692114432@1428093707052/Histological-features-of-the-spleen-Images-of-the-H-E-stained-spleen-sections-at-20x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searchgate.net/profile/Ridas-Juskevicius/publication/230696910/figure/fig1/AS:214254692114432@1428093707052/Histological-features-of-the-spleen-Images-of-the-H-E-stained-spleen-sections-at-20x_W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726E" w14:textId="2481AC5F" w:rsidR="00C50C66" w:rsidRPr="00C50C66" w:rsidRDefault="00BD25CA" w:rsidP="00E806A3">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2.1.10. The </w:t>
      </w:r>
      <w:proofErr w:type="spellStart"/>
      <w:r w:rsidR="00A858C1">
        <w:rPr>
          <w:rFonts w:asciiTheme="majorBidi" w:eastAsia="Times New Roman" w:hAnsiTheme="majorBidi" w:cstheme="majorBidi"/>
          <w:b/>
          <w:bCs/>
          <w:color w:val="0E101A"/>
          <w:sz w:val="24"/>
          <w:szCs w:val="24"/>
        </w:rPr>
        <w:t>e</w:t>
      </w:r>
      <w:r w:rsidR="00E806A3" w:rsidRPr="00E806A3">
        <w:rPr>
          <w:rFonts w:asciiTheme="majorBidi" w:eastAsia="Times New Roman" w:hAnsiTheme="majorBidi" w:cstheme="majorBidi"/>
          <w:b/>
          <w:bCs/>
          <w:color w:val="0E101A"/>
          <w:sz w:val="24"/>
          <w:szCs w:val="24"/>
        </w:rPr>
        <w:t>mberyo</w:t>
      </w:r>
      <w:proofErr w:type="spellEnd"/>
      <w:r w:rsidR="00E806A3" w:rsidRPr="00E806A3">
        <w:rPr>
          <w:rFonts w:asciiTheme="majorBidi" w:eastAsia="Times New Roman" w:hAnsiTheme="majorBidi" w:cstheme="majorBidi"/>
          <w:b/>
          <w:bCs/>
          <w:color w:val="0E101A"/>
          <w:sz w:val="24"/>
          <w:szCs w:val="24"/>
        </w:rPr>
        <w:t xml:space="preserve"> </w:t>
      </w:r>
    </w:p>
    <w:p w14:paraId="1044C7AC" w14:textId="3AD008F7" w:rsidR="00B05E3A" w:rsidRDefault="004867D5" w:rsidP="00C17A08">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2576" behindDoc="1" locked="0" layoutInCell="1" allowOverlap="1" wp14:anchorId="25466064" wp14:editId="5B78880F">
            <wp:simplePos x="0" y="0"/>
            <wp:positionH relativeFrom="page">
              <wp:posOffset>950117</wp:posOffset>
            </wp:positionH>
            <wp:positionV relativeFrom="paragraph">
              <wp:posOffset>2175939</wp:posOffset>
            </wp:positionV>
            <wp:extent cx="5964555" cy="1659255"/>
            <wp:effectExtent l="0" t="0" r="0" b="0"/>
            <wp:wrapThrough wrapText="bothSides">
              <wp:wrapPolygon edited="0">
                <wp:start x="0" y="0"/>
                <wp:lineTo x="0" y="21327"/>
                <wp:lineTo x="21524" y="21327"/>
                <wp:lineTo x="21524" y="0"/>
                <wp:lineTo x="0" y="0"/>
              </wp:wrapPolygon>
            </wp:wrapThrough>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5964555" cy="1659255"/>
                    </a:xfrm>
                    <a:prstGeom prst="rect">
                      <a:avLst/>
                    </a:prstGeom>
                  </pic:spPr>
                </pic:pic>
              </a:graphicData>
            </a:graphic>
          </wp:anchor>
        </w:drawing>
      </w:r>
      <w:proofErr w:type="spellStart"/>
      <w:r w:rsidR="00C17A08">
        <w:rPr>
          <w:rFonts w:asciiTheme="majorBidi" w:eastAsia="Times New Roman" w:hAnsiTheme="majorBidi" w:cstheme="majorBidi"/>
          <w:color w:val="0E101A"/>
          <w:sz w:val="24"/>
          <w:szCs w:val="24"/>
        </w:rPr>
        <w:t>Xanthopoulou</w:t>
      </w:r>
      <w:proofErr w:type="spellEnd"/>
      <w:r w:rsidR="00C17A08">
        <w:rPr>
          <w:rFonts w:asciiTheme="majorBidi" w:eastAsia="Times New Roman" w:hAnsiTheme="majorBidi" w:cstheme="majorBidi"/>
          <w:color w:val="0E101A"/>
          <w:sz w:val="24"/>
          <w:szCs w:val="24"/>
        </w:rPr>
        <w:t xml:space="preserve"> et al. </w:t>
      </w:r>
      <w:r w:rsidR="00C50C66" w:rsidRPr="00C50C66">
        <w:rPr>
          <w:rFonts w:asciiTheme="majorBidi" w:eastAsia="Times New Roman" w:hAnsiTheme="majorBidi" w:cstheme="majorBidi"/>
          <w:color w:val="0E101A"/>
          <w:sz w:val="24"/>
          <w:szCs w:val="24"/>
        </w:rPr>
        <w:t>study the nature and origin of binucleate cells in human preimplantation embryos: relevance to placental mesenchymal dysplasia</w:t>
      </w:r>
      <w:r w:rsidR="00C17A08">
        <w:rPr>
          <w:rFonts w:asciiTheme="majorBidi" w:eastAsia="Times New Roman" w:hAnsiTheme="majorBidi" w:cstheme="majorBidi"/>
          <w:color w:val="0E101A"/>
          <w:sz w:val="24"/>
          <w:szCs w:val="24"/>
        </w:rPr>
        <w:t xml:space="preserve"> </w:t>
      </w:r>
      <w:r w:rsidR="00C17A08" w:rsidRPr="00DC3EC2">
        <w:rPr>
          <w:rFonts w:asciiTheme="majorBidi" w:eastAsia="Times New Roman" w:hAnsiTheme="majorBidi" w:cstheme="majorBidi"/>
          <w:b/>
          <w:bCs/>
          <w:color w:val="0E101A"/>
          <w:sz w:val="24"/>
          <w:szCs w:val="24"/>
        </w:rPr>
        <w:t>[59</w:t>
      </w:r>
      <w:r w:rsidR="00C17A08">
        <w:rPr>
          <w:rFonts w:asciiTheme="majorBidi" w:eastAsia="Times New Roman" w:hAnsiTheme="majorBidi" w:cstheme="majorBidi"/>
          <w:b/>
          <w:bCs/>
          <w:color w:val="0E101A"/>
          <w:sz w:val="24"/>
          <w:szCs w:val="24"/>
        </w:rPr>
        <w:t>]</w:t>
      </w:r>
      <w:r w:rsidR="00C50C66" w:rsidRPr="00C50C66">
        <w:rPr>
          <w:rFonts w:asciiTheme="majorBidi" w:eastAsia="Times New Roman" w:hAnsiTheme="majorBidi" w:cstheme="majorBidi"/>
          <w:color w:val="0E101A"/>
          <w:sz w:val="24"/>
          <w:szCs w:val="24"/>
        </w:rPr>
        <w:t xml:space="preserve">. The study focused on understanding the formation of binucleate cells (Binucleate Blastomeres) in human embryos during the early stages of preimplantation development, to investigate the origin and mechanism of these cells, taken biopsies from embryo making an analysis and suggested that binucleate cells form due to the inactivity of cell-cycle checkpoint genes during the early stages of embryo development </w:t>
      </w:r>
      <w:r w:rsidR="00C50C66"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60</w:t>
      </w:r>
      <w:r w:rsidR="00C50C66" w:rsidRPr="00DC3EC2">
        <w:rPr>
          <w:rFonts w:asciiTheme="majorBidi" w:eastAsia="Times New Roman" w:hAnsiTheme="majorBidi" w:cstheme="majorBidi"/>
          <w:b/>
          <w:bCs/>
          <w:color w:val="0E101A"/>
          <w:sz w:val="24"/>
          <w:szCs w:val="24"/>
        </w:rPr>
        <w:t>],</w:t>
      </w:r>
      <w:r w:rsidR="00C50C66" w:rsidRPr="00C50C66">
        <w:rPr>
          <w:rFonts w:asciiTheme="majorBidi" w:eastAsia="Times New Roman" w:hAnsiTheme="majorBidi" w:cstheme="majorBidi"/>
          <w:color w:val="0E101A"/>
          <w:sz w:val="24"/>
          <w:szCs w:val="24"/>
        </w:rPr>
        <w:t xml:space="preserve"> this leads to tetraploid mosaicism, which is associated with arrested embryos and poor development </w:t>
      </w:r>
      <w:r w:rsidR="00C50C66"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61</w:t>
      </w:r>
      <w:r w:rsidR="00C50C66" w:rsidRPr="00DC3EC2">
        <w:rPr>
          <w:rFonts w:asciiTheme="majorBidi" w:eastAsia="Times New Roman" w:hAnsiTheme="majorBidi" w:cstheme="majorBidi"/>
          <w:b/>
          <w:bCs/>
          <w:color w:val="0E101A"/>
          <w:sz w:val="24"/>
          <w:szCs w:val="24"/>
        </w:rPr>
        <w:t>].</w:t>
      </w:r>
    </w:p>
    <w:p w14:paraId="39ACBF91" w14:textId="3D427D5C" w:rsidR="00947A8A" w:rsidRPr="00EB6083" w:rsidRDefault="00947A8A" w:rsidP="00C50C66">
      <w:pPr>
        <w:spacing w:after="0" w:line="360" w:lineRule="auto"/>
        <w:jc w:val="both"/>
        <w:rPr>
          <w:rFonts w:asciiTheme="majorBidi" w:eastAsia="Times New Roman" w:hAnsiTheme="majorBidi" w:cstheme="majorBidi"/>
          <w:color w:val="0E101A"/>
          <w:sz w:val="24"/>
          <w:szCs w:val="24"/>
        </w:rPr>
      </w:pPr>
    </w:p>
    <w:p w14:paraId="333DEC5A" w14:textId="77777777" w:rsidR="00F93CB8" w:rsidRDefault="00947A8A" w:rsidP="004867D5">
      <w:pPr>
        <w:spacing w:after="0" w:line="360" w:lineRule="auto"/>
        <w:jc w:val="center"/>
        <w:rPr>
          <w:rFonts w:asciiTheme="majorBidi" w:eastAsia="Times New Roman" w:hAnsiTheme="majorBidi" w:cstheme="majorBidi"/>
          <w:b/>
          <w:bCs/>
          <w:color w:val="0E101A"/>
          <w:sz w:val="24"/>
          <w:szCs w:val="24"/>
        </w:rPr>
      </w:pPr>
      <w:r w:rsidRPr="00947A8A">
        <w:rPr>
          <w:rFonts w:asciiTheme="majorBidi" w:eastAsia="Times New Roman" w:hAnsiTheme="majorBidi" w:cstheme="majorBidi"/>
          <w:b/>
          <w:bCs/>
          <w:color w:val="0E101A"/>
          <w:sz w:val="24"/>
          <w:szCs w:val="24"/>
        </w:rPr>
        <w:lastRenderedPageBreak/>
        <w:t>Fig. 10. Nuclear abnormalities seen in human preimplantation embryos [</w:t>
      </w:r>
      <w:r w:rsidR="0006459D">
        <w:rPr>
          <w:rFonts w:asciiTheme="majorBidi" w:eastAsia="Times New Roman" w:hAnsiTheme="majorBidi" w:cstheme="majorBidi" w:hint="cs"/>
          <w:b/>
          <w:bCs/>
          <w:color w:val="0E101A"/>
          <w:sz w:val="24"/>
          <w:szCs w:val="24"/>
          <w:rtl/>
        </w:rPr>
        <w:t>59</w:t>
      </w:r>
      <w:r w:rsidRPr="00947A8A">
        <w:rPr>
          <w:rFonts w:asciiTheme="majorBidi" w:eastAsia="Times New Roman" w:hAnsiTheme="majorBidi" w:cstheme="majorBidi"/>
          <w:b/>
          <w:bCs/>
          <w:color w:val="0E101A"/>
          <w:sz w:val="24"/>
          <w:szCs w:val="24"/>
        </w:rPr>
        <w:t>].</w:t>
      </w:r>
    </w:p>
    <w:p w14:paraId="69A107E4" w14:textId="77777777" w:rsidR="00947A8A" w:rsidRDefault="00947A8A" w:rsidP="00C10DD5">
      <w:pPr>
        <w:spacing w:after="0" w:line="360" w:lineRule="auto"/>
        <w:jc w:val="both"/>
        <w:rPr>
          <w:rFonts w:asciiTheme="majorBidi" w:eastAsia="Times New Roman" w:hAnsiTheme="majorBidi" w:cstheme="majorBidi"/>
          <w:b/>
          <w:bCs/>
          <w:color w:val="0E101A"/>
          <w:sz w:val="24"/>
          <w:szCs w:val="24"/>
        </w:rPr>
      </w:pPr>
    </w:p>
    <w:p w14:paraId="61B8B5CE" w14:textId="77777777" w:rsidR="00B40673" w:rsidRDefault="00B40673"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2.2. </w:t>
      </w:r>
      <w:r w:rsidRPr="00B40673">
        <w:rPr>
          <w:rFonts w:asciiTheme="majorBidi" w:eastAsia="Times New Roman" w:hAnsiTheme="majorBidi" w:cstheme="majorBidi"/>
          <w:b/>
          <w:bCs/>
          <w:color w:val="0E101A"/>
          <w:sz w:val="24"/>
          <w:szCs w:val="24"/>
        </w:rPr>
        <w:t>Binucleated cells in infections</w:t>
      </w:r>
    </w:p>
    <w:p w14:paraId="062382F8" w14:textId="77777777" w:rsidR="003C4060" w:rsidRPr="003C4060" w:rsidRDefault="003C4060" w:rsidP="003C4060">
      <w:pPr>
        <w:spacing w:after="0" w:line="360" w:lineRule="auto"/>
        <w:jc w:val="both"/>
        <w:rPr>
          <w:rFonts w:asciiTheme="majorBidi" w:eastAsia="Times New Roman" w:hAnsiTheme="majorBidi" w:cstheme="majorBidi"/>
          <w:b/>
          <w:bCs/>
          <w:color w:val="0E101A"/>
          <w:sz w:val="24"/>
          <w:szCs w:val="24"/>
        </w:rPr>
      </w:pPr>
      <w:r w:rsidRPr="003C4060">
        <w:rPr>
          <w:rFonts w:asciiTheme="majorBidi" w:eastAsia="Times New Roman" w:hAnsiTheme="majorBidi" w:cstheme="majorBidi"/>
          <w:b/>
          <w:bCs/>
          <w:color w:val="0E101A"/>
          <w:sz w:val="24"/>
          <w:szCs w:val="24"/>
        </w:rPr>
        <w:t>2.2.1. HPV Infections</w:t>
      </w:r>
    </w:p>
    <w:p w14:paraId="1B64237C" w14:textId="298B3F30" w:rsidR="003C4060" w:rsidRDefault="003C4060" w:rsidP="002A5B0B">
      <w:pPr>
        <w:spacing w:after="0" w:line="360" w:lineRule="auto"/>
        <w:jc w:val="both"/>
        <w:rPr>
          <w:rFonts w:asciiTheme="majorBidi" w:eastAsia="Times New Roman" w:hAnsiTheme="majorBidi" w:cstheme="majorBidi"/>
          <w:color w:val="0E101A"/>
          <w:sz w:val="24"/>
          <w:szCs w:val="24"/>
        </w:rPr>
      </w:pPr>
      <w:r w:rsidRPr="003C4060">
        <w:rPr>
          <w:rFonts w:asciiTheme="majorBidi" w:eastAsia="Times New Roman" w:hAnsiTheme="majorBidi" w:cstheme="majorBidi"/>
          <w:color w:val="0E101A"/>
          <w:sz w:val="24"/>
          <w:szCs w:val="24"/>
        </w:rPr>
        <w:t>Binucleated cells serve as key markers in HPV-related infections. Okayama et al. identified binucleated cells as the most prevalent cytological marker in anal Pap smears of HIV-positive patients, aiding in the early detection of anal intraepithelial neoplasia (AIN)</w:t>
      </w:r>
      <w:r w:rsidR="002A5B0B">
        <w:rPr>
          <w:rFonts w:asciiTheme="majorBidi" w:eastAsia="Times New Roman" w:hAnsiTheme="majorBidi" w:cstheme="majorBidi"/>
          <w:color w:val="0E101A"/>
          <w:sz w:val="24"/>
          <w:szCs w:val="24"/>
        </w:rPr>
        <w:t xml:space="preserve"> </w:t>
      </w:r>
      <w:r w:rsidR="002A5B0B" w:rsidRPr="00DC3EC2">
        <w:rPr>
          <w:rFonts w:asciiTheme="majorBidi" w:eastAsia="Times New Roman" w:hAnsiTheme="majorBidi" w:cstheme="majorBidi"/>
          <w:b/>
          <w:bCs/>
          <w:color w:val="0E101A"/>
          <w:sz w:val="24"/>
          <w:szCs w:val="24"/>
        </w:rPr>
        <w:t>[62]</w:t>
      </w:r>
      <w:r w:rsidRPr="003C4060">
        <w:rPr>
          <w:rFonts w:asciiTheme="majorBidi" w:eastAsia="Times New Roman" w:hAnsiTheme="majorBidi" w:cstheme="majorBidi"/>
          <w:color w:val="0E101A"/>
          <w:sz w:val="24"/>
          <w:szCs w:val="24"/>
        </w:rPr>
        <w:t xml:space="preserve">. </w:t>
      </w:r>
      <w:proofErr w:type="spellStart"/>
      <w:r w:rsidRPr="003C4060">
        <w:rPr>
          <w:rFonts w:asciiTheme="majorBidi" w:eastAsia="Times New Roman" w:hAnsiTheme="majorBidi" w:cstheme="majorBidi"/>
          <w:color w:val="0E101A"/>
          <w:sz w:val="24"/>
          <w:szCs w:val="24"/>
        </w:rPr>
        <w:t>Okodo</w:t>
      </w:r>
      <w:proofErr w:type="spellEnd"/>
      <w:r w:rsidRPr="003C4060">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63</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and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64</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differentiated between binucleation in high-risk HPV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 xml:space="preserve">-HPV) and candida infections, noting that binucleated cells with positive compression are predominantly linked to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whereas reactive cellular changes (RCC) in candida infections are inflammation-driven. Okayama et al. [</w:t>
      </w:r>
      <w:r w:rsidR="00DC3EC2">
        <w:rPr>
          <w:rFonts w:asciiTheme="majorBidi" w:eastAsia="Times New Roman" w:hAnsiTheme="majorBidi" w:cstheme="majorBidi"/>
          <w:color w:val="0E101A"/>
          <w:sz w:val="24"/>
          <w:szCs w:val="24"/>
        </w:rPr>
        <w:t>65</w:t>
      </w:r>
      <w:r w:rsidRPr="003C4060">
        <w:rPr>
          <w:rFonts w:asciiTheme="majorBidi" w:eastAsia="Times New Roman" w:hAnsiTheme="majorBidi" w:cstheme="majorBidi"/>
          <w:color w:val="0E101A"/>
          <w:sz w:val="24"/>
          <w:szCs w:val="24"/>
        </w:rPr>
        <w:t xml:space="preserve">] confirmed the predictive value of </w:t>
      </w:r>
      <w:proofErr w:type="spellStart"/>
      <w:r w:rsidRPr="003C4060">
        <w:rPr>
          <w:rFonts w:asciiTheme="majorBidi" w:eastAsia="Times New Roman" w:hAnsiTheme="majorBidi" w:cstheme="majorBidi"/>
          <w:color w:val="0E101A"/>
          <w:sz w:val="24"/>
          <w:szCs w:val="24"/>
        </w:rPr>
        <w:t>binucleated</w:t>
      </w:r>
      <w:proofErr w:type="spellEnd"/>
      <w:r w:rsidRPr="003C4060">
        <w:rPr>
          <w:rFonts w:asciiTheme="majorBidi" w:eastAsia="Times New Roman" w:hAnsiTheme="majorBidi" w:cstheme="majorBidi"/>
          <w:color w:val="0E101A"/>
          <w:sz w:val="24"/>
          <w:szCs w:val="24"/>
        </w:rPr>
        <w:t xml:space="preserve"> cells in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infections, supporting early identification of HPV-related cancers.</w:t>
      </w:r>
      <w:r w:rsidR="00B40673">
        <w:rPr>
          <w:rFonts w:asciiTheme="majorBidi" w:eastAsia="Times New Roman" w:hAnsiTheme="majorBidi" w:cstheme="majorBidi"/>
          <w:color w:val="0E101A"/>
          <w:sz w:val="24"/>
          <w:szCs w:val="24"/>
        </w:rPr>
        <w:t xml:space="preserve"> </w:t>
      </w:r>
    </w:p>
    <w:p w14:paraId="6BB21925" w14:textId="77777777" w:rsidR="00B40673" w:rsidRPr="003C4060" w:rsidRDefault="00B40673" w:rsidP="00B40673">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noProof/>
          <w:color w:val="0E101A"/>
          <w:sz w:val="24"/>
          <w:szCs w:val="24"/>
        </w:rPr>
        <w:drawing>
          <wp:anchor distT="0" distB="0" distL="114300" distR="114300" simplePos="0" relativeHeight="251673600" behindDoc="0" locked="0" layoutInCell="1" allowOverlap="1" wp14:anchorId="6CAB5D18" wp14:editId="01C6BB57">
            <wp:simplePos x="0" y="0"/>
            <wp:positionH relativeFrom="margin">
              <wp:posOffset>216535</wp:posOffset>
            </wp:positionH>
            <wp:positionV relativeFrom="paragraph">
              <wp:posOffset>48260</wp:posOffset>
            </wp:positionV>
            <wp:extent cx="4928235" cy="2440305"/>
            <wp:effectExtent l="0" t="0" r="5715" b="0"/>
            <wp:wrapThrough wrapText="bothSides">
              <wp:wrapPolygon edited="0">
                <wp:start x="0" y="0"/>
                <wp:lineTo x="0" y="21415"/>
                <wp:lineTo x="21542" y="21415"/>
                <wp:lineTo x="2154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4">
                      <a:extLst>
                        <a:ext uri="{28A0092B-C50C-407E-A947-70E740481C1C}">
                          <a14:useLocalDpi xmlns:a14="http://schemas.microsoft.com/office/drawing/2010/main" val="0"/>
                        </a:ext>
                      </a:extLst>
                    </a:blip>
                    <a:stretch>
                      <a:fillRect/>
                    </a:stretch>
                  </pic:blipFill>
                  <pic:spPr>
                    <a:xfrm>
                      <a:off x="0" y="0"/>
                      <a:ext cx="4928235" cy="2440305"/>
                    </a:xfrm>
                    <a:prstGeom prst="rect">
                      <a:avLst/>
                    </a:prstGeom>
                  </pic:spPr>
                </pic:pic>
              </a:graphicData>
            </a:graphic>
            <wp14:sizeRelH relativeFrom="page">
              <wp14:pctWidth>0</wp14:pctWidth>
            </wp14:sizeRelH>
            <wp14:sizeRelV relativeFrom="page">
              <wp14:pctHeight>0</wp14:pctHeight>
            </wp14:sizeRelV>
          </wp:anchor>
        </w:drawing>
      </w:r>
    </w:p>
    <w:p w14:paraId="2A7B9D20"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34791B1"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BAD0E9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9148D4B"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347D4E1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6289128"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1D55811A"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7446868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0A4D3B2" w14:textId="77777777" w:rsidR="008874D0" w:rsidRDefault="00B40673" w:rsidP="00DC3EC2">
      <w:pPr>
        <w:spacing w:after="0"/>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sidRPr="00B40673">
        <w:rPr>
          <w:rFonts w:asciiTheme="majorBidi" w:eastAsia="Times New Roman" w:hAnsiTheme="majorBidi" w:cstheme="majorBidi"/>
          <w:b/>
          <w:bCs/>
          <w:color w:val="0E101A"/>
          <w:sz w:val="24"/>
          <w:szCs w:val="24"/>
        </w:rPr>
        <w:t>11.</w:t>
      </w:r>
      <w:r>
        <w:rPr>
          <w:rFonts w:asciiTheme="majorBidi" w:eastAsia="Times New Roman" w:hAnsiTheme="majorBidi" w:cstheme="majorBidi"/>
          <w:b/>
          <w:bCs/>
          <w:color w:val="0E101A"/>
          <w:sz w:val="24"/>
          <w:szCs w:val="24"/>
        </w:rPr>
        <w:t xml:space="preserve"> </w:t>
      </w:r>
      <w:r w:rsidRPr="00B40673">
        <w:rPr>
          <w:rFonts w:asciiTheme="majorBidi" w:eastAsia="Times New Roman" w:hAnsiTheme="majorBidi" w:cstheme="majorBidi"/>
          <w:b/>
          <w:bCs/>
          <w:color w:val="0E101A"/>
          <w:sz w:val="24"/>
          <w:szCs w:val="24"/>
        </w:rPr>
        <w:t>Compression-Positive Binucleated Cells: (a) Pap staining (40×), (b) positive nuclear staining by in situ PCR with high-risk-HPV-specific primers (40×). Compression-negative binucleated cells: (c) Pap staining (40×), d) negative nuclear staining by in situ PCR with high-risk-HPV-specific primers (40×) [</w:t>
      </w:r>
      <w:r w:rsidR="00DC3EC2">
        <w:rPr>
          <w:rFonts w:asciiTheme="majorBidi" w:eastAsia="Times New Roman" w:hAnsiTheme="majorBidi" w:cstheme="majorBidi"/>
          <w:b/>
          <w:bCs/>
          <w:color w:val="0E101A"/>
          <w:sz w:val="24"/>
          <w:szCs w:val="24"/>
        </w:rPr>
        <w:t>63</w:t>
      </w:r>
      <w:r w:rsidRPr="00B40673">
        <w:rPr>
          <w:rFonts w:asciiTheme="majorBidi" w:eastAsia="Times New Roman" w:hAnsiTheme="majorBidi" w:cstheme="majorBidi"/>
          <w:b/>
          <w:bCs/>
          <w:color w:val="0E101A"/>
          <w:sz w:val="24"/>
          <w:szCs w:val="24"/>
        </w:rPr>
        <w:t>].</w:t>
      </w:r>
    </w:p>
    <w:p w14:paraId="5E5A32E5" w14:textId="77777777" w:rsidR="00B40673" w:rsidRDefault="00B40673" w:rsidP="00B40673">
      <w:pPr>
        <w:spacing w:after="0"/>
        <w:jc w:val="both"/>
        <w:rPr>
          <w:rFonts w:asciiTheme="majorBidi" w:eastAsia="Times New Roman" w:hAnsiTheme="majorBidi" w:cstheme="majorBidi"/>
          <w:b/>
          <w:bCs/>
          <w:color w:val="0E101A"/>
          <w:sz w:val="24"/>
          <w:szCs w:val="24"/>
        </w:rPr>
      </w:pPr>
    </w:p>
    <w:p w14:paraId="455F763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2.2.2. Meningitis</w:t>
      </w:r>
    </w:p>
    <w:p w14:paraId="7A474C49" w14:textId="5A432BB6" w:rsidR="00B40673" w:rsidRDefault="00F35084" w:rsidP="00F35084">
      <w:pPr>
        <w:spacing w:after="0" w:line="360" w:lineRule="auto"/>
        <w:jc w:val="both"/>
        <w:rPr>
          <w:rFonts w:asciiTheme="majorBidi" w:eastAsia="Times New Roman" w:hAnsiTheme="majorBidi" w:cstheme="majorBidi"/>
          <w:color w:val="0E101A"/>
          <w:sz w:val="24"/>
          <w:szCs w:val="24"/>
        </w:rPr>
      </w:pPr>
      <w:proofErr w:type="spellStart"/>
      <w:r>
        <w:rPr>
          <w:rFonts w:asciiTheme="majorBidi" w:eastAsia="Times New Roman" w:hAnsiTheme="majorBidi" w:cstheme="majorBidi"/>
          <w:color w:val="0E101A"/>
          <w:sz w:val="24"/>
          <w:szCs w:val="24"/>
        </w:rPr>
        <w:t>Delc</w:t>
      </w:r>
      <w:proofErr w:type="spellEnd"/>
      <w:r>
        <w:rPr>
          <w:rFonts w:asciiTheme="majorBidi" w:eastAsia="Times New Roman" w:hAnsiTheme="majorBidi" w:cstheme="majorBidi"/>
          <w:color w:val="0E101A"/>
          <w:sz w:val="24"/>
          <w:szCs w:val="24"/>
        </w:rPr>
        <w:t xml:space="preserve"> et al. </w:t>
      </w:r>
      <w:r w:rsidR="00B40673" w:rsidRPr="00B40673">
        <w:rPr>
          <w:rFonts w:asciiTheme="majorBidi" w:eastAsia="Times New Roman" w:hAnsiTheme="majorBidi" w:cstheme="majorBidi"/>
          <w:color w:val="0E101A"/>
          <w:sz w:val="24"/>
          <w:szCs w:val="24"/>
        </w:rPr>
        <w:t>analyzed cerebrospinal fluid (CSF) cytology in viral meningitis and meningoencephalitis, observing binucleated lymphocytes and plasma cells as markers of intense immune activation. These findings reflect the robust immune response to viral inflammation and ass</w:t>
      </w:r>
      <w:r>
        <w:rPr>
          <w:rFonts w:asciiTheme="majorBidi" w:eastAsia="Times New Roman" w:hAnsiTheme="majorBidi" w:cstheme="majorBidi"/>
          <w:color w:val="0E101A"/>
          <w:sz w:val="24"/>
          <w:szCs w:val="24"/>
        </w:rPr>
        <w:t xml:space="preserve">ist in disease characterization </w:t>
      </w:r>
      <w:r w:rsidRPr="00DC3EC2">
        <w:rPr>
          <w:rFonts w:asciiTheme="majorBidi" w:eastAsia="Times New Roman" w:hAnsiTheme="majorBidi" w:cstheme="majorBidi"/>
          <w:b/>
          <w:bCs/>
          <w:color w:val="0E101A"/>
          <w:sz w:val="24"/>
          <w:szCs w:val="24"/>
        </w:rPr>
        <w:t>[66]</w:t>
      </w:r>
      <w:r>
        <w:rPr>
          <w:rFonts w:asciiTheme="majorBidi" w:eastAsia="Times New Roman" w:hAnsiTheme="majorBidi" w:cstheme="majorBidi"/>
          <w:color w:val="0E101A"/>
          <w:sz w:val="24"/>
          <w:szCs w:val="24"/>
        </w:rPr>
        <w:t>.</w:t>
      </w:r>
    </w:p>
    <w:p w14:paraId="3A138875" w14:textId="0E75EFF0" w:rsidR="004867D5" w:rsidRPr="00B40673" w:rsidRDefault="004867D5" w:rsidP="00F35084">
      <w:pPr>
        <w:spacing w:after="0" w:line="360" w:lineRule="auto"/>
        <w:jc w:val="both"/>
        <w:rPr>
          <w:rFonts w:asciiTheme="majorBidi" w:eastAsia="Times New Roman" w:hAnsiTheme="majorBidi" w:cstheme="majorBidi"/>
          <w:color w:val="0E101A"/>
          <w:sz w:val="24"/>
          <w:szCs w:val="24"/>
        </w:rPr>
      </w:pPr>
    </w:p>
    <w:p w14:paraId="1C4675B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lastRenderedPageBreak/>
        <w:t>2.2.3. HSV Infections</w:t>
      </w:r>
    </w:p>
    <w:p w14:paraId="561EEE95" w14:textId="0EAD730F" w:rsidR="00B40673" w:rsidRPr="00B40673" w:rsidRDefault="0054718D" w:rsidP="0054718D">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color w:val="0E101A"/>
          <w:sz w:val="24"/>
          <w:szCs w:val="24"/>
        </w:rPr>
        <w:t xml:space="preserve">Kannan et al. </w:t>
      </w:r>
      <w:r w:rsidR="00B40673" w:rsidRPr="00B40673">
        <w:rPr>
          <w:rFonts w:asciiTheme="majorBidi" w:eastAsia="Times New Roman" w:hAnsiTheme="majorBidi" w:cstheme="majorBidi"/>
          <w:color w:val="0E101A"/>
          <w:sz w:val="24"/>
          <w:szCs w:val="24"/>
        </w:rPr>
        <w:t>described binucleated cells as a hallmark feature in HSV infections, especially in Papani</w:t>
      </w:r>
      <w:r>
        <w:rPr>
          <w:rFonts w:asciiTheme="majorBidi" w:eastAsia="Times New Roman" w:hAnsiTheme="majorBidi" w:cstheme="majorBidi"/>
          <w:color w:val="0E101A"/>
          <w:sz w:val="24"/>
          <w:szCs w:val="24"/>
        </w:rPr>
        <w:t xml:space="preserve">colaou-stained cervical smears </w:t>
      </w:r>
      <w:r w:rsidRPr="00DC3EC2">
        <w:rPr>
          <w:rFonts w:asciiTheme="majorBidi" w:eastAsia="Times New Roman" w:hAnsiTheme="majorBidi" w:cstheme="majorBidi"/>
          <w:b/>
          <w:bCs/>
          <w:color w:val="0E101A"/>
          <w:sz w:val="24"/>
          <w:szCs w:val="24"/>
        </w:rPr>
        <w:t>[67]</w:t>
      </w:r>
      <w:r>
        <w:rPr>
          <w:rFonts w:asciiTheme="majorBidi" w:eastAsia="Times New Roman" w:hAnsiTheme="majorBidi" w:cstheme="majorBidi"/>
          <w:color w:val="0E101A"/>
          <w:sz w:val="24"/>
          <w:szCs w:val="24"/>
        </w:rPr>
        <w:t xml:space="preserve">. </w:t>
      </w:r>
      <w:r w:rsidR="00B40673" w:rsidRPr="00B40673">
        <w:rPr>
          <w:rFonts w:asciiTheme="majorBidi" w:eastAsia="Times New Roman" w:hAnsiTheme="majorBidi" w:cstheme="majorBidi"/>
          <w:color w:val="0E101A"/>
          <w:sz w:val="24"/>
          <w:szCs w:val="24"/>
        </w:rPr>
        <w:t xml:space="preserve">These cells exhibit nuclear molding, intranuclear inclusions, and a ground-glass appearance, serving as a crucial diagnostic marker for reducing misdiagnosis and unnecessary interventions </w:t>
      </w:r>
      <w:r w:rsidR="00B40673" w:rsidRPr="00DC3EC2">
        <w:rPr>
          <w:rFonts w:asciiTheme="majorBidi" w:eastAsia="Times New Roman" w:hAnsiTheme="majorBidi" w:cstheme="majorBidi"/>
          <w:b/>
          <w:bCs/>
          <w:color w:val="0E101A"/>
          <w:sz w:val="24"/>
          <w:szCs w:val="24"/>
        </w:rPr>
        <w:t>[</w:t>
      </w:r>
      <w:r w:rsidR="00DC3EC2">
        <w:rPr>
          <w:rFonts w:asciiTheme="majorBidi" w:eastAsia="Times New Roman" w:hAnsiTheme="majorBidi" w:cstheme="majorBidi"/>
          <w:b/>
          <w:bCs/>
          <w:color w:val="0E101A"/>
          <w:sz w:val="24"/>
          <w:szCs w:val="24"/>
        </w:rPr>
        <w:t>68</w:t>
      </w:r>
      <w:r w:rsidR="00B40673" w:rsidRPr="00DC3EC2">
        <w:rPr>
          <w:rFonts w:asciiTheme="majorBidi" w:eastAsia="Times New Roman" w:hAnsiTheme="majorBidi" w:cstheme="majorBidi"/>
          <w:b/>
          <w:bCs/>
          <w:color w:val="0E101A"/>
          <w:sz w:val="24"/>
          <w:szCs w:val="24"/>
        </w:rPr>
        <w:t>].</w:t>
      </w:r>
    </w:p>
    <w:p w14:paraId="7BB3A2B1"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2.2.4. Leishmaniasis</w:t>
      </w:r>
    </w:p>
    <w:p w14:paraId="357554F7" w14:textId="2D4DB1A9" w:rsidR="00B40673" w:rsidRDefault="00517D38" w:rsidP="00517D38">
      <w:pPr>
        <w:spacing w:after="0" w:line="360" w:lineRule="auto"/>
        <w:jc w:val="both"/>
        <w:rPr>
          <w:rFonts w:asciiTheme="majorBidi" w:eastAsia="Times New Roman" w:hAnsiTheme="majorBidi" w:cstheme="majorBidi"/>
          <w:color w:val="0E101A"/>
          <w:sz w:val="24"/>
          <w:szCs w:val="24"/>
        </w:rPr>
      </w:pPr>
      <w:proofErr w:type="spellStart"/>
      <w:r>
        <w:rPr>
          <w:rFonts w:asciiTheme="majorBidi" w:eastAsia="Times New Roman" w:hAnsiTheme="majorBidi" w:cstheme="majorBidi"/>
          <w:color w:val="0E101A"/>
          <w:sz w:val="24"/>
          <w:szCs w:val="24"/>
        </w:rPr>
        <w:t>Daneshbod</w:t>
      </w:r>
      <w:proofErr w:type="spellEnd"/>
      <w:r>
        <w:rPr>
          <w:rFonts w:asciiTheme="majorBidi" w:eastAsia="Times New Roman" w:hAnsiTheme="majorBidi" w:cstheme="majorBidi"/>
          <w:color w:val="0E101A"/>
          <w:sz w:val="24"/>
          <w:szCs w:val="24"/>
        </w:rPr>
        <w:t xml:space="preserve"> et al. </w:t>
      </w:r>
      <w:r w:rsidR="00B40673" w:rsidRPr="00B40673">
        <w:rPr>
          <w:rFonts w:asciiTheme="majorBidi" w:eastAsia="Times New Roman" w:hAnsiTheme="majorBidi" w:cstheme="majorBidi"/>
          <w:color w:val="0E101A"/>
          <w:sz w:val="24"/>
          <w:szCs w:val="24"/>
        </w:rPr>
        <w:t xml:space="preserve">highlighted </w:t>
      </w:r>
      <w:proofErr w:type="spellStart"/>
      <w:r w:rsidR="00B40673" w:rsidRPr="00B40673">
        <w:rPr>
          <w:rFonts w:asciiTheme="majorBidi" w:eastAsia="Times New Roman" w:hAnsiTheme="majorBidi" w:cstheme="majorBidi"/>
          <w:color w:val="0E101A"/>
          <w:sz w:val="24"/>
          <w:szCs w:val="24"/>
        </w:rPr>
        <w:t>binucleated</w:t>
      </w:r>
      <w:proofErr w:type="spellEnd"/>
      <w:r w:rsidR="00B40673" w:rsidRPr="00B40673">
        <w:rPr>
          <w:rFonts w:asciiTheme="majorBidi" w:eastAsia="Times New Roman" w:hAnsiTheme="majorBidi" w:cstheme="majorBidi"/>
          <w:color w:val="0E101A"/>
          <w:sz w:val="24"/>
          <w:szCs w:val="24"/>
        </w:rPr>
        <w:t xml:space="preserve"> cells in mucosal leishmaniasis (ML) cases, often observed alongside Leishman-Donovan bodies, the causative agents of the disease. This combination supports accurate cytological and hi</w:t>
      </w:r>
      <w:r>
        <w:rPr>
          <w:rFonts w:asciiTheme="majorBidi" w:eastAsia="Times New Roman" w:hAnsiTheme="majorBidi" w:cstheme="majorBidi"/>
          <w:color w:val="0E101A"/>
          <w:sz w:val="24"/>
          <w:szCs w:val="24"/>
        </w:rPr>
        <w:t xml:space="preserve">stopathological diagnosis of ML </w:t>
      </w:r>
      <w:r w:rsidRPr="00DC3EC2">
        <w:rPr>
          <w:rFonts w:asciiTheme="majorBidi" w:eastAsia="Times New Roman" w:hAnsiTheme="majorBidi" w:cstheme="majorBidi"/>
          <w:b/>
          <w:bCs/>
          <w:color w:val="0E101A"/>
          <w:sz w:val="24"/>
          <w:szCs w:val="24"/>
        </w:rPr>
        <w:t>[69]</w:t>
      </w:r>
      <w:r>
        <w:rPr>
          <w:rFonts w:asciiTheme="majorBidi" w:eastAsia="Times New Roman" w:hAnsiTheme="majorBidi" w:cstheme="majorBidi"/>
          <w:color w:val="0E101A"/>
          <w:sz w:val="24"/>
          <w:szCs w:val="24"/>
        </w:rPr>
        <w:t xml:space="preserve">. </w:t>
      </w:r>
    </w:p>
    <w:p w14:paraId="71495A86" w14:textId="77777777" w:rsidR="0005021E" w:rsidRPr="007B05FA" w:rsidRDefault="007B05FA" w:rsidP="007B05FA">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2</w:t>
      </w:r>
      <w:r w:rsidR="0005021E" w:rsidRPr="007B05FA">
        <w:rPr>
          <w:rFonts w:asciiTheme="majorBidi" w:eastAsia="Times New Roman" w:hAnsiTheme="majorBidi" w:cstheme="majorBidi"/>
          <w:b/>
          <w:bCs/>
          <w:color w:val="0E101A"/>
          <w:sz w:val="24"/>
          <w:szCs w:val="24"/>
        </w:rPr>
        <w:t>.</w:t>
      </w:r>
      <w:r>
        <w:rPr>
          <w:rFonts w:asciiTheme="majorBidi" w:eastAsia="Times New Roman" w:hAnsiTheme="majorBidi" w:cstheme="majorBidi"/>
          <w:b/>
          <w:bCs/>
          <w:color w:val="0E101A"/>
          <w:sz w:val="24"/>
          <w:szCs w:val="24"/>
        </w:rPr>
        <w:t>3</w:t>
      </w:r>
      <w:r w:rsidR="0005021E" w:rsidRPr="007B05FA">
        <w:rPr>
          <w:rFonts w:asciiTheme="majorBidi" w:eastAsia="Times New Roman" w:hAnsiTheme="majorBidi" w:cstheme="majorBidi"/>
          <w:b/>
          <w:bCs/>
          <w:color w:val="0E101A"/>
          <w:sz w:val="24"/>
          <w:szCs w:val="24"/>
        </w:rPr>
        <w:t>.</w:t>
      </w:r>
      <w:r w:rsidRPr="007B05FA">
        <w:rPr>
          <w:rFonts w:asciiTheme="majorBidi" w:eastAsia="Times New Roman" w:hAnsiTheme="majorBidi" w:cstheme="majorBidi"/>
          <w:b/>
          <w:bCs/>
          <w:color w:val="0E101A"/>
          <w:sz w:val="24"/>
          <w:szCs w:val="24"/>
        </w:rPr>
        <w:t xml:space="preserve"> </w:t>
      </w:r>
      <w:r w:rsidR="0005021E" w:rsidRPr="007B05FA">
        <w:rPr>
          <w:rFonts w:asciiTheme="majorBidi" w:eastAsia="Times New Roman" w:hAnsiTheme="majorBidi" w:cstheme="majorBidi"/>
          <w:b/>
          <w:bCs/>
          <w:color w:val="0E101A"/>
          <w:sz w:val="24"/>
          <w:szCs w:val="24"/>
        </w:rPr>
        <w:t>Binucleated cells in cancer</w:t>
      </w:r>
    </w:p>
    <w:p w14:paraId="2622BBDF" w14:textId="7F82B4A7" w:rsidR="0066640F" w:rsidRPr="00B40673" w:rsidRDefault="00EA3DBF" w:rsidP="00D533EA">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5648" behindDoc="1" locked="0" layoutInCell="1" allowOverlap="1" wp14:anchorId="207806FF" wp14:editId="37B13436">
            <wp:simplePos x="0" y="0"/>
            <wp:positionH relativeFrom="page">
              <wp:posOffset>996950</wp:posOffset>
            </wp:positionH>
            <wp:positionV relativeFrom="paragraph">
              <wp:posOffset>2132330</wp:posOffset>
            </wp:positionV>
            <wp:extent cx="5909945" cy="2355850"/>
            <wp:effectExtent l="0" t="0" r="0" b="635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5909945" cy="2355850"/>
                    </a:xfrm>
                    <a:prstGeom prst="rect">
                      <a:avLst/>
                    </a:prstGeom>
                  </pic:spPr>
                </pic:pic>
              </a:graphicData>
            </a:graphic>
            <wp14:sizeRelV relativeFrom="margin">
              <wp14:pctHeight>0</wp14:pctHeight>
            </wp14:sizeRelV>
          </wp:anchor>
        </w:drawing>
      </w:r>
      <w:r w:rsidR="00D533EA">
        <w:rPr>
          <w:rFonts w:asciiTheme="majorBidi" w:eastAsia="Times New Roman" w:hAnsiTheme="majorBidi" w:cstheme="majorBidi"/>
          <w:color w:val="0E101A"/>
          <w:sz w:val="24"/>
          <w:szCs w:val="24"/>
        </w:rPr>
        <w:t xml:space="preserve">Blanco et al. </w:t>
      </w:r>
      <w:r w:rsidR="0005021E" w:rsidRPr="0005021E">
        <w:rPr>
          <w:rFonts w:asciiTheme="majorBidi" w:eastAsia="Times New Roman" w:hAnsiTheme="majorBidi" w:cstheme="majorBidi"/>
          <w:color w:val="0E101A"/>
          <w:sz w:val="24"/>
          <w:szCs w:val="24"/>
        </w:rPr>
        <w:t>studied bi- and multinucleated cells as a histological marker that can be used to differentiate between various types of lobular carcinoma in situ (LCIS) and ductal carcinoma i</w:t>
      </w:r>
      <w:r w:rsidR="00D533EA">
        <w:rPr>
          <w:rFonts w:asciiTheme="majorBidi" w:eastAsia="Times New Roman" w:hAnsiTheme="majorBidi" w:cstheme="majorBidi"/>
          <w:color w:val="0E101A"/>
          <w:sz w:val="24"/>
          <w:szCs w:val="24"/>
        </w:rPr>
        <w:t xml:space="preserve">n situ (DCIS) in breast tissue </w:t>
      </w:r>
      <w:r w:rsidR="00D533EA" w:rsidRPr="00DC3EC2">
        <w:rPr>
          <w:rFonts w:asciiTheme="majorBidi" w:eastAsia="Times New Roman" w:hAnsiTheme="majorBidi" w:cstheme="majorBidi"/>
          <w:b/>
          <w:bCs/>
          <w:color w:val="0E101A"/>
          <w:sz w:val="24"/>
          <w:szCs w:val="24"/>
        </w:rPr>
        <w:t>[70</w:t>
      </w:r>
      <w:r w:rsidR="00D533EA">
        <w:rPr>
          <w:rFonts w:asciiTheme="majorBidi" w:eastAsia="Times New Roman" w:hAnsiTheme="majorBidi" w:cstheme="majorBidi"/>
          <w:b/>
          <w:bCs/>
          <w:color w:val="0E101A"/>
          <w:sz w:val="24"/>
          <w:szCs w:val="24"/>
        </w:rPr>
        <w:t xml:space="preserve">]. </w:t>
      </w:r>
      <w:r w:rsidR="0005021E" w:rsidRPr="0005021E">
        <w:rPr>
          <w:rFonts w:asciiTheme="majorBidi" w:eastAsia="Times New Roman" w:hAnsiTheme="majorBidi" w:cstheme="majorBidi"/>
          <w:color w:val="0E101A"/>
          <w:sz w:val="24"/>
          <w:szCs w:val="24"/>
        </w:rPr>
        <w:t>It focuses on comparing three types: Classic lobular carcinoma in situ (CLCIS), Pleomorphic lobular carcinoma in situ (PLCIS)</w:t>
      </w:r>
      <w:r w:rsidR="00D533EA">
        <w:rPr>
          <w:rFonts w:asciiTheme="majorBidi" w:eastAsia="Times New Roman" w:hAnsiTheme="majorBidi" w:cstheme="majorBidi"/>
          <w:color w:val="0E101A"/>
          <w:sz w:val="24"/>
          <w:szCs w:val="24"/>
        </w:rPr>
        <w:t>,</w:t>
      </w:r>
      <w:r w:rsidR="0005021E" w:rsidRPr="0005021E">
        <w:rPr>
          <w:rFonts w:asciiTheme="majorBidi" w:eastAsia="Times New Roman" w:hAnsiTheme="majorBidi" w:cstheme="majorBidi"/>
          <w:color w:val="0E101A"/>
          <w:sz w:val="24"/>
          <w:szCs w:val="24"/>
        </w:rPr>
        <w:t xml:space="preserve"> and Ductal carcinoma in situ (DCIS). To </w:t>
      </w:r>
      <w:r w:rsidR="00D533EA">
        <w:rPr>
          <w:rFonts w:asciiTheme="majorBidi" w:eastAsia="Times New Roman" w:hAnsiTheme="majorBidi" w:cstheme="majorBidi"/>
          <w:color w:val="0E101A"/>
          <w:sz w:val="24"/>
          <w:szCs w:val="24"/>
        </w:rPr>
        <w:t>enhance</w:t>
      </w:r>
      <w:r w:rsidR="0005021E" w:rsidRPr="0005021E">
        <w:rPr>
          <w:rFonts w:asciiTheme="majorBidi" w:eastAsia="Times New Roman" w:hAnsiTheme="majorBidi" w:cstheme="majorBidi"/>
          <w:color w:val="0E101A"/>
          <w:sz w:val="24"/>
          <w:szCs w:val="24"/>
        </w:rPr>
        <w:t xml:space="preserve"> the differential diagnosis between the subtypes of LCIS and DCIS and </w:t>
      </w:r>
      <w:r w:rsidR="00D533EA">
        <w:rPr>
          <w:rFonts w:asciiTheme="majorBidi" w:eastAsia="Times New Roman" w:hAnsiTheme="majorBidi" w:cstheme="majorBidi"/>
          <w:color w:val="0E101A"/>
          <w:sz w:val="24"/>
          <w:szCs w:val="24"/>
        </w:rPr>
        <w:t>highlight</w:t>
      </w:r>
      <w:r w:rsidR="0005021E" w:rsidRPr="0005021E">
        <w:rPr>
          <w:rFonts w:asciiTheme="majorBidi" w:eastAsia="Times New Roman" w:hAnsiTheme="majorBidi" w:cstheme="majorBidi"/>
          <w:color w:val="0E101A"/>
          <w:sz w:val="24"/>
          <w:szCs w:val="24"/>
        </w:rPr>
        <w:t xml:space="preserve"> the presence of bi- and multinucleated cells as an objective marker to facilitate diagnosis. they </w:t>
      </w:r>
      <w:r w:rsidR="00D533EA">
        <w:rPr>
          <w:rFonts w:asciiTheme="majorBidi" w:eastAsia="Times New Roman" w:hAnsiTheme="majorBidi" w:cstheme="majorBidi"/>
          <w:color w:val="0E101A"/>
          <w:sz w:val="24"/>
          <w:szCs w:val="24"/>
        </w:rPr>
        <w:t>found</w:t>
      </w:r>
      <w:r w:rsidR="0005021E" w:rsidRPr="0005021E">
        <w:rPr>
          <w:rFonts w:asciiTheme="majorBidi" w:eastAsia="Times New Roman" w:hAnsiTheme="majorBidi" w:cstheme="majorBidi"/>
          <w:color w:val="0E101A"/>
          <w:sz w:val="24"/>
          <w:szCs w:val="24"/>
        </w:rPr>
        <w:t xml:space="preserve"> that </w:t>
      </w:r>
      <w:proofErr w:type="spellStart"/>
      <w:r w:rsidR="0005021E" w:rsidRPr="0005021E">
        <w:rPr>
          <w:rFonts w:asciiTheme="majorBidi" w:eastAsia="Times New Roman" w:hAnsiTheme="majorBidi" w:cstheme="majorBidi"/>
          <w:color w:val="0E101A"/>
          <w:sz w:val="24"/>
          <w:szCs w:val="24"/>
        </w:rPr>
        <w:t>binucleated</w:t>
      </w:r>
      <w:proofErr w:type="spellEnd"/>
      <w:r w:rsidR="0005021E" w:rsidRPr="0005021E">
        <w:rPr>
          <w:rFonts w:asciiTheme="majorBidi" w:eastAsia="Times New Roman" w:hAnsiTheme="majorBidi" w:cstheme="majorBidi"/>
          <w:color w:val="0E101A"/>
          <w:sz w:val="24"/>
          <w:szCs w:val="24"/>
        </w:rPr>
        <w:t xml:space="preserve"> cells were more frequent in PLCIS (100% of cases) compared to CLCIS (54%) and DCIS (43%).</w:t>
      </w:r>
    </w:p>
    <w:p w14:paraId="1D8E10C9" w14:textId="77777777" w:rsidR="00B40673" w:rsidRDefault="00EA3DBF" w:rsidP="00DC3EC2">
      <w:pPr>
        <w:spacing w:after="0"/>
        <w:jc w:val="both"/>
        <w:rPr>
          <w:rFonts w:asciiTheme="majorBidi" w:eastAsia="Times New Roman" w:hAnsiTheme="majorBidi" w:cstheme="majorBidi"/>
          <w:b/>
          <w:bCs/>
          <w:color w:val="0E101A"/>
          <w:sz w:val="24"/>
          <w:szCs w:val="24"/>
        </w:rPr>
      </w:pPr>
      <w:r w:rsidRPr="00EA3DBF">
        <w:rPr>
          <w:rFonts w:asciiTheme="majorBidi" w:eastAsia="Times New Roman" w:hAnsiTheme="majorBidi" w:cstheme="majorBidi"/>
          <w:b/>
          <w:bCs/>
          <w:color w:val="0E101A"/>
          <w:sz w:val="24"/>
          <w:szCs w:val="24"/>
        </w:rPr>
        <w:t>Fig.12. Pleomorphic lobular carcinoma in situ demonstrating scattered binucleated and multinucleated cells [</w:t>
      </w:r>
      <w:r w:rsidR="00DC3EC2">
        <w:rPr>
          <w:rFonts w:asciiTheme="majorBidi" w:eastAsia="Times New Roman" w:hAnsiTheme="majorBidi" w:cstheme="majorBidi"/>
          <w:b/>
          <w:bCs/>
          <w:color w:val="0E101A"/>
          <w:sz w:val="24"/>
          <w:szCs w:val="24"/>
        </w:rPr>
        <w:t>70</w:t>
      </w:r>
      <w:r w:rsidRPr="00EA3DBF">
        <w:rPr>
          <w:rFonts w:asciiTheme="majorBidi" w:eastAsia="Times New Roman" w:hAnsiTheme="majorBidi" w:cstheme="majorBidi"/>
          <w:b/>
          <w:bCs/>
          <w:color w:val="0E101A"/>
          <w:sz w:val="24"/>
          <w:szCs w:val="24"/>
        </w:rPr>
        <w:t>].</w:t>
      </w:r>
    </w:p>
    <w:p w14:paraId="6E26C064" w14:textId="77777777" w:rsidR="00EA3DBF" w:rsidRDefault="00EA3DBF" w:rsidP="00B40673">
      <w:pPr>
        <w:spacing w:after="0"/>
        <w:jc w:val="both"/>
        <w:rPr>
          <w:rFonts w:asciiTheme="majorBidi" w:eastAsia="Times New Roman" w:hAnsiTheme="majorBidi" w:cstheme="majorBidi"/>
          <w:b/>
          <w:bCs/>
          <w:color w:val="0E101A"/>
          <w:sz w:val="24"/>
          <w:szCs w:val="24"/>
        </w:rPr>
      </w:pPr>
    </w:p>
    <w:p w14:paraId="5FAFA035" w14:textId="7DCD64A9" w:rsidR="00EA3DBF" w:rsidRPr="00916D58" w:rsidRDefault="00E75C2A" w:rsidP="00E75C2A">
      <w:pPr>
        <w:spacing w:after="0" w:line="360" w:lineRule="auto"/>
        <w:jc w:val="both"/>
        <w:rPr>
          <w:rFonts w:asciiTheme="majorBidi" w:eastAsia="Times New Roman" w:hAnsiTheme="majorBidi" w:cstheme="majorBidi"/>
          <w:color w:val="0E101A"/>
          <w:sz w:val="24"/>
          <w:szCs w:val="24"/>
        </w:rPr>
      </w:pPr>
      <w:proofErr w:type="spellStart"/>
      <w:r>
        <w:rPr>
          <w:rFonts w:asciiTheme="majorBidi" w:eastAsia="Times New Roman" w:hAnsiTheme="majorBidi" w:cstheme="majorBidi"/>
          <w:color w:val="0E101A"/>
          <w:sz w:val="24"/>
          <w:szCs w:val="24"/>
        </w:rPr>
        <w:t>Priyadharshini</w:t>
      </w:r>
      <w:proofErr w:type="spellEnd"/>
      <w:r>
        <w:rPr>
          <w:rFonts w:asciiTheme="majorBidi" w:eastAsia="Times New Roman" w:hAnsiTheme="majorBidi" w:cstheme="majorBidi"/>
          <w:color w:val="0E101A"/>
          <w:sz w:val="24"/>
          <w:szCs w:val="24"/>
        </w:rPr>
        <w:t xml:space="preserve"> et al. </w:t>
      </w:r>
      <w:r w:rsidR="00916D58" w:rsidRPr="00916D58">
        <w:rPr>
          <w:rFonts w:asciiTheme="majorBidi" w:eastAsia="Times New Roman" w:hAnsiTheme="majorBidi" w:cstheme="majorBidi"/>
          <w:color w:val="0E101A"/>
          <w:sz w:val="24"/>
          <w:szCs w:val="24"/>
        </w:rPr>
        <w:t xml:space="preserve">conducted a retrospective study on 2086 aspiration cytosmears/imprint smears, the slides were examined to identify the presence of binucleate Reed-Sternberg (RS) cells and RS-like cells, cases containing binucleate cells were classified into different </w:t>
      </w:r>
      <w:r w:rsidR="00916D58" w:rsidRPr="00916D58">
        <w:rPr>
          <w:rFonts w:asciiTheme="majorBidi" w:eastAsia="Times New Roman" w:hAnsiTheme="majorBidi" w:cstheme="majorBidi"/>
          <w:color w:val="0E101A"/>
          <w:sz w:val="24"/>
          <w:szCs w:val="24"/>
        </w:rPr>
        <w:lastRenderedPageBreak/>
        <w:t>categories according to their corresponding histopathological diagnoses, and their cytomorphological feat</w:t>
      </w:r>
      <w:r>
        <w:rPr>
          <w:rFonts w:asciiTheme="majorBidi" w:eastAsia="Times New Roman" w:hAnsiTheme="majorBidi" w:cstheme="majorBidi"/>
          <w:color w:val="0E101A"/>
          <w:sz w:val="24"/>
          <w:szCs w:val="24"/>
        </w:rPr>
        <w:t xml:space="preserve">ures were analyzed and compared </w:t>
      </w:r>
      <w:r w:rsidRPr="00DC3EC2">
        <w:rPr>
          <w:rFonts w:asciiTheme="majorBidi" w:eastAsia="Times New Roman" w:hAnsiTheme="majorBidi" w:cstheme="majorBidi"/>
          <w:b/>
          <w:bCs/>
          <w:color w:val="0E101A"/>
          <w:sz w:val="24"/>
          <w:szCs w:val="24"/>
        </w:rPr>
        <w:t>[71</w:t>
      </w:r>
      <w:r>
        <w:rPr>
          <w:rFonts w:asciiTheme="majorBidi" w:eastAsia="Times New Roman" w:hAnsiTheme="majorBidi" w:cstheme="majorBidi"/>
          <w:b/>
          <w:bCs/>
          <w:color w:val="0E101A"/>
          <w:sz w:val="24"/>
          <w:szCs w:val="24"/>
        </w:rPr>
        <w:t>].</w:t>
      </w:r>
      <w:r w:rsidR="00916D58" w:rsidRPr="00916D58">
        <w:rPr>
          <w:rFonts w:asciiTheme="majorBidi" w:eastAsia="Times New Roman" w:hAnsiTheme="majorBidi" w:cstheme="majorBidi"/>
          <w:color w:val="0E101A"/>
          <w:sz w:val="24"/>
          <w:szCs w:val="24"/>
        </w:rPr>
        <w:t xml:space="preserve"> They revealed that the presence of RS-like cells was identified in 100% of HL cases, 30% of NHL cases, 12.9% of carcinoma cases, and 0.7% of benign/inflammatory cases. The analysis of cytomorphological features showed that certain characteristics, such as eosinophilic nucleoli, eosinophils, and cell clustering, could aid in distinguishing HL from other conditions. However, relying solely on cytomorphological features has limitations in differentiating true RS cells from RS-like cells, emphasizing the need for further </w:t>
      </w:r>
      <w:r w:rsidR="007E461C">
        <w:rPr>
          <w:b/>
          <w:noProof/>
          <w:sz w:val="17"/>
        </w:rPr>
        <w:drawing>
          <wp:anchor distT="0" distB="0" distL="0" distR="0" simplePos="0" relativeHeight="251677696" behindDoc="1" locked="0" layoutInCell="1" allowOverlap="1" wp14:anchorId="242CD1B6" wp14:editId="667601A4">
            <wp:simplePos x="0" y="0"/>
            <wp:positionH relativeFrom="margin">
              <wp:align>left</wp:align>
            </wp:positionH>
            <wp:positionV relativeFrom="paragraph">
              <wp:posOffset>2233295</wp:posOffset>
            </wp:positionV>
            <wp:extent cx="5841365" cy="1771650"/>
            <wp:effectExtent l="0" t="0" r="698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5841365" cy="1771650"/>
                    </a:xfrm>
                    <a:prstGeom prst="rect">
                      <a:avLst/>
                    </a:prstGeom>
                  </pic:spPr>
                </pic:pic>
              </a:graphicData>
            </a:graphic>
            <wp14:sizeRelV relativeFrom="margin">
              <wp14:pctHeight>0</wp14:pctHeight>
            </wp14:sizeRelV>
          </wp:anchor>
        </w:drawing>
      </w:r>
      <w:r w:rsidR="00916D58" w:rsidRPr="00916D58">
        <w:rPr>
          <w:rFonts w:asciiTheme="majorBidi" w:eastAsia="Times New Roman" w:hAnsiTheme="majorBidi" w:cstheme="majorBidi"/>
          <w:color w:val="0E101A"/>
          <w:sz w:val="24"/>
          <w:szCs w:val="24"/>
        </w:rPr>
        <w:t>histopathological examinations.</w:t>
      </w:r>
    </w:p>
    <w:p w14:paraId="6FA1F009" w14:textId="77777777" w:rsidR="00B40673" w:rsidRDefault="00B40673" w:rsidP="00B40673">
      <w:pPr>
        <w:spacing w:after="0"/>
        <w:jc w:val="both"/>
        <w:rPr>
          <w:rFonts w:asciiTheme="majorBidi" w:eastAsia="Times New Roman" w:hAnsiTheme="majorBidi" w:cstheme="majorBidi"/>
          <w:b/>
          <w:bCs/>
          <w:color w:val="0E101A"/>
          <w:sz w:val="24"/>
          <w:szCs w:val="24"/>
        </w:rPr>
      </w:pPr>
    </w:p>
    <w:p w14:paraId="328280DB" w14:textId="77777777" w:rsidR="00B40673" w:rsidRDefault="007E461C" w:rsidP="00DC3EC2">
      <w:pPr>
        <w:spacing w:after="0"/>
        <w:jc w:val="both"/>
        <w:rPr>
          <w:rFonts w:asciiTheme="majorBidi" w:eastAsia="Times New Roman" w:hAnsiTheme="majorBidi" w:cstheme="majorBidi"/>
          <w:b/>
          <w:bCs/>
          <w:color w:val="0E101A"/>
          <w:sz w:val="24"/>
          <w:szCs w:val="24"/>
        </w:rPr>
      </w:pPr>
      <w:r w:rsidRPr="007E461C">
        <w:rPr>
          <w:rFonts w:asciiTheme="majorBidi" w:eastAsia="Times New Roman" w:hAnsiTheme="majorBidi" w:cstheme="majorBidi"/>
          <w:b/>
          <w:bCs/>
          <w:color w:val="0E101A"/>
          <w:sz w:val="24"/>
          <w:szCs w:val="24"/>
        </w:rPr>
        <w:t>Fig.13. (a) RS cell in Hodgkin's lymphoma showing pale-greyish magenta–colored inclusion-like nucleoli (MGG, ×100) (b) RS cell in Hodgkin's lymphoma showing eosinophilic inclusion-like nucleoli (H and E, ×100) [</w:t>
      </w:r>
      <w:r w:rsidR="00DC3EC2">
        <w:rPr>
          <w:rFonts w:asciiTheme="majorBidi" w:eastAsia="Times New Roman" w:hAnsiTheme="majorBidi" w:cstheme="majorBidi"/>
          <w:b/>
          <w:bCs/>
          <w:color w:val="0E101A"/>
          <w:sz w:val="24"/>
          <w:szCs w:val="24"/>
        </w:rPr>
        <w:t>71</w:t>
      </w:r>
      <w:r w:rsidRPr="007E461C">
        <w:rPr>
          <w:rFonts w:asciiTheme="majorBidi" w:eastAsia="Times New Roman" w:hAnsiTheme="majorBidi" w:cstheme="majorBidi"/>
          <w:b/>
          <w:bCs/>
          <w:color w:val="0E101A"/>
          <w:sz w:val="24"/>
          <w:szCs w:val="24"/>
        </w:rPr>
        <w:t>].</w:t>
      </w:r>
    </w:p>
    <w:p w14:paraId="53962780" w14:textId="77777777" w:rsidR="008874D0" w:rsidRDefault="002A4664" w:rsidP="002A4664">
      <w:pPr>
        <w:spacing w:after="0"/>
        <w:jc w:val="both"/>
        <w:rPr>
          <w:rFonts w:asciiTheme="majorBidi" w:eastAsia="Times New Roman" w:hAnsiTheme="majorBidi" w:cstheme="majorBidi"/>
          <w:b/>
          <w:bCs/>
          <w:color w:val="0E101A"/>
          <w:sz w:val="24"/>
          <w:szCs w:val="24"/>
        </w:rPr>
      </w:pPr>
      <w:r>
        <w:rPr>
          <w:b/>
          <w:noProof/>
          <w:sz w:val="17"/>
        </w:rPr>
        <w:drawing>
          <wp:anchor distT="0" distB="0" distL="0" distR="0" simplePos="0" relativeHeight="251679744" behindDoc="1" locked="0" layoutInCell="1" allowOverlap="1" wp14:anchorId="5829D834" wp14:editId="585824BF">
            <wp:simplePos x="0" y="0"/>
            <wp:positionH relativeFrom="margin">
              <wp:align>left</wp:align>
            </wp:positionH>
            <wp:positionV relativeFrom="paragraph">
              <wp:posOffset>203835</wp:posOffset>
            </wp:positionV>
            <wp:extent cx="5835650" cy="2349500"/>
            <wp:effectExtent l="0" t="0" r="0" b="0"/>
            <wp:wrapTopAndBottom/>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5835650" cy="2349500"/>
                    </a:xfrm>
                    <a:prstGeom prst="rect">
                      <a:avLst/>
                    </a:prstGeom>
                  </pic:spPr>
                </pic:pic>
              </a:graphicData>
            </a:graphic>
            <wp14:sizeRelV relativeFrom="margin">
              <wp14:pctHeight>0</wp14:pctHeight>
            </wp14:sizeRelV>
          </wp:anchor>
        </w:drawing>
      </w:r>
    </w:p>
    <w:p w14:paraId="42764074" w14:textId="77777777" w:rsidR="002A4664" w:rsidRPr="002A4664" w:rsidRDefault="002A4664" w:rsidP="00DC3EC2">
      <w:pPr>
        <w:spacing w:after="0"/>
        <w:jc w:val="both"/>
        <w:rPr>
          <w:rFonts w:asciiTheme="majorBidi" w:eastAsia="Times New Roman" w:hAnsiTheme="majorBidi" w:cstheme="majorBidi"/>
          <w:b/>
          <w:bCs/>
          <w:color w:val="0E101A"/>
          <w:sz w:val="24"/>
          <w:szCs w:val="24"/>
        </w:rPr>
      </w:pPr>
      <w:r w:rsidRPr="002A4664">
        <w:rPr>
          <w:rFonts w:asciiTheme="majorBidi" w:eastAsia="Times New Roman" w:hAnsiTheme="majorBidi" w:cstheme="majorBidi"/>
          <w:b/>
          <w:bCs/>
          <w:color w:val="0E101A"/>
          <w:sz w:val="24"/>
          <w:szCs w:val="24"/>
        </w:rPr>
        <w:t xml:space="preserve">Fig.14. RS-like cell in other malignancies (a) non-Hodgkin's </w:t>
      </w:r>
      <w:proofErr w:type="spellStart"/>
      <w:r w:rsidRPr="002A4664">
        <w:rPr>
          <w:rFonts w:asciiTheme="majorBidi" w:eastAsia="Times New Roman" w:hAnsiTheme="majorBidi" w:cstheme="majorBidi"/>
          <w:b/>
          <w:bCs/>
          <w:color w:val="0E101A"/>
          <w:sz w:val="24"/>
          <w:szCs w:val="24"/>
        </w:rPr>
        <w:t>lynmphoma</w:t>
      </w:r>
      <w:proofErr w:type="spellEnd"/>
      <w:r w:rsidRPr="002A4664">
        <w:rPr>
          <w:rFonts w:asciiTheme="majorBidi" w:eastAsia="Times New Roman" w:hAnsiTheme="majorBidi" w:cstheme="majorBidi"/>
          <w:b/>
          <w:bCs/>
          <w:color w:val="0E101A"/>
          <w:sz w:val="24"/>
          <w:szCs w:val="24"/>
        </w:rPr>
        <w:t xml:space="preserve"> (MGG x100) (b) RS- like cell in non- Hodgkin's lymphoma (H and E, ×100) (c) RS-like cells in carcinoma (MGG, x100) (d) RS-like cell in sarcoma (MGG, ×40) [</w:t>
      </w:r>
      <w:r w:rsidR="00DC3EC2">
        <w:rPr>
          <w:rFonts w:asciiTheme="majorBidi" w:eastAsia="Times New Roman" w:hAnsiTheme="majorBidi" w:cstheme="majorBidi"/>
          <w:b/>
          <w:bCs/>
          <w:color w:val="0E101A"/>
          <w:sz w:val="24"/>
          <w:szCs w:val="24"/>
        </w:rPr>
        <w:t>71</w:t>
      </w:r>
      <w:r w:rsidRPr="002A4664">
        <w:rPr>
          <w:rFonts w:asciiTheme="majorBidi" w:eastAsia="Times New Roman" w:hAnsiTheme="majorBidi" w:cstheme="majorBidi"/>
          <w:b/>
          <w:bCs/>
          <w:color w:val="0E101A"/>
          <w:sz w:val="24"/>
          <w:szCs w:val="24"/>
        </w:rPr>
        <w:t>].</w:t>
      </w:r>
    </w:p>
    <w:p w14:paraId="4D936BA5"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B957A0D"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07807C9" w14:textId="77777777" w:rsidR="005C339B" w:rsidRPr="005C339B" w:rsidRDefault="005C339B" w:rsidP="005C339B">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2.4. </w:t>
      </w:r>
      <w:r w:rsidRPr="005C339B">
        <w:rPr>
          <w:rFonts w:asciiTheme="majorBidi" w:eastAsia="Times New Roman" w:hAnsiTheme="majorBidi" w:cstheme="majorBidi"/>
          <w:b/>
          <w:bCs/>
          <w:color w:val="0E101A"/>
          <w:sz w:val="24"/>
          <w:szCs w:val="24"/>
        </w:rPr>
        <w:t>Detection of binucleated cells</w:t>
      </w:r>
    </w:p>
    <w:p w14:paraId="37CF734D" w14:textId="3C0B7E16" w:rsidR="008874D0" w:rsidRDefault="005C339B" w:rsidP="00DC3EC2">
      <w:pPr>
        <w:spacing w:after="0" w:line="360" w:lineRule="auto"/>
        <w:jc w:val="both"/>
        <w:rPr>
          <w:rFonts w:asciiTheme="majorBidi" w:eastAsia="Times New Roman" w:hAnsiTheme="majorBidi" w:cstheme="majorBidi"/>
          <w:color w:val="0E101A"/>
          <w:sz w:val="24"/>
          <w:szCs w:val="24"/>
        </w:rPr>
      </w:pPr>
      <w:r w:rsidRPr="005C339B">
        <w:rPr>
          <w:rFonts w:asciiTheme="majorBidi" w:eastAsia="Times New Roman" w:hAnsiTheme="majorBidi" w:cstheme="majorBidi"/>
          <w:color w:val="0E101A"/>
          <w:sz w:val="24"/>
          <w:szCs w:val="24"/>
        </w:rPr>
        <w:t xml:space="preserve">Immunohistochemistry (IHC): Uses specific antibodies like P16 and P53 to highlight abnormal cell division via chromogen staining under a microscope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72</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Cytochemical Staining: Methods such as Papanicolaou staining detect nuclear changes, including binucleation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73</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Digital Cytometry: Employs digital imaging to identify and measure binucleated cells with high accuracy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74</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Fluorescence Microscopy: Uses fluorescent dyes for sensitive detection of nuclei in cellular samples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75</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These methods effectively identify binucleated cells and contribute to understanding cellular abnormalities.</w:t>
      </w:r>
    </w:p>
    <w:p w14:paraId="7EE7AE4F" w14:textId="5293EE1A" w:rsidR="00716665" w:rsidRPr="00716665" w:rsidRDefault="00716665" w:rsidP="0071666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3. </w:t>
      </w:r>
      <w:r w:rsidRPr="00716665">
        <w:rPr>
          <w:rFonts w:asciiTheme="majorBidi" w:eastAsia="Times New Roman" w:hAnsiTheme="majorBidi" w:cstheme="majorBidi"/>
          <w:b/>
          <w:bCs/>
          <w:color w:val="0E101A"/>
          <w:sz w:val="24"/>
          <w:szCs w:val="24"/>
        </w:rPr>
        <w:t>Contradictions, Gaps, and Limitations</w:t>
      </w:r>
    </w:p>
    <w:p w14:paraId="1FF0D581" w14:textId="6EAD4F15" w:rsidR="00716665" w:rsidRDefault="00716665" w:rsidP="00716665">
      <w:pPr>
        <w:spacing w:after="0" w:line="360" w:lineRule="auto"/>
        <w:jc w:val="both"/>
        <w:rPr>
          <w:rFonts w:asciiTheme="majorBidi" w:eastAsia="Times New Roman" w:hAnsiTheme="majorBidi" w:cstheme="majorBidi"/>
          <w:color w:val="0E101A"/>
          <w:sz w:val="24"/>
          <w:szCs w:val="24"/>
        </w:rPr>
      </w:pPr>
      <w:r w:rsidRPr="00716665">
        <w:rPr>
          <w:rFonts w:asciiTheme="majorBidi" w:eastAsia="Times New Roman" w:hAnsiTheme="majorBidi" w:cstheme="majorBidi"/>
          <w:color w:val="0E101A"/>
          <w:sz w:val="24"/>
          <w:szCs w:val="24"/>
        </w:rPr>
        <w:t xml:space="preserve">One of the main contradictions in the literature involves the role of BNCs in cancer. In some tumor types, their presence is linked with aggressive, undifferentiated phenotypes, whereas in others, they are associated with well-differentiated, more stable conditions. These inconsistencies suggest that </w:t>
      </w:r>
      <w:proofErr w:type="spellStart"/>
      <w:r w:rsidRPr="00716665">
        <w:rPr>
          <w:rFonts w:asciiTheme="majorBidi" w:eastAsia="Times New Roman" w:hAnsiTheme="majorBidi" w:cstheme="majorBidi"/>
          <w:color w:val="0E101A"/>
          <w:sz w:val="24"/>
          <w:szCs w:val="24"/>
        </w:rPr>
        <w:t>binucleation</w:t>
      </w:r>
      <w:proofErr w:type="spellEnd"/>
      <w:r w:rsidRPr="00716665">
        <w:rPr>
          <w:rFonts w:asciiTheme="majorBidi" w:eastAsia="Times New Roman" w:hAnsiTheme="majorBidi" w:cstheme="majorBidi"/>
          <w:color w:val="0E101A"/>
          <w:sz w:val="24"/>
          <w:szCs w:val="24"/>
        </w:rPr>
        <w:t xml:space="preserve"> is context-dependent, possibly influenced by tissue origin, mutation profile, and </w:t>
      </w:r>
      <w:proofErr w:type="spellStart"/>
      <w:r w:rsidRPr="00716665">
        <w:rPr>
          <w:rFonts w:asciiTheme="majorBidi" w:eastAsia="Times New Roman" w:hAnsiTheme="majorBidi" w:cstheme="majorBidi"/>
          <w:color w:val="0E101A"/>
          <w:sz w:val="24"/>
          <w:szCs w:val="24"/>
        </w:rPr>
        <w:t>microenvironmental</w:t>
      </w:r>
      <w:proofErr w:type="spellEnd"/>
      <w:r w:rsidRPr="00716665">
        <w:rPr>
          <w:rFonts w:asciiTheme="majorBidi" w:eastAsia="Times New Roman" w:hAnsiTheme="majorBidi" w:cstheme="majorBidi"/>
          <w:color w:val="0E101A"/>
          <w:sz w:val="24"/>
          <w:szCs w:val="24"/>
        </w:rPr>
        <w:t xml:space="preserve"> factors. The formation of BNCs in under-studied tissues (such as the brain, intestines, heart, and vascular system) has not been adequately explored. The long-term fate of </w:t>
      </w:r>
      <w:proofErr w:type="spellStart"/>
      <w:r w:rsidRPr="00716665">
        <w:rPr>
          <w:rFonts w:asciiTheme="majorBidi" w:eastAsia="Times New Roman" w:hAnsiTheme="majorBidi" w:cstheme="majorBidi"/>
          <w:color w:val="0E101A"/>
          <w:sz w:val="24"/>
          <w:szCs w:val="24"/>
        </w:rPr>
        <w:t>binucleated</w:t>
      </w:r>
      <w:proofErr w:type="spellEnd"/>
      <w:r w:rsidRPr="00716665">
        <w:rPr>
          <w:rFonts w:asciiTheme="majorBidi" w:eastAsia="Times New Roman" w:hAnsiTheme="majorBidi" w:cstheme="majorBidi"/>
          <w:color w:val="0E101A"/>
          <w:sz w:val="24"/>
          <w:szCs w:val="24"/>
        </w:rPr>
        <w:t xml:space="preserve"> cells, whether they return to a proliferative state, undergo apoptosis, or contribute to disease progression, is not fully understood. Most research remains cross-sectional; few longitudinal or functional studies exist to establish causal relationships or temporal dynamics. Such limitations restrict the clinical translation of findings and emphasize the need for more robust experimental models, including animal studies and 3D tissue cultures.</w:t>
      </w:r>
    </w:p>
    <w:p w14:paraId="04C6B983" w14:textId="7619E60B" w:rsidR="007527B4" w:rsidRPr="007527B4" w:rsidRDefault="007527B4" w:rsidP="007527B4">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4. </w:t>
      </w:r>
      <w:r w:rsidRPr="007527B4">
        <w:rPr>
          <w:rFonts w:asciiTheme="majorBidi" w:eastAsia="Times New Roman" w:hAnsiTheme="majorBidi" w:cstheme="majorBidi"/>
          <w:b/>
          <w:bCs/>
          <w:color w:val="0E101A"/>
          <w:sz w:val="24"/>
          <w:szCs w:val="24"/>
        </w:rPr>
        <w:t>Future Directions</w:t>
      </w:r>
    </w:p>
    <w:p w14:paraId="09BFDC6E" w14:textId="56C78113" w:rsidR="007527B4" w:rsidRPr="000870F0" w:rsidRDefault="007527B4" w:rsidP="007527B4">
      <w:pPr>
        <w:spacing w:after="0" w:line="360" w:lineRule="auto"/>
        <w:jc w:val="both"/>
        <w:rPr>
          <w:rFonts w:asciiTheme="majorBidi" w:eastAsia="Times New Roman" w:hAnsiTheme="majorBidi" w:cstheme="majorBidi"/>
          <w:color w:val="0E101A"/>
          <w:sz w:val="24"/>
          <w:szCs w:val="24"/>
        </w:rPr>
      </w:pPr>
      <w:r w:rsidRPr="007527B4">
        <w:rPr>
          <w:rFonts w:asciiTheme="majorBidi" w:eastAsia="Times New Roman" w:hAnsiTheme="majorBidi" w:cstheme="majorBidi"/>
          <w:color w:val="0E101A"/>
          <w:sz w:val="24"/>
          <w:szCs w:val="24"/>
        </w:rPr>
        <w:t xml:space="preserve">Molecular studies focusing on cyclins, CDKs, mitotic spindle proteins, and fusion-related genes can clarify regulatory mechanisms. Tissue-specific investigations may uncover unique patterns of </w:t>
      </w:r>
      <w:proofErr w:type="spellStart"/>
      <w:r w:rsidRPr="007527B4">
        <w:rPr>
          <w:rFonts w:asciiTheme="majorBidi" w:eastAsia="Times New Roman" w:hAnsiTheme="majorBidi" w:cstheme="majorBidi"/>
          <w:color w:val="0E101A"/>
          <w:sz w:val="24"/>
          <w:szCs w:val="24"/>
        </w:rPr>
        <w:t>binucleation</w:t>
      </w:r>
      <w:proofErr w:type="spellEnd"/>
      <w:r w:rsidRPr="007527B4">
        <w:rPr>
          <w:rFonts w:asciiTheme="majorBidi" w:eastAsia="Times New Roman" w:hAnsiTheme="majorBidi" w:cstheme="majorBidi"/>
          <w:color w:val="0E101A"/>
          <w:sz w:val="24"/>
          <w:szCs w:val="24"/>
        </w:rPr>
        <w:t xml:space="preserve"> and its functional consequences. Longitudinal clinical studies are needed to determine the prognostic value of BNCs, especially in cancer and chronic infections.</w:t>
      </w:r>
    </w:p>
    <w:p w14:paraId="2C871D2D" w14:textId="04B64953" w:rsidR="00A22758" w:rsidRDefault="007527B4"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5</w:t>
      </w:r>
      <w:r w:rsidR="000870F0">
        <w:rPr>
          <w:rFonts w:asciiTheme="majorBidi" w:eastAsia="Times New Roman" w:hAnsiTheme="majorBidi" w:cstheme="majorBidi"/>
          <w:b/>
          <w:bCs/>
          <w:color w:val="0E101A"/>
          <w:sz w:val="24"/>
          <w:szCs w:val="24"/>
        </w:rPr>
        <w:t xml:space="preserve">. </w:t>
      </w:r>
      <w:r w:rsidR="00891FE4" w:rsidRPr="00C10DD5">
        <w:rPr>
          <w:rFonts w:asciiTheme="majorBidi" w:eastAsia="Times New Roman" w:hAnsiTheme="majorBidi" w:cstheme="majorBidi"/>
          <w:b/>
          <w:bCs/>
          <w:color w:val="0E101A"/>
          <w:sz w:val="24"/>
          <w:szCs w:val="24"/>
        </w:rPr>
        <w:t>DISCUSSION</w:t>
      </w:r>
    </w:p>
    <w:p w14:paraId="567716C5" w14:textId="77777777" w:rsidR="004D40AE" w:rsidRDefault="004D40AE" w:rsidP="004D40AE">
      <w:pPr>
        <w:spacing w:after="0" w:line="360" w:lineRule="auto"/>
        <w:jc w:val="both"/>
        <w:rPr>
          <w:rStyle w:val="Strong"/>
          <w:rFonts w:ascii="Times New Roman" w:eastAsia="Times New Roman" w:hAnsi="Times New Roman" w:cs="Times New Roman"/>
          <w:b w:val="0"/>
          <w:bCs w:val="0"/>
          <w:color w:val="0E101A"/>
          <w:sz w:val="24"/>
          <w:szCs w:val="24"/>
          <w:lang w:bidi="hi-IN"/>
        </w:rPr>
      </w:pPr>
      <w:r w:rsidRPr="004D40AE">
        <w:rPr>
          <w:rStyle w:val="Strong"/>
          <w:rFonts w:ascii="Times New Roman" w:eastAsia="Times New Roman" w:hAnsi="Times New Roman" w:cs="Times New Roman"/>
          <w:b w:val="0"/>
          <w:bCs w:val="0"/>
          <w:color w:val="0E101A"/>
          <w:sz w:val="24"/>
          <w:szCs w:val="24"/>
          <w:lang w:bidi="hi-IN"/>
        </w:rPr>
        <w:t xml:space="preserve">Binucleated cells have emerged as intriguing cellular entities with diverse implications in both physiological and pathological contexts. Their presence in normal tissues, including the liver, bone, spleen, and mammary gland, suggests that they may play active roles in </w:t>
      </w:r>
      <w:r w:rsidRPr="004D40AE">
        <w:rPr>
          <w:rStyle w:val="Strong"/>
          <w:rFonts w:ascii="Times New Roman" w:eastAsia="Times New Roman" w:hAnsi="Times New Roman" w:cs="Times New Roman"/>
          <w:b w:val="0"/>
          <w:bCs w:val="0"/>
          <w:color w:val="0E101A"/>
          <w:sz w:val="24"/>
          <w:szCs w:val="24"/>
          <w:lang w:bidi="hi-IN"/>
        </w:rPr>
        <w:lastRenderedPageBreak/>
        <w:t>tissue remodeling, regeneration, and maintenance of function. These cells are also frequently identified in disease settings, such as cancers, viral infections (e.g., HPV and HSV), autoimmune conditions (e.g., persistent polyclonal B-cell lymphocytosis), and even embryonic developmental disorders. Such wide distribution highlights their diagnostic, prognostic, and potentially therapeutic relevance. Despite their documented presence in various biological systems, a comprehensive understanding of binucleated cells remains limited. Most existing studies are descriptive or observational, relying on cytological smears, histopathological samples, and immunohistochemical staining. While these have contributed to mapping the occurrence of BNCs across different tissues, they often fall short in elucidating the underlying molecular mechanisms or functional consequences of binucleation. Multiple mechanisms have been proposed for the formation of binucleated cells, including incomplete cytokinesis, cell fusion, mitotic slippage, and DNA replication errors. In cancers, failure of mitotic checkpoints or disruption of the spindle assembly can lead to abnormal binucleation, potentially contributing to chromosomal instability and tumor progression. In contrast, in regenerative tissues such as the liver and kidneys, binucleated cells are often associated with tissue repair and recovery following damage or fibrosis. This dual behavior suggests that binucleation may serve as both a response to injury and a marker of dysregulation, depending on the context. However, the precise regulation of these processes remains unclear. The signaling pathways, gene expression profiles, and environmental triggers that determine whether binucleation leads to regeneration or malignancy have not yet been well-characterized. For example, while binucleation in hepatocytes is considered a normal adaptive mechanism, its role in hepatocellular carcinoma remains controversial. This ambiguity reflects a broader challenge in distinguishing physiological from pathological binucleation. Binucleated cells have demonstrated potential value as diagnostic biomarkers. In cytopathology, their detection can support early diagnosis of viral infections such as HPV or HSV, both of which are associated with cancer development. Moreover, in autoimmune conditions like PPBL, the persistent presence of BNCs may indicate chronic immune stimulation. Despite these associations, the interpretation of binucleated cells remains variable. Differences in staining techniques, sampling methods, and observer expertise can influence detection and classification. Therefore, there is a critical need to establish standardized diagnostic criteria and thresholds for the identification of BNCs across different diseases and tissue types.</w:t>
      </w:r>
    </w:p>
    <w:p w14:paraId="31B17216" w14:textId="7FCB94AE" w:rsidR="00091A53" w:rsidRPr="00C10DD5" w:rsidRDefault="000354EA" w:rsidP="00C17163">
      <w:pPr>
        <w:pStyle w:val="Heading2"/>
        <w:spacing w:line="360" w:lineRule="auto"/>
        <w:jc w:val="both"/>
        <w:rPr>
          <w:rFonts w:asciiTheme="majorBidi" w:hAnsiTheme="majorBidi"/>
          <w:color w:val="0E101A"/>
          <w:sz w:val="24"/>
          <w:szCs w:val="24"/>
        </w:rPr>
      </w:pPr>
      <w:r>
        <w:rPr>
          <w:rStyle w:val="Strong"/>
          <w:rFonts w:asciiTheme="majorBidi" w:hAnsiTheme="majorBidi"/>
          <w:color w:val="0E101A"/>
          <w:sz w:val="24"/>
          <w:szCs w:val="24"/>
        </w:rPr>
        <w:lastRenderedPageBreak/>
        <w:t>6</w:t>
      </w:r>
      <w:r w:rsidR="004D40AE">
        <w:rPr>
          <w:rStyle w:val="Strong"/>
          <w:rFonts w:asciiTheme="majorBidi" w:hAnsiTheme="majorBidi"/>
          <w:color w:val="0E101A"/>
          <w:sz w:val="24"/>
          <w:szCs w:val="24"/>
        </w:rPr>
        <w:t xml:space="preserve">. </w:t>
      </w:r>
      <w:r w:rsidR="00891FE4" w:rsidRPr="00C10DD5">
        <w:rPr>
          <w:rStyle w:val="Strong"/>
          <w:rFonts w:asciiTheme="majorBidi" w:hAnsiTheme="majorBidi"/>
          <w:color w:val="0E101A"/>
          <w:sz w:val="24"/>
          <w:szCs w:val="24"/>
        </w:rPr>
        <w:t>CONCLUSION </w:t>
      </w:r>
    </w:p>
    <w:p w14:paraId="7F728CC1" w14:textId="77777777" w:rsidR="0038278B" w:rsidRPr="0038278B" w:rsidRDefault="0038278B" w:rsidP="00DF1E5F">
      <w:pPr>
        <w:pStyle w:val="NormalWeb"/>
        <w:spacing w:before="240" w:beforeAutospacing="0" w:after="0" w:afterAutospacing="0" w:line="360" w:lineRule="auto"/>
        <w:jc w:val="both"/>
        <w:rPr>
          <w:rFonts w:asciiTheme="majorBidi" w:hAnsiTheme="majorBidi" w:cstheme="majorBidi"/>
          <w:color w:val="0E101A"/>
        </w:rPr>
      </w:pPr>
      <w:r w:rsidRPr="0038278B">
        <w:rPr>
          <w:rFonts w:asciiTheme="majorBidi" w:hAnsiTheme="majorBidi" w:cstheme="majorBidi"/>
          <w:color w:val="0E101A"/>
        </w:rPr>
        <w:t>Binucleated cells are not merely a biological phenomenon; they serve as a window into understanding health and disease. Their natural presence reflects their role in regeneration and cellular functions, while their association with diseases such as cancer and infections highlights their significance in diagnosis and treatment. Understanding the mechanisms behind their formation opens new horizons in regenerative medicine and disease targeting. They are not just pathological markers but also a promising scientific tool that can reshape how we approach diseases.</w:t>
      </w:r>
    </w:p>
    <w:p w14:paraId="3EBD223C" w14:textId="77777777" w:rsidR="00DF1E5F" w:rsidRDefault="00D83719" w:rsidP="00D83719">
      <w:pPr>
        <w:pStyle w:val="NormalWeb"/>
        <w:spacing w:before="0" w:beforeAutospacing="0" w:after="0" w:afterAutospacing="0" w:line="360" w:lineRule="auto"/>
        <w:jc w:val="both"/>
        <w:rPr>
          <w:rFonts w:asciiTheme="majorBidi" w:hAnsiTheme="majorBidi" w:cstheme="majorBidi"/>
          <w:b/>
          <w:bCs/>
          <w:color w:val="0E101A"/>
        </w:rPr>
      </w:pPr>
      <w:bookmarkStart w:id="0" w:name="_GoBack"/>
      <w:bookmarkEnd w:id="0"/>
      <w:r>
        <w:rPr>
          <w:rFonts w:asciiTheme="majorBidi" w:hAnsiTheme="majorBidi" w:cstheme="majorBidi"/>
          <w:b/>
          <w:bCs/>
          <w:color w:val="0E101A"/>
        </w:rPr>
        <w:t>DISCLAIMER (ARTIFICIAL INTELLIGENCE)</w:t>
      </w:r>
    </w:p>
    <w:p w14:paraId="78D73515" w14:textId="77777777" w:rsidR="00DF1E5F" w:rsidRPr="00863495" w:rsidRDefault="00DF1E5F" w:rsidP="00863495">
      <w:pPr>
        <w:widowControl w:val="0"/>
        <w:wordWrap w:val="0"/>
        <w:autoSpaceDE w:val="0"/>
        <w:autoSpaceDN w:val="0"/>
        <w:spacing w:after="0" w:line="360" w:lineRule="auto"/>
        <w:jc w:val="both"/>
        <w:rPr>
          <w:rFonts w:asciiTheme="majorBidi" w:eastAsia="Batang" w:hAnsiTheme="majorBidi" w:cstheme="majorBidi"/>
          <w:kern w:val="2"/>
          <w:sz w:val="24"/>
          <w:szCs w:val="24"/>
          <w:lang w:eastAsia="ko-KR"/>
        </w:rPr>
      </w:pPr>
      <w:r>
        <w:rPr>
          <w:rFonts w:asciiTheme="majorBidi" w:eastAsia="Batang" w:hAnsiTheme="majorBidi" w:cstheme="majorBidi"/>
          <w:kern w:val="2"/>
          <w:sz w:val="24"/>
          <w:szCs w:val="24"/>
          <w:lang w:eastAsia="ko-KR"/>
        </w:rPr>
        <w:t>As a result, the Author (s) declare that NO generative AI technologies such as Large Language Models (</w:t>
      </w:r>
      <w:proofErr w:type="spellStart"/>
      <w:r>
        <w:rPr>
          <w:rFonts w:asciiTheme="majorBidi" w:eastAsia="Batang" w:hAnsiTheme="majorBidi" w:cstheme="majorBidi"/>
          <w:kern w:val="2"/>
          <w:sz w:val="24"/>
          <w:szCs w:val="24"/>
          <w:lang w:eastAsia="ko-KR"/>
        </w:rPr>
        <w:t>ChatGPT</w:t>
      </w:r>
      <w:proofErr w:type="spellEnd"/>
      <w:r>
        <w:rPr>
          <w:rFonts w:asciiTheme="majorBidi" w:eastAsia="Batang" w:hAnsiTheme="majorBidi" w:cstheme="majorBidi"/>
          <w:kern w:val="2"/>
          <w:sz w:val="24"/>
          <w:szCs w:val="24"/>
          <w:lang w:eastAsia="ko-KR"/>
        </w:rPr>
        <w:t xml:space="preserve">, COPILOT, </w:t>
      </w:r>
      <w:proofErr w:type="spellStart"/>
      <w:r>
        <w:rPr>
          <w:rFonts w:asciiTheme="majorBidi" w:eastAsia="Batang" w:hAnsiTheme="majorBidi" w:cstheme="majorBidi"/>
          <w:kern w:val="2"/>
          <w:sz w:val="24"/>
          <w:szCs w:val="24"/>
          <w:lang w:eastAsia="ko-KR"/>
        </w:rPr>
        <w:t>etc</w:t>
      </w:r>
      <w:proofErr w:type="spellEnd"/>
      <w:r>
        <w:rPr>
          <w:rFonts w:asciiTheme="majorBidi" w:eastAsia="Batang" w:hAnsiTheme="majorBidi" w:cstheme="majorBidi"/>
          <w:kern w:val="2"/>
          <w:sz w:val="24"/>
          <w:szCs w:val="24"/>
          <w:lang w:eastAsia="ko-KR"/>
        </w:rPr>
        <w:t>) and text-to-image generators have been used during the writing or editing of manuscripts.</w:t>
      </w:r>
    </w:p>
    <w:p w14:paraId="6C935681" w14:textId="2663FE21" w:rsidR="00F20F13" w:rsidRPr="00C10DD5" w:rsidRDefault="00F20F13"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6B6A9443" w14:textId="77777777" w:rsidR="00826A03" w:rsidRPr="00C10DD5" w:rsidRDefault="00A63CFB"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r w:rsidRPr="00C10DD5">
        <w:rPr>
          <w:rFonts w:asciiTheme="majorBidi" w:eastAsia="Batang" w:hAnsiTheme="majorBidi" w:cstheme="majorBidi"/>
          <w:b/>
          <w:bCs/>
          <w:kern w:val="2"/>
          <w:sz w:val="24"/>
          <w:szCs w:val="24"/>
          <w:lang w:eastAsia="ko-KR"/>
        </w:rPr>
        <w:t>References:</w:t>
      </w:r>
    </w:p>
    <w:p w14:paraId="72C6C2DA" w14:textId="77777777" w:rsidR="00113F77" w:rsidRDefault="007976D1" w:rsidP="007976D1">
      <w:pPr>
        <w:pStyle w:val="ListParagraph"/>
        <w:numPr>
          <w:ilvl w:val="0"/>
          <w:numId w:val="39"/>
        </w:numPr>
        <w:spacing w:line="360" w:lineRule="auto"/>
        <w:rPr>
          <w:rFonts w:asciiTheme="majorBidi" w:hAnsiTheme="majorBidi" w:cstheme="majorBidi"/>
          <w:sz w:val="24"/>
          <w:szCs w:val="24"/>
        </w:rPr>
      </w:pPr>
      <w:r w:rsidRPr="007976D1">
        <w:rPr>
          <w:rFonts w:asciiTheme="majorBidi" w:hAnsiTheme="majorBidi" w:cstheme="majorBidi"/>
          <w:sz w:val="24"/>
          <w:szCs w:val="24"/>
        </w:rPr>
        <w:t>Shi Q, King RW. Chromosome nondisjunction yields tetraploid rather than aneuploid cells in human cell lines. Nature. 2005;437(7061):1038-1042. doi:10.1038/nature03958</w:t>
      </w:r>
      <w:r w:rsidR="00723C39">
        <w:rPr>
          <w:rFonts w:asciiTheme="majorBidi" w:hAnsiTheme="majorBidi" w:cstheme="majorBidi"/>
          <w:sz w:val="24"/>
          <w:szCs w:val="24"/>
        </w:rPr>
        <w:t>.</w:t>
      </w:r>
    </w:p>
    <w:p w14:paraId="4E2E106B" w14:textId="77777777" w:rsidR="00723C39" w:rsidRDefault="00E6418A" w:rsidP="00E6418A">
      <w:pPr>
        <w:pStyle w:val="ListParagraph"/>
        <w:numPr>
          <w:ilvl w:val="0"/>
          <w:numId w:val="39"/>
        </w:numPr>
        <w:spacing w:line="360" w:lineRule="auto"/>
        <w:rPr>
          <w:rFonts w:asciiTheme="majorBidi" w:hAnsiTheme="majorBidi" w:cstheme="majorBidi"/>
          <w:sz w:val="24"/>
          <w:szCs w:val="24"/>
        </w:rPr>
      </w:pPr>
      <w:r w:rsidRPr="00E6418A">
        <w:rPr>
          <w:rFonts w:asciiTheme="majorBidi" w:hAnsiTheme="majorBidi" w:cstheme="majorBidi"/>
          <w:sz w:val="24"/>
          <w:szCs w:val="24"/>
        </w:rPr>
        <w:t xml:space="preserve">Morin C, </w:t>
      </w:r>
      <w:proofErr w:type="spellStart"/>
      <w:r w:rsidRPr="00E6418A">
        <w:rPr>
          <w:rFonts w:asciiTheme="majorBidi" w:hAnsiTheme="majorBidi" w:cstheme="majorBidi"/>
          <w:sz w:val="24"/>
          <w:szCs w:val="24"/>
        </w:rPr>
        <w:t>Bairati</w:t>
      </w:r>
      <w:proofErr w:type="spellEnd"/>
      <w:r w:rsidRPr="00E6418A">
        <w:rPr>
          <w:rFonts w:asciiTheme="majorBidi" w:hAnsiTheme="majorBidi" w:cstheme="majorBidi"/>
          <w:sz w:val="24"/>
          <w:szCs w:val="24"/>
        </w:rPr>
        <w:t xml:space="preserve"> I, Bouchard C, et al. Cytologic predictors of cervical intraepithelial neoplasia in women with an ASCUS Pap smear. Acta Cytol. 2000;44(4):576-586. doi:10.1159/000328532</w:t>
      </w:r>
    </w:p>
    <w:p w14:paraId="5838B003" w14:textId="77777777" w:rsidR="00E6418A" w:rsidRDefault="00E6418A" w:rsidP="00E6418A">
      <w:pPr>
        <w:pStyle w:val="ListParagraph"/>
        <w:numPr>
          <w:ilvl w:val="0"/>
          <w:numId w:val="39"/>
        </w:numPr>
        <w:spacing w:line="360" w:lineRule="auto"/>
        <w:rPr>
          <w:rFonts w:asciiTheme="majorBidi" w:hAnsiTheme="majorBidi" w:cstheme="majorBidi"/>
          <w:sz w:val="24"/>
          <w:szCs w:val="24"/>
        </w:rPr>
      </w:pPr>
      <w:proofErr w:type="spellStart"/>
      <w:r w:rsidRPr="00E6418A">
        <w:rPr>
          <w:rFonts w:asciiTheme="majorBidi" w:hAnsiTheme="majorBidi" w:cstheme="majorBidi"/>
          <w:sz w:val="24"/>
          <w:szCs w:val="24"/>
        </w:rPr>
        <w:t>Celton-Morizur</w:t>
      </w:r>
      <w:proofErr w:type="spellEnd"/>
      <w:r w:rsidRPr="00E6418A">
        <w:rPr>
          <w:rFonts w:asciiTheme="majorBidi" w:hAnsiTheme="majorBidi" w:cstheme="majorBidi"/>
          <w:sz w:val="24"/>
          <w:szCs w:val="24"/>
        </w:rPr>
        <w:t xml:space="preserve"> S, </w:t>
      </w:r>
      <w:proofErr w:type="spellStart"/>
      <w:r w:rsidRPr="00E6418A">
        <w:rPr>
          <w:rFonts w:asciiTheme="majorBidi" w:hAnsiTheme="majorBidi" w:cstheme="majorBidi"/>
          <w:sz w:val="24"/>
          <w:szCs w:val="24"/>
        </w:rPr>
        <w:t>Merlen</w:t>
      </w:r>
      <w:proofErr w:type="spellEnd"/>
      <w:r w:rsidRPr="00E6418A">
        <w:rPr>
          <w:rFonts w:asciiTheme="majorBidi" w:hAnsiTheme="majorBidi" w:cstheme="majorBidi"/>
          <w:sz w:val="24"/>
          <w:szCs w:val="24"/>
        </w:rPr>
        <w:t xml:space="preserve"> G, </w:t>
      </w:r>
      <w:proofErr w:type="spellStart"/>
      <w:r w:rsidRPr="00E6418A">
        <w:rPr>
          <w:rFonts w:asciiTheme="majorBidi" w:hAnsiTheme="majorBidi" w:cstheme="majorBidi"/>
          <w:sz w:val="24"/>
          <w:szCs w:val="24"/>
        </w:rPr>
        <w:t>Couton</w:t>
      </w:r>
      <w:proofErr w:type="spellEnd"/>
      <w:r w:rsidRPr="00E6418A">
        <w:rPr>
          <w:rFonts w:asciiTheme="majorBidi" w:hAnsiTheme="majorBidi" w:cstheme="majorBidi"/>
          <w:sz w:val="24"/>
          <w:szCs w:val="24"/>
        </w:rPr>
        <w:t xml:space="preserve"> D, </w:t>
      </w:r>
      <w:proofErr w:type="spellStart"/>
      <w:r w:rsidRPr="00E6418A">
        <w:rPr>
          <w:rFonts w:asciiTheme="majorBidi" w:hAnsiTheme="majorBidi" w:cstheme="majorBidi"/>
          <w:sz w:val="24"/>
          <w:szCs w:val="24"/>
        </w:rPr>
        <w:t>Desdouets</w:t>
      </w:r>
      <w:proofErr w:type="spellEnd"/>
      <w:r w:rsidRPr="00E6418A">
        <w:rPr>
          <w:rFonts w:asciiTheme="majorBidi" w:hAnsiTheme="majorBidi" w:cstheme="majorBidi"/>
          <w:sz w:val="24"/>
          <w:szCs w:val="24"/>
        </w:rPr>
        <w:t xml:space="preserve"> C. Polyploidy and liver proliferation: central role of insulin signaling. Cell Cycle. 2010;9(3):460-466. doi:10.4161/cc.9.3.10542</w:t>
      </w:r>
      <w:r>
        <w:rPr>
          <w:rFonts w:asciiTheme="majorBidi" w:hAnsiTheme="majorBidi" w:cstheme="majorBidi"/>
          <w:sz w:val="24"/>
          <w:szCs w:val="24"/>
        </w:rPr>
        <w:t>.</w:t>
      </w:r>
    </w:p>
    <w:p w14:paraId="11C54673" w14:textId="77777777" w:rsidR="00E6418A" w:rsidRDefault="007B7499" w:rsidP="007B7499">
      <w:pPr>
        <w:pStyle w:val="ListParagraph"/>
        <w:numPr>
          <w:ilvl w:val="0"/>
          <w:numId w:val="39"/>
        </w:numPr>
        <w:spacing w:line="360" w:lineRule="auto"/>
        <w:rPr>
          <w:rFonts w:asciiTheme="majorBidi" w:hAnsiTheme="majorBidi" w:cstheme="majorBidi"/>
          <w:sz w:val="24"/>
          <w:szCs w:val="24"/>
        </w:rPr>
      </w:pPr>
      <w:r w:rsidRPr="007B7499">
        <w:rPr>
          <w:rFonts w:asciiTheme="majorBidi" w:hAnsiTheme="majorBidi" w:cstheme="majorBidi"/>
          <w:sz w:val="24"/>
          <w:szCs w:val="24"/>
        </w:rPr>
        <w:t xml:space="preserve">Stoll LM, Duffield AS, Johnson MW, Ali SZ. Acute myeloid leukemia with myelodysplasia-related changes with erythroid differentiation involving pleural fluid: a case report and brief cytopathologic review. </w:t>
      </w:r>
      <w:proofErr w:type="spellStart"/>
      <w:r w:rsidRPr="007B7499">
        <w:rPr>
          <w:rFonts w:asciiTheme="majorBidi" w:hAnsiTheme="majorBidi" w:cstheme="majorBidi"/>
          <w:sz w:val="24"/>
          <w:szCs w:val="24"/>
        </w:rPr>
        <w:t>Diagn</w:t>
      </w:r>
      <w:proofErr w:type="spellEnd"/>
      <w:r w:rsidRPr="007B7499">
        <w:rPr>
          <w:rFonts w:asciiTheme="majorBidi" w:hAnsiTheme="majorBidi" w:cstheme="majorBidi"/>
          <w:sz w:val="24"/>
          <w:szCs w:val="24"/>
        </w:rPr>
        <w:t xml:space="preserve"> </w:t>
      </w:r>
      <w:proofErr w:type="spellStart"/>
      <w:r w:rsidRPr="007B7499">
        <w:rPr>
          <w:rFonts w:asciiTheme="majorBidi" w:hAnsiTheme="majorBidi" w:cstheme="majorBidi"/>
          <w:sz w:val="24"/>
          <w:szCs w:val="24"/>
        </w:rPr>
        <w:t>Cytopathol</w:t>
      </w:r>
      <w:proofErr w:type="spellEnd"/>
      <w:r w:rsidRPr="007B7499">
        <w:rPr>
          <w:rFonts w:asciiTheme="majorBidi" w:hAnsiTheme="majorBidi" w:cstheme="majorBidi"/>
          <w:sz w:val="24"/>
          <w:szCs w:val="24"/>
        </w:rPr>
        <w:t>. 2011;39(6):451-454. doi:10.1002/dc.21470</w:t>
      </w:r>
      <w:r>
        <w:rPr>
          <w:rFonts w:asciiTheme="majorBidi" w:hAnsiTheme="majorBidi" w:cstheme="majorBidi"/>
          <w:sz w:val="24"/>
          <w:szCs w:val="24"/>
        </w:rPr>
        <w:t>.</w:t>
      </w:r>
    </w:p>
    <w:p w14:paraId="582C57B5"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Guidotti</w:t>
      </w:r>
      <w:proofErr w:type="spellEnd"/>
      <w:r w:rsidRPr="00990312">
        <w:rPr>
          <w:rFonts w:asciiTheme="majorBidi" w:hAnsiTheme="majorBidi" w:cstheme="majorBidi"/>
          <w:sz w:val="24"/>
          <w:szCs w:val="24"/>
        </w:rPr>
        <w:t xml:space="preserve"> JE, </w:t>
      </w:r>
      <w:proofErr w:type="spellStart"/>
      <w:r w:rsidRPr="00990312">
        <w:rPr>
          <w:rFonts w:asciiTheme="majorBidi" w:hAnsiTheme="majorBidi" w:cstheme="majorBidi"/>
          <w:sz w:val="24"/>
          <w:szCs w:val="24"/>
        </w:rPr>
        <w:t>Brégerie</w:t>
      </w:r>
      <w:proofErr w:type="spellEnd"/>
      <w:r w:rsidRPr="00990312">
        <w:rPr>
          <w:rFonts w:asciiTheme="majorBidi" w:hAnsiTheme="majorBidi" w:cstheme="majorBidi"/>
          <w:sz w:val="24"/>
          <w:szCs w:val="24"/>
        </w:rPr>
        <w:t xml:space="preserve"> O, Robert A, </w:t>
      </w:r>
      <w:proofErr w:type="spellStart"/>
      <w:r w:rsidRPr="00990312">
        <w:rPr>
          <w:rFonts w:asciiTheme="majorBidi" w:hAnsiTheme="majorBidi" w:cstheme="majorBidi"/>
          <w:sz w:val="24"/>
          <w:szCs w:val="24"/>
        </w:rPr>
        <w:t>Debey</w:t>
      </w:r>
      <w:proofErr w:type="spellEnd"/>
      <w:r w:rsidRPr="00990312">
        <w:rPr>
          <w:rFonts w:asciiTheme="majorBidi" w:hAnsiTheme="majorBidi" w:cstheme="majorBidi"/>
          <w:sz w:val="24"/>
          <w:szCs w:val="24"/>
        </w:rPr>
        <w:t xml:space="preserve"> P, </w:t>
      </w:r>
      <w:proofErr w:type="spellStart"/>
      <w:r w:rsidRPr="00990312">
        <w:rPr>
          <w:rFonts w:asciiTheme="majorBidi" w:hAnsiTheme="majorBidi" w:cstheme="majorBidi"/>
          <w:sz w:val="24"/>
          <w:szCs w:val="24"/>
        </w:rPr>
        <w:t>Brechot</w:t>
      </w:r>
      <w:proofErr w:type="spellEnd"/>
      <w:r w:rsidRPr="00990312">
        <w:rPr>
          <w:rFonts w:asciiTheme="majorBidi" w:hAnsiTheme="majorBidi" w:cstheme="majorBidi"/>
          <w:sz w:val="24"/>
          <w:szCs w:val="24"/>
        </w:rPr>
        <w:t xml:space="preserve"> C, </w:t>
      </w:r>
      <w:proofErr w:type="spellStart"/>
      <w:r w:rsidRPr="00990312">
        <w:rPr>
          <w:rFonts w:asciiTheme="majorBidi" w:hAnsiTheme="majorBidi" w:cstheme="majorBidi"/>
          <w:sz w:val="24"/>
          <w:szCs w:val="24"/>
        </w:rPr>
        <w:t>Desdouets</w:t>
      </w:r>
      <w:proofErr w:type="spellEnd"/>
      <w:r w:rsidRPr="00990312">
        <w:rPr>
          <w:rFonts w:asciiTheme="majorBidi" w:hAnsiTheme="majorBidi" w:cstheme="majorBidi"/>
          <w:sz w:val="24"/>
          <w:szCs w:val="24"/>
        </w:rPr>
        <w:t xml:space="preserve"> C. Liver cell polyploidization: a pivotal role for binuclear hepatocytes. J Biol Chem. 2003;278(21):19095-19101. doi:10.1074/jbc.M300982200</w:t>
      </w:r>
    </w:p>
    <w:p w14:paraId="382DA1DB"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Ganem</w:t>
      </w:r>
      <w:proofErr w:type="spellEnd"/>
      <w:r w:rsidRPr="00990312">
        <w:rPr>
          <w:rFonts w:asciiTheme="majorBidi" w:hAnsiTheme="majorBidi" w:cstheme="majorBidi"/>
          <w:sz w:val="24"/>
          <w:szCs w:val="24"/>
        </w:rPr>
        <w:t xml:space="preserve"> NJ, </w:t>
      </w:r>
      <w:proofErr w:type="spellStart"/>
      <w:r w:rsidRPr="00990312">
        <w:rPr>
          <w:rFonts w:asciiTheme="majorBidi" w:hAnsiTheme="majorBidi" w:cstheme="majorBidi"/>
          <w:sz w:val="24"/>
          <w:szCs w:val="24"/>
        </w:rPr>
        <w:t>Storchova</w:t>
      </w:r>
      <w:proofErr w:type="spellEnd"/>
      <w:r w:rsidRPr="00990312">
        <w:rPr>
          <w:rFonts w:asciiTheme="majorBidi" w:hAnsiTheme="majorBidi" w:cstheme="majorBidi"/>
          <w:sz w:val="24"/>
          <w:szCs w:val="24"/>
        </w:rPr>
        <w:t xml:space="preserve"> Z, </w:t>
      </w:r>
      <w:proofErr w:type="spellStart"/>
      <w:r w:rsidRPr="00990312">
        <w:rPr>
          <w:rFonts w:asciiTheme="majorBidi" w:hAnsiTheme="majorBidi" w:cstheme="majorBidi"/>
          <w:sz w:val="24"/>
          <w:szCs w:val="24"/>
        </w:rPr>
        <w:t>Pellman</w:t>
      </w:r>
      <w:proofErr w:type="spellEnd"/>
      <w:r w:rsidRPr="00990312">
        <w:rPr>
          <w:rFonts w:asciiTheme="majorBidi" w:hAnsiTheme="majorBidi" w:cstheme="majorBidi"/>
          <w:sz w:val="24"/>
          <w:szCs w:val="24"/>
        </w:rPr>
        <w:t xml:space="preserve"> D. </w:t>
      </w:r>
      <w:proofErr w:type="spellStart"/>
      <w:r w:rsidRPr="00990312">
        <w:rPr>
          <w:rFonts w:asciiTheme="majorBidi" w:hAnsiTheme="majorBidi" w:cstheme="majorBidi"/>
          <w:sz w:val="24"/>
          <w:szCs w:val="24"/>
        </w:rPr>
        <w:t>Tetraploidy</w:t>
      </w:r>
      <w:proofErr w:type="spellEnd"/>
      <w:r w:rsidRPr="00990312">
        <w:rPr>
          <w:rFonts w:asciiTheme="majorBidi" w:hAnsiTheme="majorBidi" w:cstheme="majorBidi"/>
          <w:sz w:val="24"/>
          <w:szCs w:val="24"/>
        </w:rPr>
        <w:t xml:space="preserve">, aneuploidy and cancer. </w:t>
      </w:r>
      <w:proofErr w:type="spellStart"/>
      <w:r w:rsidRPr="00990312">
        <w:rPr>
          <w:rFonts w:asciiTheme="majorBidi" w:hAnsiTheme="majorBidi" w:cstheme="majorBidi"/>
          <w:sz w:val="24"/>
          <w:szCs w:val="24"/>
        </w:rPr>
        <w:t>Curr</w:t>
      </w:r>
      <w:proofErr w:type="spellEnd"/>
      <w:r w:rsidRPr="00990312">
        <w:rPr>
          <w:rFonts w:asciiTheme="majorBidi" w:hAnsiTheme="majorBidi" w:cstheme="majorBidi"/>
          <w:sz w:val="24"/>
          <w:szCs w:val="24"/>
        </w:rPr>
        <w:t xml:space="preserve"> </w:t>
      </w:r>
      <w:proofErr w:type="spellStart"/>
      <w:r w:rsidRPr="00990312">
        <w:rPr>
          <w:rFonts w:asciiTheme="majorBidi" w:hAnsiTheme="majorBidi" w:cstheme="majorBidi"/>
          <w:sz w:val="24"/>
          <w:szCs w:val="24"/>
        </w:rPr>
        <w:t>Opin</w:t>
      </w:r>
      <w:proofErr w:type="spellEnd"/>
      <w:r w:rsidRPr="00990312">
        <w:rPr>
          <w:rFonts w:asciiTheme="majorBidi" w:hAnsiTheme="majorBidi" w:cstheme="majorBidi"/>
          <w:sz w:val="24"/>
          <w:szCs w:val="24"/>
        </w:rPr>
        <w:t xml:space="preserve"> Genet Dev. 2007;17(2):157-162. doi:10.1016/j.gde.2007.02.011</w:t>
      </w:r>
      <w:r>
        <w:rPr>
          <w:rFonts w:asciiTheme="majorBidi" w:hAnsiTheme="majorBidi" w:cstheme="majorBidi"/>
          <w:sz w:val="24"/>
          <w:szCs w:val="24"/>
        </w:rPr>
        <w:t>.</w:t>
      </w:r>
    </w:p>
    <w:p w14:paraId="49A72600" w14:textId="77777777" w:rsidR="000E410D" w:rsidRDefault="00896023" w:rsidP="00896023">
      <w:pPr>
        <w:pStyle w:val="ListParagraph"/>
        <w:numPr>
          <w:ilvl w:val="0"/>
          <w:numId w:val="39"/>
        </w:numPr>
        <w:spacing w:line="360" w:lineRule="auto"/>
        <w:rPr>
          <w:rFonts w:asciiTheme="majorBidi" w:hAnsiTheme="majorBidi" w:cstheme="majorBidi"/>
          <w:sz w:val="24"/>
          <w:szCs w:val="24"/>
        </w:rPr>
      </w:pPr>
      <w:proofErr w:type="spellStart"/>
      <w:r w:rsidRPr="00896023">
        <w:rPr>
          <w:rFonts w:asciiTheme="majorBidi" w:hAnsiTheme="majorBidi" w:cstheme="majorBidi"/>
          <w:sz w:val="24"/>
          <w:szCs w:val="24"/>
        </w:rPr>
        <w:lastRenderedPageBreak/>
        <w:t>Bollmann</w:t>
      </w:r>
      <w:proofErr w:type="spellEnd"/>
      <w:r w:rsidRPr="00896023">
        <w:rPr>
          <w:rFonts w:asciiTheme="majorBidi" w:hAnsiTheme="majorBidi" w:cstheme="majorBidi"/>
          <w:sz w:val="24"/>
          <w:szCs w:val="24"/>
        </w:rPr>
        <w:t xml:space="preserve"> M, </w:t>
      </w:r>
      <w:proofErr w:type="spellStart"/>
      <w:r w:rsidRPr="00896023">
        <w:rPr>
          <w:rFonts w:asciiTheme="majorBidi" w:hAnsiTheme="majorBidi" w:cstheme="majorBidi"/>
          <w:sz w:val="24"/>
          <w:szCs w:val="24"/>
        </w:rPr>
        <w:t>Bánkfalvi</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Trosic</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Speich</w:t>
      </w:r>
      <w:proofErr w:type="spellEnd"/>
      <w:r w:rsidRPr="00896023">
        <w:rPr>
          <w:rFonts w:asciiTheme="majorBidi" w:hAnsiTheme="majorBidi" w:cstheme="majorBidi"/>
          <w:sz w:val="24"/>
          <w:szCs w:val="24"/>
        </w:rPr>
        <w:t xml:space="preserve"> N, </w:t>
      </w:r>
      <w:proofErr w:type="spellStart"/>
      <w:r w:rsidRPr="00896023">
        <w:rPr>
          <w:rFonts w:asciiTheme="majorBidi" w:hAnsiTheme="majorBidi" w:cstheme="majorBidi"/>
          <w:sz w:val="24"/>
          <w:szCs w:val="24"/>
        </w:rPr>
        <w:t>Schmittt</w:t>
      </w:r>
      <w:proofErr w:type="spellEnd"/>
      <w:r w:rsidRPr="00896023">
        <w:rPr>
          <w:rFonts w:asciiTheme="majorBidi" w:hAnsiTheme="majorBidi" w:cstheme="majorBidi"/>
          <w:sz w:val="24"/>
          <w:szCs w:val="24"/>
        </w:rPr>
        <w:t xml:space="preserve"> C, </w:t>
      </w:r>
      <w:proofErr w:type="spellStart"/>
      <w:r w:rsidRPr="00896023">
        <w:rPr>
          <w:rFonts w:asciiTheme="majorBidi" w:hAnsiTheme="majorBidi" w:cstheme="majorBidi"/>
          <w:sz w:val="24"/>
          <w:szCs w:val="24"/>
        </w:rPr>
        <w:t>Bollmann</w:t>
      </w:r>
      <w:proofErr w:type="spellEnd"/>
      <w:r w:rsidRPr="00896023">
        <w:rPr>
          <w:rFonts w:asciiTheme="majorBidi" w:hAnsiTheme="majorBidi" w:cstheme="majorBidi"/>
          <w:sz w:val="24"/>
          <w:szCs w:val="24"/>
        </w:rPr>
        <w:t xml:space="preserve"> R. Can we detect cervical human papillomavirus (HPV) infection by cytomorphology alone? Diagnostic value of non-classic cytological signs of HPV effect in minimally abnormal Pap tests. Cytopathology. 2005;16(1):13-21. doi:10.1111/j.1365-2303.2004.00179.x</w:t>
      </w:r>
      <w:r>
        <w:rPr>
          <w:rFonts w:asciiTheme="majorBidi" w:hAnsiTheme="majorBidi" w:cstheme="majorBidi"/>
          <w:sz w:val="24"/>
          <w:szCs w:val="24"/>
        </w:rPr>
        <w:t>.</w:t>
      </w:r>
    </w:p>
    <w:p w14:paraId="2C69A6DE" w14:textId="77777777" w:rsidR="00896023" w:rsidRDefault="007824BB" w:rsidP="007824BB">
      <w:pPr>
        <w:pStyle w:val="ListParagraph"/>
        <w:numPr>
          <w:ilvl w:val="0"/>
          <w:numId w:val="39"/>
        </w:numPr>
        <w:spacing w:line="360" w:lineRule="auto"/>
        <w:rPr>
          <w:rFonts w:asciiTheme="majorBidi" w:hAnsiTheme="majorBidi" w:cstheme="majorBidi"/>
          <w:sz w:val="24"/>
          <w:szCs w:val="24"/>
        </w:rPr>
      </w:pPr>
      <w:r w:rsidRPr="007824BB">
        <w:rPr>
          <w:rFonts w:asciiTheme="majorBidi" w:hAnsiTheme="majorBidi" w:cstheme="majorBidi"/>
          <w:sz w:val="24"/>
          <w:szCs w:val="24"/>
        </w:rPr>
        <w:t>Hu L, Ceresa BP. Characterization of the plasma membrane localization and orientation of HPV16 E5 for cell-cell fusion. Virology. 2009;393(1):135-143. doi:10.1016/j.virol.2009.07.034</w:t>
      </w:r>
      <w:r>
        <w:rPr>
          <w:rFonts w:asciiTheme="majorBidi" w:hAnsiTheme="majorBidi" w:cstheme="majorBidi"/>
          <w:sz w:val="24"/>
          <w:szCs w:val="24"/>
        </w:rPr>
        <w:t>.</w:t>
      </w:r>
    </w:p>
    <w:p w14:paraId="6C335675" w14:textId="77777777" w:rsidR="007824BB" w:rsidRDefault="00B20632" w:rsidP="00B20632">
      <w:pPr>
        <w:pStyle w:val="ListParagraph"/>
        <w:numPr>
          <w:ilvl w:val="0"/>
          <w:numId w:val="39"/>
        </w:numPr>
        <w:spacing w:line="360" w:lineRule="auto"/>
        <w:rPr>
          <w:rFonts w:asciiTheme="majorBidi" w:hAnsiTheme="majorBidi" w:cstheme="majorBidi"/>
          <w:sz w:val="24"/>
          <w:szCs w:val="24"/>
        </w:rPr>
      </w:pPr>
      <w:proofErr w:type="spellStart"/>
      <w:r w:rsidRPr="00B20632">
        <w:rPr>
          <w:rFonts w:asciiTheme="majorBidi" w:hAnsiTheme="majorBidi" w:cstheme="majorBidi"/>
          <w:sz w:val="24"/>
          <w:szCs w:val="24"/>
        </w:rPr>
        <w:t>Petrany</w:t>
      </w:r>
      <w:proofErr w:type="spellEnd"/>
      <w:r w:rsidRPr="00B20632">
        <w:rPr>
          <w:rFonts w:asciiTheme="majorBidi" w:hAnsiTheme="majorBidi" w:cstheme="majorBidi"/>
          <w:sz w:val="24"/>
          <w:szCs w:val="24"/>
        </w:rPr>
        <w:t xml:space="preserve"> MJ, Millay DP. Cell Fusion: Merging Membranes and Making Muscle. Trends Cell Biol. 2019;29(12):964-973. doi:10.1016/j.tcb.2019.09.002</w:t>
      </w:r>
      <w:r>
        <w:rPr>
          <w:rFonts w:asciiTheme="majorBidi" w:hAnsiTheme="majorBidi" w:cstheme="majorBidi"/>
          <w:sz w:val="24"/>
          <w:szCs w:val="24"/>
        </w:rPr>
        <w:t>.</w:t>
      </w:r>
    </w:p>
    <w:p w14:paraId="0888AF1C" w14:textId="77777777" w:rsidR="00B20632" w:rsidRDefault="00A17837" w:rsidP="00A17837">
      <w:pPr>
        <w:pStyle w:val="ListParagraph"/>
        <w:numPr>
          <w:ilvl w:val="0"/>
          <w:numId w:val="39"/>
        </w:numPr>
        <w:spacing w:line="360" w:lineRule="auto"/>
        <w:rPr>
          <w:rFonts w:asciiTheme="majorBidi" w:hAnsiTheme="majorBidi" w:cstheme="majorBidi"/>
          <w:sz w:val="24"/>
          <w:szCs w:val="24"/>
        </w:rPr>
      </w:pPr>
      <w:r w:rsidRPr="00A17837">
        <w:rPr>
          <w:rFonts w:asciiTheme="majorBidi" w:hAnsiTheme="majorBidi" w:cstheme="majorBidi"/>
          <w:sz w:val="24"/>
          <w:szCs w:val="24"/>
        </w:rPr>
        <w:t>Naylor RM, van Deursen JM. Aneuploidy in Cancer and Aging. Annu Rev Genet. 2016</w:t>
      </w:r>
      <w:proofErr w:type="gramStart"/>
      <w:r w:rsidRPr="00A17837">
        <w:rPr>
          <w:rFonts w:asciiTheme="majorBidi" w:hAnsiTheme="majorBidi" w:cstheme="majorBidi"/>
          <w:sz w:val="24"/>
          <w:szCs w:val="24"/>
        </w:rPr>
        <w:t>;50:45</w:t>
      </w:r>
      <w:proofErr w:type="gramEnd"/>
      <w:r w:rsidRPr="00A17837">
        <w:rPr>
          <w:rFonts w:asciiTheme="majorBidi" w:hAnsiTheme="majorBidi" w:cstheme="majorBidi"/>
          <w:sz w:val="24"/>
          <w:szCs w:val="24"/>
        </w:rPr>
        <w:t>-66. doi:10.1146/annurev-genet-120215-035303</w:t>
      </w:r>
      <w:r>
        <w:rPr>
          <w:rFonts w:asciiTheme="majorBidi" w:hAnsiTheme="majorBidi" w:cstheme="majorBidi"/>
          <w:sz w:val="24"/>
          <w:szCs w:val="24"/>
        </w:rPr>
        <w:t>.</w:t>
      </w:r>
    </w:p>
    <w:p w14:paraId="7EB26829" w14:textId="77777777" w:rsidR="00A17837" w:rsidRDefault="0012207E" w:rsidP="0012207E">
      <w:pPr>
        <w:pStyle w:val="ListParagraph"/>
        <w:numPr>
          <w:ilvl w:val="0"/>
          <w:numId w:val="39"/>
        </w:numPr>
        <w:spacing w:line="360" w:lineRule="auto"/>
        <w:rPr>
          <w:rFonts w:asciiTheme="majorBidi" w:hAnsiTheme="majorBidi" w:cstheme="majorBidi"/>
          <w:sz w:val="24"/>
          <w:szCs w:val="24"/>
        </w:rPr>
      </w:pPr>
      <w:r w:rsidRPr="0012207E">
        <w:rPr>
          <w:rFonts w:asciiTheme="majorBidi" w:hAnsiTheme="majorBidi" w:cstheme="majorBidi"/>
          <w:sz w:val="24"/>
          <w:szCs w:val="24"/>
        </w:rPr>
        <w:t>Lengauer C, Kinzler KW, Vogelstein B. Genetic instability in colorectal cancers. Nature. 1997;386(6625):623-627. doi:10.1038/386623a0</w:t>
      </w:r>
      <w:r>
        <w:rPr>
          <w:rFonts w:asciiTheme="majorBidi" w:hAnsiTheme="majorBidi" w:cstheme="majorBidi"/>
          <w:sz w:val="24"/>
          <w:szCs w:val="24"/>
        </w:rPr>
        <w:t>.</w:t>
      </w:r>
    </w:p>
    <w:p w14:paraId="1D52E66E" w14:textId="77777777" w:rsidR="0012207E" w:rsidRDefault="0012207E" w:rsidP="0012207E">
      <w:pPr>
        <w:pStyle w:val="ListParagraph"/>
        <w:numPr>
          <w:ilvl w:val="0"/>
          <w:numId w:val="39"/>
        </w:numPr>
        <w:spacing w:line="360" w:lineRule="auto"/>
        <w:rPr>
          <w:rFonts w:asciiTheme="majorBidi" w:hAnsiTheme="majorBidi" w:cstheme="majorBidi"/>
          <w:sz w:val="24"/>
          <w:szCs w:val="24"/>
        </w:rPr>
      </w:pPr>
      <w:proofErr w:type="spellStart"/>
      <w:r w:rsidRPr="0012207E">
        <w:rPr>
          <w:rFonts w:asciiTheme="majorBidi" w:hAnsiTheme="majorBidi" w:cstheme="majorBidi"/>
          <w:sz w:val="24"/>
          <w:szCs w:val="24"/>
        </w:rPr>
        <w:t>Johmura</w:t>
      </w:r>
      <w:proofErr w:type="spellEnd"/>
      <w:r w:rsidRPr="0012207E">
        <w:rPr>
          <w:rFonts w:asciiTheme="majorBidi" w:hAnsiTheme="majorBidi" w:cstheme="majorBidi"/>
          <w:sz w:val="24"/>
          <w:szCs w:val="24"/>
        </w:rPr>
        <w:t xml:space="preserve"> Y, Shimada M, Misaki T, et al. Necessary and sufficient role for a mitosis skip in senescence induction. Mol Cell. 2014;55(1):73-84. doi:10.1016/j.molcel.2014.05.003</w:t>
      </w:r>
      <w:r>
        <w:rPr>
          <w:rFonts w:asciiTheme="majorBidi" w:hAnsiTheme="majorBidi" w:cstheme="majorBidi"/>
          <w:sz w:val="24"/>
          <w:szCs w:val="24"/>
        </w:rPr>
        <w:t>.</w:t>
      </w:r>
    </w:p>
    <w:p w14:paraId="105ED56B" w14:textId="77777777" w:rsidR="0012207E" w:rsidRDefault="007E0331" w:rsidP="007E0331">
      <w:pPr>
        <w:pStyle w:val="ListParagraph"/>
        <w:numPr>
          <w:ilvl w:val="0"/>
          <w:numId w:val="39"/>
        </w:numPr>
        <w:spacing w:line="360" w:lineRule="auto"/>
        <w:rPr>
          <w:rFonts w:asciiTheme="majorBidi" w:hAnsiTheme="majorBidi" w:cstheme="majorBidi"/>
          <w:sz w:val="24"/>
          <w:szCs w:val="24"/>
        </w:rPr>
      </w:pPr>
      <w:proofErr w:type="spellStart"/>
      <w:r w:rsidRPr="007E0331">
        <w:rPr>
          <w:rFonts w:asciiTheme="majorBidi" w:hAnsiTheme="majorBidi" w:cstheme="majorBidi"/>
          <w:sz w:val="24"/>
          <w:szCs w:val="24"/>
        </w:rPr>
        <w:t>Polunovsky</w:t>
      </w:r>
      <w:proofErr w:type="spellEnd"/>
      <w:r w:rsidRPr="007E0331">
        <w:rPr>
          <w:rFonts w:asciiTheme="majorBidi" w:hAnsiTheme="majorBidi" w:cstheme="majorBidi"/>
          <w:sz w:val="24"/>
          <w:szCs w:val="24"/>
        </w:rPr>
        <w:t xml:space="preserve"> VA, </w:t>
      </w:r>
      <w:proofErr w:type="spellStart"/>
      <w:r w:rsidRPr="007E0331">
        <w:rPr>
          <w:rFonts w:asciiTheme="majorBidi" w:hAnsiTheme="majorBidi" w:cstheme="majorBidi"/>
          <w:sz w:val="24"/>
          <w:szCs w:val="24"/>
        </w:rPr>
        <w:t>Ingbar</w:t>
      </w:r>
      <w:proofErr w:type="spellEnd"/>
      <w:r w:rsidRPr="007E0331">
        <w:rPr>
          <w:rFonts w:asciiTheme="majorBidi" w:hAnsiTheme="majorBidi" w:cstheme="majorBidi"/>
          <w:sz w:val="24"/>
          <w:szCs w:val="24"/>
        </w:rPr>
        <w:t xml:space="preserve"> DH, Peterson M, Bitterman PB. Cell fusion to study nuclear-cytoplasmic interactions in endothelial cell apoptosis. Am J </w:t>
      </w:r>
      <w:proofErr w:type="spellStart"/>
      <w:r w:rsidRPr="007E0331">
        <w:rPr>
          <w:rFonts w:asciiTheme="majorBidi" w:hAnsiTheme="majorBidi" w:cstheme="majorBidi"/>
          <w:sz w:val="24"/>
          <w:szCs w:val="24"/>
        </w:rPr>
        <w:t>Pathol</w:t>
      </w:r>
      <w:proofErr w:type="spellEnd"/>
      <w:r w:rsidRPr="007E0331">
        <w:rPr>
          <w:rFonts w:asciiTheme="majorBidi" w:hAnsiTheme="majorBidi" w:cstheme="majorBidi"/>
          <w:sz w:val="24"/>
          <w:szCs w:val="24"/>
        </w:rPr>
        <w:t>. 1996;149(1):115-128.</w:t>
      </w:r>
    </w:p>
    <w:p w14:paraId="212E19FA" w14:textId="77777777" w:rsidR="007E0331" w:rsidRDefault="00177440" w:rsidP="00177440">
      <w:pPr>
        <w:pStyle w:val="ListParagraph"/>
        <w:numPr>
          <w:ilvl w:val="0"/>
          <w:numId w:val="39"/>
        </w:numPr>
        <w:spacing w:line="360" w:lineRule="auto"/>
        <w:rPr>
          <w:rFonts w:asciiTheme="majorBidi" w:hAnsiTheme="majorBidi" w:cstheme="majorBidi"/>
          <w:sz w:val="24"/>
          <w:szCs w:val="24"/>
        </w:rPr>
      </w:pPr>
      <w:r w:rsidRPr="00177440">
        <w:rPr>
          <w:rFonts w:asciiTheme="majorBidi" w:hAnsiTheme="majorBidi" w:cstheme="majorBidi"/>
          <w:sz w:val="24"/>
          <w:szCs w:val="24"/>
        </w:rPr>
        <w:t>Blau HM, Brazelton TR, Weimann JM. The evolving concept of a stem cell: entity or function</w:t>
      </w:r>
      <w:proofErr w:type="gramStart"/>
      <w:r w:rsidRPr="00177440">
        <w:rPr>
          <w:rFonts w:asciiTheme="majorBidi" w:hAnsiTheme="majorBidi" w:cstheme="majorBidi"/>
          <w:sz w:val="24"/>
          <w:szCs w:val="24"/>
        </w:rPr>
        <w:t>?.</w:t>
      </w:r>
      <w:proofErr w:type="gramEnd"/>
      <w:r w:rsidRPr="00177440">
        <w:rPr>
          <w:rFonts w:asciiTheme="majorBidi" w:hAnsiTheme="majorBidi" w:cstheme="majorBidi"/>
          <w:sz w:val="24"/>
          <w:szCs w:val="24"/>
        </w:rPr>
        <w:t xml:space="preserve"> Cell. 2001;105(7):829-841. doi:10.1016/s0092-8674(01)00409-3</w:t>
      </w:r>
      <w:r>
        <w:rPr>
          <w:rFonts w:asciiTheme="majorBidi" w:hAnsiTheme="majorBidi" w:cstheme="majorBidi"/>
          <w:sz w:val="24"/>
          <w:szCs w:val="24"/>
        </w:rPr>
        <w:t>.</w:t>
      </w:r>
    </w:p>
    <w:p w14:paraId="00A756D4" w14:textId="77777777" w:rsidR="00177440" w:rsidRDefault="00A20A22" w:rsidP="00A20A22">
      <w:pPr>
        <w:pStyle w:val="ListParagraph"/>
        <w:numPr>
          <w:ilvl w:val="0"/>
          <w:numId w:val="39"/>
        </w:numPr>
        <w:spacing w:line="360" w:lineRule="auto"/>
        <w:rPr>
          <w:rFonts w:asciiTheme="majorBidi" w:hAnsiTheme="majorBidi" w:cstheme="majorBidi"/>
          <w:sz w:val="24"/>
          <w:szCs w:val="24"/>
        </w:rPr>
      </w:pPr>
      <w:r w:rsidRPr="00A20A22">
        <w:rPr>
          <w:rFonts w:asciiTheme="majorBidi" w:hAnsiTheme="majorBidi" w:cstheme="majorBidi"/>
          <w:sz w:val="24"/>
          <w:szCs w:val="24"/>
        </w:rPr>
        <w:t>Brazelton TR, Rossi FM, Keshet GI, Blau HM. From marrow to brain: expression of neuronal phenotypes in adult mice. Science. 2000;290(5497):1775-1779. doi:10.1126/science.290.5497.1775</w:t>
      </w:r>
      <w:r>
        <w:rPr>
          <w:rFonts w:asciiTheme="majorBidi" w:hAnsiTheme="majorBidi" w:cstheme="majorBidi"/>
          <w:sz w:val="24"/>
          <w:szCs w:val="24"/>
        </w:rPr>
        <w:t>.</w:t>
      </w:r>
    </w:p>
    <w:p w14:paraId="2EBAAFAD" w14:textId="77777777" w:rsidR="00A20A22" w:rsidRDefault="00EA75CA" w:rsidP="00EA75CA">
      <w:pPr>
        <w:pStyle w:val="ListParagraph"/>
        <w:numPr>
          <w:ilvl w:val="0"/>
          <w:numId w:val="39"/>
        </w:numPr>
        <w:spacing w:line="360" w:lineRule="auto"/>
        <w:rPr>
          <w:rFonts w:asciiTheme="majorBidi" w:hAnsiTheme="majorBidi" w:cstheme="majorBidi"/>
          <w:sz w:val="24"/>
          <w:szCs w:val="24"/>
        </w:rPr>
      </w:pPr>
      <w:r w:rsidRPr="00EA75CA">
        <w:rPr>
          <w:rFonts w:asciiTheme="majorBidi" w:hAnsiTheme="majorBidi" w:cstheme="majorBidi"/>
          <w:sz w:val="24"/>
          <w:szCs w:val="24"/>
        </w:rPr>
        <w:t xml:space="preserve">Azizi SA, Stokes D, </w:t>
      </w:r>
      <w:proofErr w:type="spellStart"/>
      <w:r w:rsidRPr="00EA75CA">
        <w:rPr>
          <w:rFonts w:asciiTheme="majorBidi" w:hAnsiTheme="majorBidi" w:cstheme="majorBidi"/>
          <w:sz w:val="24"/>
          <w:szCs w:val="24"/>
        </w:rPr>
        <w:t>Augelli</w:t>
      </w:r>
      <w:proofErr w:type="spellEnd"/>
      <w:r w:rsidRPr="00EA75CA">
        <w:rPr>
          <w:rFonts w:asciiTheme="majorBidi" w:hAnsiTheme="majorBidi" w:cstheme="majorBidi"/>
          <w:sz w:val="24"/>
          <w:szCs w:val="24"/>
        </w:rPr>
        <w:t xml:space="preserve"> BJ, </w:t>
      </w:r>
      <w:proofErr w:type="spellStart"/>
      <w:r w:rsidRPr="00EA75CA">
        <w:rPr>
          <w:rFonts w:asciiTheme="majorBidi" w:hAnsiTheme="majorBidi" w:cstheme="majorBidi"/>
          <w:sz w:val="24"/>
          <w:szCs w:val="24"/>
        </w:rPr>
        <w:t>DiGirolamo</w:t>
      </w:r>
      <w:proofErr w:type="spellEnd"/>
      <w:r w:rsidRPr="00EA75CA">
        <w:rPr>
          <w:rFonts w:asciiTheme="majorBidi" w:hAnsiTheme="majorBidi" w:cstheme="majorBidi"/>
          <w:sz w:val="24"/>
          <w:szCs w:val="24"/>
        </w:rPr>
        <w:t xml:space="preserve"> C, </w:t>
      </w:r>
      <w:proofErr w:type="spellStart"/>
      <w:r w:rsidRPr="00EA75CA">
        <w:rPr>
          <w:rFonts w:asciiTheme="majorBidi" w:hAnsiTheme="majorBidi" w:cstheme="majorBidi"/>
          <w:sz w:val="24"/>
          <w:szCs w:val="24"/>
        </w:rPr>
        <w:t>Prockop</w:t>
      </w:r>
      <w:proofErr w:type="spellEnd"/>
      <w:r w:rsidRPr="00EA75CA">
        <w:rPr>
          <w:rFonts w:asciiTheme="majorBidi" w:hAnsiTheme="majorBidi" w:cstheme="majorBidi"/>
          <w:sz w:val="24"/>
          <w:szCs w:val="24"/>
        </w:rPr>
        <w:t xml:space="preserve"> DJ. Engraftment and migration of human bone marrow stromal cells implanted in the brains of albino rats--similarities to astrocyte grafts. </w:t>
      </w:r>
      <w:proofErr w:type="spellStart"/>
      <w:r w:rsidRPr="00EA75CA">
        <w:rPr>
          <w:rFonts w:asciiTheme="majorBidi" w:hAnsiTheme="majorBidi" w:cstheme="majorBidi"/>
          <w:sz w:val="24"/>
          <w:szCs w:val="24"/>
        </w:rPr>
        <w:t>Proc</w:t>
      </w:r>
      <w:proofErr w:type="spellEnd"/>
      <w:r w:rsidRPr="00EA75CA">
        <w:rPr>
          <w:rFonts w:asciiTheme="majorBidi" w:hAnsiTheme="majorBidi" w:cstheme="majorBidi"/>
          <w:sz w:val="24"/>
          <w:szCs w:val="24"/>
        </w:rPr>
        <w:t xml:space="preserve"> Natl </w:t>
      </w:r>
      <w:proofErr w:type="spellStart"/>
      <w:r w:rsidRPr="00EA75CA">
        <w:rPr>
          <w:rFonts w:asciiTheme="majorBidi" w:hAnsiTheme="majorBidi" w:cstheme="majorBidi"/>
          <w:sz w:val="24"/>
          <w:szCs w:val="24"/>
        </w:rPr>
        <w:t>Acad</w:t>
      </w:r>
      <w:proofErr w:type="spellEnd"/>
      <w:r w:rsidRPr="00EA75CA">
        <w:rPr>
          <w:rFonts w:asciiTheme="majorBidi" w:hAnsiTheme="majorBidi" w:cstheme="majorBidi"/>
          <w:sz w:val="24"/>
          <w:szCs w:val="24"/>
        </w:rPr>
        <w:t xml:space="preserve"> </w:t>
      </w:r>
      <w:proofErr w:type="spellStart"/>
      <w:r w:rsidRPr="00EA75CA">
        <w:rPr>
          <w:rFonts w:asciiTheme="majorBidi" w:hAnsiTheme="majorBidi" w:cstheme="majorBidi"/>
          <w:sz w:val="24"/>
          <w:szCs w:val="24"/>
        </w:rPr>
        <w:t>Sci</w:t>
      </w:r>
      <w:proofErr w:type="spellEnd"/>
      <w:r w:rsidRPr="00EA75CA">
        <w:rPr>
          <w:rFonts w:asciiTheme="majorBidi" w:hAnsiTheme="majorBidi" w:cstheme="majorBidi"/>
          <w:sz w:val="24"/>
          <w:szCs w:val="24"/>
        </w:rPr>
        <w:t xml:space="preserve"> U S A. 1998;95(7):3908-3913. doi:10.1073/pnas.95.7.3908</w:t>
      </w:r>
      <w:r>
        <w:rPr>
          <w:rFonts w:asciiTheme="majorBidi" w:hAnsiTheme="majorBidi" w:cstheme="majorBidi"/>
          <w:sz w:val="24"/>
          <w:szCs w:val="24"/>
        </w:rPr>
        <w:t>.</w:t>
      </w:r>
    </w:p>
    <w:p w14:paraId="4AF23D37" w14:textId="77777777" w:rsidR="00EA75CA"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t xml:space="preserve">Nern C, Wolff I, Macas J, et al. Fusion of hematopoietic cells with Purkinje neurons does not lead to stable heterokaryon formation under noninvasive conditions. J </w:t>
      </w:r>
      <w:proofErr w:type="spellStart"/>
      <w:r w:rsidRPr="00ED2E3B">
        <w:rPr>
          <w:rFonts w:asciiTheme="majorBidi" w:hAnsiTheme="majorBidi" w:cstheme="majorBidi"/>
          <w:sz w:val="24"/>
          <w:szCs w:val="24"/>
        </w:rPr>
        <w:t>Neurosci</w:t>
      </w:r>
      <w:proofErr w:type="spellEnd"/>
      <w:r w:rsidRPr="00ED2E3B">
        <w:rPr>
          <w:rFonts w:asciiTheme="majorBidi" w:hAnsiTheme="majorBidi" w:cstheme="majorBidi"/>
          <w:sz w:val="24"/>
          <w:szCs w:val="24"/>
        </w:rPr>
        <w:t>. 2009;29(12):3799-3807. doi:10.1523/JNEUROSCI.5848-08.2009</w:t>
      </w:r>
      <w:r>
        <w:rPr>
          <w:rFonts w:asciiTheme="majorBidi" w:hAnsiTheme="majorBidi" w:cstheme="majorBidi"/>
          <w:sz w:val="24"/>
          <w:szCs w:val="24"/>
        </w:rPr>
        <w:t>.</w:t>
      </w:r>
    </w:p>
    <w:p w14:paraId="4A234341" w14:textId="77777777" w:rsidR="00ED2E3B"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lastRenderedPageBreak/>
        <w:t xml:space="preserve">Krabbe C, Zimmer J, Meyer M. Neural </w:t>
      </w:r>
      <w:proofErr w:type="spellStart"/>
      <w:r w:rsidRPr="00ED2E3B">
        <w:rPr>
          <w:rFonts w:asciiTheme="majorBidi" w:hAnsiTheme="majorBidi" w:cstheme="majorBidi"/>
          <w:sz w:val="24"/>
          <w:szCs w:val="24"/>
        </w:rPr>
        <w:t>transdifferentiation</w:t>
      </w:r>
      <w:proofErr w:type="spellEnd"/>
      <w:r w:rsidRPr="00ED2E3B">
        <w:rPr>
          <w:rFonts w:asciiTheme="majorBidi" w:hAnsiTheme="majorBidi" w:cstheme="majorBidi"/>
          <w:sz w:val="24"/>
          <w:szCs w:val="24"/>
        </w:rPr>
        <w:t xml:space="preserve"> of mesenchymal stem cells--a critical review. APMIS. 2005;113(11-12):831-844. doi:10.1111/j.1600-0463.2005.apm_3061.x</w:t>
      </w:r>
      <w:r>
        <w:rPr>
          <w:rFonts w:asciiTheme="majorBidi" w:hAnsiTheme="majorBidi" w:cstheme="majorBidi"/>
          <w:sz w:val="24"/>
          <w:szCs w:val="24"/>
        </w:rPr>
        <w:t>.</w:t>
      </w:r>
    </w:p>
    <w:p w14:paraId="45D7F5B8" w14:textId="77777777" w:rsidR="00ED2E3B" w:rsidRDefault="00B900B8" w:rsidP="00B900B8">
      <w:pPr>
        <w:pStyle w:val="ListParagraph"/>
        <w:numPr>
          <w:ilvl w:val="0"/>
          <w:numId w:val="39"/>
        </w:numPr>
        <w:spacing w:line="360" w:lineRule="auto"/>
        <w:rPr>
          <w:rFonts w:asciiTheme="majorBidi" w:hAnsiTheme="majorBidi" w:cstheme="majorBidi"/>
          <w:sz w:val="24"/>
          <w:szCs w:val="24"/>
        </w:rPr>
      </w:pPr>
      <w:r w:rsidRPr="00B900B8">
        <w:rPr>
          <w:rFonts w:asciiTheme="majorBidi" w:hAnsiTheme="majorBidi" w:cstheme="majorBidi"/>
          <w:sz w:val="24"/>
          <w:szCs w:val="24"/>
        </w:rPr>
        <w:t xml:space="preserve">Kemp K, Wilkins A, Scolding N. Cell fusion in the brain: two cells forward, one cell back. </w:t>
      </w:r>
      <w:proofErr w:type="spellStart"/>
      <w:r w:rsidRPr="00B900B8">
        <w:rPr>
          <w:rFonts w:asciiTheme="majorBidi" w:hAnsiTheme="majorBidi" w:cstheme="majorBidi"/>
          <w:sz w:val="24"/>
          <w:szCs w:val="24"/>
        </w:rPr>
        <w:t>Acta</w:t>
      </w:r>
      <w:proofErr w:type="spellEnd"/>
      <w:r w:rsidRPr="00B900B8">
        <w:rPr>
          <w:rFonts w:asciiTheme="majorBidi" w:hAnsiTheme="majorBidi" w:cstheme="majorBidi"/>
          <w:sz w:val="24"/>
          <w:szCs w:val="24"/>
        </w:rPr>
        <w:t xml:space="preserve"> </w:t>
      </w:r>
      <w:proofErr w:type="spellStart"/>
      <w:r w:rsidRPr="00B900B8">
        <w:rPr>
          <w:rFonts w:asciiTheme="majorBidi" w:hAnsiTheme="majorBidi" w:cstheme="majorBidi"/>
          <w:sz w:val="24"/>
          <w:szCs w:val="24"/>
        </w:rPr>
        <w:t>Neuropathol</w:t>
      </w:r>
      <w:proofErr w:type="spellEnd"/>
      <w:r w:rsidRPr="00B900B8">
        <w:rPr>
          <w:rFonts w:asciiTheme="majorBidi" w:hAnsiTheme="majorBidi" w:cstheme="majorBidi"/>
          <w:sz w:val="24"/>
          <w:szCs w:val="24"/>
        </w:rPr>
        <w:t>. 2014;128(5):629-638. doi:10.1007/s00401-014-1303-1</w:t>
      </w:r>
      <w:r>
        <w:rPr>
          <w:rFonts w:asciiTheme="majorBidi" w:hAnsiTheme="majorBidi" w:cstheme="majorBidi"/>
          <w:sz w:val="24"/>
          <w:szCs w:val="24"/>
        </w:rPr>
        <w:t>.</w:t>
      </w:r>
    </w:p>
    <w:p w14:paraId="08FA7D46" w14:textId="77777777" w:rsidR="00B900B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 xml:space="preserve">Bueno C, </w:t>
      </w:r>
      <w:proofErr w:type="spellStart"/>
      <w:r w:rsidRPr="009475F8">
        <w:rPr>
          <w:rFonts w:asciiTheme="majorBidi" w:hAnsiTheme="majorBidi" w:cstheme="majorBidi"/>
          <w:sz w:val="24"/>
          <w:szCs w:val="24"/>
        </w:rPr>
        <w:t>Blanquer</w:t>
      </w:r>
      <w:proofErr w:type="spellEnd"/>
      <w:r w:rsidRPr="009475F8">
        <w:rPr>
          <w:rFonts w:asciiTheme="majorBidi" w:hAnsiTheme="majorBidi" w:cstheme="majorBidi"/>
          <w:sz w:val="24"/>
          <w:szCs w:val="24"/>
        </w:rPr>
        <w:t xml:space="preserve"> M, </w:t>
      </w:r>
      <w:proofErr w:type="spellStart"/>
      <w:r w:rsidRPr="009475F8">
        <w:rPr>
          <w:rFonts w:asciiTheme="majorBidi" w:hAnsiTheme="majorBidi" w:cstheme="majorBidi"/>
          <w:sz w:val="24"/>
          <w:szCs w:val="24"/>
        </w:rPr>
        <w:t>García</w:t>
      </w:r>
      <w:proofErr w:type="spellEnd"/>
      <w:r w:rsidRPr="009475F8">
        <w:rPr>
          <w:rFonts w:asciiTheme="majorBidi" w:hAnsiTheme="majorBidi" w:cstheme="majorBidi"/>
          <w:sz w:val="24"/>
          <w:szCs w:val="24"/>
        </w:rPr>
        <w:t xml:space="preserve">-Bernal D, </w:t>
      </w:r>
      <w:proofErr w:type="spellStart"/>
      <w:r w:rsidRPr="009475F8">
        <w:rPr>
          <w:rFonts w:asciiTheme="majorBidi" w:hAnsiTheme="majorBidi" w:cstheme="majorBidi"/>
          <w:sz w:val="24"/>
          <w:szCs w:val="24"/>
        </w:rPr>
        <w:t>Martínez</w:t>
      </w:r>
      <w:proofErr w:type="spellEnd"/>
      <w:r w:rsidRPr="009475F8">
        <w:rPr>
          <w:rFonts w:asciiTheme="majorBidi" w:hAnsiTheme="majorBidi" w:cstheme="majorBidi"/>
          <w:sz w:val="24"/>
          <w:szCs w:val="24"/>
        </w:rPr>
        <w:t xml:space="preserve"> S, </w:t>
      </w:r>
      <w:proofErr w:type="spellStart"/>
      <w:r w:rsidRPr="009475F8">
        <w:rPr>
          <w:rFonts w:asciiTheme="majorBidi" w:hAnsiTheme="majorBidi" w:cstheme="majorBidi"/>
          <w:sz w:val="24"/>
          <w:szCs w:val="24"/>
        </w:rPr>
        <w:t>Moraleda</w:t>
      </w:r>
      <w:proofErr w:type="spellEnd"/>
      <w:r w:rsidRPr="009475F8">
        <w:rPr>
          <w:rFonts w:asciiTheme="majorBidi" w:hAnsiTheme="majorBidi" w:cstheme="majorBidi"/>
          <w:sz w:val="24"/>
          <w:szCs w:val="24"/>
        </w:rPr>
        <w:t xml:space="preserve"> JM. Binucleated human bone marrow-derived mesenchymal cells can be formed during neural-like differentiation with independence of any cell fusion events. Sci Rep. 2022;12(1):20615. Published 2022 Nov 30. doi:10.1038/s41598-022-24996-8</w:t>
      </w:r>
      <w:r>
        <w:rPr>
          <w:rFonts w:asciiTheme="majorBidi" w:hAnsiTheme="majorBidi" w:cstheme="majorBidi"/>
          <w:sz w:val="24"/>
          <w:szCs w:val="24"/>
        </w:rPr>
        <w:t>.</w:t>
      </w:r>
    </w:p>
    <w:p w14:paraId="0CA4895A" w14:textId="77777777" w:rsidR="009475F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Hernández R, Jiménez-Luna C, Perales-</w:t>
      </w:r>
      <w:proofErr w:type="spellStart"/>
      <w:r w:rsidRPr="009475F8">
        <w:rPr>
          <w:rFonts w:asciiTheme="majorBidi" w:hAnsiTheme="majorBidi" w:cstheme="majorBidi"/>
          <w:sz w:val="24"/>
          <w:szCs w:val="24"/>
        </w:rPr>
        <w:t>Adán</w:t>
      </w:r>
      <w:proofErr w:type="spellEnd"/>
      <w:r w:rsidRPr="009475F8">
        <w:rPr>
          <w:rFonts w:asciiTheme="majorBidi" w:hAnsiTheme="majorBidi" w:cstheme="majorBidi"/>
          <w:sz w:val="24"/>
          <w:szCs w:val="24"/>
        </w:rPr>
        <w:t xml:space="preserve"> J, </w:t>
      </w:r>
      <w:proofErr w:type="spellStart"/>
      <w:r w:rsidRPr="009475F8">
        <w:rPr>
          <w:rFonts w:asciiTheme="majorBidi" w:hAnsiTheme="majorBidi" w:cstheme="majorBidi"/>
          <w:sz w:val="24"/>
          <w:szCs w:val="24"/>
        </w:rPr>
        <w:t>Perazzoli</w:t>
      </w:r>
      <w:proofErr w:type="spellEnd"/>
      <w:r w:rsidRPr="009475F8">
        <w:rPr>
          <w:rFonts w:asciiTheme="majorBidi" w:hAnsiTheme="majorBidi" w:cstheme="majorBidi"/>
          <w:sz w:val="24"/>
          <w:szCs w:val="24"/>
        </w:rPr>
        <w:t xml:space="preserve"> G, </w:t>
      </w:r>
      <w:proofErr w:type="spellStart"/>
      <w:r w:rsidRPr="009475F8">
        <w:rPr>
          <w:rFonts w:asciiTheme="majorBidi" w:hAnsiTheme="majorBidi" w:cstheme="majorBidi"/>
          <w:sz w:val="24"/>
          <w:szCs w:val="24"/>
        </w:rPr>
        <w:t>Melguizo</w:t>
      </w:r>
      <w:proofErr w:type="spellEnd"/>
      <w:r w:rsidRPr="009475F8">
        <w:rPr>
          <w:rFonts w:asciiTheme="majorBidi" w:hAnsiTheme="majorBidi" w:cstheme="majorBidi"/>
          <w:sz w:val="24"/>
          <w:szCs w:val="24"/>
        </w:rPr>
        <w:t xml:space="preserve"> C, </w:t>
      </w:r>
      <w:proofErr w:type="spellStart"/>
      <w:r w:rsidRPr="009475F8">
        <w:rPr>
          <w:rFonts w:asciiTheme="majorBidi" w:hAnsiTheme="majorBidi" w:cstheme="majorBidi"/>
          <w:sz w:val="24"/>
          <w:szCs w:val="24"/>
        </w:rPr>
        <w:t>Prados</w:t>
      </w:r>
      <w:proofErr w:type="spellEnd"/>
      <w:r w:rsidRPr="009475F8">
        <w:rPr>
          <w:rFonts w:asciiTheme="majorBidi" w:hAnsiTheme="majorBidi" w:cstheme="majorBidi"/>
          <w:sz w:val="24"/>
          <w:szCs w:val="24"/>
        </w:rPr>
        <w:t xml:space="preserve"> J. Differentiation of Human Mesenchymal Stem Cells towards Neuronal Lineage: Clinical Trials in Nervous System Disorders. </w:t>
      </w:r>
      <w:proofErr w:type="spellStart"/>
      <w:r w:rsidRPr="009475F8">
        <w:rPr>
          <w:rFonts w:asciiTheme="majorBidi" w:hAnsiTheme="majorBidi" w:cstheme="majorBidi"/>
          <w:sz w:val="24"/>
          <w:szCs w:val="24"/>
        </w:rPr>
        <w:t>Biomol</w:t>
      </w:r>
      <w:proofErr w:type="spellEnd"/>
      <w:r w:rsidRPr="009475F8">
        <w:rPr>
          <w:rFonts w:asciiTheme="majorBidi" w:hAnsiTheme="majorBidi" w:cstheme="majorBidi"/>
          <w:sz w:val="24"/>
          <w:szCs w:val="24"/>
        </w:rPr>
        <w:t xml:space="preserve"> </w:t>
      </w:r>
      <w:proofErr w:type="spellStart"/>
      <w:r w:rsidRPr="009475F8">
        <w:rPr>
          <w:rFonts w:asciiTheme="majorBidi" w:hAnsiTheme="majorBidi" w:cstheme="majorBidi"/>
          <w:sz w:val="24"/>
          <w:szCs w:val="24"/>
        </w:rPr>
        <w:t>Ther</w:t>
      </w:r>
      <w:proofErr w:type="spellEnd"/>
      <w:r w:rsidRPr="009475F8">
        <w:rPr>
          <w:rFonts w:asciiTheme="majorBidi" w:hAnsiTheme="majorBidi" w:cstheme="majorBidi"/>
          <w:sz w:val="24"/>
          <w:szCs w:val="24"/>
        </w:rPr>
        <w:t xml:space="preserve"> (Seoul). 2020;28(1):34-44. doi:10.4062/biomolther.2019.065</w:t>
      </w:r>
      <w:r>
        <w:rPr>
          <w:rFonts w:asciiTheme="majorBidi" w:hAnsiTheme="majorBidi" w:cstheme="majorBidi"/>
          <w:sz w:val="24"/>
          <w:szCs w:val="24"/>
        </w:rPr>
        <w:t>.</w:t>
      </w:r>
    </w:p>
    <w:p w14:paraId="1F35E789" w14:textId="77777777" w:rsidR="009475F8" w:rsidRDefault="00F67D5E" w:rsidP="00F67D5E">
      <w:pPr>
        <w:pStyle w:val="ListParagraph"/>
        <w:numPr>
          <w:ilvl w:val="0"/>
          <w:numId w:val="39"/>
        </w:numPr>
        <w:spacing w:line="360" w:lineRule="auto"/>
        <w:rPr>
          <w:rFonts w:asciiTheme="majorBidi" w:hAnsiTheme="majorBidi" w:cstheme="majorBidi"/>
          <w:sz w:val="24"/>
          <w:szCs w:val="24"/>
        </w:rPr>
      </w:pPr>
      <w:r w:rsidRPr="00F67D5E">
        <w:rPr>
          <w:rFonts w:asciiTheme="majorBidi" w:hAnsiTheme="majorBidi" w:cstheme="majorBidi"/>
          <w:sz w:val="24"/>
          <w:szCs w:val="24"/>
        </w:rPr>
        <w:t xml:space="preserve">Kemp K, Wilkins A, Scolding N. Cell fusion in the brain: two cells forward, one cell back. </w:t>
      </w:r>
      <w:proofErr w:type="spellStart"/>
      <w:r w:rsidRPr="00F67D5E">
        <w:rPr>
          <w:rFonts w:asciiTheme="majorBidi" w:hAnsiTheme="majorBidi" w:cstheme="majorBidi"/>
          <w:sz w:val="24"/>
          <w:szCs w:val="24"/>
        </w:rPr>
        <w:t>Acta</w:t>
      </w:r>
      <w:proofErr w:type="spellEnd"/>
      <w:r w:rsidRPr="00F67D5E">
        <w:rPr>
          <w:rFonts w:asciiTheme="majorBidi" w:hAnsiTheme="majorBidi" w:cstheme="majorBidi"/>
          <w:sz w:val="24"/>
          <w:szCs w:val="24"/>
        </w:rPr>
        <w:t xml:space="preserve"> </w:t>
      </w:r>
      <w:proofErr w:type="spellStart"/>
      <w:r w:rsidRPr="00F67D5E">
        <w:rPr>
          <w:rFonts w:asciiTheme="majorBidi" w:hAnsiTheme="majorBidi" w:cstheme="majorBidi"/>
          <w:sz w:val="24"/>
          <w:szCs w:val="24"/>
        </w:rPr>
        <w:t>Neuropathol</w:t>
      </w:r>
      <w:proofErr w:type="spellEnd"/>
      <w:r w:rsidRPr="00F67D5E">
        <w:rPr>
          <w:rFonts w:asciiTheme="majorBidi" w:hAnsiTheme="majorBidi" w:cstheme="majorBidi"/>
          <w:sz w:val="24"/>
          <w:szCs w:val="24"/>
        </w:rPr>
        <w:t>. 2014;128(5):629-638. doi:10.1007/s00401-014-1303-1</w:t>
      </w:r>
      <w:r>
        <w:rPr>
          <w:rFonts w:asciiTheme="majorBidi" w:hAnsiTheme="majorBidi" w:cstheme="majorBidi"/>
          <w:sz w:val="24"/>
          <w:szCs w:val="24"/>
        </w:rPr>
        <w:t>.</w:t>
      </w:r>
    </w:p>
    <w:p w14:paraId="72004231" w14:textId="77777777" w:rsidR="00F67D5E" w:rsidRDefault="00200E1F" w:rsidP="00200E1F">
      <w:pPr>
        <w:pStyle w:val="ListParagraph"/>
        <w:numPr>
          <w:ilvl w:val="0"/>
          <w:numId w:val="39"/>
        </w:numPr>
        <w:spacing w:line="360" w:lineRule="auto"/>
        <w:rPr>
          <w:rFonts w:asciiTheme="majorBidi" w:hAnsiTheme="majorBidi" w:cstheme="majorBidi"/>
          <w:sz w:val="24"/>
          <w:szCs w:val="24"/>
        </w:rPr>
      </w:pPr>
      <w:r w:rsidRPr="00200E1F">
        <w:rPr>
          <w:rFonts w:asciiTheme="majorBidi" w:hAnsiTheme="majorBidi" w:cstheme="majorBidi"/>
          <w:sz w:val="24"/>
          <w:szCs w:val="24"/>
        </w:rPr>
        <w:t>Alvarez-</w:t>
      </w:r>
      <w:proofErr w:type="spellStart"/>
      <w:r w:rsidRPr="00200E1F">
        <w:rPr>
          <w:rFonts w:asciiTheme="majorBidi" w:hAnsiTheme="majorBidi" w:cstheme="majorBidi"/>
          <w:sz w:val="24"/>
          <w:szCs w:val="24"/>
        </w:rPr>
        <w:t>Dolado</w:t>
      </w:r>
      <w:proofErr w:type="spellEnd"/>
      <w:r w:rsidRPr="00200E1F">
        <w:rPr>
          <w:rFonts w:asciiTheme="majorBidi" w:hAnsiTheme="majorBidi" w:cstheme="majorBidi"/>
          <w:sz w:val="24"/>
          <w:szCs w:val="24"/>
        </w:rPr>
        <w:t xml:space="preserve"> M, </w:t>
      </w:r>
      <w:proofErr w:type="spellStart"/>
      <w:r w:rsidRPr="00200E1F">
        <w:rPr>
          <w:rFonts w:asciiTheme="majorBidi" w:hAnsiTheme="majorBidi" w:cstheme="majorBidi"/>
          <w:sz w:val="24"/>
          <w:szCs w:val="24"/>
        </w:rPr>
        <w:t>Pardal</w:t>
      </w:r>
      <w:proofErr w:type="spellEnd"/>
      <w:r w:rsidRPr="00200E1F">
        <w:rPr>
          <w:rFonts w:asciiTheme="majorBidi" w:hAnsiTheme="majorBidi" w:cstheme="majorBidi"/>
          <w:sz w:val="24"/>
          <w:szCs w:val="24"/>
        </w:rPr>
        <w:t xml:space="preserve"> R, Garcia-Verdugo JM, et al. Fusion of bone-marrow-derived cells with Purkinje neurons, cardiomyocytes and hepatocytes. Nature. 2003;425(6961):968-973. doi:10.1038/nature02069</w:t>
      </w:r>
      <w:r>
        <w:rPr>
          <w:rFonts w:asciiTheme="majorBidi" w:hAnsiTheme="majorBidi" w:cstheme="majorBidi"/>
          <w:sz w:val="24"/>
          <w:szCs w:val="24"/>
        </w:rPr>
        <w:t>.</w:t>
      </w:r>
    </w:p>
    <w:p w14:paraId="0EF84053" w14:textId="77777777" w:rsidR="00200E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Kirillova A, Han L, Liu H, Kühn B. Polyploid cardiomyocytes: implications for heart regeneration. Development. 2021</w:t>
      </w:r>
      <w:proofErr w:type="gramStart"/>
      <w:r w:rsidRPr="0013441F">
        <w:rPr>
          <w:rFonts w:asciiTheme="majorBidi" w:hAnsiTheme="majorBidi" w:cstheme="majorBidi"/>
          <w:sz w:val="24"/>
          <w:szCs w:val="24"/>
        </w:rPr>
        <w:t>;148</w:t>
      </w:r>
      <w:proofErr w:type="gramEnd"/>
      <w:r w:rsidRPr="0013441F">
        <w:rPr>
          <w:rFonts w:asciiTheme="majorBidi" w:hAnsiTheme="majorBidi" w:cstheme="majorBidi"/>
          <w:sz w:val="24"/>
          <w:szCs w:val="24"/>
        </w:rPr>
        <w:t>(14):dev199401. doi:10.1242/dev.199401</w:t>
      </w:r>
      <w:r>
        <w:rPr>
          <w:rFonts w:asciiTheme="majorBidi" w:hAnsiTheme="majorBidi" w:cstheme="majorBidi"/>
          <w:sz w:val="24"/>
          <w:szCs w:val="24"/>
        </w:rPr>
        <w:t>.</w:t>
      </w:r>
    </w:p>
    <w:p w14:paraId="64C860A1"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 xml:space="preserve">Adler CP, Friedburg H, Herget GW, Neuburger M, Schwalb H. Variability of cardiomyocyte DNA content, ploidy level and nuclear number in mammalian hearts. </w:t>
      </w:r>
      <w:proofErr w:type="spellStart"/>
      <w:r w:rsidRPr="0013441F">
        <w:rPr>
          <w:rFonts w:asciiTheme="majorBidi" w:hAnsiTheme="majorBidi" w:cstheme="majorBidi"/>
          <w:sz w:val="24"/>
          <w:szCs w:val="24"/>
        </w:rPr>
        <w:t>Virchows</w:t>
      </w:r>
      <w:proofErr w:type="spellEnd"/>
      <w:r w:rsidRPr="0013441F">
        <w:rPr>
          <w:rFonts w:asciiTheme="majorBidi" w:hAnsiTheme="majorBidi" w:cstheme="majorBidi"/>
          <w:sz w:val="24"/>
          <w:szCs w:val="24"/>
        </w:rPr>
        <w:t xml:space="preserve"> Arch. 1996;429(2-3):159-164. doi:10.1007/BF00192438</w:t>
      </w:r>
      <w:r>
        <w:rPr>
          <w:rFonts w:asciiTheme="majorBidi" w:hAnsiTheme="majorBidi" w:cstheme="majorBidi"/>
          <w:sz w:val="24"/>
          <w:szCs w:val="24"/>
        </w:rPr>
        <w:t>.</w:t>
      </w:r>
    </w:p>
    <w:p w14:paraId="762FEE55"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Xin M, Olson EN, Bassel-Duby R. Mending broken hearts: cardiac development as a basis for adult heart regeneration and repair. Nat Rev Mol Cell Biol. 2013;14(8):529-541. doi:10.1038/nrm3619</w:t>
      </w:r>
      <w:r>
        <w:rPr>
          <w:rFonts w:asciiTheme="majorBidi" w:hAnsiTheme="majorBidi" w:cstheme="majorBidi"/>
          <w:sz w:val="24"/>
          <w:szCs w:val="24"/>
        </w:rPr>
        <w:t>.</w:t>
      </w:r>
    </w:p>
    <w:p w14:paraId="27D717A9" w14:textId="77777777" w:rsidR="0013441F" w:rsidRDefault="0074111D" w:rsidP="0074111D">
      <w:pPr>
        <w:pStyle w:val="ListParagraph"/>
        <w:numPr>
          <w:ilvl w:val="0"/>
          <w:numId w:val="39"/>
        </w:numPr>
        <w:spacing w:line="360" w:lineRule="auto"/>
        <w:rPr>
          <w:rFonts w:asciiTheme="majorBidi" w:hAnsiTheme="majorBidi" w:cstheme="majorBidi"/>
          <w:sz w:val="24"/>
          <w:szCs w:val="24"/>
        </w:rPr>
      </w:pPr>
      <w:proofErr w:type="spellStart"/>
      <w:r w:rsidRPr="0074111D">
        <w:rPr>
          <w:rFonts w:asciiTheme="majorBidi" w:hAnsiTheme="majorBidi" w:cstheme="majorBidi"/>
          <w:sz w:val="24"/>
          <w:szCs w:val="24"/>
        </w:rPr>
        <w:t>Yekelchyk</w:t>
      </w:r>
      <w:proofErr w:type="spellEnd"/>
      <w:r w:rsidRPr="0074111D">
        <w:rPr>
          <w:rFonts w:asciiTheme="majorBidi" w:hAnsiTheme="majorBidi" w:cstheme="majorBidi"/>
          <w:sz w:val="24"/>
          <w:szCs w:val="24"/>
        </w:rPr>
        <w:t xml:space="preserve"> M, Guenther S, </w:t>
      </w:r>
      <w:proofErr w:type="spellStart"/>
      <w:r w:rsidRPr="0074111D">
        <w:rPr>
          <w:rFonts w:asciiTheme="majorBidi" w:hAnsiTheme="majorBidi" w:cstheme="majorBidi"/>
          <w:sz w:val="24"/>
          <w:szCs w:val="24"/>
        </w:rPr>
        <w:t>Preussner</w:t>
      </w:r>
      <w:proofErr w:type="spellEnd"/>
      <w:r w:rsidRPr="0074111D">
        <w:rPr>
          <w:rFonts w:asciiTheme="majorBidi" w:hAnsiTheme="majorBidi" w:cstheme="majorBidi"/>
          <w:sz w:val="24"/>
          <w:szCs w:val="24"/>
        </w:rPr>
        <w:t xml:space="preserve"> J, Braun T. Mono- and multi-nucleated ventricular cardiomyocytes constitute a transcriptionally homogenous cell population. Basic Res </w:t>
      </w:r>
      <w:proofErr w:type="spellStart"/>
      <w:r w:rsidRPr="0074111D">
        <w:rPr>
          <w:rFonts w:asciiTheme="majorBidi" w:hAnsiTheme="majorBidi" w:cstheme="majorBidi"/>
          <w:sz w:val="24"/>
          <w:szCs w:val="24"/>
        </w:rPr>
        <w:t>Cardiol</w:t>
      </w:r>
      <w:proofErr w:type="spellEnd"/>
      <w:r w:rsidRPr="0074111D">
        <w:rPr>
          <w:rFonts w:asciiTheme="majorBidi" w:hAnsiTheme="majorBidi" w:cstheme="majorBidi"/>
          <w:sz w:val="24"/>
          <w:szCs w:val="24"/>
        </w:rPr>
        <w:t xml:space="preserve">. 2019;114(5):36. Published 2019 Aug 9. </w:t>
      </w:r>
      <w:r w:rsidRPr="0074111D">
        <w:rPr>
          <w:rFonts w:asciiTheme="majorBidi" w:hAnsiTheme="majorBidi" w:cstheme="majorBidi"/>
          <w:sz w:val="24"/>
          <w:szCs w:val="24"/>
        </w:rPr>
        <w:lastRenderedPageBreak/>
        <w:t>doi:10.1007/s00395-019-0744-z</w:t>
      </w:r>
      <w:r>
        <w:rPr>
          <w:rFonts w:asciiTheme="majorBidi" w:hAnsiTheme="majorBidi" w:cstheme="majorBidi"/>
          <w:sz w:val="24"/>
          <w:szCs w:val="24"/>
        </w:rPr>
        <w:t>.</w:t>
      </w:r>
    </w:p>
    <w:p w14:paraId="01B36DB7" w14:textId="77777777" w:rsidR="0074111D" w:rsidRDefault="00694E38" w:rsidP="00694E38">
      <w:pPr>
        <w:pStyle w:val="ListParagraph"/>
        <w:numPr>
          <w:ilvl w:val="0"/>
          <w:numId w:val="39"/>
        </w:numPr>
        <w:spacing w:line="360" w:lineRule="auto"/>
        <w:rPr>
          <w:rFonts w:asciiTheme="majorBidi" w:hAnsiTheme="majorBidi" w:cstheme="majorBidi"/>
          <w:sz w:val="24"/>
          <w:szCs w:val="24"/>
        </w:rPr>
      </w:pPr>
      <w:r w:rsidRPr="00694E38">
        <w:rPr>
          <w:rFonts w:asciiTheme="majorBidi" w:hAnsiTheme="majorBidi" w:cstheme="majorBidi"/>
          <w:sz w:val="24"/>
          <w:szCs w:val="24"/>
        </w:rPr>
        <w:t>Elia A, Mohsin S, Khan M. Cardiomyocyte Ploidy, Metabolic Reprogramming and Heart Repair. Cells. 2023;12(12):1571. Published 2023 Jun 7. doi:10.3390/cells12121571</w:t>
      </w:r>
      <w:r>
        <w:rPr>
          <w:rFonts w:asciiTheme="majorBidi" w:hAnsiTheme="majorBidi" w:cstheme="majorBidi"/>
          <w:sz w:val="24"/>
          <w:szCs w:val="24"/>
        </w:rPr>
        <w:t>.</w:t>
      </w:r>
    </w:p>
    <w:p w14:paraId="5B84A540" w14:textId="77777777" w:rsidR="00694E38"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Olsson MC, Palmer BM, Stauffer BL, Leinwand LA, Moore RL. Morphological and functional alterations in ventricular myocytes from male transgenic mice with hypertrophic cardiomyopathy. Circ Res. 2004;94(2):201-207. doi:10.1161/01.RES.0000111521.40760.18</w:t>
      </w:r>
      <w:r>
        <w:rPr>
          <w:rFonts w:asciiTheme="majorBidi" w:hAnsiTheme="majorBidi" w:cstheme="majorBidi"/>
          <w:sz w:val="24"/>
          <w:szCs w:val="24"/>
        </w:rPr>
        <w:t>.</w:t>
      </w:r>
    </w:p>
    <w:p w14:paraId="0AC462B2"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 xml:space="preserve">Lima JP. </w:t>
      </w:r>
      <w:proofErr w:type="spellStart"/>
      <w:r w:rsidRPr="00B936AE">
        <w:rPr>
          <w:rFonts w:asciiTheme="majorBidi" w:hAnsiTheme="majorBidi" w:cstheme="majorBidi"/>
          <w:sz w:val="24"/>
          <w:szCs w:val="24"/>
        </w:rPr>
        <w:t>Anatomia</w:t>
      </w:r>
      <w:proofErr w:type="spellEnd"/>
      <w:r w:rsidRPr="00B936AE">
        <w:rPr>
          <w:rFonts w:asciiTheme="majorBidi" w:hAnsiTheme="majorBidi" w:cstheme="majorBidi"/>
          <w:sz w:val="24"/>
          <w:szCs w:val="24"/>
        </w:rPr>
        <w:t xml:space="preserve"> e </w:t>
      </w:r>
      <w:proofErr w:type="spellStart"/>
      <w:r w:rsidRPr="00B936AE">
        <w:rPr>
          <w:rFonts w:asciiTheme="majorBidi" w:hAnsiTheme="majorBidi" w:cstheme="majorBidi"/>
          <w:sz w:val="24"/>
          <w:szCs w:val="24"/>
        </w:rPr>
        <w:t>fisiologia</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aparelho</w:t>
      </w:r>
      <w:proofErr w:type="spellEnd"/>
      <w:r w:rsidRPr="00B936AE">
        <w:rPr>
          <w:rFonts w:asciiTheme="majorBidi" w:hAnsiTheme="majorBidi" w:cstheme="majorBidi"/>
          <w:sz w:val="24"/>
          <w:szCs w:val="24"/>
        </w:rPr>
        <w:t xml:space="preserve"> </w:t>
      </w:r>
      <w:proofErr w:type="spellStart"/>
      <w:r w:rsidRPr="00B936AE">
        <w:rPr>
          <w:rFonts w:asciiTheme="majorBidi" w:hAnsiTheme="majorBidi" w:cstheme="majorBidi"/>
          <w:sz w:val="24"/>
          <w:szCs w:val="24"/>
        </w:rPr>
        <w:t>excretor</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fígado</w:t>
      </w:r>
      <w:proofErr w:type="spellEnd"/>
      <w:r w:rsidRPr="00B936AE">
        <w:rPr>
          <w:rFonts w:asciiTheme="majorBidi" w:hAnsiTheme="majorBidi" w:cstheme="majorBidi"/>
          <w:sz w:val="24"/>
          <w:szCs w:val="24"/>
        </w:rPr>
        <w:t xml:space="preserve"> [Anatomy and physiology of the liver secretory apparatus]. </w:t>
      </w:r>
      <w:proofErr w:type="spellStart"/>
      <w:r w:rsidRPr="00B936AE">
        <w:rPr>
          <w:rFonts w:asciiTheme="majorBidi" w:hAnsiTheme="majorBidi" w:cstheme="majorBidi"/>
          <w:sz w:val="24"/>
          <w:szCs w:val="24"/>
        </w:rPr>
        <w:t>Arq</w:t>
      </w:r>
      <w:proofErr w:type="spellEnd"/>
      <w:r w:rsidRPr="00B936AE">
        <w:rPr>
          <w:rFonts w:asciiTheme="majorBidi" w:hAnsiTheme="majorBidi" w:cstheme="majorBidi"/>
          <w:sz w:val="24"/>
          <w:szCs w:val="24"/>
        </w:rPr>
        <w:t xml:space="preserve"> </w:t>
      </w:r>
      <w:proofErr w:type="spellStart"/>
      <w:r w:rsidRPr="00B936AE">
        <w:rPr>
          <w:rFonts w:asciiTheme="majorBidi" w:hAnsiTheme="majorBidi" w:cstheme="majorBidi"/>
          <w:sz w:val="24"/>
          <w:szCs w:val="24"/>
        </w:rPr>
        <w:t>Gastroenterol</w:t>
      </w:r>
      <w:proofErr w:type="spellEnd"/>
      <w:r w:rsidRPr="00B936AE">
        <w:rPr>
          <w:rFonts w:asciiTheme="majorBidi" w:hAnsiTheme="majorBidi" w:cstheme="majorBidi"/>
          <w:sz w:val="24"/>
          <w:szCs w:val="24"/>
        </w:rPr>
        <w:t>. 1980;17(3):149-160.</w:t>
      </w:r>
    </w:p>
    <w:p w14:paraId="2B0AF3FF"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proofErr w:type="spellStart"/>
      <w:r w:rsidRPr="00B936AE">
        <w:rPr>
          <w:rFonts w:asciiTheme="majorBidi" w:hAnsiTheme="majorBidi" w:cstheme="majorBidi"/>
          <w:sz w:val="24"/>
          <w:szCs w:val="24"/>
        </w:rPr>
        <w:t>Margall-Ducos</w:t>
      </w:r>
      <w:proofErr w:type="spellEnd"/>
      <w:r w:rsidRPr="00B936AE">
        <w:rPr>
          <w:rFonts w:asciiTheme="majorBidi" w:hAnsiTheme="majorBidi" w:cstheme="majorBidi"/>
          <w:sz w:val="24"/>
          <w:szCs w:val="24"/>
        </w:rPr>
        <w:t xml:space="preserve"> G, </w:t>
      </w:r>
      <w:proofErr w:type="spellStart"/>
      <w:r w:rsidRPr="00B936AE">
        <w:rPr>
          <w:rFonts w:asciiTheme="majorBidi" w:hAnsiTheme="majorBidi" w:cstheme="majorBidi"/>
          <w:sz w:val="24"/>
          <w:szCs w:val="24"/>
        </w:rPr>
        <w:t>Celton-Morizur</w:t>
      </w:r>
      <w:proofErr w:type="spellEnd"/>
      <w:r w:rsidRPr="00B936AE">
        <w:rPr>
          <w:rFonts w:asciiTheme="majorBidi" w:hAnsiTheme="majorBidi" w:cstheme="majorBidi"/>
          <w:sz w:val="24"/>
          <w:szCs w:val="24"/>
        </w:rPr>
        <w:t xml:space="preserve"> S, </w:t>
      </w:r>
      <w:proofErr w:type="spellStart"/>
      <w:r w:rsidRPr="00B936AE">
        <w:rPr>
          <w:rFonts w:asciiTheme="majorBidi" w:hAnsiTheme="majorBidi" w:cstheme="majorBidi"/>
          <w:sz w:val="24"/>
          <w:szCs w:val="24"/>
        </w:rPr>
        <w:t>Couton</w:t>
      </w:r>
      <w:proofErr w:type="spellEnd"/>
      <w:r w:rsidRPr="00B936AE">
        <w:rPr>
          <w:rFonts w:asciiTheme="majorBidi" w:hAnsiTheme="majorBidi" w:cstheme="majorBidi"/>
          <w:sz w:val="24"/>
          <w:szCs w:val="24"/>
        </w:rPr>
        <w:t xml:space="preserve"> D, </w:t>
      </w:r>
      <w:proofErr w:type="spellStart"/>
      <w:r w:rsidRPr="00B936AE">
        <w:rPr>
          <w:rFonts w:asciiTheme="majorBidi" w:hAnsiTheme="majorBidi" w:cstheme="majorBidi"/>
          <w:sz w:val="24"/>
          <w:szCs w:val="24"/>
        </w:rPr>
        <w:t>Brégerie</w:t>
      </w:r>
      <w:proofErr w:type="spellEnd"/>
      <w:r w:rsidRPr="00B936AE">
        <w:rPr>
          <w:rFonts w:asciiTheme="majorBidi" w:hAnsiTheme="majorBidi" w:cstheme="majorBidi"/>
          <w:sz w:val="24"/>
          <w:szCs w:val="24"/>
        </w:rPr>
        <w:t xml:space="preserve"> O, </w:t>
      </w:r>
      <w:proofErr w:type="spellStart"/>
      <w:r w:rsidRPr="00B936AE">
        <w:rPr>
          <w:rFonts w:asciiTheme="majorBidi" w:hAnsiTheme="majorBidi" w:cstheme="majorBidi"/>
          <w:sz w:val="24"/>
          <w:szCs w:val="24"/>
        </w:rPr>
        <w:t>Desdouets</w:t>
      </w:r>
      <w:proofErr w:type="spellEnd"/>
      <w:r w:rsidRPr="00B936AE">
        <w:rPr>
          <w:rFonts w:asciiTheme="majorBidi" w:hAnsiTheme="majorBidi" w:cstheme="majorBidi"/>
          <w:sz w:val="24"/>
          <w:szCs w:val="24"/>
        </w:rPr>
        <w:t xml:space="preserve"> C. Liver tetraploidization is controlled by a new process of incomplete cytokinesis. J Cell Sci. 2007;120(Pt 20):3633-3639. doi:10.1242/jcs.016907</w:t>
      </w:r>
      <w:r>
        <w:rPr>
          <w:rFonts w:asciiTheme="majorBidi" w:hAnsiTheme="majorBidi" w:cstheme="majorBidi"/>
          <w:sz w:val="24"/>
          <w:szCs w:val="24"/>
        </w:rPr>
        <w:t>.</w:t>
      </w:r>
    </w:p>
    <w:p w14:paraId="5E3F535A" w14:textId="77777777" w:rsidR="00B936AE"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Duncan AW. Aneuploidy, polyploidy and ploidy reversal in the liver. Semin Cell Dev Biol. 2013;24(4):347-356. doi:10.1016/j.semcdb.2013.01.003</w:t>
      </w:r>
      <w:r>
        <w:rPr>
          <w:rFonts w:asciiTheme="majorBidi" w:hAnsiTheme="majorBidi" w:cstheme="majorBidi"/>
          <w:sz w:val="24"/>
          <w:szCs w:val="24"/>
        </w:rPr>
        <w:t>.</w:t>
      </w:r>
    </w:p>
    <w:p w14:paraId="3E6D9C1B"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Øvrebø JI, Edgar BA. Polyploidy in tissue homeostasis and regeneration. Development. 2018</w:t>
      </w:r>
      <w:proofErr w:type="gramStart"/>
      <w:r w:rsidRPr="00D60464">
        <w:rPr>
          <w:rFonts w:asciiTheme="majorBidi" w:hAnsiTheme="majorBidi" w:cstheme="majorBidi"/>
          <w:sz w:val="24"/>
          <w:szCs w:val="24"/>
        </w:rPr>
        <w:t>;145</w:t>
      </w:r>
      <w:proofErr w:type="gramEnd"/>
      <w:r w:rsidRPr="00D60464">
        <w:rPr>
          <w:rFonts w:asciiTheme="majorBidi" w:hAnsiTheme="majorBidi" w:cstheme="majorBidi"/>
          <w:sz w:val="24"/>
          <w:szCs w:val="24"/>
        </w:rPr>
        <w:t>(14):dev156034. Published 2018 Jul 18. doi:10.1242/dev.156034</w:t>
      </w:r>
      <w:r>
        <w:rPr>
          <w:rFonts w:asciiTheme="majorBidi" w:hAnsiTheme="majorBidi" w:cstheme="majorBidi"/>
          <w:sz w:val="24"/>
          <w:szCs w:val="24"/>
        </w:rPr>
        <w:t>.</w:t>
      </w:r>
    </w:p>
    <w:p w14:paraId="0E0A8DAE"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Zhang S, Lin YH, Tarlow B, Zhu H. The origins and functions of hepatic polyploidy. Cell Cycle. 2019;18(12):1302-1315. doi:10.1080/15384101.2019.1618123</w:t>
      </w:r>
      <w:r>
        <w:rPr>
          <w:rFonts w:asciiTheme="majorBidi" w:hAnsiTheme="majorBidi" w:cstheme="majorBidi"/>
          <w:sz w:val="24"/>
          <w:szCs w:val="24"/>
        </w:rPr>
        <w:t>.</w:t>
      </w:r>
    </w:p>
    <w:p w14:paraId="45EA05D5" w14:textId="77777777" w:rsidR="00D60464"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Davoli T, de Lange T. The causes and consequences of polyploidy in normal development and cancer. Annu Rev Cell Dev Biol. 2011</w:t>
      </w:r>
      <w:proofErr w:type="gramStart"/>
      <w:r w:rsidRPr="00833116">
        <w:rPr>
          <w:rFonts w:asciiTheme="majorBidi" w:hAnsiTheme="majorBidi" w:cstheme="majorBidi"/>
          <w:sz w:val="24"/>
          <w:szCs w:val="24"/>
        </w:rPr>
        <w:t>;27:585</w:t>
      </w:r>
      <w:proofErr w:type="gramEnd"/>
      <w:r w:rsidRPr="00833116">
        <w:rPr>
          <w:rFonts w:asciiTheme="majorBidi" w:hAnsiTheme="majorBidi" w:cstheme="majorBidi"/>
          <w:sz w:val="24"/>
          <w:szCs w:val="24"/>
        </w:rPr>
        <w:t>-610. doi:10.1146/annurev-cellbio-092910-154234</w:t>
      </w:r>
      <w:r>
        <w:rPr>
          <w:rFonts w:asciiTheme="majorBidi" w:hAnsiTheme="majorBidi" w:cstheme="majorBidi"/>
          <w:sz w:val="24"/>
          <w:szCs w:val="24"/>
        </w:rPr>
        <w:t>.</w:t>
      </w:r>
    </w:p>
    <w:p w14:paraId="3DEE8A0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Matthay</w:t>
      </w:r>
      <w:proofErr w:type="spellEnd"/>
      <w:r w:rsidRPr="00833116">
        <w:rPr>
          <w:rFonts w:asciiTheme="majorBidi" w:hAnsiTheme="majorBidi" w:cstheme="majorBidi"/>
          <w:sz w:val="24"/>
          <w:szCs w:val="24"/>
        </w:rPr>
        <w:t xml:space="preserve"> MA, </w:t>
      </w:r>
      <w:proofErr w:type="spellStart"/>
      <w:r w:rsidRPr="00833116">
        <w:rPr>
          <w:rFonts w:asciiTheme="majorBidi" w:hAnsiTheme="majorBidi" w:cstheme="majorBidi"/>
          <w:sz w:val="24"/>
          <w:szCs w:val="24"/>
        </w:rPr>
        <w:t>Zemans</w:t>
      </w:r>
      <w:proofErr w:type="spellEnd"/>
      <w:r w:rsidRPr="00833116">
        <w:rPr>
          <w:rFonts w:asciiTheme="majorBidi" w:hAnsiTheme="majorBidi" w:cstheme="majorBidi"/>
          <w:sz w:val="24"/>
          <w:szCs w:val="24"/>
        </w:rPr>
        <w:t xml:space="preserve"> RL, Zimmerman GA, et al. Acute respiratory distress syndrome. Nat Rev Dis Primers. 2019;5(1):18. Published 2019 Mar 14. doi:10.1038/s41572-019-0069-0</w:t>
      </w:r>
      <w:r>
        <w:rPr>
          <w:rFonts w:asciiTheme="majorBidi" w:hAnsiTheme="majorBidi" w:cstheme="majorBidi"/>
          <w:sz w:val="24"/>
          <w:szCs w:val="24"/>
        </w:rPr>
        <w:t>.</w:t>
      </w:r>
    </w:p>
    <w:p w14:paraId="0331291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Weibel ER. On the tricks alveolar epithelial cells play to make a good lung. Am J Respir Crit Care Med. 2015;191(5):504-513. doi:10.1164/rccm.201409-1663OE</w:t>
      </w:r>
      <w:r>
        <w:rPr>
          <w:rFonts w:asciiTheme="majorBidi" w:hAnsiTheme="majorBidi" w:cstheme="majorBidi"/>
          <w:sz w:val="24"/>
          <w:szCs w:val="24"/>
        </w:rPr>
        <w:t>.</w:t>
      </w:r>
    </w:p>
    <w:p w14:paraId="10026AAB"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Greenlee KJ, </w:t>
      </w:r>
      <w:proofErr w:type="spellStart"/>
      <w:r w:rsidRPr="00833116">
        <w:rPr>
          <w:rFonts w:asciiTheme="majorBidi" w:hAnsiTheme="majorBidi" w:cstheme="majorBidi"/>
          <w:sz w:val="24"/>
          <w:szCs w:val="24"/>
        </w:rPr>
        <w:t>Werb</w:t>
      </w:r>
      <w:proofErr w:type="spellEnd"/>
      <w:r w:rsidRPr="00833116">
        <w:rPr>
          <w:rFonts w:asciiTheme="majorBidi" w:hAnsiTheme="majorBidi" w:cstheme="majorBidi"/>
          <w:sz w:val="24"/>
          <w:szCs w:val="24"/>
        </w:rPr>
        <w:t xml:space="preserve"> Z, </w:t>
      </w:r>
      <w:proofErr w:type="spellStart"/>
      <w:r w:rsidRPr="00833116">
        <w:rPr>
          <w:rFonts w:asciiTheme="majorBidi" w:hAnsiTheme="majorBidi" w:cstheme="majorBidi"/>
          <w:sz w:val="24"/>
          <w:szCs w:val="24"/>
        </w:rPr>
        <w:t>Kheradmand</w:t>
      </w:r>
      <w:proofErr w:type="spellEnd"/>
      <w:r w:rsidRPr="00833116">
        <w:rPr>
          <w:rFonts w:asciiTheme="majorBidi" w:hAnsiTheme="majorBidi" w:cstheme="majorBidi"/>
          <w:sz w:val="24"/>
          <w:szCs w:val="24"/>
        </w:rPr>
        <w:t xml:space="preserve"> F. Matrix metalloproteinases in lung: multiple, multifarious, and multifaceted.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Rev. 2007;87(1):69-98. </w:t>
      </w:r>
      <w:r w:rsidRPr="00833116">
        <w:rPr>
          <w:rFonts w:asciiTheme="majorBidi" w:hAnsiTheme="majorBidi" w:cstheme="majorBidi"/>
          <w:sz w:val="24"/>
          <w:szCs w:val="24"/>
        </w:rPr>
        <w:lastRenderedPageBreak/>
        <w:t>doi:10.1152/physrev.00022.2006</w:t>
      </w:r>
      <w:r>
        <w:rPr>
          <w:rFonts w:asciiTheme="majorBidi" w:hAnsiTheme="majorBidi" w:cstheme="majorBidi"/>
          <w:sz w:val="24"/>
          <w:szCs w:val="24"/>
        </w:rPr>
        <w:t>.</w:t>
      </w:r>
    </w:p>
    <w:p w14:paraId="47C2D9A5"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Mühldorfer</w:t>
      </w:r>
      <w:proofErr w:type="spellEnd"/>
      <w:r w:rsidRPr="00833116">
        <w:rPr>
          <w:rFonts w:asciiTheme="majorBidi" w:hAnsiTheme="majorBidi" w:cstheme="majorBidi"/>
          <w:sz w:val="24"/>
          <w:szCs w:val="24"/>
        </w:rPr>
        <w:t xml:space="preserve"> J, </w:t>
      </w:r>
      <w:proofErr w:type="spellStart"/>
      <w:r w:rsidRPr="00833116">
        <w:rPr>
          <w:rFonts w:asciiTheme="majorBidi" w:hAnsiTheme="majorBidi" w:cstheme="majorBidi"/>
          <w:sz w:val="24"/>
          <w:szCs w:val="24"/>
        </w:rPr>
        <w:t>Pfister</w:t>
      </w:r>
      <w:proofErr w:type="spellEnd"/>
      <w:r w:rsidRPr="00833116">
        <w:rPr>
          <w:rFonts w:asciiTheme="majorBidi" w:hAnsiTheme="majorBidi" w:cstheme="majorBidi"/>
          <w:sz w:val="24"/>
          <w:szCs w:val="24"/>
        </w:rPr>
        <w:t xml:space="preserve"> E, Büttner-Herold M, Klewer M, Amann K, Daniel C. Bi-nucleation of podocytes is uniformly accompanied by foot processes widening in renal disease. Nephrol Dial Transplant. 2018;33(5):796-803. doi:10.1093/</w:t>
      </w:r>
      <w:proofErr w:type="spellStart"/>
      <w:r w:rsidRPr="00833116">
        <w:rPr>
          <w:rFonts w:asciiTheme="majorBidi" w:hAnsiTheme="majorBidi" w:cstheme="majorBidi"/>
          <w:sz w:val="24"/>
          <w:szCs w:val="24"/>
        </w:rPr>
        <w:t>ndt</w:t>
      </w:r>
      <w:proofErr w:type="spellEnd"/>
      <w:r w:rsidRPr="00833116">
        <w:rPr>
          <w:rFonts w:asciiTheme="majorBidi" w:hAnsiTheme="majorBidi" w:cstheme="majorBidi"/>
          <w:sz w:val="24"/>
          <w:szCs w:val="24"/>
        </w:rPr>
        <w:t>/gfx201</w:t>
      </w:r>
      <w:r>
        <w:rPr>
          <w:rFonts w:asciiTheme="majorBidi" w:hAnsiTheme="majorBidi" w:cstheme="majorBidi"/>
          <w:sz w:val="24"/>
          <w:szCs w:val="24"/>
        </w:rPr>
        <w:t>.</w:t>
      </w:r>
    </w:p>
    <w:p w14:paraId="19247047"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Kriz W, Gretz N, Lemley KV. Progression of glomerular diseases: is the podocyte the culprit</w:t>
      </w:r>
      <w:proofErr w:type="gramStart"/>
      <w:r w:rsidRPr="00833116">
        <w:rPr>
          <w:rFonts w:asciiTheme="majorBidi" w:hAnsiTheme="majorBidi" w:cstheme="majorBidi"/>
          <w:sz w:val="24"/>
          <w:szCs w:val="24"/>
        </w:rPr>
        <w:t>?.</w:t>
      </w:r>
      <w:proofErr w:type="gramEnd"/>
      <w:r w:rsidRPr="00833116">
        <w:rPr>
          <w:rFonts w:asciiTheme="majorBidi" w:hAnsiTheme="majorBidi" w:cstheme="majorBidi"/>
          <w:sz w:val="24"/>
          <w:szCs w:val="24"/>
        </w:rPr>
        <w:t xml:space="preserve"> Kidney Int. 1998;54(3):687-697. doi:10.1046/j.1523-1755.1998.00044.x</w:t>
      </w:r>
      <w:r>
        <w:rPr>
          <w:rFonts w:asciiTheme="majorBidi" w:hAnsiTheme="majorBidi" w:cstheme="majorBidi"/>
          <w:sz w:val="24"/>
          <w:szCs w:val="24"/>
        </w:rPr>
        <w:t>.</w:t>
      </w:r>
    </w:p>
    <w:p w14:paraId="25F40566"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Lemley KV, Lafayette RA, Safai M, et al. Podocytopenia and disease severity in IgA nephropathy. Kidney Int. 2002;61(4):1475-1485. doi:10.1046/j.1523-1755.2002.00269.x</w:t>
      </w:r>
      <w:r>
        <w:rPr>
          <w:rFonts w:asciiTheme="majorBidi" w:hAnsiTheme="majorBidi" w:cstheme="majorBidi"/>
          <w:sz w:val="24"/>
          <w:szCs w:val="24"/>
        </w:rPr>
        <w:t>.</w:t>
      </w:r>
    </w:p>
    <w:p w14:paraId="1D7FD6F9"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Griffin SV, Krofft RD, Pippin JW, Shankland SJ. Limitation of podocyte proliferation improves renal function in experimental crescentic glomerulonephritis. Kidney Int. 2005;67(3):977-986. doi:10.1111/j.1523-1755.2005.00161.x</w:t>
      </w:r>
      <w:r>
        <w:rPr>
          <w:rFonts w:asciiTheme="majorBidi" w:hAnsiTheme="majorBidi" w:cstheme="majorBidi"/>
          <w:sz w:val="24"/>
          <w:szCs w:val="24"/>
        </w:rPr>
        <w:t>.</w:t>
      </w:r>
    </w:p>
    <w:p w14:paraId="4C66DBC8"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Kriz W, Lemley KV. The role of the podocyte in glomerulosclerosis. </w:t>
      </w:r>
      <w:proofErr w:type="spellStart"/>
      <w:r w:rsidRPr="00833116">
        <w:rPr>
          <w:rFonts w:asciiTheme="majorBidi" w:hAnsiTheme="majorBidi" w:cstheme="majorBidi"/>
          <w:sz w:val="24"/>
          <w:szCs w:val="24"/>
        </w:rPr>
        <w:t>Curr</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Opin</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Nephrol</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Hypertens</w:t>
      </w:r>
      <w:proofErr w:type="spellEnd"/>
      <w:r w:rsidRPr="00833116">
        <w:rPr>
          <w:rFonts w:asciiTheme="majorBidi" w:hAnsiTheme="majorBidi" w:cstheme="majorBidi"/>
          <w:sz w:val="24"/>
          <w:szCs w:val="24"/>
        </w:rPr>
        <w:t>. 1999;8(4):489-497. doi:10.1097/00041552-199907000-00014</w:t>
      </w:r>
      <w:r>
        <w:rPr>
          <w:rFonts w:asciiTheme="majorBidi" w:hAnsiTheme="majorBidi" w:cstheme="majorBidi"/>
          <w:sz w:val="24"/>
          <w:szCs w:val="24"/>
        </w:rPr>
        <w:t>.</w:t>
      </w:r>
    </w:p>
    <w:p w14:paraId="210A72E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Wang J, </w:t>
      </w:r>
      <w:proofErr w:type="spellStart"/>
      <w:r w:rsidRPr="00833116">
        <w:rPr>
          <w:rFonts w:asciiTheme="majorBidi" w:hAnsiTheme="majorBidi" w:cstheme="majorBidi"/>
          <w:sz w:val="24"/>
          <w:szCs w:val="24"/>
        </w:rPr>
        <w:t>Batourina</w:t>
      </w:r>
      <w:proofErr w:type="spellEnd"/>
      <w:r w:rsidRPr="00833116">
        <w:rPr>
          <w:rFonts w:asciiTheme="majorBidi" w:hAnsiTheme="majorBidi" w:cstheme="majorBidi"/>
          <w:sz w:val="24"/>
          <w:szCs w:val="24"/>
        </w:rPr>
        <w:t xml:space="preserve"> E, Schneider K, et al. Polyploid Superficial Cells that Maintain the Urothelial Barrier Are Produced via Incomplete Cytokinesis and Endoreplication. Cell Rep. 2018;25(2):464-477.e4. doi:10.1016/j.celrep.2018.09.042</w:t>
      </w:r>
      <w:r>
        <w:rPr>
          <w:rFonts w:asciiTheme="majorBidi" w:hAnsiTheme="majorBidi" w:cstheme="majorBidi"/>
          <w:sz w:val="24"/>
          <w:szCs w:val="24"/>
        </w:rPr>
        <w:t>.</w:t>
      </w:r>
    </w:p>
    <w:p w14:paraId="28E5F8C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Balsara ZR, Li X. Sleeping beauty: awakening urothelium from its slumber. Am J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Renal Physiol. 2017</w:t>
      </w:r>
      <w:proofErr w:type="gramStart"/>
      <w:r w:rsidRPr="00833116">
        <w:rPr>
          <w:rFonts w:asciiTheme="majorBidi" w:hAnsiTheme="majorBidi" w:cstheme="majorBidi"/>
          <w:sz w:val="24"/>
          <w:szCs w:val="24"/>
        </w:rPr>
        <w:t>;312</w:t>
      </w:r>
      <w:proofErr w:type="gramEnd"/>
      <w:r w:rsidRPr="00833116">
        <w:rPr>
          <w:rFonts w:asciiTheme="majorBidi" w:hAnsiTheme="majorBidi" w:cstheme="majorBidi"/>
          <w:sz w:val="24"/>
          <w:szCs w:val="24"/>
        </w:rPr>
        <w:t>(4):F732-F743. doi:10.1152/ajprenal.00337.2016</w:t>
      </w:r>
      <w:r>
        <w:rPr>
          <w:rFonts w:asciiTheme="majorBidi" w:hAnsiTheme="majorBidi" w:cstheme="majorBidi"/>
          <w:sz w:val="24"/>
          <w:szCs w:val="24"/>
        </w:rPr>
        <w:t>.</w:t>
      </w:r>
    </w:p>
    <w:p w14:paraId="1986D33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Epstein CJ. Cell size, nuclear content, and the development of polyploidy in the Mammalian liver. </w:t>
      </w:r>
      <w:proofErr w:type="spellStart"/>
      <w:r w:rsidRPr="00833116">
        <w:rPr>
          <w:rFonts w:asciiTheme="majorBidi" w:hAnsiTheme="majorBidi" w:cstheme="majorBidi"/>
          <w:sz w:val="24"/>
          <w:szCs w:val="24"/>
        </w:rPr>
        <w:t>Proc</w:t>
      </w:r>
      <w:proofErr w:type="spellEnd"/>
      <w:r w:rsidRPr="00833116">
        <w:rPr>
          <w:rFonts w:asciiTheme="majorBidi" w:hAnsiTheme="majorBidi" w:cstheme="majorBidi"/>
          <w:sz w:val="24"/>
          <w:szCs w:val="24"/>
        </w:rPr>
        <w:t xml:space="preserve"> Natl </w:t>
      </w:r>
      <w:proofErr w:type="spellStart"/>
      <w:r w:rsidRPr="00833116">
        <w:rPr>
          <w:rFonts w:asciiTheme="majorBidi" w:hAnsiTheme="majorBidi" w:cstheme="majorBidi"/>
          <w:sz w:val="24"/>
          <w:szCs w:val="24"/>
        </w:rPr>
        <w:t>Acad</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Sci</w:t>
      </w:r>
      <w:proofErr w:type="spellEnd"/>
      <w:r w:rsidRPr="00833116">
        <w:rPr>
          <w:rFonts w:asciiTheme="majorBidi" w:hAnsiTheme="majorBidi" w:cstheme="majorBidi"/>
          <w:sz w:val="24"/>
          <w:szCs w:val="24"/>
        </w:rPr>
        <w:t xml:space="preserve"> U S A. 1967;57(2):327-334. doi:10.1073/pnas.57.2.327</w:t>
      </w:r>
      <w:r>
        <w:rPr>
          <w:rFonts w:asciiTheme="majorBidi" w:hAnsiTheme="majorBidi" w:cstheme="majorBidi"/>
          <w:sz w:val="24"/>
          <w:szCs w:val="24"/>
        </w:rPr>
        <w:t>.</w:t>
      </w:r>
    </w:p>
    <w:p w14:paraId="64620A1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Rios AC, Fu NY, Jamieson PR, et al. Essential role for a novel population of binucleated mammary epithelial cells in lactation. Nat Commun. 2016</w:t>
      </w:r>
      <w:proofErr w:type="gramStart"/>
      <w:r w:rsidRPr="00833116">
        <w:rPr>
          <w:rFonts w:asciiTheme="majorBidi" w:hAnsiTheme="majorBidi" w:cstheme="majorBidi"/>
          <w:sz w:val="24"/>
          <w:szCs w:val="24"/>
        </w:rPr>
        <w:t>;7:11400</w:t>
      </w:r>
      <w:proofErr w:type="gramEnd"/>
      <w:r w:rsidRPr="00833116">
        <w:rPr>
          <w:rFonts w:asciiTheme="majorBidi" w:hAnsiTheme="majorBidi" w:cstheme="majorBidi"/>
          <w:sz w:val="24"/>
          <w:szCs w:val="24"/>
        </w:rPr>
        <w:t>. Published 2016 Apr 22. doi:10.1038/ncomms11400</w:t>
      </w:r>
      <w:r>
        <w:rPr>
          <w:rFonts w:asciiTheme="majorBidi" w:hAnsiTheme="majorBidi" w:cstheme="majorBidi"/>
          <w:sz w:val="24"/>
          <w:szCs w:val="24"/>
        </w:rPr>
        <w:t>.</w:t>
      </w:r>
    </w:p>
    <w:p w14:paraId="202B2DFE"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Macias H, Hinck L. Mammary gland development. Wiley </w:t>
      </w:r>
      <w:proofErr w:type="spellStart"/>
      <w:r w:rsidRPr="00833116">
        <w:rPr>
          <w:rFonts w:asciiTheme="majorBidi" w:hAnsiTheme="majorBidi" w:cstheme="majorBidi"/>
          <w:sz w:val="24"/>
          <w:szCs w:val="24"/>
        </w:rPr>
        <w:t>Interdiscip</w:t>
      </w:r>
      <w:proofErr w:type="spellEnd"/>
      <w:r w:rsidRPr="00833116">
        <w:rPr>
          <w:rFonts w:asciiTheme="majorBidi" w:hAnsiTheme="majorBidi" w:cstheme="majorBidi"/>
          <w:sz w:val="24"/>
          <w:szCs w:val="24"/>
        </w:rPr>
        <w:t xml:space="preserve"> Rev Dev Biol. 2012;1(4):533-557. doi:10.1002/wdev.35</w:t>
      </w:r>
      <w:r>
        <w:rPr>
          <w:rFonts w:asciiTheme="majorBidi" w:hAnsiTheme="majorBidi" w:cstheme="majorBidi"/>
          <w:sz w:val="24"/>
          <w:szCs w:val="24"/>
        </w:rPr>
        <w:t>.</w:t>
      </w:r>
    </w:p>
    <w:p w14:paraId="33901DE0"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lastRenderedPageBreak/>
        <w:t>Watson CJ, Khaled WT. Mammary development in the embryo and adult: new insights into the journey of morphogenesis and commitment. Development. 2020</w:t>
      </w:r>
      <w:proofErr w:type="gramStart"/>
      <w:r w:rsidRPr="00833116">
        <w:rPr>
          <w:rFonts w:asciiTheme="majorBidi" w:hAnsiTheme="majorBidi" w:cstheme="majorBidi"/>
          <w:sz w:val="24"/>
          <w:szCs w:val="24"/>
        </w:rPr>
        <w:t>;147</w:t>
      </w:r>
      <w:proofErr w:type="gramEnd"/>
      <w:r w:rsidRPr="00833116">
        <w:rPr>
          <w:rFonts w:asciiTheme="majorBidi" w:hAnsiTheme="majorBidi" w:cstheme="majorBidi"/>
          <w:sz w:val="24"/>
          <w:szCs w:val="24"/>
        </w:rPr>
        <w:t>(22):dev169862. Published 2020 Nov 15. doi:10.1242/dev.169862</w:t>
      </w:r>
      <w:r>
        <w:rPr>
          <w:rFonts w:asciiTheme="majorBidi" w:hAnsiTheme="majorBidi" w:cstheme="majorBidi"/>
          <w:sz w:val="24"/>
          <w:szCs w:val="24"/>
        </w:rPr>
        <w:t>.</w:t>
      </w:r>
    </w:p>
    <w:p w14:paraId="3AD6E17C" w14:textId="77777777" w:rsidR="00833116"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Anderson SM, Rudolph MC, McManaman JL, Neville MC. Key stages in mammary gland development. Secretory activation in the mammary gland: it's not just about milk protein synthesis</w:t>
      </w:r>
      <w:proofErr w:type="gramStart"/>
      <w:r w:rsidRPr="00025A58">
        <w:rPr>
          <w:rFonts w:asciiTheme="majorBidi" w:hAnsiTheme="majorBidi" w:cstheme="majorBidi"/>
          <w:sz w:val="24"/>
          <w:szCs w:val="24"/>
        </w:rPr>
        <w:t>!.</w:t>
      </w:r>
      <w:proofErr w:type="gramEnd"/>
      <w:r w:rsidRPr="00025A58">
        <w:rPr>
          <w:rFonts w:asciiTheme="majorBidi" w:hAnsiTheme="majorBidi" w:cstheme="majorBidi"/>
          <w:sz w:val="24"/>
          <w:szCs w:val="24"/>
        </w:rPr>
        <w:t xml:space="preserve"> Breast Cancer Res. 2007;9(1):204. doi:10.1186/bcr1653</w:t>
      </w:r>
      <w:r>
        <w:rPr>
          <w:rFonts w:asciiTheme="majorBidi" w:hAnsiTheme="majorBidi" w:cstheme="majorBidi"/>
          <w:sz w:val="24"/>
          <w:szCs w:val="24"/>
        </w:rPr>
        <w:t>.</w:t>
      </w:r>
    </w:p>
    <w:p w14:paraId="609513FB"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 xml:space="preserve">Rudolph MC, McManaman JL, Phang T, et al. Metabolic regulation in the lactating mammary gland: a lipid synthesizing machine. </w:t>
      </w:r>
      <w:proofErr w:type="spellStart"/>
      <w:r w:rsidRPr="00025A58">
        <w:rPr>
          <w:rFonts w:asciiTheme="majorBidi" w:hAnsiTheme="majorBidi" w:cstheme="majorBidi"/>
          <w:sz w:val="24"/>
          <w:szCs w:val="24"/>
        </w:rPr>
        <w:t>Physiol</w:t>
      </w:r>
      <w:proofErr w:type="spellEnd"/>
      <w:r w:rsidRPr="00025A58">
        <w:rPr>
          <w:rFonts w:asciiTheme="majorBidi" w:hAnsiTheme="majorBidi" w:cstheme="majorBidi"/>
          <w:sz w:val="24"/>
          <w:szCs w:val="24"/>
        </w:rPr>
        <w:t xml:space="preserve"> Genomics. 2007;28(3):323-336. doi:10.1152/physiolgenomics.00020.2006</w:t>
      </w:r>
      <w:r>
        <w:rPr>
          <w:rFonts w:asciiTheme="majorBidi" w:hAnsiTheme="majorBidi" w:cstheme="majorBidi"/>
          <w:sz w:val="24"/>
          <w:szCs w:val="24"/>
        </w:rPr>
        <w:t>.</w:t>
      </w:r>
    </w:p>
    <w:p w14:paraId="522C7E64"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Shackleton M, Vaillant F, Simpson KJ, et al. Generation of a functional mammary gland from a single stem cell. Nature. 2006;439(7072):84-88. doi:10.1038/nature04372</w:t>
      </w:r>
      <w:r>
        <w:rPr>
          <w:rFonts w:asciiTheme="majorBidi" w:hAnsiTheme="majorBidi" w:cstheme="majorBidi"/>
          <w:sz w:val="24"/>
          <w:szCs w:val="24"/>
        </w:rPr>
        <w:t>.</w:t>
      </w:r>
    </w:p>
    <w:p w14:paraId="0FF9A5FC" w14:textId="77777777" w:rsidR="00025A58"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Watson CJ. Alveolar cells in the mammary gland: lineage commitment and cell death. </w:t>
      </w:r>
      <w:proofErr w:type="spellStart"/>
      <w:r w:rsidRPr="00832EFE">
        <w:rPr>
          <w:rFonts w:asciiTheme="majorBidi" w:hAnsiTheme="majorBidi" w:cstheme="majorBidi"/>
          <w:sz w:val="24"/>
          <w:szCs w:val="24"/>
        </w:rPr>
        <w:t>Biochem</w:t>
      </w:r>
      <w:proofErr w:type="spellEnd"/>
      <w:r w:rsidRPr="00832EFE">
        <w:rPr>
          <w:rFonts w:asciiTheme="majorBidi" w:hAnsiTheme="majorBidi" w:cstheme="majorBidi"/>
          <w:sz w:val="24"/>
          <w:szCs w:val="24"/>
        </w:rPr>
        <w:t xml:space="preserve"> J. 2022;479(9):995-1006. doi:10.1042/BCJ20210734</w:t>
      </w:r>
      <w:r>
        <w:rPr>
          <w:rFonts w:asciiTheme="majorBidi" w:hAnsiTheme="majorBidi" w:cstheme="majorBidi"/>
          <w:sz w:val="24"/>
          <w:szCs w:val="24"/>
        </w:rPr>
        <w:t>.</w:t>
      </w:r>
    </w:p>
    <w:p w14:paraId="77617E59"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Oliveira LB, </w:t>
      </w:r>
      <w:proofErr w:type="spellStart"/>
      <w:r w:rsidRPr="00832EFE">
        <w:rPr>
          <w:rFonts w:asciiTheme="majorBidi" w:hAnsiTheme="majorBidi" w:cstheme="majorBidi"/>
          <w:sz w:val="24"/>
          <w:szCs w:val="24"/>
        </w:rPr>
        <w:t>Parreiras</w:t>
      </w:r>
      <w:proofErr w:type="spellEnd"/>
      <w:r w:rsidRPr="00832EFE">
        <w:rPr>
          <w:rFonts w:asciiTheme="majorBidi" w:hAnsiTheme="majorBidi" w:cstheme="majorBidi"/>
          <w:sz w:val="24"/>
          <w:szCs w:val="24"/>
        </w:rPr>
        <w:t xml:space="preserve"> JAR, </w:t>
      </w:r>
      <w:proofErr w:type="spellStart"/>
      <w:r w:rsidRPr="00832EFE">
        <w:rPr>
          <w:rFonts w:asciiTheme="majorBidi" w:hAnsiTheme="majorBidi" w:cstheme="majorBidi"/>
          <w:sz w:val="24"/>
          <w:szCs w:val="24"/>
        </w:rPr>
        <w:t>Sebastião</w:t>
      </w:r>
      <w:proofErr w:type="spellEnd"/>
      <w:r w:rsidRPr="00832EFE">
        <w:rPr>
          <w:rFonts w:asciiTheme="majorBidi" w:hAnsiTheme="majorBidi" w:cstheme="majorBidi"/>
          <w:sz w:val="24"/>
          <w:szCs w:val="24"/>
        </w:rPr>
        <w:t xml:space="preserve"> ECO, Silva GND. Increase of binucleated cells in the oral mucosa: a study on the use of psychotropics by students of a Brazilian institution. Rev Assoc Med Bras (1992). 2019;65(6):870-879. Published 2019 Jul 22. doi:10.1590/1806-9282.65.6.870</w:t>
      </w:r>
      <w:r>
        <w:rPr>
          <w:rFonts w:asciiTheme="majorBidi" w:hAnsiTheme="majorBidi" w:cstheme="majorBidi"/>
          <w:sz w:val="24"/>
          <w:szCs w:val="24"/>
        </w:rPr>
        <w:t>.</w:t>
      </w:r>
    </w:p>
    <w:p w14:paraId="7239194F" w14:textId="77777777" w:rsidR="00832EFE" w:rsidRP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Ibrahim MB, </w:t>
      </w:r>
      <w:proofErr w:type="spellStart"/>
      <w:r w:rsidRPr="00832EFE">
        <w:rPr>
          <w:rFonts w:asciiTheme="majorBidi" w:hAnsiTheme="majorBidi" w:cstheme="majorBidi"/>
          <w:sz w:val="24"/>
          <w:szCs w:val="24"/>
        </w:rPr>
        <w:t>Abdelreheem</w:t>
      </w:r>
      <w:proofErr w:type="spellEnd"/>
      <w:r w:rsidRPr="00832EFE">
        <w:rPr>
          <w:rFonts w:asciiTheme="majorBidi" w:hAnsiTheme="majorBidi" w:cstheme="majorBidi"/>
          <w:sz w:val="24"/>
          <w:szCs w:val="24"/>
        </w:rPr>
        <w:t xml:space="preserve"> MH. Prevalence of anxiety and depression among medical and pharmaceutical students in Alexandria University. Alexandria J Med. 2015;51(2):167-173.</w:t>
      </w:r>
    </w:p>
    <w:p w14:paraId="138CEB0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Sun P, </w:t>
      </w:r>
      <w:proofErr w:type="spellStart"/>
      <w:r w:rsidRPr="00832EFE">
        <w:rPr>
          <w:rFonts w:asciiTheme="majorBidi" w:hAnsiTheme="majorBidi" w:cstheme="majorBidi"/>
          <w:sz w:val="24"/>
          <w:szCs w:val="24"/>
        </w:rPr>
        <w:t>Juskevicius</w:t>
      </w:r>
      <w:proofErr w:type="spellEnd"/>
      <w:r w:rsidRPr="00832EFE">
        <w:rPr>
          <w:rFonts w:asciiTheme="majorBidi" w:hAnsiTheme="majorBidi" w:cstheme="majorBidi"/>
          <w:sz w:val="24"/>
          <w:szCs w:val="24"/>
        </w:rPr>
        <w:t xml:space="preserve"> R. Histological and immunohistochemical features of the spleen in persistent polyclonal B-cell lymphocytosis closely mimic splenic B-cell lymphoma. </w:t>
      </w:r>
      <w:proofErr w:type="spellStart"/>
      <w:r w:rsidRPr="00832EFE">
        <w:rPr>
          <w:rFonts w:asciiTheme="majorBidi" w:hAnsiTheme="majorBidi" w:cstheme="majorBidi"/>
          <w:sz w:val="24"/>
          <w:szCs w:val="24"/>
        </w:rPr>
        <w:t>Diagn</w:t>
      </w:r>
      <w:proofErr w:type="spellEnd"/>
      <w:r w:rsidRPr="00832EFE">
        <w:rPr>
          <w:rFonts w:asciiTheme="majorBidi" w:hAnsiTheme="majorBidi" w:cstheme="majorBidi"/>
          <w:sz w:val="24"/>
          <w:szCs w:val="24"/>
        </w:rPr>
        <w:t xml:space="preserve"> </w:t>
      </w:r>
      <w:proofErr w:type="spellStart"/>
      <w:r w:rsidRPr="00832EFE">
        <w:rPr>
          <w:rFonts w:asciiTheme="majorBidi" w:hAnsiTheme="majorBidi" w:cstheme="majorBidi"/>
          <w:sz w:val="24"/>
          <w:szCs w:val="24"/>
        </w:rPr>
        <w:t>Pathol</w:t>
      </w:r>
      <w:proofErr w:type="spellEnd"/>
      <w:r w:rsidRPr="00832EFE">
        <w:rPr>
          <w:rFonts w:asciiTheme="majorBidi" w:hAnsiTheme="majorBidi" w:cstheme="majorBidi"/>
          <w:sz w:val="24"/>
          <w:szCs w:val="24"/>
        </w:rPr>
        <w:t>. 2012</w:t>
      </w:r>
      <w:proofErr w:type="gramStart"/>
      <w:r w:rsidRPr="00832EFE">
        <w:rPr>
          <w:rFonts w:asciiTheme="majorBidi" w:hAnsiTheme="majorBidi" w:cstheme="majorBidi"/>
          <w:sz w:val="24"/>
          <w:szCs w:val="24"/>
        </w:rPr>
        <w:t>;7:107</w:t>
      </w:r>
      <w:proofErr w:type="gramEnd"/>
      <w:r w:rsidRPr="00832EFE">
        <w:rPr>
          <w:rFonts w:asciiTheme="majorBidi" w:hAnsiTheme="majorBidi" w:cstheme="majorBidi"/>
          <w:sz w:val="24"/>
          <w:szCs w:val="24"/>
        </w:rPr>
        <w:t>. Published 2012 Aug 19. doi:10.1186/1746-1596-7-107</w:t>
      </w:r>
      <w:r>
        <w:rPr>
          <w:rFonts w:asciiTheme="majorBidi" w:hAnsiTheme="majorBidi" w:cstheme="majorBidi"/>
          <w:sz w:val="24"/>
          <w:szCs w:val="24"/>
        </w:rPr>
        <w:t>.</w:t>
      </w:r>
    </w:p>
    <w:p w14:paraId="20205038"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Cornet E, </w:t>
      </w:r>
      <w:proofErr w:type="spellStart"/>
      <w:r w:rsidRPr="00832EFE">
        <w:rPr>
          <w:rFonts w:asciiTheme="majorBidi" w:hAnsiTheme="majorBidi" w:cstheme="majorBidi"/>
          <w:sz w:val="24"/>
          <w:szCs w:val="24"/>
        </w:rPr>
        <w:t>Lesesve</w:t>
      </w:r>
      <w:proofErr w:type="spellEnd"/>
      <w:r w:rsidRPr="00832EFE">
        <w:rPr>
          <w:rFonts w:asciiTheme="majorBidi" w:hAnsiTheme="majorBidi" w:cstheme="majorBidi"/>
          <w:sz w:val="24"/>
          <w:szCs w:val="24"/>
        </w:rPr>
        <w:t xml:space="preserve"> JF, </w:t>
      </w:r>
      <w:proofErr w:type="spellStart"/>
      <w:r w:rsidRPr="00832EFE">
        <w:rPr>
          <w:rFonts w:asciiTheme="majorBidi" w:hAnsiTheme="majorBidi" w:cstheme="majorBidi"/>
          <w:sz w:val="24"/>
          <w:szCs w:val="24"/>
        </w:rPr>
        <w:t>Mossafa</w:t>
      </w:r>
      <w:proofErr w:type="spellEnd"/>
      <w:r w:rsidRPr="00832EFE">
        <w:rPr>
          <w:rFonts w:asciiTheme="majorBidi" w:hAnsiTheme="majorBidi" w:cstheme="majorBidi"/>
          <w:sz w:val="24"/>
          <w:szCs w:val="24"/>
        </w:rPr>
        <w:t xml:space="preserve"> H, et al. Long-term follow-up of 111 patients with persistent polyclonal B-cell lymphocytosis with binucleated lymphocytes. Leukemia. 2009;23(2):419-422. doi:10.1038/leu.2008.208</w:t>
      </w:r>
      <w:r>
        <w:rPr>
          <w:rFonts w:asciiTheme="majorBidi" w:hAnsiTheme="majorBidi" w:cstheme="majorBidi"/>
          <w:sz w:val="24"/>
          <w:szCs w:val="24"/>
        </w:rPr>
        <w:t>.</w:t>
      </w:r>
    </w:p>
    <w:p w14:paraId="12B2396E"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proofErr w:type="spellStart"/>
      <w:r w:rsidRPr="00832EFE">
        <w:rPr>
          <w:rFonts w:asciiTheme="majorBidi" w:hAnsiTheme="majorBidi" w:cstheme="majorBidi"/>
          <w:sz w:val="24"/>
          <w:szCs w:val="24"/>
        </w:rPr>
        <w:t>Himmelmann</w:t>
      </w:r>
      <w:proofErr w:type="spellEnd"/>
      <w:r w:rsidRPr="00832EFE">
        <w:rPr>
          <w:rFonts w:asciiTheme="majorBidi" w:hAnsiTheme="majorBidi" w:cstheme="majorBidi"/>
          <w:sz w:val="24"/>
          <w:szCs w:val="24"/>
        </w:rPr>
        <w:t xml:space="preserve"> A, </w:t>
      </w:r>
      <w:proofErr w:type="spellStart"/>
      <w:r w:rsidRPr="00832EFE">
        <w:rPr>
          <w:rFonts w:asciiTheme="majorBidi" w:hAnsiTheme="majorBidi" w:cstheme="majorBidi"/>
          <w:sz w:val="24"/>
          <w:szCs w:val="24"/>
        </w:rPr>
        <w:t>Gautschi</w:t>
      </w:r>
      <w:proofErr w:type="spellEnd"/>
      <w:r w:rsidRPr="00832EFE">
        <w:rPr>
          <w:rFonts w:asciiTheme="majorBidi" w:hAnsiTheme="majorBidi" w:cstheme="majorBidi"/>
          <w:sz w:val="24"/>
          <w:szCs w:val="24"/>
        </w:rPr>
        <w:t xml:space="preserve"> O, </w:t>
      </w:r>
      <w:proofErr w:type="spellStart"/>
      <w:r w:rsidRPr="00832EFE">
        <w:rPr>
          <w:rFonts w:asciiTheme="majorBidi" w:hAnsiTheme="majorBidi" w:cstheme="majorBidi"/>
          <w:sz w:val="24"/>
          <w:szCs w:val="24"/>
        </w:rPr>
        <w:t>Nawrath</w:t>
      </w:r>
      <w:proofErr w:type="spellEnd"/>
      <w:r w:rsidRPr="00832EFE">
        <w:rPr>
          <w:rFonts w:asciiTheme="majorBidi" w:hAnsiTheme="majorBidi" w:cstheme="majorBidi"/>
          <w:sz w:val="24"/>
          <w:szCs w:val="24"/>
        </w:rPr>
        <w:t xml:space="preserve"> M, </w:t>
      </w:r>
      <w:proofErr w:type="spellStart"/>
      <w:r w:rsidRPr="00832EFE">
        <w:rPr>
          <w:rFonts w:asciiTheme="majorBidi" w:hAnsiTheme="majorBidi" w:cstheme="majorBidi"/>
          <w:sz w:val="24"/>
          <w:szCs w:val="24"/>
        </w:rPr>
        <w:t>Bolliger</w:t>
      </w:r>
      <w:proofErr w:type="spellEnd"/>
      <w:r w:rsidRPr="00832EFE">
        <w:rPr>
          <w:rFonts w:asciiTheme="majorBidi" w:hAnsiTheme="majorBidi" w:cstheme="majorBidi"/>
          <w:sz w:val="24"/>
          <w:szCs w:val="24"/>
        </w:rPr>
        <w:t xml:space="preserve"> U, Fehr J, Stahel RA. Persistent polyclonal B-cell lymphocytosis is an expansion of functional </w:t>
      </w:r>
      <w:proofErr w:type="spellStart"/>
      <w:proofErr w:type="gramStart"/>
      <w:r w:rsidRPr="00832EFE">
        <w:rPr>
          <w:rFonts w:asciiTheme="majorBidi" w:hAnsiTheme="majorBidi" w:cstheme="majorBidi"/>
          <w:sz w:val="24"/>
          <w:szCs w:val="24"/>
        </w:rPr>
        <w:t>IgD</w:t>
      </w:r>
      <w:proofErr w:type="spellEnd"/>
      <w:r w:rsidRPr="00832EFE">
        <w:rPr>
          <w:rFonts w:asciiTheme="majorBidi" w:hAnsiTheme="majorBidi" w:cstheme="majorBidi"/>
          <w:sz w:val="24"/>
          <w:szCs w:val="24"/>
        </w:rPr>
        <w:t>(</w:t>
      </w:r>
      <w:proofErr w:type="gramEnd"/>
      <w:r w:rsidRPr="00832EFE">
        <w:rPr>
          <w:rFonts w:asciiTheme="majorBidi" w:hAnsiTheme="majorBidi" w:cstheme="majorBidi"/>
          <w:sz w:val="24"/>
          <w:szCs w:val="24"/>
        </w:rPr>
        <w:t xml:space="preserve">+)CD27(+) memory B cells. Br J </w:t>
      </w:r>
      <w:proofErr w:type="spellStart"/>
      <w:r w:rsidRPr="00832EFE">
        <w:rPr>
          <w:rFonts w:asciiTheme="majorBidi" w:hAnsiTheme="majorBidi" w:cstheme="majorBidi"/>
          <w:sz w:val="24"/>
          <w:szCs w:val="24"/>
        </w:rPr>
        <w:t>Haematol</w:t>
      </w:r>
      <w:proofErr w:type="spellEnd"/>
      <w:r w:rsidRPr="00832EFE">
        <w:rPr>
          <w:rFonts w:asciiTheme="majorBidi" w:hAnsiTheme="majorBidi" w:cstheme="majorBidi"/>
          <w:sz w:val="24"/>
          <w:szCs w:val="24"/>
        </w:rPr>
        <w:t>. 2001;114(2):400-405. doi:10.1046/j.1365-</w:t>
      </w:r>
      <w:r w:rsidRPr="00832EFE">
        <w:rPr>
          <w:rFonts w:asciiTheme="majorBidi" w:hAnsiTheme="majorBidi" w:cstheme="majorBidi"/>
          <w:sz w:val="24"/>
          <w:szCs w:val="24"/>
        </w:rPr>
        <w:lastRenderedPageBreak/>
        <w:t>2141.2001.02938.x</w:t>
      </w:r>
      <w:r>
        <w:rPr>
          <w:rFonts w:asciiTheme="majorBidi" w:hAnsiTheme="majorBidi" w:cstheme="majorBidi"/>
          <w:sz w:val="24"/>
          <w:szCs w:val="24"/>
        </w:rPr>
        <w:t>.</w:t>
      </w:r>
    </w:p>
    <w:p w14:paraId="5A51F69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proofErr w:type="spellStart"/>
      <w:r w:rsidRPr="00832EFE">
        <w:rPr>
          <w:rFonts w:asciiTheme="majorBidi" w:hAnsiTheme="majorBidi" w:cstheme="majorBidi"/>
          <w:sz w:val="24"/>
          <w:szCs w:val="24"/>
        </w:rPr>
        <w:t>Xanthopoulou</w:t>
      </w:r>
      <w:proofErr w:type="spellEnd"/>
      <w:r w:rsidRPr="00832EFE">
        <w:rPr>
          <w:rFonts w:asciiTheme="majorBidi" w:hAnsiTheme="majorBidi" w:cstheme="majorBidi"/>
          <w:sz w:val="24"/>
          <w:szCs w:val="24"/>
        </w:rPr>
        <w:t xml:space="preserve"> L, </w:t>
      </w:r>
      <w:proofErr w:type="spellStart"/>
      <w:r w:rsidRPr="00832EFE">
        <w:rPr>
          <w:rFonts w:asciiTheme="majorBidi" w:hAnsiTheme="majorBidi" w:cstheme="majorBidi"/>
          <w:sz w:val="24"/>
          <w:szCs w:val="24"/>
        </w:rPr>
        <w:t>Delhanty</w:t>
      </w:r>
      <w:proofErr w:type="spellEnd"/>
      <w:r w:rsidRPr="00832EFE">
        <w:rPr>
          <w:rFonts w:asciiTheme="majorBidi" w:hAnsiTheme="majorBidi" w:cstheme="majorBidi"/>
          <w:sz w:val="24"/>
          <w:szCs w:val="24"/>
        </w:rPr>
        <w:t xml:space="preserve"> JD, Mania A, et al. The nature and origin of binucleate cells in human preimplantation embryos: relevance to placental mesenchymal dysplasia. </w:t>
      </w:r>
      <w:proofErr w:type="spellStart"/>
      <w:r w:rsidRPr="00832EFE">
        <w:rPr>
          <w:rFonts w:asciiTheme="majorBidi" w:hAnsiTheme="majorBidi" w:cstheme="majorBidi"/>
          <w:sz w:val="24"/>
          <w:szCs w:val="24"/>
        </w:rPr>
        <w:t>Reprod</w:t>
      </w:r>
      <w:proofErr w:type="spellEnd"/>
      <w:r w:rsidRPr="00832EFE">
        <w:rPr>
          <w:rFonts w:asciiTheme="majorBidi" w:hAnsiTheme="majorBidi" w:cstheme="majorBidi"/>
          <w:sz w:val="24"/>
          <w:szCs w:val="24"/>
        </w:rPr>
        <w:t xml:space="preserve"> Biomed Online. 2011;22(4):362-370. doi:10.1016/j.rbmo.2011.01.001</w:t>
      </w:r>
      <w:r>
        <w:rPr>
          <w:rFonts w:asciiTheme="majorBidi" w:hAnsiTheme="majorBidi" w:cstheme="majorBidi"/>
          <w:sz w:val="24"/>
          <w:szCs w:val="24"/>
        </w:rPr>
        <w:t>.</w:t>
      </w:r>
    </w:p>
    <w:p w14:paraId="156D0F11" w14:textId="77777777" w:rsidR="00832EFE" w:rsidRDefault="00975A0D" w:rsidP="00975A0D">
      <w:pPr>
        <w:pStyle w:val="ListParagraph"/>
        <w:numPr>
          <w:ilvl w:val="0"/>
          <w:numId w:val="39"/>
        </w:numPr>
        <w:spacing w:line="360" w:lineRule="auto"/>
        <w:rPr>
          <w:rFonts w:asciiTheme="majorBidi" w:hAnsiTheme="majorBidi" w:cstheme="majorBidi"/>
          <w:sz w:val="24"/>
          <w:szCs w:val="24"/>
        </w:rPr>
      </w:pPr>
      <w:r w:rsidRPr="00975A0D">
        <w:rPr>
          <w:rFonts w:asciiTheme="majorBidi" w:hAnsiTheme="majorBidi" w:cstheme="majorBidi"/>
          <w:sz w:val="24"/>
          <w:szCs w:val="24"/>
        </w:rPr>
        <w:t>Clouston HJ, Fenwick J, Webb AL, Herbert M, Murdoch A, Wolstenholme J. Detection of mosaic and non-mosaic chromosome abnormalities in 6- to 8-day old human blastocysts. Hum Genet. 1997;101(1):30-36. doi:10.1007/s004390050581</w:t>
      </w:r>
      <w:r>
        <w:rPr>
          <w:rFonts w:asciiTheme="majorBidi" w:hAnsiTheme="majorBidi" w:cstheme="majorBidi"/>
          <w:sz w:val="24"/>
          <w:szCs w:val="24"/>
        </w:rPr>
        <w:t>.</w:t>
      </w:r>
    </w:p>
    <w:p w14:paraId="13E7B25B" w14:textId="77777777" w:rsidR="00975A0D" w:rsidRDefault="00794EF2" w:rsidP="00794EF2">
      <w:pPr>
        <w:pStyle w:val="ListParagraph"/>
        <w:numPr>
          <w:ilvl w:val="0"/>
          <w:numId w:val="39"/>
        </w:numPr>
        <w:spacing w:line="360" w:lineRule="auto"/>
        <w:rPr>
          <w:rFonts w:asciiTheme="majorBidi" w:hAnsiTheme="majorBidi" w:cstheme="majorBidi"/>
          <w:sz w:val="24"/>
          <w:szCs w:val="24"/>
        </w:rPr>
      </w:pPr>
      <w:proofErr w:type="spellStart"/>
      <w:r w:rsidRPr="00794EF2">
        <w:rPr>
          <w:rFonts w:asciiTheme="majorBidi" w:hAnsiTheme="majorBidi" w:cstheme="majorBidi"/>
          <w:sz w:val="24"/>
          <w:szCs w:val="24"/>
        </w:rPr>
        <w:t>Munné</w:t>
      </w:r>
      <w:proofErr w:type="spellEnd"/>
      <w:r w:rsidRPr="00794EF2">
        <w:rPr>
          <w:rFonts w:asciiTheme="majorBidi" w:hAnsiTheme="majorBidi" w:cstheme="majorBidi"/>
          <w:sz w:val="24"/>
          <w:szCs w:val="24"/>
        </w:rPr>
        <w:t xml:space="preserve"> S, </w:t>
      </w:r>
      <w:proofErr w:type="spellStart"/>
      <w:r w:rsidRPr="00794EF2">
        <w:rPr>
          <w:rFonts w:asciiTheme="majorBidi" w:hAnsiTheme="majorBidi" w:cstheme="majorBidi"/>
          <w:sz w:val="24"/>
          <w:szCs w:val="24"/>
        </w:rPr>
        <w:t>Alikani</w:t>
      </w:r>
      <w:proofErr w:type="spellEnd"/>
      <w:r w:rsidRPr="00794EF2">
        <w:rPr>
          <w:rFonts w:asciiTheme="majorBidi" w:hAnsiTheme="majorBidi" w:cstheme="majorBidi"/>
          <w:sz w:val="24"/>
          <w:szCs w:val="24"/>
        </w:rPr>
        <w:t xml:space="preserve"> M, Tomkin G, Grifo J, Cohen J. Embryo morphology, developmental rates, and maternal age are correlated with chromosome abnormalities. </w:t>
      </w:r>
      <w:proofErr w:type="spellStart"/>
      <w:r w:rsidRPr="00794EF2">
        <w:rPr>
          <w:rFonts w:asciiTheme="majorBidi" w:hAnsiTheme="majorBidi" w:cstheme="majorBidi"/>
          <w:sz w:val="24"/>
          <w:szCs w:val="24"/>
        </w:rPr>
        <w:t>Fertil</w:t>
      </w:r>
      <w:proofErr w:type="spellEnd"/>
      <w:r w:rsidRPr="00794EF2">
        <w:rPr>
          <w:rFonts w:asciiTheme="majorBidi" w:hAnsiTheme="majorBidi" w:cstheme="majorBidi"/>
          <w:sz w:val="24"/>
          <w:szCs w:val="24"/>
        </w:rPr>
        <w:t xml:space="preserve"> </w:t>
      </w:r>
      <w:proofErr w:type="spellStart"/>
      <w:r w:rsidRPr="00794EF2">
        <w:rPr>
          <w:rFonts w:asciiTheme="majorBidi" w:hAnsiTheme="majorBidi" w:cstheme="majorBidi"/>
          <w:sz w:val="24"/>
          <w:szCs w:val="24"/>
        </w:rPr>
        <w:t>Steril</w:t>
      </w:r>
      <w:proofErr w:type="spellEnd"/>
      <w:r w:rsidRPr="00794EF2">
        <w:rPr>
          <w:rFonts w:asciiTheme="majorBidi" w:hAnsiTheme="majorBidi" w:cstheme="majorBidi"/>
          <w:sz w:val="24"/>
          <w:szCs w:val="24"/>
        </w:rPr>
        <w:t>. 1995;64(2):382-391.</w:t>
      </w:r>
    </w:p>
    <w:p w14:paraId="3AB202DC" w14:textId="77777777" w:rsidR="00794EF2" w:rsidRDefault="0003744B" w:rsidP="0003744B">
      <w:pPr>
        <w:pStyle w:val="ListParagraph"/>
        <w:numPr>
          <w:ilvl w:val="0"/>
          <w:numId w:val="39"/>
        </w:numPr>
        <w:spacing w:line="360" w:lineRule="auto"/>
        <w:rPr>
          <w:rFonts w:asciiTheme="majorBidi" w:hAnsiTheme="majorBidi" w:cstheme="majorBidi"/>
          <w:sz w:val="24"/>
          <w:szCs w:val="24"/>
        </w:rPr>
      </w:pPr>
      <w:r w:rsidRPr="0003744B">
        <w:rPr>
          <w:rFonts w:asciiTheme="majorBidi" w:hAnsiTheme="majorBidi" w:cstheme="majorBidi"/>
          <w:sz w:val="24"/>
          <w:szCs w:val="24"/>
        </w:rPr>
        <w:t xml:space="preserve">Okayama K, </w:t>
      </w: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Kitamura H, </w:t>
      </w:r>
      <w:proofErr w:type="spellStart"/>
      <w:r w:rsidRPr="0003744B">
        <w:rPr>
          <w:rFonts w:asciiTheme="majorBidi" w:hAnsiTheme="majorBidi" w:cstheme="majorBidi"/>
          <w:sz w:val="24"/>
          <w:szCs w:val="24"/>
        </w:rPr>
        <w:t>Itoda</w:t>
      </w:r>
      <w:proofErr w:type="spellEnd"/>
      <w:r w:rsidRPr="0003744B">
        <w:rPr>
          <w:rFonts w:asciiTheme="majorBidi" w:hAnsiTheme="majorBidi" w:cstheme="majorBidi"/>
          <w:sz w:val="24"/>
          <w:szCs w:val="24"/>
        </w:rPr>
        <w:t xml:space="preserve"> I. Significance of the Cytological Signs of Human Papillomavirus Infection in Anal Pap Smears of Human Immunodeficiency Virus-Infected Japanese Men Who Have Sex with Men. Asian Pac J Cancer Prev. 2017;18(11):3173-3178. Published 2017 Nov 26. doi:10.22034/APJCP.2017.18.11.3173</w:t>
      </w:r>
      <w:r>
        <w:rPr>
          <w:rFonts w:asciiTheme="majorBidi" w:hAnsiTheme="majorBidi" w:cstheme="majorBidi"/>
          <w:sz w:val="24"/>
          <w:szCs w:val="24"/>
        </w:rPr>
        <w:t>.</w:t>
      </w:r>
    </w:p>
    <w:p w14:paraId="5A24756E" w14:textId="77777777" w:rsidR="0003744B" w:rsidRDefault="0003744B" w:rsidP="0003744B">
      <w:pPr>
        <w:pStyle w:val="ListParagraph"/>
        <w:numPr>
          <w:ilvl w:val="0"/>
          <w:numId w:val="39"/>
        </w:numPr>
        <w:spacing w:line="360" w:lineRule="auto"/>
        <w:rPr>
          <w:rFonts w:asciiTheme="majorBidi" w:hAnsiTheme="majorBidi" w:cstheme="majorBidi"/>
          <w:sz w:val="24"/>
          <w:szCs w:val="24"/>
        </w:rPr>
      </w:pP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Okayama K, Fukui T, et al. Significance of Compression in Binucleation while Differentiating Reactive Cellular Changes Between Human Papillomavirus and Candida Infections. Asian Pac J Cancer Prev. 2017;18(9):2507-2511. Published 2017 Sep 27. doi:10.22034/APJCP.2017.18.9.2507</w:t>
      </w:r>
      <w:r>
        <w:rPr>
          <w:rFonts w:asciiTheme="majorBidi" w:hAnsiTheme="majorBidi" w:cstheme="majorBidi"/>
          <w:sz w:val="24"/>
          <w:szCs w:val="24"/>
        </w:rPr>
        <w:t>.</w:t>
      </w:r>
    </w:p>
    <w:p w14:paraId="43B9F00D" w14:textId="77777777" w:rsidR="0003744B" w:rsidRDefault="00400138" w:rsidP="00400138">
      <w:pPr>
        <w:pStyle w:val="ListParagraph"/>
        <w:numPr>
          <w:ilvl w:val="0"/>
          <w:numId w:val="39"/>
        </w:numPr>
        <w:spacing w:line="360" w:lineRule="auto"/>
        <w:rPr>
          <w:rFonts w:asciiTheme="majorBidi" w:hAnsiTheme="majorBidi" w:cstheme="majorBidi"/>
          <w:sz w:val="24"/>
          <w:szCs w:val="24"/>
        </w:rPr>
      </w:pPr>
      <w:proofErr w:type="spellStart"/>
      <w:r w:rsidRPr="00400138">
        <w:rPr>
          <w:rFonts w:asciiTheme="majorBidi" w:hAnsiTheme="majorBidi" w:cstheme="majorBidi"/>
          <w:sz w:val="24"/>
          <w:szCs w:val="24"/>
        </w:rPr>
        <w:t>Washiya</w:t>
      </w:r>
      <w:proofErr w:type="spellEnd"/>
      <w:r w:rsidRPr="00400138">
        <w:rPr>
          <w:rFonts w:asciiTheme="majorBidi" w:hAnsiTheme="majorBidi" w:cstheme="majorBidi"/>
          <w:sz w:val="24"/>
          <w:szCs w:val="24"/>
        </w:rPr>
        <w:t xml:space="preserve"> K, Motoi M, Kobayashi T, Yoshioka H, Watanabe J. Significance of binucleated cells with compression in atypical squamous cells of undetermined significance. Acta Cytol. 2013;57(6):599-603. doi:10.1159/000353802</w:t>
      </w:r>
      <w:r>
        <w:rPr>
          <w:rFonts w:asciiTheme="majorBidi" w:hAnsiTheme="majorBidi" w:cstheme="majorBidi"/>
          <w:sz w:val="24"/>
          <w:szCs w:val="24"/>
        </w:rPr>
        <w:t>.</w:t>
      </w:r>
    </w:p>
    <w:p w14:paraId="4F3AFC90" w14:textId="77777777" w:rsidR="00400138" w:rsidRDefault="007B0193" w:rsidP="007B0193">
      <w:pPr>
        <w:pStyle w:val="ListParagraph"/>
        <w:numPr>
          <w:ilvl w:val="0"/>
          <w:numId w:val="39"/>
        </w:numPr>
        <w:spacing w:line="360" w:lineRule="auto"/>
        <w:rPr>
          <w:rFonts w:asciiTheme="majorBidi" w:hAnsiTheme="majorBidi" w:cstheme="majorBidi"/>
          <w:sz w:val="24"/>
          <w:szCs w:val="24"/>
        </w:rPr>
      </w:pPr>
      <w:r w:rsidRPr="007B0193">
        <w:rPr>
          <w:rFonts w:asciiTheme="majorBidi" w:hAnsiTheme="majorBidi" w:cstheme="majorBidi"/>
          <w:sz w:val="24"/>
          <w:szCs w:val="24"/>
        </w:rPr>
        <w:t>Okayama K, Kakinuma M, Teruya K, et al. Predictive Value of Various Atypical Cells for the Detection of Human Papillomavirus in Cervical Smears. Int J Mol Sci. 2024;25(2):1212. Published 2024 Jan 19. doi:10.3390/ijms25021212</w:t>
      </w:r>
      <w:r>
        <w:rPr>
          <w:rFonts w:asciiTheme="majorBidi" w:hAnsiTheme="majorBidi" w:cstheme="majorBidi"/>
          <w:sz w:val="24"/>
          <w:szCs w:val="24"/>
        </w:rPr>
        <w:t>.</w:t>
      </w:r>
    </w:p>
    <w:p w14:paraId="24F7F1FC" w14:textId="77777777" w:rsidR="0008444B" w:rsidRDefault="007B0193" w:rsidP="0008444B">
      <w:pPr>
        <w:pStyle w:val="ListParagraph"/>
        <w:numPr>
          <w:ilvl w:val="0"/>
          <w:numId w:val="39"/>
        </w:numPr>
        <w:spacing w:line="360" w:lineRule="auto"/>
        <w:rPr>
          <w:rFonts w:asciiTheme="majorBidi" w:hAnsiTheme="majorBidi" w:cstheme="majorBidi"/>
          <w:sz w:val="24"/>
          <w:szCs w:val="24"/>
        </w:rPr>
      </w:pPr>
      <w:proofErr w:type="spellStart"/>
      <w:r w:rsidRPr="007B0193">
        <w:rPr>
          <w:rFonts w:asciiTheme="majorBidi" w:hAnsiTheme="majorBidi" w:cstheme="majorBidi"/>
          <w:sz w:val="24"/>
          <w:szCs w:val="24"/>
        </w:rPr>
        <w:t>Pelc</w:t>
      </w:r>
      <w:proofErr w:type="spellEnd"/>
      <w:r w:rsidRPr="007B0193">
        <w:rPr>
          <w:rFonts w:asciiTheme="majorBidi" w:hAnsiTheme="majorBidi" w:cstheme="majorBidi"/>
          <w:sz w:val="24"/>
          <w:szCs w:val="24"/>
        </w:rPr>
        <w:t xml:space="preserve"> S, De </w:t>
      </w:r>
      <w:proofErr w:type="spellStart"/>
      <w:r w:rsidRPr="007B0193">
        <w:rPr>
          <w:rFonts w:asciiTheme="majorBidi" w:hAnsiTheme="majorBidi" w:cstheme="majorBidi"/>
          <w:sz w:val="24"/>
          <w:szCs w:val="24"/>
        </w:rPr>
        <w:t>Maertelaere</w:t>
      </w:r>
      <w:proofErr w:type="spellEnd"/>
      <w:r w:rsidRPr="007B0193">
        <w:rPr>
          <w:rFonts w:asciiTheme="majorBidi" w:hAnsiTheme="majorBidi" w:cstheme="majorBidi"/>
          <w:sz w:val="24"/>
          <w:szCs w:val="24"/>
        </w:rPr>
        <w:t xml:space="preserve"> E, </w:t>
      </w:r>
      <w:proofErr w:type="spellStart"/>
      <w:r w:rsidRPr="007B0193">
        <w:rPr>
          <w:rFonts w:asciiTheme="majorBidi" w:hAnsiTheme="majorBidi" w:cstheme="majorBidi"/>
          <w:sz w:val="24"/>
          <w:szCs w:val="24"/>
        </w:rPr>
        <w:t>Denolin-Reubens</w:t>
      </w:r>
      <w:proofErr w:type="spellEnd"/>
      <w:r w:rsidRPr="007B0193">
        <w:rPr>
          <w:rFonts w:asciiTheme="majorBidi" w:hAnsiTheme="majorBidi" w:cstheme="majorBidi"/>
          <w:sz w:val="24"/>
          <w:szCs w:val="24"/>
        </w:rPr>
        <w:t xml:space="preserve"> R. CSF cytology of acute viral meningitis and meningoencephalitis. Eur Neurol. 1981;20(2):95-102. doi:10.1159/000115214</w:t>
      </w:r>
      <w:r>
        <w:rPr>
          <w:rFonts w:asciiTheme="majorBidi" w:hAnsiTheme="majorBidi" w:cstheme="majorBidi"/>
          <w:sz w:val="24"/>
          <w:szCs w:val="24"/>
        </w:rPr>
        <w:t>.</w:t>
      </w:r>
    </w:p>
    <w:p w14:paraId="570B29EF" w14:textId="77777777" w:rsidR="0008444B" w:rsidRPr="0008444B"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Multinucleated cells in PAP smear—an institutional experience. J Clin Diagn Res. 2021 Jan;15(1):9-13. </w:t>
      </w:r>
      <w:proofErr w:type="spellStart"/>
      <w:r w:rsidRPr="0008444B">
        <w:rPr>
          <w:rFonts w:asciiTheme="majorBidi" w:hAnsiTheme="majorBidi" w:cstheme="majorBidi"/>
          <w:sz w:val="24"/>
          <w:szCs w:val="24"/>
        </w:rPr>
        <w:t>doi</w:t>
      </w:r>
      <w:proofErr w:type="spellEnd"/>
      <w:r w:rsidRPr="0008444B">
        <w:rPr>
          <w:rFonts w:asciiTheme="majorBidi" w:hAnsiTheme="majorBidi" w:cstheme="majorBidi"/>
          <w:sz w:val="24"/>
          <w:szCs w:val="24"/>
        </w:rPr>
        <w:t>: 10.7860/JCDR/2021/49804.15300.</w:t>
      </w:r>
    </w:p>
    <w:p w14:paraId="6254AA69" w14:textId="77777777" w:rsidR="007B0193"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Coleman DV. Cytological diagnosis of virus-infected cells in Papanicolaou smears </w:t>
      </w:r>
      <w:r w:rsidRPr="0008444B">
        <w:rPr>
          <w:rFonts w:asciiTheme="majorBidi" w:hAnsiTheme="majorBidi" w:cstheme="majorBidi"/>
          <w:sz w:val="24"/>
          <w:szCs w:val="24"/>
        </w:rPr>
        <w:lastRenderedPageBreak/>
        <w:t xml:space="preserve">and its application in clinical practice. J </w:t>
      </w:r>
      <w:proofErr w:type="spellStart"/>
      <w:r w:rsidRPr="0008444B">
        <w:rPr>
          <w:rFonts w:asciiTheme="majorBidi" w:hAnsiTheme="majorBidi" w:cstheme="majorBidi"/>
          <w:sz w:val="24"/>
          <w:szCs w:val="24"/>
        </w:rPr>
        <w:t>Clin</w:t>
      </w:r>
      <w:proofErr w:type="spellEnd"/>
      <w:r w:rsidRPr="0008444B">
        <w:rPr>
          <w:rFonts w:asciiTheme="majorBidi" w:hAnsiTheme="majorBidi" w:cstheme="majorBidi"/>
          <w:sz w:val="24"/>
          <w:szCs w:val="24"/>
        </w:rPr>
        <w:t xml:space="preserve"> </w:t>
      </w:r>
      <w:proofErr w:type="spellStart"/>
      <w:r w:rsidRPr="0008444B">
        <w:rPr>
          <w:rFonts w:asciiTheme="majorBidi" w:hAnsiTheme="majorBidi" w:cstheme="majorBidi"/>
          <w:sz w:val="24"/>
          <w:szCs w:val="24"/>
        </w:rPr>
        <w:t>Pathol</w:t>
      </w:r>
      <w:proofErr w:type="spellEnd"/>
      <w:r w:rsidRPr="0008444B">
        <w:rPr>
          <w:rFonts w:asciiTheme="majorBidi" w:hAnsiTheme="majorBidi" w:cstheme="majorBidi"/>
          <w:sz w:val="24"/>
          <w:szCs w:val="24"/>
        </w:rPr>
        <w:t>. 1979;32(11):1075-1089. doi:10.1136/jcp.32.11.1075</w:t>
      </w:r>
      <w:r>
        <w:rPr>
          <w:rFonts w:asciiTheme="majorBidi" w:hAnsiTheme="majorBidi" w:cstheme="majorBidi"/>
          <w:sz w:val="24"/>
          <w:szCs w:val="24"/>
        </w:rPr>
        <w:t>.</w:t>
      </w:r>
    </w:p>
    <w:p w14:paraId="651A7042" w14:textId="77777777" w:rsidR="0008444B" w:rsidRDefault="00CC0A54" w:rsidP="00CC0A54">
      <w:pPr>
        <w:pStyle w:val="ListParagraph"/>
        <w:numPr>
          <w:ilvl w:val="0"/>
          <w:numId w:val="39"/>
        </w:numPr>
        <w:spacing w:line="360" w:lineRule="auto"/>
        <w:rPr>
          <w:rFonts w:asciiTheme="majorBidi" w:hAnsiTheme="majorBidi" w:cstheme="majorBidi"/>
          <w:sz w:val="24"/>
          <w:szCs w:val="24"/>
        </w:rPr>
      </w:pPr>
      <w:proofErr w:type="spellStart"/>
      <w:r w:rsidRPr="00CC0A54">
        <w:rPr>
          <w:rFonts w:asciiTheme="majorBidi" w:hAnsiTheme="majorBidi" w:cstheme="majorBidi"/>
          <w:sz w:val="24"/>
          <w:szCs w:val="24"/>
        </w:rPr>
        <w:t>Daneshbod</w:t>
      </w:r>
      <w:proofErr w:type="spellEnd"/>
      <w:r w:rsidRPr="00CC0A54">
        <w:rPr>
          <w:rFonts w:asciiTheme="majorBidi" w:hAnsiTheme="majorBidi" w:cstheme="majorBidi"/>
          <w:sz w:val="24"/>
          <w:szCs w:val="24"/>
        </w:rPr>
        <w:t xml:space="preserve"> Y, </w:t>
      </w:r>
      <w:proofErr w:type="spellStart"/>
      <w:r w:rsidRPr="00CC0A54">
        <w:rPr>
          <w:rFonts w:asciiTheme="majorBidi" w:hAnsiTheme="majorBidi" w:cstheme="majorBidi"/>
          <w:sz w:val="24"/>
          <w:szCs w:val="24"/>
        </w:rPr>
        <w:t>Oryan</w:t>
      </w:r>
      <w:proofErr w:type="spellEnd"/>
      <w:r w:rsidRPr="00CC0A54">
        <w:rPr>
          <w:rFonts w:asciiTheme="majorBidi" w:hAnsiTheme="majorBidi" w:cstheme="majorBidi"/>
          <w:sz w:val="24"/>
          <w:szCs w:val="24"/>
        </w:rPr>
        <w:t xml:space="preserve"> A, </w:t>
      </w:r>
      <w:proofErr w:type="spellStart"/>
      <w:r w:rsidRPr="00CC0A54">
        <w:rPr>
          <w:rFonts w:asciiTheme="majorBidi" w:hAnsiTheme="majorBidi" w:cstheme="majorBidi"/>
          <w:sz w:val="24"/>
          <w:szCs w:val="24"/>
        </w:rPr>
        <w:t>Davarmanesh</w:t>
      </w:r>
      <w:proofErr w:type="spellEnd"/>
      <w:r w:rsidRPr="00CC0A54">
        <w:rPr>
          <w:rFonts w:asciiTheme="majorBidi" w:hAnsiTheme="majorBidi" w:cstheme="majorBidi"/>
          <w:sz w:val="24"/>
          <w:szCs w:val="24"/>
        </w:rPr>
        <w:t xml:space="preserve"> M, et al. Clinical, histopathologic, and cytologic diagnosis of mucosal leishmaniasis and literature review. Arch </w:t>
      </w:r>
      <w:proofErr w:type="spellStart"/>
      <w:r w:rsidRPr="00CC0A54">
        <w:rPr>
          <w:rFonts w:asciiTheme="majorBidi" w:hAnsiTheme="majorBidi" w:cstheme="majorBidi"/>
          <w:sz w:val="24"/>
          <w:szCs w:val="24"/>
        </w:rPr>
        <w:t>Pathol</w:t>
      </w:r>
      <w:proofErr w:type="spellEnd"/>
      <w:r w:rsidRPr="00CC0A54">
        <w:rPr>
          <w:rFonts w:asciiTheme="majorBidi" w:hAnsiTheme="majorBidi" w:cstheme="majorBidi"/>
          <w:sz w:val="24"/>
          <w:szCs w:val="24"/>
        </w:rPr>
        <w:t xml:space="preserve"> Lab Med. 2011;135(4):478-482. doi:10.5858/2010-0069-OA.1</w:t>
      </w:r>
      <w:r>
        <w:rPr>
          <w:rFonts w:asciiTheme="majorBidi" w:hAnsiTheme="majorBidi" w:cstheme="majorBidi"/>
          <w:sz w:val="24"/>
          <w:szCs w:val="24"/>
        </w:rPr>
        <w:t>.</w:t>
      </w:r>
    </w:p>
    <w:p w14:paraId="42518651" w14:textId="77777777" w:rsidR="00CC0A54" w:rsidRDefault="00864B08" w:rsidP="00864B08">
      <w:pPr>
        <w:pStyle w:val="ListParagraph"/>
        <w:numPr>
          <w:ilvl w:val="0"/>
          <w:numId w:val="39"/>
        </w:numPr>
        <w:spacing w:line="360" w:lineRule="auto"/>
        <w:rPr>
          <w:rFonts w:asciiTheme="majorBidi" w:hAnsiTheme="majorBidi" w:cstheme="majorBidi"/>
          <w:sz w:val="24"/>
          <w:szCs w:val="24"/>
        </w:rPr>
      </w:pPr>
      <w:r w:rsidRPr="00864B08">
        <w:rPr>
          <w:rFonts w:asciiTheme="majorBidi" w:hAnsiTheme="majorBidi" w:cstheme="majorBidi"/>
          <w:sz w:val="24"/>
          <w:szCs w:val="24"/>
        </w:rPr>
        <w:t xml:space="preserve">Blanco LZ, Thurow TA, Mahajan A, et al. Multinucleation is an objective feature useful in the diagnosis of pleomorphic lobular carcinoma in situ. Am J </w:t>
      </w:r>
      <w:proofErr w:type="spellStart"/>
      <w:r w:rsidRPr="00864B08">
        <w:rPr>
          <w:rFonts w:asciiTheme="majorBidi" w:hAnsiTheme="majorBidi" w:cstheme="majorBidi"/>
          <w:sz w:val="24"/>
          <w:szCs w:val="24"/>
        </w:rPr>
        <w:t>Clin</w:t>
      </w:r>
      <w:proofErr w:type="spellEnd"/>
      <w:r w:rsidRPr="00864B08">
        <w:rPr>
          <w:rFonts w:asciiTheme="majorBidi" w:hAnsiTheme="majorBidi" w:cstheme="majorBidi"/>
          <w:sz w:val="24"/>
          <w:szCs w:val="24"/>
        </w:rPr>
        <w:t xml:space="preserve"> </w:t>
      </w:r>
      <w:proofErr w:type="spellStart"/>
      <w:r w:rsidRPr="00864B08">
        <w:rPr>
          <w:rFonts w:asciiTheme="majorBidi" w:hAnsiTheme="majorBidi" w:cstheme="majorBidi"/>
          <w:sz w:val="24"/>
          <w:szCs w:val="24"/>
        </w:rPr>
        <w:t>Pathol</w:t>
      </w:r>
      <w:proofErr w:type="spellEnd"/>
      <w:r w:rsidRPr="00864B08">
        <w:rPr>
          <w:rFonts w:asciiTheme="majorBidi" w:hAnsiTheme="majorBidi" w:cstheme="majorBidi"/>
          <w:sz w:val="24"/>
          <w:szCs w:val="24"/>
        </w:rPr>
        <w:t>. 2015;144(5):722-726. doi:10.1309/AJCPZHZ2TUE2UYNV</w:t>
      </w:r>
      <w:r>
        <w:rPr>
          <w:rFonts w:asciiTheme="majorBidi" w:hAnsiTheme="majorBidi" w:cstheme="majorBidi"/>
          <w:sz w:val="24"/>
          <w:szCs w:val="24"/>
        </w:rPr>
        <w:t>.</w:t>
      </w:r>
    </w:p>
    <w:p w14:paraId="4C9AB24F"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Priyadharshini</w:t>
      </w:r>
      <w:proofErr w:type="spellEnd"/>
      <w:r w:rsidRPr="00864B08">
        <w:rPr>
          <w:rFonts w:asciiTheme="majorBidi" w:hAnsiTheme="majorBidi" w:cstheme="majorBidi"/>
          <w:sz w:val="24"/>
          <w:szCs w:val="24"/>
        </w:rPr>
        <w:t xml:space="preserve"> G, </w:t>
      </w:r>
      <w:proofErr w:type="spellStart"/>
      <w:r w:rsidRPr="00864B08">
        <w:rPr>
          <w:rFonts w:asciiTheme="majorBidi" w:hAnsiTheme="majorBidi" w:cstheme="majorBidi"/>
          <w:sz w:val="24"/>
          <w:szCs w:val="24"/>
        </w:rPr>
        <w:t>Phansalkar</w:t>
      </w:r>
      <w:proofErr w:type="spellEnd"/>
      <w:r w:rsidRPr="00864B08">
        <w:rPr>
          <w:rFonts w:asciiTheme="majorBidi" w:hAnsiTheme="majorBidi" w:cstheme="majorBidi"/>
          <w:sz w:val="24"/>
          <w:szCs w:val="24"/>
        </w:rPr>
        <w:t xml:space="preserve"> M, </w:t>
      </w:r>
      <w:proofErr w:type="spellStart"/>
      <w:r w:rsidRPr="00864B08">
        <w:rPr>
          <w:rFonts w:asciiTheme="majorBidi" w:hAnsiTheme="majorBidi" w:cstheme="majorBidi"/>
          <w:sz w:val="24"/>
          <w:szCs w:val="24"/>
        </w:rPr>
        <w:t>Ambroise</w:t>
      </w:r>
      <w:proofErr w:type="spellEnd"/>
      <w:r w:rsidRPr="00864B08">
        <w:rPr>
          <w:rFonts w:asciiTheme="majorBidi" w:hAnsiTheme="majorBidi" w:cstheme="majorBidi"/>
          <w:sz w:val="24"/>
          <w:szCs w:val="24"/>
        </w:rPr>
        <w:t xml:space="preserve"> M, </w:t>
      </w:r>
      <w:proofErr w:type="spellStart"/>
      <w:r w:rsidRPr="00864B08">
        <w:rPr>
          <w:rFonts w:asciiTheme="majorBidi" w:hAnsiTheme="majorBidi" w:cstheme="majorBidi"/>
          <w:sz w:val="24"/>
          <w:szCs w:val="24"/>
        </w:rPr>
        <w:t>Ramdas</w:t>
      </w:r>
      <w:proofErr w:type="spellEnd"/>
      <w:r w:rsidRPr="00864B08">
        <w:rPr>
          <w:rFonts w:asciiTheme="majorBidi" w:hAnsiTheme="majorBidi" w:cstheme="majorBidi"/>
          <w:sz w:val="24"/>
          <w:szCs w:val="24"/>
        </w:rPr>
        <w:t xml:space="preserve"> A. Binucleate Cells in Cytosmears: What do They Signify</w:t>
      </w:r>
      <w:proofErr w:type="gramStart"/>
      <w:r w:rsidRPr="00864B08">
        <w:rPr>
          <w:rFonts w:asciiTheme="majorBidi" w:hAnsiTheme="majorBidi" w:cstheme="majorBidi"/>
          <w:sz w:val="24"/>
          <w:szCs w:val="24"/>
        </w:rPr>
        <w:t>?.</w:t>
      </w:r>
      <w:proofErr w:type="gramEnd"/>
      <w:r w:rsidRPr="00864B08">
        <w:rPr>
          <w:rFonts w:asciiTheme="majorBidi" w:hAnsiTheme="majorBidi" w:cstheme="majorBidi"/>
          <w:sz w:val="24"/>
          <w:szCs w:val="24"/>
        </w:rPr>
        <w:t xml:space="preserve"> J Cytol. 2021;38(1):38-43. doi:10.4103/JOC.JOC_178_20</w:t>
      </w:r>
      <w:r>
        <w:rPr>
          <w:rFonts w:asciiTheme="majorBidi" w:hAnsiTheme="majorBidi" w:cstheme="majorBidi"/>
          <w:sz w:val="24"/>
          <w:szCs w:val="24"/>
        </w:rPr>
        <w:t>.</w:t>
      </w:r>
    </w:p>
    <w:p w14:paraId="65B75537"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Elmahdi</w:t>
      </w:r>
      <w:proofErr w:type="spellEnd"/>
      <w:r w:rsidRPr="00864B08">
        <w:rPr>
          <w:rFonts w:asciiTheme="majorBidi" w:hAnsiTheme="majorBidi" w:cstheme="majorBidi"/>
          <w:sz w:val="24"/>
          <w:szCs w:val="24"/>
        </w:rPr>
        <w:t xml:space="preserve"> FM, </w:t>
      </w:r>
      <w:proofErr w:type="spellStart"/>
      <w:r w:rsidRPr="00864B08">
        <w:rPr>
          <w:rFonts w:asciiTheme="majorBidi" w:hAnsiTheme="majorBidi" w:cstheme="majorBidi"/>
          <w:sz w:val="24"/>
          <w:szCs w:val="24"/>
        </w:rPr>
        <w:t>Alsebaee</w:t>
      </w:r>
      <w:proofErr w:type="spellEnd"/>
      <w:r w:rsidRPr="00864B08">
        <w:rPr>
          <w:rFonts w:asciiTheme="majorBidi" w:hAnsiTheme="majorBidi" w:cstheme="majorBidi"/>
          <w:sz w:val="24"/>
          <w:szCs w:val="24"/>
        </w:rPr>
        <w:t xml:space="preserve"> RO, </w:t>
      </w:r>
      <w:proofErr w:type="spellStart"/>
      <w:r w:rsidRPr="00864B08">
        <w:rPr>
          <w:rFonts w:asciiTheme="majorBidi" w:hAnsiTheme="majorBidi" w:cstheme="majorBidi"/>
          <w:sz w:val="24"/>
          <w:szCs w:val="24"/>
        </w:rPr>
        <w:t>Ballaji</w:t>
      </w:r>
      <w:proofErr w:type="spellEnd"/>
      <w:r w:rsidRPr="00864B08">
        <w:rPr>
          <w:rFonts w:asciiTheme="majorBidi" w:hAnsiTheme="majorBidi" w:cstheme="majorBidi"/>
          <w:sz w:val="24"/>
          <w:szCs w:val="24"/>
        </w:rPr>
        <w:t xml:space="preserve"> MM, et al. Cytological Changes and Immunocytochemistry Expression of P53 in Oral Mucosa Among Waterpipe Users in the Kingdom of Saudi Arabia. Cureus. 2022</w:t>
      </w:r>
      <w:proofErr w:type="gramStart"/>
      <w:r w:rsidRPr="00864B08">
        <w:rPr>
          <w:rFonts w:asciiTheme="majorBidi" w:hAnsiTheme="majorBidi" w:cstheme="majorBidi"/>
          <w:sz w:val="24"/>
          <w:szCs w:val="24"/>
        </w:rPr>
        <w:t>;14</w:t>
      </w:r>
      <w:proofErr w:type="gramEnd"/>
      <w:r w:rsidRPr="00864B08">
        <w:rPr>
          <w:rFonts w:asciiTheme="majorBidi" w:hAnsiTheme="majorBidi" w:cstheme="majorBidi"/>
          <w:sz w:val="24"/>
          <w:szCs w:val="24"/>
        </w:rPr>
        <w:t>(11):e31190. Published 2022 Nov 7. doi:10.7759/cureus.31190</w:t>
      </w:r>
      <w:r>
        <w:rPr>
          <w:rFonts w:asciiTheme="majorBidi" w:hAnsiTheme="majorBidi" w:cstheme="majorBidi"/>
          <w:sz w:val="24"/>
          <w:szCs w:val="24"/>
        </w:rPr>
        <w:t>.</w:t>
      </w:r>
    </w:p>
    <w:p w14:paraId="454D1AFD" w14:textId="77777777" w:rsidR="00864B08" w:rsidRDefault="00FF7290" w:rsidP="00FF7290">
      <w:pPr>
        <w:pStyle w:val="ListParagraph"/>
        <w:numPr>
          <w:ilvl w:val="0"/>
          <w:numId w:val="39"/>
        </w:numPr>
        <w:spacing w:line="360" w:lineRule="auto"/>
        <w:rPr>
          <w:rFonts w:asciiTheme="majorBidi" w:hAnsiTheme="majorBidi" w:cstheme="majorBidi"/>
          <w:sz w:val="24"/>
          <w:szCs w:val="24"/>
        </w:rPr>
      </w:pPr>
      <w:r w:rsidRPr="00FF7290">
        <w:rPr>
          <w:rFonts w:asciiTheme="majorBidi" w:hAnsiTheme="majorBidi" w:cstheme="majorBidi"/>
          <w:sz w:val="24"/>
          <w:szCs w:val="24"/>
        </w:rPr>
        <w:t>Liu S, Zhang M, Yang L, et al. Prevalence and patterns of tobacco smoking among Chinese adult men and women: findings of the 2010 national smoking survey. J Epidemiol Community Health. 2017;71(2):154-161. doi:10.1136/jech-2016-207805</w:t>
      </w:r>
      <w:r>
        <w:rPr>
          <w:rFonts w:asciiTheme="majorBidi" w:hAnsiTheme="majorBidi" w:cstheme="majorBidi"/>
          <w:sz w:val="24"/>
          <w:szCs w:val="24"/>
        </w:rPr>
        <w:t>.</w:t>
      </w:r>
    </w:p>
    <w:p w14:paraId="3A1126FD" w14:textId="77777777" w:rsidR="00FF7290"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Persson L, Bergström J, Ito H, Gustafsson A. Tobacco smoking and neutrophil activity in patients with periodontal disease. J </w:t>
      </w:r>
      <w:proofErr w:type="spellStart"/>
      <w:r w:rsidRPr="001116F7">
        <w:rPr>
          <w:rFonts w:asciiTheme="majorBidi" w:hAnsiTheme="majorBidi" w:cstheme="majorBidi"/>
          <w:sz w:val="24"/>
          <w:szCs w:val="24"/>
        </w:rPr>
        <w:t>Periodontol</w:t>
      </w:r>
      <w:proofErr w:type="spellEnd"/>
      <w:r w:rsidRPr="001116F7">
        <w:rPr>
          <w:rFonts w:asciiTheme="majorBidi" w:hAnsiTheme="majorBidi" w:cstheme="majorBidi"/>
          <w:sz w:val="24"/>
          <w:szCs w:val="24"/>
        </w:rPr>
        <w:t>. 2001;72(1):90-95. doi:10.1902/jop.2001.72.1.90</w:t>
      </w:r>
      <w:r>
        <w:rPr>
          <w:rFonts w:asciiTheme="majorBidi" w:hAnsiTheme="majorBidi" w:cstheme="majorBidi"/>
          <w:sz w:val="24"/>
          <w:szCs w:val="24"/>
        </w:rPr>
        <w:t>.</w:t>
      </w:r>
    </w:p>
    <w:p w14:paraId="3F1191E6" w14:textId="77777777" w:rsidR="001116F7" w:rsidRPr="001116F7"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Mohammed MEA, Brima EI. Cytological changes in oral mucosa induced by smokeless tobacco. </w:t>
      </w:r>
      <w:proofErr w:type="spellStart"/>
      <w:r w:rsidRPr="001116F7">
        <w:rPr>
          <w:rFonts w:asciiTheme="majorBidi" w:hAnsiTheme="majorBidi" w:cstheme="majorBidi"/>
          <w:sz w:val="24"/>
          <w:szCs w:val="24"/>
        </w:rPr>
        <w:t>Tob</w:t>
      </w:r>
      <w:proofErr w:type="spellEnd"/>
      <w:r w:rsidRPr="001116F7">
        <w:rPr>
          <w:rFonts w:asciiTheme="majorBidi" w:hAnsiTheme="majorBidi" w:cstheme="majorBidi"/>
          <w:sz w:val="24"/>
          <w:szCs w:val="24"/>
        </w:rPr>
        <w:t xml:space="preserve"> </w:t>
      </w:r>
      <w:proofErr w:type="spellStart"/>
      <w:r w:rsidRPr="001116F7">
        <w:rPr>
          <w:rFonts w:asciiTheme="majorBidi" w:hAnsiTheme="majorBidi" w:cstheme="majorBidi"/>
          <w:sz w:val="24"/>
          <w:szCs w:val="24"/>
        </w:rPr>
        <w:t>Induc</w:t>
      </w:r>
      <w:proofErr w:type="spellEnd"/>
      <w:r w:rsidRPr="001116F7">
        <w:rPr>
          <w:rFonts w:asciiTheme="majorBidi" w:hAnsiTheme="majorBidi" w:cstheme="majorBidi"/>
          <w:sz w:val="24"/>
          <w:szCs w:val="24"/>
        </w:rPr>
        <w:t xml:space="preserve"> Dis. 2019</w:t>
      </w:r>
      <w:proofErr w:type="gramStart"/>
      <w:r w:rsidRPr="001116F7">
        <w:rPr>
          <w:rFonts w:asciiTheme="majorBidi" w:hAnsiTheme="majorBidi" w:cstheme="majorBidi"/>
          <w:sz w:val="24"/>
          <w:szCs w:val="24"/>
        </w:rPr>
        <w:t>;17:46</w:t>
      </w:r>
      <w:proofErr w:type="gramEnd"/>
      <w:r w:rsidRPr="001116F7">
        <w:rPr>
          <w:rFonts w:asciiTheme="majorBidi" w:hAnsiTheme="majorBidi" w:cstheme="majorBidi"/>
          <w:sz w:val="24"/>
          <w:szCs w:val="24"/>
        </w:rPr>
        <w:t>. Published 2019 May 28. doi:10.18332/</w:t>
      </w:r>
      <w:proofErr w:type="spellStart"/>
      <w:r w:rsidRPr="001116F7">
        <w:rPr>
          <w:rFonts w:asciiTheme="majorBidi" w:hAnsiTheme="majorBidi" w:cstheme="majorBidi"/>
          <w:sz w:val="24"/>
          <w:szCs w:val="24"/>
        </w:rPr>
        <w:t>tid</w:t>
      </w:r>
      <w:proofErr w:type="spellEnd"/>
      <w:r w:rsidRPr="001116F7">
        <w:rPr>
          <w:rFonts w:asciiTheme="majorBidi" w:hAnsiTheme="majorBidi" w:cstheme="majorBidi"/>
          <w:sz w:val="24"/>
          <w:szCs w:val="24"/>
        </w:rPr>
        <w:t>/109544</w:t>
      </w:r>
      <w:r>
        <w:rPr>
          <w:rFonts w:asciiTheme="majorBidi" w:hAnsiTheme="majorBidi" w:cstheme="majorBidi"/>
          <w:sz w:val="24"/>
          <w:szCs w:val="24"/>
        </w:rPr>
        <w:t>.</w:t>
      </w:r>
    </w:p>
    <w:p w14:paraId="2017042A" w14:textId="77777777" w:rsidR="0010507B" w:rsidRPr="00631060" w:rsidRDefault="0010507B" w:rsidP="0010507B">
      <w:pPr>
        <w:pStyle w:val="ListParagraph"/>
        <w:spacing w:line="360" w:lineRule="auto"/>
        <w:ind w:left="720"/>
        <w:rPr>
          <w:rFonts w:asciiTheme="majorBidi" w:hAnsiTheme="majorBidi" w:cstheme="majorBidi"/>
          <w:sz w:val="24"/>
          <w:szCs w:val="24"/>
        </w:rPr>
      </w:pPr>
    </w:p>
    <w:sectPr w:rsidR="0010507B" w:rsidRPr="00631060" w:rsidSect="00A17587">
      <w:pgSz w:w="12240" w:h="15840"/>
      <w:pgMar w:top="99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F1FBA" w14:textId="77777777" w:rsidR="007F1178" w:rsidRDefault="007F1178" w:rsidP="009A266A">
      <w:pPr>
        <w:spacing w:after="0" w:line="240" w:lineRule="auto"/>
      </w:pPr>
      <w:r>
        <w:separator/>
      </w:r>
    </w:p>
  </w:endnote>
  <w:endnote w:type="continuationSeparator" w:id="0">
    <w:p w14:paraId="185CC3B8" w14:textId="77777777" w:rsidR="007F1178" w:rsidRDefault="007F1178" w:rsidP="009A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2CD4F" w14:textId="77777777" w:rsidR="004D362F" w:rsidRDefault="004D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BEBB8" w14:textId="77777777" w:rsidR="004D362F" w:rsidRDefault="004D3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F1DC6" w14:textId="77777777" w:rsidR="004D362F" w:rsidRDefault="004D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3D2CC" w14:textId="77777777" w:rsidR="007F1178" w:rsidRDefault="007F1178" w:rsidP="009A266A">
      <w:pPr>
        <w:spacing w:after="0" w:line="240" w:lineRule="auto"/>
      </w:pPr>
      <w:r>
        <w:separator/>
      </w:r>
    </w:p>
  </w:footnote>
  <w:footnote w:type="continuationSeparator" w:id="0">
    <w:p w14:paraId="065BFDFD" w14:textId="77777777" w:rsidR="007F1178" w:rsidRDefault="007F1178" w:rsidP="009A2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A621" w14:textId="037FFEBF" w:rsidR="004D362F" w:rsidRDefault="007F1178">
    <w:pPr>
      <w:pStyle w:val="Header"/>
    </w:pPr>
    <w:r>
      <w:rPr>
        <w:noProof/>
      </w:rPr>
      <w:pict w14:anchorId="2A07A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6.55pt;height:9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1FBC" w14:textId="79A55266" w:rsidR="004D362F" w:rsidRDefault="007F1178">
    <w:pPr>
      <w:pStyle w:val="Header"/>
    </w:pPr>
    <w:r>
      <w:rPr>
        <w:noProof/>
      </w:rPr>
      <w:pict w14:anchorId="17823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6.55pt;height:9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FBECF" w14:textId="6AD8522D" w:rsidR="004D362F" w:rsidRDefault="007F1178">
    <w:pPr>
      <w:pStyle w:val="Header"/>
    </w:pPr>
    <w:r>
      <w:rPr>
        <w:noProof/>
      </w:rPr>
      <w:pict w14:anchorId="48908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6.55pt;height:9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9334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0676B"/>
    <w:multiLevelType w:val="hybridMultilevel"/>
    <w:tmpl w:val="62AA9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91F84"/>
    <w:multiLevelType w:val="hybridMultilevel"/>
    <w:tmpl w:val="7D9EA1EE"/>
    <w:lvl w:ilvl="0" w:tplc="A05C7D9A">
      <w:start w:val="51"/>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11E85AA6">
      <w:numFmt w:val="bullet"/>
      <w:lvlText w:val="•"/>
      <w:lvlJc w:val="left"/>
      <w:pPr>
        <w:ind w:left="1324" w:hanging="341"/>
      </w:pPr>
      <w:rPr>
        <w:rFonts w:hint="default"/>
        <w:lang w:val="en-US" w:eastAsia="en-US" w:bidi="ar-SA"/>
      </w:rPr>
    </w:lvl>
    <w:lvl w:ilvl="2" w:tplc="228009C6">
      <w:numFmt w:val="bullet"/>
      <w:lvlText w:val="•"/>
      <w:lvlJc w:val="left"/>
      <w:pPr>
        <w:ind w:left="2188" w:hanging="341"/>
      </w:pPr>
      <w:rPr>
        <w:rFonts w:hint="default"/>
        <w:lang w:val="en-US" w:eastAsia="en-US" w:bidi="ar-SA"/>
      </w:rPr>
    </w:lvl>
    <w:lvl w:ilvl="3" w:tplc="39BC5404">
      <w:numFmt w:val="bullet"/>
      <w:lvlText w:val="•"/>
      <w:lvlJc w:val="left"/>
      <w:pPr>
        <w:ind w:left="3052" w:hanging="341"/>
      </w:pPr>
      <w:rPr>
        <w:rFonts w:hint="default"/>
        <w:lang w:val="en-US" w:eastAsia="en-US" w:bidi="ar-SA"/>
      </w:rPr>
    </w:lvl>
    <w:lvl w:ilvl="4" w:tplc="775688E8">
      <w:numFmt w:val="bullet"/>
      <w:lvlText w:val="•"/>
      <w:lvlJc w:val="left"/>
      <w:pPr>
        <w:ind w:left="3916" w:hanging="341"/>
      </w:pPr>
      <w:rPr>
        <w:rFonts w:hint="default"/>
        <w:lang w:val="en-US" w:eastAsia="en-US" w:bidi="ar-SA"/>
      </w:rPr>
    </w:lvl>
    <w:lvl w:ilvl="5" w:tplc="CB9E0BE8">
      <w:numFmt w:val="bullet"/>
      <w:lvlText w:val="•"/>
      <w:lvlJc w:val="left"/>
      <w:pPr>
        <w:ind w:left="4780" w:hanging="341"/>
      </w:pPr>
      <w:rPr>
        <w:rFonts w:hint="default"/>
        <w:lang w:val="en-US" w:eastAsia="en-US" w:bidi="ar-SA"/>
      </w:rPr>
    </w:lvl>
    <w:lvl w:ilvl="6" w:tplc="396C3A70">
      <w:numFmt w:val="bullet"/>
      <w:lvlText w:val="•"/>
      <w:lvlJc w:val="left"/>
      <w:pPr>
        <w:ind w:left="5644" w:hanging="341"/>
      </w:pPr>
      <w:rPr>
        <w:rFonts w:hint="default"/>
        <w:lang w:val="en-US" w:eastAsia="en-US" w:bidi="ar-SA"/>
      </w:rPr>
    </w:lvl>
    <w:lvl w:ilvl="7" w:tplc="3004862C">
      <w:numFmt w:val="bullet"/>
      <w:lvlText w:val="•"/>
      <w:lvlJc w:val="left"/>
      <w:pPr>
        <w:ind w:left="6508" w:hanging="341"/>
      </w:pPr>
      <w:rPr>
        <w:rFonts w:hint="default"/>
        <w:lang w:val="en-US" w:eastAsia="en-US" w:bidi="ar-SA"/>
      </w:rPr>
    </w:lvl>
    <w:lvl w:ilvl="8" w:tplc="ECECD08C">
      <w:numFmt w:val="bullet"/>
      <w:lvlText w:val="•"/>
      <w:lvlJc w:val="left"/>
      <w:pPr>
        <w:ind w:left="7372" w:hanging="341"/>
      </w:pPr>
      <w:rPr>
        <w:rFonts w:hint="default"/>
        <w:lang w:val="en-US" w:eastAsia="en-US" w:bidi="ar-SA"/>
      </w:rPr>
    </w:lvl>
  </w:abstractNum>
  <w:abstractNum w:abstractNumId="3" w15:restartNumberingAfterBreak="0">
    <w:nsid w:val="0D3F5641"/>
    <w:multiLevelType w:val="hybridMultilevel"/>
    <w:tmpl w:val="9AD43506"/>
    <w:lvl w:ilvl="0" w:tplc="929618C8">
      <w:start w:val="1"/>
      <w:numFmt w:val="decimal"/>
      <w:lvlText w:val="%1."/>
      <w:lvlJc w:val="left"/>
      <w:pPr>
        <w:ind w:left="341" w:hanging="341"/>
      </w:pPr>
      <w:rPr>
        <w:rFonts w:hint="default"/>
        <w:spacing w:val="0"/>
        <w:w w:val="100"/>
        <w:lang w:val="en-US" w:eastAsia="en-US" w:bidi="ar-SA"/>
      </w:rPr>
    </w:lvl>
    <w:lvl w:ilvl="1" w:tplc="359E66CE">
      <w:numFmt w:val="bullet"/>
      <w:lvlText w:val="•"/>
      <w:lvlJc w:val="left"/>
      <w:pPr>
        <w:ind w:left="1324" w:hanging="341"/>
      </w:pPr>
      <w:rPr>
        <w:rFonts w:hint="default"/>
        <w:lang w:val="en-US" w:eastAsia="en-US" w:bidi="ar-SA"/>
      </w:rPr>
    </w:lvl>
    <w:lvl w:ilvl="2" w:tplc="56AEEB28">
      <w:numFmt w:val="bullet"/>
      <w:lvlText w:val="•"/>
      <w:lvlJc w:val="left"/>
      <w:pPr>
        <w:ind w:left="2188" w:hanging="341"/>
      </w:pPr>
      <w:rPr>
        <w:rFonts w:hint="default"/>
        <w:lang w:val="en-US" w:eastAsia="en-US" w:bidi="ar-SA"/>
      </w:rPr>
    </w:lvl>
    <w:lvl w:ilvl="3" w:tplc="0E5C4F96">
      <w:numFmt w:val="bullet"/>
      <w:lvlText w:val="•"/>
      <w:lvlJc w:val="left"/>
      <w:pPr>
        <w:ind w:left="3052" w:hanging="341"/>
      </w:pPr>
      <w:rPr>
        <w:rFonts w:hint="default"/>
        <w:lang w:val="en-US" w:eastAsia="en-US" w:bidi="ar-SA"/>
      </w:rPr>
    </w:lvl>
    <w:lvl w:ilvl="4" w:tplc="A85EB1BA">
      <w:numFmt w:val="bullet"/>
      <w:lvlText w:val="•"/>
      <w:lvlJc w:val="left"/>
      <w:pPr>
        <w:ind w:left="3916" w:hanging="341"/>
      </w:pPr>
      <w:rPr>
        <w:rFonts w:hint="default"/>
        <w:lang w:val="en-US" w:eastAsia="en-US" w:bidi="ar-SA"/>
      </w:rPr>
    </w:lvl>
    <w:lvl w:ilvl="5" w:tplc="AB6A7FE8">
      <w:numFmt w:val="bullet"/>
      <w:lvlText w:val="•"/>
      <w:lvlJc w:val="left"/>
      <w:pPr>
        <w:ind w:left="4780" w:hanging="341"/>
      </w:pPr>
      <w:rPr>
        <w:rFonts w:hint="default"/>
        <w:lang w:val="en-US" w:eastAsia="en-US" w:bidi="ar-SA"/>
      </w:rPr>
    </w:lvl>
    <w:lvl w:ilvl="6" w:tplc="8668D14E">
      <w:numFmt w:val="bullet"/>
      <w:lvlText w:val="•"/>
      <w:lvlJc w:val="left"/>
      <w:pPr>
        <w:ind w:left="5644" w:hanging="341"/>
      </w:pPr>
      <w:rPr>
        <w:rFonts w:hint="default"/>
        <w:lang w:val="en-US" w:eastAsia="en-US" w:bidi="ar-SA"/>
      </w:rPr>
    </w:lvl>
    <w:lvl w:ilvl="7" w:tplc="1D8E57D8">
      <w:numFmt w:val="bullet"/>
      <w:lvlText w:val="•"/>
      <w:lvlJc w:val="left"/>
      <w:pPr>
        <w:ind w:left="6508" w:hanging="341"/>
      </w:pPr>
      <w:rPr>
        <w:rFonts w:hint="default"/>
        <w:lang w:val="en-US" w:eastAsia="en-US" w:bidi="ar-SA"/>
      </w:rPr>
    </w:lvl>
    <w:lvl w:ilvl="8" w:tplc="743232C4">
      <w:numFmt w:val="bullet"/>
      <w:lvlText w:val="•"/>
      <w:lvlJc w:val="left"/>
      <w:pPr>
        <w:ind w:left="7372" w:hanging="341"/>
      </w:pPr>
      <w:rPr>
        <w:rFonts w:hint="default"/>
        <w:lang w:val="en-US" w:eastAsia="en-US" w:bidi="ar-SA"/>
      </w:rPr>
    </w:lvl>
  </w:abstractNum>
  <w:abstractNum w:abstractNumId="4" w15:restartNumberingAfterBreak="0">
    <w:nsid w:val="0F667A3F"/>
    <w:multiLevelType w:val="hybridMultilevel"/>
    <w:tmpl w:val="4588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21AD0"/>
    <w:multiLevelType w:val="hybridMultilevel"/>
    <w:tmpl w:val="AE6E6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40204"/>
    <w:multiLevelType w:val="multilevel"/>
    <w:tmpl w:val="49883DAC"/>
    <w:lvl w:ilvl="0">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start w:val="1"/>
      <w:numFmt w:val="decimal"/>
      <w:lvlText w:val="%1-%2"/>
      <w:lvlJc w:val="left"/>
      <w:pPr>
        <w:ind w:left="418" w:hanging="418"/>
      </w:pPr>
      <w:rPr>
        <w:rFonts w:ascii="Times New Roman" w:eastAsia="Times New Roman" w:hAnsi="Times New Roman" w:cs="Times New Roman" w:hint="default"/>
        <w:b/>
        <w:bCs/>
        <w:spacing w:val="-1"/>
        <w:w w:val="100"/>
        <w:sz w:val="26"/>
        <w:szCs w:val="26"/>
        <w:lang w:val="en-US" w:eastAsia="en-US" w:bidi="ar-SA"/>
      </w:rPr>
    </w:lvl>
    <w:lvl w:ilvl="2">
      <w:start w:val="1"/>
      <w:numFmt w:val="decimal"/>
      <w:lvlText w:val="%1-%2-%3"/>
      <w:lvlJc w:val="left"/>
      <w:pPr>
        <w:ind w:left="1100" w:hanging="644"/>
        <w:jc w:val="right"/>
      </w:pPr>
      <w:rPr>
        <w:rFonts w:ascii="Times New Roman" w:eastAsia="Times New Roman" w:hAnsi="Times New Roman" w:cs="Times New Roman" w:hint="default"/>
        <w:b/>
        <w:bCs/>
        <w:spacing w:val="-1"/>
        <w:w w:val="100"/>
        <w:sz w:val="26"/>
        <w:szCs w:val="26"/>
        <w:lang w:val="en-US" w:eastAsia="en-US" w:bidi="ar-SA"/>
      </w:rPr>
    </w:lvl>
    <w:lvl w:ilvl="3">
      <w:numFmt w:val="bullet"/>
      <w:lvlText w:val="•"/>
      <w:lvlJc w:val="left"/>
      <w:pPr>
        <w:ind w:left="2100" w:hanging="644"/>
      </w:pPr>
      <w:rPr>
        <w:rFonts w:hint="default"/>
        <w:lang w:val="en-US" w:eastAsia="en-US" w:bidi="ar-SA"/>
      </w:rPr>
    </w:lvl>
    <w:lvl w:ilvl="4">
      <w:numFmt w:val="bullet"/>
      <w:lvlText w:val="•"/>
      <w:lvlJc w:val="left"/>
      <w:pPr>
        <w:ind w:left="3100" w:hanging="644"/>
      </w:pPr>
      <w:rPr>
        <w:rFonts w:hint="default"/>
        <w:lang w:val="en-US" w:eastAsia="en-US" w:bidi="ar-SA"/>
      </w:rPr>
    </w:lvl>
    <w:lvl w:ilvl="5">
      <w:numFmt w:val="bullet"/>
      <w:lvlText w:val="•"/>
      <w:lvlJc w:val="left"/>
      <w:pPr>
        <w:ind w:left="4100" w:hanging="644"/>
      </w:pPr>
      <w:rPr>
        <w:rFonts w:hint="default"/>
        <w:lang w:val="en-US" w:eastAsia="en-US" w:bidi="ar-SA"/>
      </w:rPr>
    </w:lvl>
    <w:lvl w:ilvl="6">
      <w:numFmt w:val="bullet"/>
      <w:lvlText w:val="•"/>
      <w:lvlJc w:val="left"/>
      <w:pPr>
        <w:ind w:left="5100" w:hanging="644"/>
      </w:pPr>
      <w:rPr>
        <w:rFonts w:hint="default"/>
        <w:lang w:val="en-US" w:eastAsia="en-US" w:bidi="ar-SA"/>
      </w:rPr>
    </w:lvl>
    <w:lvl w:ilvl="7">
      <w:numFmt w:val="bullet"/>
      <w:lvlText w:val="•"/>
      <w:lvlJc w:val="left"/>
      <w:pPr>
        <w:ind w:left="6100" w:hanging="644"/>
      </w:pPr>
      <w:rPr>
        <w:rFonts w:hint="default"/>
        <w:lang w:val="en-US" w:eastAsia="en-US" w:bidi="ar-SA"/>
      </w:rPr>
    </w:lvl>
    <w:lvl w:ilvl="8">
      <w:numFmt w:val="bullet"/>
      <w:lvlText w:val="•"/>
      <w:lvlJc w:val="left"/>
      <w:pPr>
        <w:ind w:left="7100" w:hanging="644"/>
      </w:pPr>
      <w:rPr>
        <w:rFonts w:hint="default"/>
        <w:lang w:val="en-US" w:eastAsia="en-US" w:bidi="ar-SA"/>
      </w:rPr>
    </w:lvl>
  </w:abstractNum>
  <w:abstractNum w:abstractNumId="7" w15:restartNumberingAfterBreak="0">
    <w:nsid w:val="1A1E2CDD"/>
    <w:multiLevelType w:val="multilevel"/>
    <w:tmpl w:val="C13C990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953F6"/>
    <w:multiLevelType w:val="hybridMultilevel"/>
    <w:tmpl w:val="19CE3DC0"/>
    <w:lvl w:ilvl="0" w:tplc="72E2E66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D32A0"/>
    <w:multiLevelType w:val="multilevel"/>
    <w:tmpl w:val="9C9CA22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A83"/>
    <w:multiLevelType w:val="hybridMultilevel"/>
    <w:tmpl w:val="80AA6838"/>
    <w:lvl w:ilvl="0" w:tplc="8286CC94">
      <w:numFmt w:val="none"/>
      <w:lvlText w:val=""/>
      <w:lvlJc w:val="left"/>
      <w:pPr>
        <w:tabs>
          <w:tab w:val="num" w:pos="360"/>
        </w:tabs>
        <w:ind w:left="0" w:firstLine="0"/>
      </w:pPr>
    </w:lvl>
    <w:lvl w:ilvl="1" w:tplc="F79CA9C6">
      <w:numFmt w:val="bullet"/>
      <w:lvlText w:val="•"/>
      <w:lvlJc w:val="left"/>
      <w:pPr>
        <w:ind w:left="2846" w:hanging="492"/>
      </w:pPr>
      <w:rPr>
        <w:lang w:val="en-US" w:eastAsia="en-US" w:bidi="ar-SA"/>
      </w:rPr>
    </w:lvl>
    <w:lvl w:ilvl="2" w:tplc="BE2AE326">
      <w:numFmt w:val="bullet"/>
      <w:lvlText w:val="•"/>
      <w:lvlJc w:val="left"/>
      <w:pPr>
        <w:ind w:left="3753" w:hanging="492"/>
      </w:pPr>
      <w:rPr>
        <w:lang w:val="en-US" w:eastAsia="en-US" w:bidi="ar-SA"/>
      </w:rPr>
    </w:lvl>
    <w:lvl w:ilvl="3" w:tplc="EC78540E">
      <w:numFmt w:val="bullet"/>
      <w:lvlText w:val="•"/>
      <w:lvlJc w:val="left"/>
      <w:pPr>
        <w:ind w:left="4659" w:hanging="492"/>
      </w:pPr>
      <w:rPr>
        <w:lang w:val="en-US" w:eastAsia="en-US" w:bidi="ar-SA"/>
      </w:rPr>
    </w:lvl>
    <w:lvl w:ilvl="4" w:tplc="21D8E630">
      <w:numFmt w:val="bullet"/>
      <w:lvlText w:val="•"/>
      <w:lvlJc w:val="left"/>
      <w:pPr>
        <w:ind w:left="5566" w:hanging="492"/>
      </w:pPr>
      <w:rPr>
        <w:lang w:val="en-US" w:eastAsia="en-US" w:bidi="ar-SA"/>
      </w:rPr>
    </w:lvl>
    <w:lvl w:ilvl="5" w:tplc="4CE09E62">
      <w:numFmt w:val="bullet"/>
      <w:lvlText w:val="•"/>
      <w:lvlJc w:val="left"/>
      <w:pPr>
        <w:ind w:left="6473" w:hanging="492"/>
      </w:pPr>
      <w:rPr>
        <w:lang w:val="en-US" w:eastAsia="en-US" w:bidi="ar-SA"/>
      </w:rPr>
    </w:lvl>
    <w:lvl w:ilvl="6" w:tplc="8FB22882">
      <w:numFmt w:val="bullet"/>
      <w:lvlText w:val="•"/>
      <w:lvlJc w:val="left"/>
      <w:pPr>
        <w:ind w:left="7379" w:hanging="492"/>
      </w:pPr>
      <w:rPr>
        <w:lang w:val="en-US" w:eastAsia="en-US" w:bidi="ar-SA"/>
      </w:rPr>
    </w:lvl>
    <w:lvl w:ilvl="7" w:tplc="890E3E9C">
      <w:numFmt w:val="bullet"/>
      <w:lvlText w:val="•"/>
      <w:lvlJc w:val="left"/>
      <w:pPr>
        <w:ind w:left="8286" w:hanging="492"/>
      </w:pPr>
      <w:rPr>
        <w:lang w:val="en-US" w:eastAsia="en-US" w:bidi="ar-SA"/>
      </w:rPr>
    </w:lvl>
    <w:lvl w:ilvl="8" w:tplc="300EE76C">
      <w:numFmt w:val="bullet"/>
      <w:lvlText w:val="•"/>
      <w:lvlJc w:val="left"/>
      <w:pPr>
        <w:ind w:left="9193" w:hanging="492"/>
      </w:pPr>
      <w:rPr>
        <w:lang w:val="en-US" w:eastAsia="en-US" w:bidi="ar-SA"/>
      </w:rPr>
    </w:lvl>
  </w:abstractNum>
  <w:abstractNum w:abstractNumId="11" w15:restartNumberingAfterBreak="0">
    <w:nsid w:val="1FFB1845"/>
    <w:multiLevelType w:val="hybridMultilevel"/>
    <w:tmpl w:val="720255EA"/>
    <w:lvl w:ilvl="0" w:tplc="69C08286">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BCA0D94A">
      <w:numFmt w:val="bullet"/>
      <w:lvlText w:val="•"/>
      <w:lvlJc w:val="left"/>
      <w:pPr>
        <w:ind w:left="1324" w:hanging="154"/>
      </w:pPr>
      <w:rPr>
        <w:rFonts w:hint="default"/>
        <w:lang w:val="en-US" w:eastAsia="en-US" w:bidi="ar-SA"/>
      </w:rPr>
    </w:lvl>
    <w:lvl w:ilvl="2" w:tplc="6D26C352">
      <w:numFmt w:val="bullet"/>
      <w:lvlText w:val="•"/>
      <w:lvlJc w:val="left"/>
      <w:pPr>
        <w:ind w:left="2188" w:hanging="154"/>
      </w:pPr>
      <w:rPr>
        <w:rFonts w:hint="default"/>
        <w:lang w:val="en-US" w:eastAsia="en-US" w:bidi="ar-SA"/>
      </w:rPr>
    </w:lvl>
    <w:lvl w:ilvl="3" w:tplc="9F446710">
      <w:numFmt w:val="bullet"/>
      <w:lvlText w:val="•"/>
      <w:lvlJc w:val="left"/>
      <w:pPr>
        <w:ind w:left="3052" w:hanging="154"/>
      </w:pPr>
      <w:rPr>
        <w:rFonts w:hint="default"/>
        <w:lang w:val="en-US" w:eastAsia="en-US" w:bidi="ar-SA"/>
      </w:rPr>
    </w:lvl>
    <w:lvl w:ilvl="4" w:tplc="3F9E17AA">
      <w:numFmt w:val="bullet"/>
      <w:lvlText w:val="•"/>
      <w:lvlJc w:val="left"/>
      <w:pPr>
        <w:ind w:left="3916" w:hanging="154"/>
      </w:pPr>
      <w:rPr>
        <w:rFonts w:hint="default"/>
        <w:lang w:val="en-US" w:eastAsia="en-US" w:bidi="ar-SA"/>
      </w:rPr>
    </w:lvl>
    <w:lvl w:ilvl="5" w:tplc="28A0E48E">
      <w:numFmt w:val="bullet"/>
      <w:lvlText w:val="•"/>
      <w:lvlJc w:val="left"/>
      <w:pPr>
        <w:ind w:left="4780" w:hanging="154"/>
      </w:pPr>
      <w:rPr>
        <w:rFonts w:hint="default"/>
        <w:lang w:val="en-US" w:eastAsia="en-US" w:bidi="ar-SA"/>
      </w:rPr>
    </w:lvl>
    <w:lvl w:ilvl="6" w:tplc="ADA055BA">
      <w:numFmt w:val="bullet"/>
      <w:lvlText w:val="•"/>
      <w:lvlJc w:val="left"/>
      <w:pPr>
        <w:ind w:left="5644" w:hanging="154"/>
      </w:pPr>
      <w:rPr>
        <w:rFonts w:hint="default"/>
        <w:lang w:val="en-US" w:eastAsia="en-US" w:bidi="ar-SA"/>
      </w:rPr>
    </w:lvl>
    <w:lvl w:ilvl="7" w:tplc="3084B072">
      <w:numFmt w:val="bullet"/>
      <w:lvlText w:val="•"/>
      <w:lvlJc w:val="left"/>
      <w:pPr>
        <w:ind w:left="6508" w:hanging="154"/>
      </w:pPr>
      <w:rPr>
        <w:rFonts w:hint="default"/>
        <w:lang w:val="en-US" w:eastAsia="en-US" w:bidi="ar-SA"/>
      </w:rPr>
    </w:lvl>
    <w:lvl w:ilvl="8" w:tplc="865014B8">
      <w:numFmt w:val="bullet"/>
      <w:lvlText w:val="•"/>
      <w:lvlJc w:val="left"/>
      <w:pPr>
        <w:ind w:left="7372" w:hanging="154"/>
      </w:pPr>
      <w:rPr>
        <w:rFonts w:hint="default"/>
        <w:lang w:val="en-US" w:eastAsia="en-US" w:bidi="ar-SA"/>
      </w:rPr>
    </w:lvl>
  </w:abstractNum>
  <w:abstractNum w:abstractNumId="12" w15:restartNumberingAfterBreak="0">
    <w:nsid w:val="20906368"/>
    <w:multiLevelType w:val="hybridMultilevel"/>
    <w:tmpl w:val="9496A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2718A"/>
    <w:multiLevelType w:val="hybridMultilevel"/>
    <w:tmpl w:val="8D80F8FE"/>
    <w:lvl w:ilvl="0" w:tplc="E34EDE9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 w15:restartNumberingAfterBreak="0">
    <w:nsid w:val="317C2E01"/>
    <w:multiLevelType w:val="hybridMultilevel"/>
    <w:tmpl w:val="492EC9F4"/>
    <w:lvl w:ilvl="0" w:tplc="C56E8C28">
      <w:start w:val="1"/>
      <w:numFmt w:val="arabicAbjad"/>
      <w:lvlText w:val="%1-"/>
      <w:lvlJc w:val="center"/>
      <w:pPr>
        <w:tabs>
          <w:tab w:val="num" w:pos="0"/>
        </w:tabs>
        <w:ind w:left="1800"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15:restartNumberingAfterBreak="0">
    <w:nsid w:val="34F67E76"/>
    <w:multiLevelType w:val="hybridMultilevel"/>
    <w:tmpl w:val="9F7243AE"/>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15:restartNumberingAfterBreak="0">
    <w:nsid w:val="39F36678"/>
    <w:multiLevelType w:val="hybridMultilevel"/>
    <w:tmpl w:val="31922592"/>
    <w:lvl w:ilvl="0" w:tplc="BADCFA68">
      <w:numFmt w:val="none"/>
      <w:lvlText w:val=""/>
      <w:lvlJc w:val="left"/>
      <w:pPr>
        <w:tabs>
          <w:tab w:val="num" w:pos="360"/>
        </w:tabs>
        <w:ind w:left="0" w:firstLine="0"/>
      </w:pPr>
    </w:lvl>
    <w:lvl w:ilvl="1" w:tplc="FEC2F3E0">
      <w:numFmt w:val="bullet"/>
      <w:lvlText w:val="•"/>
      <w:lvlJc w:val="left"/>
      <w:pPr>
        <w:ind w:left="2846" w:hanging="492"/>
      </w:pPr>
      <w:rPr>
        <w:lang w:val="en-US" w:eastAsia="en-US" w:bidi="ar-SA"/>
      </w:rPr>
    </w:lvl>
    <w:lvl w:ilvl="2" w:tplc="9DB6DC56">
      <w:numFmt w:val="bullet"/>
      <w:lvlText w:val="•"/>
      <w:lvlJc w:val="left"/>
      <w:pPr>
        <w:ind w:left="3753" w:hanging="492"/>
      </w:pPr>
      <w:rPr>
        <w:lang w:val="en-US" w:eastAsia="en-US" w:bidi="ar-SA"/>
      </w:rPr>
    </w:lvl>
    <w:lvl w:ilvl="3" w:tplc="8BFE12DC">
      <w:numFmt w:val="bullet"/>
      <w:lvlText w:val="•"/>
      <w:lvlJc w:val="left"/>
      <w:pPr>
        <w:ind w:left="4659" w:hanging="492"/>
      </w:pPr>
      <w:rPr>
        <w:lang w:val="en-US" w:eastAsia="en-US" w:bidi="ar-SA"/>
      </w:rPr>
    </w:lvl>
    <w:lvl w:ilvl="4" w:tplc="02245704">
      <w:numFmt w:val="bullet"/>
      <w:lvlText w:val="•"/>
      <w:lvlJc w:val="left"/>
      <w:pPr>
        <w:ind w:left="5566" w:hanging="492"/>
      </w:pPr>
      <w:rPr>
        <w:lang w:val="en-US" w:eastAsia="en-US" w:bidi="ar-SA"/>
      </w:rPr>
    </w:lvl>
    <w:lvl w:ilvl="5" w:tplc="C4FED7EC">
      <w:numFmt w:val="bullet"/>
      <w:lvlText w:val="•"/>
      <w:lvlJc w:val="left"/>
      <w:pPr>
        <w:ind w:left="6473" w:hanging="492"/>
      </w:pPr>
      <w:rPr>
        <w:lang w:val="en-US" w:eastAsia="en-US" w:bidi="ar-SA"/>
      </w:rPr>
    </w:lvl>
    <w:lvl w:ilvl="6" w:tplc="1312FDE0">
      <w:numFmt w:val="bullet"/>
      <w:lvlText w:val="•"/>
      <w:lvlJc w:val="left"/>
      <w:pPr>
        <w:ind w:left="7379" w:hanging="492"/>
      </w:pPr>
      <w:rPr>
        <w:lang w:val="en-US" w:eastAsia="en-US" w:bidi="ar-SA"/>
      </w:rPr>
    </w:lvl>
    <w:lvl w:ilvl="7" w:tplc="0AE2C0DA">
      <w:numFmt w:val="bullet"/>
      <w:lvlText w:val="•"/>
      <w:lvlJc w:val="left"/>
      <w:pPr>
        <w:ind w:left="8286" w:hanging="492"/>
      </w:pPr>
      <w:rPr>
        <w:lang w:val="en-US" w:eastAsia="en-US" w:bidi="ar-SA"/>
      </w:rPr>
    </w:lvl>
    <w:lvl w:ilvl="8" w:tplc="DD36F554">
      <w:numFmt w:val="bullet"/>
      <w:lvlText w:val="•"/>
      <w:lvlJc w:val="left"/>
      <w:pPr>
        <w:ind w:left="9193" w:hanging="492"/>
      </w:pPr>
      <w:rPr>
        <w:lang w:val="en-US" w:eastAsia="en-US" w:bidi="ar-SA"/>
      </w:rPr>
    </w:lvl>
  </w:abstractNum>
  <w:abstractNum w:abstractNumId="17" w15:restartNumberingAfterBreak="0">
    <w:nsid w:val="3B695A10"/>
    <w:multiLevelType w:val="hybridMultilevel"/>
    <w:tmpl w:val="CEE4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B3D06"/>
    <w:multiLevelType w:val="hybridMultilevel"/>
    <w:tmpl w:val="A99A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971AF"/>
    <w:multiLevelType w:val="hybridMultilevel"/>
    <w:tmpl w:val="0A6A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80E0E"/>
    <w:multiLevelType w:val="hybridMultilevel"/>
    <w:tmpl w:val="DFE883DC"/>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51A31B2D"/>
    <w:multiLevelType w:val="hybridMultilevel"/>
    <w:tmpl w:val="E2628AE0"/>
    <w:lvl w:ilvl="0" w:tplc="7D4AEB3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2" w15:restartNumberingAfterBreak="0">
    <w:nsid w:val="51CE08AB"/>
    <w:multiLevelType w:val="hybridMultilevel"/>
    <w:tmpl w:val="0B643D7A"/>
    <w:lvl w:ilvl="0" w:tplc="34C24C7A">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3" w15:restartNumberingAfterBreak="0">
    <w:nsid w:val="51EA5287"/>
    <w:multiLevelType w:val="hybridMultilevel"/>
    <w:tmpl w:val="8214AB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8513C"/>
    <w:multiLevelType w:val="hybridMultilevel"/>
    <w:tmpl w:val="1848F4C4"/>
    <w:lvl w:ilvl="0" w:tplc="A0766B44">
      <w:start w:val="5"/>
      <w:numFmt w:val="decimal"/>
      <w:lvlText w:val="%1"/>
      <w:lvlJc w:val="left"/>
      <w:pPr>
        <w:ind w:left="931" w:hanging="476"/>
      </w:pPr>
      <w:rPr>
        <w:rFonts w:hint="default"/>
        <w:lang w:val="en-US" w:eastAsia="en-US" w:bidi="ar-SA"/>
      </w:rPr>
    </w:lvl>
    <w:lvl w:ilvl="1" w:tplc="A7363168">
      <w:numFmt w:val="none"/>
      <w:lvlText w:val=""/>
      <w:lvlJc w:val="left"/>
      <w:pPr>
        <w:tabs>
          <w:tab w:val="num" w:pos="360"/>
        </w:tabs>
      </w:pPr>
    </w:lvl>
    <w:lvl w:ilvl="2" w:tplc="D2A49946">
      <w:numFmt w:val="bullet"/>
      <w:lvlText w:val=""/>
      <w:lvlJc w:val="left"/>
      <w:pPr>
        <w:ind w:left="1306" w:hanging="341"/>
      </w:pPr>
      <w:rPr>
        <w:rFonts w:ascii="Wingdings" w:eastAsia="Wingdings" w:hAnsi="Wingdings" w:cs="Wingdings" w:hint="default"/>
        <w:w w:val="100"/>
        <w:sz w:val="26"/>
        <w:szCs w:val="26"/>
        <w:lang w:val="en-US" w:eastAsia="en-US" w:bidi="ar-SA"/>
      </w:rPr>
    </w:lvl>
    <w:lvl w:ilvl="3" w:tplc="A4862D4C">
      <w:numFmt w:val="bullet"/>
      <w:lvlText w:val="•"/>
      <w:lvlJc w:val="left"/>
      <w:pPr>
        <w:ind w:left="3033" w:hanging="341"/>
      </w:pPr>
      <w:rPr>
        <w:rFonts w:hint="default"/>
        <w:lang w:val="en-US" w:eastAsia="en-US" w:bidi="ar-SA"/>
      </w:rPr>
    </w:lvl>
    <w:lvl w:ilvl="4" w:tplc="35F8CEFC">
      <w:numFmt w:val="bullet"/>
      <w:lvlText w:val="•"/>
      <w:lvlJc w:val="left"/>
      <w:pPr>
        <w:ind w:left="3900" w:hanging="341"/>
      </w:pPr>
      <w:rPr>
        <w:rFonts w:hint="default"/>
        <w:lang w:val="en-US" w:eastAsia="en-US" w:bidi="ar-SA"/>
      </w:rPr>
    </w:lvl>
    <w:lvl w:ilvl="5" w:tplc="11F0857C">
      <w:numFmt w:val="bullet"/>
      <w:lvlText w:val="•"/>
      <w:lvlJc w:val="left"/>
      <w:pPr>
        <w:ind w:left="4766" w:hanging="341"/>
      </w:pPr>
      <w:rPr>
        <w:rFonts w:hint="default"/>
        <w:lang w:val="en-US" w:eastAsia="en-US" w:bidi="ar-SA"/>
      </w:rPr>
    </w:lvl>
    <w:lvl w:ilvl="6" w:tplc="51883522">
      <w:numFmt w:val="bullet"/>
      <w:lvlText w:val="•"/>
      <w:lvlJc w:val="left"/>
      <w:pPr>
        <w:ind w:left="5633" w:hanging="341"/>
      </w:pPr>
      <w:rPr>
        <w:rFonts w:hint="default"/>
        <w:lang w:val="en-US" w:eastAsia="en-US" w:bidi="ar-SA"/>
      </w:rPr>
    </w:lvl>
    <w:lvl w:ilvl="7" w:tplc="C2B29F24">
      <w:numFmt w:val="bullet"/>
      <w:lvlText w:val="•"/>
      <w:lvlJc w:val="left"/>
      <w:pPr>
        <w:ind w:left="6500" w:hanging="341"/>
      </w:pPr>
      <w:rPr>
        <w:rFonts w:hint="default"/>
        <w:lang w:val="en-US" w:eastAsia="en-US" w:bidi="ar-SA"/>
      </w:rPr>
    </w:lvl>
    <w:lvl w:ilvl="8" w:tplc="A666017A">
      <w:numFmt w:val="bullet"/>
      <w:lvlText w:val="•"/>
      <w:lvlJc w:val="left"/>
      <w:pPr>
        <w:ind w:left="7366" w:hanging="341"/>
      </w:pPr>
      <w:rPr>
        <w:rFonts w:hint="default"/>
        <w:lang w:val="en-US" w:eastAsia="en-US" w:bidi="ar-SA"/>
      </w:rPr>
    </w:lvl>
  </w:abstractNum>
  <w:abstractNum w:abstractNumId="25" w15:restartNumberingAfterBreak="0">
    <w:nsid w:val="56FE21F7"/>
    <w:multiLevelType w:val="hybridMultilevel"/>
    <w:tmpl w:val="2C36723A"/>
    <w:lvl w:ilvl="0" w:tplc="0409000F">
      <w:start w:val="1"/>
      <w:numFmt w:val="decimal"/>
      <w:lvlText w:val="%1."/>
      <w:lvlJc w:val="left"/>
      <w:pPr>
        <w:ind w:left="720"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6" w15:restartNumberingAfterBreak="0">
    <w:nsid w:val="5A2C022C"/>
    <w:multiLevelType w:val="hybridMultilevel"/>
    <w:tmpl w:val="81EE2480"/>
    <w:lvl w:ilvl="0" w:tplc="5ACA832C">
      <w:start w:val="1"/>
      <w:numFmt w:val="arabicAbjad"/>
      <w:lvlText w:val="%1-"/>
      <w:lvlJc w:val="center"/>
      <w:pPr>
        <w:tabs>
          <w:tab w:val="num" w:pos="1429"/>
        </w:tabs>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EC16F02"/>
    <w:multiLevelType w:val="hybridMultilevel"/>
    <w:tmpl w:val="6442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0725D"/>
    <w:multiLevelType w:val="hybridMultilevel"/>
    <w:tmpl w:val="50785AD8"/>
    <w:lvl w:ilvl="0" w:tplc="A86E27F4">
      <w:start w:val="64"/>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3A80B9CC">
      <w:start w:val="1"/>
      <w:numFmt w:val="lowerLetter"/>
      <w:lvlText w:val="%2-"/>
      <w:lvlJc w:val="left"/>
      <w:pPr>
        <w:ind w:left="1133" w:hanging="341"/>
      </w:pPr>
      <w:rPr>
        <w:rFonts w:ascii="Times New Roman" w:eastAsia="Times New Roman" w:hAnsi="Times New Roman" w:cs="Times New Roman" w:hint="default"/>
        <w:b/>
        <w:bCs/>
        <w:spacing w:val="0"/>
        <w:w w:val="100"/>
        <w:sz w:val="26"/>
        <w:szCs w:val="26"/>
        <w:lang w:val="en-US" w:eastAsia="en-US" w:bidi="ar-SA"/>
      </w:rPr>
    </w:lvl>
    <w:lvl w:ilvl="2" w:tplc="5F8CE322">
      <w:numFmt w:val="bullet"/>
      <w:lvlText w:val="•"/>
      <w:lvlJc w:val="left"/>
      <w:pPr>
        <w:ind w:left="2024" w:hanging="341"/>
      </w:pPr>
      <w:rPr>
        <w:rFonts w:hint="default"/>
        <w:lang w:val="en-US" w:eastAsia="en-US" w:bidi="ar-SA"/>
      </w:rPr>
    </w:lvl>
    <w:lvl w:ilvl="3" w:tplc="3E2C8126">
      <w:numFmt w:val="bullet"/>
      <w:lvlText w:val="•"/>
      <w:lvlJc w:val="left"/>
      <w:pPr>
        <w:ind w:left="2908" w:hanging="341"/>
      </w:pPr>
      <w:rPr>
        <w:rFonts w:hint="default"/>
        <w:lang w:val="en-US" w:eastAsia="en-US" w:bidi="ar-SA"/>
      </w:rPr>
    </w:lvl>
    <w:lvl w:ilvl="4" w:tplc="2FE25A3E">
      <w:numFmt w:val="bullet"/>
      <w:lvlText w:val="•"/>
      <w:lvlJc w:val="left"/>
      <w:pPr>
        <w:ind w:left="3793" w:hanging="341"/>
      </w:pPr>
      <w:rPr>
        <w:rFonts w:hint="default"/>
        <w:lang w:val="en-US" w:eastAsia="en-US" w:bidi="ar-SA"/>
      </w:rPr>
    </w:lvl>
    <w:lvl w:ilvl="5" w:tplc="8216EDCA">
      <w:numFmt w:val="bullet"/>
      <w:lvlText w:val="•"/>
      <w:lvlJc w:val="left"/>
      <w:pPr>
        <w:ind w:left="4677" w:hanging="341"/>
      </w:pPr>
      <w:rPr>
        <w:rFonts w:hint="default"/>
        <w:lang w:val="en-US" w:eastAsia="en-US" w:bidi="ar-SA"/>
      </w:rPr>
    </w:lvl>
    <w:lvl w:ilvl="6" w:tplc="1C625E60">
      <w:numFmt w:val="bullet"/>
      <w:lvlText w:val="•"/>
      <w:lvlJc w:val="left"/>
      <w:pPr>
        <w:ind w:left="5562" w:hanging="341"/>
      </w:pPr>
      <w:rPr>
        <w:rFonts w:hint="default"/>
        <w:lang w:val="en-US" w:eastAsia="en-US" w:bidi="ar-SA"/>
      </w:rPr>
    </w:lvl>
    <w:lvl w:ilvl="7" w:tplc="24A2B040">
      <w:numFmt w:val="bullet"/>
      <w:lvlText w:val="•"/>
      <w:lvlJc w:val="left"/>
      <w:pPr>
        <w:ind w:left="6446" w:hanging="341"/>
      </w:pPr>
      <w:rPr>
        <w:rFonts w:hint="default"/>
        <w:lang w:val="en-US" w:eastAsia="en-US" w:bidi="ar-SA"/>
      </w:rPr>
    </w:lvl>
    <w:lvl w:ilvl="8" w:tplc="01126C2A">
      <w:numFmt w:val="bullet"/>
      <w:lvlText w:val="•"/>
      <w:lvlJc w:val="left"/>
      <w:pPr>
        <w:ind w:left="7331" w:hanging="341"/>
      </w:pPr>
      <w:rPr>
        <w:rFonts w:hint="default"/>
        <w:lang w:val="en-US" w:eastAsia="en-US" w:bidi="ar-SA"/>
      </w:rPr>
    </w:lvl>
  </w:abstractNum>
  <w:abstractNum w:abstractNumId="29" w15:restartNumberingAfterBreak="0">
    <w:nsid w:val="62064A0C"/>
    <w:multiLevelType w:val="multilevel"/>
    <w:tmpl w:val="791EF0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72F8F"/>
    <w:multiLevelType w:val="hybridMultilevel"/>
    <w:tmpl w:val="794836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4C2373"/>
    <w:multiLevelType w:val="hybridMultilevel"/>
    <w:tmpl w:val="3FE0CDA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2" w15:restartNumberingAfterBreak="0">
    <w:nsid w:val="702A3ACD"/>
    <w:multiLevelType w:val="multilevel"/>
    <w:tmpl w:val="396A138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F685B"/>
    <w:multiLevelType w:val="hybridMultilevel"/>
    <w:tmpl w:val="C454870A"/>
    <w:lvl w:ilvl="0" w:tplc="0682F7B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8662CA6"/>
    <w:multiLevelType w:val="hybridMultilevel"/>
    <w:tmpl w:val="47C6E01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5" w15:restartNumberingAfterBreak="0">
    <w:nsid w:val="797A0752"/>
    <w:multiLevelType w:val="hybridMultilevel"/>
    <w:tmpl w:val="0C7063E2"/>
    <w:lvl w:ilvl="0" w:tplc="52A05FB0">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54F8285C">
      <w:numFmt w:val="bullet"/>
      <w:lvlText w:val="•"/>
      <w:lvlJc w:val="left"/>
      <w:pPr>
        <w:ind w:left="1324" w:hanging="154"/>
      </w:pPr>
      <w:rPr>
        <w:rFonts w:hint="default"/>
        <w:lang w:val="en-US" w:eastAsia="en-US" w:bidi="ar-SA"/>
      </w:rPr>
    </w:lvl>
    <w:lvl w:ilvl="2" w:tplc="985A282E">
      <w:numFmt w:val="bullet"/>
      <w:lvlText w:val="•"/>
      <w:lvlJc w:val="left"/>
      <w:pPr>
        <w:ind w:left="2188" w:hanging="154"/>
      </w:pPr>
      <w:rPr>
        <w:rFonts w:hint="default"/>
        <w:lang w:val="en-US" w:eastAsia="en-US" w:bidi="ar-SA"/>
      </w:rPr>
    </w:lvl>
    <w:lvl w:ilvl="3" w:tplc="C46AB326">
      <w:numFmt w:val="bullet"/>
      <w:lvlText w:val="•"/>
      <w:lvlJc w:val="left"/>
      <w:pPr>
        <w:ind w:left="3052" w:hanging="154"/>
      </w:pPr>
      <w:rPr>
        <w:rFonts w:hint="default"/>
        <w:lang w:val="en-US" w:eastAsia="en-US" w:bidi="ar-SA"/>
      </w:rPr>
    </w:lvl>
    <w:lvl w:ilvl="4" w:tplc="65D628B6">
      <w:numFmt w:val="bullet"/>
      <w:lvlText w:val="•"/>
      <w:lvlJc w:val="left"/>
      <w:pPr>
        <w:ind w:left="3916" w:hanging="154"/>
      </w:pPr>
      <w:rPr>
        <w:rFonts w:hint="default"/>
        <w:lang w:val="en-US" w:eastAsia="en-US" w:bidi="ar-SA"/>
      </w:rPr>
    </w:lvl>
    <w:lvl w:ilvl="5" w:tplc="144853D8">
      <w:numFmt w:val="bullet"/>
      <w:lvlText w:val="•"/>
      <w:lvlJc w:val="left"/>
      <w:pPr>
        <w:ind w:left="4780" w:hanging="154"/>
      </w:pPr>
      <w:rPr>
        <w:rFonts w:hint="default"/>
        <w:lang w:val="en-US" w:eastAsia="en-US" w:bidi="ar-SA"/>
      </w:rPr>
    </w:lvl>
    <w:lvl w:ilvl="6" w:tplc="FDFC5FEE">
      <w:numFmt w:val="bullet"/>
      <w:lvlText w:val="•"/>
      <w:lvlJc w:val="left"/>
      <w:pPr>
        <w:ind w:left="5644" w:hanging="154"/>
      </w:pPr>
      <w:rPr>
        <w:rFonts w:hint="default"/>
        <w:lang w:val="en-US" w:eastAsia="en-US" w:bidi="ar-SA"/>
      </w:rPr>
    </w:lvl>
    <w:lvl w:ilvl="7" w:tplc="B896E9A0">
      <w:numFmt w:val="bullet"/>
      <w:lvlText w:val="•"/>
      <w:lvlJc w:val="left"/>
      <w:pPr>
        <w:ind w:left="6508" w:hanging="154"/>
      </w:pPr>
      <w:rPr>
        <w:rFonts w:hint="default"/>
        <w:lang w:val="en-US" w:eastAsia="en-US" w:bidi="ar-SA"/>
      </w:rPr>
    </w:lvl>
    <w:lvl w:ilvl="8" w:tplc="1C0AF770">
      <w:numFmt w:val="bullet"/>
      <w:lvlText w:val="•"/>
      <w:lvlJc w:val="left"/>
      <w:pPr>
        <w:ind w:left="7372" w:hanging="154"/>
      </w:pPr>
      <w:rPr>
        <w:rFonts w:hint="default"/>
        <w:lang w:val="en-US" w:eastAsia="en-US" w:bidi="ar-SA"/>
      </w:rPr>
    </w:lvl>
  </w:abstractNum>
  <w:abstractNum w:abstractNumId="36" w15:restartNumberingAfterBreak="0">
    <w:nsid w:val="7A7408CE"/>
    <w:multiLevelType w:val="multilevel"/>
    <w:tmpl w:val="DB3C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00F73"/>
    <w:multiLevelType w:val="hybridMultilevel"/>
    <w:tmpl w:val="601204BA"/>
    <w:lvl w:ilvl="0" w:tplc="9822E8D6">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tplc="F60CC5B0">
      <w:numFmt w:val="none"/>
      <w:lvlText w:val=""/>
      <w:lvlJc w:val="left"/>
      <w:pPr>
        <w:tabs>
          <w:tab w:val="num" w:pos="360"/>
        </w:tabs>
      </w:pPr>
    </w:lvl>
    <w:lvl w:ilvl="2" w:tplc="73063DFE">
      <w:numFmt w:val="none"/>
      <w:lvlText w:val=""/>
      <w:lvlJc w:val="left"/>
      <w:pPr>
        <w:tabs>
          <w:tab w:val="num" w:pos="360"/>
        </w:tabs>
      </w:pPr>
    </w:lvl>
    <w:lvl w:ilvl="3" w:tplc="BF4A1C0A">
      <w:numFmt w:val="bullet"/>
      <w:lvlText w:val="•"/>
      <w:lvlJc w:val="left"/>
      <w:pPr>
        <w:ind w:left="2100" w:hanging="644"/>
      </w:pPr>
      <w:rPr>
        <w:rFonts w:hint="default"/>
        <w:lang w:val="en-US" w:eastAsia="en-US" w:bidi="ar-SA"/>
      </w:rPr>
    </w:lvl>
    <w:lvl w:ilvl="4" w:tplc="F310715A">
      <w:numFmt w:val="bullet"/>
      <w:lvlText w:val="•"/>
      <w:lvlJc w:val="left"/>
      <w:pPr>
        <w:ind w:left="3100" w:hanging="644"/>
      </w:pPr>
      <w:rPr>
        <w:rFonts w:hint="default"/>
        <w:lang w:val="en-US" w:eastAsia="en-US" w:bidi="ar-SA"/>
      </w:rPr>
    </w:lvl>
    <w:lvl w:ilvl="5" w:tplc="1818CC48">
      <w:numFmt w:val="bullet"/>
      <w:lvlText w:val="•"/>
      <w:lvlJc w:val="left"/>
      <w:pPr>
        <w:ind w:left="4100" w:hanging="644"/>
      </w:pPr>
      <w:rPr>
        <w:rFonts w:hint="default"/>
        <w:lang w:val="en-US" w:eastAsia="en-US" w:bidi="ar-SA"/>
      </w:rPr>
    </w:lvl>
    <w:lvl w:ilvl="6" w:tplc="83EA0ABC">
      <w:numFmt w:val="bullet"/>
      <w:lvlText w:val="•"/>
      <w:lvlJc w:val="left"/>
      <w:pPr>
        <w:ind w:left="5100" w:hanging="644"/>
      </w:pPr>
      <w:rPr>
        <w:rFonts w:hint="default"/>
        <w:lang w:val="en-US" w:eastAsia="en-US" w:bidi="ar-SA"/>
      </w:rPr>
    </w:lvl>
    <w:lvl w:ilvl="7" w:tplc="1F7C5A58">
      <w:numFmt w:val="bullet"/>
      <w:lvlText w:val="•"/>
      <w:lvlJc w:val="left"/>
      <w:pPr>
        <w:ind w:left="6100" w:hanging="644"/>
      </w:pPr>
      <w:rPr>
        <w:rFonts w:hint="default"/>
        <w:lang w:val="en-US" w:eastAsia="en-US" w:bidi="ar-SA"/>
      </w:rPr>
    </w:lvl>
    <w:lvl w:ilvl="8" w:tplc="5B0A190C">
      <w:numFmt w:val="bullet"/>
      <w:lvlText w:val="•"/>
      <w:lvlJc w:val="left"/>
      <w:pPr>
        <w:ind w:left="7100" w:hanging="644"/>
      </w:pPr>
      <w:rPr>
        <w:rFonts w:hint="default"/>
        <w:lang w:val="en-US" w:eastAsia="en-US" w:bidi="ar-SA"/>
      </w:rPr>
    </w:lvl>
  </w:abstractNum>
  <w:abstractNum w:abstractNumId="38" w15:restartNumberingAfterBreak="0">
    <w:nsid w:val="7D55039E"/>
    <w:multiLevelType w:val="hybridMultilevel"/>
    <w:tmpl w:val="CC380C7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12"/>
  </w:num>
  <w:num w:numId="2">
    <w:abstractNumId w:val="5"/>
  </w:num>
  <w:num w:numId="3">
    <w:abstractNumId w:val="4"/>
  </w:num>
  <w:num w:numId="4">
    <w:abstractNumId w:val="0"/>
  </w:num>
  <w:num w:numId="5">
    <w:abstractNumId w:val="27"/>
  </w:num>
  <w:num w:numId="6">
    <w:abstractNumId w:val="23"/>
  </w:num>
  <w:num w:numId="7">
    <w:abstractNumId w:val="1"/>
  </w:num>
  <w:num w:numId="8">
    <w:abstractNumId w:val="25"/>
  </w:num>
  <w:num w:numId="9">
    <w:abstractNumId w:val="26"/>
  </w:num>
  <w:num w:numId="10">
    <w:abstractNumId w:val="21"/>
  </w:num>
  <w:num w:numId="11">
    <w:abstractNumId w:val="14"/>
  </w:num>
  <w:num w:numId="12">
    <w:abstractNumId w:val="31"/>
  </w:num>
  <w:num w:numId="13">
    <w:abstractNumId w:val="22"/>
  </w:num>
  <w:num w:numId="14">
    <w:abstractNumId w:val="34"/>
  </w:num>
  <w:num w:numId="15">
    <w:abstractNumId w:val="15"/>
  </w:num>
  <w:num w:numId="16">
    <w:abstractNumId w:val="13"/>
  </w:num>
  <w:num w:numId="17">
    <w:abstractNumId w:val="38"/>
  </w:num>
  <w:num w:numId="18">
    <w:abstractNumId w:val="20"/>
  </w:num>
  <w:num w:numId="19">
    <w:abstractNumId w:val="9"/>
  </w:num>
  <w:num w:numId="20">
    <w:abstractNumId w:val="29"/>
  </w:num>
  <w:num w:numId="21">
    <w:abstractNumId w:val="36"/>
  </w:num>
  <w:num w:numId="22">
    <w:abstractNumId w:val="7"/>
  </w:num>
  <w:num w:numId="23">
    <w:abstractNumId w:val="32"/>
  </w:num>
  <w:num w:numId="24">
    <w:abstractNumId w:val="30"/>
  </w:num>
  <w:num w:numId="25">
    <w:abstractNumId w:val="17"/>
  </w:num>
  <w:num w:numId="26">
    <w:abstractNumId w:val="8"/>
  </w:num>
  <w:num w:numId="27">
    <w:abstractNumId w:val="18"/>
  </w:num>
  <w:num w:numId="28">
    <w:abstractNumId w:val="6"/>
  </w:num>
  <w:num w:numId="29">
    <w:abstractNumId w:val="11"/>
  </w:num>
  <w:num w:numId="30">
    <w:abstractNumId w:val="3"/>
  </w:num>
  <w:num w:numId="31">
    <w:abstractNumId w:val="2"/>
  </w:num>
  <w:num w:numId="32">
    <w:abstractNumId w:val="28"/>
  </w:num>
  <w:num w:numId="33">
    <w:abstractNumId w:val="37"/>
  </w:num>
  <w:num w:numId="34">
    <w:abstractNumId w:val="35"/>
  </w:num>
  <w:num w:numId="35">
    <w:abstractNumId w:val="24"/>
  </w:num>
  <w:num w:numId="36">
    <w:abstractNumId w:val="33"/>
  </w:num>
  <w:num w:numId="37">
    <w:abstractNumId w:val="10"/>
  </w:num>
  <w:num w:numId="38">
    <w:abstractNumId w:val="1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1E6"/>
    <w:rsid w:val="00007C9E"/>
    <w:rsid w:val="0001089E"/>
    <w:rsid w:val="00011893"/>
    <w:rsid w:val="00012720"/>
    <w:rsid w:val="00012C42"/>
    <w:rsid w:val="00015986"/>
    <w:rsid w:val="00022606"/>
    <w:rsid w:val="00022829"/>
    <w:rsid w:val="00025A58"/>
    <w:rsid w:val="00025C21"/>
    <w:rsid w:val="00026DCA"/>
    <w:rsid w:val="00030B14"/>
    <w:rsid w:val="000336F7"/>
    <w:rsid w:val="00033E41"/>
    <w:rsid w:val="000341A2"/>
    <w:rsid w:val="000354EA"/>
    <w:rsid w:val="00036DFD"/>
    <w:rsid w:val="0003744B"/>
    <w:rsid w:val="00041C89"/>
    <w:rsid w:val="00045392"/>
    <w:rsid w:val="0005021E"/>
    <w:rsid w:val="00054125"/>
    <w:rsid w:val="00056716"/>
    <w:rsid w:val="000570F3"/>
    <w:rsid w:val="0006459D"/>
    <w:rsid w:val="00066696"/>
    <w:rsid w:val="00071090"/>
    <w:rsid w:val="00071A5E"/>
    <w:rsid w:val="0007231D"/>
    <w:rsid w:val="00073CE2"/>
    <w:rsid w:val="00076760"/>
    <w:rsid w:val="000806F9"/>
    <w:rsid w:val="0008130A"/>
    <w:rsid w:val="0008444B"/>
    <w:rsid w:val="0008530D"/>
    <w:rsid w:val="000859F7"/>
    <w:rsid w:val="000870F0"/>
    <w:rsid w:val="00087BC2"/>
    <w:rsid w:val="00091A53"/>
    <w:rsid w:val="00091B4C"/>
    <w:rsid w:val="0009622B"/>
    <w:rsid w:val="00097897"/>
    <w:rsid w:val="000A07C1"/>
    <w:rsid w:val="000A2311"/>
    <w:rsid w:val="000A4138"/>
    <w:rsid w:val="000A75A1"/>
    <w:rsid w:val="000B0657"/>
    <w:rsid w:val="000B4E2A"/>
    <w:rsid w:val="000B70EB"/>
    <w:rsid w:val="000C048D"/>
    <w:rsid w:val="000C1EE5"/>
    <w:rsid w:val="000C46C4"/>
    <w:rsid w:val="000C4C80"/>
    <w:rsid w:val="000E2517"/>
    <w:rsid w:val="000E3CD8"/>
    <w:rsid w:val="000E410D"/>
    <w:rsid w:val="000E7A61"/>
    <w:rsid w:val="000F3447"/>
    <w:rsid w:val="000F4BEC"/>
    <w:rsid w:val="000F5724"/>
    <w:rsid w:val="00100A9F"/>
    <w:rsid w:val="00103866"/>
    <w:rsid w:val="00103F22"/>
    <w:rsid w:val="0010507B"/>
    <w:rsid w:val="001063F4"/>
    <w:rsid w:val="001116F7"/>
    <w:rsid w:val="00113F77"/>
    <w:rsid w:val="001208A8"/>
    <w:rsid w:val="0012207E"/>
    <w:rsid w:val="0012402C"/>
    <w:rsid w:val="00124E09"/>
    <w:rsid w:val="00126CFF"/>
    <w:rsid w:val="001303E1"/>
    <w:rsid w:val="00130D3F"/>
    <w:rsid w:val="00132E18"/>
    <w:rsid w:val="0013441F"/>
    <w:rsid w:val="00134BBA"/>
    <w:rsid w:val="00135622"/>
    <w:rsid w:val="001363A3"/>
    <w:rsid w:val="001400FF"/>
    <w:rsid w:val="001416B9"/>
    <w:rsid w:val="00142938"/>
    <w:rsid w:val="00142FF4"/>
    <w:rsid w:val="001435C0"/>
    <w:rsid w:val="00147F5C"/>
    <w:rsid w:val="0015105B"/>
    <w:rsid w:val="001514F6"/>
    <w:rsid w:val="00154916"/>
    <w:rsid w:val="0016128E"/>
    <w:rsid w:val="00162A5C"/>
    <w:rsid w:val="001630E3"/>
    <w:rsid w:val="00163ED5"/>
    <w:rsid w:val="0016420C"/>
    <w:rsid w:val="00164FD7"/>
    <w:rsid w:val="00171B8C"/>
    <w:rsid w:val="001772D2"/>
    <w:rsid w:val="00177440"/>
    <w:rsid w:val="00182F53"/>
    <w:rsid w:val="00192845"/>
    <w:rsid w:val="00192AFC"/>
    <w:rsid w:val="00194133"/>
    <w:rsid w:val="00194D56"/>
    <w:rsid w:val="00195FC4"/>
    <w:rsid w:val="00196CA2"/>
    <w:rsid w:val="0019784C"/>
    <w:rsid w:val="001A1056"/>
    <w:rsid w:val="001A1281"/>
    <w:rsid w:val="001A60F2"/>
    <w:rsid w:val="001A63D2"/>
    <w:rsid w:val="001B119E"/>
    <w:rsid w:val="001B1737"/>
    <w:rsid w:val="001B2064"/>
    <w:rsid w:val="001B271A"/>
    <w:rsid w:val="001B3611"/>
    <w:rsid w:val="001B37E3"/>
    <w:rsid w:val="001B4D4F"/>
    <w:rsid w:val="001B66AB"/>
    <w:rsid w:val="001C13BB"/>
    <w:rsid w:val="001D0AE1"/>
    <w:rsid w:val="001D1586"/>
    <w:rsid w:val="001E550F"/>
    <w:rsid w:val="001E5781"/>
    <w:rsid w:val="001F1BF6"/>
    <w:rsid w:val="001F21A5"/>
    <w:rsid w:val="001F53F2"/>
    <w:rsid w:val="001F67FF"/>
    <w:rsid w:val="00200914"/>
    <w:rsid w:val="00200E1F"/>
    <w:rsid w:val="00200E5E"/>
    <w:rsid w:val="00201F70"/>
    <w:rsid w:val="002039B4"/>
    <w:rsid w:val="00217D2C"/>
    <w:rsid w:val="00220F70"/>
    <w:rsid w:val="00222F18"/>
    <w:rsid w:val="00222FCF"/>
    <w:rsid w:val="00224286"/>
    <w:rsid w:val="00226829"/>
    <w:rsid w:val="0022799C"/>
    <w:rsid w:val="00231610"/>
    <w:rsid w:val="002413AB"/>
    <w:rsid w:val="00243934"/>
    <w:rsid w:val="00252FCC"/>
    <w:rsid w:val="00255B23"/>
    <w:rsid w:val="00256FEF"/>
    <w:rsid w:val="0026179C"/>
    <w:rsid w:val="002630FD"/>
    <w:rsid w:val="002645AC"/>
    <w:rsid w:val="00267178"/>
    <w:rsid w:val="00270DF9"/>
    <w:rsid w:val="002771E6"/>
    <w:rsid w:val="002805C1"/>
    <w:rsid w:val="00280D19"/>
    <w:rsid w:val="00281C54"/>
    <w:rsid w:val="002937DE"/>
    <w:rsid w:val="00295D54"/>
    <w:rsid w:val="00296D20"/>
    <w:rsid w:val="002A306B"/>
    <w:rsid w:val="002A34B8"/>
    <w:rsid w:val="002A4664"/>
    <w:rsid w:val="002A5B0B"/>
    <w:rsid w:val="002B1841"/>
    <w:rsid w:val="002B5B20"/>
    <w:rsid w:val="002B7017"/>
    <w:rsid w:val="002C0F39"/>
    <w:rsid w:val="002C1686"/>
    <w:rsid w:val="002C3ABC"/>
    <w:rsid w:val="002C52A6"/>
    <w:rsid w:val="002C61D1"/>
    <w:rsid w:val="002D7D46"/>
    <w:rsid w:val="002E284D"/>
    <w:rsid w:val="002E3476"/>
    <w:rsid w:val="002E3699"/>
    <w:rsid w:val="002E4DC4"/>
    <w:rsid w:val="00307ACC"/>
    <w:rsid w:val="00311658"/>
    <w:rsid w:val="0031227A"/>
    <w:rsid w:val="00312ED7"/>
    <w:rsid w:val="00314A69"/>
    <w:rsid w:val="00314CBC"/>
    <w:rsid w:val="0032011A"/>
    <w:rsid w:val="00322F15"/>
    <w:rsid w:val="003260F8"/>
    <w:rsid w:val="00331BF7"/>
    <w:rsid w:val="00333C84"/>
    <w:rsid w:val="003347BA"/>
    <w:rsid w:val="00334CBD"/>
    <w:rsid w:val="00337391"/>
    <w:rsid w:val="00337D11"/>
    <w:rsid w:val="003559E1"/>
    <w:rsid w:val="0036021D"/>
    <w:rsid w:val="0036113F"/>
    <w:rsid w:val="003619E6"/>
    <w:rsid w:val="00366560"/>
    <w:rsid w:val="003706D2"/>
    <w:rsid w:val="00371798"/>
    <w:rsid w:val="00372667"/>
    <w:rsid w:val="00372FF7"/>
    <w:rsid w:val="003736AD"/>
    <w:rsid w:val="00375396"/>
    <w:rsid w:val="00377B2E"/>
    <w:rsid w:val="0038278B"/>
    <w:rsid w:val="00384166"/>
    <w:rsid w:val="0038463C"/>
    <w:rsid w:val="003908F2"/>
    <w:rsid w:val="00393760"/>
    <w:rsid w:val="00393B43"/>
    <w:rsid w:val="003947C6"/>
    <w:rsid w:val="003947E3"/>
    <w:rsid w:val="00395507"/>
    <w:rsid w:val="00397FCB"/>
    <w:rsid w:val="003A006C"/>
    <w:rsid w:val="003A27D6"/>
    <w:rsid w:val="003A3050"/>
    <w:rsid w:val="003C041A"/>
    <w:rsid w:val="003C0FA1"/>
    <w:rsid w:val="003C4060"/>
    <w:rsid w:val="003C4A95"/>
    <w:rsid w:val="003D2D8B"/>
    <w:rsid w:val="003D3E1D"/>
    <w:rsid w:val="003D50F9"/>
    <w:rsid w:val="003D64A4"/>
    <w:rsid w:val="003D67CF"/>
    <w:rsid w:val="003E00E2"/>
    <w:rsid w:val="003E02E5"/>
    <w:rsid w:val="003E097E"/>
    <w:rsid w:val="003E18A9"/>
    <w:rsid w:val="003E64E8"/>
    <w:rsid w:val="003F0188"/>
    <w:rsid w:val="003F025F"/>
    <w:rsid w:val="003F5884"/>
    <w:rsid w:val="00400138"/>
    <w:rsid w:val="00400DCD"/>
    <w:rsid w:val="004027C9"/>
    <w:rsid w:val="00402B9D"/>
    <w:rsid w:val="00405464"/>
    <w:rsid w:val="00407AA3"/>
    <w:rsid w:val="00407EE2"/>
    <w:rsid w:val="00411652"/>
    <w:rsid w:val="0042012F"/>
    <w:rsid w:val="00421795"/>
    <w:rsid w:val="00427681"/>
    <w:rsid w:val="004326D4"/>
    <w:rsid w:val="004349CE"/>
    <w:rsid w:val="00434D3C"/>
    <w:rsid w:val="00442337"/>
    <w:rsid w:val="00444B00"/>
    <w:rsid w:val="0045021D"/>
    <w:rsid w:val="00450A4E"/>
    <w:rsid w:val="00453967"/>
    <w:rsid w:val="00455268"/>
    <w:rsid w:val="00455B25"/>
    <w:rsid w:val="00456531"/>
    <w:rsid w:val="00461355"/>
    <w:rsid w:val="00461F0D"/>
    <w:rsid w:val="00464659"/>
    <w:rsid w:val="004653B0"/>
    <w:rsid w:val="00474201"/>
    <w:rsid w:val="004770DF"/>
    <w:rsid w:val="00480594"/>
    <w:rsid w:val="00480F69"/>
    <w:rsid w:val="00482C2C"/>
    <w:rsid w:val="00484B2C"/>
    <w:rsid w:val="004859D6"/>
    <w:rsid w:val="004867D5"/>
    <w:rsid w:val="00490169"/>
    <w:rsid w:val="00490854"/>
    <w:rsid w:val="00491F64"/>
    <w:rsid w:val="004927AE"/>
    <w:rsid w:val="004A1574"/>
    <w:rsid w:val="004A1E9F"/>
    <w:rsid w:val="004A2A43"/>
    <w:rsid w:val="004B02FD"/>
    <w:rsid w:val="004B1BCC"/>
    <w:rsid w:val="004B4331"/>
    <w:rsid w:val="004B51BE"/>
    <w:rsid w:val="004B67A5"/>
    <w:rsid w:val="004B6C37"/>
    <w:rsid w:val="004C0F72"/>
    <w:rsid w:val="004C2050"/>
    <w:rsid w:val="004C520E"/>
    <w:rsid w:val="004C75D9"/>
    <w:rsid w:val="004D0EAB"/>
    <w:rsid w:val="004D185D"/>
    <w:rsid w:val="004D19DB"/>
    <w:rsid w:val="004D1DE5"/>
    <w:rsid w:val="004D3459"/>
    <w:rsid w:val="004D362F"/>
    <w:rsid w:val="004D40AE"/>
    <w:rsid w:val="004D5C18"/>
    <w:rsid w:val="004D76E9"/>
    <w:rsid w:val="004F4B66"/>
    <w:rsid w:val="004F52E6"/>
    <w:rsid w:val="004F58DF"/>
    <w:rsid w:val="004F5C62"/>
    <w:rsid w:val="005122B7"/>
    <w:rsid w:val="005170D1"/>
    <w:rsid w:val="00517D38"/>
    <w:rsid w:val="00521873"/>
    <w:rsid w:val="00522BD6"/>
    <w:rsid w:val="00524821"/>
    <w:rsid w:val="00530952"/>
    <w:rsid w:val="0053345A"/>
    <w:rsid w:val="005347CE"/>
    <w:rsid w:val="00534FA0"/>
    <w:rsid w:val="00537B2F"/>
    <w:rsid w:val="00537FB9"/>
    <w:rsid w:val="00540919"/>
    <w:rsid w:val="0054718D"/>
    <w:rsid w:val="005535C6"/>
    <w:rsid w:val="00556DCA"/>
    <w:rsid w:val="00564BF6"/>
    <w:rsid w:val="00566B04"/>
    <w:rsid w:val="0056756A"/>
    <w:rsid w:val="00571954"/>
    <w:rsid w:val="005728C4"/>
    <w:rsid w:val="005733AD"/>
    <w:rsid w:val="0058233C"/>
    <w:rsid w:val="00582C00"/>
    <w:rsid w:val="00582FEA"/>
    <w:rsid w:val="005836A7"/>
    <w:rsid w:val="0059233B"/>
    <w:rsid w:val="00592C81"/>
    <w:rsid w:val="005969EB"/>
    <w:rsid w:val="005A1F22"/>
    <w:rsid w:val="005A32FB"/>
    <w:rsid w:val="005A3EC8"/>
    <w:rsid w:val="005B18A4"/>
    <w:rsid w:val="005B1E10"/>
    <w:rsid w:val="005C00AF"/>
    <w:rsid w:val="005C339B"/>
    <w:rsid w:val="005C654E"/>
    <w:rsid w:val="005C68AE"/>
    <w:rsid w:val="005D123C"/>
    <w:rsid w:val="005D579A"/>
    <w:rsid w:val="005D59C6"/>
    <w:rsid w:val="005D66CA"/>
    <w:rsid w:val="005E2C4C"/>
    <w:rsid w:val="005E3040"/>
    <w:rsid w:val="005E670C"/>
    <w:rsid w:val="005E774D"/>
    <w:rsid w:val="006034C6"/>
    <w:rsid w:val="00603F56"/>
    <w:rsid w:val="006040B7"/>
    <w:rsid w:val="00607EE6"/>
    <w:rsid w:val="00610489"/>
    <w:rsid w:val="00613144"/>
    <w:rsid w:val="00614902"/>
    <w:rsid w:val="0061691F"/>
    <w:rsid w:val="00625C9C"/>
    <w:rsid w:val="00631060"/>
    <w:rsid w:val="00632D1D"/>
    <w:rsid w:val="00634EE7"/>
    <w:rsid w:val="0063632F"/>
    <w:rsid w:val="00642F73"/>
    <w:rsid w:val="00645F8D"/>
    <w:rsid w:val="00647C39"/>
    <w:rsid w:val="00651037"/>
    <w:rsid w:val="006552F9"/>
    <w:rsid w:val="00660133"/>
    <w:rsid w:val="006627A6"/>
    <w:rsid w:val="0066385F"/>
    <w:rsid w:val="006639D1"/>
    <w:rsid w:val="0066640F"/>
    <w:rsid w:val="006705C1"/>
    <w:rsid w:val="006733ED"/>
    <w:rsid w:val="00675227"/>
    <w:rsid w:val="006775CC"/>
    <w:rsid w:val="00680F88"/>
    <w:rsid w:val="00687C5A"/>
    <w:rsid w:val="00691EC7"/>
    <w:rsid w:val="00692BD2"/>
    <w:rsid w:val="00694E38"/>
    <w:rsid w:val="00695D8C"/>
    <w:rsid w:val="00697B98"/>
    <w:rsid w:val="006A1DCB"/>
    <w:rsid w:val="006A56AA"/>
    <w:rsid w:val="006A7034"/>
    <w:rsid w:val="006B04A8"/>
    <w:rsid w:val="006B0702"/>
    <w:rsid w:val="006B4D94"/>
    <w:rsid w:val="006B55F3"/>
    <w:rsid w:val="006C0FA5"/>
    <w:rsid w:val="006C21E7"/>
    <w:rsid w:val="006D024E"/>
    <w:rsid w:val="006D0B8E"/>
    <w:rsid w:val="006D1E4B"/>
    <w:rsid w:val="006D27D3"/>
    <w:rsid w:val="006D4D8D"/>
    <w:rsid w:val="006D6E9F"/>
    <w:rsid w:val="006D75AC"/>
    <w:rsid w:val="006E3D97"/>
    <w:rsid w:val="006E78B7"/>
    <w:rsid w:val="006E7F86"/>
    <w:rsid w:val="006F06DA"/>
    <w:rsid w:val="006F1D40"/>
    <w:rsid w:val="006F2CC1"/>
    <w:rsid w:val="006F781C"/>
    <w:rsid w:val="00700BCA"/>
    <w:rsid w:val="00701CEA"/>
    <w:rsid w:val="00701DFC"/>
    <w:rsid w:val="00702BF9"/>
    <w:rsid w:val="00704BA2"/>
    <w:rsid w:val="00705ECE"/>
    <w:rsid w:val="0070732D"/>
    <w:rsid w:val="00707665"/>
    <w:rsid w:val="00716665"/>
    <w:rsid w:val="00716A7C"/>
    <w:rsid w:val="00716CB3"/>
    <w:rsid w:val="00723042"/>
    <w:rsid w:val="00723C39"/>
    <w:rsid w:val="007257EF"/>
    <w:rsid w:val="00730AF4"/>
    <w:rsid w:val="00731337"/>
    <w:rsid w:val="00733016"/>
    <w:rsid w:val="00737D69"/>
    <w:rsid w:val="00737D6D"/>
    <w:rsid w:val="0074111D"/>
    <w:rsid w:val="007439B8"/>
    <w:rsid w:val="007442CE"/>
    <w:rsid w:val="007503BD"/>
    <w:rsid w:val="00750A74"/>
    <w:rsid w:val="00752639"/>
    <w:rsid w:val="007527B4"/>
    <w:rsid w:val="007542E2"/>
    <w:rsid w:val="00754A5C"/>
    <w:rsid w:val="00755309"/>
    <w:rsid w:val="00756BFC"/>
    <w:rsid w:val="00763A65"/>
    <w:rsid w:val="00766574"/>
    <w:rsid w:val="0077095C"/>
    <w:rsid w:val="007722BE"/>
    <w:rsid w:val="00774F35"/>
    <w:rsid w:val="007751A6"/>
    <w:rsid w:val="00776CFD"/>
    <w:rsid w:val="00777C13"/>
    <w:rsid w:val="007803D6"/>
    <w:rsid w:val="007824BB"/>
    <w:rsid w:val="00783763"/>
    <w:rsid w:val="00783B63"/>
    <w:rsid w:val="007847FE"/>
    <w:rsid w:val="0079209B"/>
    <w:rsid w:val="0079482E"/>
    <w:rsid w:val="00794EF2"/>
    <w:rsid w:val="007976D1"/>
    <w:rsid w:val="007A1B11"/>
    <w:rsid w:val="007A68D3"/>
    <w:rsid w:val="007A7DA3"/>
    <w:rsid w:val="007B00C9"/>
    <w:rsid w:val="007B0107"/>
    <w:rsid w:val="007B0193"/>
    <w:rsid w:val="007B05FA"/>
    <w:rsid w:val="007B06DB"/>
    <w:rsid w:val="007B088E"/>
    <w:rsid w:val="007B0A94"/>
    <w:rsid w:val="007B3F65"/>
    <w:rsid w:val="007B7499"/>
    <w:rsid w:val="007C004C"/>
    <w:rsid w:val="007C085D"/>
    <w:rsid w:val="007C4A9A"/>
    <w:rsid w:val="007C4D56"/>
    <w:rsid w:val="007C6250"/>
    <w:rsid w:val="007D0F97"/>
    <w:rsid w:val="007D22E8"/>
    <w:rsid w:val="007D6F63"/>
    <w:rsid w:val="007E0331"/>
    <w:rsid w:val="007E461C"/>
    <w:rsid w:val="007F0807"/>
    <w:rsid w:val="007F1178"/>
    <w:rsid w:val="007F3331"/>
    <w:rsid w:val="007F58E1"/>
    <w:rsid w:val="007F6AF1"/>
    <w:rsid w:val="007F7A59"/>
    <w:rsid w:val="00800B6F"/>
    <w:rsid w:val="00804BB4"/>
    <w:rsid w:val="00805A7B"/>
    <w:rsid w:val="00807048"/>
    <w:rsid w:val="0081305C"/>
    <w:rsid w:val="008142FE"/>
    <w:rsid w:val="00815CDC"/>
    <w:rsid w:val="00816482"/>
    <w:rsid w:val="00817C28"/>
    <w:rsid w:val="00823887"/>
    <w:rsid w:val="00823A48"/>
    <w:rsid w:val="00826A03"/>
    <w:rsid w:val="00832AC2"/>
    <w:rsid w:val="00832EFE"/>
    <w:rsid w:val="00833116"/>
    <w:rsid w:val="008357D3"/>
    <w:rsid w:val="0084286B"/>
    <w:rsid w:val="008437EB"/>
    <w:rsid w:val="00844782"/>
    <w:rsid w:val="0084544E"/>
    <w:rsid w:val="00845C7C"/>
    <w:rsid w:val="0084732D"/>
    <w:rsid w:val="00850421"/>
    <w:rsid w:val="008541FB"/>
    <w:rsid w:val="0085533E"/>
    <w:rsid w:val="00863495"/>
    <w:rsid w:val="00864B08"/>
    <w:rsid w:val="008664E4"/>
    <w:rsid w:val="00867F98"/>
    <w:rsid w:val="0087242E"/>
    <w:rsid w:val="00873857"/>
    <w:rsid w:val="00876263"/>
    <w:rsid w:val="00876E09"/>
    <w:rsid w:val="008776FA"/>
    <w:rsid w:val="00877B2F"/>
    <w:rsid w:val="00881293"/>
    <w:rsid w:val="008874D0"/>
    <w:rsid w:val="00891FE4"/>
    <w:rsid w:val="00896023"/>
    <w:rsid w:val="0089749F"/>
    <w:rsid w:val="00897600"/>
    <w:rsid w:val="008A1C8E"/>
    <w:rsid w:val="008A225B"/>
    <w:rsid w:val="008A248F"/>
    <w:rsid w:val="008A26A1"/>
    <w:rsid w:val="008A34A0"/>
    <w:rsid w:val="008A4452"/>
    <w:rsid w:val="008B25CE"/>
    <w:rsid w:val="008C2644"/>
    <w:rsid w:val="008C3E0B"/>
    <w:rsid w:val="008C44CC"/>
    <w:rsid w:val="008C6AD2"/>
    <w:rsid w:val="008E0B90"/>
    <w:rsid w:val="008E0FDE"/>
    <w:rsid w:val="008E3A4E"/>
    <w:rsid w:val="008E48B2"/>
    <w:rsid w:val="008E5101"/>
    <w:rsid w:val="008E7F6B"/>
    <w:rsid w:val="008F4CBE"/>
    <w:rsid w:val="008F750F"/>
    <w:rsid w:val="0090220A"/>
    <w:rsid w:val="0090534F"/>
    <w:rsid w:val="009122C0"/>
    <w:rsid w:val="009123D5"/>
    <w:rsid w:val="009128BA"/>
    <w:rsid w:val="00912AB7"/>
    <w:rsid w:val="00913525"/>
    <w:rsid w:val="0091563C"/>
    <w:rsid w:val="0091587E"/>
    <w:rsid w:val="00916D58"/>
    <w:rsid w:val="009211EA"/>
    <w:rsid w:val="00921F02"/>
    <w:rsid w:val="0092211C"/>
    <w:rsid w:val="00930E8E"/>
    <w:rsid w:val="00931348"/>
    <w:rsid w:val="0093443B"/>
    <w:rsid w:val="0093574D"/>
    <w:rsid w:val="00937523"/>
    <w:rsid w:val="00940B71"/>
    <w:rsid w:val="00940C07"/>
    <w:rsid w:val="0094197F"/>
    <w:rsid w:val="009475F8"/>
    <w:rsid w:val="00947A8A"/>
    <w:rsid w:val="00950551"/>
    <w:rsid w:val="00952173"/>
    <w:rsid w:val="009530DF"/>
    <w:rsid w:val="00957D1E"/>
    <w:rsid w:val="00962736"/>
    <w:rsid w:val="009629B5"/>
    <w:rsid w:val="00967F94"/>
    <w:rsid w:val="00971666"/>
    <w:rsid w:val="0097202B"/>
    <w:rsid w:val="0097241A"/>
    <w:rsid w:val="00973A8F"/>
    <w:rsid w:val="00975A0D"/>
    <w:rsid w:val="00980D78"/>
    <w:rsid w:val="00981615"/>
    <w:rsid w:val="00981ADA"/>
    <w:rsid w:val="009825C6"/>
    <w:rsid w:val="0098382D"/>
    <w:rsid w:val="00983A9C"/>
    <w:rsid w:val="00985317"/>
    <w:rsid w:val="00986515"/>
    <w:rsid w:val="00990312"/>
    <w:rsid w:val="009921EF"/>
    <w:rsid w:val="00993B1E"/>
    <w:rsid w:val="009A266A"/>
    <w:rsid w:val="009A73FE"/>
    <w:rsid w:val="009B524B"/>
    <w:rsid w:val="009B5B08"/>
    <w:rsid w:val="009C28A6"/>
    <w:rsid w:val="009C719F"/>
    <w:rsid w:val="009C7823"/>
    <w:rsid w:val="009C7D68"/>
    <w:rsid w:val="009D0934"/>
    <w:rsid w:val="009D2DB3"/>
    <w:rsid w:val="009D5155"/>
    <w:rsid w:val="009D62B3"/>
    <w:rsid w:val="009D6800"/>
    <w:rsid w:val="009E06C1"/>
    <w:rsid w:val="009E0E02"/>
    <w:rsid w:val="009E1701"/>
    <w:rsid w:val="009F0BBE"/>
    <w:rsid w:val="009F25FC"/>
    <w:rsid w:val="009F2E6A"/>
    <w:rsid w:val="009F3F08"/>
    <w:rsid w:val="009F4A90"/>
    <w:rsid w:val="009F53A0"/>
    <w:rsid w:val="00A0489F"/>
    <w:rsid w:val="00A07902"/>
    <w:rsid w:val="00A10986"/>
    <w:rsid w:val="00A11EA5"/>
    <w:rsid w:val="00A12E66"/>
    <w:rsid w:val="00A17587"/>
    <w:rsid w:val="00A17837"/>
    <w:rsid w:val="00A20A22"/>
    <w:rsid w:val="00A22758"/>
    <w:rsid w:val="00A249B6"/>
    <w:rsid w:val="00A2539C"/>
    <w:rsid w:val="00A25D0D"/>
    <w:rsid w:val="00A26176"/>
    <w:rsid w:val="00A330C9"/>
    <w:rsid w:val="00A41768"/>
    <w:rsid w:val="00A43BD1"/>
    <w:rsid w:val="00A454B4"/>
    <w:rsid w:val="00A473BF"/>
    <w:rsid w:val="00A47BC9"/>
    <w:rsid w:val="00A5460C"/>
    <w:rsid w:val="00A547CC"/>
    <w:rsid w:val="00A54F58"/>
    <w:rsid w:val="00A54F9D"/>
    <w:rsid w:val="00A61B25"/>
    <w:rsid w:val="00A63003"/>
    <w:rsid w:val="00A63CFB"/>
    <w:rsid w:val="00A67477"/>
    <w:rsid w:val="00A67492"/>
    <w:rsid w:val="00A67E37"/>
    <w:rsid w:val="00A73EBD"/>
    <w:rsid w:val="00A75DE6"/>
    <w:rsid w:val="00A764DB"/>
    <w:rsid w:val="00A77050"/>
    <w:rsid w:val="00A82DB7"/>
    <w:rsid w:val="00A83A81"/>
    <w:rsid w:val="00A8402B"/>
    <w:rsid w:val="00A8404A"/>
    <w:rsid w:val="00A84205"/>
    <w:rsid w:val="00A84411"/>
    <w:rsid w:val="00A858C1"/>
    <w:rsid w:val="00A8756C"/>
    <w:rsid w:val="00A935B6"/>
    <w:rsid w:val="00AA6A4E"/>
    <w:rsid w:val="00AA7CA1"/>
    <w:rsid w:val="00AB146E"/>
    <w:rsid w:val="00AB2315"/>
    <w:rsid w:val="00AB259E"/>
    <w:rsid w:val="00AB7870"/>
    <w:rsid w:val="00AC017F"/>
    <w:rsid w:val="00AC1ACD"/>
    <w:rsid w:val="00AC4386"/>
    <w:rsid w:val="00AC556E"/>
    <w:rsid w:val="00AC7A60"/>
    <w:rsid w:val="00AD0742"/>
    <w:rsid w:val="00AE3614"/>
    <w:rsid w:val="00AE3A70"/>
    <w:rsid w:val="00AE5781"/>
    <w:rsid w:val="00AE5A16"/>
    <w:rsid w:val="00AF0CF4"/>
    <w:rsid w:val="00AF1C8D"/>
    <w:rsid w:val="00AF2E25"/>
    <w:rsid w:val="00AF5ACF"/>
    <w:rsid w:val="00AF6B53"/>
    <w:rsid w:val="00AF70A2"/>
    <w:rsid w:val="00B0142B"/>
    <w:rsid w:val="00B01FE5"/>
    <w:rsid w:val="00B0311D"/>
    <w:rsid w:val="00B04120"/>
    <w:rsid w:val="00B05E3A"/>
    <w:rsid w:val="00B05E52"/>
    <w:rsid w:val="00B0756A"/>
    <w:rsid w:val="00B0776C"/>
    <w:rsid w:val="00B10F8D"/>
    <w:rsid w:val="00B11426"/>
    <w:rsid w:val="00B20632"/>
    <w:rsid w:val="00B227D4"/>
    <w:rsid w:val="00B24BFB"/>
    <w:rsid w:val="00B24ECA"/>
    <w:rsid w:val="00B27CFB"/>
    <w:rsid w:val="00B400E3"/>
    <w:rsid w:val="00B40610"/>
    <w:rsid w:val="00B40673"/>
    <w:rsid w:val="00B44BFB"/>
    <w:rsid w:val="00B61967"/>
    <w:rsid w:val="00B70E8C"/>
    <w:rsid w:val="00B71F7E"/>
    <w:rsid w:val="00B77030"/>
    <w:rsid w:val="00B808B5"/>
    <w:rsid w:val="00B81408"/>
    <w:rsid w:val="00B83928"/>
    <w:rsid w:val="00B900B8"/>
    <w:rsid w:val="00B936AE"/>
    <w:rsid w:val="00B9385E"/>
    <w:rsid w:val="00B93F16"/>
    <w:rsid w:val="00B96D77"/>
    <w:rsid w:val="00B97DD2"/>
    <w:rsid w:val="00BA0D91"/>
    <w:rsid w:val="00BA455A"/>
    <w:rsid w:val="00BA6988"/>
    <w:rsid w:val="00BA7AA9"/>
    <w:rsid w:val="00BA7C72"/>
    <w:rsid w:val="00BB71F2"/>
    <w:rsid w:val="00BC5D8C"/>
    <w:rsid w:val="00BC671C"/>
    <w:rsid w:val="00BD0035"/>
    <w:rsid w:val="00BD25CA"/>
    <w:rsid w:val="00BD3FAF"/>
    <w:rsid w:val="00BD4AC1"/>
    <w:rsid w:val="00BD528F"/>
    <w:rsid w:val="00BD5DA0"/>
    <w:rsid w:val="00BE166D"/>
    <w:rsid w:val="00BE20BC"/>
    <w:rsid w:val="00BF0490"/>
    <w:rsid w:val="00BF2E51"/>
    <w:rsid w:val="00BF3EAC"/>
    <w:rsid w:val="00BF6FF3"/>
    <w:rsid w:val="00C10DD5"/>
    <w:rsid w:val="00C132DB"/>
    <w:rsid w:val="00C15CAA"/>
    <w:rsid w:val="00C17163"/>
    <w:rsid w:val="00C17A08"/>
    <w:rsid w:val="00C2210F"/>
    <w:rsid w:val="00C250E3"/>
    <w:rsid w:val="00C2595A"/>
    <w:rsid w:val="00C33A2E"/>
    <w:rsid w:val="00C3714D"/>
    <w:rsid w:val="00C43D81"/>
    <w:rsid w:val="00C476FB"/>
    <w:rsid w:val="00C50C66"/>
    <w:rsid w:val="00C56EC5"/>
    <w:rsid w:val="00C63822"/>
    <w:rsid w:val="00C64BDF"/>
    <w:rsid w:val="00C650B9"/>
    <w:rsid w:val="00C65AF4"/>
    <w:rsid w:val="00C661A5"/>
    <w:rsid w:val="00C72515"/>
    <w:rsid w:val="00C770E1"/>
    <w:rsid w:val="00C77D09"/>
    <w:rsid w:val="00C90F99"/>
    <w:rsid w:val="00C9306B"/>
    <w:rsid w:val="00C935B2"/>
    <w:rsid w:val="00C93D43"/>
    <w:rsid w:val="00CA2C0D"/>
    <w:rsid w:val="00CA468E"/>
    <w:rsid w:val="00CA7A50"/>
    <w:rsid w:val="00CB2994"/>
    <w:rsid w:val="00CB613D"/>
    <w:rsid w:val="00CC0A54"/>
    <w:rsid w:val="00CC2DCE"/>
    <w:rsid w:val="00CC6FDE"/>
    <w:rsid w:val="00CD1AEE"/>
    <w:rsid w:val="00CE4B9D"/>
    <w:rsid w:val="00CE5324"/>
    <w:rsid w:val="00CE7444"/>
    <w:rsid w:val="00CF6EFC"/>
    <w:rsid w:val="00D02FA5"/>
    <w:rsid w:val="00D067F3"/>
    <w:rsid w:val="00D16B92"/>
    <w:rsid w:val="00D20549"/>
    <w:rsid w:val="00D2097E"/>
    <w:rsid w:val="00D22B53"/>
    <w:rsid w:val="00D251A2"/>
    <w:rsid w:val="00D330A7"/>
    <w:rsid w:val="00D34DD5"/>
    <w:rsid w:val="00D41BF5"/>
    <w:rsid w:val="00D471F6"/>
    <w:rsid w:val="00D50398"/>
    <w:rsid w:val="00D50948"/>
    <w:rsid w:val="00D533EA"/>
    <w:rsid w:val="00D568BD"/>
    <w:rsid w:val="00D60464"/>
    <w:rsid w:val="00D63DB8"/>
    <w:rsid w:val="00D70879"/>
    <w:rsid w:val="00D737D6"/>
    <w:rsid w:val="00D83719"/>
    <w:rsid w:val="00D84365"/>
    <w:rsid w:val="00D8629A"/>
    <w:rsid w:val="00D901D7"/>
    <w:rsid w:val="00D90ACB"/>
    <w:rsid w:val="00D972CE"/>
    <w:rsid w:val="00DA0BD5"/>
    <w:rsid w:val="00DA1B0A"/>
    <w:rsid w:val="00DA284D"/>
    <w:rsid w:val="00DA4957"/>
    <w:rsid w:val="00DB5BB8"/>
    <w:rsid w:val="00DB6EC9"/>
    <w:rsid w:val="00DC088B"/>
    <w:rsid w:val="00DC0D12"/>
    <w:rsid w:val="00DC2134"/>
    <w:rsid w:val="00DC3EC2"/>
    <w:rsid w:val="00DD036B"/>
    <w:rsid w:val="00DD2418"/>
    <w:rsid w:val="00DD27E8"/>
    <w:rsid w:val="00DD2987"/>
    <w:rsid w:val="00DD3E3B"/>
    <w:rsid w:val="00DE20CC"/>
    <w:rsid w:val="00DE3C88"/>
    <w:rsid w:val="00DE5123"/>
    <w:rsid w:val="00DE7A52"/>
    <w:rsid w:val="00DF11A5"/>
    <w:rsid w:val="00DF1E5F"/>
    <w:rsid w:val="00DF4804"/>
    <w:rsid w:val="00DF4F30"/>
    <w:rsid w:val="00DF61E9"/>
    <w:rsid w:val="00DF6263"/>
    <w:rsid w:val="00DF76F7"/>
    <w:rsid w:val="00E002C5"/>
    <w:rsid w:val="00E01E99"/>
    <w:rsid w:val="00E039A9"/>
    <w:rsid w:val="00E132FE"/>
    <w:rsid w:val="00E1630D"/>
    <w:rsid w:val="00E17CFB"/>
    <w:rsid w:val="00E202E6"/>
    <w:rsid w:val="00E211E5"/>
    <w:rsid w:val="00E2300C"/>
    <w:rsid w:val="00E23536"/>
    <w:rsid w:val="00E23C66"/>
    <w:rsid w:val="00E26C26"/>
    <w:rsid w:val="00E27466"/>
    <w:rsid w:val="00E32D7F"/>
    <w:rsid w:val="00E33FF7"/>
    <w:rsid w:val="00E35035"/>
    <w:rsid w:val="00E367EE"/>
    <w:rsid w:val="00E404DD"/>
    <w:rsid w:val="00E413AF"/>
    <w:rsid w:val="00E417B2"/>
    <w:rsid w:val="00E438FB"/>
    <w:rsid w:val="00E4555E"/>
    <w:rsid w:val="00E460A3"/>
    <w:rsid w:val="00E46EE2"/>
    <w:rsid w:val="00E5079E"/>
    <w:rsid w:val="00E50DC1"/>
    <w:rsid w:val="00E510DE"/>
    <w:rsid w:val="00E56174"/>
    <w:rsid w:val="00E56207"/>
    <w:rsid w:val="00E57588"/>
    <w:rsid w:val="00E62083"/>
    <w:rsid w:val="00E6418A"/>
    <w:rsid w:val="00E7298B"/>
    <w:rsid w:val="00E72BE9"/>
    <w:rsid w:val="00E75C2A"/>
    <w:rsid w:val="00E806A3"/>
    <w:rsid w:val="00E82E36"/>
    <w:rsid w:val="00E9772B"/>
    <w:rsid w:val="00EA2949"/>
    <w:rsid w:val="00EA3DBF"/>
    <w:rsid w:val="00EA75CA"/>
    <w:rsid w:val="00EB275A"/>
    <w:rsid w:val="00EB59A2"/>
    <w:rsid w:val="00EB6083"/>
    <w:rsid w:val="00EC5240"/>
    <w:rsid w:val="00EC6DED"/>
    <w:rsid w:val="00ED0353"/>
    <w:rsid w:val="00ED1FAF"/>
    <w:rsid w:val="00ED2E3B"/>
    <w:rsid w:val="00ED54B2"/>
    <w:rsid w:val="00EE17D8"/>
    <w:rsid w:val="00EF01B9"/>
    <w:rsid w:val="00EF0464"/>
    <w:rsid w:val="00EF04A2"/>
    <w:rsid w:val="00EF3C5F"/>
    <w:rsid w:val="00EF58C6"/>
    <w:rsid w:val="00F011E1"/>
    <w:rsid w:val="00F079CF"/>
    <w:rsid w:val="00F11E90"/>
    <w:rsid w:val="00F179D1"/>
    <w:rsid w:val="00F20589"/>
    <w:rsid w:val="00F20F13"/>
    <w:rsid w:val="00F219EF"/>
    <w:rsid w:val="00F22B8E"/>
    <w:rsid w:val="00F264A7"/>
    <w:rsid w:val="00F2744A"/>
    <w:rsid w:val="00F30509"/>
    <w:rsid w:val="00F31844"/>
    <w:rsid w:val="00F35084"/>
    <w:rsid w:val="00F40B03"/>
    <w:rsid w:val="00F4213F"/>
    <w:rsid w:val="00F43DBF"/>
    <w:rsid w:val="00F500B9"/>
    <w:rsid w:val="00F50780"/>
    <w:rsid w:val="00F52397"/>
    <w:rsid w:val="00F53846"/>
    <w:rsid w:val="00F634CB"/>
    <w:rsid w:val="00F6415C"/>
    <w:rsid w:val="00F67D5E"/>
    <w:rsid w:val="00F70C6E"/>
    <w:rsid w:val="00F749CD"/>
    <w:rsid w:val="00F77C3A"/>
    <w:rsid w:val="00F80680"/>
    <w:rsid w:val="00F843E2"/>
    <w:rsid w:val="00F85AD9"/>
    <w:rsid w:val="00F9080A"/>
    <w:rsid w:val="00F93CB8"/>
    <w:rsid w:val="00F94B7B"/>
    <w:rsid w:val="00F96266"/>
    <w:rsid w:val="00F96E88"/>
    <w:rsid w:val="00F97FFD"/>
    <w:rsid w:val="00FA1A7F"/>
    <w:rsid w:val="00FA3636"/>
    <w:rsid w:val="00FA4286"/>
    <w:rsid w:val="00FA4769"/>
    <w:rsid w:val="00FA5482"/>
    <w:rsid w:val="00FA6F04"/>
    <w:rsid w:val="00FA6FEE"/>
    <w:rsid w:val="00FB3441"/>
    <w:rsid w:val="00FB3FF0"/>
    <w:rsid w:val="00FB7AB5"/>
    <w:rsid w:val="00FC1F73"/>
    <w:rsid w:val="00FC736C"/>
    <w:rsid w:val="00FD35C6"/>
    <w:rsid w:val="00FD3A94"/>
    <w:rsid w:val="00FE6DF0"/>
    <w:rsid w:val="00FF0418"/>
    <w:rsid w:val="00FF1632"/>
    <w:rsid w:val="00FF2B7E"/>
    <w:rsid w:val="00FF4650"/>
    <w:rsid w:val="00FF72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665736"/>
  <w15:docId w15:val="{92CB118F-A3FB-4C61-A757-0F7AE4BA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0A2"/>
  </w:style>
  <w:style w:type="paragraph" w:styleId="Heading1">
    <w:name w:val="heading 1"/>
    <w:basedOn w:val="Normal"/>
    <w:next w:val="Normal"/>
    <w:link w:val="Heading1Char"/>
    <w:uiPriority w:val="9"/>
    <w:qFormat/>
    <w:rsid w:val="009F53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002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C1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FC1F73"/>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unhideWhenUsed/>
    <w:qFormat/>
    <w:rsid w:val="00E002C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7C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7C72"/>
    <w:rPr>
      <w:b/>
      <w:bCs/>
    </w:rPr>
  </w:style>
  <w:style w:type="character" w:styleId="Emphasis">
    <w:name w:val="Emphasis"/>
    <w:basedOn w:val="DefaultParagraphFont"/>
    <w:uiPriority w:val="20"/>
    <w:qFormat/>
    <w:rsid w:val="00BA7C72"/>
    <w:rPr>
      <w:i/>
      <w:iCs/>
    </w:rPr>
  </w:style>
  <w:style w:type="character" w:styleId="Hyperlink">
    <w:name w:val="Hyperlink"/>
    <w:basedOn w:val="DefaultParagraphFont"/>
    <w:uiPriority w:val="99"/>
    <w:unhideWhenUsed/>
    <w:rsid w:val="00BA7C72"/>
    <w:rPr>
      <w:color w:val="0000FF"/>
      <w:u w:val="single"/>
    </w:rPr>
  </w:style>
  <w:style w:type="paragraph" w:customStyle="1" w:styleId="ParaAttribute4">
    <w:name w:val="ParaAttribute4"/>
    <w:rsid w:val="00A473BF"/>
    <w:pPr>
      <w:widowControl w:val="0"/>
      <w:wordWrap w:val="0"/>
      <w:spacing w:after="0" w:line="240" w:lineRule="auto"/>
      <w:ind w:left="720" w:firstLine="360"/>
      <w:jc w:val="both"/>
    </w:pPr>
    <w:rPr>
      <w:rFonts w:ascii="Times New Roman" w:eastAsia="Batang" w:hAnsi="Times New Roman" w:cs="Times New Roman"/>
      <w:sz w:val="20"/>
      <w:szCs w:val="20"/>
    </w:rPr>
  </w:style>
  <w:style w:type="table" w:styleId="TableGrid">
    <w:name w:val="Table Grid"/>
    <w:basedOn w:val="TableNormal"/>
    <w:uiPriority w:val="39"/>
    <w:rsid w:val="00A473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660133"/>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paragraph" w:customStyle="1" w:styleId="ListParagraph1">
    <w:name w:val="List Paragraph1"/>
    <w:basedOn w:val="Normal"/>
    <w:qFormat/>
    <w:rsid w:val="00660133"/>
    <w:pPr>
      <w:bidi/>
      <w:ind w:left="720"/>
      <w:contextualSpacing/>
    </w:pPr>
    <w:rPr>
      <w:rFonts w:ascii="Calibri" w:eastAsia="Calibri" w:hAnsi="Calibri" w:cs="Arial"/>
    </w:rPr>
  </w:style>
  <w:style w:type="paragraph" w:customStyle="1" w:styleId="Default">
    <w:name w:val="Default"/>
    <w:uiPriority w:val="99"/>
    <w:rsid w:val="0020091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1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B2"/>
    <w:rPr>
      <w:rFonts w:ascii="Tahoma" w:hAnsi="Tahoma" w:cs="Tahoma"/>
      <w:sz w:val="16"/>
      <w:szCs w:val="16"/>
    </w:rPr>
  </w:style>
  <w:style w:type="paragraph" w:customStyle="1" w:styleId="Normal1">
    <w:name w:val="Normal1"/>
    <w:rsid w:val="00453967"/>
    <w:pPr>
      <w:spacing w:after="160" w:line="259" w:lineRule="auto"/>
    </w:pPr>
    <w:rPr>
      <w:rFonts w:ascii="Calibri" w:eastAsia="Calibri" w:hAnsi="Calibri" w:cs="Calibri"/>
    </w:rPr>
  </w:style>
  <w:style w:type="character" w:customStyle="1" w:styleId="sw">
    <w:name w:val="sw"/>
    <w:basedOn w:val="DefaultParagraphFont"/>
    <w:rsid w:val="00C90F99"/>
  </w:style>
  <w:style w:type="paragraph" w:styleId="Header">
    <w:name w:val="header"/>
    <w:basedOn w:val="Normal"/>
    <w:link w:val="HeaderChar"/>
    <w:uiPriority w:val="99"/>
    <w:unhideWhenUsed/>
    <w:rsid w:val="009A2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66A"/>
  </w:style>
  <w:style w:type="paragraph" w:styleId="Footer">
    <w:name w:val="footer"/>
    <w:basedOn w:val="Normal"/>
    <w:link w:val="FooterChar"/>
    <w:uiPriority w:val="99"/>
    <w:unhideWhenUsed/>
    <w:rsid w:val="009A2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66A"/>
  </w:style>
  <w:style w:type="paragraph" w:styleId="BodyText">
    <w:name w:val="Body Text"/>
    <w:basedOn w:val="Normal"/>
    <w:link w:val="BodyTextChar"/>
    <w:uiPriority w:val="1"/>
    <w:qFormat/>
    <w:rsid w:val="00A454B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454B4"/>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FC1F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C1F73"/>
    <w:rPr>
      <w:rFonts w:ascii="Calibri" w:eastAsia="Times New Roman" w:hAnsi="Calibri" w:cs="Times New Roman"/>
      <w:b/>
      <w:bCs/>
      <w:sz w:val="28"/>
      <w:szCs w:val="28"/>
    </w:rPr>
  </w:style>
  <w:style w:type="character" w:customStyle="1" w:styleId="emphb">
    <w:name w:val="emph_b"/>
    <w:basedOn w:val="DefaultParagraphFont"/>
    <w:rsid w:val="00FC1F73"/>
  </w:style>
  <w:style w:type="paragraph" w:styleId="Caption">
    <w:name w:val="caption"/>
    <w:basedOn w:val="Normal"/>
    <w:next w:val="Normal"/>
    <w:uiPriority w:val="35"/>
    <w:qFormat/>
    <w:rsid w:val="00FC1F73"/>
    <w:pPr>
      <w:spacing w:line="240" w:lineRule="auto"/>
    </w:pPr>
    <w:rPr>
      <w:rFonts w:ascii="Calibri" w:eastAsia="Calibri" w:hAnsi="Calibri" w:cs="Arial"/>
      <w:b/>
      <w:bCs/>
      <w:color w:val="4F81BD"/>
      <w:sz w:val="18"/>
      <w:szCs w:val="18"/>
    </w:rPr>
  </w:style>
  <w:style w:type="paragraph" w:customStyle="1" w:styleId="DecimalAligned">
    <w:name w:val="Decimal Aligned"/>
    <w:basedOn w:val="Normal"/>
    <w:uiPriority w:val="40"/>
    <w:qFormat/>
    <w:rsid w:val="00FC1F73"/>
    <w:pPr>
      <w:tabs>
        <w:tab w:val="decimal" w:pos="360"/>
      </w:tabs>
    </w:pPr>
    <w:rPr>
      <w:rFonts w:ascii="Calibri" w:eastAsia="Times New Roman" w:hAnsi="Calibri" w:cs="Arial"/>
    </w:rPr>
  </w:style>
  <w:style w:type="character" w:styleId="SubtleEmphasis">
    <w:name w:val="Subtle Emphasis"/>
    <w:uiPriority w:val="19"/>
    <w:qFormat/>
    <w:rsid w:val="00FC1F73"/>
    <w:rPr>
      <w:rFonts w:eastAsia="Times New Roman" w:cs="Arial"/>
      <w:bCs w:val="0"/>
      <w:i/>
      <w:iCs/>
      <w:color w:val="808080"/>
      <w:szCs w:val="22"/>
      <w:lang w:val="en-US"/>
    </w:rPr>
  </w:style>
  <w:style w:type="table" w:styleId="MediumShading2-Accent5">
    <w:name w:val="Medium Shading 2 Accent 5"/>
    <w:basedOn w:val="TableNormal"/>
    <w:uiPriority w:val="64"/>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C1F73"/>
    <w:pPr>
      <w:spacing w:after="0" w:line="240" w:lineRule="auto"/>
    </w:pPr>
    <w:rPr>
      <w:rFonts w:ascii="Cambria" w:eastAsia="Times New Roman" w:hAnsi="Cambria" w:cs="Times New Roman"/>
      <w:color w:val="000000"/>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alendar1">
    <w:name w:val="Calendar 1"/>
    <w:basedOn w:val="TableNormal"/>
    <w:uiPriority w:val="99"/>
    <w:qFormat/>
    <w:rsid w:val="00FC1F73"/>
    <w:pPr>
      <w:spacing w:after="0" w:line="240" w:lineRule="auto"/>
    </w:pPr>
    <w:rPr>
      <w:rFonts w:ascii="Calibri" w:eastAsia="Times New Roman" w:hAnsi="Calibri" w:cs="Arial"/>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2">
    <w:name w:val="Light List Accent 2"/>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4">
    <w:name w:val="Light Shading Accent 4"/>
    <w:basedOn w:val="TableNormal"/>
    <w:uiPriority w:val="60"/>
    <w:rsid w:val="00FC1F73"/>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1">
    <w:name w:val="Light Grid1"/>
    <w:basedOn w:val="TableNormal"/>
    <w:uiPriority w:val="62"/>
    <w:rsid w:val="00FC1F7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FC1F73"/>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5">
    <w:name w:val="Light List Accent 5"/>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2">
    <w:name w:val="Medium Shading 2 Accent 2"/>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C1F73"/>
    <w:rPr>
      <w:rFonts w:ascii="Calibri" w:eastAsia="Calibri" w:hAnsi="Calibri" w:cs="Times New Roman"/>
      <w:sz w:val="20"/>
      <w:szCs w:val="20"/>
    </w:rPr>
  </w:style>
  <w:style w:type="character" w:styleId="FootnoteReference">
    <w:name w:val="footnote reference"/>
    <w:uiPriority w:val="99"/>
    <w:semiHidden/>
    <w:unhideWhenUsed/>
    <w:rsid w:val="00FC1F73"/>
    <w:rPr>
      <w:vertAlign w:val="superscript"/>
    </w:rPr>
  </w:style>
  <w:style w:type="paragraph" w:styleId="EndnoteText">
    <w:name w:val="endnote text"/>
    <w:basedOn w:val="Normal"/>
    <w:link w:val="End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FC1F73"/>
    <w:rPr>
      <w:rFonts w:ascii="Calibri" w:eastAsia="Calibri" w:hAnsi="Calibri" w:cs="Times New Roman"/>
      <w:sz w:val="20"/>
      <w:szCs w:val="20"/>
    </w:rPr>
  </w:style>
  <w:style w:type="character" w:styleId="EndnoteReference">
    <w:name w:val="endnote reference"/>
    <w:uiPriority w:val="99"/>
    <w:semiHidden/>
    <w:unhideWhenUsed/>
    <w:rsid w:val="00FC1F73"/>
    <w:rPr>
      <w:vertAlign w:val="superscript"/>
    </w:rPr>
  </w:style>
  <w:style w:type="character" w:customStyle="1" w:styleId="tgc">
    <w:name w:val="_tgc"/>
    <w:rsid w:val="00FC1F73"/>
  </w:style>
  <w:style w:type="paragraph" w:styleId="NoSpacing">
    <w:name w:val="No Spacing"/>
    <w:uiPriority w:val="1"/>
    <w:qFormat/>
    <w:rsid w:val="00FC1F73"/>
    <w:pPr>
      <w:spacing w:after="0" w:line="240" w:lineRule="auto"/>
    </w:pPr>
    <w:rPr>
      <w:rFonts w:ascii="Calibri" w:eastAsia="Calibri" w:hAnsi="Calibri" w:cs="Arial"/>
    </w:rPr>
  </w:style>
  <w:style w:type="paragraph" w:customStyle="1" w:styleId="1">
    <w:name w:val="سرد الفقرات1"/>
    <w:basedOn w:val="Normal"/>
    <w:qFormat/>
    <w:rsid w:val="00FC1F73"/>
    <w:pPr>
      <w:ind w:left="720"/>
      <w:contextualSpacing/>
    </w:pPr>
    <w:rPr>
      <w:rFonts w:ascii="Calibri" w:eastAsia="Times New Roman" w:hAnsi="Calibri" w:cs="Arial"/>
    </w:rPr>
  </w:style>
  <w:style w:type="character" w:customStyle="1" w:styleId="fontstyle01">
    <w:name w:val="fontstyle01"/>
    <w:rsid w:val="00FC1F73"/>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FC1F73"/>
    <w:pPr>
      <w:widowControl w:val="0"/>
      <w:autoSpaceDE w:val="0"/>
      <w:autoSpaceDN w:val="0"/>
      <w:spacing w:after="0" w:line="240" w:lineRule="auto"/>
    </w:pPr>
    <w:rPr>
      <w:rFonts w:ascii="Times New Roman" w:eastAsia="Times New Roman" w:hAnsi="Times New Roman" w:cs="Times New Roman"/>
    </w:rPr>
  </w:style>
  <w:style w:type="character" w:customStyle="1" w:styleId="CharAttribute7">
    <w:name w:val="CharAttribute7"/>
    <w:rsid w:val="004B1BCC"/>
    <w:rPr>
      <w:rFonts w:ascii="Cambria" w:eastAsia="Cambria" w:hAnsi="Cambria"/>
      <w:b/>
      <w:sz w:val="24"/>
    </w:rPr>
  </w:style>
  <w:style w:type="paragraph" w:customStyle="1" w:styleId="ParaAttribute8">
    <w:name w:val="ParaAttribute8"/>
    <w:rsid w:val="004B1BCC"/>
    <w:pPr>
      <w:widowControl w:val="0"/>
      <w:wordWrap w:val="0"/>
      <w:spacing w:before="280" w:after="280" w:line="240" w:lineRule="auto"/>
      <w:ind w:left="720"/>
      <w:jc w:val="both"/>
    </w:pPr>
    <w:rPr>
      <w:rFonts w:ascii="Times New Roman" w:eastAsia="Batang" w:hAnsi="Times New Roman" w:cs="Times New Roman"/>
      <w:sz w:val="20"/>
      <w:szCs w:val="20"/>
    </w:rPr>
  </w:style>
  <w:style w:type="character" w:customStyle="1" w:styleId="mixed-citation">
    <w:name w:val="mixed-citation"/>
    <w:basedOn w:val="DefaultParagraphFont"/>
    <w:rsid w:val="00817C28"/>
  </w:style>
  <w:style w:type="character" w:customStyle="1" w:styleId="ref-journal">
    <w:name w:val="ref-journal"/>
    <w:basedOn w:val="DefaultParagraphFont"/>
    <w:rsid w:val="00817C28"/>
  </w:style>
  <w:style w:type="character" w:customStyle="1" w:styleId="nowrap">
    <w:name w:val="nowrap"/>
    <w:basedOn w:val="DefaultParagraphFont"/>
    <w:rsid w:val="00817C28"/>
  </w:style>
  <w:style w:type="character" w:customStyle="1" w:styleId="ref-title">
    <w:name w:val="ref-title"/>
    <w:basedOn w:val="DefaultParagraphFont"/>
    <w:rsid w:val="00817C28"/>
  </w:style>
  <w:style w:type="character" w:customStyle="1" w:styleId="ref-vol">
    <w:name w:val="ref-vol"/>
    <w:basedOn w:val="DefaultParagraphFont"/>
    <w:rsid w:val="00817C28"/>
  </w:style>
  <w:style w:type="character" w:customStyle="1" w:styleId="CharAttribute13">
    <w:name w:val="CharAttribute13"/>
    <w:rsid w:val="006B04A8"/>
    <w:rPr>
      <w:rFonts w:ascii="Cambria" w:eastAsia="Cambria"/>
      <w:b/>
      <w:sz w:val="28"/>
    </w:rPr>
  </w:style>
  <w:style w:type="paragraph" w:customStyle="1" w:styleId="ParaAttribute5">
    <w:name w:val="ParaAttribute5"/>
    <w:rsid w:val="00A764DB"/>
    <w:pPr>
      <w:wordWrap w:val="0"/>
      <w:spacing w:after="0" w:line="240" w:lineRule="auto"/>
    </w:pPr>
    <w:rPr>
      <w:rFonts w:ascii="Times New Roman" w:eastAsia="□□" w:hAnsi="Times New Roman" w:cs="Times New Roman"/>
      <w:sz w:val="20"/>
      <w:szCs w:val="20"/>
    </w:rPr>
  </w:style>
  <w:style w:type="paragraph" w:customStyle="1" w:styleId="ParaAttribute18">
    <w:name w:val="ParaAttribute18"/>
    <w:rsid w:val="00A764DB"/>
    <w:pPr>
      <w:wordWrap w:val="0"/>
      <w:spacing w:line="240" w:lineRule="auto"/>
    </w:pPr>
    <w:rPr>
      <w:rFonts w:ascii="Times New Roman" w:eastAsia="□□" w:hAnsi="Times New Roman" w:cs="Times New Roman"/>
      <w:sz w:val="20"/>
      <w:szCs w:val="20"/>
    </w:rPr>
  </w:style>
  <w:style w:type="character" w:customStyle="1" w:styleId="CharAttribute31">
    <w:name w:val="CharAttribute31"/>
    <w:rsid w:val="00A764DB"/>
    <w:rPr>
      <w:rFonts w:ascii="Times New Roman" w:eastAsia="Times New Roman"/>
      <w:b/>
      <w:sz w:val="28"/>
    </w:rPr>
  </w:style>
  <w:style w:type="character" w:customStyle="1" w:styleId="hps">
    <w:name w:val="hps"/>
    <w:basedOn w:val="DefaultParagraphFont"/>
    <w:rsid w:val="00867F98"/>
  </w:style>
  <w:style w:type="character" w:customStyle="1" w:styleId="Heading1Char">
    <w:name w:val="Heading 1 Char"/>
    <w:basedOn w:val="DefaultParagraphFont"/>
    <w:link w:val="Heading1"/>
    <w:uiPriority w:val="9"/>
    <w:rsid w:val="009F53A0"/>
    <w:rPr>
      <w:rFonts w:asciiTheme="majorHAnsi" w:eastAsiaTheme="majorEastAsia" w:hAnsiTheme="majorHAnsi" w:cstheme="majorBidi"/>
      <w:color w:val="365F91" w:themeColor="accent1" w:themeShade="BF"/>
      <w:sz w:val="32"/>
      <w:szCs w:val="32"/>
    </w:rPr>
  </w:style>
  <w:style w:type="character" w:customStyle="1" w:styleId="Heading6Char">
    <w:name w:val="Heading 6 Char"/>
    <w:basedOn w:val="DefaultParagraphFont"/>
    <w:link w:val="Heading6"/>
    <w:uiPriority w:val="9"/>
    <w:rsid w:val="00E002C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E002C5"/>
    <w:rPr>
      <w:rFonts w:asciiTheme="majorHAnsi" w:eastAsiaTheme="majorEastAsia" w:hAnsiTheme="majorHAnsi" w:cstheme="majorBidi"/>
      <w:color w:val="365F91" w:themeColor="accent1" w:themeShade="BF"/>
      <w:sz w:val="26"/>
      <w:szCs w:val="26"/>
    </w:rPr>
  </w:style>
  <w:style w:type="character" w:customStyle="1" w:styleId="element-citation">
    <w:name w:val="element-citation"/>
    <w:basedOn w:val="DefaultParagraphFont"/>
    <w:rsid w:val="00056716"/>
  </w:style>
  <w:style w:type="character" w:customStyle="1" w:styleId="UnresolvedMention">
    <w:name w:val="Unresolved Mention"/>
    <w:basedOn w:val="DefaultParagraphFont"/>
    <w:uiPriority w:val="99"/>
    <w:semiHidden/>
    <w:unhideWhenUsed/>
    <w:rsid w:val="000B7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263">
      <w:bodyDiv w:val="1"/>
      <w:marLeft w:val="0"/>
      <w:marRight w:val="0"/>
      <w:marTop w:val="0"/>
      <w:marBottom w:val="0"/>
      <w:divBdr>
        <w:top w:val="none" w:sz="0" w:space="0" w:color="auto"/>
        <w:left w:val="none" w:sz="0" w:space="0" w:color="auto"/>
        <w:bottom w:val="none" w:sz="0" w:space="0" w:color="auto"/>
        <w:right w:val="none" w:sz="0" w:space="0" w:color="auto"/>
      </w:divBdr>
      <w:divsChild>
        <w:div w:id="2083675150">
          <w:marLeft w:val="0"/>
          <w:marRight w:val="0"/>
          <w:marTop w:val="200"/>
          <w:marBottom w:val="200"/>
          <w:divBdr>
            <w:top w:val="none" w:sz="0" w:space="0" w:color="auto"/>
            <w:left w:val="none" w:sz="0" w:space="0" w:color="auto"/>
            <w:bottom w:val="none" w:sz="0" w:space="0" w:color="auto"/>
            <w:right w:val="none" w:sz="0" w:space="0" w:color="auto"/>
          </w:divBdr>
        </w:div>
        <w:div w:id="631134914">
          <w:marLeft w:val="0"/>
          <w:marRight w:val="0"/>
          <w:marTop w:val="200"/>
          <w:marBottom w:val="200"/>
          <w:divBdr>
            <w:top w:val="none" w:sz="0" w:space="0" w:color="auto"/>
            <w:left w:val="none" w:sz="0" w:space="0" w:color="auto"/>
            <w:bottom w:val="none" w:sz="0" w:space="0" w:color="auto"/>
            <w:right w:val="none" w:sz="0" w:space="0" w:color="auto"/>
          </w:divBdr>
        </w:div>
        <w:div w:id="1469322508">
          <w:marLeft w:val="0"/>
          <w:marRight w:val="0"/>
          <w:marTop w:val="200"/>
          <w:marBottom w:val="200"/>
          <w:divBdr>
            <w:top w:val="none" w:sz="0" w:space="0" w:color="auto"/>
            <w:left w:val="none" w:sz="0" w:space="0" w:color="auto"/>
            <w:bottom w:val="none" w:sz="0" w:space="0" w:color="auto"/>
            <w:right w:val="none" w:sz="0" w:space="0" w:color="auto"/>
          </w:divBdr>
        </w:div>
      </w:divsChild>
    </w:div>
    <w:div w:id="23943174">
      <w:bodyDiv w:val="1"/>
      <w:marLeft w:val="0"/>
      <w:marRight w:val="0"/>
      <w:marTop w:val="0"/>
      <w:marBottom w:val="0"/>
      <w:divBdr>
        <w:top w:val="none" w:sz="0" w:space="0" w:color="auto"/>
        <w:left w:val="none" w:sz="0" w:space="0" w:color="auto"/>
        <w:bottom w:val="none" w:sz="0" w:space="0" w:color="auto"/>
        <w:right w:val="none" w:sz="0" w:space="0" w:color="auto"/>
      </w:divBdr>
    </w:div>
    <w:div w:id="45882625">
      <w:bodyDiv w:val="1"/>
      <w:marLeft w:val="0"/>
      <w:marRight w:val="0"/>
      <w:marTop w:val="0"/>
      <w:marBottom w:val="0"/>
      <w:divBdr>
        <w:top w:val="none" w:sz="0" w:space="0" w:color="auto"/>
        <w:left w:val="none" w:sz="0" w:space="0" w:color="auto"/>
        <w:bottom w:val="none" w:sz="0" w:space="0" w:color="auto"/>
        <w:right w:val="none" w:sz="0" w:space="0" w:color="auto"/>
      </w:divBdr>
    </w:div>
    <w:div w:id="182403850">
      <w:bodyDiv w:val="1"/>
      <w:marLeft w:val="0"/>
      <w:marRight w:val="0"/>
      <w:marTop w:val="0"/>
      <w:marBottom w:val="0"/>
      <w:divBdr>
        <w:top w:val="none" w:sz="0" w:space="0" w:color="auto"/>
        <w:left w:val="none" w:sz="0" w:space="0" w:color="auto"/>
        <w:bottom w:val="none" w:sz="0" w:space="0" w:color="auto"/>
        <w:right w:val="none" w:sz="0" w:space="0" w:color="auto"/>
      </w:divBdr>
    </w:div>
    <w:div w:id="183323526">
      <w:bodyDiv w:val="1"/>
      <w:marLeft w:val="0"/>
      <w:marRight w:val="0"/>
      <w:marTop w:val="0"/>
      <w:marBottom w:val="0"/>
      <w:divBdr>
        <w:top w:val="none" w:sz="0" w:space="0" w:color="auto"/>
        <w:left w:val="none" w:sz="0" w:space="0" w:color="auto"/>
        <w:bottom w:val="none" w:sz="0" w:space="0" w:color="auto"/>
        <w:right w:val="none" w:sz="0" w:space="0" w:color="auto"/>
      </w:divBdr>
    </w:div>
    <w:div w:id="202326717">
      <w:bodyDiv w:val="1"/>
      <w:marLeft w:val="0"/>
      <w:marRight w:val="0"/>
      <w:marTop w:val="0"/>
      <w:marBottom w:val="0"/>
      <w:divBdr>
        <w:top w:val="none" w:sz="0" w:space="0" w:color="auto"/>
        <w:left w:val="none" w:sz="0" w:space="0" w:color="auto"/>
        <w:bottom w:val="none" w:sz="0" w:space="0" w:color="auto"/>
        <w:right w:val="none" w:sz="0" w:space="0" w:color="auto"/>
      </w:divBdr>
    </w:div>
    <w:div w:id="203638373">
      <w:bodyDiv w:val="1"/>
      <w:marLeft w:val="0"/>
      <w:marRight w:val="0"/>
      <w:marTop w:val="0"/>
      <w:marBottom w:val="0"/>
      <w:divBdr>
        <w:top w:val="none" w:sz="0" w:space="0" w:color="auto"/>
        <w:left w:val="none" w:sz="0" w:space="0" w:color="auto"/>
        <w:bottom w:val="none" w:sz="0" w:space="0" w:color="auto"/>
        <w:right w:val="none" w:sz="0" w:space="0" w:color="auto"/>
      </w:divBdr>
    </w:div>
    <w:div w:id="203715714">
      <w:bodyDiv w:val="1"/>
      <w:marLeft w:val="0"/>
      <w:marRight w:val="0"/>
      <w:marTop w:val="0"/>
      <w:marBottom w:val="0"/>
      <w:divBdr>
        <w:top w:val="none" w:sz="0" w:space="0" w:color="auto"/>
        <w:left w:val="none" w:sz="0" w:space="0" w:color="auto"/>
        <w:bottom w:val="none" w:sz="0" w:space="0" w:color="auto"/>
        <w:right w:val="none" w:sz="0" w:space="0" w:color="auto"/>
      </w:divBdr>
    </w:div>
    <w:div w:id="215161526">
      <w:bodyDiv w:val="1"/>
      <w:marLeft w:val="0"/>
      <w:marRight w:val="0"/>
      <w:marTop w:val="0"/>
      <w:marBottom w:val="0"/>
      <w:divBdr>
        <w:top w:val="none" w:sz="0" w:space="0" w:color="auto"/>
        <w:left w:val="none" w:sz="0" w:space="0" w:color="auto"/>
        <w:bottom w:val="none" w:sz="0" w:space="0" w:color="auto"/>
        <w:right w:val="none" w:sz="0" w:space="0" w:color="auto"/>
      </w:divBdr>
    </w:div>
    <w:div w:id="261956437">
      <w:bodyDiv w:val="1"/>
      <w:marLeft w:val="0"/>
      <w:marRight w:val="0"/>
      <w:marTop w:val="0"/>
      <w:marBottom w:val="0"/>
      <w:divBdr>
        <w:top w:val="none" w:sz="0" w:space="0" w:color="auto"/>
        <w:left w:val="none" w:sz="0" w:space="0" w:color="auto"/>
        <w:bottom w:val="none" w:sz="0" w:space="0" w:color="auto"/>
        <w:right w:val="none" w:sz="0" w:space="0" w:color="auto"/>
      </w:divBdr>
    </w:div>
    <w:div w:id="299654702">
      <w:bodyDiv w:val="1"/>
      <w:marLeft w:val="0"/>
      <w:marRight w:val="0"/>
      <w:marTop w:val="0"/>
      <w:marBottom w:val="0"/>
      <w:divBdr>
        <w:top w:val="none" w:sz="0" w:space="0" w:color="auto"/>
        <w:left w:val="none" w:sz="0" w:space="0" w:color="auto"/>
        <w:bottom w:val="none" w:sz="0" w:space="0" w:color="auto"/>
        <w:right w:val="none" w:sz="0" w:space="0" w:color="auto"/>
      </w:divBdr>
    </w:div>
    <w:div w:id="301814384">
      <w:bodyDiv w:val="1"/>
      <w:marLeft w:val="0"/>
      <w:marRight w:val="0"/>
      <w:marTop w:val="0"/>
      <w:marBottom w:val="0"/>
      <w:divBdr>
        <w:top w:val="none" w:sz="0" w:space="0" w:color="auto"/>
        <w:left w:val="none" w:sz="0" w:space="0" w:color="auto"/>
        <w:bottom w:val="none" w:sz="0" w:space="0" w:color="auto"/>
        <w:right w:val="none" w:sz="0" w:space="0" w:color="auto"/>
      </w:divBdr>
      <w:divsChild>
        <w:div w:id="1223518269">
          <w:marLeft w:val="0"/>
          <w:marRight w:val="0"/>
          <w:marTop w:val="0"/>
          <w:marBottom w:val="0"/>
          <w:divBdr>
            <w:top w:val="none" w:sz="0" w:space="0" w:color="auto"/>
            <w:left w:val="none" w:sz="0" w:space="0" w:color="auto"/>
            <w:bottom w:val="none" w:sz="0" w:space="0" w:color="auto"/>
            <w:right w:val="none" w:sz="0" w:space="0" w:color="auto"/>
          </w:divBdr>
        </w:div>
      </w:divsChild>
    </w:div>
    <w:div w:id="356585458">
      <w:bodyDiv w:val="1"/>
      <w:marLeft w:val="0"/>
      <w:marRight w:val="0"/>
      <w:marTop w:val="0"/>
      <w:marBottom w:val="0"/>
      <w:divBdr>
        <w:top w:val="none" w:sz="0" w:space="0" w:color="auto"/>
        <w:left w:val="none" w:sz="0" w:space="0" w:color="auto"/>
        <w:bottom w:val="none" w:sz="0" w:space="0" w:color="auto"/>
        <w:right w:val="none" w:sz="0" w:space="0" w:color="auto"/>
      </w:divBdr>
    </w:div>
    <w:div w:id="401023486">
      <w:bodyDiv w:val="1"/>
      <w:marLeft w:val="0"/>
      <w:marRight w:val="0"/>
      <w:marTop w:val="0"/>
      <w:marBottom w:val="0"/>
      <w:divBdr>
        <w:top w:val="none" w:sz="0" w:space="0" w:color="auto"/>
        <w:left w:val="none" w:sz="0" w:space="0" w:color="auto"/>
        <w:bottom w:val="none" w:sz="0" w:space="0" w:color="auto"/>
        <w:right w:val="none" w:sz="0" w:space="0" w:color="auto"/>
      </w:divBdr>
    </w:div>
    <w:div w:id="427503464">
      <w:bodyDiv w:val="1"/>
      <w:marLeft w:val="0"/>
      <w:marRight w:val="0"/>
      <w:marTop w:val="0"/>
      <w:marBottom w:val="0"/>
      <w:divBdr>
        <w:top w:val="none" w:sz="0" w:space="0" w:color="auto"/>
        <w:left w:val="none" w:sz="0" w:space="0" w:color="auto"/>
        <w:bottom w:val="none" w:sz="0" w:space="0" w:color="auto"/>
        <w:right w:val="none" w:sz="0" w:space="0" w:color="auto"/>
      </w:divBdr>
    </w:div>
    <w:div w:id="443307754">
      <w:bodyDiv w:val="1"/>
      <w:marLeft w:val="0"/>
      <w:marRight w:val="0"/>
      <w:marTop w:val="0"/>
      <w:marBottom w:val="0"/>
      <w:divBdr>
        <w:top w:val="none" w:sz="0" w:space="0" w:color="auto"/>
        <w:left w:val="none" w:sz="0" w:space="0" w:color="auto"/>
        <w:bottom w:val="none" w:sz="0" w:space="0" w:color="auto"/>
        <w:right w:val="none" w:sz="0" w:space="0" w:color="auto"/>
      </w:divBdr>
    </w:div>
    <w:div w:id="529148851">
      <w:bodyDiv w:val="1"/>
      <w:marLeft w:val="0"/>
      <w:marRight w:val="0"/>
      <w:marTop w:val="0"/>
      <w:marBottom w:val="0"/>
      <w:divBdr>
        <w:top w:val="none" w:sz="0" w:space="0" w:color="auto"/>
        <w:left w:val="none" w:sz="0" w:space="0" w:color="auto"/>
        <w:bottom w:val="none" w:sz="0" w:space="0" w:color="auto"/>
        <w:right w:val="none" w:sz="0" w:space="0" w:color="auto"/>
      </w:divBdr>
    </w:div>
    <w:div w:id="571739910">
      <w:bodyDiv w:val="1"/>
      <w:marLeft w:val="0"/>
      <w:marRight w:val="0"/>
      <w:marTop w:val="0"/>
      <w:marBottom w:val="0"/>
      <w:divBdr>
        <w:top w:val="none" w:sz="0" w:space="0" w:color="auto"/>
        <w:left w:val="none" w:sz="0" w:space="0" w:color="auto"/>
        <w:bottom w:val="none" w:sz="0" w:space="0" w:color="auto"/>
        <w:right w:val="none" w:sz="0" w:space="0" w:color="auto"/>
      </w:divBdr>
    </w:div>
    <w:div w:id="572542443">
      <w:bodyDiv w:val="1"/>
      <w:marLeft w:val="0"/>
      <w:marRight w:val="0"/>
      <w:marTop w:val="0"/>
      <w:marBottom w:val="0"/>
      <w:divBdr>
        <w:top w:val="none" w:sz="0" w:space="0" w:color="auto"/>
        <w:left w:val="none" w:sz="0" w:space="0" w:color="auto"/>
        <w:bottom w:val="none" w:sz="0" w:space="0" w:color="auto"/>
        <w:right w:val="none" w:sz="0" w:space="0" w:color="auto"/>
      </w:divBdr>
    </w:div>
    <w:div w:id="573054196">
      <w:bodyDiv w:val="1"/>
      <w:marLeft w:val="0"/>
      <w:marRight w:val="0"/>
      <w:marTop w:val="0"/>
      <w:marBottom w:val="0"/>
      <w:divBdr>
        <w:top w:val="none" w:sz="0" w:space="0" w:color="auto"/>
        <w:left w:val="none" w:sz="0" w:space="0" w:color="auto"/>
        <w:bottom w:val="none" w:sz="0" w:space="0" w:color="auto"/>
        <w:right w:val="none" w:sz="0" w:space="0" w:color="auto"/>
      </w:divBdr>
    </w:div>
    <w:div w:id="580331407">
      <w:bodyDiv w:val="1"/>
      <w:marLeft w:val="0"/>
      <w:marRight w:val="0"/>
      <w:marTop w:val="0"/>
      <w:marBottom w:val="0"/>
      <w:divBdr>
        <w:top w:val="none" w:sz="0" w:space="0" w:color="auto"/>
        <w:left w:val="none" w:sz="0" w:space="0" w:color="auto"/>
        <w:bottom w:val="none" w:sz="0" w:space="0" w:color="auto"/>
        <w:right w:val="none" w:sz="0" w:space="0" w:color="auto"/>
      </w:divBdr>
    </w:div>
    <w:div w:id="608397691">
      <w:bodyDiv w:val="1"/>
      <w:marLeft w:val="0"/>
      <w:marRight w:val="0"/>
      <w:marTop w:val="0"/>
      <w:marBottom w:val="0"/>
      <w:divBdr>
        <w:top w:val="none" w:sz="0" w:space="0" w:color="auto"/>
        <w:left w:val="none" w:sz="0" w:space="0" w:color="auto"/>
        <w:bottom w:val="none" w:sz="0" w:space="0" w:color="auto"/>
        <w:right w:val="none" w:sz="0" w:space="0" w:color="auto"/>
      </w:divBdr>
      <w:divsChild>
        <w:div w:id="1870218686">
          <w:marLeft w:val="0"/>
          <w:marRight w:val="0"/>
          <w:marTop w:val="0"/>
          <w:marBottom w:val="0"/>
          <w:divBdr>
            <w:top w:val="none" w:sz="0" w:space="0" w:color="auto"/>
            <w:left w:val="none" w:sz="0" w:space="0" w:color="auto"/>
            <w:bottom w:val="none" w:sz="0" w:space="0" w:color="auto"/>
            <w:right w:val="none" w:sz="0" w:space="0" w:color="auto"/>
          </w:divBdr>
        </w:div>
      </w:divsChild>
    </w:div>
    <w:div w:id="639120091">
      <w:bodyDiv w:val="1"/>
      <w:marLeft w:val="0"/>
      <w:marRight w:val="0"/>
      <w:marTop w:val="0"/>
      <w:marBottom w:val="0"/>
      <w:divBdr>
        <w:top w:val="none" w:sz="0" w:space="0" w:color="auto"/>
        <w:left w:val="none" w:sz="0" w:space="0" w:color="auto"/>
        <w:bottom w:val="none" w:sz="0" w:space="0" w:color="auto"/>
        <w:right w:val="none" w:sz="0" w:space="0" w:color="auto"/>
      </w:divBdr>
    </w:div>
    <w:div w:id="651297365">
      <w:bodyDiv w:val="1"/>
      <w:marLeft w:val="0"/>
      <w:marRight w:val="0"/>
      <w:marTop w:val="0"/>
      <w:marBottom w:val="0"/>
      <w:divBdr>
        <w:top w:val="none" w:sz="0" w:space="0" w:color="auto"/>
        <w:left w:val="none" w:sz="0" w:space="0" w:color="auto"/>
        <w:bottom w:val="none" w:sz="0" w:space="0" w:color="auto"/>
        <w:right w:val="none" w:sz="0" w:space="0" w:color="auto"/>
      </w:divBdr>
    </w:div>
    <w:div w:id="662856473">
      <w:bodyDiv w:val="1"/>
      <w:marLeft w:val="0"/>
      <w:marRight w:val="0"/>
      <w:marTop w:val="0"/>
      <w:marBottom w:val="0"/>
      <w:divBdr>
        <w:top w:val="none" w:sz="0" w:space="0" w:color="auto"/>
        <w:left w:val="none" w:sz="0" w:space="0" w:color="auto"/>
        <w:bottom w:val="none" w:sz="0" w:space="0" w:color="auto"/>
        <w:right w:val="none" w:sz="0" w:space="0" w:color="auto"/>
      </w:divBdr>
    </w:div>
    <w:div w:id="689601188">
      <w:bodyDiv w:val="1"/>
      <w:marLeft w:val="0"/>
      <w:marRight w:val="0"/>
      <w:marTop w:val="0"/>
      <w:marBottom w:val="0"/>
      <w:divBdr>
        <w:top w:val="none" w:sz="0" w:space="0" w:color="auto"/>
        <w:left w:val="none" w:sz="0" w:space="0" w:color="auto"/>
        <w:bottom w:val="none" w:sz="0" w:space="0" w:color="auto"/>
        <w:right w:val="none" w:sz="0" w:space="0" w:color="auto"/>
      </w:divBdr>
      <w:divsChild>
        <w:div w:id="1525902489">
          <w:marLeft w:val="0"/>
          <w:marRight w:val="0"/>
          <w:marTop w:val="200"/>
          <w:marBottom w:val="200"/>
          <w:divBdr>
            <w:top w:val="none" w:sz="0" w:space="0" w:color="auto"/>
            <w:left w:val="none" w:sz="0" w:space="0" w:color="auto"/>
            <w:bottom w:val="none" w:sz="0" w:space="0" w:color="auto"/>
            <w:right w:val="none" w:sz="0" w:space="0" w:color="auto"/>
          </w:divBdr>
        </w:div>
        <w:div w:id="1223905198">
          <w:marLeft w:val="0"/>
          <w:marRight w:val="0"/>
          <w:marTop w:val="200"/>
          <w:marBottom w:val="200"/>
          <w:divBdr>
            <w:top w:val="none" w:sz="0" w:space="0" w:color="auto"/>
            <w:left w:val="none" w:sz="0" w:space="0" w:color="auto"/>
            <w:bottom w:val="none" w:sz="0" w:space="0" w:color="auto"/>
            <w:right w:val="none" w:sz="0" w:space="0" w:color="auto"/>
          </w:divBdr>
        </w:div>
        <w:div w:id="1530603297">
          <w:marLeft w:val="0"/>
          <w:marRight w:val="0"/>
          <w:marTop w:val="200"/>
          <w:marBottom w:val="200"/>
          <w:divBdr>
            <w:top w:val="none" w:sz="0" w:space="0" w:color="auto"/>
            <w:left w:val="none" w:sz="0" w:space="0" w:color="auto"/>
            <w:bottom w:val="none" w:sz="0" w:space="0" w:color="auto"/>
            <w:right w:val="none" w:sz="0" w:space="0" w:color="auto"/>
          </w:divBdr>
        </w:div>
        <w:div w:id="927956766">
          <w:marLeft w:val="0"/>
          <w:marRight w:val="0"/>
          <w:marTop w:val="200"/>
          <w:marBottom w:val="200"/>
          <w:divBdr>
            <w:top w:val="none" w:sz="0" w:space="0" w:color="auto"/>
            <w:left w:val="none" w:sz="0" w:space="0" w:color="auto"/>
            <w:bottom w:val="none" w:sz="0" w:space="0" w:color="auto"/>
            <w:right w:val="none" w:sz="0" w:space="0" w:color="auto"/>
          </w:divBdr>
        </w:div>
        <w:div w:id="1294484140">
          <w:marLeft w:val="0"/>
          <w:marRight w:val="0"/>
          <w:marTop w:val="200"/>
          <w:marBottom w:val="200"/>
          <w:divBdr>
            <w:top w:val="none" w:sz="0" w:space="0" w:color="auto"/>
            <w:left w:val="none" w:sz="0" w:space="0" w:color="auto"/>
            <w:bottom w:val="none" w:sz="0" w:space="0" w:color="auto"/>
            <w:right w:val="none" w:sz="0" w:space="0" w:color="auto"/>
          </w:divBdr>
        </w:div>
        <w:div w:id="1484353382">
          <w:marLeft w:val="0"/>
          <w:marRight w:val="0"/>
          <w:marTop w:val="200"/>
          <w:marBottom w:val="200"/>
          <w:divBdr>
            <w:top w:val="none" w:sz="0" w:space="0" w:color="auto"/>
            <w:left w:val="none" w:sz="0" w:space="0" w:color="auto"/>
            <w:bottom w:val="none" w:sz="0" w:space="0" w:color="auto"/>
            <w:right w:val="none" w:sz="0" w:space="0" w:color="auto"/>
          </w:divBdr>
        </w:div>
        <w:div w:id="1111824763">
          <w:marLeft w:val="0"/>
          <w:marRight w:val="0"/>
          <w:marTop w:val="200"/>
          <w:marBottom w:val="200"/>
          <w:divBdr>
            <w:top w:val="none" w:sz="0" w:space="0" w:color="auto"/>
            <w:left w:val="none" w:sz="0" w:space="0" w:color="auto"/>
            <w:bottom w:val="none" w:sz="0" w:space="0" w:color="auto"/>
            <w:right w:val="none" w:sz="0" w:space="0" w:color="auto"/>
          </w:divBdr>
        </w:div>
        <w:div w:id="227571655">
          <w:marLeft w:val="0"/>
          <w:marRight w:val="0"/>
          <w:marTop w:val="200"/>
          <w:marBottom w:val="200"/>
          <w:divBdr>
            <w:top w:val="none" w:sz="0" w:space="0" w:color="auto"/>
            <w:left w:val="none" w:sz="0" w:space="0" w:color="auto"/>
            <w:bottom w:val="none" w:sz="0" w:space="0" w:color="auto"/>
            <w:right w:val="none" w:sz="0" w:space="0" w:color="auto"/>
          </w:divBdr>
        </w:div>
      </w:divsChild>
    </w:div>
    <w:div w:id="700087013">
      <w:bodyDiv w:val="1"/>
      <w:marLeft w:val="0"/>
      <w:marRight w:val="0"/>
      <w:marTop w:val="0"/>
      <w:marBottom w:val="0"/>
      <w:divBdr>
        <w:top w:val="none" w:sz="0" w:space="0" w:color="auto"/>
        <w:left w:val="none" w:sz="0" w:space="0" w:color="auto"/>
        <w:bottom w:val="none" w:sz="0" w:space="0" w:color="auto"/>
        <w:right w:val="none" w:sz="0" w:space="0" w:color="auto"/>
      </w:divBdr>
    </w:div>
    <w:div w:id="702638750">
      <w:bodyDiv w:val="1"/>
      <w:marLeft w:val="0"/>
      <w:marRight w:val="0"/>
      <w:marTop w:val="0"/>
      <w:marBottom w:val="0"/>
      <w:divBdr>
        <w:top w:val="none" w:sz="0" w:space="0" w:color="auto"/>
        <w:left w:val="none" w:sz="0" w:space="0" w:color="auto"/>
        <w:bottom w:val="none" w:sz="0" w:space="0" w:color="auto"/>
        <w:right w:val="none" w:sz="0" w:space="0" w:color="auto"/>
      </w:divBdr>
    </w:div>
    <w:div w:id="739984704">
      <w:bodyDiv w:val="1"/>
      <w:marLeft w:val="0"/>
      <w:marRight w:val="0"/>
      <w:marTop w:val="0"/>
      <w:marBottom w:val="0"/>
      <w:divBdr>
        <w:top w:val="none" w:sz="0" w:space="0" w:color="auto"/>
        <w:left w:val="none" w:sz="0" w:space="0" w:color="auto"/>
        <w:bottom w:val="none" w:sz="0" w:space="0" w:color="auto"/>
        <w:right w:val="none" w:sz="0" w:space="0" w:color="auto"/>
      </w:divBdr>
    </w:div>
    <w:div w:id="768282656">
      <w:bodyDiv w:val="1"/>
      <w:marLeft w:val="0"/>
      <w:marRight w:val="0"/>
      <w:marTop w:val="0"/>
      <w:marBottom w:val="0"/>
      <w:divBdr>
        <w:top w:val="none" w:sz="0" w:space="0" w:color="auto"/>
        <w:left w:val="none" w:sz="0" w:space="0" w:color="auto"/>
        <w:bottom w:val="none" w:sz="0" w:space="0" w:color="auto"/>
        <w:right w:val="none" w:sz="0" w:space="0" w:color="auto"/>
      </w:divBdr>
    </w:div>
    <w:div w:id="780029770">
      <w:bodyDiv w:val="1"/>
      <w:marLeft w:val="0"/>
      <w:marRight w:val="0"/>
      <w:marTop w:val="0"/>
      <w:marBottom w:val="0"/>
      <w:divBdr>
        <w:top w:val="none" w:sz="0" w:space="0" w:color="auto"/>
        <w:left w:val="none" w:sz="0" w:space="0" w:color="auto"/>
        <w:bottom w:val="none" w:sz="0" w:space="0" w:color="auto"/>
        <w:right w:val="none" w:sz="0" w:space="0" w:color="auto"/>
      </w:divBdr>
    </w:div>
    <w:div w:id="802581966">
      <w:bodyDiv w:val="1"/>
      <w:marLeft w:val="0"/>
      <w:marRight w:val="0"/>
      <w:marTop w:val="0"/>
      <w:marBottom w:val="0"/>
      <w:divBdr>
        <w:top w:val="none" w:sz="0" w:space="0" w:color="auto"/>
        <w:left w:val="none" w:sz="0" w:space="0" w:color="auto"/>
        <w:bottom w:val="none" w:sz="0" w:space="0" w:color="auto"/>
        <w:right w:val="none" w:sz="0" w:space="0" w:color="auto"/>
      </w:divBdr>
    </w:div>
    <w:div w:id="857424562">
      <w:bodyDiv w:val="1"/>
      <w:marLeft w:val="0"/>
      <w:marRight w:val="0"/>
      <w:marTop w:val="0"/>
      <w:marBottom w:val="0"/>
      <w:divBdr>
        <w:top w:val="none" w:sz="0" w:space="0" w:color="auto"/>
        <w:left w:val="none" w:sz="0" w:space="0" w:color="auto"/>
        <w:bottom w:val="none" w:sz="0" w:space="0" w:color="auto"/>
        <w:right w:val="none" w:sz="0" w:space="0" w:color="auto"/>
      </w:divBdr>
    </w:div>
    <w:div w:id="867449214">
      <w:bodyDiv w:val="1"/>
      <w:marLeft w:val="0"/>
      <w:marRight w:val="0"/>
      <w:marTop w:val="0"/>
      <w:marBottom w:val="0"/>
      <w:divBdr>
        <w:top w:val="none" w:sz="0" w:space="0" w:color="auto"/>
        <w:left w:val="none" w:sz="0" w:space="0" w:color="auto"/>
        <w:bottom w:val="none" w:sz="0" w:space="0" w:color="auto"/>
        <w:right w:val="none" w:sz="0" w:space="0" w:color="auto"/>
      </w:divBdr>
    </w:div>
    <w:div w:id="880242364">
      <w:bodyDiv w:val="1"/>
      <w:marLeft w:val="0"/>
      <w:marRight w:val="0"/>
      <w:marTop w:val="0"/>
      <w:marBottom w:val="0"/>
      <w:divBdr>
        <w:top w:val="none" w:sz="0" w:space="0" w:color="auto"/>
        <w:left w:val="none" w:sz="0" w:space="0" w:color="auto"/>
        <w:bottom w:val="none" w:sz="0" w:space="0" w:color="auto"/>
        <w:right w:val="none" w:sz="0" w:space="0" w:color="auto"/>
      </w:divBdr>
    </w:div>
    <w:div w:id="892353704">
      <w:bodyDiv w:val="1"/>
      <w:marLeft w:val="0"/>
      <w:marRight w:val="0"/>
      <w:marTop w:val="0"/>
      <w:marBottom w:val="0"/>
      <w:divBdr>
        <w:top w:val="none" w:sz="0" w:space="0" w:color="auto"/>
        <w:left w:val="none" w:sz="0" w:space="0" w:color="auto"/>
        <w:bottom w:val="none" w:sz="0" w:space="0" w:color="auto"/>
        <w:right w:val="none" w:sz="0" w:space="0" w:color="auto"/>
      </w:divBdr>
    </w:div>
    <w:div w:id="907105855">
      <w:bodyDiv w:val="1"/>
      <w:marLeft w:val="0"/>
      <w:marRight w:val="0"/>
      <w:marTop w:val="0"/>
      <w:marBottom w:val="0"/>
      <w:divBdr>
        <w:top w:val="none" w:sz="0" w:space="0" w:color="auto"/>
        <w:left w:val="none" w:sz="0" w:space="0" w:color="auto"/>
        <w:bottom w:val="none" w:sz="0" w:space="0" w:color="auto"/>
        <w:right w:val="none" w:sz="0" w:space="0" w:color="auto"/>
      </w:divBdr>
    </w:div>
    <w:div w:id="913471520">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75993601">
      <w:bodyDiv w:val="1"/>
      <w:marLeft w:val="0"/>
      <w:marRight w:val="0"/>
      <w:marTop w:val="0"/>
      <w:marBottom w:val="0"/>
      <w:divBdr>
        <w:top w:val="none" w:sz="0" w:space="0" w:color="auto"/>
        <w:left w:val="none" w:sz="0" w:space="0" w:color="auto"/>
        <w:bottom w:val="none" w:sz="0" w:space="0" w:color="auto"/>
        <w:right w:val="none" w:sz="0" w:space="0" w:color="auto"/>
      </w:divBdr>
    </w:div>
    <w:div w:id="990477888">
      <w:bodyDiv w:val="1"/>
      <w:marLeft w:val="0"/>
      <w:marRight w:val="0"/>
      <w:marTop w:val="0"/>
      <w:marBottom w:val="0"/>
      <w:divBdr>
        <w:top w:val="none" w:sz="0" w:space="0" w:color="auto"/>
        <w:left w:val="none" w:sz="0" w:space="0" w:color="auto"/>
        <w:bottom w:val="none" w:sz="0" w:space="0" w:color="auto"/>
        <w:right w:val="none" w:sz="0" w:space="0" w:color="auto"/>
      </w:divBdr>
    </w:div>
    <w:div w:id="1022241534">
      <w:bodyDiv w:val="1"/>
      <w:marLeft w:val="0"/>
      <w:marRight w:val="0"/>
      <w:marTop w:val="0"/>
      <w:marBottom w:val="0"/>
      <w:divBdr>
        <w:top w:val="none" w:sz="0" w:space="0" w:color="auto"/>
        <w:left w:val="none" w:sz="0" w:space="0" w:color="auto"/>
        <w:bottom w:val="none" w:sz="0" w:space="0" w:color="auto"/>
        <w:right w:val="none" w:sz="0" w:space="0" w:color="auto"/>
      </w:divBdr>
    </w:div>
    <w:div w:id="1088886572">
      <w:bodyDiv w:val="1"/>
      <w:marLeft w:val="0"/>
      <w:marRight w:val="0"/>
      <w:marTop w:val="0"/>
      <w:marBottom w:val="0"/>
      <w:divBdr>
        <w:top w:val="none" w:sz="0" w:space="0" w:color="auto"/>
        <w:left w:val="none" w:sz="0" w:space="0" w:color="auto"/>
        <w:bottom w:val="none" w:sz="0" w:space="0" w:color="auto"/>
        <w:right w:val="none" w:sz="0" w:space="0" w:color="auto"/>
      </w:divBdr>
    </w:div>
    <w:div w:id="1096054098">
      <w:bodyDiv w:val="1"/>
      <w:marLeft w:val="0"/>
      <w:marRight w:val="0"/>
      <w:marTop w:val="0"/>
      <w:marBottom w:val="0"/>
      <w:divBdr>
        <w:top w:val="none" w:sz="0" w:space="0" w:color="auto"/>
        <w:left w:val="none" w:sz="0" w:space="0" w:color="auto"/>
        <w:bottom w:val="none" w:sz="0" w:space="0" w:color="auto"/>
        <w:right w:val="none" w:sz="0" w:space="0" w:color="auto"/>
      </w:divBdr>
    </w:div>
    <w:div w:id="1105538392">
      <w:bodyDiv w:val="1"/>
      <w:marLeft w:val="0"/>
      <w:marRight w:val="0"/>
      <w:marTop w:val="0"/>
      <w:marBottom w:val="0"/>
      <w:divBdr>
        <w:top w:val="none" w:sz="0" w:space="0" w:color="auto"/>
        <w:left w:val="none" w:sz="0" w:space="0" w:color="auto"/>
        <w:bottom w:val="none" w:sz="0" w:space="0" w:color="auto"/>
        <w:right w:val="none" w:sz="0" w:space="0" w:color="auto"/>
      </w:divBdr>
    </w:div>
    <w:div w:id="1129517363">
      <w:bodyDiv w:val="1"/>
      <w:marLeft w:val="0"/>
      <w:marRight w:val="0"/>
      <w:marTop w:val="0"/>
      <w:marBottom w:val="0"/>
      <w:divBdr>
        <w:top w:val="none" w:sz="0" w:space="0" w:color="auto"/>
        <w:left w:val="none" w:sz="0" w:space="0" w:color="auto"/>
        <w:bottom w:val="none" w:sz="0" w:space="0" w:color="auto"/>
        <w:right w:val="none" w:sz="0" w:space="0" w:color="auto"/>
      </w:divBdr>
    </w:div>
    <w:div w:id="1129857791">
      <w:bodyDiv w:val="1"/>
      <w:marLeft w:val="0"/>
      <w:marRight w:val="0"/>
      <w:marTop w:val="0"/>
      <w:marBottom w:val="0"/>
      <w:divBdr>
        <w:top w:val="none" w:sz="0" w:space="0" w:color="auto"/>
        <w:left w:val="none" w:sz="0" w:space="0" w:color="auto"/>
        <w:bottom w:val="none" w:sz="0" w:space="0" w:color="auto"/>
        <w:right w:val="none" w:sz="0" w:space="0" w:color="auto"/>
      </w:divBdr>
    </w:div>
    <w:div w:id="1151218976">
      <w:bodyDiv w:val="1"/>
      <w:marLeft w:val="0"/>
      <w:marRight w:val="0"/>
      <w:marTop w:val="0"/>
      <w:marBottom w:val="0"/>
      <w:divBdr>
        <w:top w:val="none" w:sz="0" w:space="0" w:color="auto"/>
        <w:left w:val="none" w:sz="0" w:space="0" w:color="auto"/>
        <w:bottom w:val="none" w:sz="0" w:space="0" w:color="auto"/>
        <w:right w:val="none" w:sz="0" w:space="0" w:color="auto"/>
      </w:divBdr>
    </w:div>
    <w:div w:id="1201479858">
      <w:bodyDiv w:val="1"/>
      <w:marLeft w:val="0"/>
      <w:marRight w:val="0"/>
      <w:marTop w:val="0"/>
      <w:marBottom w:val="0"/>
      <w:divBdr>
        <w:top w:val="none" w:sz="0" w:space="0" w:color="auto"/>
        <w:left w:val="none" w:sz="0" w:space="0" w:color="auto"/>
        <w:bottom w:val="none" w:sz="0" w:space="0" w:color="auto"/>
        <w:right w:val="none" w:sz="0" w:space="0" w:color="auto"/>
      </w:divBdr>
    </w:div>
    <w:div w:id="1221674468">
      <w:bodyDiv w:val="1"/>
      <w:marLeft w:val="0"/>
      <w:marRight w:val="0"/>
      <w:marTop w:val="0"/>
      <w:marBottom w:val="0"/>
      <w:divBdr>
        <w:top w:val="none" w:sz="0" w:space="0" w:color="auto"/>
        <w:left w:val="none" w:sz="0" w:space="0" w:color="auto"/>
        <w:bottom w:val="none" w:sz="0" w:space="0" w:color="auto"/>
        <w:right w:val="none" w:sz="0" w:space="0" w:color="auto"/>
      </w:divBdr>
    </w:div>
    <w:div w:id="1230771893">
      <w:bodyDiv w:val="1"/>
      <w:marLeft w:val="0"/>
      <w:marRight w:val="0"/>
      <w:marTop w:val="0"/>
      <w:marBottom w:val="0"/>
      <w:divBdr>
        <w:top w:val="none" w:sz="0" w:space="0" w:color="auto"/>
        <w:left w:val="none" w:sz="0" w:space="0" w:color="auto"/>
        <w:bottom w:val="none" w:sz="0" w:space="0" w:color="auto"/>
        <w:right w:val="none" w:sz="0" w:space="0" w:color="auto"/>
      </w:divBdr>
    </w:div>
    <w:div w:id="1234580564">
      <w:bodyDiv w:val="1"/>
      <w:marLeft w:val="0"/>
      <w:marRight w:val="0"/>
      <w:marTop w:val="0"/>
      <w:marBottom w:val="0"/>
      <w:divBdr>
        <w:top w:val="none" w:sz="0" w:space="0" w:color="auto"/>
        <w:left w:val="none" w:sz="0" w:space="0" w:color="auto"/>
        <w:bottom w:val="none" w:sz="0" w:space="0" w:color="auto"/>
        <w:right w:val="none" w:sz="0" w:space="0" w:color="auto"/>
      </w:divBdr>
    </w:div>
    <w:div w:id="1234773603">
      <w:bodyDiv w:val="1"/>
      <w:marLeft w:val="0"/>
      <w:marRight w:val="0"/>
      <w:marTop w:val="0"/>
      <w:marBottom w:val="0"/>
      <w:divBdr>
        <w:top w:val="none" w:sz="0" w:space="0" w:color="auto"/>
        <w:left w:val="none" w:sz="0" w:space="0" w:color="auto"/>
        <w:bottom w:val="none" w:sz="0" w:space="0" w:color="auto"/>
        <w:right w:val="none" w:sz="0" w:space="0" w:color="auto"/>
      </w:divBdr>
      <w:divsChild>
        <w:div w:id="956065678">
          <w:marLeft w:val="0"/>
          <w:marRight w:val="0"/>
          <w:marTop w:val="0"/>
          <w:marBottom w:val="0"/>
          <w:divBdr>
            <w:top w:val="none" w:sz="0" w:space="0" w:color="auto"/>
            <w:left w:val="none" w:sz="0" w:space="0" w:color="auto"/>
            <w:bottom w:val="none" w:sz="0" w:space="0" w:color="auto"/>
            <w:right w:val="none" w:sz="0" w:space="0" w:color="auto"/>
          </w:divBdr>
        </w:div>
      </w:divsChild>
    </w:div>
    <w:div w:id="1249921292">
      <w:bodyDiv w:val="1"/>
      <w:marLeft w:val="0"/>
      <w:marRight w:val="0"/>
      <w:marTop w:val="0"/>
      <w:marBottom w:val="0"/>
      <w:divBdr>
        <w:top w:val="none" w:sz="0" w:space="0" w:color="auto"/>
        <w:left w:val="none" w:sz="0" w:space="0" w:color="auto"/>
        <w:bottom w:val="none" w:sz="0" w:space="0" w:color="auto"/>
        <w:right w:val="none" w:sz="0" w:space="0" w:color="auto"/>
      </w:divBdr>
    </w:div>
    <w:div w:id="1270818619">
      <w:bodyDiv w:val="1"/>
      <w:marLeft w:val="0"/>
      <w:marRight w:val="0"/>
      <w:marTop w:val="0"/>
      <w:marBottom w:val="0"/>
      <w:divBdr>
        <w:top w:val="none" w:sz="0" w:space="0" w:color="auto"/>
        <w:left w:val="none" w:sz="0" w:space="0" w:color="auto"/>
        <w:bottom w:val="none" w:sz="0" w:space="0" w:color="auto"/>
        <w:right w:val="none" w:sz="0" w:space="0" w:color="auto"/>
      </w:divBdr>
    </w:div>
    <w:div w:id="1344554479">
      <w:bodyDiv w:val="1"/>
      <w:marLeft w:val="0"/>
      <w:marRight w:val="0"/>
      <w:marTop w:val="0"/>
      <w:marBottom w:val="0"/>
      <w:divBdr>
        <w:top w:val="none" w:sz="0" w:space="0" w:color="auto"/>
        <w:left w:val="none" w:sz="0" w:space="0" w:color="auto"/>
        <w:bottom w:val="none" w:sz="0" w:space="0" w:color="auto"/>
        <w:right w:val="none" w:sz="0" w:space="0" w:color="auto"/>
      </w:divBdr>
      <w:divsChild>
        <w:div w:id="452791295">
          <w:marLeft w:val="0"/>
          <w:marRight w:val="0"/>
          <w:marTop w:val="0"/>
          <w:marBottom w:val="0"/>
          <w:divBdr>
            <w:top w:val="none" w:sz="0" w:space="0" w:color="auto"/>
            <w:left w:val="none" w:sz="0" w:space="0" w:color="auto"/>
            <w:bottom w:val="none" w:sz="0" w:space="0" w:color="auto"/>
            <w:right w:val="none" w:sz="0" w:space="0" w:color="auto"/>
          </w:divBdr>
        </w:div>
      </w:divsChild>
    </w:div>
    <w:div w:id="1383560974">
      <w:bodyDiv w:val="1"/>
      <w:marLeft w:val="0"/>
      <w:marRight w:val="0"/>
      <w:marTop w:val="0"/>
      <w:marBottom w:val="0"/>
      <w:divBdr>
        <w:top w:val="none" w:sz="0" w:space="0" w:color="auto"/>
        <w:left w:val="none" w:sz="0" w:space="0" w:color="auto"/>
        <w:bottom w:val="none" w:sz="0" w:space="0" w:color="auto"/>
        <w:right w:val="none" w:sz="0" w:space="0" w:color="auto"/>
      </w:divBdr>
    </w:div>
    <w:div w:id="1385563099">
      <w:bodyDiv w:val="1"/>
      <w:marLeft w:val="0"/>
      <w:marRight w:val="0"/>
      <w:marTop w:val="0"/>
      <w:marBottom w:val="0"/>
      <w:divBdr>
        <w:top w:val="none" w:sz="0" w:space="0" w:color="auto"/>
        <w:left w:val="none" w:sz="0" w:space="0" w:color="auto"/>
        <w:bottom w:val="none" w:sz="0" w:space="0" w:color="auto"/>
        <w:right w:val="none" w:sz="0" w:space="0" w:color="auto"/>
      </w:divBdr>
    </w:div>
    <w:div w:id="1388993382">
      <w:bodyDiv w:val="1"/>
      <w:marLeft w:val="0"/>
      <w:marRight w:val="0"/>
      <w:marTop w:val="0"/>
      <w:marBottom w:val="0"/>
      <w:divBdr>
        <w:top w:val="none" w:sz="0" w:space="0" w:color="auto"/>
        <w:left w:val="none" w:sz="0" w:space="0" w:color="auto"/>
        <w:bottom w:val="none" w:sz="0" w:space="0" w:color="auto"/>
        <w:right w:val="none" w:sz="0" w:space="0" w:color="auto"/>
      </w:divBdr>
    </w:div>
    <w:div w:id="1389111012">
      <w:bodyDiv w:val="1"/>
      <w:marLeft w:val="0"/>
      <w:marRight w:val="0"/>
      <w:marTop w:val="0"/>
      <w:marBottom w:val="0"/>
      <w:divBdr>
        <w:top w:val="none" w:sz="0" w:space="0" w:color="auto"/>
        <w:left w:val="none" w:sz="0" w:space="0" w:color="auto"/>
        <w:bottom w:val="none" w:sz="0" w:space="0" w:color="auto"/>
        <w:right w:val="none" w:sz="0" w:space="0" w:color="auto"/>
      </w:divBdr>
    </w:div>
    <w:div w:id="1392772192">
      <w:bodyDiv w:val="1"/>
      <w:marLeft w:val="0"/>
      <w:marRight w:val="0"/>
      <w:marTop w:val="0"/>
      <w:marBottom w:val="0"/>
      <w:divBdr>
        <w:top w:val="none" w:sz="0" w:space="0" w:color="auto"/>
        <w:left w:val="none" w:sz="0" w:space="0" w:color="auto"/>
        <w:bottom w:val="none" w:sz="0" w:space="0" w:color="auto"/>
        <w:right w:val="none" w:sz="0" w:space="0" w:color="auto"/>
      </w:divBdr>
    </w:div>
    <w:div w:id="1424375676">
      <w:bodyDiv w:val="1"/>
      <w:marLeft w:val="0"/>
      <w:marRight w:val="0"/>
      <w:marTop w:val="0"/>
      <w:marBottom w:val="0"/>
      <w:divBdr>
        <w:top w:val="none" w:sz="0" w:space="0" w:color="auto"/>
        <w:left w:val="none" w:sz="0" w:space="0" w:color="auto"/>
        <w:bottom w:val="none" w:sz="0" w:space="0" w:color="auto"/>
        <w:right w:val="none" w:sz="0" w:space="0" w:color="auto"/>
      </w:divBdr>
      <w:divsChild>
        <w:div w:id="1635601886">
          <w:marLeft w:val="0"/>
          <w:marRight w:val="0"/>
          <w:marTop w:val="0"/>
          <w:marBottom w:val="0"/>
          <w:divBdr>
            <w:top w:val="none" w:sz="0" w:space="0" w:color="auto"/>
            <w:left w:val="none" w:sz="0" w:space="0" w:color="auto"/>
            <w:bottom w:val="none" w:sz="0" w:space="0" w:color="auto"/>
            <w:right w:val="none" w:sz="0" w:space="0" w:color="auto"/>
          </w:divBdr>
          <w:divsChild>
            <w:div w:id="1450778682">
              <w:marLeft w:val="0"/>
              <w:marRight w:val="0"/>
              <w:marTop w:val="0"/>
              <w:marBottom w:val="0"/>
              <w:divBdr>
                <w:top w:val="none" w:sz="0" w:space="0" w:color="auto"/>
                <w:left w:val="none" w:sz="0" w:space="0" w:color="auto"/>
                <w:bottom w:val="none" w:sz="0" w:space="0" w:color="auto"/>
                <w:right w:val="none" w:sz="0" w:space="0" w:color="auto"/>
              </w:divBdr>
              <w:divsChild>
                <w:div w:id="2041709000">
                  <w:marLeft w:val="0"/>
                  <w:marRight w:val="0"/>
                  <w:marTop w:val="0"/>
                  <w:marBottom w:val="0"/>
                  <w:divBdr>
                    <w:top w:val="none" w:sz="0" w:space="0" w:color="auto"/>
                    <w:left w:val="none" w:sz="0" w:space="0" w:color="auto"/>
                    <w:bottom w:val="none" w:sz="0" w:space="0" w:color="auto"/>
                    <w:right w:val="none" w:sz="0" w:space="0" w:color="auto"/>
                  </w:divBdr>
                  <w:divsChild>
                    <w:div w:id="1568111464">
                      <w:marLeft w:val="0"/>
                      <w:marRight w:val="0"/>
                      <w:marTop w:val="0"/>
                      <w:marBottom w:val="0"/>
                      <w:divBdr>
                        <w:top w:val="none" w:sz="0" w:space="0" w:color="auto"/>
                        <w:left w:val="none" w:sz="0" w:space="0" w:color="auto"/>
                        <w:bottom w:val="none" w:sz="0" w:space="0" w:color="auto"/>
                        <w:right w:val="none" w:sz="0" w:space="0" w:color="auto"/>
                      </w:divBdr>
                      <w:divsChild>
                        <w:div w:id="774397521">
                          <w:marLeft w:val="0"/>
                          <w:marRight w:val="0"/>
                          <w:marTop w:val="0"/>
                          <w:marBottom w:val="0"/>
                          <w:divBdr>
                            <w:top w:val="none" w:sz="0" w:space="0" w:color="auto"/>
                            <w:left w:val="none" w:sz="0" w:space="0" w:color="auto"/>
                            <w:bottom w:val="none" w:sz="0" w:space="0" w:color="auto"/>
                            <w:right w:val="none" w:sz="0" w:space="0" w:color="auto"/>
                          </w:divBdr>
                          <w:divsChild>
                            <w:div w:id="237132047">
                              <w:marLeft w:val="0"/>
                              <w:marRight w:val="0"/>
                              <w:marTop w:val="0"/>
                              <w:marBottom w:val="0"/>
                              <w:divBdr>
                                <w:top w:val="none" w:sz="0" w:space="0" w:color="auto"/>
                                <w:left w:val="none" w:sz="0" w:space="0" w:color="auto"/>
                                <w:bottom w:val="none" w:sz="0" w:space="0" w:color="auto"/>
                                <w:right w:val="none" w:sz="0" w:space="0" w:color="auto"/>
                              </w:divBdr>
                              <w:divsChild>
                                <w:div w:id="1973906406">
                                  <w:marLeft w:val="0"/>
                                  <w:marRight w:val="0"/>
                                  <w:marTop w:val="0"/>
                                  <w:marBottom w:val="0"/>
                                  <w:divBdr>
                                    <w:top w:val="none" w:sz="0" w:space="0" w:color="auto"/>
                                    <w:left w:val="none" w:sz="0" w:space="0" w:color="auto"/>
                                    <w:bottom w:val="none" w:sz="0" w:space="0" w:color="auto"/>
                                    <w:right w:val="none" w:sz="0" w:space="0" w:color="auto"/>
                                  </w:divBdr>
                                  <w:divsChild>
                                    <w:div w:id="832766849">
                                      <w:marLeft w:val="0"/>
                                      <w:marRight w:val="0"/>
                                      <w:marTop w:val="0"/>
                                      <w:marBottom w:val="0"/>
                                      <w:divBdr>
                                        <w:top w:val="none" w:sz="0" w:space="0" w:color="auto"/>
                                        <w:left w:val="none" w:sz="0" w:space="0" w:color="auto"/>
                                        <w:bottom w:val="none" w:sz="0" w:space="0" w:color="auto"/>
                                        <w:right w:val="none" w:sz="0" w:space="0" w:color="auto"/>
                                      </w:divBdr>
                                      <w:divsChild>
                                        <w:div w:id="19596775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46457">
          <w:marLeft w:val="0"/>
          <w:marRight w:val="0"/>
          <w:marTop w:val="0"/>
          <w:marBottom w:val="0"/>
          <w:divBdr>
            <w:top w:val="none" w:sz="0" w:space="0" w:color="auto"/>
            <w:left w:val="none" w:sz="0" w:space="0" w:color="auto"/>
            <w:bottom w:val="none" w:sz="0" w:space="0" w:color="auto"/>
            <w:right w:val="none" w:sz="0" w:space="0" w:color="auto"/>
          </w:divBdr>
          <w:divsChild>
            <w:div w:id="1838837514">
              <w:marLeft w:val="0"/>
              <w:marRight w:val="0"/>
              <w:marTop w:val="0"/>
              <w:marBottom w:val="0"/>
              <w:divBdr>
                <w:top w:val="none" w:sz="0" w:space="0" w:color="auto"/>
                <w:left w:val="none" w:sz="0" w:space="0" w:color="auto"/>
                <w:bottom w:val="none" w:sz="0" w:space="0" w:color="auto"/>
                <w:right w:val="none" w:sz="0" w:space="0" w:color="auto"/>
              </w:divBdr>
              <w:divsChild>
                <w:div w:id="292953793">
                  <w:marLeft w:val="0"/>
                  <w:marRight w:val="0"/>
                  <w:marTop w:val="0"/>
                  <w:marBottom w:val="0"/>
                  <w:divBdr>
                    <w:top w:val="none" w:sz="0" w:space="0" w:color="auto"/>
                    <w:left w:val="none" w:sz="0" w:space="0" w:color="auto"/>
                    <w:bottom w:val="none" w:sz="0" w:space="0" w:color="auto"/>
                    <w:right w:val="none" w:sz="0" w:space="0" w:color="auto"/>
                  </w:divBdr>
                  <w:divsChild>
                    <w:div w:id="627977540">
                      <w:marLeft w:val="0"/>
                      <w:marRight w:val="0"/>
                      <w:marTop w:val="0"/>
                      <w:marBottom w:val="0"/>
                      <w:divBdr>
                        <w:top w:val="none" w:sz="0" w:space="0" w:color="auto"/>
                        <w:left w:val="none" w:sz="0" w:space="0" w:color="auto"/>
                        <w:bottom w:val="none" w:sz="0" w:space="0" w:color="auto"/>
                        <w:right w:val="none" w:sz="0" w:space="0" w:color="auto"/>
                      </w:divBdr>
                      <w:divsChild>
                        <w:div w:id="532810572">
                          <w:marLeft w:val="0"/>
                          <w:marRight w:val="0"/>
                          <w:marTop w:val="0"/>
                          <w:marBottom w:val="0"/>
                          <w:divBdr>
                            <w:top w:val="none" w:sz="0" w:space="0" w:color="auto"/>
                            <w:left w:val="none" w:sz="0" w:space="0" w:color="auto"/>
                            <w:bottom w:val="none" w:sz="0" w:space="0" w:color="auto"/>
                            <w:right w:val="none" w:sz="0" w:space="0" w:color="auto"/>
                          </w:divBdr>
                          <w:divsChild>
                            <w:div w:id="1822306298">
                              <w:marLeft w:val="0"/>
                              <w:marRight w:val="0"/>
                              <w:marTop w:val="0"/>
                              <w:marBottom w:val="0"/>
                              <w:divBdr>
                                <w:top w:val="none" w:sz="0" w:space="0" w:color="auto"/>
                                <w:left w:val="none" w:sz="0" w:space="0" w:color="auto"/>
                                <w:bottom w:val="none" w:sz="0" w:space="0" w:color="auto"/>
                                <w:right w:val="none" w:sz="0" w:space="0" w:color="auto"/>
                              </w:divBdr>
                            </w:div>
                            <w:div w:id="661280445">
                              <w:marLeft w:val="0"/>
                              <w:marRight w:val="0"/>
                              <w:marTop w:val="0"/>
                              <w:marBottom w:val="0"/>
                              <w:divBdr>
                                <w:top w:val="none" w:sz="0" w:space="0" w:color="auto"/>
                                <w:left w:val="none" w:sz="0" w:space="0" w:color="auto"/>
                                <w:bottom w:val="none" w:sz="0" w:space="0" w:color="auto"/>
                                <w:right w:val="none" w:sz="0" w:space="0" w:color="auto"/>
                              </w:divBdr>
                              <w:divsChild>
                                <w:div w:id="573130935">
                                  <w:marLeft w:val="0"/>
                                  <w:marRight w:val="0"/>
                                  <w:marTop w:val="0"/>
                                  <w:marBottom w:val="0"/>
                                  <w:divBdr>
                                    <w:top w:val="none" w:sz="0" w:space="0" w:color="auto"/>
                                    <w:left w:val="none" w:sz="0" w:space="0" w:color="auto"/>
                                    <w:bottom w:val="none" w:sz="0" w:space="0" w:color="auto"/>
                                    <w:right w:val="none" w:sz="0" w:space="0" w:color="auto"/>
                                  </w:divBdr>
                                </w:div>
                                <w:div w:id="861430839">
                                  <w:marLeft w:val="0"/>
                                  <w:marRight w:val="0"/>
                                  <w:marTop w:val="0"/>
                                  <w:marBottom w:val="0"/>
                                  <w:divBdr>
                                    <w:top w:val="none" w:sz="0" w:space="0" w:color="auto"/>
                                    <w:left w:val="none" w:sz="0" w:space="0" w:color="auto"/>
                                    <w:bottom w:val="none" w:sz="0" w:space="0" w:color="auto"/>
                                    <w:right w:val="none" w:sz="0" w:space="0" w:color="auto"/>
                                  </w:divBdr>
                                </w:div>
                                <w:div w:id="1220627973">
                                  <w:marLeft w:val="0"/>
                                  <w:marRight w:val="0"/>
                                  <w:marTop w:val="0"/>
                                  <w:marBottom w:val="0"/>
                                  <w:divBdr>
                                    <w:top w:val="none" w:sz="0" w:space="0" w:color="auto"/>
                                    <w:left w:val="none" w:sz="0" w:space="0" w:color="auto"/>
                                    <w:bottom w:val="none" w:sz="0" w:space="0" w:color="auto"/>
                                    <w:right w:val="none" w:sz="0" w:space="0" w:color="auto"/>
                                  </w:divBdr>
                                </w:div>
                                <w:div w:id="875118310">
                                  <w:marLeft w:val="0"/>
                                  <w:marRight w:val="0"/>
                                  <w:marTop w:val="0"/>
                                  <w:marBottom w:val="0"/>
                                  <w:divBdr>
                                    <w:top w:val="none" w:sz="0" w:space="0" w:color="auto"/>
                                    <w:left w:val="none" w:sz="0" w:space="0" w:color="auto"/>
                                    <w:bottom w:val="none" w:sz="0" w:space="0" w:color="auto"/>
                                    <w:right w:val="none" w:sz="0" w:space="0" w:color="auto"/>
                                  </w:divBdr>
                                </w:div>
                              </w:divsChild>
                            </w:div>
                            <w:div w:id="267857187">
                              <w:marLeft w:val="0"/>
                              <w:marRight w:val="0"/>
                              <w:marTop w:val="0"/>
                              <w:marBottom w:val="0"/>
                              <w:divBdr>
                                <w:top w:val="none" w:sz="0" w:space="0" w:color="auto"/>
                                <w:left w:val="none" w:sz="0" w:space="0" w:color="auto"/>
                                <w:bottom w:val="none" w:sz="0" w:space="0" w:color="auto"/>
                                <w:right w:val="none" w:sz="0" w:space="0" w:color="auto"/>
                              </w:divBdr>
                              <w:divsChild>
                                <w:div w:id="757100031">
                                  <w:marLeft w:val="0"/>
                                  <w:marRight w:val="0"/>
                                  <w:marTop w:val="0"/>
                                  <w:marBottom w:val="0"/>
                                  <w:divBdr>
                                    <w:top w:val="none" w:sz="0" w:space="0" w:color="auto"/>
                                    <w:left w:val="none" w:sz="0" w:space="0" w:color="auto"/>
                                    <w:bottom w:val="none" w:sz="0" w:space="0" w:color="auto"/>
                                    <w:right w:val="none" w:sz="0" w:space="0" w:color="auto"/>
                                  </w:divBdr>
                                </w:div>
                                <w:div w:id="1930504214">
                                  <w:marLeft w:val="0"/>
                                  <w:marRight w:val="0"/>
                                  <w:marTop w:val="0"/>
                                  <w:marBottom w:val="0"/>
                                  <w:divBdr>
                                    <w:top w:val="none" w:sz="0" w:space="0" w:color="auto"/>
                                    <w:left w:val="none" w:sz="0" w:space="0" w:color="auto"/>
                                    <w:bottom w:val="none" w:sz="0" w:space="0" w:color="auto"/>
                                    <w:right w:val="none" w:sz="0" w:space="0" w:color="auto"/>
                                  </w:divBdr>
                                </w:div>
                                <w:div w:id="1863006043">
                                  <w:marLeft w:val="0"/>
                                  <w:marRight w:val="0"/>
                                  <w:marTop w:val="0"/>
                                  <w:marBottom w:val="0"/>
                                  <w:divBdr>
                                    <w:top w:val="none" w:sz="0" w:space="0" w:color="auto"/>
                                    <w:left w:val="none" w:sz="0" w:space="0" w:color="auto"/>
                                    <w:bottom w:val="none" w:sz="0" w:space="0" w:color="auto"/>
                                    <w:right w:val="none" w:sz="0" w:space="0" w:color="auto"/>
                                  </w:divBdr>
                                </w:div>
                                <w:div w:id="1134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3316">
      <w:bodyDiv w:val="1"/>
      <w:marLeft w:val="0"/>
      <w:marRight w:val="0"/>
      <w:marTop w:val="0"/>
      <w:marBottom w:val="0"/>
      <w:divBdr>
        <w:top w:val="none" w:sz="0" w:space="0" w:color="auto"/>
        <w:left w:val="none" w:sz="0" w:space="0" w:color="auto"/>
        <w:bottom w:val="none" w:sz="0" w:space="0" w:color="auto"/>
        <w:right w:val="none" w:sz="0" w:space="0" w:color="auto"/>
      </w:divBdr>
    </w:div>
    <w:div w:id="1553227132">
      <w:bodyDiv w:val="1"/>
      <w:marLeft w:val="0"/>
      <w:marRight w:val="0"/>
      <w:marTop w:val="0"/>
      <w:marBottom w:val="0"/>
      <w:divBdr>
        <w:top w:val="none" w:sz="0" w:space="0" w:color="auto"/>
        <w:left w:val="none" w:sz="0" w:space="0" w:color="auto"/>
        <w:bottom w:val="none" w:sz="0" w:space="0" w:color="auto"/>
        <w:right w:val="none" w:sz="0" w:space="0" w:color="auto"/>
      </w:divBdr>
    </w:div>
    <w:div w:id="1553301023">
      <w:bodyDiv w:val="1"/>
      <w:marLeft w:val="0"/>
      <w:marRight w:val="0"/>
      <w:marTop w:val="0"/>
      <w:marBottom w:val="0"/>
      <w:divBdr>
        <w:top w:val="none" w:sz="0" w:space="0" w:color="auto"/>
        <w:left w:val="none" w:sz="0" w:space="0" w:color="auto"/>
        <w:bottom w:val="none" w:sz="0" w:space="0" w:color="auto"/>
        <w:right w:val="none" w:sz="0" w:space="0" w:color="auto"/>
      </w:divBdr>
    </w:div>
    <w:div w:id="1554347858">
      <w:bodyDiv w:val="1"/>
      <w:marLeft w:val="0"/>
      <w:marRight w:val="0"/>
      <w:marTop w:val="0"/>
      <w:marBottom w:val="0"/>
      <w:divBdr>
        <w:top w:val="none" w:sz="0" w:space="0" w:color="auto"/>
        <w:left w:val="none" w:sz="0" w:space="0" w:color="auto"/>
        <w:bottom w:val="none" w:sz="0" w:space="0" w:color="auto"/>
        <w:right w:val="none" w:sz="0" w:space="0" w:color="auto"/>
      </w:divBdr>
    </w:div>
    <w:div w:id="1569028697">
      <w:bodyDiv w:val="1"/>
      <w:marLeft w:val="0"/>
      <w:marRight w:val="0"/>
      <w:marTop w:val="0"/>
      <w:marBottom w:val="0"/>
      <w:divBdr>
        <w:top w:val="none" w:sz="0" w:space="0" w:color="auto"/>
        <w:left w:val="none" w:sz="0" w:space="0" w:color="auto"/>
        <w:bottom w:val="none" w:sz="0" w:space="0" w:color="auto"/>
        <w:right w:val="none" w:sz="0" w:space="0" w:color="auto"/>
      </w:divBdr>
      <w:divsChild>
        <w:div w:id="1477533484">
          <w:marLeft w:val="0"/>
          <w:marRight w:val="0"/>
          <w:marTop w:val="200"/>
          <w:marBottom w:val="200"/>
          <w:divBdr>
            <w:top w:val="none" w:sz="0" w:space="0" w:color="auto"/>
            <w:left w:val="none" w:sz="0" w:space="0" w:color="auto"/>
            <w:bottom w:val="none" w:sz="0" w:space="0" w:color="auto"/>
            <w:right w:val="none" w:sz="0" w:space="0" w:color="auto"/>
          </w:divBdr>
        </w:div>
        <w:div w:id="1359355244">
          <w:marLeft w:val="0"/>
          <w:marRight w:val="0"/>
          <w:marTop w:val="200"/>
          <w:marBottom w:val="200"/>
          <w:divBdr>
            <w:top w:val="none" w:sz="0" w:space="0" w:color="auto"/>
            <w:left w:val="none" w:sz="0" w:space="0" w:color="auto"/>
            <w:bottom w:val="none" w:sz="0" w:space="0" w:color="auto"/>
            <w:right w:val="none" w:sz="0" w:space="0" w:color="auto"/>
          </w:divBdr>
        </w:div>
        <w:div w:id="1453935753">
          <w:marLeft w:val="0"/>
          <w:marRight w:val="0"/>
          <w:marTop w:val="200"/>
          <w:marBottom w:val="200"/>
          <w:divBdr>
            <w:top w:val="none" w:sz="0" w:space="0" w:color="auto"/>
            <w:left w:val="none" w:sz="0" w:space="0" w:color="auto"/>
            <w:bottom w:val="none" w:sz="0" w:space="0" w:color="auto"/>
            <w:right w:val="none" w:sz="0" w:space="0" w:color="auto"/>
          </w:divBdr>
        </w:div>
        <w:div w:id="1156340057">
          <w:marLeft w:val="0"/>
          <w:marRight w:val="0"/>
          <w:marTop w:val="200"/>
          <w:marBottom w:val="200"/>
          <w:divBdr>
            <w:top w:val="none" w:sz="0" w:space="0" w:color="auto"/>
            <w:left w:val="none" w:sz="0" w:space="0" w:color="auto"/>
            <w:bottom w:val="none" w:sz="0" w:space="0" w:color="auto"/>
            <w:right w:val="none" w:sz="0" w:space="0" w:color="auto"/>
          </w:divBdr>
        </w:div>
      </w:divsChild>
    </w:div>
    <w:div w:id="1610820826">
      <w:bodyDiv w:val="1"/>
      <w:marLeft w:val="0"/>
      <w:marRight w:val="0"/>
      <w:marTop w:val="0"/>
      <w:marBottom w:val="0"/>
      <w:divBdr>
        <w:top w:val="none" w:sz="0" w:space="0" w:color="auto"/>
        <w:left w:val="none" w:sz="0" w:space="0" w:color="auto"/>
        <w:bottom w:val="none" w:sz="0" w:space="0" w:color="auto"/>
        <w:right w:val="none" w:sz="0" w:space="0" w:color="auto"/>
      </w:divBdr>
    </w:div>
    <w:div w:id="1659113739">
      <w:bodyDiv w:val="1"/>
      <w:marLeft w:val="0"/>
      <w:marRight w:val="0"/>
      <w:marTop w:val="0"/>
      <w:marBottom w:val="0"/>
      <w:divBdr>
        <w:top w:val="none" w:sz="0" w:space="0" w:color="auto"/>
        <w:left w:val="none" w:sz="0" w:space="0" w:color="auto"/>
        <w:bottom w:val="none" w:sz="0" w:space="0" w:color="auto"/>
        <w:right w:val="none" w:sz="0" w:space="0" w:color="auto"/>
      </w:divBdr>
    </w:div>
    <w:div w:id="1696929014">
      <w:bodyDiv w:val="1"/>
      <w:marLeft w:val="0"/>
      <w:marRight w:val="0"/>
      <w:marTop w:val="0"/>
      <w:marBottom w:val="0"/>
      <w:divBdr>
        <w:top w:val="none" w:sz="0" w:space="0" w:color="auto"/>
        <w:left w:val="none" w:sz="0" w:space="0" w:color="auto"/>
        <w:bottom w:val="none" w:sz="0" w:space="0" w:color="auto"/>
        <w:right w:val="none" w:sz="0" w:space="0" w:color="auto"/>
      </w:divBdr>
    </w:div>
    <w:div w:id="1707440094">
      <w:bodyDiv w:val="1"/>
      <w:marLeft w:val="0"/>
      <w:marRight w:val="0"/>
      <w:marTop w:val="0"/>
      <w:marBottom w:val="0"/>
      <w:divBdr>
        <w:top w:val="none" w:sz="0" w:space="0" w:color="auto"/>
        <w:left w:val="none" w:sz="0" w:space="0" w:color="auto"/>
        <w:bottom w:val="none" w:sz="0" w:space="0" w:color="auto"/>
        <w:right w:val="none" w:sz="0" w:space="0" w:color="auto"/>
      </w:divBdr>
    </w:div>
    <w:div w:id="1732581153">
      <w:bodyDiv w:val="1"/>
      <w:marLeft w:val="0"/>
      <w:marRight w:val="0"/>
      <w:marTop w:val="0"/>
      <w:marBottom w:val="0"/>
      <w:divBdr>
        <w:top w:val="none" w:sz="0" w:space="0" w:color="auto"/>
        <w:left w:val="none" w:sz="0" w:space="0" w:color="auto"/>
        <w:bottom w:val="none" w:sz="0" w:space="0" w:color="auto"/>
        <w:right w:val="none" w:sz="0" w:space="0" w:color="auto"/>
      </w:divBdr>
    </w:div>
    <w:div w:id="1733768686">
      <w:bodyDiv w:val="1"/>
      <w:marLeft w:val="0"/>
      <w:marRight w:val="0"/>
      <w:marTop w:val="0"/>
      <w:marBottom w:val="0"/>
      <w:divBdr>
        <w:top w:val="none" w:sz="0" w:space="0" w:color="auto"/>
        <w:left w:val="none" w:sz="0" w:space="0" w:color="auto"/>
        <w:bottom w:val="none" w:sz="0" w:space="0" w:color="auto"/>
        <w:right w:val="none" w:sz="0" w:space="0" w:color="auto"/>
      </w:divBdr>
    </w:div>
    <w:div w:id="1740133623">
      <w:bodyDiv w:val="1"/>
      <w:marLeft w:val="0"/>
      <w:marRight w:val="0"/>
      <w:marTop w:val="0"/>
      <w:marBottom w:val="0"/>
      <w:divBdr>
        <w:top w:val="none" w:sz="0" w:space="0" w:color="auto"/>
        <w:left w:val="none" w:sz="0" w:space="0" w:color="auto"/>
        <w:bottom w:val="none" w:sz="0" w:space="0" w:color="auto"/>
        <w:right w:val="none" w:sz="0" w:space="0" w:color="auto"/>
      </w:divBdr>
    </w:div>
    <w:div w:id="1779832239">
      <w:bodyDiv w:val="1"/>
      <w:marLeft w:val="0"/>
      <w:marRight w:val="0"/>
      <w:marTop w:val="0"/>
      <w:marBottom w:val="0"/>
      <w:divBdr>
        <w:top w:val="none" w:sz="0" w:space="0" w:color="auto"/>
        <w:left w:val="none" w:sz="0" w:space="0" w:color="auto"/>
        <w:bottom w:val="none" w:sz="0" w:space="0" w:color="auto"/>
        <w:right w:val="none" w:sz="0" w:space="0" w:color="auto"/>
      </w:divBdr>
    </w:div>
    <w:div w:id="1841504767">
      <w:bodyDiv w:val="1"/>
      <w:marLeft w:val="0"/>
      <w:marRight w:val="0"/>
      <w:marTop w:val="0"/>
      <w:marBottom w:val="0"/>
      <w:divBdr>
        <w:top w:val="none" w:sz="0" w:space="0" w:color="auto"/>
        <w:left w:val="none" w:sz="0" w:space="0" w:color="auto"/>
        <w:bottom w:val="none" w:sz="0" w:space="0" w:color="auto"/>
        <w:right w:val="none" w:sz="0" w:space="0" w:color="auto"/>
      </w:divBdr>
    </w:div>
    <w:div w:id="1891071716">
      <w:bodyDiv w:val="1"/>
      <w:marLeft w:val="0"/>
      <w:marRight w:val="0"/>
      <w:marTop w:val="0"/>
      <w:marBottom w:val="0"/>
      <w:divBdr>
        <w:top w:val="none" w:sz="0" w:space="0" w:color="auto"/>
        <w:left w:val="none" w:sz="0" w:space="0" w:color="auto"/>
        <w:bottom w:val="none" w:sz="0" w:space="0" w:color="auto"/>
        <w:right w:val="none" w:sz="0" w:space="0" w:color="auto"/>
      </w:divBdr>
    </w:div>
    <w:div w:id="1908832205">
      <w:bodyDiv w:val="1"/>
      <w:marLeft w:val="0"/>
      <w:marRight w:val="0"/>
      <w:marTop w:val="0"/>
      <w:marBottom w:val="0"/>
      <w:divBdr>
        <w:top w:val="none" w:sz="0" w:space="0" w:color="auto"/>
        <w:left w:val="none" w:sz="0" w:space="0" w:color="auto"/>
        <w:bottom w:val="none" w:sz="0" w:space="0" w:color="auto"/>
        <w:right w:val="none" w:sz="0" w:space="0" w:color="auto"/>
      </w:divBdr>
      <w:divsChild>
        <w:div w:id="1245646891">
          <w:marLeft w:val="0"/>
          <w:marRight w:val="0"/>
          <w:marTop w:val="200"/>
          <w:marBottom w:val="200"/>
          <w:divBdr>
            <w:top w:val="none" w:sz="0" w:space="0" w:color="auto"/>
            <w:left w:val="none" w:sz="0" w:space="0" w:color="auto"/>
            <w:bottom w:val="none" w:sz="0" w:space="0" w:color="auto"/>
            <w:right w:val="none" w:sz="0" w:space="0" w:color="auto"/>
          </w:divBdr>
        </w:div>
        <w:div w:id="1086923800">
          <w:marLeft w:val="0"/>
          <w:marRight w:val="0"/>
          <w:marTop w:val="200"/>
          <w:marBottom w:val="200"/>
          <w:divBdr>
            <w:top w:val="none" w:sz="0" w:space="0" w:color="auto"/>
            <w:left w:val="none" w:sz="0" w:space="0" w:color="auto"/>
            <w:bottom w:val="none" w:sz="0" w:space="0" w:color="auto"/>
            <w:right w:val="none" w:sz="0" w:space="0" w:color="auto"/>
          </w:divBdr>
        </w:div>
        <w:div w:id="1109282020">
          <w:marLeft w:val="0"/>
          <w:marRight w:val="0"/>
          <w:marTop w:val="200"/>
          <w:marBottom w:val="200"/>
          <w:divBdr>
            <w:top w:val="none" w:sz="0" w:space="0" w:color="auto"/>
            <w:left w:val="none" w:sz="0" w:space="0" w:color="auto"/>
            <w:bottom w:val="none" w:sz="0" w:space="0" w:color="auto"/>
            <w:right w:val="none" w:sz="0" w:space="0" w:color="auto"/>
          </w:divBdr>
        </w:div>
        <w:div w:id="2006471683">
          <w:marLeft w:val="0"/>
          <w:marRight w:val="0"/>
          <w:marTop w:val="200"/>
          <w:marBottom w:val="200"/>
          <w:divBdr>
            <w:top w:val="none" w:sz="0" w:space="0" w:color="auto"/>
            <w:left w:val="none" w:sz="0" w:space="0" w:color="auto"/>
            <w:bottom w:val="none" w:sz="0" w:space="0" w:color="auto"/>
            <w:right w:val="none" w:sz="0" w:space="0" w:color="auto"/>
          </w:divBdr>
        </w:div>
        <w:div w:id="363558964">
          <w:marLeft w:val="0"/>
          <w:marRight w:val="0"/>
          <w:marTop w:val="200"/>
          <w:marBottom w:val="200"/>
          <w:divBdr>
            <w:top w:val="none" w:sz="0" w:space="0" w:color="auto"/>
            <w:left w:val="none" w:sz="0" w:space="0" w:color="auto"/>
            <w:bottom w:val="none" w:sz="0" w:space="0" w:color="auto"/>
            <w:right w:val="none" w:sz="0" w:space="0" w:color="auto"/>
          </w:divBdr>
        </w:div>
        <w:div w:id="144321225">
          <w:marLeft w:val="0"/>
          <w:marRight w:val="0"/>
          <w:marTop w:val="200"/>
          <w:marBottom w:val="200"/>
          <w:divBdr>
            <w:top w:val="none" w:sz="0" w:space="0" w:color="auto"/>
            <w:left w:val="none" w:sz="0" w:space="0" w:color="auto"/>
            <w:bottom w:val="none" w:sz="0" w:space="0" w:color="auto"/>
            <w:right w:val="none" w:sz="0" w:space="0" w:color="auto"/>
          </w:divBdr>
        </w:div>
      </w:divsChild>
    </w:div>
    <w:div w:id="1985116956">
      <w:bodyDiv w:val="1"/>
      <w:marLeft w:val="0"/>
      <w:marRight w:val="0"/>
      <w:marTop w:val="0"/>
      <w:marBottom w:val="0"/>
      <w:divBdr>
        <w:top w:val="none" w:sz="0" w:space="0" w:color="auto"/>
        <w:left w:val="none" w:sz="0" w:space="0" w:color="auto"/>
        <w:bottom w:val="none" w:sz="0" w:space="0" w:color="auto"/>
        <w:right w:val="none" w:sz="0" w:space="0" w:color="auto"/>
      </w:divBdr>
    </w:div>
    <w:div w:id="2009091956">
      <w:bodyDiv w:val="1"/>
      <w:marLeft w:val="0"/>
      <w:marRight w:val="0"/>
      <w:marTop w:val="0"/>
      <w:marBottom w:val="0"/>
      <w:divBdr>
        <w:top w:val="none" w:sz="0" w:space="0" w:color="auto"/>
        <w:left w:val="none" w:sz="0" w:space="0" w:color="auto"/>
        <w:bottom w:val="none" w:sz="0" w:space="0" w:color="auto"/>
        <w:right w:val="none" w:sz="0" w:space="0" w:color="auto"/>
      </w:divBdr>
    </w:div>
    <w:div w:id="2013603746">
      <w:bodyDiv w:val="1"/>
      <w:marLeft w:val="0"/>
      <w:marRight w:val="0"/>
      <w:marTop w:val="0"/>
      <w:marBottom w:val="0"/>
      <w:divBdr>
        <w:top w:val="none" w:sz="0" w:space="0" w:color="auto"/>
        <w:left w:val="none" w:sz="0" w:space="0" w:color="auto"/>
        <w:bottom w:val="none" w:sz="0" w:space="0" w:color="auto"/>
        <w:right w:val="none" w:sz="0" w:space="0" w:color="auto"/>
      </w:divBdr>
    </w:div>
    <w:div w:id="2048334572">
      <w:bodyDiv w:val="1"/>
      <w:marLeft w:val="0"/>
      <w:marRight w:val="0"/>
      <w:marTop w:val="0"/>
      <w:marBottom w:val="0"/>
      <w:divBdr>
        <w:top w:val="none" w:sz="0" w:space="0" w:color="auto"/>
        <w:left w:val="none" w:sz="0" w:space="0" w:color="auto"/>
        <w:bottom w:val="none" w:sz="0" w:space="0" w:color="auto"/>
        <w:right w:val="none" w:sz="0" w:space="0" w:color="auto"/>
      </w:divBdr>
    </w:div>
    <w:div w:id="2058772664">
      <w:bodyDiv w:val="1"/>
      <w:marLeft w:val="0"/>
      <w:marRight w:val="0"/>
      <w:marTop w:val="0"/>
      <w:marBottom w:val="0"/>
      <w:divBdr>
        <w:top w:val="none" w:sz="0" w:space="0" w:color="auto"/>
        <w:left w:val="none" w:sz="0" w:space="0" w:color="auto"/>
        <w:bottom w:val="none" w:sz="0" w:space="0" w:color="auto"/>
        <w:right w:val="none" w:sz="0" w:space="0" w:color="auto"/>
      </w:divBdr>
    </w:div>
    <w:div w:id="20708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2E291-B0DE-4375-A355-CFD09143D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25</Pages>
  <Words>6623</Words>
  <Characters>37753</Characters>
  <Application>Microsoft Office Word</Application>
  <DocSecurity>0</DocSecurity>
  <Lines>314</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CPU SDI 1080</cp:lastModifiedBy>
  <cp:revision>218</cp:revision>
  <dcterms:created xsi:type="dcterms:W3CDTF">2024-07-03T18:11:00Z</dcterms:created>
  <dcterms:modified xsi:type="dcterms:W3CDTF">2025-06-21T12:56:00Z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f22396da8ad28050cbe5d3e649fac72ee406f6986d5a9c76c1d8c0549e8d406a</vt:lpwstr>
  </property>
</Properties>
</file>