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857E" w14:textId="77777777" w:rsidR="00687320" w:rsidRDefault="00000000">
      <w:pPr>
        <w:pStyle w:val="NormalWeb"/>
        <w:spacing w:line="360" w:lineRule="auto"/>
        <w:jc w:val="both"/>
        <w:rPr>
          <w:rFonts w:ascii="Arial" w:hAnsi="Arial" w:cs="Arial"/>
          <w:b/>
          <w:bCs/>
          <w:sz w:val="36"/>
          <w:szCs w:val="36"/>
        </w:rPr>
      </w:pPr>
      <w:r>
        <w:rPr>
          <w:rFonts w:ascii="Arial" w:hAnsi="Arial" w:cs="Arial"/>
          <w:b/>
          <w:bCs/>
          <w:sz w:val="36"/>
          <w:szCs w:val="36"/>
        </w:rPr>
        <w:t xml:space="preserve">Original Research Article </w:t>
      </w:r>
    </w:p>
    <w:p w14:paraId="6D11306D" w14:textId="77777777" w:rsidR="00687320" w:rsidRDefault="00687320">
      <w:pPr>
        <w:pStyle w:val="NormalWeb"/>
        <w:spacing w:line="360" w:lineRule="auto"/>
        <w:jc w:val="both"/>
        <w:rPr>
          <w:rFonts w:ascii="Arial" w:hAnsi="Arial" w:cs="Arial"/>
          <w:b/>
          <w:bCs/>
          <w:sz w:val="36"/>
          <w:szCs w:val="36"/>
        </w:rPr>
      </w:pPr>
    </w:p>
    <w:p w14:paraId="7026F4D3" w14:textId="4D8814A6" w:rsidR="00687320" w:rsidRDefault="00AA464B">
      <w:pPr>
        <w:pStyle w:val="NormalWeb"/>
        <w:spacing w:line="360" w:lineRule="auto"/>
        <w:jc w:val="both"/>
        <w:rPr>
          <w:rFonts w:ascii="Arial" w:eastAsia="Times New Roman" w:hAnsi="Arial" w:cs="Arial"/>
          <w:b/>
          <w:bCs/>
          <w:sz w:val="28"/>
          <w:szCs w:val="28"/>
        </w:rPr>
      </w:pPr>
      <w:r w:rsidRPr="00AA464B">
        <w:rPr>
          <w:rFonts w:ascii="Arial" w:hAnsi="Arial" w:cs="Arial"/>
          <w:b/>
          <w:bCs/>
          <w:sz w:val="36"/>
          <w:szCs w:val="36"/>
          <w:highlight w:val="yellow"/>
        </w:rPr>
        <w:t xml:space="preserve">Hypothalamic obesity </w:t>
      </w:r>
      <w:r w:rsidRPr="00AA464B">
        <w:rPr>
          <w:rFonts w:ascii="Arial" w:hAnsi="Arial" w:cs="Arial"/>
          <w:b/>
          <w:bCs/>
          <w:sz w:val="36"/>
          <w:szCs w:val="36"/>
          <w:highlight w:val="yellow"/>
        </w:rPr>
        <w:t>reduces</w:t>
      </w:r>
      <w:r w:rsidRPr="00AA464B">
        <w:rPr>
          <w:rFonts w:ascii="Arial" w:hAnsi="Arial" w:cs="Arial"/>
          <w:b/>
          <w:bCs/>
          <w:sz w:val="36"/>
          <w:szCs w:val="36"/>
          <w:highlight w:val="yellow"/>
        </w:rPr>
        <w:t xml:space="preserve"> of orthodontic tooth movement and causes alterations in the dental pulp of female rats</w:t>
      </w:r>
    </w:p>
    <w:p w14:paraId="218B2D5A" w14:textId="77777777" w:rsidR="00687320" w:rsidRDefault="00687320">
      <w:pPr>
        <w:pStyle w:val="NormalWeb"/>
        <w:spacing w:line="360" w:lineRule="auto"/>
        <w:jc w:val="both"/>
        <w:rPr>
          <w:rFonts w:ascii="Arial" w:eastAsia="Times New Roman" w:hAnsi="Arial" w:cs="Arial"/>
          <w:b/>
          <w:bCs/>
          <w:sz w:val="28"/>
          <w:szCs w:val="28"/>
        </w:rPr>
      </w:pPr>
    </w:p>
    <w:p w14:paraId="7357A258" w14:textId="77777777" w:rsidR="00687320" w:rsidRDefault="00687320">
      <w:pPr>
        <w:pStyle w:val="NormalWeb"/>
        <w:spacing w:line="480" w:lineRule="auto"/>
        <w:jc w:val="both"/>
        <w:rPr>
          <w:rFonts w:ascii="Arial" w:eastAsia="Times New Roman" w:hAnsi="Arial" w:cs="Arial"/>
          <w:lang w:val="pt-PT"/>
        </w:rPr>
      </w:pPr>
    </w:p>
    <w:p w14:paraId="03FC0335" w14:textId="77777777" w:rsidR="00687320" w:rsidRDefault="00000000">
      <w:pPr>
        <w:pStyle w:val="NormalWeb"/>
        <w:spacing w:line="480" w:lineRule="auto"/>
        <w:rPr>
          <w:rFonts w:ascii="Arial" w:hAnsi="Arial" w:cs="Arial"/>
          <w:b/>
          <w:bCs/>
        </w:rPr>
      </w:pPr>
      <w:r>
        <w:rPr>
          <w:rFonts w:ascii="Arial" w:hAnsi="Arial" w:cs="Arial"/>
          <w:b/>
          <w:bCs/>
        </w:rPr>
        <w:t>ABSTRACT</w:t>
      </w:r>
    </w:p>
    <w:p w14:paraId="7613B7D5" w14:textId="77777777" w:rsidR="00687320" w:rsidRDefault="00000000">
      <w:pPr>
        <w:pStyle w:val="NormalWeb"/>
        <w:spacing w:line="480" w:lineRule="auto"/>
        <w:jc w:val="both"/>
        <w:rPr>
          <w:rFonts w:ascii="Arial" w:eastAsia="Times New Roman" w:hAnsi="Arial" w:cs="Arial"/>
          <w:lang w:val="pt-PT"/>
        </w:rPr>
      </w:pPr>
      <w:r>
        <w:rPr>
          <w:rFonts w:ascii="Arial" w:hAnsi="Arial" w:cs="Arial"/>
          <w:b/>
          <w:bCs/>
        </w:rPr>
        <w:t>Aims:</w:t>
      </w:r>
      <w:r>
        <w:rPr>
          <w:rFonts w:ascii="Arial" w:hAnsi="Arial" w:cs="Arial"/>
        </w:rPr>
        <w:t xml:space="preserve"> To evaluate whether hypothalamic obesity, when associated with induced tooth movement, can influence the histological structure of the dental pulp in rats.</w:t>
      </w:r>
      <w:r>
        <w:rPr>
          <w:rFonts w:ascii="Arial" w:hAnsi="Arial" w:cs="Arial"/>
          <w:lang w:val="pt-PT"/>
        </w:rPr>
        <w:t xml:space="preserve"> </w:t>
      </w:r>
    </w:p>
    <w:p w14:paraId="6D804D54" w14:textId="77777777" w:rsidR="00687320" w:rsidRDefault="00000000">
      <w:pPr>
        <w:pStyle w:val="NormalWeb"/>
        <w:spacing w:line="480" w:lineRule="auto"/>
        <w:jc w:val="both"/>
        <w:rPr>
          <w:rFonts w:ascii="Arial" w:eastAsia="Times New Roman" w:hAnsi="Arial" w:cs="Arial"/>
          <w:lang w:val="pt-PT"/>
        </w:rPr>
      </w:pPr>
      <w:r>
        <w:rPr>
          <w:rFonts w:ascii="Arial" w:hAnsi="Arial" w:cs="Arial"/>
          <w:b/>
          <w:bCs/>
        </w:rPr>
        <w:t>Type of Study</w:t>
      </w:r>
      <w:r>
        <w:rPr>
          <w:rFonts w:ascii="Arial" w:hAnsi="Arial" w:cs="Arial"/>
        </w:rPr>
        <w:t>: Experimental research.</w:t>
      </w:r>
      <w:r>
        <w:rPr>
          <w:rFonts w:ascii="Arial" w:hAnsi="Arial" w:cs="Arial"/>
          <w:lang w:val="pt-PT"/>
        </w:rPr>
        <w:t xml:space="preserve"> </w:t>
      </w:r>
    </w:p>
    <w:p w14:paraId="62E07386" w14:textId="2461700E" w:rsidR="00687320" w:rsidRPr="001470AF" w:rsidRDefault="00000000">
      <w:pPr>
        <w:pStyle w:val="NormalWeb"/>
        <w:spacing w:line="480" w:lineRule="auto"/>
        <w:jc w:val="both"/>
        <w:rPr>
          <w:rFonts w:ascii="Arial" w:eastAsia="Times New Roman" w:hAnsi="Arial" w:cs="Arial"/>
        </w:rPr>
      </w:pPr>
      <w:r>
        <w:rPr>
          <w:rFonts w:ascii="Arial" w:hAnsi="Arial" w:cs="Arial"/>
          <w:b/>
          <w:bCs/>
        </w:rPr>
        <w:t>Methodology:</w:t>
      </w:r>
      <w:r>
        <w:rPr>
          <w:rFonts w:ascii="Arial" w:hAnsi="Arial" w:cs="Arial"/>
        </w:rPr>
        <w:t xml:space="preserve"> </w:t>
      </w:r>
      <w:r w:rsidRPr="001470AF">
        <w:rPr>
          <w:rFonts w:ascii="Arial" w:hAnsi="Arial" w:cs="Arial"/>
          <w:highlight w:val="yellow"/>
        </w:rPr>
        <w:t>Forty female</w:t>
      </w:r>
      <w:r w:rsidR="00AA464B" w:rsidRPr="001470AF">
        <w:rPr>
          <w:rFonts w:ascii="Arial" w:hAnsi="Arial" w:cs="Arial"/>
          <w:highlight w:val="yellow"/>
        </w:rPr>
        <w:t xml:space="preserve"> pups</w:t>
      </w:r>
      <w:r w:rsidRPr="001470AF">
        <w:rPr>
          <w:rFonts w:ascii="Arial" w:hAnsi="Arial" w:cs="Arial"/>
          <w:highlight w:val="yellow"/>
        </w:rPr>
        <w:t xml:space="preserve"> </w:t>
      </w:r>
      <w:r w:rsidR="001470AF" w:rsidRPr="001470AF">
        <w:rPr>
          <w:rFonts w:ascii="Arial" w:hAnsi="Arial" w:cs="Arial"/>
          <w:highlight w:val="yellow"/>
        </w:rPr>
        <w:t xml:space="preserve">of </w:t>
      </w:r>
      <w:r w:rsidRPr="001470AF">
        <w:rPr>
          <w:rFonts w:ascii="Arial" w:hAnsi="Arial" w:cs="Arial"/>
          <w:highlight w:val="yellow"/>
        </w:rPr>
        <w:t>Wistar rats</w:t>
      </w:r>
      <w:r>
        <w:rPr>
          <w:rFonts w:ascii="Arial" w:hAnsi="Arial" w:cs="Arial"/>
        </w:rPr>
        <w:t xml:space="preserve"> were obtained from the Central Animal Facility of the Western Paraná State University. Twenty </w:t>
      </w:r>
      <w:r w:rsidRPr="001470AF">
        <w:rPr>
          <w:rFonts w:ascii="Arial" w:hAnsi="Arial" w:cs="Arial"/>
        </w:rPr>
        <w:t>pups</w:t>
      </w:r>
      <w:r>
        <w:rPr>
          <w:rFonts w:ascii="Arial" w:hAnsi="Arial" w:cs="Arial"/>
        </w:rPr>
        <w:t xml:space="preserve"> received daily subcutaneous injections of monosodium glutamate (4 g/kg/day) in the cervical region during the first five days of life to induce obesity (MSG group). The remaining twenty animals received injections of hyperosmotic saline solution (1.25 g/kg/day) and served as the non-obese control group (CTL). The animals were then divided into four experimental groups (n = 10/group): Group 1: Non-obese rats not subjected to induced tooth movement (CTL); Group 2: Non-obese rats subjected to induced tooth movement (CTL + ITM); Group 3: Obese rats not subjected to induced tooth movement (MSG); Group 4: Obese rats subjected to induced tooth movement (MSG + ITM).</w:t>
      </w:r>
      <w:r w:rsidR="001470AF">
        <w:rPr>
          <w:rFonts w:ascii="Arial" w:eastAsia="Times New Roman" w:hAnsi="Arial" w:cs="Arial"/>
        </w:rPr>
        <w:t xml:space="preserve"> </w:t>
      </w:r>
      <w:r>
        <w:rPr>
          <w:rFonts w:ascii="Arial" w:hAnsi="Arial" w:cs="Arial"/>
        </w:rPr>
        <w:t xml:space="preserve">At 97 days, all animals were weighed and euthanized. </w:t>
      </w:r>
    </w:p>
    <w:p w14:paraId="57BCC3E7" w14:textId="77777777" w:rsidR="00687320" w:rsidRDefault="00000000">
      <w:pPr>
        <w:pStyle w:val="NormalWeb"/>
        <w:spacing w:line="480" w:lineRule="auto"/>
        <w:jc w:val="both"/>
        <w:rPr>
          <w:rFonts w:ascii="Arial" w:eastAsia="Times New Roman" w:hAnsi="Arial" w:cs="Arial"/>
          <w:lang w:val="pt-PT"/>
        </w:rPr>
      </w:pPr>
      <w:r>
        <w:rPr>
          <w:rFonts w:ascii="Arial" w:hAnsi="Arial" w:cs="Arial"/>
          <w:b/>
          <w:bCs/>
        </w:rPr>
        <w:t>Results:</w:t>
      </w:r>
      <w:r>
        <w:rPr>
          <w:rFonts w:ascii="Arial" w:hAnsi="Arial" w:cs="Arial"/>
        </w:rPr>
        <w:t xml:space="preserve"> Obese animals in the MSG+ITM group exhibited a higher Lee index and increased retroperitoneal and perigonadal fat deposits compared to the CTL+ITM group (P &lt; 0.05). They also showed a lower rate of tooth movement than the non-obese animals in the CTL+ITM group (P&lt;0.05). Furthermore, obese animals subjected to tooth movement (MSG+ITM) demonstrated more frequent occurrences of mild inflammatory infiltrate, increased cellularity, and dystrophic and hemodynamic changes compared to the other groups.</w:t>
      </w:r>
      <w:r>
        <w:rPr>
          <w:rFonts w:ascii="Arial" w:hAnsi="Arial" w:cs="Arial"/>
          <w:lang w:val="pt-PT"/>
        </w:rPr>
        <w:t xml:space="preserve"> </w:t>
      </w:r>
    </w:p>
    <w:p w14:paraId="7FB46827" w14:textId="77777777" w:rsidR="00687320" w:rsidRDefault="00000000">
      <w:pPr>
        <w:pStyle w:val="NormalWeb"/>
        <w:spacing w:line="480" w:lineRule="auto"/>
        <w:jc w:val="both"/>
        <w:rPr>
          <w:rFonts w:ascii="Arial" w:hAnsi="Arial" w:cs="Arial"/>
        </w:rPr>
      </w:pPr>
      <w:r>
        <w:rPr>
          <w:rFonts w:ascii="Arial" w:hAnsi="Arial" w:cs="Arial"/>
          <w:b/>
          <w:bCs/>
        </w:rPr>
        <w:lastRenderedPageBreak/>
        <w:t>Conclusion:</w:t>
      </w:r>
      <w:r>
        <w:rPr>
          <w:rFonts w:ascii="Arial" w:hAnsi="Arial" w:cs="Arial"/>
        </w:rPr>
        <w:t xml:space="preserve"> Hypothalamic obesity associated with induced tooth movement leads to reduced tooth movement and increased occurrences of inflammatory infiltrate, as well as dystrophic and hemodynamic changes in the dental pulp.</w:t>
      </w:r>
    </w:p>
    <w:p w14:paraId="470CAE4F" w14:textId="77777777" w:rsidR="00687320" w:rsidRDefault="00687320">
      <w:pPr>
        <w:pStyle w:val="NormalWeb"/>
        <w:spacing w:line="480" w:lineRule="auto"/>
        <w:jc w:val="both"/>
        <w:rPr>
          <w:rFonts w:ascii="Arial" w:eastAsia="Times New Roman" w:hAnsi="Arial" w:cs="Arial"/>
        </w:rPr>
      </w:pPr>
    </w:p>
    <w:p w14:paraId="4C87D634" w14:textId="77777777" w:rsidR="00687320" w:rsidRDefault="00000000">
      <w:pPr>
        <w:pStyle w:val="NormalWeb"/>
        <w:spacing w:line="480" w:lineRule="auto"/>
        <w:jc w:val="both"/>
        <w:rPr>
          <w:rFonts w:ascii="Arial" w:eastAsia="Times New Roman" w:hAnsi="Arial" w:cs="Arial"/>
        </w:rPr>
      </w:pPr>
      <w:r>
        <w:rPr>
          <w:rFonts w:ascii="Arial" w:hAnsi="Arial" w:cs="Arial"/>
          <w:b/>
          <w:bCs/>
        </w:rPr>
        <w:t>Keywords:</w:t>
      </w:r>
      <w:r>
        <w:rPr>
          <w:rFonts w:ascii="Arial" w:hAnsi="Arial" w:cs="Arial"/>
        </w:rPr>
        <w:t xml:space="preserve"> Obesity, Orthodontic Tooth Movement, Periodontal Tissue.</w:t>
      </w:r>
    </w:p>
    <w:p w14:paraId="12316A00" w14:textId="77777777" w:rsidR="00687320" w:rsidRDefault="00687320">
      <w:pPr>
        <w:pStyle w:val="NormalWeb"/>
        <w:spacing w:line="480" w:lineRule="auto"/>
        <w:jc w:val="both"/>
        <w:rPr>
          <w:rFonts w:ascii="Arial" w:eastAsia="Times New Roman" w:hAnsi="Arial" w:cs="Arial"/>
        </w:rPr>
      </w:pPr>
    </w:p>
    <w:p w14:paraId="0CBC4510" w14:textId="77777777" w:rsidR="00687320" w:rsidRDefault="00687320">
      <w:pPr>
        <w:pStyle w:val="NormalWeb"/>
        <w:spacing w:line="480" w:lineRule="auto"/>
        <w:jc w:val="both"/>
        <w:rPr>
          <w:rFonts w:ascii="Arial" w:eastAsia="Times New Roman" w:hAnsi="Arial" w:cs="Arial"/>
        </w:rPr>
      </w:pPr>
    </w:p>
    <w:p w14:paraId="2DB24018" w14:textId="77777777" w:rsidR="00687320" w:rsidRDefault="00000000">
      <w:pPr>
        <w:pStyle w:val="NormalWeb"/>
        <w:spacing w:line="480" w:lineRule="auto"/>
        <w:jc w:val="both"/>
        <w:rPr>
          <w:rFonts w:ascii="Arial" w:eastAsia="Times New Roman" w:hAnsi="Arial" w:cs="Arial"/>
          <w:b/>
          <w:bCs/>
          <w:lang w:val="pt-PT"/>
        </w:rPr>
      </w:pPr>
      <w:r>
        <w:rPr>
          <w:rFonts w:ascii="Arial" w:hAnsi="Arial" w:cs="Arial"/>
          <w:b/>
          <w:bCs/>
          <w:lang w:val="pt-PT"/>
        </w:rPr>
        <w:t>1. INTRODUCTION</w:t>
      </w:r>
    </w:p>
    <w:p w14:paraId="2A51A4EC" w14:textId="3B7FB0D5" w:rsidR="00687320" w:rsidRDefault="00000000">
      <w:pPr>
        <w:pStyle w:val="NormalWeb"/>
        <w:spacing w:line="480" w:lineRule="auto"/>
        <w:ind w:firstLine="708"/>
        <w:jc w:val="both"/>
        <w:rPr>
          <w:rFonts w:ascii="Arial" w:eastAsia="Times New Roman" w:hAnsi="Arial" w:cs="Arial"/>
        </w:rPr>
      </w:pPr>
      <w:r>
        <w:rPr>
          <w:rFonts w:ascii="Arial" w:hAnsi="Arial" w:cs="Arial"/>
        </w:rPr>
        <w:t>Obesity has been increasing at alarming rates and has become a global public health concern. According to the World Health Organization (WHO)</w:t>
      </w:r>
      <w:r w:rsidR="00D8022B">
        <w:rPr>
          <w:rFonts w:ascii="Arial" w:hAnsi="Arial" w:cs="Arial"/>
        </w:rPr>
        <w:t xml:space="preserve"> </w:t>
      </w:r>
      <w:r>
        <w:rPr>
          <w:rFonts w:ascii="Arial" w:hAnsi="Arial" w:cs="Arial"/>
        </w:rPr>
        <w:t xml:space="preserve">approximately 43% of the world’s adult population is overweight, and 16% </w:t>
      </w:r>
      <w:r w:rsidR="00031889">
        <w:rPr>
          <w:rFonts w:ascii="Arial" w:hAnsi="Arial" w:cs="Arial"/>
        </w:rPr>
        <w:t>are</w:t>
      </w:r>
      <w:r>
        <w:rPr>
          <w:rFonts w:ascii="Arial" w:hAnsi="Arial" w:cs="Arial"/>
        </w:rPr>
        <w:t xml:space="preserve"> obese. Among children and adolescents, obesity has tripled since 1990 </w:t>
      </w:r>
      <w:r>
        <w:rPr>
          <w:rFonts w:ascii="Arial" w:hAnsi="Arial" w:cs="Arial"/>
          <w:lang w:val="pt-BR"/>
        </w:rPr>
        <w:t>[1,</w:t>
      </w:r>
      <w:r>
        <w:rPr>
          <w:rFonts w:ascii="Arial" w:hAnsi="Arial" w:cs="Arial"/>
        </w:rPr>
        <w:t>2</w:t>
      </w:r>
      <w:r>
        <w:rPr>
          <w:rFonts w:ascii="Arial" w:hAnsi="Arial" w:cs="Arial"/>
          <w:lang w:val="pt-BR"/>
        </w:rPr>
        <w:t>]</w:t>
      </w:r>
      <w:r>
        <w:rPr>
          <w:rFonts w:ascii="Arial" w:hAnsi="Arial" w:cs="Arial"/>
        </w:rPr>
        <w:t xml:space="preserve">. Obesity is a risk factor for several comorbidities, such as hypertension, dyslipidemia, coronary heart disease, and stroke. Additionally, there is evidence linking obesity to periodontitis </w:t>
      </w:r>
      <w:r>
        <w:rPr>
          <w:rFonts w:ascii="Arial" w:hAnsi="Arial" w:cs="Arial"/>
          <w:lang w:val="pt-BR"/>
        </w:rPr>
        <w:t>[3]</w:t>
      </w:r>
      <w:r>
        <w:rPr>
          <w:rFonts w:ascii="Arial" w:hAnsi="Arial" w:cs="Arial"/>
        </w:rPr>
        <w:t xml:space="preserve">. Studies suggest that obesity during childhood and adolescence may be associated with caries in both deciduous and permanent teeth, early craniofacial growth, and accelerated dental development </w:t>
      </w:r>
      <w:r>
        <w:rPr>
          <w:rFonts w:ascii="Arial" w:hAnsi="Arial" w:cs="Arial"/>
          <w:lang w:val="pt-BR"/>
        </w:rPr>
        <w:t>[4, 5, 6]</w:t>
      </w:r>
      <w:r>
        <w:rPr>
          <w:rFonts w:ascii="Arial" w:hAnsi="Arial" w:cs="Arial"/>
        </w:rPr>
        <w:t xml:space="preserve">. Moreover, the rising obesity rates have led to an increase in the number of obese patients seeking dental treatment across various specialties </w:t>
      </w:r>
      <w:r>
        <w:rPr>
          <w:rFonts w:ascii="Arial" w:hAnsi="Arial" w:cs="Arial"/>
          <w:lang w:val="pt-BR"/>
        </w:rPr>
        <w:t>[7, 8]</w:t>
      </w:r>
      <w:r>
        <w:rPr>
          <w:rFonts w:ascii="Arial" w:hAnsi="Arial" w:cs="Arial"/>
        </w:rPr>
        <w:t>.</w:t>
      </w:r>
    </w:p>
    <w:p w14:paraId="1930C129" w14:textId="5DDD640B"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Adipose tissue contributes to the altered release of various inflammatory cytokines and adipokines, including tumor necrosis factor-alpha (TNF-α) and interleukins (ILs) </w:t>
      </w:r>
      <w:r>
        <w:rPr>
          <w:rFonts w:ascii="Arial" w:hAnsi="Arial" w:cs="Arial"/>
          <w:lang w:val="pt-BR"/>
        </w:rPr>
        <w:t>[9, 10]</w:t>
      </w:r>
      <w:r>
        <w:rPr>
          <w:rFonts w:ascii="Arial" w:hAnsi="Arial" w:cs="Arial"/>
        </w:rPr>
        <w:t xml:space="preserve">. TNF-α is one of the main pro-inflammatory cytokines and plays a critical role in the immune response. Adipokines are bioactive peptides that regulate both metabolism and inflammation </w:t>
      </w:r>
      <w:r>
        <w:rPr>
          <w:rFonts w:ascii="Arial" w:hAnsi="Arial" w:cs="Arial"/>
          <w:lang w:val="pt-BR"/>
        </w:rPr>
        <w:t>[11]</w:t>
      </w:r>
      <w:r>
        <w:rPr>
          <w:rFonts w:ascii="Arial" w:hAnsi="Arial" w:cs="Arial"/>
        </w:rPr>
        <w:t xml:space="preserve">. Because of their impact on immune-inflammatory processes, adipokines are </w:t>
      </w:r>
      <w:r w:rsidR="00FC00FF">
        <w:rPr>
          <w:rFonts w:ascii="Arial" w:hAnsi="Arial" w:cs="Arial"/>
        </w:rPr>
        <w:t>associated</w:t>
      </w:r>
      <w:r>
        <w:rPr>
          <w:rFonts w:ascii="Arial" w:hAnsi="Arial" w:cs="Arial"/>
        </w:rPr>
        <w:t xml:space="preserve"> with the development of various chronic inflammatory diseases, including oral pathologies </w:t>
      </w:r>
      <w:r>
        <w:rPr>
          <w:rFonts w:ascii="Arial" w:hAnsi="Arial" w:cs="Arial"/>
          <w:lang w:val="pt-BR"/>
        </w:rPr>
        <w:t>[12, 13]</w:t>
      </w:r>
      <w:r>
        <w:rPr>
          <w:rFonts w:ascii="Arial" w:hAnsi="Arial" w:cs="Arial"/>
        </w:rPr>
        <w:t>.</w:t>
      </w:r>
    </w:p>
    <w:p w14:paraId="7E6F0A0C" w14:textId="17641E81"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The interrelationship between periodontal and endodontic diseases has long been debated due to the close anatomical and functional connection between the periodontium and the pulp tissue </w:t>
      </w:r>
      <w:r>
        <w:rPr>
          <w:rFonts w:ascii="Arial" w:hAnsi="Arial" w:cs="Arial"/>
          <w:lang w:val="pt-BR"/>
        </w:rPr>
        <w:t>[14]</w:t>
      </w:r>
      <w:r>
        <w:rPr>
          <w:rFonts w:ascii="Arial" w:hAnsi="Arial" w:cs="Arial"/>
        </w:rPr>
        <w:t xml:space="preserve">. Studies suggest that periodontal disease may directly cause atrophy and necrosis of the dental pulp </w:t>
      </w:r>
      <w:r>
        <w:rPr>
          <w:rFonts w:ascii="Arial" w:hAnsi="Arial" w:cs="Arial"/>
          <w:lang w:val="pt-BR"/>
        </w:rPr>
        <w:t>[15]</w:t>
      </w:r>
      <w:r>
        <w:rPr>
          <w:rFonts w:ascii="Arial" w:hAnsi="Arial" w:cs="Arial"/>
        </w:rPr>
        <w:t xml:space="preserve">, and that both the disease and its treatment should be considered potential causes of pulpitis and pulp necrosis </w:t>
      </w:r>
      <w:r>
        <w:rPr>
          <w:rFonts w:ascii="Arial" w:hAnsi="Arial" w:cs="Arial"/>
          <w:lang w:val="pt-BR"/>
        </w:rPr>
        <w:t>[16]</w:t>
      </w:r>
      <w:r>
        <w:rPr>
          <w:rFonts w:ascii="Arial" w:hAnsi="Arial" w:cs="Arial"/>
        </w:rPr>
        <w:t xml:space="preserve">. Dental pulp is a loose connective tissue rich in vasculature, cellularity, and extracellular matrix. It is also highly innervated. Like </w:t>
      </w:r>
      <w:r>
        <w:rPr>
          <w:rFonts w:ascii="Arial" w:hAnsi="Arial" w:cs="Arial"/>
        </w:rPr>
        <w:lastRenderedPageBreak/>
        <w:t>other connective tissues, it has a strong capacity for repair under favorable conditions. Although protected by dentin and enamel, when its physiological tolerance is exceeded by external physical, chemical, or bacterial stimuli, this protection may fail</w:t>
      </w:r>
      <w:r w:rsidR="00031889">
        <w:rPr>
          <w:rFonts w:ascii="Arial" w:hAnsi="Arial" w:cs="Arial"/>
        </w:rPr>
        <w:t xml:space="preserve"> </w:t>
      </w:r>
      <w:r>
        <w:rPr>
          <w:rFonts w:ascii="Arial" w:hAnsi="Arial" w:cs="Arial"/>
        </w:rPr>
        <w:t xml:space="preserve">triggering inflammatory or degenerative responses and increasing intrapulpal pressure </w:t>
      </w:r>
      <w:r>
        <w:rPr>
          <w:rFonts w:ascii="Arial" w:hAnsi="Arial" w:cs="Arial"/>
          <w:lang w:val="pt-BR"/>
        </w:rPr>
        <w:t>[17]</w:t>
      </w:r>
      <w:r>
        <w:rPr>
          <w:rFonts w:ascii="Arial" w:hAnsi="Arial" w:cs="Arial"/>
        </w:rPr>
        <w:t>.</w:t>
      </w:r>
    </w:p>
    <w:p w14:paraId="04E16B7E"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Histological studies have shown that dental pulp responses to the pressure exerted during orthodontic movement can range from vascular stagnation to necrosis </w:t>
      </w:r>
      <w:r>
        <w:rPr>
          <w:rFonts w:ascii="Arial" w:hAnsi="Arial" w:cs="Arial"/>
          <w:lang w:val="pt-BR"/>
        </w:rPr>
        <w:t>[18]</w:t>
      </w:r>
      <w:r>
        <w:rPr>
          <w:rFonts w:ascii="Arial" w:hAnsi="Arial" w:cs="Arial"/>
        </w:rPr>
        <w:t xml:space="preserve">. Orthodontic tooth movement occurs through pressure and/or tension applied under appropriate and controlled conditions, resulting in dynamic changes to the bone structure. The periodontal ligament transmits this mechanical force, which is essential for effective tooth movement </w:t>
      </w:r>
      <w:r>
        <w:rPr>
          <w:rFonts w:ascii="Arial" w:hAnsi="Arial" w:cs="Arial"/>
          <w:lang w:val="pt-BR"/>
        </w:rPr>
        <w:t>[</w:t>
      </w:r>
      <w:r w:rsidRPr="00666CD3">
        <w:rPr>
          <w:rFonts w:ascii="Arial" w:hAnsi="Arial" w:cs="Arial"/>
          <w:highlight w:val="yellow"/>
          <w:lang w:val="pt-BR"/>
        </w:rPr>
        <w:t>19</w:t>
      </w:r>
      <w:r>
        <w:rPr>
          <w:rFonts w:ascii="Arial" w:hAnsi="Arial" w:cs="Arial"/>
          <w:lang w:val="pt-BR"/>
        </w:rPr>
        <w:t>]</w:t>
      </w:r>
      <w:r>
        <w:rPr>
          <w:rFonts w:ascii="Arial" w:hAnsi="Arial" w:cs="Arial"/>
        </w:rPr>
        <w:t>. Meikle</w:t>
      </w:r>
      <w:r>
        <w:rPr>
          <w:rFonts w:ascii="Arial" w:hAnsi="Arial" w:cs="Arial"/>
          <w:lang w:val="pt-BR"/>
        </w:rPr>
        <w:t xml:space="preserve"> (2006)</w:t>
      </w:r>
      <w:r>
        <w:rPr>
          <w:rFonts w:ascii="Arial" w:hAnsi="Arial" w:cs="Arial"/>
        </w:rPr>
        <w:t xml:space="preserve"> describes orthodontic movement as a periodontal inflammatory process characterized by bone resorption mediated by osteoclasts and bone remodeling mediated by osteoblasts, in which the tooth is repositioned within the periodontium</w:t>
      </w:r>
      <w:r>
        <w:rPr>
          <w:rFonts w:ascii="Arial" w:hAnsi="Arial" w:cs="Arial"/>
          <w:lang w:val="pt-BR"/>
        </w:rPr>
        <w:t xml:space="preserve"> [20]</w:t>
      </w:r>
      <w:r>
        <w:rPr>
          <w:rFonts w:ascii="Arial" w:hAnsi="Arial" w:cs="Arial"/>
        </w:rPr>
        <w:t>.</w:t>
      </w:r>
    </w:p>
    <w:p w14:paraId="56E5816F"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When orthodontic forces are applied to the pulp tissue, inflammatory mediators are released and accumulate, prompting odontoblasts and associated cells to respond either by resorbing or depositing tertiary dentin</w:t>
      </w:r>
      <w:r>
        <w:rPr>
          <w:rFonts w:ascii="Arial" w:hAnsi="Arial" w:cs="Arial"/>
          <w:lang w:val="pt-BR"/>
        </w:rPr>
        <w:t xml:space="preserve"> [21]</w:t>
      </w:r>
      <w:r>
        <w:rPr>
          <w:rFonts w:ascii="Arial" w:hAnsi="Arial" w:cs="Arial"/>
        </w:rPr>
        <w:t xml:space="preserve">. Changes in the dentin-pulp complex associated with induced tooth movement include pulp calcifications, rupture of the odontoblastic layer, hypoxia, microcirculatory alterations, osteoclastogenesis, increased fibrosis, and necrosis </w:t>
      </w:r>
      <w:r>
        <w:rPr>
          <w:rFonts w:ascii="Arial" w:hAnsi="Arial" w:cs="Arial"/>
          <w:lang w:val="pt-BR"/>
        </w:rPr>
        <w:t>[22, 17, 23]</w:t>
      </w:r>
      <w:r>
        <w:rPr>
          <w:rFonts w:ascii="Arial" w:hAnsi="Arial" w:cs="Arial"/>
        </w:rPr>
        <w:t xml:space="preserve">. Orthodontic treatment can therefore affect the pulp by reducing tissue oxygenation, decreasing alkaline phosphatase activity, and inducing apoptosis and tissue damage. Factors such as the type and direction of movement, as well as the distribution, intensity, and duration of the applied force, can directly influence the pulp response </w:t>
      </w:r>
      <w:r>
        <w:rPr>
          <w:rFonts w:ascii="Arial" w:hAnsi="Arial" w:cs="Arial"/>
          <w:lang w:val="pt-BR"/>
        </w:rPr>
        <w:t>[24]</w:t>
      </w:r>
      <w:r>
        <w:rPr>
          <w:rFonts w:ascii="Arial" w:hAnsi="Arial" w:cs="Arial"/>
        </w:rPr>
        <w:t>.</w:t>
      </w:r>
    </w:p>
    <w:p w14:paraId="3DA37629" w14:textId="77777777" w:rsidR="00687320" w:rsidRDefault="00000000">
      <w:pPr>
        <w:pStyle w:val="NormalWeb"/>
        <w:spacing w:line="480" w:lineRule="auto"/>
        <w:ind w:firstLine="708"/>
        <w:jc w:val="both"/>
        <w:rPr>
          <w:rFonts w:ascii="Arial" w:eastAsia="SimSun" w:hAnsi="Arial" w:cs="Arial"/>
        </w:rPr>
      </w:pPr>
      <w:r>
        <w:rPr>
          <w:rFonts w:ascii="Arial" w:hAnsi="Arial" w:cs="Arial"/>
        </w:rPr>
        <w:t xml:space="preserve">Studies have shown that induced tooth movement triggers several biological responses, including changes in blood flow and angiogenesis </w:t>
      </w:r>
      <w:r>
        <w:rPr>
          <w:rFonts w:ascii="Arial" w:hAnsi="Arial" w:cs="Arial"/>
          <w:lang w:val="pt-BR"/>
        </w:rPr>
        <w:t>[25]</w:t>
      </w:r>
      <w:r>
        <w:rPr>
          <w:rFonts w:ascii="Arial" w:hAnsi="Arial" w:cs="Arial"/>
        </w:rPr>
        <w:t xml:space="preserve">. The pulp and periodontal tissues are highly cellular and metabolically active, with rates adapted to their functional demands. Vascular alterations in the pulp resulting from orthodontic movement have been associated with disruption of the odontoblastic layer, pulp obliteration, root resorption, and pulp necrosis </w:t>
      </w:r>
      <w:r>
        <w:rPr>
          <w:rFonts w:ascii="Arial" w:hAnsi="Arial" w:cs="Arial"/>
          <w:lang w:val="pt-BR"/>
        </w:rPr>
        <w:t>[26]</w:t>
      </w:r>
      <w:r>
        <w:rPr>
          <w:rFonts w:ascii="Arial" w:hAnsi="Arial" w:cs="Arial"/>
        </w:rPr>
        <w:t>. One of the primary indicators of pulp vitality is the presence of blood flow; thus, brief ischemia or reduced perfusion may lead to diminished sensory response and reduced dental sensitivity</w:t>
      </w:r>
      <w:r>
        <w:rPr>
          <w:rFonts w:ascii="Arial" w:hAnsi="Arial" w:cs="Arial"/>
          <w:lang w:val="pt-BR"/>
        </w:rPr>
        <w:t xml:space="preserve"> [27]</w:t>
      </w:r>
      <w:r>
        <w:rPr>
          <w:rFonts w:ascii="Arial" w:hAnsi="Arial" w:cs="Arial"/>
        </w:rPr>
        <w:t>.</w:t>
      </w:r>
    </w:p>
    <w:p w14:paraId="42F8DFE1" w14:textId="4B859D34" w:rsidR="00687320" w:rsidRDefault="00000000">
      <w:pPr>
        <w:pStyle w:val="NormalWeb"/>
        <w:spacing w:line="480" w:lineRule="auto"/>
        <w:ind w:firstLine="708"/>
        <w:jc w:val="both"/>
        <w:rPr>
          <w:rFonts w:ascii="Arial" w:eastAsia="Times New Roman" w:hAnsi="Arial" w:cs="Arial"/>
        </w:rPr>
      </w:pPr>
      <w:r>
        <w:rPr>
          <w:rFonts w:ascii="Arial" w:hAnsi="Arial" w:cs="Arial"/>
        </w:rPr>
        <w:lastRenderedPageBreak/>
        <w:t>Therefore, as both orthodontic movement and obesity involve the release and accumulation of cytokines and adipokines</w:t>
      </w:r>
      <w:r w:rsidR="00031889">
        <w:rPr>
          <w:rFonts w:ascii="Arial" w:hAnsi="Arial" w:cs="Arial"/>
        </w:rPr>
        <w:t xml:space="preserve"> </w:t>
      </w:r>
      <w:r>
        <w:rPr>
          <w:rFonts w:ascii="Arial" w:hAnsi="Arial" w:cs="Arial"/>
        </w:rPr>
        <w:t>key inflammatory mediators</w:t>
      </w:r>
      <w:r w:rsidR="00031889">
        <w:rPr>
          <w:rFonts w:ascii="Arial" w:hAnsi="Arial" w:cs="Arial"/>
        </w:rPr>
        <w:t xml:space="preserve"> </w:t>
      </w:r>
      <w:r>
        <w:rPr>
          <w:rFonts w:ascii="Arial" w:hAnsi="Arial" w:cs="Arial"/>
        </w:rPr>
        <w:t xml:space="preserve">the response of the pulp tissue may be influenced by the interaction of these two factors </w:t>
      </w:r>
      <w:r>
        <w:rPr>
          <w:rFonts w:ascii="Arial" w:hAnsi="Arial" w:cs="Arial"/>
          <w:lang w:val="pt-BR"/>
        </w:rPr>
        <w:t>[28]</w:t>
      </w:r>
      <w:r>
        <w:rPr>
          <w:rFonts w:ascii="Arial" w:hAnsi="Arial" w:cs="Arial"/>
        </w:rPr>
        <w:t>.</w:t>
      </w:r>
    </w:p>
    <w:p w14:paraId="60B1A489"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The aim of this study is to evaluate whether hypothalamic obesity, when associated with induced tooth movement, can alter the histological structure of the dental pulp in rats.</w:t>
      </w:r>
    </w:p>
    <w:p w14:paraId="1A0207E5" w14:textId="77777777" w:rsidR="00687320" w:rsidRDefault="00687320">
      <w:pPr>
        <w:pStyle w:val="NormalWeb"/>
        <w:spacing w:line="480" w:lineRule="auto"/>
        <w:ind w:firstLine="708"/>
        <w:jc w:val="both"/>
        <w:rPr>
          <w:rFonts w:ascii="Arial" w:eastAsia="Times New Roman" w:hAnsi="Arial" w:cs="Arial"/>
        </w:rPr>
      </w:pPr>
    </w:p>
    <w:p w14:paraId="5AF593C9" w14:textId="77777777" w:rsidR="00687320" w:rsidRDefault="00000000">
      <w:pPr>
        <w:pStyle w:val="NormalWeb"/>
        <w:spacing w:line="480" w:lineRule="auto"/>
        <w:rPr>
          <w:rFonts w:ascii="Arial" w:hAnsi="Arial" w:cs="Arial"/>
          <w:b/>
          <w:bCs/>
        </w:rPr>
      </w:pPr>
      <w:r>
        <w:rPr>
          <w:rFonts w:ascii="Arial" w:hAnsi="Arial" w:cs="Arial"/>
          <w:b/>
          <w:bCs/>
        </w:rPr>
        <w:t>2. METHODOLOGY</w:t>
      </w:r>
    </w:p>
    <w:p w14:paraId="1A337DAF" w14:textId="77777777" w:rsidR="00687320" w:rsidRDefault="00687320">
      <w:pPr>
        <w:pStyle w:val="NormalWeb"/>
        <w:spacing w:line="480" w:lineRule="auto"/>
        <w:rPr>
          <w:rFonts w:ascii="Arial" w:eastAsia="Times New Roman" w:hAnsi="Arial" w:cs="Arial"/>
        </w:rPr>
      </w:pPr>
    </w:p>
    <w:p w14:paraId="4469591F" w14:textId="77777777" w:rsidR="00687320" w:rsidRDefault="00000000">
      <w:pPr>
        <w:pStyle w:val="NormalWeb"/>
        <w:spacing w:line="480" w:lineRule="auto"/>
        <w:jc w:val="both"/>
        <w:rPr>
          <w:rFonts w:ascii="Arial" w:hAnsi="Arial" w:cs="Arial"/>
          <w:b/>
          <w:bCs/>
        </w:rPr>
      </w:pPr>
      <w:r>
        <w:rPr>
          <w:rFonts w:ascii="Arial" w:hAnsi="Arial" w:cs="Arial"/>
          <w:b/>
          <w:bCs/>
        </w:rPr>
        <w:t>2.1 Sample Size Calculation</w:t>
      </w:r>
    </w:p>
    <w:p w14:paraId="188CDD18" w14:textId="77777777" w:rsidR="00687320" w:rsidRDefault="00000000">
      <w:pPr>
        <w:pStyle w:val="NormalWeb"/>
        <w:spacing w:line="480" w:lineRule="auto"/>
        <w:jc w:val="both"/>
        <w:rPr>
          <w:rFonts w:ascii="Arial" w:hAnsi="Arial" w:cs="Arial"/>
        </w:rPr>
      </w:pPr>
      <w:r>
        <w:rPr>
          <w:rFonts w:ascii="Arial" w:eastAsia="Times New Roman" w:hAnsi="Arial" w:cs="Arial"/>
          <w:lang w:val="pt-PT"/>
        </w:rPr>
        <w:tab/>
      </w:r>
      <w:r>
        <w:rPr>
          <w:rFonts w:ascii="Arial" w:hAnsi="Arial" w:cs="Arial"/>
        </w:rPr>
        <w:t xml:space="preserve">A sample size of 40 rats (n = 10 per group) was calculated based on the variables obesity and induced tooth movement, using a significance level (α) of 5% and a statistical power of 80%, with G*Power 3.1 software </w:t>
      </w:r>
      <w:r>
        <w:rPr>
          <w:rFonts w:ascii="Arial" w:hAnsi="Arial" w:cs="Arial"/>
          <w:lang w:val="pt-BR"/>
        </w:rPr>
        <w:t>[29,30]</w:t>
      </w:r>
      <w:r>
        <w:rPr>
          <w:rFonts w:ascii="Arial" w:hAnsi="Arial" w:cs="Arial"/>
        </w:rPr>
        <w:t>.</w:t>
      </w:r>
    </w:p>
    <w:p w14:paraId="6F0AAB98" w14:textId="77777777" w:rsidR="00687320" w:rsidRDefault="00687320">
      <w:pPr>
        <w:pStyle w:val="NormalWeb"/>
        <w:spacing w:line="480" w:lineRule="auto"/>
        <w:jc w:val="both"/>
        <w:rPr>
          <w:rFonts w:ascii="Arial" w:eastAsia="Times New Roman" w:hAnsi="Arial" w:cs="Arial"/>
        </w:rPr>
      </w:pPr>
    </w:p>
    <w:p w14:paraId="0765EA2C" w14:textId="77777777" w:rsidR="00687320" w:rsidRDefault="00000000">
      <w:pPr>
        <w:pStyle w:val="NormalWeb"/>
        <w:spacing w:line="480" w:lineRule="auto"/>
        <w:jc w:val="both"/>
        <w:rPr>
          <w:rFonts w:ascii="Arial" w:hAnsi="Arial" w:cs="Arial"/>
          <w:b/>
          <w:bCs/>
        </w:rPr>
      </w:pPr>
      <w:r>
        <w:rPr>
          <w:rFonts w:ascii="Arial" w:hAnsi="Arial" w:cs="Arial"/>
          <w:b/>
          <w:bCs/>
        </w:rPr>
        <w:t>2.2 Animals</w:t>
      </w:r>
    </w:p>
    <w:p w14:paraId="6BD54883" w14:textId="1C67D4D7" w:rsidR="00687320" w:rsidRDefault="00000000">
      <w:pPr>
        <w:pStyle w:val="NormalWeb"/>
        <w:spacing w:line="480" w:lineRule="auto"/>
        <w:jc w:val="both"/>
        <w:rPr>
          <w:rFonts w:ascii="Arial" w:hAnsi="Arial" w:cs="Arial"/>
        </w:rPr>
      </w:pPr>
      <w:r>
        <w:rPr>
          <w:rFonts w:ascii="Arial" w:eastAsia="Times New Roman" w:hAnsi="Arial" w:cs="Arial"/>
          <w:lang w:val="pt-PT"/>
        </w:rPr>
        <w:tab/>
      </w:r>
      <w:r w:rsidRPr="001470AF">
        <w:rPr>
          <w:rFonts w:ascii="Arial" w:hAnsi="Arial" w:cs="Arial"/>
          <w:highlight w:val="yellow"/>
        </w:rPr>
        <w:t>Forty female Wistar rats were used in this study</w:t>
      </w:r>
      <w:r>
        <w:rPr>
          <w:rFonts w:ascii="Arial" w:hAnsi="Arial" w:cs="Arial"/>
        </w:rPr>
        <w:t>. Twenty of them received subcutaneous injections of monosodium glutamate (4 g/kg/day) in the cervical region during the first five days of life to induce obesity (MSG group, n = 20), according to Olney (1969)</w:t>
      </w:r>
      <w:r>
        <w:rPr>
          <w:rFonts w:ascii="Arial" w:hAnsi="Arial" w:cs="Arial"/>
          <w:lang w:val="pt-BR"/>
        </w:rPr>
        <w:t xml:space="preserve"> [31]</w:t>
      </w:r>
      <w:r>
        <w:rPr>
          <w:rFonts w:ascii="Arial" w:hAnsi="Arial" w:cs="Arial"/>
        </w:rPr>
        <w:t>. The remaining twenty animals received injections of hyperosmotic saline solution (1.25 g/kg/day) and served as the non-obese control group (CTL, n = 20). The experiment was conducted in the animal facility of the Center for Biological and Health Sciences (</w:t>
      </w:r>
      <w:r w:rsidR="00D8022B">
        <w:rPr>
          <w:rFonts w:ascii="Arial" w:hAnsi="Arial" w:cs="Arial"/>
        </w:rPr>
        <w:t>CBHS</w:t>
      </w:r>
      <w:r>
        <w:rPr>
          <w:rFonts w:ascii="Arial" w:hAnsi="Arial" w:cs="Arial"/>
        </w:rPr>
        <w:t>) at Western Paraná State University (UNIOESTE). Animals were housed in polyethylene cages (43 × 30 × 15 cm) under controlled conditions of temperature (22–25°C), relative humidity (≈ 55%), and a 12-hour light/dark cycle (7:00 AM</w:t>
      </w:r>
      <w:r w:rsidR="00031889">
        <w:rPr>
          <w:rFonts w:ascii="Arial" w:hAnsi="Arial" w:cs="Arial"/>
        </w:rPr>
        <w:t xml:space="preserve"> </w:t>
      </w:r>
      <w:r>
        <w:rPr>
          <w:rFonts w:ascii="Arial" w:hAnsi="Arial" w:cs="Arial"/>
        </w:rPr>
        <w:t>–7:00 PM). They had ad libitum access to food and water. All procedures complied with the Ethical Principles in Animal Experimentation established by the Brazilian College of Animal Experimentation (COBEA) and were approved by the UNIOESTE Animal Ethics Committee (CEUA</w:t>
      </w:r>
      <w:r w:rsidR="00031889">
        <w:rPr>
          <w:rFonts w:ascii="Arial" w:hAnsi="Arial" w:cs="Arial"/>
        </w:rPr>
        <w:t>;</w:t>
      </w:r>
      <w:r>
        <w:rPr>
          <w:rFonts w:ascii="Arial" w:hAnsi="Arial" w:cs="Arial"/>
        </w:rPr>
        <w:t xml:space="preserve"> Protocol No. 1022/2023).</w:t>
      </w:r>
    </w:p>
    <w:p w14:paraId="704BC212" w14:textId="77777777" w:rsidR="00687320" w:rsidRDefault="00687320">
      <w:pPr>
        <w:pStyle w:val="NormalWeb"/>
        <w:spacing w:line="480" w:lineRule="auto"/>
        <w:jc w:val="both"/>
        <w:rPr>
          <w:rFonts w:ascii="Arial" w:eastAsia="Times New Roman" w:hAnsi="Arial" w:cs="Arial"/>
        </w:rPr>
      </w:pPr>
    </w:p>
    <w:p w14:paraId="25612FBE" w14:textId="77777777" w:rsidR="00687320" w:rsidRDefault="00000000">
      <w:pPr>
        <w:pStyle w:val="NormalWeb"/>
        <w:numPr>
          <w:ilvl w:val="1"/>
          <w:numId w:val="1"/>
        </w:numPr>
        <w:spacing w:line="480" w:lineRule="auto"/>
        <w:jc w:val="both"/>
        <w:rPr>
          <w:rFonts w:ascii="Arial" w:hAnsi="Arial" w:cs="Arial"/>
          <w:b/>
          <w:bCs/>
        </w:rPr>
      </w:pPr>
      <w:r>
        <w:rPr>
          <w:rFonts w:ascii="Arial" w:hAnsi="Arial" w:cs="Arial"/>
          <w:b/>
          <w:bCs/>
        </w:rPr>
        <w:t>Experimental Groups</w:t>
      </w:r>
    </w:p>
    <w:p w14:paraId="1C71419A" w14:textId="77777777" w:rsidR="00687320" w:rsidRDefault="00000000">
      <w:pPr>
        <w:pStyle w:val="NormalWeb"/>
        <w:spacing w:line="480" w:lineRule="auto"/>
        <w:jc w:val="both"/>
        <w:rPr>
          <w:rFonts w:ascii="Arial" w:hAnsi="Arial" w:cs="Arial"/>
        </w:rPr>
      </w:pPr>
      <w:r>
        <w:rPr>
          <w:rFonts w:ascii="Arial" w:eastAsia="Times New Roman" w:hAnsi="Arial" w:cs="Arial"/>
        </w:rPr>
        <w:br/>
      </w:r>
      <w:r>
        <w:rPr>
          <w:rFonts w:ascii="Arial" w:eastAsia="Times New Roman" w:hAnsi="Arial" w:cs="Arial"/>
          <w:lang w:val="pt-PT"/>
        </w:rPr>
        <w:tab/>
      </w:r>
      <w:r>
        <w:rPr>
          <w:rFonts w:ascii="Arial" w:hAnsi="Arial" w:cs="Arial"/>
        </w:rPr>
        <w:t>The animals were divided into four experimental groups (n = 10/group):</w:t>
      </w:r>
      <w:r>
        <w:rPr>
          <w:rFonts w:ascii="Arial" w:eastAsia="Times New Roman" w:hAnsi="Arial" w:cs="Arial"/>
        </w:rPr>
        <w:t xml:space="preserve"> </w:t>
      </w:r>
      <w:r>
        <w:rPr>
          <w:rFonts w:ascii="Arial" w:hAnsi="Arial" w:cs="Arial"/>
        </w:rPr>
        <w:t>Group 1: Non-</w:t>
      </w:r>
      <w:r>
        <w:rPr>
          <w:rFonts w:ascii="Arial" w:hAnsi="Arial" w:cs="Arial"/>
        </w:rPr>
        <w:lastRenderedPageBreak/>
        <w:t>obese rats not subjected to induced tooth movement (Control – CTL); Group 2: Non-obese rats subjected to induced tooth movement (CTL + ITM); Group 3: Obese rats not subjected to induced tooth movement (MSG); Group 4: Obese rats subjected to induced tooth movement (MSG + ITM).</w:t>
      </w:r>
    </w:p>
    <w:p w14:paraId="3FEE5F8D" w14:textId="77777777" w:rsidR="00687320" w:rsidRDefault="00687320">
      <w:pPr>
        <w:pStyle w:val="NormalWeb"/>
        <w:spacing w:line="480" w:lineRule="auto"/>
        <w:ind w:left="158"/>
        <w:jc w:val="both"/>
        <w:rPr>
          <w:rFonts w:ascii="Arial" w:hAnsi="Arial" w:cs="Arial"/>
        </w:rPr>
      </w:pPr>
    </w:p>
    <w:p w14:paraId="36D47D50" w14:textId="77777777" w:rsidR="00687320" w:rsidRDefault="00000000">
      <w:pPr>
        <w:pStyle w:val="NormalWeb"/>
        <w:spacing w:line="480" w:lineRule="auto"/>
        <w:jc w:val="both"/>
        <w:rPr>
          <w:rFonts w:ascii="Arial" w:hAnsi="Arial" w:cs="Arial"/>
          <w:b/>
          <w:bCs/>
        </w:rPr>
      </w:pPr>
      <w:r>
        <w:rPr>
          <w:rFonts w:ascii="Arial" w:hAnsi="Arial" w:cs="Arial"/>
          <w:b/>
          <w:bCs/>
        </w:rPr>
        <w:t>2.4 Installation of the Device for Induced Tooth Movement (ITM)</w:t>
      </w:r>
    </w:p>
    <w:p w14:paraId="10D83EC8" w14:textId="77777777" w:rsidR="00687320" w:rsidRDefault="00000000">
      <w:pPr>
        <w:pStyle w:val="NormalWeb"/>
        <w:spacing w:line="480" w:lineRule="auto"/>
        <w:jc w:val="both"/>
        <w:rPr>
          <w:rFonts w:ascii="Arial" w:eastAsia="Times New Roman" w:hAnsi="Arial" w:cs="Arial"/>
        </w:rPr>
      </w:pPr>
      <w:r>
        <w:rPr>
          <w:rFonts w:ascii="Arial" w:eastAsia="Times New Roman" w:hAnsi="Arial" w:cs="Arial"/>
          <w:lang w:val="pt-PT"/>
        </w:rPr>
        <w:tab/>
      </w:r>
      <w:r>
        <w:rPr>
          <w:rFonts w:ascii="Arial" w:hAnsi="Arial" w:cs="Arial"/>
        </w:rPr>
        <w:t>At 90 days of age, the ITM device was installed in animals from groups G2 and G4. The device used was based on the model proposed by Heller and Nanda (1979) and Pasa et al. (2024) and was kept in place for 7 days</w:t>
      </w:r>
      <w:r>
        <w:rPr>
          <w:rFonts w:ascii="Arial" w:hAnsi="Arial" w:cs="Arial"/>
          <w:lang w:val="pt-BR"/>
        </w:rPr>
        <w:t xml:space="preserve"> [32, 33]</w:t>
      </w:r>
      <w:r>
        <w:rPr>
          <w:rFonts w:ascii="Arial" w:hAnsi="Arial" w:cs="Arial"/>
        </w:rPr>
        <w:t xml:space="preserve">. It consisted of a closed-section nickel–titanium coil spring (Morelli®, Sorocaba, São Paulo, Brazil) delivering a constant force of 50 </w:t>
      </w:r>
      <w:proofErr w:type="spellStart"/>
      <w:r>
        <w:rPr>
          <w:rFonts w:ascii="Arial" w:hAnsi="Arial" w:cs="Arial"/>
        </w:rPr>
        <w:t>cN</w:t>
      </w:r>
      <w:proofErr w:type="spellEnd"/>
      <w:r>
        <w:rPr>
          <w:rFonts w:ascii="Arial" w:hAnsi="Arial" w:cs="Arial"/>
        </w:rPr>
        <w:t xml:space="preserve">. The force magnitude was previously confirmed using a </w:t>
      </w:r>
      <w:proofErr w:type="spellStart"/>
      <w:r>
        <w:rPr>
          <w:rFonts w:ascii="Arial" w:hAnsi="Arial" w:cs="Arial"/>
        </w:rPr>
        <w:t>Zeusan</w:t>
      </w:r>
      <w:proofErr w:type="spellEnd"/>
      <w:r>
        <w:rPr>
          <w:rFonts w:ascii="Arial" w:hAnsi="Arial" w:cs="Arial"/>
        </w:rPr>
        <w:t xml:space="preserve"> tensiometer (</w:t>
      </w:r>
      <w:proofErr w:type="spellStart"/>
      <w:r>
        <w:rPr>
          <w:rFonts w:ascii="Arial" w:hAnsi="Arial" w:cs="Arial"/>
        </w:rPr>
        <w:t>Zeusan</w:t>
      </w:r>
      <w:proofErr w:type="spellEnd"/>
      <w:r>
        <w:rPr>
          <w:rFonts w:ascii="Arial" w:hAnsi="Arial" w:cs="Arial"/>
        </w:rPr>
        <w:t xml:space="preserve"> Exporting </w:t>
      </w:r>
      <w:proofErr w:type="spellStart"/>
      <w:r>
        <w:rPr>
          <w:rFonts w:ascii="Arial" w:hAnsi="Arial" w:cs="Arial"/>
        </w:rPr>
        <w:t>Ltda</w:t>
      </w:r>
      <w:proofErr w:type="spellEnd"/>
      <w:r>
        <w:rPr>
          <w:rFonts w:ascii="Arial" w:hAnsi="Arial" w:cs="Arial"/>
        </w:rPr>
        <w:t xml:space="preserve">, Campinas, São Paulo, Brazil). Animals were anesthetized via intraperitoneal injection of ketamine hydrochloride (DOPALEN, </w:t>
      </w:r>
      <w:proofErr w:type="spellStart"/>
      <w:r>
        <w:rPr>
          <w:rFonts w:ascii="Arial" w:hAnsi="Arial" w:cs="Arial"/>
        </w:rPr>
        <w:t>Sespo</w:t>
      </w:r>
      <w:proofErr w:type="spellEnd"/>
      <w:r>
        <w:rPr>
          <w:rFonts w:ascii="Arial" w:hAnsi="Arial" w:cs="Arial"/>
        </w:rPr>
        <w:t xml:space="preserve"> Indústria e Comércio, </w:t>
      </w:r>
      <w:proofErr w:type="spellStart"/>
      <w:r>
        <w:rPr>
          <w:rFonts w:ascii="Arial" w:hAnsi="Arial" w:cs="Arial"/>
        </w:rPr>
        <w:t>Paulínia</w:t>
      </w:r>
      <w:proofErr w:type="spellEnd"/>
      <w:r>
        <w:rPr>
          <w:rFonts w:ascii="Arial" w:hAnsi="Arial" w:cs="Arial"/>
        </w:rPr>
        <w:t xml:space="preserve">-SP; 75 mg/kg) and xylazine hydrochloride (ANASEDAN, </w:t>
      </w:r>
      <w:proofErr w:type="spellStart"/>
      <w:r>
        <w:rPr>
          <w:rFonts w:ascii="Arial" w:hAnsi="Arial" w:cs="Arial"/>
        </w:rPr>
        <w:t>Sespo</w:t>
      </w:r>
      <w:proofErr w:type="spellEnd"/>
      <w:r>
        <w:rPr>
          <w:rFonts w:ascii="Arial" w:hAnsi="Arial" w:cs="Arial"/>
        </w:rPr>
        <w:t xml:space="preserve"> Indústria e Comércio, </w:t>
      </w:r>
      <w:proofErr w:type="spellStart"/>
      <w:r>
        <w:rPr>
          <w:rFonts w:ascii="Arial" w:hAnsi="Arial" w:cs="Arial"/>
        </w:rPr>
        <w:t>Paulínia</w:t>
      </w:r>
      <w:proofErr w:type="spellEnd"/>
      <w:r>
        <w:rPr>
          <w:rFonts w:ascii="Arial" w:hAnsi="Arial" w:cs="Arial"/>
        </w:rPr>
        <w:t>-SP; 15 mg/kg). Two segments of 0.25 mm ligature wire (Morelli, Sorocaba, SP, Brazil) were attached to the ends of the coil: one encircling the upper right first molar and the other encircling the upper right central incisor. To stabilize the wire on the labial surface of the incisor, a groove was made in the cervical region and sealed with light-cured composite resin (</w:t>
      </w:r>
      <w:proofErr w:type="spellStart"/>
      <w:r>
        <w:rPr>
          <w:rFonts w:ascii="Arial" w:hAnsi="Arial" w:cs="Arial"/>
        </w:rPr>
        <w:t>Filtek</w:t>
      </w:r>
      <w:proofErr w:type="spellEnd"/>
      <w:r>
        <w:rPr>
          <w:rFonts w:ascii="Arial" w:hAnsi="Arial" w:cs="Arial"/>
        </w:rPr>
        <w:t>™ Z350XT, 3M Company, St. Paul, MN, USA) to prevent displacement.</w:t>
      </w:r>
    </w:p>
    <w:p w14:paraId="52ED3487" w14:textId="77777777" w:rsidR="00687320" w:rsidRDefault="00687320">
      <w:pPr>
        <w:pStyle w:val="NormalWeb"/>
        <w:spacing w:line="480" w:lineRule="auto"/>
        <w:jc w:val="both"/>
        <w:rPr>
          <w:rFonts w:ascii="Arial" w:eastAsia="Times New Roman" w:hAnsi="Arial" w:cs="Arial"/>
        </w:rPr>
      </w:pPr>
    </w:p>
    <w:p w14:paraId="71050FE2" w14:textId="77777777" w:rsidR="00687320" w:rsidRDefault="00000000">
      <w:pPr>
        <w:pStyle w:val="NormalWeb"/>
        <w:spacing w:line="480" w:lineRule="auto"/>
        <w:jc w:val="both"/>
        <w:rPr>
          <w:rFonts w:ascii="Arial" w:hAnsi="Arial" w:cs="Arial"/>
          <w:b/>
          <w:bCs/>
        </w:rPr>
      </w:pPr>
      <w:r>
        <w:rPr>
          <w:rFonts w:ascii="Arial" w:hAnsi="Arial" w:cs="Arial"/>
          <w:b/>
          <w:bCs/>
        </w:rPr>
        <w:t>2.5 Euthanasia and Biological Material Collection</w:t>
      </w:r>
    </w:p>
    <w:p w14:paraId="6A3F4011" w14:textId="77777777" w:rsidR="00687320" w:rsidRDefault="00000000">
      <w:pPr>
        <w:pStyle w:val="NormalWeb"/>
        <w:spacing w:line="480" w:lineRule="auto"/>
        <w:jc w:val="both"/>
        <w:rPr>
          <w:rFonts w:ascii="Arial" w:eastAsia="Times New Roman" w:hAnsi="Arial" w:cs="Arial"/>
        </w:rPr>
      </w:pPr>
      <w:r>
        <w:rPr>
          <w:rFonts w:ascii="Arial" w:eastAsia="Times New Roman" w:hAnsi="Arial" w:cs="Arial"/>
          <w:lang w:val="pt-PT"/>
        </w:rPr>
        <w:tab/>
      </w:r>
      <w:r>
        <w:rPr>
          <w:rFonts w:ascii="Arial" w:hAnsi="Arial" w:cs="Arial"/>
        </w:rPr>
        <w:t>At 97 days of age, all animals were weighed and euthanized in a CO</w:t>
      </w:r>
      <w:r>
        <w:rPr>
          <w:rFonts w:ascii="Cambria Math" w:hAnsi="Cambria Math" w:cs="Cambria Math"/>
        </w:rPr>
        <w:t>₂</w:t>
      </w:r>
      <w:r>
        <w:rPr>
          <w:rFonts w:ascii="Arial" w:hAnsi="Arial" w:cs="Arial"/>
        </w:rPr>
        <w:t xml:space="preserve"> chamber, followed by decapitation. To confirm the induction of obesity, the Lee index was calculated [cube root of body weight (g) divided by </w:t>
      </w:r>
      <w:proofErr w:type="spellStart"/>
      <w:r>
        <w:rPr>
          <w:rFonts w:ascii="Arial" w:hAnsi="Arial" w:cs="Arial"/>
        </w:rPr>
        <w:t>naso</w:t>
      </w:r>
      <w:proofErr w:type="spellEnd"/>
      <w:r>
        <w:rPr>
          <w:rFonts w:ascii="Arial" w:hAnsi="Arial" w:cs="Arial"/>
        </w:rPr>
        <w:t>-anal length (cm)], along with the measurement of perigonadal and retroperitoneal fat deposits.</w:t>
      </w:r>
      <w:r>
        <w:rPr>
          <w:rFonts w:ascii="Arial" w:eastAsia="Times New Roman" w:hAnsi="Arial" w:cs="Arial"/>
        </w:rPr>
        <w:t xml:space="preserve"> </w:t>
      </w:r>
      <w:r>
        <w:rPr>
          <w:rFonts w:ascii="Arial" w:hAnsi="Arial" w:cs="Arial"/>
        </w:rPr>
        <w:t>The right hemimaxillae were then removed, fixed in 10% buffered formalin for 24 hours, rinsed under running water for 48 hours, and stored in 70% ethanol.</w:t>
      </w:r>
    </w:p>
    <w:p w14:paraId="1789CCD5" w14:textId="77777777" w:rsidR="00687320" w:rsidRDefault="00687320">
      <w:pPr>
        <w:pStyle w:val="NormalWeb"/>
        <w:spacing w:line="480" w:lineRule="auto"/>
        <w:jc w:val="both"/>
        <w:rPr>
          <w:rFonts w:ascii="Arial" w:eastAsia="Times New Roman" w:hAnsi="Arial" w:cs="Arial"/>
        </w:rPr>
      </w:pPr>
    </w:p>
    <w:p w14:paraId="1C83B623" w14:textId="77777777" w:rsidR="00687320" w:rsidRDefault="00000000">
      <w:pPr>
        <w:pStyle w:val="NormalWeb"/>
        <w:spacing w:line="480" w:lineRule="auto"/>
        <w:jc w:val="both"/>
        <w:rPr>
          <w:rFonts w:ascii="Arial" w:hAnsi="Arial" w:cs="Arial"/>
          <w:b/>
          <w:bCs/>
        </w:rPr>
      </w:pPr>
      <w:r>
        <w:rPr>
          <w:rFonts w:ascii="Arial" w:hAnsi="Arial" w:cs="Arial"/>
          <w:b/>
          <w:bCs/>
        </w:rPr>
        <w:t>2.6 Quantitative Analysis of Tooth Movement</w:t>
      </w:r>
    </w:p>
    <w:p w14:paraId="03EF1D62" w14:textId="77777777" w:rsidR="00687320" w:rsidRDefault="00000000">
      <w:pPr>
        <w:pStyle w:val="NormalWeb"/>
        <w:spacing w:line="480" w:lineRule="auto"/>
        <w:jc w:val="both"/>
        <w:rPr>
          <w:rFonts w:ascii="Arial" w:hAnsi="Arial" w:cs="Arial"/>
        </w:rPr>
      </w:pPr>
      <w:r>
        <w:rPr>
          <w:rFonts w:ascii="Arial" w:eastAsia="Times New Roman" w:hAnsi="Arial" w:cs="Arial"/>
          <w:lang w:val="pt-PT"/>
        </w:rPr>
        <w:lastRenderedPageBreak/>
        <w:tab/>
      </w:r>
      <w:r>
        <w:rPr>
          <w:rFonts w:ascii="Arial" w:hAnsi="Arial" w:cs="Arial"/>
        </w:rPr>
        <w:t xml:space="preserve">Immediately after euthanasia, the amount of tooth movement was determined by measuring the difference in distance between the mesial surface of the upper first molar and the distal surface of the upper third molar on the right (moved) and left (non-moved) sides </w:t>
      </w:r>
      <w:r>
        <w:rPr>
          <w:rFonts w:ascii="Arial" w:hAnsi="Arial" w:cs="Arial"/>
          <w:lang w:val="pt-BR"/>
        </w:rPr>
        <w:t>[34,</w:t>
      </w:r>
      <w:r>
        <w:rPr>
          <w:rFonts w:ascii="Arial" w:hAnsi="Arial" w:cs="Arial"/>
        </w:rPr>
        <w:t xml:space="preserve"> </w:t>
      </w:r>
      <w:r>
        <w:rPr>
          <w:rFonts w:ascii="Arial" w:hAnsi="Arial" w:cs="Arial"/>
          <w:lang w:val="pt-BR"/>
        </w:rPr>
        <w:t>33]</w:t>
      </w:r>
      <w:r>
        <w:rPr>
          <w:rFonts w:ascii="Arial" w:hAnsi="Arial" w:cs="Arial"/>
        </w:rPr>
        <w:t>. Measurements were recorded in millimeters (mm) using a digital caliper (Mitutoyo, São Paulo, Brazil).</w:t>
      </w:r>
    </w:p>
    <w:p w14:paraId="4B384EA5" w14:textId="77777777" w:rsidR="00687320" w:rsidRDefault="00687320">
      <w:pPr>
        <w:pStyle w:val="NormalWeb"/>
        <w:spacing w:line="480" w:lineRule="auto"/>
        <w:jc w:val="both"/>
        <w:rPr>
          <w:rFonts w:ascii="Arial" w:eastAsia="Times New Roman" w:hAnsi="Arial" w:cs="Arial"/>
        </w:rPr>
      </w:pPr>
    </w:p>
    <w:p w14:paraId="4A2DEDE7" w14:textId="77777777" w:rsidR="00687320" w:rsidRDefault="00000000">
      <w:pPr>
        <w:pStyle w:val="NormalWeb"/>
        <w:spacing w:line="480" w:lineRule="auto"/>
        <w:jc w:val="both"/>
        <w:rPr>
          <w:rFonts w:ascii="Arial" w:hAnsi="Arial" w:cs="Arial"/>
          <w:b/>
          <w:bCs/>
        </w:rPr>
      </w:pPr>
      <w:r>
        <w:rPr>
          <w:rFonts w:ascii="Arial" w:hAnsi="Arial" w:cs="Arial"/>
          <w:b/>
          <w:bCs/>
        </w:rPr>
        <w:t>2.7 Laboratory Processing</w:t>
      </w:r>
    </w:p>
    <w:p w14:paraId="5F0C8837" w14:textId="49149510" w:rsidR="00687320" w:rsidRDefault="00000000">
      <w:pPr>
        <w:pStyle w:val="NormalWeb"/>
        <w:spacing w:line="480" w:lineRule="auto"/>
        <w:jc w:val="both"/>
        <w:rPr>
          <w:rFonts w:ascii="Arial" w:eastAsia="Times New Roman" w:hAnsi="Arial" w:cs="Arial"/>
        </w:rPr>
      </w:pPr>
      <w:r>
        <w:rPr>
          <w:rFonts w:ascii="Arial" w:eastAsia="Times New Roman" w:hAnsi="Arial" w:cs="Arial"/>
          <w:lang w:val="pt-PT"/>
        </w:rPr>
        <w:tab/>
      </w:r>
      <w:r>
        <w:rPr>
          <w:rFonts w:ascii="Arial" w:hAnsi="Arial" w:cs="Arial"/>
        </w:rPr>
        <w:t>After fixation, the right hemimaxillae were decalcified in a decalcifying solution (</w:t>
      </w:r>
      <w:proofErr w:type="spellStart"/>
      <w:r>
        <w:rPr>
          <w:rFonts w:ascii="Arial" w:hAnsi="Arial" w:cs="Arial"/>
        </w:rPr>
        <w:t>Allkimia</w:t>
      </w:r>
      <w:proofErr w:type="spellEnd"/>
      <w:r>
        <w:rPr>
          <w:rFonts w:ascii="Arial" w:hAnsi="Arial" w:cs="Arial"/>
        </w:rPr>
        <w:t xml:space="preserve">®) for 19 hours, rinsed under running water for 2 hours, dehydrated in a graded series of alcohols, cleared in xylene and embedded in </w:t>
      </w:r>
      <w:proofErr w:type="spellStart"/>
      <w:r>
        <w:rPr>
          <w:rFonts w:ascii="Arial" w:hAnsi="Arial" w:cs="Arial"/>
        </w:rPr>
        <w:t>Paraplast</w:t>
      </w:r>
      <w:proofErr w:type="spellEnd"/>
      <w:r>
        <w:rPr>
          <w:rFonts w:ascii="Arial" w:hAnsi="Arial" w:cs="Arial"/>
        </w:rPr>
        <w:t>.</w:t>
      </w:r>
    </w:p>
    <w:p w14:paraId="7ED282E3" w14:textId="77777777" w:rsidR="00687320" w:rsidRDefault="00000000" w:rsidP="00FC00FF">
      <w:pPr>
        <w:pStyle w:val="NormalWeb"/>
        <w:spacing w:line="480" w:lineRule="auto"/>
        <w:ind w:firstLine="708"/>
        <w:jc w:val="both"/>
        <w:rPr>
          <w:rFonts w:ascii="Arial" w:eastAsia="Times New Roman" w:hAnsi="Arial" w:cs="Arial"/>
        </w:rPr>
      </w:pPr>
      <w:r>
        <w:rPr>
          <w:rFonts w:ascii="Arial" w:hAnsi="Arial" w:cs="Arial"/>
        </w:rPr>
        <w:t xml:space="preserve">For histological analysis, serial cross-sectional and longitudinal sections of the </w:t>
      </w:r>
      <w:proofErr w:type="spellStart"/>
      <w:r>
        <w:rPr>
          <w:rFonts w:ascii="Arial" w:hAnsi="Arial" w:cs="Arial"/>
        </w:rPr>
        <w:t>mesiobuccal</w:t>
      </w:r>
      <w:proofErr w:type="spellEnd"/>
      <w:r>
        <w:rPr>
          <w:rFonts w:ascii="Arial" w:hAnsi="Arial" w:cs="Arial"/>
        </w:rPr>
        <w:t xml:space="preserve"> and distobuccal roots of the right upper first molar were obtained from mesial to distal at 5 µm thickness using a manual rotary microtome (Olympus 4060) with a steel blade. The sections were deparaffinized in xylene, rehydrated in distilled water, and stained with hematoxylin and eosin (H&amp;E).</w:t>
      </w:r>
      <w:r>
        <w:rPr>
          <w:rFonts w:ascii="Arial" w:eastAsia="Times New Roman" w:hAnsi="Arial" w:cs="Arial"/>
        </w:rPr>
        <w:t xml:space="preserve"> </w:t>
      </w:r>
      <w:r>
        <w:rPr>
          <w:rFonts w:ascii="Arial" w:hAnsi="Arial" w:cs="Arial"/>
        </w:rPr>
        <w:t>Microscopic analysis was performed using an optical microscope (Olympus BX60). Photomicrographs were captured using an Olympus DP71 digital camera and DP Controller software version 3.2.1.276.</w:t>
      </w:r>
    </w:p>
    <w:p w14:paraId="6CF447A8" w14:textId="77777777" w:rsidR="00687320" w:rsidRDefault="00687320">
      <w:pPr>
        <w:pStyle w:val="NormalWeb"/>
        <w:spacing w:line="480" w:lineRule="auto"/>
        <w:jc w:val="both"/>
        <w:rPr>
          <w:rFonts w:ascii="Arial" w:eastAsia="Times New Roman" w:hAnsi="Arial" w:cs="Arial"/>
        </w:rPr>
      </w:pPr>
    </w:p>
    <w:p w14:paraId="726DE859" w14:textId="77777777" w:rsidR="00687320" w:rsidRDefault="00000000">
      <w:pPr>
        <w:pStyle w:val="NormalWeb"/>
        <w:spacing w:line="480" w:lineRule="auto"/>
        <w:jc w:val="both"/>
        <w:rPr>
          <w:rFonts w:ascii="Arial" w:hAnsi="Arial" w:cs="Arial"/>
          <w:b/>
          <w:bCs/>
        </w:rPr>
      </w:pPr>
      <w:r>
        <w:rPr>
          <w:rFonts w:ascii="Arial" w:hAnsi="Arial" w:cs="Arial"/>
          <w:b/>
          <w:bCs/>
        </w:rPr>
        <w:t>2.8 Descriptive Analysis of Histological Slides</w:t>
      </w:r>
    </w:p>
    <w:p w14:paraId="7D7782F5" w14:textId="77777777" w:rsidR="00687320" w:rsidRDefault="00000000">
      <w:pPr>
        <w:pStyle w:val="NormalWeb"/>
        <w:spacing w:line="480" w:lineRule="auto"/>
        <w:jc w:val="both"/>
        <w:rPr>
          <w:rFonts w:ascii="Arial" w:hAnsi="Arial" w:cs="Arial"/>
        </w:rPr>
      </w:pPr>
      <w:r>
        <w:rPr>
          <w:rFonts w:ascii="Arial" w:eastAsia="Times New Roman" w:hAnsi="Arial" w:cs="Arial"/>
          <w:lang w:val="pt-PT"/>
        </w:rPr>
        <w:tab/>
      </w:r>
      <w:r>
        <w:rPr>
          <w:rFonts w:ascii="Arial" w:hAnsi="Arial" w:cs="Arial"/>
        </w:rPr>
        <w:t>The right upper first molars were examined to identify pulp alterations, following the criteria described by Massaro et al. (2009) and Cuoghi et al. (2018)</w:t>
      </w:r>
      <w:r>
        <w:rPr>
          <w:rFonts w:ascii="Arial" w:hAnsi="Arial" w:cs="Arial"/>
          <w:lang w:val="pt-BR"/>
        </w:rPr>
        <w:t xml:space="preserve"> [25, 17]</w:t>
      </w:r>
      <w:r>
        <w:rPr>
          <w:rFonts w:ascii="Arial" w:hAnsi="Arial" w:cs="Arial"/>
        </w:rPr>
        <w:t>. The histological features assessed included: presence or absence of inflammatory infiltrate, reduced cellularity, increased fibrosis, pulp hyalinization, vacuolization, pulp nodules, diffuse calcification, necrosis, vascular congestion, hemorrhage, thrombosis, reactive dentin, dentinal tubules with nuclei, and internal root resorption.</w:t>
      </w:r>
    </w:p>
    <w:p w14:paraId="6CE7EF1B" w14:textId="77777777" w:rsidR="00687320" w:rsidRDefault="00687320">
      <w:pPr>
        <w:pStyle w:val="NormalWeb"/>
        <w:spacing w:line="480" w:lineRule="auto"/>
        <w:jc w:val="both"/>
        <w:rPr>
          <w:rFonts w:ascii="Arial" w:eastAsia="Times New Roman" w:hAnsi="Arial" w:cs="Arial"/>
        </w:rPr>
      </w:pPr>
    </w:p>
    <w:p w14:paraId="18CCD3A0" w14:textId="2E1B2375" w:rsidR="00687320" w:rsidRDefault="00000000" w:rsidP="00031889">
      <w:pPr>
        <w:pStyle w:val="NormalWeb"/>
        <w:numPr>
          <w:ilvl w:val="1"/>
          <w:numId w:val="4"/>
        </w:numPr>
        <w:spacing w:line="480" w:lineRule="auto"/>
        <w:jc w:val="both"/>
        <w:rPr>
          <w:rFonts w:ascii="Arial" w:hAnsi="Arial" w:cs="Arial"/>
          <w:b/>
          <w:bCs/>
        </w:rPr>
      </w:pPr>
      <w:r>
        <w:rPr>
          <w:rFonts w:ascii="Arial" w:hAnsi="Arial" w:cs="Arial"/>
          <w:b/>
          <w:bCs/>
        </w:rPr>
        <w:t>Semi-quantitative Analysis of Histological Slides</w:t>
      </w:r>
    </w:p>
    <w:p w14:paraId="27BFBC60" w14:textId="51FE915B" w:rsidR="00687320" w:rsidRPr="00031889" w:rsidRDefault="00000000" w:rsidP="00031889">
      <w:pPr>
        <w:pStyle w:val="NormalWeb"/>
        <w:spacing w:line="480" w:lineRule="auto"/>
        <w:jc w:val="both"/>
        <w:rPr>
          <w:rFonts w:ascii="Arial" w:eastAsia="Times New Roman" w:hAnsi="Arial" w:cs="Arial"/>
        </w:rPr>
      </w:pPr>
      <w:r>
        <w:rPr>
          <w:rFonts w:ascii="Arial" w:eastAsia="Times New Roman" w:hAnsi="Arial" w:cs="Arial"/>
          <w:lang w:val="pt-PT"/>
        </w:rPr>
        <w:tab/>
      </w:r>
      <w:r>
        <w:rPr>
          <w:rFonts w:ascii="Arial" w:hAnsi="Arial" w:cs="Arial"/>
        </w:rPr>
        <w:t>For this analysis, five histological slides were evaluated per animal, each containing five sections, totaling 25 sections per specimen. Inflammatory response was scored on a scale from 1 to 4 based on the criteria proposed by McClanahan et al. (1991)</w:t>
      </w:r>
      <w:r>
        <w:rPr>
          <w:rFonts w:ascii="Arial" w:hAnsi="Arial" w:cs="Arial"/>
          <w:lang w:val="pt-BR"/>
        </w:rPr>
        <w:t xml:space="preserve"> [35]</w:t>
      </w:r>
      <w:r>
        <w:rPr>
          <w:rFonts w:ascii="Arial" w:hAnsi="Arial" w:cs="Arial"/>
        </w:rPr>
        <w:t>, as follows:</w:t>
      </w:r>
      <w:r w:rsidR="00031889">
        <w:rPr>
          <w:rFonts w:ascii="Arial" w:eastAsia="Times New Roman" w:hAnsi="Arial" w:cs="Arial"/>
        </w:rPr>
        <w:t xml:space="preserve"> </w:t>
      </w:r>
      <w:r w:rsidRPr="00031889">
        <w:rPr>
          <w:rFonts w:ascii="Arial" w:hAnsi="Arial" w:cs="Arial"/>
        </w:rPr>
        <w:t xml:space="preserve">Score </w:t>
      </w:r>
      <w:r w:rsidRPr="00031889">
        <w:rPr>
          <w:rFonts w:ascii="Arial" w:hAnsi="Arial" w:cs="Arial"/>
        </w:rPr>
        <w:lastRenderedPageBreak/>
        <w:t>1 – Normal pulp: Intact odontoblastic layer and nerve tissue, with no evidence of inflammatory infiltrate, hyperemia, or edema (0% of the microscopic field affected).</w:t>
      </w:r>
      <w:r w:rsidR="00031889" w:rsidRPr="00031889">
        <w:rPr>
          <w:rFonts w:ascii="Arial" w:hAnsi="Arial" w:cs="Arial"/>
        </w:rPr>
        <w:t xml:space="preserve"> </w:t>
      </w:r>
      <w:r w:rsidRPr="00031889">
        <w:rPr>
          <w:rFonts w:ascii="Arial" w:hAnsi="Arial" w:cs="Arial"/>
        </w:rPr>
        <w:t>Score 2 – Mild inflammation: Mild infiltrate of inflammatory cells (neutrophils, lymphocytes), with no edema or hyperemia (1–33% of the field affected).</w:t>
      </w:r>
      <w:r w:rsidR="00031889" w:rsidRPr="00031889">
        <w:rPr>
          <w:rFonts w:ascii="Arial" w:hAnsi="Arial" w:cs="Arial"/>
        </w:rPr>
        <w:t xml:space="preserve"> </w:t>
      </w:r>
      <w:r w:rsidRPr="00031889">
        <w:rPr>
          <w:rFonts w:ascii="Arial" w:hAnsi="Arial" w:cs="Arial"/>
        </w:rPr>
        <w:t>Score 3 – Moderate inflammation: Moderate infiltrate of inflammatory cells, with presence of edema and hyperemia (34–66% of the field affected).</w:t>
      </w:r>
      <w:r w:rsidR="00031889">
        <w:rPr>
          <w:rFonts w:ascii="Arial" w:hAnsi="Arial" w:cs="Arial"/>
        </w:rPr>
        <w:t xml:space="preserve"> </w:t>
      </w:r>
      <w:r w:rsidRPr="00031889">
        <w:rPr>
          <w:rFonts w:ascii="Arial" w:hAnsi="Arial" w:cs="Arial"/>
        </w:rPr>
        <w:t>Score 4 – Severe inflammation: Dense inflammatory infiltrate (neutrophils, lymphocytes), capillary congestion, hemorrhage, and possible dystrophic calcification (67–100% of the field affected).</w:t>
      </w:r>
    </w:p>
    <w:p w14:paraId="01AA6AF9" w14:textId="77777777" w:rsidR="00687320" w:rsidRDefault="00687320">
      <w:pPr>
        <w:pStyle w:val="NormalWeb"/>
        <w:spacing w:line="480" w:lineRule="auto"/>
        <w:jc w:val="both"/>
        <w:rPr>
          <w:rFonts w:ascii="Arial" w:hAnsi="Arial" w:cs="Arial"/>
        </w:rPr>
      </w:pPr>
    </w:p>
    <w:p w14:paraId="01D67980" w14:textId="77777777" w:rsidR="00687320" w:rsidRDefault="00000000">
      <w:pPr>
        <w:spacing w:line="480" w:lineRule="auto"/>
        <w:jc w:val="both"/>
        <w:rPr>
          <w:rFonts w:ascii="Arial" w:hAnsi="Arial" w:cs="Arial"/>
          <w:b/>
          <w:bCs/>
        </w:rPr>
      </w:pPr>
      <w:r>
        <w:rPr>
          <w:rFonts w:ascii="Arial" w:hAnsi="Arial" w:cs="Arial"/>
          <w:b/>
          <w:bCs/>
        </w:rPr>
        <w:t>2.10 Statistical Analysis</w:t>
      </w:r>
    </w:p>
    <w:p w14:paraId="1BFFC8F8" w14:textId="16B755F1" w:rsidR="00687320" w:rsidRDefault="00000000">
      <w:pPr>
        <w:spacing w:line="480" w:lineRule="auto"/>
        <w:jc w:val="both"/>
        <w:rPr>
          <w:rFonts w:ascii="Arial" w:hAnsi="Arial" w:cs="Arial"/>
        </w:rPr>
      </w:pPr>
      <w:r>
        <w:rPr>
          <w:rFonts w:ascii="Arial" w:eastAsia="Times New Roman" w:hAnsi="Arial" w:cs="Arial"/>
          <w:lang w:val="pt-PT"/>
        </w:rPr>
        <w:tab/>
      </w:r>
      <w:r w:rsidR="001470AF" w:rsidRPr="001470AF">
        <w:rPr>
          <w:rFonts w:ascii="Arial" w:eastAsia="Times New Roman" w:hAnsi="Arial" w:cs="Arial"/>
          <w:highlight w:val="yellow"/>
        </w:rPr>
        <w:t>Student’s</w:t>
      </w:r>
      <w:r w:rsidR="001470AF" w:rsidRPr="001470AF">
        <w:rPr>
          <w:rFonts w:ascii="Arial" w:eastAsia="Times New Roman" w:hAnsi="Arial" w:cs="Arial"/>
          <w:highlight w:val="yellow"/>
        </w:rPr>
        <w:t xml:space="preserve"> test and one-way ANOVA with Tukey's posttest were used for data analysis.</w:t>
      </w:r>
      <w:r>
        <w:rPr>
          <w:rFonts w:ascii="Arial" w:hAnsi="Arial" w:cs="Arial"/>
        </w:rPr>
        <w:t xml:space="preserve"> Differences were considered statistically significant at P&lt;0.05. Statistical analyses were performed using </w:t>
      </w:r>
      <w:proofErr w:type="spellStart"/>
      <w:r>
        <w:rPr>
          <w:rFonts w:ascii="Arial" w:hAnsi="Arial" w:cs="Arial"/>
        </w:rPr>
        <w:t>SigmaPlot</w:t>
      </w:r>
      <w:proofErr w:type="spellEnd"/>
      <w:r>
        <w:rPr>
          <w:rFonts w:ascii="Arial" w:hAnsi="Arial" w:cs="Arial"/>
        </w:rPr>
        <w:t xml:space="preserve"> software, version 11.0 (</w:t>
      </w:r>
      <w:proofErr w:type="spellStart"/>
      <w:r>
        <w:rPr>
          <w:rFonts w:ascii="Arial" w:hAnsi="Arial" w:cs="Arial"/>
        </w:rPr>
        <w:t>Systat</w:t>
      </w:r>
      <w:proofErr w:type="spellEnd"/>
      <w:r>
        <w:rPr>
          <w:rFonts w:ascii="Arial" w:hAnsi="Arial" w:cs="Arial"/>
        </w:rPr>
        <w:t xml:space="preserve"> Software Inc., San Jose, CA, USA).</w:t>
      </w:r>
    </w:p>
    <w:p w14:paraId="3ECD95AD" w14:textId="77777777" w:rsidR="00687320" w:rsidRDefault="00687320">
      <w:pPr>
        <w:spacing w:line="480" w:lineRule="auto"/>
        <w:jc w:val="both"/>
        <w:rPr>
          <w:rFonts w:ascii="Arial" w:eastAsia="Times New Roman" w:hAnsi="Arial" w:cs="Arial"/>
        </w:rPr>
      </w:pPr>
    </w:p>
    <w:p w14:paraId="6FF3D9E6" w14:textId="77777777" w:rsidR="00687320" w:rsidRDefault="00000000">
      <w:pPr>
        <w:spacing w:line="480" w:lineRule="auto"/>
        <w:jc w:val="both"/>
        <w:rPr>
          <w:rFonts w:ascii="Arial" w:hAnsi="Arial" w:cs="Arial"/>
          <w:b/>
          <w:bCs/>
          <w:lang w:val="de-DE"/>
        </w:rPr>
      </w:pPr>
      <w:r>
        <w:rPr>
          <w:rFonts w:ascii="Arial" w:hAnsi="Arial" w:cs="Arial"/>
          <w:b/>
          <w:bCs/>
          <w:lang w:val="de-DE"/>
        </w:rPr>
        <w:t>3. RESULTS</w:t>
      </w:r>
    </w:p>
    <w:p w14:paraId="78FB3467" w14:textId="77777777" w:rsidR="00687320" w:rsidRDefault="00687320">
      <w:pPr>
        <w:spacing w:line="480" w:lineRule="auto"/>
        <w:jc w:val="both"/>
        <w:rPr>
          <w:rFonts w:ascii="Arial" w:eastAsia="Times New Roman" w:hAnsi="Arial" w:cs="Arial"/>
        </w:rPr>
      </w:pPr>
    </w:p>
    <w:p w14:paraId="58164A54" w14:textId="77777777" w:rsidR="00687320" w:rsidRDefault="00000000">
      <w:pPr>
        <w:pStyle w:val="NormalWeb"/>
        <w:spacing w:line="480" w:lineRule="auto"/>
        <w:jc w:val="both"/>
        <w:rPr>
          <w:rFonts w:ascii="Arial" w:hAnsi="Arial" w:cs="Arial"/>
          <w:b/>
          <w:bCs/>
        </w:rPr>
      </w:pPr>
      <w:r>
        <w:rPr>
          <w:rFonts w:ascii="Arial" w:hAnsi="Arial" w:cs="Arial"/>
          <w:b/>
          <w:bCs/>
        </w:rPr>
        <w:t>3.1 Body Parameters and Evaluation of Obesity Induction</w:t>
      </w:r>
    </w:p>
    <w:p w14:paraId="6A2E5C8B" w14:textId="1AC510F8" w:rsidR="00687320" w:rsidRDefault="00000000">
      <w:pPr>
        <w:pStyle w:val="NormalWeb"/>
        <w:spacing w:line="480" w:lineRule="auto"/>
        <w:jc w:val="both"/>
        <w:rPr>
          <w:rFonts w:ascii="Arial" w:hAnsi="Arial" w:cs="Arial"/>
        </w:rPr>
      </w:pPr>
      <w:r>
        <w:rPr>
          <w:rFonts w:ascii="Arial" w:eastAsia="Times New Roman" w:hAnsi="Arial" w:cs="Arial"/>
          <w:lang w:val="pt-PT"/>
        </w:rPr>
        <w:tab/>
      </w:r>
      <w:r>
        <w:rPr>
          <w:rFonts w:ascii="Arial" w:hAnsi="Arial" w:cs="Arial"/>
        </w:rPr>
        <w:t xml:space="preserve">Analysis of body parameters showed that body weight and </w:t>
      </w:r>
      <w:proofErr w:type="spellStart"/>
      <w:r>
        <w:rPr>
          <w:rFonts w:ascii="Arial" w:hAnsi="Arial" w:cs="Arial"/>
        </w:rPr>
        <w:t>naso</w:t>
      </w:r>
      <w:proofErr w:type="spellEnd"/>
      <w:r>
        <w:rPr>
          <w:rFonts w:ascii="Arial" w:hAnsi="Arial" w:cs="Arial"/>
        </w:rPr>
        <w:t>-anal length were significantly reduced in animals from the obese groups (MSG, MSG+ITM) compared to those from the CTL groups (P &lt; 0.05). Additionally, animals from the MSG groups exhibited increased Lee index and retroperitoneal and perigonadal fat deposits relative to the CTL group (P &lt; 0.05) (Table 1).</w:t>
      </w:r>
    </w:p>
    <w:p w14:paraId="0FA12D25" w14:textId="77777777" w:rsidR="00687320" w:rsidRDefault="00687320">
      <w:pPr>
        <w:pStyle w:val="NormalWeb"/>
        <w:spacing w:line="360" w:lineRule="auto"/>
        <w:jc w:val="both"/>
        <w:rPr>
          <w:rFonts w:ascii="Arial" w:eastAsia="Times New Roman" w:hAnsi="Arial" w:cs="Arial"/>
        </w:rPr>
      </w:pPr>
    </w:p>
    <w:p w14:paraId="354DA674" w14:textId="77777777" w:rsidR="00687320" w:rsidRDefault="00000000">
      <w:pPr>
        <w:spacing w:line="360" w:lineRule="auto"/>
        <w:jc w:val="both"/>
        <w:rPr>
          <w:rFonts w:ascii="Arial" w:eastAsia="Times New Roman" w:hAnsi="Arial" w:cs="Arial"/>
        </w:rPr>
      </w:pPr>
      <w:r>
        <w:rPr>
          <w:rFonts w:ascii="Arial" w:hAnsi="Arial" w:cs="Arial"/>
          <w:b/>
          <w:bCs/>
        </w:rPr>
        <w:t>Table 1.</w:t>
      </w:r>
      <w:r>
        <w:rPr>
          <w:rFonts w:ascii="Arial" w:hAnsi="Arial" w:cs="Arial"/>
        </w:rPr>
        <w:t xml:space="preserve"> Body Parameters and Obesity Evaluation of the Different Experimental Groups.</w:t>
      </w:r>
    </w:p>
    <w:tbl>
      <w:tblPr>
        <w:tblStyle w:val="TableNormal1"/>
        <w:tblW w:w="83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78"/>
        <w:gridCol w:w="1252"/>
        <w:gridCol w:w="1253"/>
        <w:gridCol w:w="1504"/>
        <w:gridCol w:w="1813"/>
      </w:tblGrid>
      <w:tr w:rsidR="00687320" w14:paraId="2339FB55" w14:textId="77777777">
        <w:trPr>
          <w:trHeight w:val="442"/>
        </w:trPr>
        <w:tc>
          <w:tcPr>
            <w:tcW w:w="2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F78AF3" w14:textId="77777777" w:rsidR="00687320" w:rsidRDefault="00687320">
            <w:pPr>
              <w:suppressAutoHyphens/>
              <w:jc w:val="both"/>
              <w:rPr>
                <w:rFonts w:ascii="Arial" w:eastAsia="Times New Roman" w:hAnsi="Arial" w:cs="Arial"/>
                <w:b/>
                <w:bCs/>
              </w:rPr>
            </w:pPr>
          </w:p>
          <w:p w14:paraId="799A922C" w14:textId="77777777" w:rsidR="00687320" w:rsidRDefault="00000000">
            <w:pPr>
              <w:suppressAutoHyphens/>
              <w:jc w:val="both"/>
              <w:rPr>
                <w:rFonts w:ascii="Arial" w:hAnsi="Arial" w:cs="Arial"/>
              </w:rPr>
            </w:pPr>
            <w:r>
              <w:rPr>
                <w:rFonts w:ascii="Arial" w:hAnsi="Arial" w:cs="Arial"/>
                <w:b/>
                <w:bCs/>
                <w:lang w:val="pt-PT"/>
              </w:rPr>
              <w:t>PARAMETERS</w:t>
            </w:r>
          </w:p>
        </w:tc>
        <w:tc>
          <w:tcPr>
            <w:tcW w:w="125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E6929A" w14:textId="77777777" w:rsidR="00687320" w:rsidRDefault="00687320">
            <w:pPr>
              <w:suppressAutoHyphens/>
              <w:jc w:val="center"/>
              <w:rPr>
                <w:rFonts w:ascii="Arial" w:eastAsia="Times New Roman" w:hAnsi="Arial" w:cs="Arial"/>
                <w:b/>
                <w:bCs/>
              </w:rPr>
            </w:pPr>
          </w:p>
          <w:p w14:paraId="5D92F815" w14:textId="77777777" w:rsidR="00687320" w:rsidRDefault="00000000">
            <w:pPr>
              <w:suppressAutoHyphens/>
              <w:jc w:val="center"/>
              <w:rPr>
                <w:rFonts w:ascii="Arial" w:hAnsi="Arial" w:cs="Arial"/>
              </w:rPr>
            </w:pPr>
            <w:r>
              <w:rPr>
                <w:rFonts w:ascii="Arial" w:hAnsi="Arial" w:cs="Arial"/>
                <w:b/>
                <w:bCs/>
              </w:rPr>
              <w:t>CTL</w:t>
            </w:r>
          </w:p>
        </w:tc>
        <w:tc>
          <w:tcPr>
            <w:tcW w:w="12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442B2C" w14:textId="77777777" w:rsidR="00687320" w:rsidRDefault="00687320">
            <w:pPr>
              <w:suppressAutoHyphens/>
              <w:jc w:val="center"/>
              <w:rPr>
                <w:rFonts w:ascii="Arial" w:eastAsia="Times New Roman" w:hAnsi="Arial" w:cs="Arial"/>
                <w:b/>
                <w:bCs/>
              </w:rPr>
            </w:pPr>
          </w:p>
          <w:p w14:paraId="54392641" w14:textId="77777777" w:rsidR="00687320" w:rsidRDefault="00000000">
            <w:pPr>
              <w:suppressAutoHyphens/>
              <w:jc w:val="center"/>
              <w:rPr>
                <w:rFonts w:ascii="Arial" w:hAnsi="Arial" w:cs="Arial"/>
              </w:rPr>
            </w:pPr>
            <w:r>
              <w:rPr>
                <w:rFonts w:ascii="Arial" w:hAnsi="Arial" w:cs="Arial"/>
                <w:b/>
                <w:bCs/>
              </w:rPr>
              <w:t>MSG</w:t>
            </w:r>
          </w:p>
        </w:tc>
        <w:tc>
          <w:tcPr>
            <w:tcW w:w="15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7D5B57" w14:textId="77777777" w:rsidR="00687320" w:rsidRDefault="00687320">
            <w:pPr>
              <w:suppressAutoHyphens/>
              <w:jc w:val="center"/>
              <w:rPr>
                <w:rFonts w:ascii="Arial" w:eastAsia="Times New Roman" w:hAnsi="Arial" w:cs="Arial"/>
                <w:b/>
                <w:bCs/>
              </w:rPr>
            </w:pPr>
          </w:p>
          <w:p w14:paraId="7725D645" w14:textId="77777777" w:rsidR="00687320" w:rsidRDefault="00000000">
            <w:pPr>
              <w:suppressAutoHyphens/>
              <w:jc w:val="center"/>
              <w:rPr>
                <w:rFonts w:ascii="Arial" w:hAnsi="Arial" w:cs="Arial"/>
              </w:rPr>
            </w:pPr>
            <w:r>
              <w:rPr>
                <w:rFonts w:ascii="Arial" w:hAnsi="Arial" w:cs="Arial"/>
                <w:b/>
                <w:bCs/>
              </w:rPr>
              <w:t>CTL+ITM</w:t>
            </w:r>
          </w:p>
        </w:tc>
        <w:tc>
          <w:tcPr>
            <w:tcW w:w="18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9A01B7" w14:textId="77777777" w:rsidR="00687320" w:rsidRDefault="00687320">
            <w:pPr>
              <w:suppressAutoHyphens/>
              <w:jc w:val="center"/>
              <w:rPr>
                <w:rFonts w:ascii="Arial" w:eastAsia="Times New Roman" w:hAnsi="Arial" w:cs="Arial"/>
                <w:b/>
                <w:bCs/>
              </w:rPr>
            </w:pPr>
          </w:p>
          <w:p w14:paraId="0C408BA5" w14:textId="77777777" w:rsidR="00687320" w:rsidRDefault="00000000">
            <w:pPr>
              <w:suppressAutoHyphens/>
              <w:jc w:val="center"/>
              <w:rPr>
                <w:rFonts w:ascii="Arial" w:hAnsi="Arial" w:cs="Arial"/>
              </w:rPr>
            </w:pPr>
            <w:r>
              <w:rPr>
                <w:rFonts w:ascii="Arial" w:hAnsi="Arial" w:cs="Arial"/>
                <w:b/>
                <w:bCs/>
              </w:rPr>
              <w:t>MSG+ITM</w:t>
            </w:r>
          </w:p>
        </w:tc>
      </w:tr>
      <w:tr w:rsidR="00687320" w14:paraId="502FBCF3" w14:textId="77777777">
        <w:trPr>
          <w:trHeight w:val="227"/>
        </w:trPr>
        <w:tc>
          <w:tcPr>
            <w:tcW w:w="2477" w:type="dxa"/>
            <w:tcBorders>
              <w:top w:val="single" w:sz="4" w:space="0" w:color="000000"/>
              <w:left w:val="nil"/>
              <w:bottom w:val="nil"/>
              <w:right w:val="nil"/>
            </w:tcBorders>
            <w:shd w:val="clear" w:color="auto" w:fill="auto"/>
            <w:tcMar>
              <w:top w:w="80" w:type="dxa"/>
              <w:left w:w="80" w:type="dxa"/>
              <w:bottom w:w="80" w:type="dxa"/>
              <w:right w:w="80" w:type="dxa"/>
            </w:tcMar>
          </w:tcPr>
          <w:p w14:paraId="026BA850" w14:textId="77777777" w:rsidR="00687320" w:rsidRDefault="00000000">
            <w:pPr>
              <w:pStyle w:val="Pr-formataoHTML"/>
              <w:shd w:val="clear" w:color="auto" w:fill="F8F9FA"/>
              <w:tabs>
                <w:tab w:val="clear" w:pos="8244"/>
                <w:tab w:val="clear" w:pos="9160"/>
                <w:tab w:val="clear" w:pos="10076"/>
                <w:tab w:val="clear" w:pos="10992"/>
                <w:tab w:val="clear" w:pos="11908"/>
                <w:tab w:val="clear" w:pos="12824"/>
                <w:tab w:val="clear" w:pos="13740"/>
                <w:tab w:val="clear" w:pos="14656"/>
                <w:tab w:val="left" w:pos="7800"/>
              </w:tabs>
              <w:rPr>
                <w:rFonts w:ascii="Arial" w:hAnsi="Arial" w:cs="Arial"/>
                <w:sz w:val="16"/>
                <w:szCs w:val="16"/>
              </w:rPr>
            </w:pPr>
            <w:r>
              <w:rPr>
                <w:rFonts w:ascii="Arial" w:hAnsi="Arial" w:cs="Arial"/>
                <w:color w:val="1F1F1F"/>
                <w:sz w:val="16"/>
                <w:szCs w:val="16"/>
                <w:u w:color="1F1F1F"/>
                <w:shd w:val="clear" w:color="auto" w:fill="F8F9FA"/>
                <w:lang w:val="pt-PT"/>
              </w:rPr>
              <w:t>W</w:t>
            </w:r>
            <w:r>
              <w:rPr>
                <w:rFonts w:ascii="Arial" w:hAnsi="Arial" w:cs="Arial"/>
                <w:color w:val="1F1F1F"/>
                <w:sz w:val="16"/>
                <w:szCs w:val="16"/>
                <w:u w:color="1F1F1F"/>
                <w:shd w:val="clear" w:color="auto" w:fill="F8F9FA"/>
              </w:rPr>
              <w:t>eight</w:t>
            </w:r>
            <w:r>
              <w:rPr>
                <w:rFonts w:ascii="Arial" w:hAnsi="Arial" w:cs="Arial"/>
                <w:sz w:val="16"/>
                <w:szCs w:val="16"/>
              </w:rPr>
              <w:t xml:space="preserve"> (g)</w:t>
            </w:r>
          </w:p>
        </w:tc>
        <w:tc>
          <w:tcPr>
            <w:tcW w:w="1252" w:type="dxa"/>
            <w:tcBorders>
              <w:top w:val="single" w:sz="4" w:space="0" w:color="000000"/>
              <w:left w:val="nil"/>
              <w:bottom w:val="nil"/>
              <w:right w:val="nil"/>
            </w:tcBorders>
            <w:shd w:val="clear" w:color="auto" w:fill="auto"/>
            <w:tcMar>
              <w:top w:w="80" w:type="dxa"/>
              <w:left w:w="80" w:type="dxa"/>
              <w:bottom w:w="80" w:type="dxa"/>
              <w:right w:w="80" w:type="dxa"/>
            </w:tcMar>
          </w:tcPr>
          <w:p w14:paraId="7724B846" w14:textId="09D7174D" w:rsidR="00687320" w:rsidRDefault="00000000">
            <w:pPr>
              <w:suppressAutoHyphens/>
              <w:jc w:val="center"/>
              <w:rPr>
                <w:rFonts w:ascii="Arial" w:hAnsi="Arial" w:cs="Arial"/>
                <w:sz w:val="16"/>
                <w:szCs w:val="16"/>
              </w:rPr>
            </w:pPr>
            <w:r>
              <w:rPr>
                <w:rFonts w:ascii="Arial" w:hAnsi="Arial" w:cs="Arial"/>
                <w:sz w:val="16"/>
                <w:szCs w:val="16"/>
              </w:rPr>
              <w:t>291</w:t>
            </w:r>
            <w:r w:rsidR="00CD12B3">
              <w:rPr>
                <w:rFonts w:ascii="Arial" w:hAnsi="Arial" w:cs="Arial"/>
                <w:sz w:val="16"/>
                <w:szCs w:val="16"/>
              </w:rPr>
              <w:t>.</w:t>
            </w:r>
            <w:r>
              <w:rPr>
                <w:rFonts w:ascii="Arial" w:hAnsi="Arial" w:cs="Arial"/>
                <w:sz w:val="16"/>
                <w:szCs w:val="16"/>
              </w:rPr>
              <w:t>71±1</w:t>
            </w:r>
            <w:r w:rsidR="00CD12B3">
              <w:rPr>
                <w:rFonts w:ascii="Arial" w:hAnsi="Arial" w:cs="Arial"/>
                <w:sz w:val="16"/>
                <w:szCs w:val="16"/>
              </w:rPr>
              <w:t>.</w:t>
            </w:r>
            <w:r>
              <w:rPr>
                <w:rFonts w:ascii="Arial" w:hAnsi="Arial" w:cs="Arial"/>
                <w:sz w:val="16"/>
                <w:szCs w:val="16"/>
              </w:rPr>
              <w:t>48</w:t>
            </w:r>
            <w:r>
              <w:rPr>
                <w:rFonts w:ascii="Arial" w:hAnsi="Arial" w:cs="Arial"/>
                <w:sz w:val="16"/>
                <w:szCs w:val="16"/>
                <w:vertAlign w:val="superscript"/>
              </w:rPr>
              <w:t>a</w:t>
            </w:r>
          </w:p>
        </w:tc>
        <w:tc>
          <w:tcPr>
            <w:tcW w:w="1253" w:type="dxa"/>
            <w:tcBorders>
              <w:top w:val="single" w:sz="4" w:space="0" w:color="000000"/>
              <w:left w:val="nil"/>
              <w:bottom w:val="nil"/>
              <w:right w:val="nil"/>
            </w:tcBorders>
            <w:shd w:val="clear" w:color="auto" w:fill="auto"/>
            <w:tcMar>
              <w:top w:w="80" w:type="dxa"/>
              <w:left w:w="80" w:type="dxa"/>
              <w:bottom w:w="80" w:type="dxa"/>
              <w:right w:w="80" w:type="dxa"/>
            </w:tcMar>
          </w:tcPr>
          <w:p w14:paraId="56BE4842" w14:textId="39F9B57F" w:rsidR="00687320" w:rsidRDefault="00000000">
            <w:pPr>
              <w:suppressAutoHyphens/>
              <w:jc w:val="center"/>
              <w:rPr>
                <w:rFonts w:ascii="Arial" w:hAnsi="Arial" w:cs="Arial"/>
                <w:sz w:val="16"/>
                <w:szCs w:val="16"/>
              </w:rPr>
            </w:pPr>
            <w:r>
              <w:rPr>
                <w:rFonts w:ascii="Arial" w:hAnsi="Arial" w:cs="Arial"/>
                <w:sz w:val="16"/>
                <w:szCs w:val="16"/>
              </w:rPr>
              <w:t>257</w:t>
            </w:r>
            <w:r w:rsidR="00CD12B3">
              <w:rPr>
                <w:rFonts w:ascii="Arial" w:hAnsi="Arial" w:cs="Arial"/>
                <w:sz w:val="16"/>
                <w:szCs w:val="16"/>
              </w:rPr>
              <w:t>.</w:t>
            </w:r>
            <w:r>
              <w:rPr>
                <w:rFonts w:ascii="Arial" w:hAnsi="Arial" w:cs="Arial"/>
                <w:sz w:val="16"/>
                <w:szCs w:val="16"/>
              </w:rPr>
              <w:t>59±5</w:t>
            </w:r>
            <w:r w:rsidR="00CD12B3">
              <w:rPr>
                <w:rFonts w:ascii="Arial" w:hAnsi="Arial" w:cs="Arial"/>
                <w:sz w:val="16"/>
                <w:szCs w:val="16"/>
              </w:rPr>
              <w:t>.</w:t>
            </w:r>
            <w:r>
              <w:rPr>
                <w:rFonts w:ascii="Arial" w:hAnsi="Arial" w:cs="Arial"/>
                <w:sz w:val="16"/>
                <w:szCs w:val="16"/>
              </w:rPr>
              <w:t>21</w:t>
            </w:r>
            <w:r>
              <w:rPr>
                <w:rFonts w:ascii="Arial" w:hAnsi="Arial" w:cs="Arial"/>
                <w:sz w:val="16"/>
                <w:szCs w:val="16"/>
                <w:vertAlign w:val="superscript"/>
              </w:rPr>
              <w:t>b</w:t>
            </w:r>
          </w:p>
        </w:tc>
        <w:tc>
          <w:tcPr>
            <w:tcW w:w="1503" w:type="dxa"/>
            <w:tcBorders>
              <w:top w:val="single" w:sz="4" w:space="0" w:color="000000"/>
              <w:left w:val="nil"/>
              <w:bottom w:val="nil"/>
              <w:right w:val="nil"/>
            </w:tcBorders>
            <w:shd w:val="clear" w:color="auto" w:fill="auto"/>
            <w:tcMar>
              <w:top w:w="80" w:type="dxa"/>
              <w:left w:w="80" w:type="dxa"/>
              <w:bottom w:w="80" w:type="dxa"/>
              <w:right w:w="80" w:type="dxa"/>
            </w:tcMar>
          </w:tcPr>
          <w:p w14:paraId="5CE6F7A6" w14:textId="03E1C025" w:rsidR="00687320" w:rsidRDefault="00000000">
            <w:pPr>
              <w:suppressAutoHyphens/>
              <w:jc w:val="center"/>
              <w:rPr>
                <w:rFonts w:ascii="Arial" w:hAnsi="Arial" w:cs="Arial"/>
                <w:sz w:val="16"/>
                <w:szCs w:val="16"/>
              </w:rPr>
            </w:pPr>
            <w:r>
              <w:rPr>
                <w:rFonts w:ascii="Arial" w:hAnsi="Arial" w:cs="Arial"/>
                <w:sz w:val="16"/>
                <w:szCs w:val="16"/>
              </w:rPr>
              <w:t>303</w:t>
            </w:r>
            <w:r w:rsidR="00CD12B3">
              <w:rPr>
                <w:rFonts w:ascii="Arial" w:hAnsi="Arial" w:cs="Arial"/>
                <w:sz w:val="16"/>
                <w:szCs w:val="16"/>
              </w:rPr>
              <w:t>.</w:t>
            </w:r>
            <w:r>
              <w:rPr>
                <w:rFonts w:ascii="Arial" w:hAnsi="Arial" w:cs="Arial"/>
                <w:sz w:val="16"/>
                <w:szCs w:val="16"/>
              </w:rPr>
              <w:t>83±2</w:t>
            </w:r>
            <w:r w:rsidR="00CD12B3">
              <w:rPr>
                <w:rFonts w:ascii="Arial" w:hAnsi="Arial" w:cs="Arial"/>
                <w:sz w:val="16"/>
                <w:szCs w:val="16"/>
              </w:rPr>
              <w:t>.</w:t>
            </w:r>
            <w:r>
              <w:rPr>
                <w:rFonts w:ascii="Arial" w:hAnsi="Arial" w:cs="Arial"/>
                <w:sz w:val="16"/>
                <w:szCs w:val="16"/>
              </w:rPr>
              <w:t>47</w:t>
            </w:r>
            <w:r>
              <w:rPr>
                <w:rFonts w:ascii="Arial" w:hAnsi="Arial" w:cs="Arial"/>
                <w:sz w:val="16"/>
                <w:szCs w:val="16"/>
                <w:vertAlign w:val="superscript"/>
              </w:rPr>
              <w:t>a</w:t>
            </w:r>
          </w:p>
        </w:tc>
        <w:tc>
          <w:tcPr>
            <w:tcW w:w="1812" w:type="dxa"/>
            <w:tcBorders>
              <w:top w:val="single" w:sz="4" w:space="0" w:color="000000"/>
              <w:left w:val="nil"/>
              <w:bottom w:val="nil"/>
              <w:right w:val="nil"/>
            </w:tcBorders>
            <w:shd w:val="clear" w:color="auto" w:fill="auto"/>
            <w:tcMar>
              <w:top w:w="80" w:type="dxa"/>
              <w:left w:w="80" w:type="dxa"/>
              <w:bottom w:w="80" w:type="dxa"/>
              <w:right w:w="80" w:type="dxa"/>
            </w:tcMar>
          </w:tcPr>
          <w:p w14:paraId="23B775D2" w14:textId="10ED3ED7" w:rsidR="00687320" w:rsidRDefault="00000000">
            <w:pPr>
              <w:suppressAutoHyphens/>
              <w:jc w:val="center"/>
              <w:rPr>
                <w:rFonts w:ascii="Arial" w:hAnsi="Arial" w:cs="Arial"/>
                <w:sz w:val="16"/>
                <w:szCs w:val="16"/>
              </w:rPr>
            </w:pPr>
            <w:r>
              <w:rPr>
                <w:rFonts w:ascii="Arial" w:hAnsi="Arial" w:cs="Arial"/>
                <w:sz w:val="16"/>
                <w:szCs w:val="16"/>
              </w:rPr>
              <w:t>248</w:t>
            </w:r>
            <w:r w:rsidR="00CD12B3">
              <w:rPr>
                <w:rFonts w:ascii="Arial" w:hAnsi="Arial" w:cs="Arial"/>
                <w:sz w:val="16"/>
                <w:szCs w:val="16"/>
              </w:rPr>
              <w:t>.</w:t>
            </w:r>
            <w:r>
              <w:rPr>
                <w:rFonts w:ascii="Arial" w:hAnsi="Arial" w:cs="Arial"/>
                <w:sz w:val="16"/>
                <w:szCs w:val="16"/>
              </w:rPr>
              <w:t>37±1</w:t>
            </w:r>
            <w:r w:rsidR="00CD12B3">
              <w:rPr>
                <w:rFonts w:ascii="Arial" w:hAnsi="Arial" w:cs="Arial"/>
                <w:sz w:val="16"/>
                <w:szCs w:val="16"/>
              </w:rPr>
              <w:t>.</w:t>
            </w:r>
            <w:r>
              <w:rPr>
                <w:rFonts w:ascii="Arial" w:hAnsi="Arial" w:cs="Arial"/>
                <w:sz w:val="16"/>
                <w:szCs w:val="16"/>
              </w:rPr>
              <w:t>45</w:t>
            </w:r>
            <w:r>
              <w:rPr>
                <w:rFonts w:ascii="Arial" w:hAnsi="Arial" w:cs="Arial"/>
                <w:sz w:val="16"/>
                <w:szCs w:val="16"/>
                <w:vertAlign w:val="superscript"/>
              </w:rPr>
              <w:t>b</w:t>
            </w:r>
          </w:p>
        </w:tc>
      </w:tr>
      <w:tr w:rsidR="00687320" w14:paraId="083048C1" w14:textId="77777777">
        <w:trPr>
          <w:trHeight w:val="232"/>
        </w:trPr>
        <w:tc>
          <w:tcPr>
            <w:tcW w:w="2477" w:type="dxa"/>
            <w:tcBorders>
              <w:top w:val="nil"/>
              <w:left w:val="nil"/>
              <w:bottom w:val="nil"/>
              <w:right w:val="nil"/>
            </w:tcBorders>
            <w:shd w:val="clear" w:color="auto" w:fill="auto"/>
            <w:tcMar>
              <w:top w:w="80" w:type="dxa"/>
              <w:left w:w="80" w:type="dxa"/>
              <w:bottom w:w="80" w:type="dxa"/>
              <w:right w:w="80" w:type="dxa"/>
            </w:tcMar>
          </w:tcPr>
          <w:p w14:paraId="527090F1" w14:textId="0B4ADFC0" w:rsidR="00687320" w:rsidRDefault="00031889">
            <w:pPr>
              <w:suppressAutoHyphens/>
              <w:jc w:val="both"/>
              <w:rPr>
                <w:rFonts w:ascii="Arial" w:hAnsi="Arial" w:cs="Arial"/>
                <w:sz w:val="16"/>
                <w:szCs w:val="16"/>
              </w:rPr>
            </w:pPr>
            <w:r>
              <w:rPr>
                <w:rFonts w:ascii="Arial" w:hAnsi="Arial" w:cs="Arial"/>
                <w:sz w:val="16"/>
                <w:szCs w:val="16"/>
                <w:lang w:val="pt-PT"/>
              </w:rPr>
              <w:t xml:space="preserve">Naso-anal </w:t>
            </w:r>
            <w:proofErr w:type="spellStart"/>
            <w:r>
              <w:rPr>
                <w:rFonts w:ascii="Arial" w:hAnsi="Arial" w:cs="Arial"/>
                <w:sz w:val="16"/>
                <w:szCs w:val="16"/>
                <w:lang w:val="pt-PT"/>
              </w:rPr>
              <w:t>length</w:t>
            </w:r>
            <w:proofErr w:type="spellEnd"/>
            <w:r>
              <w:rPr>
                <w:rFonts w:ascii="Arial" w:hAnsi="Arial" w:cs="Arial"/>
                <w:sz w:val="16"/>
                <w:szCs w:val="16"/>
              </w:rPr>
              <w:t xml:space="preserve"> (cm)</w:t>
            </w:r>
          </w:p>
        </w:tc>
        <w:tc>
          <w:tcPr>
            <w:tcW w:w="1252" w:type="dxa"/>
            <w:tcBorders>
              <w:top w:val="nil"/>
              <w:left w:val="nil"/>
              <w:bottom w:val="nil"/>
              <w:right w:val="nil"/>
            </w:tcBorders>
            <w:shd w:val="clear" w:color="auto" w:fill="auto"/>
            <w:tcMar>
              <w:top w:w="80" w:type="dxa"/>
              <w:left w:w="80" w:type="dxa"/>
              <w:bottom w:w="80" w:type="dxa"/>
              <w:right w:w="80" w:type="dxa"/>
            </w:tcMar>
          </w:tcPr>
          <w:p w14:paraId="43753F26" w14:textId="2C323C2D" w:rsidR="00687320" w:rsidRDefault="00000000">
            <w:pPr>
              <w:suppressAutoHyphens/>
              <w:jc w:val="center"/>
              <w:rPr>
                <w:rFonts w:ascii="Arial" w:hAnsi="Arial" w:cs="Arial"/>
                <w:sz w:val="16"/>
                <w:szCs w:val="16"/>
              </w:rPr>
            </w:pPr>
            <w:r>
              <w:rPr>
                <w:rFonts w:ascii="Arial" w:hAnsi="Arial" w:cs="Arial"/>
                <w:sz w:val="16"/>
                <w:szCs w:val="16"/>
              </w:rPr>
              <w:t>21</w:t>
            </w:r>
            <w:r w:rsidR="00CD12B3">
              <w:rPr>
                <w:rFonts w:ascii="Arial" w:hAnsi="Arial" w:cs="Arial"/>
                <w:sz w:val="16"/>
                <w:szCs w:val="16"/>
              </w:rPr>
              <w:t>.</w:t>
            </w:r>
            <w:r>
              <w:rPr>
                <w:rFonts w:ascii="Arial" w:hAnsi="Arial" w:cs="Arial"/>
                <w:sz w:val="16"/>
                <w:szCs w:val="16"/>
              </w:rPr>
              <w:t>25±0</w:t>
            </w:r>
            <w:r w:rsidR="00CD12B3">
              <w:rPr>
                <w:rFonts w:ascii="Arial" w:hAnsi="Arial" w:cs="Arial"/>
                <w:sz w:val="16"/>
                <w:szCs w:val="16"/>
              </w:rPr>
              <w:t>.</w:t>
            </w:r>
            <w:r>
              <w:rPr>
                <w:rFonts w:ascii="Arial" w:hAnsi="Arial" w:cs="Arial"/>
                <w:sz w:val="16"/>
                <w:szCs w:val="16"/>
              </w:rPr>
              <w:t>07</w:t>
            </w:r>
            <w:r>
              <w:rPr>
                <w:rFonts w:ascii="Arial" w:hAnsi="Arial" w:cs="Arial"/>
                <w:sz w:val="16"/>
                <w:szCs w:val="16"/>
                <w:vertAlign w:val="superscript"/>
              </w:rPr>
              <w:t>a</w:t>
            </w:r>
          </w:p>
        </w:tc>
        <w:tc>
          <w:tcPr>
            <w:tcW w:w="1253" w:type="dxa"/>
            <w:tcBorders>
              <w:top w:val="nil"/>
              <w:left w:val="nil"/>
              <w:bottom w:val="nil"/>
              <w:right w:val="nil"/>
            </w:tcBorders>
            <w:shd w:val="clear" w:color="auto" w:fill="auto"/>
            <w:tcMar>
              <w:top w:w="80" w:type="dxa"/>
              <w:left w:w="80" w:type="dxa"/>
              <w:bottom w:w="80" w:type="dxa"/>
              <w:right w:w="80" w:type="dxa"/>
            </w:tcMar>
          </w:tcPr>
          <w:p w14:paraId="0404673B" w14:textId="36B21F7D" w:rsidR="00687320" w:rsidRDefault="00000000">
            <w:pPr>
              <w:suppressAutoHyphens/>
              <w:jc w:val="center"/>
              <w:rPr>
                <w:rFonts w:ascii="Arial" w:hAnsi="Arial" w:cs="Arial"/>
                <w:sz w:val="16"/>
                <w:szCs w:val="16"/>
              </w:rPr>
            </w:pPr>
            <w:r>
              <w:rPr>
                <w:rFonts w:ascii="Arial" w:hAnsi="Arial" w:cs="Arial"/>
                <w:sz w:val="16"/>
                <w:szCs w:val="16"/>
              </w:rPr>
              <w:t>19</w:t>
            </w:r>
            <w:r w:rsidR="00CD12B3">
              <w:rPr>
                <w:rFonts w:ascii="Arial" w:hAnsi="Arial" w:cs="Arial"/>
                <w:sz w:val="16"/>
                <w:szCs w:val="16"/>
              </w:rPr>
              <w:t>.</w:t>
            </w:r>
            <w:r>
              <w:rPr>
                <w:rFonts w:ascii="Arial" w:hAnsi="Arial" w:cs="Arial"/>
                <w:sz w:val="16"/>
                <w:szCs w:val="16"/>
              </w:rPr>
              <w:t>33±0</w:t>
            </w:r>
            <w:r w:rsidR="00CD12B3">
              <w:rPr>
                <w:rFonts w:ascii="Arial" w:hAnsi="Arial" w:cs="Arial"/>
                <w:sz w:val="16"/>
                <w:szCs w:val="16"/>
              </w:rPr>
              <w:t>.</w:t>
            </w:r>
            <w:r>
              <w:rPr>
                <w:rFonts w:ascii="Arial" w:hAnsi="Arial" w:cs="Arial"/>
                <w:sz w:val="16"/>
                <w:szCs w:val="16"/>
              </w:rPr>
              <w:t>09</w:t>
            </w:r>
            <w:r>
              <w:rPr>
                <w:rFonts w:ascii="Arial" w:hAnsi="Arial" w:cs="Arial"/>
                <w:sz w:val="16"/>
                <w:szCs w:val="16"/>
                <w:vertAlign w:val="superscript"/>
              </w:rPr>
              <w:t>b</w:t>
            </w:r>
          </w:p>
        </w:tc>
        <w:tc>
          <w:tcPr>
            <w:tcW w:w="1503" w:type="dxa"/>
            <w:tcBorders>
              <w:top w:val="nil"/>
              <w:left w:val="nil"/>
              <w:bottom w:val="nil"/>
              <w:right w:val="nil"/>
            </w:tcBorders>
            <w:shd w:val="clear" w:color="auto" w:fill="auto"/>
            <w:tcMar>
              <w:top w:w="80" w:type="dxa"/>
              <w:left w:w="80" w:type="dxa"/>
              <w:bottom w:w="80" w:type="dxa"/>
              <w:right w:w="80" w:type="dxa"/>
            </w:tcMar>
          </w:tcPr>
          <w:p w14:paraId="37F8EE6B" w14:textId="3B0581B9" w:rsidR="00687320" w:rsidRDefault="00000000">
            <w:pPr>
              <w:suppressAutoHyphens/>
              <w:jc w:val="center"/>
              <w:rPr>
                <w:rFonts w:ascii="Arial" w:hAnsi="Arial" w:cs="Arial"/>
                <w:sz w:val="16"/>
                <w:szCs w:val="16"/>
              </w:rPr>
            </w:pPr>
            <w:r>
              <w:rPr>
                <w:rFonts w:ascii="Arial" w:hAnsi="Arial" w:cs="Arial"/>
                <w:sz w:val="16"/>
                <w:szCs w:val="16"/>
              </w:rPr>
              <w:t>21</w:t>
            </w:r>
            <w:r w:rsidR="00CD12B3">
              <w:rPr>
                <w:rFonts w:ascii="Arial" w:hAnsi="Arial" w:cs="Arial"/>
                <w:sz w:val="16"/>
                <w:szCs w:val="16"/>
              </w:rPr>
              <w:t>.</w:t>
            </w:r>
            <w:r>
              <w:rPr>
                <w:rFonts w:ascii="Arial" w:hAnsi="Arial" w:cs="Arial"/>
                <w:sz w:val="16"/>
                <w:szCs w:val="16"/>
              </w:rPr>
              <w:t>00±0</w:t>
            </w:r>
            <w:r w:rsidR="00CD12B3">
              <w:rPr>
                <w:rFonts w:ascii="Arial" w:hAnsi="Arial" w:cs="Arial"/>
                <w:sz w:val="16"/>
                <w:szCs w:val="16"/>
              </w:rPr>
              <w:t>.</w:t>
            </w:r>
            <w:r>
              <w:rPr>
                <w:rFonts w:ascii="Arial" w:hAnsi="Arial" w:cs="Arial"/>
                <w:sz w:val="16"/>
                <w:szCs w:val="16"/>
              </w:rPr>
              <w:t>06</w:t>
            </w:r>
            <w:r>
              <w:rPr>
                <w:rFonts w:ascii="Arial" w:hAnsi="Arial" w:cs="Arial"/>
                <w:sz w:val="16"/>
                <w:szCs w:val="16"/>
                <w:vertAlign w:val="superscript"/>
              </w:rPr>
              <w:t>a</w:t>
            </w:r>
          </w:p>
        </w:tc>
        <w:tc>
          <w:tcPr>
            <w:tcW w:w="1812" w:type="dxa"/>
            <w:tcBorders>
              <w:top w:val="nil"/>
              <w:left w:val="nil"/>
              <w:bottom w:val="nil"/>
              <w:right w:val="nil"/>
            </w:tcBorders>
            <w:shd w:val="clear" w:color="auto" w:fill="auto"/>
            <w:tcMar>
              <w:top w:w="80" w:type="dxa"/>
              <w:left w:w="80" w:type="dxa"/>
              <w:bottom w:w="80" w:type="dxa"/>
              <w:right w:w="80" w:type="dxa"/>
            </w:tcMar>
          </w:tcPr>
          <w:p w14:paraId="63DF4A3F" w14:textId="0A944646" w:rsidR="00687320" w:rsidRDefault="00000000">
            <w:pPr>
              <w:suppressAutoHyphens/>
              <w:jc w:val="center"/>
              <w:rPr>
                <w:rFonts w:ascii="Arial" w:hAnsi="Arial" w:cs="Arial"/>
                <w:sz w:val="16"/>
                <w:szCs w:val="16"/>
              </w:rPr>
            </w:pPr>
            <w:r>
              <w:rPr>
                <w:rFonts w:ascii="Arial" w:hAnsi="Arial" w:cs="Arial"/>
                <w:sz w:val="16"/>
                <w:szCs w:val="16"/>
              </w:rPr>
              <w:t>19</w:t>
            </w:r>
            <w:r w:rsidR="00CD12B3">
              <w:rPr>
                <w:rFonts w:ascii="Arial" w:hAnsi="Arial" w:cs="Arial"/>
                <w:sz w:val="16"/>
                <w:szCs w:val="16"/>
              </w:rPr>
              <w:t>.</w:t>
            </w:r>
            <w:r>
              <w:rPr>
                <w:rFonts w:ascii="Arial" w:hAnsi="Arial" w:cs="Arial"/>
                <w:sz w:val="16"/>
                <w:szCs w:val="16"/>
              </w:rPr>
              <w:t>12±0</w:t>
            </w:r>
            <w:r w:rsidR="00CD12B3">
              <w:rPr>
                <w:rFonts w:ascii="Arial" w:hAnsi="Arial" w:cs="Arial"/>
                <w:sz w:val="16"/>
                <w:szCs w:val="16"/>
              </w:rPr>
              <w:t>.</w:t>
            </w:r>
            <w:r>
              <w:rPr>
                <w:rFonts w:ascii="Arial" w:hAnsi="Arial" w:cs="Arial"/>
                <w:sz w:val="16"/>
                <w:szCs w:val="16"/>
              </w:rPr>
              <w:t>05</w:t>
            </w:r>
            <w:r>
              <w:rPr>
                <w:rFonts w:ascii="Arial" w:hAnsi="Arial" w:cs="Arial"/>
                <w:sz w:val="16"/>
                <w:szCs w:val="16"/>
                <w:vertAlign w:val="superscript"/>
              </w:rPr>
              <w:t>b</w:t>
            </w:r>
          </w:p>
        </w:tc>
      </w:tr>
      <w:tr w:rsidR="00687320" w14:paraId="3E5E13F5" w14:textId="77777777">
        <w:trPr>
          <w:trHeight w:val="232"/>
        </w:trPr>
        <w:tc>
          <w:tcPr>
            <w:tcW w:w="2477" w:type="dxa"/>
            <w:tcBorders>
              <w:top w:val="nil"/>
              <w:left w:val="nil"/>
              <w:bottom w:val="nil"/>
              <w:right w:val="nil"/>
            </w:tcBorders>
            <w:shd w:val="clear" w:color="auto" w:fill="auto"/>
            <w:tcMar>
              <w:top w:w="80" w:type="dxa"/>
              <w:left w:w="80" w:type="dxa"/>
              <w:bottom w:w="80" w:type="dxa"/>
              <w:right w:w="80" w:type="dxa"/>
            </w:tcMar>
          </w:tcPr>
          <w:p w14:paraId="3F63BCE0" w14:textId="77777777" w:rsidR="00687320" w:rsidRDefault="00000000">
            <w:pPr>
              <w:suppressAutoHyphens/>
              <w:jc w:val="both"/>
              <w:rPr>
                <w:rFonts w:ascii="Arial" w:hAnsi="Arial" w:cs="Arial"/>
                <w:sz w:val="16"/>
                <w:szCs w:val="16"/>
              </w:rPr>
            </w:pPr>
            <w:r>
              <w:rPr>
                <w:rFonts w:ascii="Arial" w:hAnsi="Arial" w:cs="Arial"/>
                <w:sz w:val="16"/>
                <w:szCs w:val="16"/>
              </w:rPr>
              <w:t>Lee</w:t>
            </w:r>
            <w:r>
              <w:rPr>
                <w:rFonts w:ascii="Arial" w:hAnsi="Arial" w:cs="Arial"/>
                <w:sz w:val="16"/>
                <w:szCs w:val="16"/>
                <w:lang w:val="pt-PT"/>
              </w:rPr>
              <w:t xml:space="preserve"> Index</w:t>
            </w:r>
          </w:p>
        </w:tc>
        <w:tc>
          <w:tcPr>
            <w:tcW w:w="1252" w:type="dxa"/>
            <w:tcBorders>
              <w:top w:val="nil"/>
              <w:left w:val="nil"/>
              <w:bottom w:val="nil"/>
              <w:right w:val="nil"/>
            </w:tcBorders>
            <w:shd w:val="clear" w:color="auto" w:fill="auto"/>
            <w:tcMar>
              <w:top w:w="80" w:type="dxa"/>
              <w:left w:w="80" w:type="dxa"/>
              <w:bottom w:w="80" w:type="dxa"/>
              <w:right w:w="80" w:type="dxa"/>
            </w:tcMar>
          </w:tcPr>
          <w:p w14:paraId="7051B005" w14:textId="49BDB3B5" w:rsidR="00687320" w:rsidRDefault="00000000">
            <w:pPr>
              <w:suppressAutoHyphens/>
              <w:jc w:val="center"/>
              <w:rPr>
                <w:rFonts w:ascii="Arial" w:hAnsi="Arial" w:cs="Arial"/>
                <w:sz w:val="16"/>
                <w:szCs w:val="16"/>
              </w:rPr>
            </w:pPr>
            <w:r>
              <w:rPr>
                <w:rFonts w:ascii="Arial" w:hAnsi="Arial" w:cs="Arial"/>
                <w:sz w:val="16"/>
                <w:szCs w:val="16"/>
              </w:rPr>
              <w:t>312</w:t>
            </w:r>
            <w:r w:rsidR="00CD12B3">
              <w:rPr>
                <w:rFonts w:ascii="Arial" w:hAnsi="Arial" w:cs="Arial"/>
                <w:sz w:val="16"/>
                <w:szCs w:val="16"/>
              </w:rPr>
              <w:t>.</w:t>
            </w:r>
            <w:r>
              <w:rPr>
                <w:rFonts w:ascii="Arial" w:hAnsi="Arial" w:cs="Arial"/>
                <w:sz w:val="16"/>
                <w:szCs w:val="16"/>
              </w:rPr>
              <w:t>14±0</w:t>
            </w:r>
            <w:r w:rsidR="00CD12B3">
              <w:rPr>
                <w:rFonts w:ascii="Arial" w:hAnsi="Arial" w:cs="Arial"/>
                <w:sz w:val="16"/>
                <w:szCs w:val="16"/>
              </w:rPr>
              <w:t>.</w:t>
            </w:r>
            <w:r>
              <w:rPr>
                <w:rFonts w:ascii="Arial" w:hAnsi="Arial" w:cs="Arial"/>
                <w:sz w:val="16"/>
                <w:szCs w:val="16"/>
              </w:rPr>
              <w:t>73</w:t>
            </w:r>
          </w:p>
        </w:tc>
        <w:tc>
          <w:tcPr>
            <w:tcW w:w="1253" w:type="dxa"/>
            <w:tcBorders>
              <w:top w:val="nil"/>
              <w:left w:val="nil"/>
              <w:bottom w:val="nil"/>
              <w:right w:val="nil"/>
            </w:tcBorders>
            <w:shd w:val="clear" w:color="auto" w:fill="auto"/>
            <w:tcMar>
              <w:top w:w="80" w:type="dxa"/>
              <w:left w:w="80" w:type="dxa"/>
              <w:bottom w:w="80" w:type="dxa"/>
              <w:right w:w="80" w:type="dxa"/>
            </w:tcMar>
          </w:tcPr>
          <w:p w14:paraId="08DA9712" w14:textId="784600F5" w:rsidR="00687320" w:rsidRDefault="00000000">
            <w:pPr>
              <w:suppressAutoHyphens/>
              <w:jc w:val="center"/>
              <w:rPr>
                <w:rFonts w:ascii="Arial" w:hAnsi="Arial" w:cs="Arial"/>
                <w:sz w:val="16"/>
                <w:szCs w:val="16"/>
              </w:rPr>
            </w:pPr>
            <w:r>
              <w:rPr>
                <w:rFonts w:ascii="Arial" w:hAnsi="Arial" w:cs="Arial"/>
                <w:sz w:val="16"/>
                <w:szCs w:val="16"/>
              </w:rPr>
              <w:t>328</w:t>
            </w:r>
            <w:r w:rsidR="00CD12B3">
              <w:rPr>
                <w:rFonts w:ascii="Arial" w:hAnsi="Arial" w:cs="Arial"/>
                <w:sz w:val="16"/>
                <w:szCs w:val="16"/>
              </w:rPr>
              <w:t>.</w:t>
            </w:r>
            <w:r>
              <w:rPr>
                <w:rFonts w:ascii="Arial" w:hAnsi="Arial" w:cs="Arial"/>
                <w:sz w:val="16"/>
                <w:szCs w:val="16"/>
              </w:rPr>
              <w:t>73±1</w:t>
            </w:r>
            <w:r w:rsidR="00CD12B3">
              <w:rPr>
                <w:rFonts w:ascii="Arial" w:hAnsi="Arial" w:cs="Arial"/>
                <w:sz w:val="16"/>
                <w:szCs w:val="16"/>
              </w:rPr>
              <w:t>.</w:t>
            </w:r>
            <w:r>
              <w:rPr>
                <w:rFonts w:ascii="Arial" w:hAnsi="Arial" w:cs="Arial"/>
                <w:sz w:val="16"/>
                <w:szCs w:val="16"/>
              </w:rPr>
              <w:t>16</w:t>
            </w:r>
            <w:r>
              <w:rPr>
                <w:rFonts w:ascii="Arial" w:hAnsi="Arial" w:cs="Arial"/>
                <w:sz w:val="16"/>
                <w:szCs w:val="16"/>
                <w:vertAlign w:val="superscript"/>
              </w:rPr>
              <w:t>b</w:t>
            </w:r>
          </w:p>
        </w:tc>
        <w:tc>
          <w:tcPr>
            <w:tcW w:w="1503" w:type="dxa"/>
            <w:tcBorders>
              <w:top w:val="nil"/>
              <w:left w:val="nil"/>
              <w:bottom w:val="nil"/>
              <w:right w:val="nil"/>
            </w:tcBorders>
            <w:shd w:val="clear" w:color="auto" w:fill="auto"/>
            <w:tcMar>
              <w:top w:w="80" w:type="dxa"/>
              <w:left w:w="80" w:type="dxa"/>
              <w:bottom w:w="80" w:type="dxa"/>
              <w:right w:w="80" w:type="dxa"/>
            </w:tcMar>
          </w:tcPr>
          <w:p w14:paraId="44E24CB4" w14:textId="4E5D3381" w:rsidR="00687320" w:rsidRDefault="00000000">
            <w:pPr>
              <w:suppressAutoHyphens/>
              <w:jc w:val="center"/>
              <w:rPr>
                <w:rFonts w:ascii="Arial" w:hAnsi="Arial" w:cs="Arial"/>
                <w:sz w:val="16"/>
                <w:szCs w:val="16"/>
              </w:rPr>
            </w:pPr>
            <w:r>
              <w:rPr>
                <w:rFonts w:ascii="Arial" w:hAnsi="Arial" w:cs="Arial"/>
                <w:sz w:val="16"/>
                <w:szCs w:val="16"/>
              </w:rPr>
              <w:t>320</w:t>
            </w:r>
            <w:r w:rsidR="00CD12B3">
              <w:rPr>
                <w:rFonts w:ascii="Arial" w:hAnsi="Arial" w:cs="Arial"/>
                <w:sz w:val="16"/>
                <w:szCs w:val="16"/>
              </w:rPr>
              <w:t>.</w:t>
            </w:r>
            <w:r>
              <w:rPr>
                <w:rFonts w:ascii="Arial" w:hAnsi="Arial" w:cs="Arial"/>
                <w:sz w:val="16"/>
                <w:szCs w:val="16"/>
              </w:rPr>
              <w:t>08±0</w:t>
            </w:r>
            <w:r w:rsidR="00CD12B3">
              <w:rPr>
                <w:rFonts w:ascii="Arial" w:hAnsi="Arial" w:cs="Arial"/>
                <w:sz w:val="16"/>
                <w:szCs w:val="16"/>
              </w:rPr>
              <w:t>.</w:t>
            </w:r>
            <w:r>
              <w:rPr>
                <w:rFonts w:ascii="Arial" w:hAnsi="Arial" w:cs="Arial"/>
                <w:sz w:val="16"/>
                <w:szCs w:val="16"/>
              </w:rPr>
              <w:t>67</w:t>
            </w:r>
            <w:r>
              <w:rPr>
                <w:rFonts w:ascii="Arial" w:hAnsi="Arial" w:cs="Arial"/>
                <w:sz w:val="16"/>
                <w:szCs w:val="16"/>
                <w:vertAlign w:val="superscript"/>
              </w:rPr>
              <w:t>a</w:t>
            </w:r>
          </w:p>
        </w:tc>
        <w:tc>
          <w:tcPr>
            <w:tcW w:w="1812" w:type="dxa"/>
            <w:tcBorders>
              <w:top w:val="nil"/>
              <w:left w:val="nil"/>
              <w:bottom w:val="nil"/>
              <w:right w:val="nil"/>
            </w:tcBorders>
            <w:shd w:val="clear" w:color="auto" w:fill="auto"/>
            <w:tcMar>
              <w:top w:w="80" w:type="dxa"/>
              <w:left w:w="80" w:type="dxa"/>
              <w:bottom w:w="80" w:type="dxa"/>
              <w:right w:w="80" w:type="dxa"/>
            </w:tcMar>
          </w:tcPr>
          <w:p w14:paraId="38A573F3" w14:textId="49E568D2" w:rsidR="00687320" w:rsidRDefault="00000000">
            <w:pPr>
              <w:suppressAutoHyphens/>
              <w:jc w:val="center"/>
              <w:rPr>
                <w:rFonts w:ascii="Arial" w:hAnsi="Arial" w:cs="Arial"/>
                <w:sz w:val="16"/>
                <w:szCs w:val="16"/>
              </w:rPr>
            </w:pPr>
            <w:r>
              <w:rPr>
                <w:rFonts w:ascii="Arial" w:hAnsi="Arial" w:cs="Arial"/>
                <w:sz w:val="16"/>
                <w:szCs w:val="16"/>
              </w:rPr>
              <w:t>328</w:t>
            </w:r>
            <w:r w:rsidR="00CD12B3">
              <w:rPr>
                <w:rFonts w:ascii="Arial" w:hAnsi="Arial" w:cs="Arial"/>
                <w:sz w:val="16"/>
                <w:szCs w:val="16"/>
              </w:rPr>
              <w:t>.</w:t>
            </w:r>
            <w:r>
              <w:rPr>
                <w:rFonts w:ascii="Arial" w:hAnsi="Arial" w:cs="Arial"/>
                <w:sz w:val="16"/>
                <w:szCs w:val="16"/>
              </w:rPr>
              <w:t>50±0</w:t>
            </w:r>
            <w:r w:rsidR="00CD12B3">
              <w:rPr>
                <w:rFonts w:ascii="Arial" w:hAnsi="Arial" w:cs="Arial"/>
                <w:sz w:val="16"/>
                <w:szCs w:val="16"/>
              </w:rPr>
              <w:t>.</w:t>
            </w:r>
            <w:r>
              <w:rPr>
                <w:rFonts w:ascii="Arial" w:hAnsi="Arial" w:cs="Arial"/>
                <w:sz w:val="16"/>
                <w:szCs w:val="16"/>
              </w:rPr>
              <w:t>40</w:t>
            </w:r>
            <w:r>
              <w:rPr>
                <w:rFonts w:ascii="Arial" w:hAnsi="Arial" w:cs="Arial"/>
                <w:sz w:val="16"/>
                <w:szCs w:val="16"/>
                <w:vertAlign w:val="superscript"/>
              </w:rPr>
              <w:t>b</w:t>
            </w:r>
          </w:p>
        </w:tc>
      </w:tr>
      <w:tr w:rsidR="00687320" w14:paraId="72BDE42E" w14:textId="77777777">
        <w:trPr>
          <w:trHeight w:val="232"/>
        </w:trPr>
        <w:tc>
          <w:tcPr>
            <w:tcW w:w="2477" w:type="dxa"/>
            <w:tcBorders>
              <w:top w:val="nil"/>
              <w:left w:val="nil"/>
              <w:bottom w:val="nil"/>
              <w:right w:val="nil"/>
            </w:tcBorders>
            <w:shd w:val="clear" w:color="auto" w:fill="auto"/>
            <w:tcMar>
              <w:top w:w="80" w:type="dxa"/>
              <w:left w:w="80" w:type="dxa"/>
              <w:bottom w:w="80" w:type="dxa"/>
              <w:right w:w="80" w:type="dxa"/>
            </w:tcMar>
          </w:tcPr>
          <w:p w14:paraId="3A30804F" w14:textId="77777777" w:rsidR="00687320" w:rsidRDefault="00000000">
            <w:pPr>
              <w:suppressAutoHyphens/>
              <w:jc w:val="both"/>
              <w:rPr>
                <w:rFonts w:ascii="Arial" w:hAnsi="Arial" w:cs="Arial"/>
                <w:sz w:val="16"/>
                <w:szCs w:val="16"/>
              </w:rPr>
            </w:pPr>
            <w:r>
              <w:rPr>
                <w:rFonts w:ascii="Arial" w:hAnsi="Arial" w:cs="Arial"/>
                <w:sz w:val="16"/>
                <w:szCs w:val="16"/>
              </w:rPr>
              <w:t>Retroperitoneal</w:t>
            </w:r>
            <w:r>
              <w:rPr>
                <w:rFonts w:ascii="Arial" w:hAnsi="Arial" w:cs="Arial"/>
                <w:sz w:val="16"/>
                <w:szCs w:val="16"/>
                <w:lang w:val="pt-PT"/>
              </w:rPr>
              <w:t xml:space="preserve"> </w:t>
            </w:r>
            <w:proofErr w:type="spellStart"/>
            <w:r>
              <w:rPr>
                <w:rFonts w:ascii="Arial" w:hAnsi="Arial" w:cs="Arial"/>
                <w:sz w:val="16"/>
                <w:szCs w:val="16"/>
                <w:lang w:val="pt-PT"/>
              </w:rPr>
              <w:t>fat</w:t>
            </w:r>
            <w:proofErr w:type="spellEnd"/>
            <w:r>
              <w:rPr>
                <w:rFonts w:ascii="Arial" w:hAnsi="Arial" w:cs="Arial"/>
                <w:sz w:val="16"/>
                <w:szCs w:val="16"/>
              </w:rPr>
              <w:t xml:space="preserve"> (g/100g)</w:t>
            </w:r>
          </w:p>
        </w:tc>
        <w:tc>
          <w:tcPr>
            <w:tcW w:w="1252" w:type="dxa"/>
            <w:tcBorders>
              <w:top w:val="nil"/>
              <w:left w:val="nil"/>
              <w:bottom w:val="nil"/>
              <w:right w:val="nil"/>
            </w:tcBorders>
            <w:shd w:val="clear" w:color="auto" w:fill="auto"/>
            <w:tcMar>
              <w:top w:w="80" w:type="dxa"/>
              <w:left w:w="80" w:type="dxa"/>
              <w:bottom w:w="80" w:type="dxa"/>
              <w:right w:w="80" w:type="dxa"/>
            </w:tcMar>
          </w:tcPr>
          <w:p w14:paraId="71B73C86" w14:textId="7A5B9069" w:rsidR="00687320" w:rsidRDefault="00000000">
            <w:pPr>
              <w:suppressAutoHyphens/>
              <w:jc w:val="center"/>
              <w:rPr>
                <w:rFonts w:ascii="Arial" w:hAnsi="Arial" w:cs="Arial"/>
                <w:sz w:val="16"/>
                <w:szCs w:val="16"/>
              </w:rPr>
            </w:pPr>
            <w:r>
              <w:rPr>
                <w:rFonts w:ascii="Arial" w:hAnsi="Arial" w:cs="Arial"/>
                <w:sz w:val="16"/>
                <w:szCs w:val="16"/>
              </w:rPr>
              <w:t>0</w:t>
            </w:r>
            <w:r w:rsidR="00CD12B3">
              <w:rPr>
                <w:rFonts w:ascii="Arial" w:hAnsi="Arial" w:cs="Arial"/>
                <w:sz w:val="16"/>
                <w:szCs w:val="16"/>
              </w:rPr>
              <w:t>.</w:t>
            </w:r>
            <w:r>
              <w:rPr>
                <w:rFonts w:ascii="Arial" w:hAnsi="Arial" w:cs="Arial"/>
                <w:sz w:val="16"/>
                <w:szCs w:val="16"/>
              </w:rPr>
              <w:t>66±0</w:t>
            </w:r>
            <w:r w:rsidR="00CD12B3">
              <w:rPr>
                <w:rFonts w:ascii="Arial" w:hAnsi="Arial" w:cs="Arial"/>
                <w:sz w:val="16"/>
                <w:szCs w:val="16"/>
              </w:rPr>
              <w:t>.</w:t>
            </w:r>
            <w:r>
              <w:rPr>
                <w:rFonts w:ascii="Arial" w:hAnsi="Arial" w:cs="Arial"/>
                <w:sz w:val="16"/>
                <w:szCs w:val="16"/>
              </w:rPr>
              <w:t>06</w:t>
            </w:r>
            <w:r>
              <w:rPr>
                <w:rFonts w:ascii="Arial" w:hAnsi="Arial" w:cs="Arial"/>
                <w:sz w:val="16"/>
                <w:szCs w:val="16"/>
                <w:vertAlign w:val="superscript"/>
              </w:rPr>
              <w:t>a</w:t>
            </w:r>
          </w:p>
        </w:tc>
        <w:tc>
          <w:tcPr>
            <w:tcW w:w="1253" w:type="dxa"/>
            <w:tcBorders>
              <w:top w:val="nil"/>
              <w:left w:val="nil"/>
              <w:bottom w:val="nil"/>
              <w:right w:val="nil"/>
            </w:tcBorders>
            <w:shd w:val="clear" w:color="auto" w:fill="auto"/>
            <w:tcMar>
              <w:top w:w="80" w:type="dxa"/>
              <w:left w:w="80" w:type="dxa"/>
              <w:bottom w:w="80" w:type="dxa"/>
              <w:right w:w="80" w:type="dxa"/>
            </w:tcMar>
          </w:tcPr>
          <w:p w14:paraId="1D99DB1D" w14:textId="2079EF33" w:rsidR="00687320" w:rsidRDefault="00000000">
            <w:pPr>
              <w:suppressAutoHyphens/>
              <w:jc w:val="center"/>
              <w:rPr>
                <w:rFonts w:ascii="Arial" w:hAnsi="Arial" w:cs="Arial"/>
                <w:sz w:val="16"/>
                <w:szCs w:val="16"/>
              </w:rPr>
            </w:pPr>
            <w:r>
              <w:rPr>
                <w:rFonts w:ascii="Arial" w:hAnsi="Arial" w:cs="Arial"/>
                <w:sz w:val="16"/>
                <w:szCs w:val="16"/>
              </w:rPr>
              <w:t>1</w:t>
            </w:r>
            <w:r w:rsidR="00CD12B3">
              <w:rPr>
                <w:rFonts w:ascii="Arial" w:hAnsi="Arial" w:cs="Arial"/>
                <w:sz w:val="16"/>
                <w:szCs w:val="16"/>
              </w:rPr>
              <w:t>.</w:t>
            </w:r>
            <w:r>
              <w:rPr>
                <w:rFonts w:ascii="Arial" w:hAnsi="Arial" w:cs="Arial"/>
                <w:sz w:val="16"/>
                <w:szCs w:val="16"/>
              </w:rPr>
              <w:t>58±0</w:t>
            </w:r>
            <w:r w:rsidR="00CD12B3">
              <w:rPr>
                <w:rFonts w:ascii="Arial" w:hAnsi="Arial" w:cs="Arial"/>
                <w:sz w:val="16"/>
                <w:szCs w:val="16"/>
              </w:rPr>
              <w:t>.</w:t>
            </w:r>
            <w:r>
              <w:rPr>
                <w:rFonts w:ascii="Arial" w:hAnsi="Arial" w:cs="Arial"/>
                <w:sz w:val="16"/>
                <w:szCs w:val="16"/>
              </w:rPr>
              <w:t>14</w:t>
            </w:r>
            <w:r>
              <w:rPr>
                <w:rFonts w:ascii="Arial" w:hAnsi="Arial" w:cs="Arial"/>
                <w:sz w:val="16"/>
                <w:szCs w:val="16"/>
                <w:vertAlign w:val="superscript"/>
              </w:rPr>
              <w:t>b</w:t>
            </w:r>
          </w:p>
        </w:tc>
        <w:tc>
          <w:tcPr>
            <w:tcW w:w="1503" w:type="dxa"/>
            <w:tcBorders>
              <w:top w:val="nil"/>
              <w:left w:val="nil"/>
              <w:bottom w:val="nil"/>
              <w:right w:val="nil"/>
            </w:tcBorders>
            <w:shd w:val="clear" w:color="auto" w:fill="auto"/>
            <w:tcMar>
              <w:top w:w="80" w:type="dxa"/>
              <w:left w:w="80" w:type="dxa"/>
              <w:bottom w:w="80" w:type="dxa"/>
              <w:right w:w="80" w:type="dxa"/>
            </w:tcMar>
          </w:tcPr>
          <w:p w14:paraId="3277B9E2" w14:textId="789A039D" w:rsidR="00687320" w:rsidRDefault="00000000">
            <w:pPr>
              <w:suppressAutoHyphens/>
              <w:jc w:val="center"/>
              <w:rPr>
                <w:rFonts w:ascii="Arial" w:hAnsi="Arial" w:cs="Arial"/>
                <w:sz w:val="16"/>
                <w:szCs w:val="16"/>
              </w:rPr>
            </w:pPr>
            <w:r>
              <w:rPr>
                <w:rFonts w:ascii="Arial" w:hAnsi="Arial" w:cs="Arial"/>
                <w:sz w:val="16"/>
                <w:szCs w:val="16"/>
              </w:rPr>
              <w:t>0</w:t>
            </w:r>
            <w:r w:rsidR="00CD12B3">
              <w:rPr>
                <w:rFonts w:ascii="Arial" w:hAnsi="Arial" w:cs="Arial"/>
                <w:sz w:val="16"/>
                <w:szCs w:val="16"/>
              </w:rPr>
              <w:t>.</w:t>
            </w:r>
            <w:r>
              <w:rPr>
                <w:rFonts w:ascii="Arial" w:hAnsi="Arial" w:cs="Arial"/>
                <w:sz w:val="16"/>
                <w:szCs w:val="16"/>
              </w:rPr>
              <w:t>71±0</w:t>
            </w:r>
            <w:r w:rsidR="00CD12B3">
              <w:rPr>
                <w:rFonts w:ascii="Arial" w:hAnsi="Arial" w:cs="Arial"/>
                <w:sz w:val="16"/>
                <w:szCs w:val="16"/>
              </w:rPr>
              <w:t>.</w:t>
            </w:r>
            <w:r>
              <w:rPr>
                <w:rFonts w:ascii="Arial" w:hAnsi="Arial" w:cs="Arial"/>
                <w:sz w:val="16"/>
                <w:szCs w:val="16"/>
              </w:rPr>
              <w:t>10</w:t>
            </w:r>
            <w:r>
              <w:rPr>
                <w:rFonts w:ascii="Arial" w:hAnsi="Arial" w:cs="Arial"/>
                <w:sz w:val="16"/>
                <w:szCs w:val="16"/>
                <w:vertAlign w:val="superscript"/>
              </w:rPr>
              <w:t>a</w:t>
            </w:r>
          </w:p>
        </w:tc>
        <w:tc>
          <w:tcPr>
            <w:tcW w:w="1812" w:type="dxa"/>
            <w:tcBorders>
              <w:top w:val="nil"/>
              <w:left w:val="nil"/>
              <w:bottom w:val="nil"/>
              <w:right w:val="nil"/>
            </w:tcBorders>
            <w:shd w:val="clear" w:color="auto" w:fill="auto"/>
            <w:tcMar>
              <w:top w:w="80" w:type="dxa"/>
              <w:left w:w="80" w:type="dxa"/>
              <w:bottom w:w="80" w:type="dxa"/>
              <w:right w:w="80" w:type="dxa"/>
            </w:tcMar>
          </w:tcPr>
          <w:p w14:paraId="3622DE7B" w14:textId="75DC75EE" w:rsidR="00687320" w:rsidRDefault="00000000">
            <w:pPr>
              <w:suppressAutoHyphens/>
              <w:jc w:val="center"/>
              <w:rPr>
                <w:rFonts w:ascii="Arial" w:hAnsi="Arial" w:cs="Arial"/>
                <w:sz w:val="16"/>
                <w:szCs w:val="16"/>
              </w:rPr>
            </w:pPr>
            <w:r>
              <w:rPr>
                <w:rFonts w:ascii="Arial" w:hAnsi="Arial" w:cs="Arial"/>
                <w:sz w:val="16"/>
                <w:szCs w:val="16"/>
              </w:rPr>
              <w:t>1</w:t>
            </w:r>
            <w:r w:rsidR="00CD12B3">
              <w:rPr>
                <w:rFonts w:ascii="Arial" w:hAnsi="Arial" w:cs="Arial"/>
                <w:sz w:val="16"/>
                <w:szCs w:val="16"/>
              </w:rPr>
              <w:t>.</w:t>
            </w:r>
            <w:r>
              <w:rPr>
                <w:rFonts w:ascii="Arial" w:hAnsi="Arial" w:cs="Arial"/>
                <w:sz w:val="16"/>
                <w:szCs w:val="16"/>
              </w:rPr>
              <w:t>61±0</w:t>
            </w:r>
            <w:r w:rsidR="00CD12B3">
              <w:rPr>
                <w:rFonts w:ascii="Arial" w:hAnsi="Arial" w:cs="Arial"/>
                <w:sz w:val="16"/>
                <w:szCs w:val="16"/>
              </w:rPr>
              <w:t>.</w:t>
            </w:r>
            <w:r>
              <w:rPr>
                <w:rFonts w:ascii="Arial" w:hAnsi="Arial" w:cs="Arial"/>
                <w:sz w:val="16"/>
                <w:szCs w:val="16"/>
              </w:rPr>
              <w:t>15</w:t>
            </w:r>
            <w:r>
              <w:rPr>
                <w:rFonts w:ascii="Arial" w:hAnsi="Arial" w:cs="Arial"/>
                <w:sz w:val="16"/>
                <w:szCs w:val="16"/>
                <w:vertAlign w:val="superscript"/>
              </w:rPr>
              <w:t>b</w:t>
            </w:r>
          </w:p>
        </w:tc>
      </w:tr>
      <w:tr w:rsidR="00687320" w14:paraId="0FE6EE39" w14:textId="77777777">
        <w:trPr>
          <w:trHeight w:val="552"/>
        </w:trPr>
        <w:tc>
          <w:tcPr>
            <w:tcW w:w="2477" w:type="dxa"/>
            <w:tcBorders>
              <w:top w:val="nil"/>
              <w:left w:val="nil"/>
              <w:bottom w:val="single" w:sz="4" w:space="0" w:color="000000"/>
              <w:right w:val="nil"/>
            </w:tcBorders>
            <w:shd w:val="clear" w:color="auto" w:fill="auto"/>
            <w:tcMar>
              <w:top w:w="80" w:type="dxa"/>
              <w:left w:w="80" w:type="dxa"/>
              <w:bottom w:w="80" w:type="dxa"/>
              <w:right w:w="80" w:type="dxa"/>
            </w:tcMar>
          </w:tcPr>
          <w:p w14:paraId="79E7AE32" w14:textId="77777777" w:rsidR="00687320" w:rsidRDefault="00000000">
            <w:pPr>
              <w:suppressAutoHyphens/>
              <w:jc w:val="both"/>
              <w:rPr>
                <w:rFonts w:ascii="Arial" w:hAnsi="Arial" w:cs="Arial"/>
                <w:sz w:val="16"/>
                <w:szCs w:val="16"/>
              </w:rPr>
            </w:pPr>
            <w:r>
              <w:rPr>
                <w:rFonts w:ascii="Arial" w:hAnsi="Arial" w:cs="Arial"/>
                <w:sz w:val="16"/>
                <w:szCs w:val="16"/>
                <w:lang w:val="pt-PT"/>
              </w:rPr>
              <w:t>P</w:t>
            </w:r>
            <w:proofErr w:type="spellStart"/>
            <w:r>
              <w:rPr>
                <w:rFonts w:ascii="Arial" w:hAnsi="Arial" w:cs="Arial"/>
                <w:sz w:val="16"/>
                <w:szCs w:val="16"/>
              </w:rPr>
              <w:t>erigonadal</w:t>
            </w:r>
            <w:proofErr w:type="spellEnd"/>
            <w:r>
              <w:rPr>
                <w:rFonts w:ascii="Arial" w:hAnsi="Arial" w:cs="Arial"/>
                <w:sz w:val="16"/>
                <w:szCs w:val="16"/>
                <w:lang w:val="pt-PT"/>
              </w:rPr>
              <w:t xml:space="preserve"> </w:t>
            </w:r>
            <w:proofErr w:type="spellStart"/>
            <w:r>
              <w:rPr>
                <w:rFonts w:ascii="Arial" w:hAnsi="Arial" w:cs="Arial"/>
                <w:sz w:val="16"/>
                <w:szCs w:val="16"/>
                <w:lang w:val="pt-PT"/>
              </w:rPr>
              <w:t>fat</w:t>
            </w:r>
            <w:proofErr w:type="spellEnd"/>
            <w:r>
              <w:rPr>
                <w:rFonts w:ascii="Arial" w:hAnsi="Arial" w:cs="Arial"/>
                <w:sz w:val="16"/>
                <w:szCs w:val="16"/>
              </w:rPr>
              <w:t xml:space="preserve"> (g/100g)</w:t>
            </w:r>
          </w:p>
        </w:tc>
        <w:tc>
          <w:tcPr>
            <w:tcW w:w="1252" w:type="dxa"/>
            <w:tcBorders>
              <w:top w:val="nil"/>
              <w:left w:val="nil"/>
              <w:bottom w:val="single" w:sz="4" w:space="0" w:color="000000"/>
              <w:right w:val="nil"/>
            </w:tcBorders>
            <w:shd w:val="clear" w:color="auto" w:fill="auto"/>
            <w:tcMar>
              <w:top w:w="80" w:type="dxa"/>
              <w:left w:w="80" w:type="dxa"/>
              <w:bottom w:w="80" w:type="dxa"/>
              <w:right w:w="80" w:type="dxa"/>
            </w:tcMar>
          </w:tcPr>
          <w:p w14:paraId="4812AD2C" w14:textId="743CFCFF" w:rsidR="00687320" w:rsidRDefault="00000000">
            <w:pPr>
              <w:suppressAutoHyphens/>
              <w:jc w:val="center"/>
              <w:rPr>
                <w:rFonts w:ascii="Arial" w:hAnsi="Arial" w:cs="Arial"/>
                <w:sz w:val="16"/>
                <w:szCs w:val="16"/>
              </w:rPr>
            </w:pPr>
            <w:r>
              <w:rPr>
                <w:rFonts w:ascii="Arial" w:hAnsi="Arial" w:cs="Arial"/>
                <w:sz w:val="16"/>
                <w:szCs w:val="16"/>
              </w:rPr>
              <w:t>0</w:t>
            </w:r>
            <w:r w:rsidR="00CD12B3">
              <w:rPr>
                <w:rFonts w:ascii="Arial" w:hAnsi="Arial" w:cs="Arial"/>
                <w:sz w:val="16"/>
                <w:szCs w:val="16"/>
              </w:rPr>
              <w:t>.</w:t>
            </w:r>
            <w:r>
              <w:rPr>
                <w:rFonts w:ascii="Arial" w:hAnsi="Arial" w:cs="Arial"/>
                <w:sz w:val="16"/>
                <w:szCs w:val="16"/>
              </w:rPr>
              <w:t>67±0</w:t>
            </w:r>
            <w:r w:rsidR="00CD12B3">
              <w:rPr>
                <w:rFonts w:ascii="Arial" w:hAnsi="Arial" w:cs="Arial"/>
                <w:sz w:val="16"/>
                <w:szCs w:val="16"/>
              </w:rPr>
              <w:t>.</w:t>
            </w:r>
            <w:r>
              <w:rPr>
                <w:rFonts w:ascii="Arial" w:hAnsi="Arial" w:cs="Arial"/>
                <w:sz w:val="16"/>
                <w:szCs w:val="16"/>
              </w:rPr>
              <w:t>06</w:t>
            </w:r>
            <w:r>
              <w:rPr>
                <w:rFonts w:ascii="Arial" w:hAnsi="Arial" w:cs="Arial"/>
                <w:sz w:val="16"/>
                <w:szCs w:val="16"/>
                <w:vertAlign w:val="superscript"/>
              </w:rPr>
              <w:t>a</w:t>
            </w:r>
          </w:p>
        </w:tc>
        <w:tc>
          <w:tcPr>
            <w:tcW w:w="1253" w:type="dxa"/>
            <w:tcBorders>
              <w:top w:val="nil"/>
              <w:left w:val="nil"/>
              <w:bottom w:val="single" w:sz="4" w:space="0" w:color="000000"/>
              <w:right w:val="nil"/>
            </w:tcBorders>
            <w:shd w:val="clear" w:color="auto" w:fill="auto"/>
            <w:tcMar>
              <w:top w:w="80" w:type="dxa"/>
              <w:left w:w="80" w:type="dxa"/>
              <w:bottom w:w="80" w:type="dxa"/>
              <w:right w:w="80" w:type="dxa"/>
            </w:tcMar>
          </w:tcPr>
          <w:p w14:paraId="0F8A5850" w14:textId="58C295F4" w:rsidR="00687320" w:rsidRDefault="00000000">
            <w:pPr>
              <w:suppressAutoHyphens/>
              <w:jc w:val="center"/>
              <w:rPr>
                <w:rFonts w:ascii="Arial" w:hAnsi="Arial" w:cs="Arial"/>
                <w:sz w:val="16"/>
                <w:szCs w:val="16"/>
              </w:rPr>
            </w:pPr>
            <w:r>
              <w:rPr>
                <w:rFonts w:ascii="Arial" w:hAnsi="Arial" w:cs="Arial"/>
                <w:sz w:val="16"/>
                <w:szCs w:val="16"/>
              </w:rPr>
              <w:t>1</w:t>
            </w:r>
            <w:r w:rsidR="00CD12B3">
              <w:rPr>
                <w:rFonts w:ascii="Arial" w:hAnsi="Arial" w:cs="Arial"/>
                <w:sz w:val="16"/>
                <w:szCs w:val="16"/>
              </w:rPr>
              <w:t>.</w:t>
            </w:r>
            <w:r>
              <w:rPr>
                <w:rFonts w:ascii="Arial" w:hAnsi="Arial" w:cs="Arial"/>
                <w:sz w:val="16"/>
                <w:szCs w:val="16"/>
              </w:rPr>
              <w:t>58±0</w:t>
            </w:r>
            <w:r w:rsidR="00CD12B3">
              <w:rPr>
                <w:rFonts w:ascii="Arial" w:hAnsi="Arial" w:cs="Arial"/>
                <w:sz w:val="16"/>
                <w:szCs w:val="16"/>
              </w:rPr>
              <w:t>.</w:t>
            </w:r>
            <w:r>
              <w:rPr>
                <w:rFonts w:ascii="Arial" w:hAnsi="Arial" w:cs="Arial"/>
                <w:sz w:val="16"/>
                <w:szCs w:val="16"/>
              </w:rPr>
              <w:t>09</w:t>
            </w:r>
            <w:r>
              <w:rPr>
                <w:rFonts w:ascii="Arial" w:hAnsi="Arial" w:cs="Arial"/>
                <w:sz w:val="16"/>
                <w:szCs w:val="16"/>
                <w:vertAlign w:val="superscript"/>
              </w:rPr>
              <w:t>b</w:t>
            </w:r>
          </w:p>
        </w:tc>
        <w:tc>
          <w:tcPr>
            <w:tcW w:w="1503" w:type="dxa"/>
            <w:tcBorders>
              <w:top w:val="nil"/>
              <w:left w:val="nil"/>
              <w:bottom w:val="single" w:sz="4" w:space="0" w:color="000000"/>
              <w:right w:val="nil"/>
            </w:tcBorders>
            <w:shd w:val="clear" w:color="auto" w:fill="auto"/>
            <w:tcMar>
              <w:top w:w="80" w:type="dxa"/>
              <w:left w:w="80" w:type="dxa"/>
              <w:bottom w:w="80" w:type="dxa"/>
              <w:right w:w="80" w:type="dxa"/>
            </w:tcMar>
          </w:tcPr>
          <w:p w14:paraId="496ABB0C" w14:textId="7DE374E6" w:rsidR="00687320" w:rsidRDefault="00000000">
            <w:pPr>
              <w:suppressAutoHyphens/>
              <w:jc w:val="center"/>
              <w:rPr>
                <w:rFonts w:ascii="Arial" w:hAnsi="Arial" w:cs="Arial"/>
                <w:sz w:val="16"/>
                <w:szCs w:val="16"/>
              </w:rPr>
            </w:pPr>
            <w:r>
              <w:rPr>
                <w:rFonts w:ascii="Arial" w:hAnsi="Arial" w:cs="Arial"/>
                <w:sz w:val="16"/>
                <w:szCs w:val="16"/>
              </w:rPr>
              <w:t>0</w:t>
            </w:r>
            <w:r w:rsidR="00CD12B3">
              <w:rPr>
                <w:rFonts w:ascii="Arial" w:hAnsi="Arial" w:cs="Arial"/>
                <w:sz w:val="16"/>
                <w:szCs w:val="16"/>
              </w:rPr>
              <w:t>.</w:t>
            </w:r>
            <w:r>
              <w:rPr>
                <w:rFonts w:ascii="Arial" w:hAnsi="Arial" w:cs="Arial"/>
                <w:sz w:val="16"/>
                <w:szCs w:val="16"/>
              </w:rPr>
              <w:t>73±0</w:t>
            </w:r>
            <w:r w:rsidR="00CD12B3">
              <w:rPr>
                <w:rFonts w:ascii="Arial" w:hAnsi="Arial" w:cs="Arial"/>
                <w:sz w:val="16"/>
                <w:szCs w:val="16"/>
              </w:rPr>
              <w:t>.</w:t>
            </w:r>
            <w:r>
              <w:rPr>
                <w:rFonts w:ascii="Arial" w:hAnsi="Arial" w:cs="Arial"/>
                <w:sz w:val="16"/>
                <w:szCs w:val="16"/>
              </w:rPr>
              <w:t>09</w:t>
            </w:r>
            <w:r>
              <w:rPr>
                <w:rFonts w:ascii="Arial" w:hAnsi="Arial" w:cs="Arial"/>
                <w:sz w:val="16"/>
                <w:szCs w:val="16"/>
                <w:vertAlign w:val="superscript"/>
              </w:rPr>
              <w:t>a</w:t>
            </w:r>
          </w:p>
        </w:tc>
        <w:tc>
          <w:tcPr>
            <w:tcW w:w="1812" w:type="dxa"/>
            <w:tcBorders>
              <w:top w:val="nil"/>
              <w:left w:val="nil"/>
              <w:bottom w:val="single" w:sz="4" w:space="0" w:color="000000"/>
              <w:right w:val="nil"/>
            </w:tcBorders>
            <w:shd w:val="clear" w:color="auto" w:fill="auto"/>
            <w:tcMar>
              <w:top w:w="80" w:type="dxa"/>
              <w:left w:w="80" w:type="dxa"/>
              <w:bottom w:w="80" w:type="dxa"/>
              <w:right w:w="80" w:type="dxa"/>
            </w:tcMar>
          </w:tcPr>
          <w:p w14:paraId="1E9687DD" w14:textId="2400C724" w:rsidR="00687320" w:rsidRDefault="00000000">
            <w:pPr>
              <w:suppressAutoHyphens/>
              <w:jc w:val="center"/>
              <w:rPr>
                <w:rFonts w:ascii="Arial" w:hAnsi="Arial" w:cs="Arial"/>
                <w:sz w:val="16"/>
                <w:szCs w:val="16"/>
              </w:rPr>
            </w:pPr>
            <w:r>
              <w:rPr>
                <w:rFonts w:ascii="Arial" w:hAnsi="Arial" w:cs="Arial"/>
                <w:sz w:val="16"/>
                <w:szCs w:val="16"/>
              </w:rPr>
              <w:t>1</w:t>
            </w:r>
            <w:r w:rsidR="00CD12B3">
              <w:rPr>
                <w:rFonts w:ascii="Arial" w:hAnsi="Arial" w:cs="Arial"/>
                <w:sz w:val="16"/>
                <w:szCs w:val="16"/>
              </w:rPr>
              <w:t>.</w:t>
            </w:r>
            <w:r>
              <w:rPr>
                <w:rFonts w:ascii="Arial" w:hAnsi="Arial" w:cs="Arial"/>
                <w:sz w:val="16"/>
                <w:szCs w:val="16"/>
              </w:rPr>
              <w:t>72±0</w:t>
            </w:r>
            <w:r w:rsidR="00CD12B3">
              <w:rPr>
                <w:rFonts w:ascii="Arial" w:hAnsi="Arial" w:cs="Arial"/>
                <w:sz w:val="16"/>
                <w:szCs w:val="16"/>
              </w:rPr>
              <w:t>.</w:t>
            </w:r>
            <w:r>
              <w:rPr>
                <w:rFonts w:ascii="Arial" w:hAnsi="Arial" w:cs="Arial"/>
                <w:sz w:val="16"/>
                <w:szCs w:val="16"/>
              </w:rPr>
              <w:t>10</w:t>
            </w:r>
            <w:r>
              <w:rPr>
                <w:rFonts w:ascii="Arial" w:hAnsi="Arial" w:cs="Arial"/>
                <w:sz w:val="16"/>
                <w:szCs w:val="16"/>
                <w:vertAlign w:val="superscript"/>
              </w:rPr>
              <w:t>b</w:t>
            </w:r>
          </w:p>
        </w:tc>
      </w:tr>
    </w:tbl>
    <w:p w14:paraId="294DB861" w14:textId="77777777" w:rsidR="00687320" w:rsidRDefault="00687320">
      <w:pPr>
        <w:widowControl w:val="0"/>
        <w:jc w:val="both"/>
        <w:rPr>
          <w:rFonts w:ascii="Arial" w:eastAsia="Times New Roman" w:hAnsi="Arial" w:cs="Arial"/>
        </w:rPr>
      </w:pPr>
    </w:p>
    <w:p w14:paraId="25A73981" w14:textId="77777777" w:rsidR="00687320" w:rsidRDefault="00000000">
      <w:pPr>
        <w:pStyle w:val="NormalWeb"/>
        <w:jc w:val="both"/>
        <w:rPr>
          <w:rFonts w:ascii="Arial" w:hAnsi="Arial" w:cs="Arial"/>
        </w:rPr>
      </w:pPr>
      <w:r>
        <w:rPr>
          <w:rFonts w:ascii="Arial" w:hAnsi="Arial" w:cs="Arial"/>
        </w:rPr>
        <w:t xml:space="preserve">Values expressed as mean ± standard error. N = 10 animals/group. Analysis of variance (ANOVA), </w:t>
      </w:r>
      <w:r>
        <w:rPr>
          <w:rFonts w:ascii="Arial" w:hAnsi="Arial" w:cs="Arial"/>
          <w:lang w:val="pt-PT"/>
        </w:rPr>
        <w:t>w</w:t>
      </w:r>
      <w:proofErr w:type="spellStart"/>
      <w:r>
        <w:rPr>
          <w:rFonts w:ascii="Arial" w:hAnsi="Arial" w:cs="Arial"/>
        </w:rPr>
        <w:t>ith</w:t>
      </w:r>
      <w:proofErr w:type="spellEnd"/>
      <w:r>
        <w:rPr>
          <w:rFonts w:ascii="Arial" w:hAnsi="Arial" w:cs="Arial"/>
        </w:rPr>
        <w:t xml:space="preserve"> Tukey's post-test. In the same row, values followed by different letters (a, b) indicate statistically </w:t>
      </w:r>
      <w:r>
        <w:rPr>
          <w:rFonts w:ascii="Arial" w:hAnsi="Arial" w:cs="Arial"/>
          <w:lang w:val="pt-PT"/>
        </w:rPr>
        <w:t>s</w:t>
      </w:r>
      <w:proofErr w:type="spellStart"/>
      <w:r>
        <w:rPr>
          <w:rFonts w:ascii="Arial" w:hAnsi="Arial" w:cs="Arial"/>
        </w:rPr>
        <w:t>ignificant</w:t>
      </w:r>
      <w:proofErr w:type="spellEnd"/>
      <w:r>
        <w:rPr>
          <w:rFonts w:ascii="Arial" w:hAnsi="Arial" w:cs="Arial"/>
        </w:rPr>
        <w:t xml:space="preserve"> differences between groups (P&lt;0.05).</w:t>
      </w:r>
    </w:p>
    <w:p w14:paraId="1B55E2A8" w14:textId="77777777" w:rsidR="00687320" w:rsidRDefault="00687320">
      <w:pPr>
        <w:pStyle w:val="NormalWeb"/>
        <w:jc w:val="both"/>
        <w:rPr>
          <w:rFonts w:ascii="Arial" w:eastAsia="Times New Roman" w:hAnsi="Arial" w:cs="Arial"/>
        </w:rPr>
      </w:pPr>
    </w:p>
    <w:p w14:paraId="48E503DF" w14:textId="77777777" w:rsidR="00687320" w:rsidRDefault="00687320">
      <w:pPr>
        <w:pStyle w:val="NormalWeb"/>
        <w:jc w:val="both"/>
        <w:rPr>
          <w:rFonts w:ascii="Arial" w:eastAsia="Times New Roman" w:hAnsi="Arial" w:cs="Arial"/>
        </w:rPr>
      </w:pPr>
    </w:p>
    <w:p w14:paraId="14D26EBC" w14:textId="77777777" w:rsidR="00687320" w:rsidRDefault="00687320">
      <w:pPr>
        <w:pStyle w:val="NormalWeb"/>
        <w:jc w:val="both"/>
        <w:rPr>
          <w:rFonts w:ascii="Arial" w:eastAsia="Times New Roman" w:hAnsi="Arial" w:cs="Arial"/>
        </w:rPr>
      </w:pPr>
    </w:p>
    <w:p w14:paraId="67EEEB46" w14:textId="77777777" w:rsidR="00687320" w:rsidRDefault="00687320">
      <w:pPr>
        <w:pStyle w:val="NormalWeb"/>
        <w:jc w:val="both"/>
        <w:rPr>
          <w:rFonts w:ascii="Arial" w:eastAsia="Times New Roman" w:hAnsi="Arial" w:cs="Arial"/>
        </w:rPr>
      </w:pPr>
    </w:p>
    <w:p w14:paraId="53C4D97C" w14:textId="77777777" w:rsidR="00687320" w:rsidRDefault="00000000">
      <w:pPr>
        <w:pStyle w:val="NormalWeb"/>
        <w:spacing w:line="480" w:lineRule="auto"/>
        <w:jc w:val="both"/>
        <w:rPr>
          <w:rFonts w:ascii="Arial" w:hAnsi="Arial" w:cs="Arial"/>
          <w:b/>
          <w:bCs/>
        </w:rPr>
      </w:pPr>
      <w:r>
        <w:rPr>
          <w:rFonts w:ascii="Arial" w:hAnsi="Arial" w:cs="Arial"/>
          <w:b/>
          <w:bCs/>
        </w:rPr>
        <w:t>3.2 Analysis of Dental Movement</w:t>
      </w:r>
    </w:p>
    <w:p w14:paraId="41D849F5" w14:textId="77777777" w:rsidR="00687320" w:rsidRDefault="00000000">
      <w:pPr>
        <w:pStyle w:val="NormalWeb"/>
        <w:spacing w:line="480" w:lineRule="auto"/>
        <w:jc w:val="both"/>
        <w:rPr>
          <w:rFonts w:ascii="Arial" w:hAnsi="Arial" w:cs="Arial"/>
        </w:rPr>
      </w:pPr>
      <w:r>
        <w:rPr>
          <w:rFonts w:ascii="Arial" w:eastAsia="Times New Roman" w:hAnsi="Arial" w:cs="Arial"/>
          <w:lang w:val="pt-PT"/>
        </w:rPr>
        <w:tab/>
      </w:r>
      <w:r>
        <w:rPr>
          <w:rFonts w:ascii="Arial" w:hAnsi="Arial" w:cs="Arial"/>
        </w:rPr>
        <w:t>Obese animals in the MSG+ITM group exhibited a significantly lower dental movement rate compared to non-obese animals in the CTL+ITM group (P &lt; 0.05) (Table 2).</w:t>
      </w:r>
    </w:p>
    <w:p w14:paraId="219A02AA" w14:textId="77777777" w:rsidR="00687320" w:rsidRDefault="00687320">
      <w:pPr>
        <w:pStyle w:val="NormalWeb"/>
        <w:spacing w:line="360" w:lineRule="auto"/>
        <w:jc w:val="both"/>
        <w:rPr>
          <w:rFonts w:ascii="Arial" w:eastAsia="Times New Roman" w:hAnsi="Arial" w:cs="Arial"/>
        </w:rPr>
      </w:pPr>
    </w:p>
    <w:p w14:paraId="2C64F240" w14:textId="77777777" w:rsidR="00687320" w:rsidRDefault="00000000">
      <w:pPr>
        <w:pStyle w:val="NormalWeb"/>
        <w:spacing w:line="360" w:lineRule="auto"/>
        <w:jc w:val="both"/>
        <w:rPr>
          <w:rFonts w:ascii="Arial" w:eastAsia="SimSun" w:hAnsi="Arial" w:cs="Arial"/>
        </w:rPr>
      </w:pPr>
      <w:r>
        <w:rPr>
          <w:rFonts w:ascii="Arial" w:hAnsi="Arial" w:cs="Arial"/>
          <w:b/>
          <w:bCs/>
        </w:rPr>
        <w:t>Table 2.</w:t>
      </w:r>
      <w:r>
        <w:rPr>
          <w:rFonts w:ascii="Arial" w:hAnsi="Arial" w:cs="Arial"/>
        </w:rPr>
        <w:t xml:space="preserve"> Dental Movement Rate of the Different Experimental Groups.</w:t>
      </w:r>
    </w:p>
    <w:tbl>
      <w:tblPr>
        <w:tblStyle w:val="TableNormal1"/>
        <w:tblW w:w="83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2"/>
        <w:gridCol w:w="6318"/>
      </w:tblGrid>
      <w:tr w:rsidR="00687320" w14:paraId="5412AD94" w14:textId="77777777">
        <w:trPr>
          <w:trHeight w:val="300"/>
        </w:trPr>
        <w:tc>
          <w:tcPr>
            <w:tcW w:w="1982" w:type="dxa"/>
            <w:tcBorders>
              <w:top w:val="single" w:sz="4" w:space="0" w:color="000000"/>
              <w:left w:val="nil"/>
              <w:bottom w:val="single" w:sz="4" w:space="0" w:color="000000"/>
              <w:right w:val="nil"/>
            </w:tcBorders>
            <w:shd w:val="clear" w:color="auto" w:fill="auto"/>
            <w:tcMar>
              <w:top w:w="80" w:type="dxa"/>
              <w:left w:w="312" w:type="dxa"/>
              <w:bottom w:w="80" w:type="dxa"/>
              <w:right w:w="80" w:type="dxa"/>
            </w:tcMar>
          </w:tcPr>
          <w:p w14:paraId="37AE4775" w14:textId="77777777" w:rsidR="00687320" w:rsidRDefault="00000000">
            <w:pPr>
              <w:spacing w:line="360" w:lineRule="auto"/>
              <w:ind w:left="232" w:hanging="11"/>
              <w:jc w:val="center"/>
              <w:rPr>
                <w:rFonts w:ascii="Arial" w:hAnsi="Arial" w:cs="Arial"/>
              </w:rPr>
            </w:pPr>
            <w:r>
              <w:rPr>
                <w:rFonts w:ascii="Arial" w:hAnsi="Arial" w:cs="Arial"/>
                <w:b/>
                <w:bCs/>
              </w:rPr>
              <w:t>GR</w:t>
            </w:r>
            <w:r>
              <w:rPr>
                <w:rFonts w:ascii="Arial" w:hAnsi="Arial" w:cs="Arial"/>
                <w:b/>
                <w:bCs/>
                <w:lang w:val="pt-PT"/>
              </w:rPr>
              <w:t>O</w:t>
            </w:r>
            <w:r>
              <w:rPr>
                <w:rFonts w:ascii="Arial" w:hAnsi="Arial" w:cs="Arial"/>
                <w:b/>
                <w:bCs/>
              </w:rPr>
              <w:t xml:space="preserve">UPS </w:t>
            </w:r>
          </w:p>
        </w:tc>
        <w:tc>
          <w:tcPr>
            <w:tcW w:w="6317" w:type="dxa"/>
            <w:tcBorders>
              <w:top w:val="single" w:sz="4" w:space="0" w:color="000000"/>
              <w:left w:val="nil"/>
              <w:bottom w:val="single" w:sz="4" w:space="0" w:color="000000"/>
              <w:right w:val="nil"/>
            </w:tcBorders>
            <w:shd w:val="clear" w:color="auto" w:fill="auto"/>
            <w:tcMar>
              <w:top w:w="80" w:type="dxa"/>
              <w:left w:w="312" w:type="dxa"/>
              <w:bottom w:w="80" w:type="dxa"/>
              <w:right w:w="80" w:type="dxa"/>
            </w:tcMar>
          </w:tcPr>
          <w:p w14:paraId="33F834E9" w14:textId="77777777" w:rsidR="00687320" w:rsidRDefault="00000000">
            <w:pPr>
              <w:spacing w:line="360" w:lineRule="auto"/>
              <w:ind w:left="232" w:hanging="11"/>
              <w:jc w:val="center"/>
              <w:rPr>
                <w:rFonts w:ascii="Arial" w:hAnsi="Arial" w:cs="Arial"/>
              </w:rPr>
            </w:pPr>
            <w:r>
              <w:rPr>
                <w:rFonts w:ascii="Arial" w:hAnsi="Arial" w:cs="Arial"/>
                <w:b/>
                <w:bCs/>
              </w:rPr>
              <w:t>DENTAL MOVEMENT RATE (mm)</w:t>
            </w:r>
          </w:p>
        </w:tc>
      </w:tr>
      <w:tr w:rsidR="00687320" w14:paraId="1CA4B3E3" w14:textId="77777777">
        <w:trPr>
          <w:trHeight w:val="305"/>
        </w:trPr>
        <w:tc>
          <w:tcPr>
            <w:tcW w:w="1982" w:type="dxa"/>
            <w:tcBorders>
              <w:top w:val="single" w:sz="4" w:space="0" w:color="000000"/>
              <w:left w:val="nil"/>
              <w:bottom w:val="nil"/>
              <w:right w:val="nil"/>
            </w:tcBorders>
            <w:shd w:val="clear" w:color="auto" w:fill="auto"/>
            <w:tcMar>
              <w:top w:w="80" w:type="dxa"/>
              <w:left w:w="312" w:type="dxa"/>
              <w:bottom w:w="80" w:type="dxa"/>
              <w:right w:w="80" w:type="dxa"/>
            </w:tcMar>
          </w:tcPr>
          <w:p w14:paraId="6B99E5EC" w14:textId="77777777" w:rsidR="00687320" w:rsidRDefault="00000000">
            <w:pPr>
              <w:ind w:left="232" w:hanging="11"/>
              <w:jc w:val="center"/>
              <w:rPr>
                <w:rFonts w:ascii="Arial" w:hAnsi="Arial" w:cs="Arial"/>
              </w:rPr>
            </w:pPr>
            <w:r>
              <w:rPr>
                <w:rFonts w:ascii="Arial" w:hAnsi="Arial" w:cs="Arial"/>
              </w:rPr>
              <w:t>CTL+ITM</w:t>
            </w:r>
          </w:p>
        </w:tc>
        <w:tc>
          <w:tcPr>
            <w:tcW w:w="6317" w:type="dxa"/>
            <w:tcBorders>
              <w:top w:val="single" w:sz="4" w:space="0" w:color="000000"/>
              <w:left w:val="nil"/>
              <w:bottom w:val="nil"/>
              <w:right w:val="nil"/>
            </w:tcBorders>
            <w:shd w:val="clear" w:color="auto" w:fill="auto"/>
            <w:tcMar>
              <w:top w:w="80" w:type="dxa"/>
              <w:left w:w="312" w:type="dxa"/>
              <w:bottom w:w="80" w:type="dxa"/>
              <w:right w:w="80" w:type="dxa"/>
            </w:tcMar>
          </w:tcPr>
          <w:p w14:paraId="0A1682CD" w14:textId="72375781" w:rsidR="00687320" w:rsidRDefault="00000000">
            <w:pPr>
              <w:ind w:left="232" w:hanging="11"/>
              <w:jc w:val="center"/>
              <w:rPr>
                <w:rFonts w:ascii="Arial" w:hAnsi="Arial" w:cs="Arial"/>
              </w:rPr>
            </w:pPr>
            <w:r>
              <w:rPr>
                <w:rFonts w:ascii="Arial" w:hAnsi="Arial" w:cs="Arial"/>
              </w:rPr>
              <w:t>0</w:t>
            </w:r>
            <w:r w:rsidR="00CD12B3">
              <w:rPr>
                <w:rFonts w:ascii="Arial" w:hAnsi="Arial" w:cs="Arial"/>
              </w:rPr>
              <w:t>.</w:t>
            </w:r>
            <w:r>
              <w:rPr>
                <w:rFonts w:ascii="Arial" w:hAnsi="Arial" w:cs="Arial"/>
              </w:rPr>
              <w:t>18±1</w:t>
            </w:r>
            <w:r w:rsidR="00CD12B3">
              <w:rPr>
                <w:rFonts w:ascii="Arial" w:hAnsi="Arial" w:cs="Arial"/>
              </w:rPr>
              <w:t>.</w:t>
            </w:r>
            <w:r>
              <w:rPr>
                <w:rFonts w:ascii="Arial" w:hAnsi="Arial" w:cs="Arial"/>
              </w:rPr>
              <w:t>05</w:t>
            </w:r>
            <w:r>
              <w:rPr>
                <w:rFonts w:ascii="Arial" w:hAnsi="Arial" w:cs="Arial"/>
                <w:vertAlign w:val="superscript"/>
              </w:rPr>
              <w:t>a</w:t>
            </w:r>
          </w:p>
        </w:tc>
      </w:tr>
      <w:tr w:rsidR="00687320" w14:paraId="17C59723" w14:textId="77777777">
        <w:trPr>
          <w:trHeight w:val="305"/>
        </w:trPr>
        <w:tc>
          <w:tcPr>
            <w:tcW w:w="1982" w:type="dxa"/>
            <w:tcBorders>
              <w:top w:val="nil"/>
              <w:left w:val="nil"/>
              <w:bottom w:val="single" w:sz="4" w:space="0" w:color="000000"/>
              <w:right w:val="nil"/>
            </w:tcBorders>
            <w:shd w:val="clear" w:color="auto" w:fill="auto"/>
            <w:tcMar>
              <w:top w:w="80" w:type="dxa"/>
              <w:left w:w="312" w:type="dxa"/>
              <w:bottom w:w="80" w:type="dxa"/>
              <w:right w:w="80" w:type="dxa"/>
            </w:tcMar>
          </w:tcPr>
          <w:p w14:paraId="7595D4E4" w14:textId="77777777" w:rsidR="00687320" w:rsidRDefault="00000000">
            <w:pPr>
              <w:ind w:left="232" w:hanging="11"/>
              <w:jc w:val="center"/>
              <w:rPr>
                <w:rFonts w:ascii="Arial" w:hAnsi="Arial" w:cs="Arial"/>
              </w:rPr>
            </w:pPr>
            <w:r>
              <w:rPr>
                <w:rFonts w:ascii="Arial" w:hAnsi="Arial" w:cs="Arial"/>
              </w:rPr>
              <w:t>MSG+ITM</w:t>
            </w:r>
          </w:p>
        </w:tc>
        <w:tc>
          <w:tcPr>
            <w:tcW w:w="6317" w:type="dxa"/>
            <w:tcBorders>
              <w:top w:val="nil"/>
              <w:left w:val="nil"/>
              <w:bottom w:val="single" w:sz="4" w:space="0" w:color="000000"/>
              <w:right w:val="nil"/>
            </w:tcBorders>
            <w:shd w:val="clear" w:color="auto" w:fill="auto"/>
            <w:tcMar>
              <w:top w:w="80" w:type="dxa"/>
              <w:left w:w="312" w:type="dxa"/>
              <w:bottom w:w="80" w:type="dxa"/>
              <w:right w:w="80" w:type="dxa"/>
            </w:tcMar>
          </w:tcPr>
          <w:p w14:paraId="10152F55" w14:textId="6F1E7E68" w:rsidR="00687320" w:rsidRDefault="00000000">
            <w:pPr>
              <w:ind w:left="232" w:hanging="11"/>
              <w:jc w:val="center"/>
              <w:rPr>
                <w:rFonts w:ascii="Arial" w:hAnsi="Arial" w:cs="Arial"/>
              </w:rPr>
            </w:pPr>
            <w:r>
              <w:rPr>
                <w:rFonts w:ascii="Arial" w:hAnsi="Arial" w:cs="Arial"/>
              </w:rPr>
              <w:t>0</w:t>
            </w:r>
            <w:r w:rsidR="00CD12B3">
              <w:rPr>
                <w:rFonts w:ascii="Arial" w:hAnsi="Arial" w:cs="Arial"/>
              </w:rPr>
              <w:t>.</w:t>
            </w:r>
            <w:r>
              <w:rPr>
                <w:rFonts w:ascii="Arial" w:hAnsi="Arial" w:cs="Arial"/>
              </w:rPr>
              <w:t>15±0</w:t>
            </w:r>
            <w:r w:rsidR="00CD12B3">
              <w:rPr>
                <w:rFonts w:ascii="Arial" w:hAnsi="Arial" w:cs="Arial"/>
              </w:rPr>
              <w:t>.</w:t>
            </w:r>
            <w:r>
              <w:rPr>
                <w:rFonts w:ascii="Arial" w:hAnsi="Arial" w:cs="Arial"/>
              </w:rPr>
              <w:t>96</w:t>
            </w:r>
            <w:r>
              <w:rPr>
                <w:rFonts w:ascii="Arial" w:hAnsi="Arial" w:cs="Arial"/>
                <w:vertAlign w:val="superscript"/>
              </w:rPr>
              <w:t>b</w:t>
            </w:r>
          </w:p>
        </w:tc>
      </w:tr>
    </w:tbl>
    <w:p w14:paraId="1243E997" w14:textId="77777777" w:rsidR="00687320" w:rsidRDefault="00687320">
      <w:pPr>
        <w:pStyle w:val="NormalWeb"/>
        <w:widowControl w:val="0"/>
        <w:jc w:val="both"/>
        <w:rPr>
          <w:rFonts w:ascii="Arial" w:eastAsia="SimSun" w:hAnsi="Arial" w:cs="Arial"/>
        </w:rPr>
      </w:pPr>
    </w:p>
    <w:p w14:paraId="52651175" w14:textId="77777777" w:rsidR="00687320" w:rsidRDefault="00000000">
      <w:pPr>
        <w:pStyle w:val="NormalWeb"/>
        <w:jc w:val="both"/>
        <w:rPr>
          <w:rFonts w:ascii="Arial" w:hAnsi="Arial" w:cs="Arial"/>
        </w:rPr>
      </w:pPr>
      <w:r>
        <w:rPr>
          <w:rFonts w:ascii="Arial" w:hAnsi="Arial" w:cs="Arial"/>
        </w:rPr>
        <w:t>Values expressed as mean ± standard deviation. N = 10 animals/group. Student's t-</w:t>
      </w:r>
      <w:proofErr w:type="gramStart"/>
      <w:r>
        <w:rPr>
          <w:rFonts w:ascii="Arial" w:hAnsi="Arial" w:cs="Arial"/>
        </w:rPr>
        <w:t>test</w:t>
      </w:r>
      <w:proofErr w:type="gramEnd"/>
      <w:r>
        <w:rPr>
          <w:rFonts w:ascii="Arial" w:hAnsi="Arial" w:cs="Arial"/>
        </w:rPr>
        <w:t>. Different letters (a, b) indicate P&lt;0.05.</w:t>
      </w:r>
    </w:p>
    <w:p w14:paraId="0A5B99E9" w14:textId="77777777" w:rsidR="00687320" w:rsidRDefault="00687320">
      <w:pPr>
        <w:pStyle w:val="NormalWeb"/>
        <w:jc w:val="both"/>
        <w:rPr>
          <w:rFonts w:ascii="Arial" w:eastAsia="Times New Roman" w:hAnsi="Arial" w:cs="Arial"/>
        </w:rPr>
      </w:pPr>
    </w:p>
    <w:p w14:paraId="772C4267" w14:textId="77777777" w:rsidR="00687320" w:rsidRDefault="00687320">
      <w:pPr>
        <w:pStyle w:val="NormalWeb"/>
        <w:jc w:val="both"/>
        <w:rPr>
          <w:rFonts w:ascii="Arial" w:eastAsia="Times New Roman" w:hAnsi="Arial" w:cs="Arial"/>
        </w:rPr>
      </w:pPr>
    </w:p>
    <w:p w14:paraId="77FC638C" w14:textId="77777777" w:rsidR="00687320" w:rsidRDefault="00687320">
      <w:pPr>
        <w:pStyle w:val="NormalWeb"/>
        <w:jc w:val="both"/>
        <w:rPr>
          <w:rFonts w:ascii="Arial" w:eastAsia="Times New Roman" w:hAnsi="Arial" w:cs="Arial"/>
        </w:rPr>
      </w:pPr>
    </w:p>
    <w:p w14:paraId="2883F510" w14:textId="77777777" w:rsidR="00687320" w:rsidRDefault="00000000">
      <w:pPr>
        <w:pStyle w:val="NormalWeb"/>
        <w:spacing w:line="480" w:lineRule="auto"/>
        <w:jc w:val="both"/>
        <w:rPr>
          <w:rFonts w:ascii="Arial" w:hAnsi="Arial" w:cs="Arial"/>
          <w:b/>
          <w:bCs/>
        </w:rPr>
      </w:pPr>
      <w:r>
        <w:rPr>
          <w:rFonts w:ascii="Arial" w:hAnsi="Arial" w:cs="Arial"/>
          <w:b/>
          <w:bCs/>
        </w:rPr>
        <w:t>3.3 Descriptive Analysis of Pulpal Structure</w:t>
      </w:r>
    </w:p>
    <w:p w14:paraId="695D1C62" w14:textId="77777777" w:rsidR="00687320" w:rsidRDefault="00000000">
      <w:pPr>
        <w:pStyle w:val="NormalWeb"/>
        <w:spacing w:line="480" w:lineRule="auto"/>
        <w:jc w:val="both"/>
        <w:rPr>
          <w:rFonts w:ascii="Arial" w:eastAsia="Times New Roman" w:hAnsi="Arial" w:cs="Arial"/>
        </w:rPr>
      </w:pPr>
      <w:r>
        <w:rPr>
          <w:rFonts w:ascii="Arial" w:eastAsia="Times New Roman" w:hAnsi="Arial" w:cs="Arial"/>
          <w:lang w:val="pt-PT"/>
        </w:rPr>
        <w:tab/>
      </w:r>
      <w:r>
        <w:rPr>
          <w:rFonts w:ascii="Arial" w:hAnsi="Arial" w:cs="Arial"/>
        </w:rPr>
        <w:t>Histological analysis of the pulpal tissue in the control group (CTL) revealed uniform pulp morphology, intact blood vessels, a non-thickened predentin and odontoblastic layer, as well as normal and organized pulp cells (Table 3, Fig. 1A).</w:t>
      </w:r>
    </w:p>
    <w:p w14:paraId="6B4067E9" w14:textId="07FE5FAB" w:rsidR="00687320" w:rsidRPr="00031889" w:rsidRDefault="00000000" w:rsidP="00031889">
      <w:pPr>
        <w:pStyle w:val="NormalWeb"/>
        <w:spacing w:line="480" w:lineRule="auto"/>
        <w:ind w:firstLine="708"/>
        <w:jc w:val="both"/>
        <w:rPr>
          <w:rFonts w:ascii="Arial" w:eastAsia="Times New Roman" w:hAnsi="Arial" w:cs="Arial"/>
        </w:rPr>
      </w:pPr>
      <w:r>
        <w:rPr>
          <w:rFonts w:ascii="Arial" w:hAnsi="Arial" w:cs="Arial"/>
        </w:rPr>
        <w:t>No fibrosis, pulp nodules, or necrosis were observed in any of the experimental groups.</w:t>
      </w:r>
      <w:r w:rsidR="00031889">
        <w:rPr>
          <w:rFonts w:ascii="Arial" w:eastAsia="Times New Roman" w:hAnsi="Arial" w:cs="Arial"/>
        </w:rPr>
        <w:t xml:space="preserve"> </w:t>
      </w:r>
      <w:r>
        <w:rPr>
          <w:rFonts w:ascii="Arial" w:hAnsi="Arial" w:cs="Arial"/>
        </w:rPr>
        <w:t>Obese animals subjected to induced tooth movement (MSG+ITM) presented higher frequencies of mild inflammatory infiltrate, increased cellularity (Fig. 1B), and dystrophic (Fig. 1F) and hemodynamic changes (Fig. 1C–E) compared to the other groups.</w:t>
      </w:r>
    </w:p>
    <w:p w14:paraId="20DF54BA" w14:textId="77777777" w:rsidR="00687320" w:rsidRDefault="00687320">
      <w:pPr>
        <w:pStyle w:val="NormalWeb"/>
        <w:spacing w:line="480" w:lineRule="auto"/>
        <w:jc w:val="both"/>
        <w:rPr>
          <w:rFonts w:ascii="Arial" w:hAnsi="Arial" w:cs="Arial"/>
        </w:rPr>
      </w:pPr>
    </w:p>
    <w:p w14:paraId="10FF880E" w14:textId="77777777" w:rsidR="00DB0084" w:rsidRDefault="00DB0084">
      <w:pPr>
        <w:pStyle w:val="NormalWeb"/>
        <w:spacing w:line="480" w:lineRule="auto"/>
        <w:jc w:val="both"/>
        <w:rPr>
          <w:rFonts w:ascii="Arial" w:hAnsi="Arial" w:cs="Arial"/>
        </w:rPr>
      </w:pPr>
    </w:p>
    <w:p w14:paraId="48EA6690" w14:textId="77777777" w:rsidR="00DB0084" w:rsidRDefault="00DB0084">
      <w:pPr>
        <w:pStyle w:val="NormalWeb"/>
        <w:spacing w:line="480" w:lineRule="auto"/>
        <w:jc w:val="both"/>
        <w:rPr>
          <w:rFonts w:ascii="Arial" w:hAnsi="Arial" w:cs="Arial"/>
        </w:rPr>
      </w:pPr>
    </w:p>
    <w:p w14:paraId="7C2F1F98" w14:textId="77777777" w:rsidR="00DB0084" w:rsidRDefault="00DB0084">
      <w:pPr>
        <w:pStyle w:val="NormalWeb"/>
        <w:spacing w:line="480" w:lineRule="auto"/>
        <w:jc w:val="both"/>
        <w:rPr>
          <w:rFonts w:ascii="Arial" w:hAnsi="Arial" w:cs="Arial"/>
        </w:rPr>
      </w:pPr>
    </w:p>
    <w:p w14:paraId="2FBA0350" w14:textId="77777777" w:rsidR="00DB0084" w:rsidRDefault="00DB0084">
      <w:pPr>
        <w:pStyle w:val="NormalWeb"/>
        <w:spacing w:line="480" w:lineRule="auto"/>
        <w:jc w:val="both"/>
        <w:rPr>
          <w:rFonts w:ascii="Arial" w:hAnsi="Arial" w:cs="Arial"/>
        </w:rPr>
      </w:pPr>
    </w:p>
    <w:p w14:paraId="2D61E6E9" w14:textId="77777777" w:rsidR="00DB0084" w:rsidRDefault="00DB0084">
      <w:pPr>
        <w:pStyle w:val="NormalWeb"/>
        <w:spacing w:line="480" w:lineRule="auto"/>
        <w:jc w:val="both"/>
        <w:rPr>
          <w:rFonts w:ascii="Arial" w:hAnsi="Arial" w:cs="Arial"/>
        </w:rPr>
      </w:pPr>
    </w:p>
    <w:p w14:paraId="12E46BC0" w14:textId="0E229E92" w:rsidR="00DB0084" w:rsidRDefault="00DB0084">
      <w:pPr>
        <w:pStyle w:val="NormalWeb"/>
        <w:spacing w:line="480" w:lineRule="auto"/>
        <w:jc w:val="both"/>
        <w:rPr>
          <w:rFonts w:ascii="Arial" w:hAnsi="Arial" w:cs="Arial"/>
        </w:rPr>
      </w:pPr>
      <w:r w:rsidRPr="00DB0084">
        <w:rPr>
          <w:rFonts w:ascii="Arial" w:hAnsi="Arial" w:cs="Arial"/>
          <w:noProof/>
          <w:lang w:val="pt-BR"/>
        </w:rPr>
        <w:lastRenderedPageBreak/>
        <w:drawing>
          <wp:anchor distT="0" distB="0" distL="114300" distR="114300" simplePos="0" relativeHeight="251658240" behindDoc="1" locked="0" layoutInCell="1" allowOverlap="1" wp14:anchorId="67529A13" wp14:editId="4878C032">
            <wp:simplePos x="0" y="0"/>
            <wp:positionH relativeFrom="column">
              <wp:posOffset>-370568</wp:posOffset>
            </wp:positionH>
            <wp:positionV relativeFrom="paragraph">
              <wp:posOffset>0</wp:posOffset>
            </wp:positionV>
            <wp:extent cx="5985510" cy="6727190"/>
            <wp:effectExtent l="0" t="0" r="0" b="0"/>
            <wp:wrapTight wrapText="bothSides">
              <wp:wrapPolygon edited="0">
                <wp:start x="0" y="0"/>
                <wp:lineTo x="0" y="21531"/>
                <wp:lineTo x="21518" y="21531"/>
                <wp:lineTo x="21518" y="0"/>
                <wp:lineTo x="0" y="0"/>
              </wp:wrapPolygon>
            </wp:wrapTight>
            <wp:docPr id="823910272" name="Imagem 2"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10272" name="Imagem 2" descr="Uma imagem contendo Padrão do plano de fundo&#10;&#10;O conteúdo gerado por IA pode estar incorre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219" t="7886" r="12840" b="33414"/>
                    <a:stretch/>
                  </pic:blipFill>
                  <pic:spPr bwMode="auto">
                    <a:xfrm>
                      <a:off x="0" y="0"/>
                      <a:ext cx="5985510" cy="6727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C21972" w14:textId="36E07F33" w:rsidR="00687320" w:rsidRDefault="00000000">
      <w:pPr>
        <w:pStyle w:val="NormalWeb"/>
        <w:spacing w:line="360" w:lineRule="auto"/>
        <w:jc w:val="both"/>
        <w:rPr>
          <w:rFonts w:ascii="Arial" w:hAnsi="Arial" w:cs="Arial"/>
        </w:rPr>
      </w:pPr>
      <w:r w:rsidRPr="00B7720A">
        <w:rPr>
          <w:rFonts w:ascii="Arial" w:hAnsi="Arial" w:cs="Arial"/>
          <w:b/>
          <w:bCs/>
          <w:highlight w:val="yellow"/>
        </w:rPr>
        <w:t>Figure 1.</w:t>
      </w:r>
      <w:r w:rsidRPr="00B7720A">
        <w:rPr>
          <w:rFonts w:ascii="Arial" w:hAnsi="Arial" w:cs="Arial"/>
          <w:highlight w:val="yellow"/>
        </w:rPr>
        <w:t xml:space="preserve"> Photomicrograph of the dental pulp from animals of the different experimental groups. A. Right upper first molar showing dentin (D), predentin (</w:t>
      </w:r>
      <w:proofErr w:type="spellStart"/>
      <w:r w:rsidRPr="00B7720A">
        <w:rPr>
          <w:rFonts w:ascii="Arial" w:hAnsi="Arial" w:cs="Arial"/>
          <w:highlight w:val="yellow"/>
        </w:rPr>
        <w:t>PreD</w:t>
      </w:r>
      <w:proofErr w:type="spellEnd"/>
      <w:r w:rsidRPr="00B7720A">
        <w:rPr>
          <w:rFonts w:ascii="Arial" w:hAnsi="Arial" w:cs="Arial"/>
          <w:highlight w:val="yellow"/>
        </w:rPr>
        <w:t>), odontoblastic layer (OL), and dental pulp (DP) with a normal appearance; B. Dentin (D) and dental pulp (DP) showing increased cellularity (asterisk); C. Dental pulp (PD) showing vascular congestion (arrow) and thrombosis (head of arrow); D. Dentin (D) and dental pulp (PD) showing thrombosis (head of arrow); E. Dentin (D) and dental pulp (DP) showing blood vessels with hemorrhage (asterisk); F. Dentin (D) and dental pulp (DP) with hyaline areas (triangle). Staining = Hematoxylin and Eosin.</w:t>
      </w:r>
    </w:p>
    <w:p w14:paraId="6E671552" w14:textId="4EC81F85" w:rsidR="00687320" w:rsidRDefault="00000000">
      <w:pPr>
        <w:pStyle w:val="NormalWeb"/>
        <w:spacing w:line="480" w:lineRule="auto"/>
        <w:jc w:val="both"/>
        <w:rPr>
          <w:rFonts w:ascii="Arial" w:eastAsia="Times New Roman" w:hAnsi="Arial" w:cs="Arial"/>
        </w:rPr>
      </w:pPr>
      <w:r>
        <w:rPr>
          <w:rFonts w:ascii="Arial" w:eastAsia="Times New Roman" w:hAnsi="Arial" w:cs="Arial"/>
        </w:rPr>
        <w:lastRenderedPageBreak/>
        <w:tab/>
      </w:r>
      <w:r>
        <w:rPr>
          <w:rFonts w:ascii="Arial" w:hAnsi="Arial" w:cs="Arial"/>
        </w:rPr>
        <w:t>Animals subjected to induced tooth movement (CTL+ITM and MSG+ITM), regardless of obesity status, exhibited more frequent dentin alterations</w:t>
      </w:r>
      <w:r w:rsidR="00031889">
        <w:rPr>
          <w:rFonts w:ascii="Arial" w:hAnsi="Arial" w:cs="Arial"/>
        </w:rPr>
        <w:t xml:space="preserve"> </w:t>
      </w:r>
      <w:r>
        <w:rPr>
          <w:rFonts w:ascii="Arial" w:hAnsi="Arial" w:cs="Arial"/>
        </w:rPr>
        <w:t>such as the presence of tubules with nuclei and formation of reactive dentin</w:t>
      </w:r>
      <w:r w:rsidR="00031889">
        <w:rPr>
          <w:rFonts w:ascii="Arial" w:hAnsi="Arial" w:cs="Arial"/>
        </w:rPr>
        <w:t xml:space="preserve"> </w:t>
      </w:r>
      <w:r>
        <w:rPr>
          <w:rFonts w:ascii="Arial" w:hAnsi="Arial" w:cs="Arial"/>
        </w:rPr>
        <w:t>than animals without ITM.</w:t>
      </w:r>
      <w:r>
        <w:rPr>
          <w:rFonts w:ascii="Arial" w:eastAsia="Times New Roman" w:hAnsi="Arial" w:cs="Arial"/>
        </w:rPr>
        <w:t xml:space="preserve"> </w:t>
      </w:r>
      <w:r>
        <w:rPr>
          <w:rFonts w:ascii="Arial" w:hAnsi="Arial" w:cs="Arial"/>
        </w:rPr>
        <w:t>However, internal root resorption was observed only in the non-obese animals (CTL and CTL+ITM) (Table 3).</w:t>
      </w:r>
    </w:p>
    <w:p w14:paraId="03A9DF4E" w14:textId="77777777" w:rsidR="00687320" w:rsidRDefault="00687320">
      <w:pPr>
        <w:pStyle w:val="NormalWeb"/>
        <w:spacing w:line="360" w:lineRule="auto"/>
        <w:jc w:val="both"/>
        <w:rPr>
          <w:rFonts w:ascii="Arial" w:eastAsia="Times New Roman" w:hAnsi="Arial" w:cs="Arial"/>
        </w:rPr>
      </w:pPr>
    </w:p>
    <w:p w14:paraId="26E87832" w14:textId="77777777" w:rsidR="00687320" w:rsidRDefault="00000000">
      <w:pPr>
        <w:pStyle w:val="NormalWeb"/>
        <w:spacing w:line="360" w:lineRule="auto"/>
        <w:jc w:val="both"/>
        <w:rPr>
          <w:rFonts w:ascii="Arial" w:hAnsi="Arial" w:cs="Arial"/>
          <w:lang w:val="pt-PT"/>
        </w:rPr>
      </w:pPr>
      <w:r>
        <w:rPr>
          <w:rFonts w:ascii="Arial" w:hAnsi="Arial" w:cs="Arial"/>
          <w:b/>
          <w:bCs/>
        </w:rPr>
        <w:t>Table 3.</w:t>
      </w:r>
      <w:r>
        <w:rPr>
          <w:rFonts w:ascii="Arial" w:hAnsi="Arial" w:cs="Arial"/>
        </w:rPr>
        <w:t xml:space="preserve"> Frequency of changes in the dentin-pulp complex observed in different experimental groups. N = 6/group</w:t>
      </w:r>
      <w:r>
        <w:rPr>
          <w:rFonts w:ascii="Arial" w:hAnsi="Arial" w:cs="Arial"/>
          <w:lang w:val="pt-PT"/>
        </w:rPr>
        <w:t>.</w:t>
      </w:r>
    </w:p>
    <w:p w14:paraId="3F57ED3B" w14:textId="77777777" w:rsidR="00687320" w:rsidRDefault="00687320">
      <w:pPr>
        <w:pStyle w:val="NormalWeb"/>
        <w:spacing w:line="360" w:lineRule="auto"/>
        <w:jc w:val="both"/>
        <w:rPr>
          <w:rFonts w:ascii="Arial" w:eastAsia="Times New Roman" w:hAnsi="Arial" w:cs="Arial"/>
        </w:rPr>
      </w:pPr>
    </w:p>
    <w:tbl>
      <w:tblPr>
        <w:tblStyle w:val="TableNormal1"/>
        <w:tblW w:w="779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0"/>
        <w:gridCol w:w="1134"/>
        <w:gridCol w:w="1134"/>
        <w:gridCol w:w="1275"/>
        <w:gridCol w:w="1418"/>
      </w:tblGrid>
      <w:tr w:rsidR="00687320" w14:paraId="797C26BE" w14:textId="77777777">
        <w:trPr>
          <w:trHeight w:val="36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4CCD2" w14:textId="77777777" w:rsidR="00687320" w:rsidRDefault="00000000">
            <w:pPr>
              <w:jc w:val="center"/>
              <w:rPr>
                <w:rFonts w:ascii="Arial" w:hAnsi="Arial" w:cs="Arial"/>
              </w:rPr>
            </w:pPr>
            <w:r>
              <w:rPr>
                <w:rFonts w:ascii="Arial" w:hAnsi="Arial" w:cs="Arial"/>
                <w:b/>
                <w:bCs/>
              </w:rPr>
              <w:t>PULP CHANGES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26CB5" w14:textId="77777777" w:rsidR="00687320" w:rsidRDefault="00687320">
            <w:pPr>
              <w:jc w:val="both"/>
              <w:rPr>
                <w:rFonts w:ascii="Arial" w:eastAsia="Times New Roman" w:hAnsi="Arial" w:cs="Arial"/>
                <w:b/>
                <w:bCs/>
              </w:rPr>
            </w:pPr>
          </w:p>
          <w:p w14:paraId="29311C1E" w14:textId="77777777" w:rsidR="00687320" w:rsidRDefault="00000000">
            <w:pPr>
              <w:jc w:val="both"/>
              <w:rPr>
                <w:rFonts w:ascii="Arial" w:hAnsi="Arial" w:cs="Arial"/>
              </w:rPr>
            </w:pPr>
            <w:r>
              <w:rPr>
                <w:rFonts w:ascii="Arial" w:hAnsi="Arial" w:cs="Arial"/>
                <w:b/>
                <w:bCs/>
              </w:rPr>
              <w:t>CTL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085DC" w14:textId="77777777" w:rsidR="00687320" w:rsidRDefault="00687320">
            <w:pPr>
              <w:jc w:val="both"/>
              <w:rPr>
                <w:rFonts w:ascii="Arial" w:eastAsia="Times New Roman" w:hAnsi="Arial" w:cs="Arial"/>
                <w:b/>
                <w:bCs/>
              </w:rPr>
            </w:pPr>
          </w:p>
          <w:p w14:paraId="00EC3665" w14:textId="77777777" w:rsidR="00687320" w:rsidRDefault="00000000">
            <w:pPr>
              <w:jc w:val="both"/>
              <w:rPr>
                <w:rFonts w:ascii="Arial" w:hAnsi="Arial" w:cs="Arial"/>
              </w:rPr>
            </w:pPr>
            <w:r>
              <w:rPr>
                <w:rFonts w:ascii="Arial" w:hAnsi="Arial" w:cs="Arial"/>
                <w:b/>
                <w:bCs/>
              </w:rPr>
              <w:t>MSG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F82A2" w14:textId="77777777" w:rsidR="00687320" w:rsidRDefault="00687320">
            <w:pPr>
              <w:jc w:val="both"/>
              <w:rPr>
                <w:rFonts w:ascii="Arial" w:eastAsia="Times New Roman" w:hAnsi="Arial" w:cs="Arial"/>
                <w:b/>
                <w:bCs/>
              </w:rPr>
            </w:pPr>
          </w:p>
          <w:p w14:paraId="7F732E55" w14:textId="77777777" w:rsidR="00687320" w:rsidRDefault="00000000">
            <w:pPr>
              <w:jc w:val="both"/>
              <w:rPr>
                <w:rFonts w:ascii="Arial" w:hAnsi="Arial" w:cs="Arial"/>
              </w:rPr>
            </w:pPr>
            <w:r>
              <w:rPr>
                <w:rFonts w:ascii="Arial" w:hAnsi="Arial" w:cs="Arial"/>
                <w:b/>
                <w:bCs/>
              </w:rPr>
              <w:t>CTL+ITM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56209" w14:textId="77777777" w:rsidR="00687320" w:rsidRDefault="00687320">
            <w:pPr>
              <w:jc w:val="both"/>
              <w:rPr>
                <w:rFonts w:ascii="Arial" w:eastAsia="Times New Roman" w:hAnsi="Arial" w:cs="Arial"/>
                <w:b/>
                <w:bCs/>
              </w:rPr>
            </w:pPr>
          </w:p>
          <w:p w14:paraId="2F4EB4D5" w14:textId="77777777" w:rsidR="00687320" w:rsidRDefault="00000000">
            <w:pPr>
              <w:jc w:val="both"/>
              <w:rPr>
                <w:rFonts w:ascii="Arial" w:hAnsi="Arial" w:cs="Arial"/>
              </w:rPr>
            </w:pPr>
            <w:r>
              <w:rPr>
                <w:rFonts w:ascii="Arial" w:hAnsi="Arial" w:cs="Arial"/>
                <w:b/>
                <w:bCs/>
              </w:rPr>
              <w:t>MSG+ITM</w:t>
            </w:r>
          </w:p>
        </w:tc>
      </w:tr>
      <w:tr w:rsidR="00687320" w14:paraId="0A1E3647" w14:textId="77777777">
        <w:trPr>
          <w:trHeight w:val="23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74AC9" w14:textId="77777777" w:rsidR="00687320" w:rsidRDefault="00000000">
            <w:pPr>
              <w:jc w:val="center"/>
              <w:rPr>
                <w:rFonts w:ascii="Arial" w:hAnsi="Arial" w:cs="Arial"/>
              </w:rPr>
            </w:pPr>
            <w:r>
              <w:rPr>
                <w:rFonts w:ascii="Arial" w:hAnsi="Arial" w:cs="Arial"/>
                <w:b/>
                <w:bCs/>
              </w:rPr>
              <w:t>Cellularity Pattern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CD7B7" w14:textId="77777777" w:rsidR="00687320" w:rsidRDefault="00687320">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C4108" w14:textId="77777777" w:rsidR="00687320" w:rsidRDefault="00687320">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77033" w14:textId="77777777" w:rsidR="00687320" w:rsidRDefault="00687320">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83962" w14:textId="77777777" w:rsidR="00687320" w:rsidRDefault="00687320">
            <w:pPr>
              <w:rPr>
                <w:rFonts w:ascii="Arial" w:hAnsi="Arial" w:cs="Arial"/>
              </w:rPr>
            </w:pPr>
          </w:p>
        </w:tc>
      </w:tr>
      <w:tr w:rsidR="00687320" w14:paraId="3EA88A56"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4F4D2" w14:textId="77777777" w:rsidR="00687320" w:rsidRDefault="00000000">
            <w:pPr>
              <w:jc w:val="center"/>
              <w:rPr>
                <w:rFonts w:ascii="Arial" w:hAnsi="Arial" w:cs="Arial"/>
              </w:rPr>
            </w:pPr>
            <w:r>
              <w:rPr>
                <w:rFonts w:ascii="Arial" w:hAnsi="Arial" w:cs="Arial"/>
              </w:rPr>
              <w:t>Inflammatory Infiltrate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0EA83"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195B6" w14:textId="77777777" w:rsidR="00687320" w:rsidRDefault="00000000">
            <w:pPr>
              <w:jc w:val="both"/>
              <w:rPr>
                <w:rFonts w:ascii="Arial" w:hAnsi="Arial" w:cs="Arial"/>
              </w:rPr>
            </w:pPr>
            <w:r>
              <w:rPr>
                <w:rFonts w:ascii="Arial" w:hAnsi="Arial" w:cs="Arial"/>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90CCE" w14:textId="77777777" w:rsidR="00687320" w:rsidRDefault="00000000">
            <w:pPr>
              <w:jc w:val="both"/>
              <w:rPr>
                <w:rFonts w:ascii="Arial" w:hAnsi="Arial" w:cs="Arial"/>
              </w:rPr>
            </w:pPr>
            <w:r>
              <w:rPr>
                <w:rFonts w:ascii="Arial" w:hAnsi="Arial" w:cs="Arial"/>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D22B0" w14:textId="77777777" w:rsidR="00687320" w:rsidRDefault="00000000">
            <w:pPr>
              <w:jc w:val="both"/>
              <w:rPr>
                <w:rFonts w:ascii="Arial" w:hAnsi="Arial" w:cs="Arial"/>
              </w:rPr>
            </w:pPr>
            <w:r>
              <w:rPr>
                <w:rFonts w:ascii="Arial" w:hAnsi="Arial" w:cs="Arial"/>
              </w:rPr>
              <w:t>3/6</w:t>
            </w:r>
          </w:p>
        </w:tc>
      </w:tr>
      <w:tr w:rsidR="00687320" w14:paraId="08879339"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FDB42" w14:textId="77777777" w:rsidR="00687320" w:rsidRDefault="00000000">
            <w:pPr>
              <w:jc w:val="center"/>
              <w:rPr>
                <w:rFonts w:ascii="Arial" w:hAnsi="Arial" w:cs="Arial"/>
              </w:rPr>
            </w:pPr>
            <w:r>
              <w:rPr>
                <w:rFonts w:ascii="Arial" w:hAnsi="Arial" w:cs="Arial"/>
              </w:rPr>
              <w:t>Increased Cellularity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B60E5"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11CF0" w14:textId="77777777" w:rsidR="00687320" w:rsidRDefault="00000000">
            <w:pPr>
              <w:jc w:val="both"/>
              <w:rPr>
                <w:rFonts w:ascii="Arial" w:hAnsi="Arial" w:cs="Arial"/>
              </w:rPr>
            </w:pPr>
            <w:r>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004AB" w14:textId="77777777" w:rsidR="00687320" w:rsidRDefault="00000000">
            <w:pPr>
              <w:jc w:val="both"/>
              <w:rPr>
                <w:rFonts w:ascii="Arial" w:hAnsi="Arial" w:cs="Arial"/>
              </w:rPr>
            </w:pPr>
            <w:r>
              <w:rPr>
                <w:rFonts w:ascii="Arial" w:hAnsi="Arial" w:cs="Arial"/>
              </w:rPr>
              <w:t>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A07" w14:textId="77777777" w:rsidR="00687320" w:rsidRDefault="00000000">
            <w:pPr>
              <w:jc w:val="both"/>
              <w:rPr>
                <w:rFonts w:ascii="Arial" w:hAnsi="Arial" w:cs="Arial"/>
              </w:rPr>
            </w:pPr>
            <w:r>
              <w:rPr>
                <w:rFonts w:ascii="Arial" w:hAnsi="Arial" w:cs="Arial"/>
              </w:rPr>
              <w:t>1/6</w:t>
            </w:r>
          </w:p>
        </w:tc>
      </w:tr>
      <w:tr w:rsidR="00687320" w14:paraId="526AEA90"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7996C" w14:textId="77777777" w:rsidR="00687320" w:rsidRDefault="00000000">
            <w:pPr>
              <w:jc w:val="center"/>
              <w:rPr>
                <w:rFonts w:ascii="Arial" w:hAnsi="Arial" w:cs="Arial"/>
              </w:rPr>
            </w:pPr>
            <w:r>
              <w:rPr>
                <w:rFonts w:ascii="Arial" w:hAnsi="Arial" w:cs="Arial"/>
              </w:rPr>
              <w:t>Increased Fibrosis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5990C"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D1D3A" w14:textId="77777777" w:rsidR="00687320" w:rsidRDefault="00000000">
            <w:pPr>
              <w:jc w:val="both"/>
              <w:rPr>
                <w:rFonts w:ascii="Arial" w:hAnsi="Arial" w:cs="Arial"/>
              </w:rPr>
            </w:pPr>
            <w:r>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718ED" w14:textId="77777777" w:rsidR="00687320" w:rsidRDefault="00000000">
            <w:pPr>
              <w:jc w:val="both"/>
              <w:rPr>
                <w:rFonts w:ascii="Arial" w:hAnsi="Arial" w:cs="Arial"/>
              </w:rPr>
            </w:pPr>
            <w:r>
              <w:rPr>
                <w:rFonts w:ascii="Arial" w:hAnsi="Arial" w:cs="Arial"/>
              </w:rPr>
              <w:t>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43AA7" w14:textId="77777777" w:rsidR="00687320" w:rsidRDefault="00000000">
            <w:pPr>
              <w:jc w:val="both"/>
              <w:rPr>
                <w:rFonts w:ascii="Arial" w:hAnsi="Arial" w:cs="Arial"/>
              </w:rPr>
            </w:pPr>
            <w:r>
              <w:rPr>
                <w:rFonts w:ascii="Arial" w:hAnsi="Arial" w:cs="Arial"/>
              </w:rPr>
              <w:t>0/6</w:t>
            </w:r>
          </w:p>
        </w:tc>
      </w:tr>
      <w:tr w:rsidR="00687320" w14:paraId="1C0E9639" w14:textId="77777777">
        <w:trPr>
          <w:trHeight w:val="36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5849B" w14:textId="77777777" w:rsidR="00687320" w:rsidRDefault="00687320">
            <w:pPr>
              <w:jc w:val="center"/>
              <w:rPr>
                <w:rFonts w:ascii="Arial" w:eastAsia="Times New Roman" w:hAnsi="Arial" w:cs="Arial"/>
                <w:b/>
                <w:bCs/>
              </w:rPr>
            </w:pPr>
          </w:p>
          <w:p w14:paraId="50AD1688" w14:textId="77777777" w:rsidR="00687320" w:rsidRDefault="00000000">
            <w:pPr>
              <w:jc w:val="center"/>
              <w:rPr>
                <w:rFonts w:ascii="Arial" w:hAnsi="Arial" w:cs="Arial"/>
              </w:rPr>
            </w:pPr>
            <w:r>
              <w:rPr>
                <w:rFonts w:ascii="Arial" w:hAnsi="Arial" w:cs="Arial"/>
                <w:b/>
                <w:bCs/>
              </w:rPr>
              <w:t>DYSTROPHIC CHANGES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652A6" w14:textId="77777777" w:rsidR="00687320" w:rsidRDefault="00687320">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D6BB7" w14:textId="77777777" w:rsidR="00687320" w:rsidRDefault="00687320">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A3B47" w14:textId="77777777" w:rsidR="00687320" w:rsidRDefault="00687320">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0C692" w14:textId="77777777" w:rsidR="00687320" w:rsidRDefault="00687320">
            <w:pPr>
              <w:rPr>
                <w:rFonts w:ascii="Arial" w:hAnsi="Arial" w:cs="Arial"/>
              </w:rPr>
            </w:pPr>
          </w:p>
        </w:tc>
      </w:tr>
      <w:tr w:rsidR="00687320" w14:paraId="242E6FC3"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5D19C" w14:textId="77777777" w:rsidR="00687320" w:rsidRDefault="00000000">
            <w:pPr>
              <w:jc w:val="center"/>
              <w:rPr>
                <w:rFonts w:ascii="Arial" w:hAnsi="Arial" w:cs="Arial"/>
              </w:rPr>
            </w:pPr>
            <w:r>
              <w:rPr>
                <w:rFonts w:ascii="Arial" w:hAnsi="Arial" w:cs="Arial"/>
              </w:rPr>
              <w:t>Hyalinization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743C2" w14:textId="77777777" w:rsidR="00687320" w:rsidRDefault="00000000">
            <w:pPr>
              <w:jc w:val="both"/>
              <w:rPr>
                <w:rFonts w:ascii="Arial" w:hAnsi="Arial" w:cs="Arial"/>
              </w:rPr>
            </w:pPr>
            <w:r>
              <w:rPr>
                <w:rFonts w:ascii="Arial" w:hAnsi="Arial" w:cs="Arial"/>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4D81" w14:textId="77777777" w:rsidR="00687320" w:rsidRDefault="00000000">
            <w:pPr>
              <w:jc w:val="both"/>
              <w:rPr>
                <w:rFonts w:ascii="Arial" w:hAnsi="Arial" w:cs="Arial"/>
              </w:rPr>
            </w:pPr>
            <w:r>
              <w:rPr>
                <w:rFonts w:ascii="Arial" w:hAnsi="Arial" w:cs="Arial"/>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D3A83" w14:textId="77777777" w:rsidR="00687320" w:rsidRDefault="00000000">
            <w:pPr>
              <w:jc w:val="both"/>
              <w:rPr>
                <w:rFonts w:ascii="Arial" w:hAnsi="Arial" w:cs="Arial"/>
              </w:rPr>
            </w:pPr>
            <w:r>
              <w:rPr>
                <w:rFonts w:ascii="Arial" w:hAnsi="Arial" w:cs="Arial"/>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A759B" w14:textId="77777777" w:rsidR="00687320" w:rsidRDefault="00000000">
            <w:pPr>
              <w:jc w:val="both"/>
              <w:rPr>
                <w:rFonts w:ascii="Arial" w:hAnsi="Arial" w:cs="Arial"/>
              </w:rPr>
            </w:pPr>
            <w:r>
              <w:rPr>
                <w:rFonts w:ascii="Arial" w:hAnsi="Arial" w:cs="Arial"/>
              </w:rPr>
              <w:t>6/6</w:t>
            </w:r>
          </w:p>
        </w:tc>
      </w:tr>
      <w:tr w:rsidR="00687320" w14:paraId="68D9EBE1"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24503" w14:textId="77777777" w:rsidR="00687320" w:rsidRDefault="00000000">
            <w:pPr>
              <w:jc w:val="center"/>
              <w:rPr>
                <w:rFonts w:ascii="Arial" w:hAnsi="Arial" w:cs="Arial"/>
              </w:rPr>
            </w:pPr>
            <w:r>
              <w:rPr>
                <w:rFonts w:ascii="Arial" w:hAnsi="Arial" w:cs="Arial"/>
                <w:highlight w:val="yellow"/>
              </w:rPr>
              <w:t>Vacuolization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E4E45" w14:textId="77777777" w:rsidR="00687320" w:rsidRDefault="00000000">
            <w:pPr>
              <w:jc w:val="both"/>
              <w:rPr>
                <w:rFonts w:ascii="Arial" w:hAnsi="Arial" w:cs="Arial"/>
              </w:rPr>
            </w:pPr>
            <w:r>
              <w:rPr>
                <w:rFonts w:ascii="Arial" w:hAnsi="Arial" w:cs="Aria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D802A" w14:textId="77777777" w:rsidR="00687320" w:rsidRDefault="00000000">
            <w:pPr>
              <w:jc w:val="both"/>
              <w:rPr>
                <w:rFonts w:ascii="Arial" w:hAnsi="Arial" w:cs="Arial"/>
              </w:rPr>
            </w:pPr>
            <w:r>
              <w:rPr>
                <w:rFonts w:ascii="Arial" w:hAnsi="Arial" w:cs="Arial"/>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A8F98" w14:textId="77777777" w:rsidR="00687320" w:rsidRDefault="00000000">
            <w:pPr>
              <w:jc w:val="both"/>
              <w:rPr>
                <w:rFonts w:ascii="Arial" w:hAnsi="Arial" w:cs="Arial"/>
              </w:rPr>
            </w:pPr>
            <w:r>
              <w:rPr>
                <w:rFonts w:ascii="Arial" w:hAnsi="Arial" w:cs="Arial"/>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386DE" w14:textId="77777777" w:rsidR="00687320" w:rsidRDefault="00000000">
            <w:pPr>
              <w:jc w:val="both"/>
              <w:rPr>
                <w:rFonts w:ascii="Arial" w:hAnsi="Arial" w:cs="Arial"/>
              </w:rPr>
            </w:pPr>
            <w:r>
              <w:rPr>
                <w:rFonts w:ascii="Arial" w:hAnsi="Arial" w:cs="Arial"/>
              </w:rPr>
              <w:t>6/6</w:t>
            </w:r>
          </w:p>
        </w:tc>
      </w:tr>
      <w:tr w:rsidR="00687320" w14:paraId="2A3800E0"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B130C" w14:textId="77777777" w:rsidR="00687320" w:rsidRDefault="00000000">
            <w:pPr>
              <w:jc w:val="center"/>
              <w:rPr>
                <w:rFonts w:ascii="Arial" w:hAnsi="Arial" w:cs="Arial"/>
              </w:rPr>
            </w:pPr>
            <w:r>
              <w:rPr>
                <w:rFonts w:ascii="Arial" w:hAnsi="Arial" w:cs="Arial"/>
              </w:rPr>
              <w:t>Nodules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673F2"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AFAC8" w14:textId="77777777" w:rsidR="00687320" w:rsidRDefault="00000000">
            <w:pPr>
              <w:jc w:val="both"/>
              <w:rPr>
                <w:rFonts w:ascii="Arial" w:hAnsi="Arial" w:cs="Arial"/>
              </w:rPr>
            </w:pPr>
            <w:r>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3ABD7" w14:textId="77777777" w:rsidR="00687320" w:rsidRDefault="00000000">
            <w:pPr>
              <w:jc w:val="both"/>
              <w:rPr>
                <w:rFonts w:ascii="Arial" w:hAnsi="Arial" w:cs="Arial"/>
              </w:rPr>
            </w:pPr>
            <w:r>
              <w:rPr>
                <w:rFonts w:ascii="Arial" w:hAnsi="Arial" w:cs="Arial"/>
              </w:rPr>
              <w:t>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42123" w14:textId="77777777" w:rsidR="00687320" w:rsidRDefault="00000000">
            <w:pPr>
              <w:jc w:val="both"/>
              <w:rPr>
                <w:rFonts w:ascii="Arial" w:hAnsi="Arial" w:cs="Arial"/>
              </w:rPr>
            </w:pPr>
            <w:r>
              <w:rPr>
                <w:rFonts w:ascii="Arial" w:hAnsi="Arial" w:cs="Arial"/>
              </w:rPr>
              <w:t>0/6</w:t>
            </w:r>
          </w:p>
        </w:tc>
      </w:tr>
      <w:tr w:rsidR="00687320" w14:paraId="0537587D"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65DF4" w14:textId="77777777" w:rsidR="00687320" w:rsidRDefault="00000000">
            <w:pPr>
              <w:jc w:val="center"/>
              <w:rPr>
                <w:rFonts w:ascii="Arial" w:hAnsi="Arial" w:cs="Arial"/>
              </w:rPr>
            </w:pPr>
            <w:r>
              <w:rPr>
                <w:rFonts w:ascii="Arial" w:hAnsi="Arial" w:cs="Arial"/>
              </w:rPr>
              <w:t>Diffuse Calcification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F258B"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01F69" w14:textId="77777777" w:rsidR="00687320" w:rsidRDefault="00000000">
            <w:pPr>
              <w:jc w:val="both"/>
              <w:rPr>
                <w:rFonts w:ascii="Arial" w:hAnsi="Arial" w:cs="Arial"/>
              </w:rPr>
            </w:pPr>
            <w:r>
              <w:rPr>
                <w:rFonts w:ascii="Arial" w:hAnsi="Arial" w:cs="Arial"/>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1D7C9" w14:textId="77777777" w:rsidR="00687320" w:rsidRDefault="00000000">
            <w:pPr>
              <w:jc w:val="both"/>
              <w:rPr>
                <w:rFonts w:ascii="Arial" w:hAnsi="Arial" w:cs="Arial"/>
              </w:rPr>
            </w:pPr>
            <w:r>
              <w:rPr>
                <w:rFonts w:ascii="Arial" w:hAnsi="Arial" w:cs="Arial"/>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00F4A" w14:textId="77777777" w:rsidR="00687320" w:rsidRDefault="00000000">
            <w:pPr>
              <w:jc w:val="both"/>
              <w:rPr>
                <w:rFonts w:ascii="Arial" w:hAnsi="Arial" w:cs="Arial"/>
              </w:rPr>
            </w:pPr>
            <w:r>
              <w:rPr>
                <w:rFonts w:ascii="Arial" w:hAnsi="Arial" w:cs="Arial"/>
              </w:rPr>
              <w:t>4/6</w:t>
            </w:r>
          </w:p>
        </w:tc>
      </w:tr>
      <w:tr w:rsidR="00687320" w14:paraId="4C367E25"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A5547" w14:textId="77777777" w:rsidR="00687320" w:rsidRDefault="00000000">
            <w:pPr>
              <w:jc w:val="center"/>
              <w:rPr>
                <w:rFonts w:ascii="Arial" w:hAnsi="Arial" w:cs="Arial"/>
              </w:rPr>
            </w:pPr>
            <w:proofErr w:type="spellStart"/>
            <w:r>
              <w:rPr>
                <w:rFonts w:ascii="Arial" w:hAnsi="Arial" w:cs="Arial"/>
              </w:rPr>
              <w:t>Necros</w:t>
            </w:r>
            <w:r>
              <w:rPr>
                <w:rFonts w:ascii="Arial" w:hAnsi="Arial" w:cs="Arial"/>
                <w:lang w:val="pt-PT"/>
              </w:rPr>
              <w:t>is</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66287"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EB7CD" w14:textId="77777777" w:rsidR="00687320" w:rsidRDefault="00000000">
            <w:pPr>
              <w:jc w:val="both"/>
              <w:rPr>
                <w:rFonts w:ascii="Arial" w:hAnsi="Arial" w:cs="Arial"/>
              </w:rPr>
            </w:pPr>
            <w:r>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DF661" w14:textId="77777777" w:rsidR="00687320" w:rsidRDefault="00000000">
            <w:pPr>
              <w:jc w:val="both"/>
              <w:rPr>
                <w:rFonts w:ascii="Arial" w:hAnsi="Arial" w:cs="Arial"/>
              </w:rPr>
            </w:pPr>
            <w:r>
              <w:rPr>
                <w:rFonts w:ascii="Arial" w:hAnsi="Arial" w:cs="Arial"/>
              </w:rPr>
              <w:t>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1EF4F" w14:textId="77777777" w:rsidR="00687320" w:rsidRDefault="00000000">
            <w:pPr>
              <w:jc w:val="both"/>
              <w:rPr>
                <w:rFonts w:ascii="Arial" w:hAnsi="Arial" w:cs="Arial"/>
              </w:rPr>
            </w:pPr>
            <w:r>
              <w:rPr>
                <w:rFonts w:ascii="Arial" w:hAnsi="Arial" w:cs="Arial"/>
              </w:rPr>
              <w:t>0/6</w:t>
            </w:r>
          </w:p>
        </w:tc>
      </w:tr>
      <w:tr w:rsidR="00687320" w14:paraId="2F97EB44" w14:textId="77777777">
        <w:trPr>
          <w:trHeight w:val="36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2201D" w14:textId="77777777" w:rsidR="00687320" w:rsidRDefault="00687320">
            <w:pPr>
              <w:jc w:val="center"/>
              <w:rPr>
                <w:rFonts w:ascii="Arial" w:eastAsia="Times New Roman" w:hAnsi="Arial" w:cs="Arial"/>
                <w:b/>
                <w:bCs/>
              </w:rPr>
            </w:pPr>
          </w:p>
          <w:p w14:paraId="3DE6EE19" w14:textId="77777777" w:rsidR="00687320" w:rsidRDefault="00000000">
            <w:pPr>
              <w:jc w:val="center"/>
              <w:rPr>
                <w:rFonts w:ascii="Arial" w:hAnsi="Arial" w:cs="Arial"/>
              </w:rPr>
            </w:pPr>
            <w:r>
              <w:rPr>
                <w:rFonts w:ascii="Arial" w:hAnsi="Arial" w:cs="Arial"/>
                <w:b/>
                <w:bCs/>
              </w:rPr>
              <w:t>HEMODYNAMIC CHANGES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90EB2" w14:textId="77777777" w:rsidR="00687320" w:rsidRDefault="00687320">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5A5CC" w14:textId="77777777" w:rsidR="00687320" w:rsidRDefault="00687320">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64281" w14:textId="77777777" w:rsidR="00687320" w:rsidRDefault="00687320">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1F59B" w14:textId="77777777" w:rsidR="00687320" w:rsidRDefault="00687320">
            <w:pPr>
              <w:rPr>
                <w:rFonts w:ascii="Arial" w:hAnsi="Arial" w:cs="Arial"/>
              </w:rPr>
            </w:pPr>
          </w:p>
        </w:tc>
      </w:tr>
      <w:tr w:rsidR="00687320" w14:paraId="6BE30318"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94CC4" w14:textId="77777777" w:rsidR="00687320" w:rsidRDefault="00000000">
            <w:pPr>
              <w:jc w:val="center"/>
              <w:rPr>
                <w:rFonts w:ascii="Arial" w:hAnsi="Arial" w:cs="Arial"/>
              </w:rPr>
            </w:pPr>
            <w:r>
              <w:rPr>
                <w:rFonts w:ascii="Arial" w:hAnsi="Arial" w:cs="Arial"/>
              </w:rPr>
              <w:t>Vascular Congestion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2FCD4" w14:textId="77777777" w:rsidR="00687320" w:rsidRDefault="00000000">
            <w:pPr>
              <w:jc w:val="both"/>
              <w:rPr>
                <w:rFonts w:ascii="Arial" w:hAnsi="Arial" w:cs="Arial"/>
              </w:rPr>
            </w:pPr>
            <w:r>
              <w:rPr>
                <w:rFonts w:ascii="Arial" w:hAnsi="Arial" w:cs="Aria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A3426" w14:textId="77777777" w:rsidR="00687320" w:rsidRDefault="00000000">
            <w:pPr>
              <w:jc w:val="both"/>
              <w:rPr>
                <w:rFonts w:ascii="Arial" w:hAnsi="Arial" w:cs="Arial"/>
              </w:rPr>
            </w:pPr>
            <w:r>
              <w:rPr>
                <w:rFonts w:ascii="Arial" w:hAnsi="Arial" w:cs="Arial"/>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F5531" w14:textId="77777777" w:rsidR="00687320" w:rsidRDefault="00000000">
            <w:pPr>
              <w:jc w:val="both"/>
              <w:rPr>
                <w:rFonts w:ascii="Arial" w:hAnsi="Arial" w:cs="Arial"/>
              </w:rPr>
            </w:pPr>
            <w:r>
              <w:rPr>
                <w:rFonts w:ascii="Arial" w:hAnsi="Arial"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42C43" w14:textId="77777777" w:rsidR="00687320" w:rsidRDefault="00000000">
            <w:pPr>
              <w:jc w:val="both"/>
              <w:rPr>
                <w:rFonts w:ascii="Arial" w:hAnsi="Arial" w:cs="Arial"/>
              </w:rPr>
            </w:pPr>
            <w:r>
              <w:rPr>
                <w:rFonts w:ascii="Arial" w:hAnsi="Arial" w:cs="Arial"/>
              </w:rPr>
              <w:t>6/6</w:t>
            </w:r>
          </w:p>
        </w:tc>
      </w:tr>
      <w:tr w:rsidR="00687320" w14:paraId="285ECEF6"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A9A1D" w14:textId="77777777" w:rsidR="00687320" w:rsidRDefault="00000000">
            <w:pPr>
              <w:jc w:val="center"/>
              <w:rPr>
                <w:rFonts w:ascii="Arial" w:hAnsi="Arial" w:cs="Arial"/>
              </w:rPr>
            </w:pPr>
            <w:r>
              <w:rPr>
                <w:rFonts w:ascii="Arial" w:hAnsi="Arial" w:cs="Arial"/>
              </w:rPr>
              <w:t>Hemorrhage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7480A" w14:textId="77777777" w:rsidR="00687320" w:rsidRDefault="00000000">
            <w:pPr>
              <w:jc w:val="both"/>
              <w:rPr>
                <w:rFonts w:ascii="Arial" w:hAnsi="Arial" w:cs="Arial"/>
              </w:rPr>
            </w:pPr>
            <w:r>
              <w:rPr>
                <w:rFonts w:ascii="Arial" w:hAnsi="Arial" w:cs="Aria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38B11" w14:textId="77777777" w:rsidR="00687320" w:rsidRDefault="00000000">
            <w:pPr>
              <w:jc w:val="both"/>
              <w:rPr>
                <w:rFonts w:ascii="Arial" w:hAnsi="Arial" w:cs="Arial"/>
              </w:rPr>
            </w:pPr>
            <w:r>
              <w:rPr>
                <w:rFonts w:ascii="Arial" w:hAnsi="Arial" w:cs="Arial"/>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AC026" w14:textId="77777777" w:rsidR="00687320" w:rsidRDefault="00000000">
            <w:pPr>
              <w:jc w:val="both"/>
              <w:rPr>
                <w:rFonts w:ascii="Arial" w:hAnsi="Arial" w:cs="Arial"/>
              </w:rPr>
            </w:pPr>
            <w:r>
              <w:rPr>
                <w:rFonts w:ascii="Arial" w:hAnsi="Arial"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A5BC1" w14:textId="77777777" w:rsidR="00687320" w:rsidRDefault="00000000">
            <w:pPr>
              <w:jc w:val="both"/>
              <w:rPr>
                <w:rFonts w:ascii="Arial" w:hAnsi="Arial" w:cs="Arial"/>
              </w:rPr>
            </w:pPr>
            <w:r>
              <w:rPr>
                <w:rFonts w:ascii="Arial" w:hAnsi="Arial" w:cs="Arial"/>
              </w:rPr>
              <w:t>6/6</w:t>
            </w:r>
          </w:p>
        </w:tc>
      </w:tr>
      <w:tr w:rsidR="00687320" w14:paraId="466407B8"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670A8" w14:textId="77777777" w:rsidR="00687320" w:rsidRDefault="00000000">
            <w:pPr>
              <w:jc w:val="center"/>
              <w:rPr>
                <w:rFonts w:ascii="Arial" w:hAnsi="Arial" w:cs="Arial"/>
              </w:rPr>
            </w:pPr>
            <w:r>
              <w:rPr>
                <w:rFonts w:ascii="Arial" w:hAnsi="Arial" w:cs="Arial"/>
              </w:rPr>
              <w:t>Thrombosis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CCD33" w14:textId="77777777" w:rsidR="00687320" w:rsidRDefault="00000000">
            <w:pPr>
              <w:jc w:val="both"/>
              <w:rPr>
                <w:rFonts w:ascii="Arial" w:hAnsi="Arial" w:cs="Arial"/>
              </w:rPr>
            </w:pPr>
            <w:r>
              <w:rPr>
                <w:rFonts w:ascii="Arial" w:hAnsi="Arial" w:cs="Aria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8F426" w14:textId="77777777" w:rsidR="00687320" w:rsidRDefault="00000000">
            <w:pPr>
              <w:jc w:val="both"/>
              <w:rPr>
                <w:rFonts w:ascii="Arial" w:hAnsi="Arial" w:cs="Arial"/>
              </w:rPr>
            </w:pPr>
            <w:r>
              <w:rPr>
                <w:rFonts w:ascii="Arial" w:hAnsi="Arial" w:cs="Arial"/>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B0862" w14:textId="77777777" w:rsidR="00687320" w:rsidRDefault="00000000">
            <w:pPr>
              <w:jc w:val="both"/>
              <w:rPr>
                <w:rFonts w:ascii="Arial" w:hAnsi="Arial" w:cs="Arial"/>
              </w:rPr>
            </w:pPr>
            <w:r>
              <w:rPr>
                <w:rFonts w:ascii="Arial" w:hAnsi="Arial"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D6261" w14:textId="77777777" w:rsidR="00687320" w:rsidRDefault="00000000">
            <w:pPr>
              <w:jc w:val="both"/>
              <w:rPr>
                <w:rFonts w:ascii="Arial" w:hAnsi="Arial" w:cs="Arial"/>
              </w:rPr>
            </w:pPr>
            <w:r>
              <w:rPr>
                <w:rFonts w:ascii="Arial" w:hAnsi="Arial" w:cs="Arial"/>
              </w:rPr>
              <w:t>6/6</w:t>
            </w:r>
          </w:p>
        </w:tc>
      </w:tr>
      <w:tr w:rsidR="00687320" w14:paraId="5703C748" w14:textId="77777777">
        <w:trPr>
          <w:trHeight w:val="36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8E7A7" w14:textId="77777777" w:rsidR="00687320" w:rsidRDefault="00687320">
            <w:pPr>
              <w:jc w:val="center"/>
              <w:rPr>
                <w:rFonts w:ascii="Arial" w:eastAsia="Times New Roman" w:hAnsi="Arial" w:cs="Arial"/>
                <w:b/>
                <w:bCs/>
              </w:rPr>
            </w:pPr>
          </w:p>
          <w:p w14:paraId="4D2BA1EC" w14:textId="77777777" w:rsidR="00687320" w:rsidRDefault="00000000">
            <w:pPr>
              <w:jc w:val="center"/>
              <w:rPr>
                <w:rFonts w:ascii="Arial" w:hAnsi="Arial" w:cs="Arial"/>
              </w:rPr>
            </w:pPr>
            <w:r>
              <w:rPr>
                <w:rFonts w:ascii="Arial" w:hAnsi="Arial" w:cs="Arial"/>
                <w:b/>
                <w:bCs/>
              </w:rPr>
              <w:t>DENTINAL CHANGES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FB3AD" w14:textId="77777777" w:rsidR="00687320" w:rsidRDefault="00687320">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CBEA1" w14:textId="77777777" w:rsidR="00687320" w:rsidRDefault="00687320">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9E49B" w14:textId="77777777" w:rsidR="00687320" w:rsidRDefault="00687320">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D80A" w14:textId="77777777" w:rsidR="00687320" w:rsidRDefault="00687320">
            <w:pPr>
              <w:rPr>
                <w:rFonts w:ascii="Arial" w:hAnsi="Arial" w:cs="Arial"/>
              </w:rPr>
            </w:pPr>
          </w:p>
        </w:tc>
      </w:tr>
      <w:tr w:rsidR="00687320" w14:paraId="223BB835"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0F238" w14:textId="77777777" w:rsidR="00687320" w:rsidRDefault="00000000">
            <w:pPr>
              <w:jc w:val="center"/>
              <w:rPr>
                <w:rFonts w:ascii="Arial" w:hAnsi="Arial" w:cs="Arial"/>
              </w:rPr>
            </w:pPr>
            <w:r>
              <w:rPr>
                <w:rFonts w:ascii="Arial" w:hAnsi="Arial" w:cs="Arial"/>
              </w:rPr>
              <w:t>Reactive Dentin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918C0"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73F64" w14:textId="77777777" w:rsidR="00687320" w:rsidRDefault="00000000">
            <w:pPr>
              <w:jc w:val="both"/>
              <w:rPr>
                <w:rFonts w:ascii="Arial" w:hAnsi="Arial" w:cs="Arial"/>
              </w:rPr>
            </w:pPr>
            <w:r>
              <w:rPr>
                <w:rFonts w:ascii="Arial" w:hAnsi="Arial" w:cs="Arial"/>
              </w:rPr>
              <w:t>4/6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7974C" w14:textId="77777777" w:rsidR="00687320" w:rsidRDefault="00000000">
            <w:pPr>
              <w:jc w:val="both"/>
              <w:rPr>
                <w:rFonts w:ascii="Arial" w:hAnsi="Arial" w:cs="Arial"/>
              </w:rPr>
            </w:pPr>
            <w:r>
              <w:rPr>
                <w:rFonts w:ascii="Arial" w:hAnsi="Arial" w:cs="Arial"/>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432BF" w14:textId="77777777" w:rsidR="00687320" w:rsidRDefault="00000000">
            <w:pPr>
              <w:jc w:val="both"/>
              <w:rPr>
                <w:rFonts w:ascii="Arial" w:hAnsi="Arial" w:cs="Arial"/>
              </w:rPr>
            </w:pPr>
            <w:r>
              <w:rPr>
                <w:rFonts w:ascii="Arial" w:hAnsi="Arial" w:cs="Arial"/>
              </w:rPr>
              <w:t>4/6</w:t>
            </w:r>
          </w:p>
        </w:tc>
      </w:tr>
      <w:tr w:rsidR="00687320" w14:paraId="1C1C2408"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69587" w14:textId="77777777" w:rsidR="00687320" w:rsidRDefault="00000000">
            <w:pPr>
              <w:jc w:val="center"/>
              <w:rPr>
                <w:rFonts w:ascii="Arial" w:hAnsi="Arial" w:cs="Arial"/>
              </w:rPr>
            </w:pPr>
            <w:r>
              <w:rPr>
                <w:rFonts w:ascii="Arial" w:hAnsi="Arial" w:cs="Arial"/>
              </w:rPr>
              <w:t>Tubes with Nucleus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358CC"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27481" w14:textId="77777777" w:rsidR="00687320" w:rsidRDefault="00000000">
            <w:pPr>
              <w:jc w:val="both"/>
              <w:rPr>
                <w:rFonts w:ascii="Arial" w:hAnsi="Arial" w:cs="Arial"/>
              </w:rPr>
            </w:pPr>
            <w:r>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C765E" w14:textId="77777777" w:rsidR="00687320" w:rsidRDefault="00000000">
            <w:pPr>
              <w:jc w:val="both"/>
              <w:rPr>
                <w:rFonts w:ascii="Arial" w:hAnsi="Arial" w:cs="Arial"/>
              </w:rPr>
            </w:pPr>
            <w:r>
              <w:rPr>
                <w:rFonts w:ascii="Arial" w:hAnsi="Arial" w:cs="Arial"/>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5D794" w14:textId="77777777" w:rsidR="00687320" w:rsidRDefault="00000000">
            <w:pPr>
              <w:jc w:val="both"/>
              <w:rPr>
                <w:rFonts w:ascii="Arial" w:hAnsi="Arial" w:cs="Arial"/>
              </w:rPr>
            </w:pPr>
            <w:r>
              <w:rPr>
                <w:rFonts w:ascii="Arial" w:hAnsi="Arial" w:cs="Arial"/>
              </w:rPr>
              <w:t>1/6</w:t>
            </w:r>
          </w:p>
        </w:tc>
      </w:tr>
      <w:tr w:rsidR="00687320" w14:paraId="67C19C51" w14:textId="77777777">
        <w:trPr>
          <w:trHeight w:val="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F0385" w14:textId="77777777" w:rsidR="00687320" w:rsidRDefault="00000000">
            <w:pPr>
              <w:jc w:val="center"/>
              <w:rPr>
                <w:rFonts w:ascii="Arial" w:hAnsi="Arial" w:cs="Arial"/>
              </w:rPr>
            </w:pPr>
            <w:r>
              <w:rPr>
                <w:rFonts w:ascii="Arial" w:hAnsi="Arial" w:cs="Arial"/>
              </w:rPr>
              <w:t>Internal Resorption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7037F" w14:textId="77777777" w:rsidR="00687320" w:rsidRDefault="00000000">
            <w:pPr>
              <w:jc w:val="both"/>
              <w:rPr>
                <w:rFonts w:ascii="Arial" w:hAnsi="Arial" w:cs="Arial"/>
              </w:rPr>
            </w:pPr>
            <w:r>
              <w:rPr>
                <w:rFonts w:ascii="Arial" w:hAnsi="Arial" w:cs="Arial"/>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F47A" w14:textId="77777777" w:rsidR="00687320" w:rsidRDefault="00000000">
            <w:pPr>
              <w:jc w:val="both"/>
              <w:rPr>
                <w:rFonts w:ascii="Arial" w:hAnsi="Arial" w:cs="Arial"/>
              </w:rPr>
            </w:pPr>
            <w:r>
              <w:rPr>
                <w:rFonts w:ascii="Arial" w:hAnsi="Arial" w:cs="Arial"/>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8E841" w14:textId="77777777" w:rsidR="00687320" w:rsidRDefault="00000000">
            <w:pPr>
              <w:jc w:val="both"/>
              <w:rPr>
                <w:rFonts w:ascii="Arial" w:hAnsi="Arial" w:cs="Arial"/>
              </w:rPr>
            </w:pPr>
            <w:r>
              <w:rPr>
                <w:rFonts w:ascii="Arial" w:hAnsi="Arial" w:cs="Arial"/>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2C9B9" w14:textId="77777777" w:rsidR="00687320" w:rsidRDefault="00000000">
            <w:pPr>
              <w:jc w:val="both"/>
              <w:rPr>
                <w:rFonts w:ascii="Arial" w:hAnsi="Arial" w:cs="Arial"/>
              </w:rPr>
            </w:pPr>
            <w:r>
              <w:rPr>
                <w:rFonts w:ascii="Arial" w:hAnsi="Arial" w:cs="Arial"/>
              </w:rPr>
              <w:t>0/6</w:t>
            </w:r>
          </w:p>
        </w:tc>
      </w:tr>
    </w:tbl>
    <w:p w14:paraId="0996AEAA" w14:textId="77777777" w:rsidR="00687320" w:rsidRDefault="00687320">
      <w:pPr>
        <w:pStyle w:val="NormalWeb"/>
        <w:widowControl w:val="0"/>
        <w:jc w:val="center"/>
        <w:rPr>
          <w:rFonts w:ascii="Arial" w:eastAsia="Times New Roman" w:hAnsi="Arial" w:cs="Arial"/>
        </w:rPr>
      </w:pPr>
    </w:p>
    <w:p w14:paraId="74B75E10" w14:textId="77777777" w:rsidR="00687320" w:rsidRDefault="00687320">
      <w:pPr>
        <w:pStyle w:val="NormalWeb"/>
        <w:rPr>
          <w:rFonts w:ascii="Arial" w:eastAsia="SimSun" w:hAnsi="Arial" w:cs="Arial"/>
          <w:lang w:val="pt-PT"/>
        </w:rPr>
      </w:pPr>
    </w:p>
    <w:p w14:paraId="39A06F65" w14:textId="77777777" w:rsidR="00687320" w:rsidRDefault="00687320">
      <w:pPr>
        <w:pStyle w:val="NormalWeb"/>
        <w:rPr>
          <w:rFonts w:ascii="Arial" w:eastAsia="SimSun" w:hAnsi="Arial" w:cs="Arial"/>
          <w:lang w:val="pt-PT"/>
        </w:rPr>
      </w:pPr>
    </w:p>
    <w:p w14:paraId="5ADE389A" w14:textId="77777777" w:rsidR="00687320" w:rsidRDefault="00687320">
      <w:pPr>
        <w:pStyle w:val="NormalWeb"/>
        <w:rPr>
          <w:rFonts w:ascii="Arial" w:eastAsia="SimSun" w:hAnsi="Arial" w:cs="Arial"/>
          <w:lang w:val="pt-PT"/>
        </w:rPr>
      </w:pPr>
    </w:p>
    <w:p w14:paraId="1A2E4DA8" w14:textId="77777777" w:rsidR="00687320" w:rsidRDefault="00687320">
      <w:pPr>
        <w:pStyle w:val="NormalWeb"/>
        <w:rPr>
          <w:rFonts w:ascii="Arial" w:eastAsia="SimSun" w:hAnsi="Arial" w:cs="Arial"/>
          <w:lang w:val="pt-PT"/>
        </w:rPr>
      </w:pPr>
    </w:p>
    <w:p w14:paraId="7D65D41C" w14:textId="77777777" w:rsidR="00687320" w:rsidRDefault="00687320">
      <w:pPr>
        <w:pStyle w:val="NormalWeb"/>
        <w:rPr>
          <w:rFonts w:ascii="Arial" w:eastAsia="SimSun" w:hAnsi="Arial" w:cs="Arial"/>
          <w:lang w:val="pt-PT"/>
        </w:rPr>
      </w:pPr>
    </w:p>
    <w:p w14:paraId="46872B36" w14:textId="77777777" w:rsidR="00687320" w:rsidRDefault="00687320">
      <w:pPr>
        <w:pStyle w:val="NormalWeb"/>
        <w:rPr>
          <w:rFonts w:ascii="Arial" w:eastAsia="SimSun" w:hAnsi="Arial" w:cs="Arial"/>
          <w:lang w:val="pt-PT"/>
        </w:rPr>
      </w:pPr>
    </w:p>
    <w:p w14:paraId="4A9185F7" w14:textId="77777777" w:rsidR="00687320" w:rsidRDefault="00687320">
      <w:pPr>
        <w:pStyle w:val="NormalWeb"/>
        <w:rPr>
          <w:rFonts w:ascii="Arial" w:eastAsia="SimSun" w:hAnsi="Arial" w:cs="Arial"/>
          <w:lang w:val="pt-PT"/>
        </w:rPr>
      </w:pPr>
    </w:p>
    <w:p w14:paraId="4BCD3C48" w14:textId="77777777" w:rsidR="00687320" w:rsidRDefault="00687320">
      <w:pPr>
        <w:pStyle w:val="NormalWeb"/>
        <w:rPr>
          <w:rFonts w:ascii="Arial" w:eastAsia="SimSun" w:hAnsi="Arial" w:cs="Arial"/>
          <w:lang w:val="pt-PT"/>
        </w:rPr>
      </w:pPr>
    </w:p>
    <w:p w14:paraId="1B8E710C" w14:textId="77777777" w:rsidR="00687320" w:rsidRDefault="00687320">
      <w:pPr>
        <w:pStyle w:val="NormalWeb"/>
        <w:rPr>
          <w:rFonts w:ascii="Arial" w:eastAsia="SimSun" w:hAnsi="Arial" w:cs="Arial"/>
          <w:lang w:val="pt-PT"/>
        </w:rPr>
      </w:pPr>
    </w:p>
    <w:p w14:paraId="42939980" w14:textId="77777777" w:rsidR="00687320" w:rsidRDefault="00000000">
      <w:pPr>
        <w:pStyle w:val="NormalWeb"/>
        <w:spacing w:line="480" w:lineRule="auto"/>
        <w:jc w:val="both"/>
        <w:rPr>
          <w:rFonts w:ascii="Arial" w:eastAsia="Times New Roman" w:hAnsi="Arial" w:cs="Arial"/>
        </w:rPr>
      </w:pPr>
      <w:r>
        <w:rPr>
          <w:rFonts w:ascii="Arial" w:hAnsi="Arial" w:cs="Arial"/>
          <w:b/>
          <w:bCs/>
        </w:rPr>
        <w:t>4. DISCUSSION</w:t>
      </w:r>
    </w:p>
    <w:p w14:paraId="3374898F"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Animals in the MSG groups exhibited increased Lee index and greater retroperitoneal and perigonadal fat deposits, confirming the success of the obesity induction model. The administration of monosodium glutamate in rodents is widely used to induce lesions in the arcuate nucleus and median eminence of the hypothalamus, resulting in the development of hypothalamic obesity. Consequently, the animals display excessive fat accumulation, disturbances in energy absorption and expenditure mechanisms, insulin resistance, and impaired satiety regulation </w:t>
      </w:r>
      <w:r>
        <w:rPr>
          <w:rFonts w:ascii="Arial" w:hAnsi="Arial" w:cs="Arial"/>
          <w:lang w:val="pt-BR"/>
        </w:rPr>
        <w:t>[36,</w:t>
      </w:r>
      <w:r>
        <w:rPr>
          <w:rFonts w:ascii="Arial" w:hAnsi="Arial" w:cs="Arial"/>
        </w:rPr>
        <w:t xml:space="preserve"> </w:t>
      </w:r>
      <w:r>
        <w:rPr>
          <w:rFonts w:ascii="Arial" w:hAnsi="Arial" w:cs="Arial"/>
          <w:lang w:val="pt-BR"/>
        </w:rPr>
        <w:t>37,</w:t>
      </w:r>
      <w:r>
        <w:rPr>
          <w:rFonts w:ascii="Arial" w:hAnsi="Arial" w:cs="Arial"/>
        </w:rPr>
        <w:t xml:space="preserve"> </w:t>
      </w:r>
      <w:r>
        <w:rPr>
          <w:rFonts w:ascii="Arial" w:hAnsi="Arial" w:cs="Arial"/>
          <w:lang w:val="pt-BR"/>
        </w:rPr>
        <w:t>38]</w:t>
      </w:r>
      <w:r>
        <w:rPr>
          <w:rFonts w:ascii="Arial" w:hAnsi="Arial" w:cs="Arial"/>
        </w:rPr>
        <w:t>.</w:t>
      </w:r>
    </w:p>
    <w:p w14:paraId="18CE066C"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In the analysis of tooth movement, obese animals (MSG+ITM) exhibited a lower rate of movement compared to non-obese animals. This finding suggests that, although obesity is considered a health risk factor, it may exert a protective effect on bone tissue </w:t>
      </w:r>
      <w:r>
        <w:rPr>
          <w:rFonts w:ascii="Arial" w:hAnsi="Arial" w:cs="Arial"/>
          <w:lang w:val="pt-BR"/>
        </w:rPr>
        <w:t>[39, 40, 41]</w:t>
      </w:r>
      <w:r>
        <w:rPr>
          <w:rFonts w:ascii="Arial" w:hAnsi="Arial" w:cs="Arial"/>
        </w:rPr>
        <w:t xml:space="preserve">. In such cases, a positive correlation is observed between increased body mass index and higher bone mineral density, with the mechanical load associated with excess weight acting as a stimulatory factor for bone formation and maintenance </w:t>
      </w:r>
      <w:r>
        <w:rPr>
          <w:rFonts w:ascii="Arial" w:hAnsi="Arial" w:cs="Arial"/>
          <w:lang w:val="pt-BR"/>
        </w:rPr>
        <w:t>[40, 42, 43]</w:t>
      </w:r>
      <w:r>
        <w:rPr>
          <w:rFonts w:ascii="Arial" w:hAnsi="Arial" w:cs="Arial"/>
        </w:rPr>
        <w:t>.</w:t>
      </w:r>
    </w:p>
    <w:p w14:paraId="32D91E0C"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Obese animals subjected to tooth movement (MSG+ITM) showed higher frequencies of mild inflammatory infiltrate and increased cellularity. The orthodontic force applied likely induced hypoxia in the pulp tissue by compressing apical blood vessels, triggering an inflammatory response </w:t>
      </w:r>
      <w:r>
        <w:rPr>
          <w:rFonts w:ascii="Arial" w:hAnsi="Arial" w:cs="Arial"/>
          <w:lang w:val="pt-BR"/>
        </w:rPr>
        <w:t>[44]</w:t>
      </w:r>
      <w:r>
        <w:rPr>
          <w:rFonts w:ascii="Arial" w:hAnsi="Arial" w:cs="Arial"/>
        </w:rPr>
        <w:t xml:space="preserve">. Furthermore, the greater incidence of inflammatory processes in the MSG+ITM group compared to non-obese animals can be attributed to the secretion of cytokines and leptin by adipose tissue into the bloodstream, which may promote and intensify inflammation </w:t>
      </w:r>
      <w:r>
        <w:rPr>
          <w:rFonts w:ascii="Arial" w:hAnsi="Arial" w:cs="Arial"/>
          <w:lang w:val="pt-BR"/>
        </w:rPr>
        <w:t>[45]</w:t>
      </w:r>
      <w:r>
        <w:rPr>
          <w:rFonts w:ascii="Arial" w:hAnsi="Arial" w:cs="Arial"/>
        </w:rPr>
        <w:t xml:space="preserve">. Loss of adipose tissue homeostasis increases and activates immune cells, leading to altered immune function in obesity </w:t>
      </w:r>
      <w:r>
        <w:rPr>
          <w:rFonts w:ascii="Arial" w:hAnsi="Arial" w:cs="Arial"/>
          <w:lang w:val="pt-BR"/>
        </w:rPr>
        <w:t>[46, 47]</w:t>
      </w:r>
      <w:r>
        <w:rPr>
          <w:rFonts w:ascii="Arial" w:hAnsi="Arial" w:cs="Arial"/>
        </w:rPr>
        <w:t>.</w:t>
      </w:r>
    </w:p>
    <w:p w14:paraId="4E6290C5"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The MSG+ITM group also showed a higher frequency of dystrophic changes, such as diffuse calcification, vacuolization, and hyalinization compared to the other groups. Pulp calcification is known to occur around degenerating cells, blood clots, or collagen fibers, characterizing dystrophic calcification </w:t>
      </w:r>
      <w:r>
        <w:rPr>
          <w:rFonts w:ascii="Arial" w:hAnsi="Arial" w:cs="Arial"/>
          <w:lang w:val="pt-BR"/>
        </w:rPr>
        <w:t>[48]</w:t>
      </w:r>
      <w:r>
        <w:rPr>
          <w:rFonts w:ascii="Arial" w:hAnsi="Arial" w:cs="Arial"/>
        </w:rPr>
        <w:t>. Cellular vacuolization is one of the earliest histological signs of reversible cell injury due to hypoxia and impaired aerobic respiration. This swelling results from dysfunction of plasma membrane ion pumps, particularly the sodium-potassium pump (Na</w:t>
      </w:r>
      <w:r>
        <w:rPr>
          <w:rFonts w:ascii="Cambria Math" w:hAnsi="Cambria Math" w:cs="Cambria Math"/>
        </w:rPr>
        <w:t>⁺</w:t>
      </w:r>
      <w:r>
        <w:rPr>
          <w:rFonts w:ascii="Arial" w:hAnsi="Arial" w:cs="Arial"/>
        </w:rPr>
        <w:t>/K</w:t>
      </w:r>
      <w:r>
        <w:rPr>
          <w:rFonts w:ascii="Cambria Math" w:hAnsi="Cambria Math" w:cs="Cambria Math"/>
        </w:rPr>
        <w:t>⁺</w:t>
      </w:r>
      <w:r>
        <w:rPr>
          <w:rFonts w:ascii="Arial" w:hAnsi="Arial" w:cs="Arial"/>
        </w:rPr>
        <w:t xml:space="preserve">-ATPase), leading to intracellular accumulation of ions and water. </w:t>
      </w:r>
      <w:r>
        <w:rPr>
          <w:rFonts w:ascii="Arial" w:hAnsi="Arial" w:cs="Arial"/>
        </w:rPr>
        <w:lastRenderedPageBreak/>
        <w:t>Increased lipid storage contributes to adipocyte hypertrophy, hypoxia, and elevated cell death, culminating in low ATP production, which explains the dysfunction of these ion pumps</w:t>
      </w:r>
      <w:r>
        <w:rPr>
          <w:rFonts w:ascii="Arial" w:hAnsi="Arial" w:cs="Arial"/>
          <w:lang w:val="pt-BR"/>
        </w:rPr>
        <w:t xml:space="preserve"> [49,</w:t>
      </w:r>
      <w:r>
        <w:rPr>
          <w:rFonts w:ascii="Arial" w:hAnsi="Arial" w:cs="Arial"/>
        </w:rPr>
        <w:t xml:space="preserve"> </w:t>
      </w:r>
      <w:r>
        <w:rPr>
          <w:rFonts w:ascii="Arial" w:hAnsi="Arial" w:cs="Arial"/>
          <w:lang w:val="pt-BR"/>
        </w:rPr>
        <w:t>50]</w:t>
      </w:r>
      <w:r>
        <w:rPr>
          <w:rFonts w:ascii="Arial" w:hAnsi="Arial" w:cs="Arial"/>
        </w:rPr>
        <w:t>.</w:t>
      </w:r>
    </w:p>
    <w:p w14:paraId="3658AA50"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Hyalinization refers to the deposition of homogeneous, eosinophilic, glassy material, often associated with pathological changes that impair vascular integrity and function </w:t>
      </w:r>
      <w:r>
        <w:rPr>
          <w:rFonts w:ascii="Arial" w:hAnsi="Arial" w:cs="Arial"/>
          <w:lang w:val="pt-BR"/>
        </w:rPr>
        <w:t>[51, 17]</w:t>
      </w:r>
      <w:r>
        <w:rPr>
          <w:rFonts w:ascii="Arial" w:hAnsi="Arial" w:cs="Arial"/>
        </w:rPr>
        <w:t xml:space="preserve">. Pulp aging, which may be accelerated by trauma, results in reduced cellularity due to gradual apical foramen closure, compromising nutrition and favoring hyalinization, fibrosis, and pulp nodule formation </w:t>
      </w:r>
      <w:r>
        <w:rPr>
          <w:rFonts w:ascii="Arial" w:hAnsi="Arial" w:cs="Arial"/>
          <w:lang w:val="pt-BR"/>
        </w:rPr>
        <w:t>[52]</w:t>
      </w:r>
      <w:r>
        <w:rPr>
          <w:rFonts w:ascii="Arial" w:hAnsi="Arial" w:cs="Arial"/>
        </w:rPr>
        <w:t>.</w:t>
      </w:r>
    </w:p>
    <w:p w14:paraId="028A8340"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The MSG+ITM group also showed a higher frequency of hemodynamic changes, including vascular congestion, hemorrhage, and thrombosis. Vascular congestion occurs when interstitial fluid is displaced in response to increased blood flow, characterizing an acute inflammatory reaction </w:t>
      </w:r>
      <w:r>
        <w:rPr>
          <w:rFonts w:ascii="Arial" w:hAnsi="Arial" w:cs="Arial"/>
          <w:lang w:val="pt-BR"/>
        </w:rPr>
        <w:t>[53]</w:t>
      </w:r>
      <w:r>
        <w:rPr>
          <w:rFonts w:ascii="Arial" w:hAnsi="Arial" w:cs="Arial"/>
        </w:rPr>
        <w:t>.</w:t>
      </w:r>
    </w:p>
    <w:p w14:paraId="16D9ECF8" w14:textId="0F4A90B7" w:rsidR="00687320" w:rsidRDefault="00000000">
      <w:pPr>
        <w:pStyle w:val="NormalWeb"/>
        <w:spacing w:line="480" w:lineRule="auto"/>
        <w:ind w:firstLine="708"/>
        <w:jc w:val="both"/>
        <w:rPr>
          <w:rFonts w:ascii="Arial" w:eastAsia="Times New Roman" w:hAnsi="Arial" w:cs="Arial"/>
        </w:rPr>
      </w:pPr>
      <w:r>
        <w:rPr>
          <w:rFonts w:ascii="Arial" w:hAnsi="Arial" w:cs="Arial"/>
        </w:rPr>
        <w:t>In obesity, the interplay between metabolism and the immune system becomes dysregulated, as adipocytes</w:t>
      </w:r>
      <w:r w:rsidR="00DB0084">
        <w:rPr>
          <w:rFonts w:ascii="Arial" w:hAnsi="Arial" w:cs="Arial"/>
        </w:rPr>
        <w:t xml:space="preserve"> </w:t>
      </w:r>
      <w:r>
        <w:rPr>
          <w:rFonts w:ascii="Arial" w:hAnsi="Arial" w:cs="Arial"/>
        </w:rPr>
        <w:t>the primary cells of adipose tissue</w:t>
      </w:r>
      <w:r w:rsidR="00DB0084">
        <w:rPr>
          <w:rFonts w:ascii="Arial" w:hAnsi="Arial" w:cs="Arial"/>
        </w:rPr>
        <w:t xml:space="preserve"> </w:t>
      </w:r>
      <w:r>
        <w:rPr>
          <w:rFonts w:ascii="Arial" w:hAnsi="Arial" w:cs="Arial"/>
        </w:rPr>
        <w:t xml:space="preserve">possess endocrine functions and can release various adipokines such as leptin, adiponectin, and </w:t>
      </w:r>
      <w:proofErr w:type="spellStart"/>
      <w:r>
        <w:rPr>
          <w:rFonts w:ascii="Arial" w:hAnsi="Arial" w:cs="Arial"/>
        </w:rPr>
        <w:t>resistin</w:t>
      </w:r>
      <w:proofErr w:type="spellEnd"/>
      <w:r>
        <w:rPr>
          <w:rFonts w:ascii="Arial" w:hAnsi="Arial" w:cs="Arial"/>
        </w:rPr>
        <w:t xml:space="preserve">, which directly influence the acute inflammatory process </w:t>
      </w:r>
      <w:r>
        <w:rPr>
          <w:rFonts w:ascii="Arial" w:hAnsi="Arial" w:cs="Arial"/>
          <w:lang w:val="pt-BR"/>
        </w:rPr>
        <w:t>[54, 55, 50]</w:t>
      </w:r>
      <w:r>
        <w:rPr>
          <w:rFonts w:ascii="Arial" w:hAnsi="Arial" w:cs="Arial"/>
        </w:rPr>
        <w:t>.</w:t>
      </w:r>
    </w:p>
    <w:p w14:paraId="41649AD9" w14:textId="77777777"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Additionally, vascular congestion, thrombosis, and hemorrhage may stem from alterations in the dental pulp microcirculation, resulting in elevated tissue pressure. This pressure can compromise vascular integrity, leading to rupture of the endothelial lining and hemorrhage. However, no evidence of pulp necrosis was found, suggesting that the observed alterations are consistent with reversible pulpitis. This implies that the pulp tissue is capable of full recovery if the harmful stimuli are eliminated </w:t>
      </w:r>
      <w:r>
        <w:rPr>
          <w:rFonts w:ascii="Arial" w:hAnsi="Arial" w:cs="Arial"/>
          <w:lang w:val="pt-BR"/>
        </w:rPr>
        <w:t>[56, 51, 17]</w:t>
      </w:r>
      <w:r>
        <w:rPr>
          <w:rFonts w:ascii="Arial" w:hAnsi="Arial" w:cs="Arial"/>
        </w:rPr>
        <w:t>.</w:t>
      </w:r>
    </w:p>
    <w:p w14:paraId="4B953C84" w14:textId="00F24D21" w:rsidR="00687320" w:rsidRDefault="00000000">
      <w:pPr>
        <w:pStyle w:val="NormalWeb"/>
        <w:spacing w:line="480" w:lineRule="auto"/>
        <w:ind w:firstLine="708"/>
        <w:jc w:val="both"/>
        <w:rPr>
          <w:rFonts w:ascii="Arial" w:eastAsia="Times New Roman" w:hAnsi="Arial" w:cs="Arial"/>
        </w:rPr>
      </w:pPr>
      <w:r>
        <w:rPr>
          <w:rFonts w:ascii="Arial" w:hAnsi="Arial" w:cs="Arial"/>
        </w:rPr>
        <w:t xml:space="preserve">In this study, the formation of reactionary dentin was observed in </w:t>
      </w:r>
      <w:r w:rsidR="00F35D6E">
        <w:rPr>
          <w:rFonts w:ascii="Arial" w:hAnsi="Arial" w:cs="Arial"/>
        </w:rPr>
        <w:t>groups</w:t>
      </w:r>
      <w:r>
        <w:rPr>
          <w:rFonts w:ascii="Arial" w:hAnsi="Arial" w:cs="Arial"/>
        </w:rPr>
        <w:t xml:space="preserve"> with obesity and induced tooth movement (MSG, CTL+ITM, MSG+ITM). Odontoblasts play a central role in the production of the dentin matrix throughout the tooth’s lifespan. Under physiological conditions, this process occurs slowly and continuously, characterizing secondary dentin formation. However, in response to non-physiological stimuli, such as orthodontic forces, odontoblasts become more active and initiate the production of tertiary dentin</w:t>
      </w:r>
      <w:r w:rsidR="00DB0084">
        <w:rPr>
          <w:rFonts w:ascii="Arial" w:hAnsi="Arial" w:cs="Arial"/>
        </w:rPr>
        <w:t xml:space="preserve"> </w:t>
      </w:r>
      <w:r>
        <w:rPr>
          <w:rFonts w:ascii="Arial" w:hAnsi="Arial" w:cs="Arial"/>
        </w:rPr>
        <w:t xml:space="preserve">classified as reactionary or reparative </w:t>
      </w:r>
      <w:r>
        <w:rPr>
          <w:rFonts w:ascii="Arial" w:hAnsi="Arial" w:cs="Arial"/>
          <w:lang w:val="pt-BR"/>
        </w:rPr>
        <w:t>[57]</w:t>
      </w:r>
      <w:r>
        <w:rPr>
          <w:rFonts w:ascii="Arial" w:hAnsi="Arial" w:cs="Arial"/>
        </w:rPr>
        <w:t xml:space="preserve">. The application of light orthodontic forces promotes the release of calcitonin gene-related peptide (CGRP), which can stimulate dentin deposition by odontoblasts as a protective mechanism </w:t>
      </w:r>
      <w:r>
        <w:rPr>
          <w:rFonts w:ascii="Arial" w:hAnsi="Arial" w:cs="Arial"/>
          <w:lang w:val="pt-BR"/>
        </w:rPr>
        <w:t>[17]</w:t>
      </w:r>
      <w:r>
        <w:rPr>
          <w:rFonts w:ascii="Arial" w:hAnsi="Arial" w:cs="Arial"/>
        </w:rPr>
        <w:t>.</w:t>
      </w:r>
    </w:p>
    <w:p w14:paraId="373F6AF2" w14:textId="0D25B3AA" w:rsidR="00687320" w:rsidRDefault="00000000">
      <w:pPr>
        <w:pStyle w:val="NormalWeb"/>
        <w:spacing w:line="480" w:lineRule="auto"/>
        <w:ind w:firstLine="708"/>
        <w:jc w:val="both"/>
        <w:rPr>
          <w:rFonts w:ascii="Arial" w:hAnsi="Arial" w:cs="Arial"/>
        </w:rPr>
      </w:pPr>
      <w:r>
        <w:rPr>
          <w:rFonts w:ascii="Arial" w:hAnsi="Arial" w:cs="Arial"/>
        </w:rPr>
        <w:lastRenderedPageBreak/>
        <w:t xml:space="preserve">Therefore, orthodontists should pay closer attention to procedures performed on patients with overweight or obesity, ensuring careful monitoring throughout the treatment period. It is important to recognize that obesity is </w:t>
      </w:r>
      <w:r w:rsidR="00FC00FF">
        <w:rPr>
          <w:rFonts w:ascii="Arial" w:hAnsi="Arial" w:cs="Arial"/>
        </w:rPr>
        <w:t>linked</w:t>
      </w:r>
      <w:r>
        <w:rPr>
          <w:rFonts w:ascii="Arial" w:hAnsi="Arial" w:cs="Arial"/>
        </w:rPr>
        <w:t xml:space="preserve"> to the immune system and, like dental movement, influences systemic inflammatory </w:t>
      </w:r>
      <w:r w:rsidR="00FC00FF">
        <w:rPr>
          <w:rFonts w:ascii="Arial" w:hAnsi="Arial" w:cs="Arial"/>
        </w:rPr>
        <w:t xml:space="preserve">responses, </w:t>
      </w:r>
      <w:r>
        <w:rPr>
          <w:rFonts w:ascii="Arial" w:hAnsi="Arial" w:cs="Arial"/>
        </w:rPr>
        <w:t>including those in the oral cavity</w:t>
      </w:r>
      <w:r w:rsidR="00FC00FF">
        <w:rPr>
          <w:rFonts w:ascii="Arial" w:hAnsi="Arial" w:cs="Arial"/>
        </w:rPr>
        <w:t xml:space="preserve"> </w:t>
      </w:r>
      <w:r>
        <w:rPr>
          <w:rFonts w:ascii="Arial" w:hAnsi="Arial" w:cs="Arial"/>
        </w:rPr>
        <w:t>which can affect pulp tissue integrity.</w:t>
      </w:r>
    </w:p>
    <w:p w14:paraId="16F69B56" w14:textId="77777777" w:rsidR="00687320" w:rsidRDefault="00687320">
      <w:pPr>
        <w:pStyle w:val="NormalWeb"/>
        <w:spacing w:line="480" w:lineRule="auto"/>
        <w:ind w:firstLine="708"/>
        <w:jc w:val="both"/>
        <w:rPr>
          <w:rFonts w:ascii="Arial" w:eastAsia="Times New Roman" w:hAnsi="Arial" w:cs="Arial"/>
        </w:rPr>
      </w:pPr>
    </w:p>
    <w:p w14:paraId="0DB1E86B" w14:textId="77777777" w:rsidR="00687320" w:rsidRDefault="00000000">
      <w:pPr>
        <w:pStyle w:val="NormalWeb"/>
        <w:spacing w:line="480" w:lineRule="auto"/>
        <w:rPr>
          <w:rFonts w:ascii="Arial" w:hAnsi="Arial" w:cs="Arial"/>
          <w:b/>
          <w:bCs/>
        </w:rPr>
      </w:pPr>
      <w:r>
        <w:rPr>
          <w:rFonts w:ascii="Arial" w:hAnsi="Arial" w:cs="Arial"/>
          <w:b/>
          <w:bCs/>
        </w:rPr>
        <w:t>5. CONCLUSION</w:t>
      </w:r>
    </w:p>
    <w:p w14:paraId="7D2E10DB" w14:textId="77777777" w:rsidR="00687320" w:rsidRDefault="00000000">
      <w:pPr>
        <w:pStyle w:val="NormalWeb"/>
        <w:spacing w:line="480" w:lineRule="auto"/>
        <w:ind w:firstLine="708"/>
        <w:rPr>
          <w:rFonts w:ascii="Arial" w:hAnsi="Arial" w:cs="Arial"/>
        </w:rPr>
      </w:pPr>
      <w:r>
        <w:rPr>
          <w:rFonts w:ascii="Arial" w:hAnsi="Arial" w:cs="Arial"/>
        </w:rPr>
        <w:t>Hypothalamic obesity associated with induced tooth movement results in reduced tooth movement and increased occurrences of inflammatory infiltrate, as well as dystrophic and hemodynamic changes in the dental pulp.</w:t>
      </w:r>
    </w:p>
    <w:p w14:paraId="6B49A667" w14:textId="77777777" w:rsidR="00687320" w:rsidRDefault="00687320">
      <w:pPr>
        <w:pStyle w:val="NormalWeb"/>
        <w:spacing w:line="480" w:lineRule="auto"/>
        <w:ind w:firstLine="708"/>
        <w:rPr>
          <w:rFonts w:ascii="Arial" w:hAnsi="Arial" w:cs="Arial"/>
        </w:rPr>
      </w:pPr>
    </w:p>
    <w:p w14:paraId="0381BF93" w14:textId="77777777" w:rsidR="00687320" w:rsidRDefault="00000000">
      <w:pPr>
        <w:spacing w:line="480" w:lineRule="auto"/>
        <w:jc w:val="both"/>
        <w:rPr>
          <w:rFonts w:ascii="Arial" w:hAnsi="Arial" w:cs="Arial"/>
          <w:b/>
        </w:rPr>
      </w:pPr>
      <w:r>
        <w:rPr>
          <w:rFonts w:ascii="Arial" w:hAnsi="Arial" w:cs="Arial"/>
          <w:b/>
        </w:rPr>
        <w:t xml:space="preserve">CONSENT </w:t>
      </w:r>
    </w:p>
    <w:p w14:paraId="239F0B26" w14:textId="77777777" w:rsidR="00687320" w:rsidRDefault="00000000">
      <w:pPr>
        <w:autoSpaceDE w:val="0"/>
        <w:autoSpaceDN w:val="0"/>
        <w:adjustRightInd w:val="0"/>
        <w:spacing w:line="480" w:lineRule="auto"/>
        <w:ind w:right="28"/>
        <w:jc w:val="both"/>
        <w:rPr>
          <w:rFonts w:ascii="Arial" w:eastAsia="Calibri" w:hAnsi="Arial" w:cs="Arial"/>
        </w:rPr>
      </w:pPr>
      <w:r>
        <w:rPr>
          <w:rFonts w:ascii="Arial" w:eastAsia="Calibri" w:hAnsi="Arial" w:cs="Arial"/>
        </w:rPr>
        <w:t>It is not applicable.</w:t>
      </w:r>
    </w:p>
    <w:p w14:paraId="277B72BE" w14:textId="77777777" w:rsidR="00687320" w:rsidRDefault="00687320">
      <w:pPr>
        <w:spacing w:line="480" w:lineRule="auto"/>
        <w:jc w:val="both"/>
        <w:rPr>
          <w:rFonts w:ascii="Arial" w:hAnsi="Arial" w:cs="Arial"/>
          <w:b/>
        </w:rPr>
      </w:pPr>
    </w:p>
    <w:p w14:paraId="45EDB6DE" w14:textId="77777777" w:rsidR="00687320" w:rsidRDefault="00000000">
      <w:pPr>
        <w:spacing w:line="480" w:lineRule="auto"/>
        <w:jc w:val="both"/>
        <w:rPr>
          <w:rFonts w:ascii="Arial" w:hAnsi="Arial" w:cs="Arial"/>
          <w:b/>
        </w:rPr>
      </w:pPr>
      <w:r>
        <w:rPr>
          <w:rFonts w:ascii="Arial" w:hAnsi="Arial" w:cs="Arial"/>
          <w:b/>
        </w:rPr>
        <w:t xml:space="preserve">ETHICAL APPROVAL </w:t>
      </w:r>
    </w:p>
    <w:p w14:paraId="4B8D464D" w14:textId="77777777" w:rsidR="00687320" w:rsidRPr="00DB0084" w:rsidRDefault="00000000" w:rsidP="00DB0084">
      <w:pPr>
        <w:spacing w:line="480" w:lineRule="auto"/>
        <w:ind w:firstLine="709"/>
        <w:jc w:val="both"/>
        <w:rPr>
          <w:rFonts w:ascii="Arial" w:hAnsi="Arial" w:cs="Arial"/>
        </w:rPr>
      </w:pPr>
      <w:r>
        <w:rPr>
          <w:rFonts w:ascii="Arial" w:hAnsi="Arial" w:cs="Arial"/>
        </w:rPr>
        <w:t xml:space="preserve">This study was in accordance with the Ethical Principles in Animal Experimentation adopted by the Brazilian College of Animal Experimentation (COBEA) and were approved by the </w:t>
      </w:r>
      <w:r w:rsidRPr="00DB0084">
        <w:rPr>
          <w:rFonts w:ascii="Arial" w:hAnsi="Arial" w:cs="Arial"/>
        </w:rPr>
        <w:t>Committee on Ethics in the Use of Animals (CEUA) of UNIOESTE (Protocol No. 1022/2023).</w:t>
      </w:r>
    </w:p>
    <w:p w14:paraId="05CEE825" w14:textId="77777777" w:rsidR="00687320" w:rsidRPr="00DB0084" w:rsidRDefault="00687320" w:rsidP="00DB0084">
      <w:pPr>
        <w:spacing w:line="480" w:lineRule="auto"/>
        <w:ind w:firstLine="709"/>
        <w:jc w:val="both"/>
        <w:rPr>
          <w:rFonts w:ascii="Arial" w:hAnsi="Arial" w:cs="Arial"/>
        </w:rPr>
      </w:pPr>
    </w:p>
    <w:p w14:paraId="6DAC83B1" w14:textId="77777777" w:rsidR="00687320" w:rsidRPr="00DB0084" w:rsidRDefault="00000000" w:rsidP="00DB0084">
      <w:pPr>
        <w:spacing w:line="480" w:lineRule="auto"/>
        <w:jc w:val="both"/>
        <w:rPr>
          <w:rFonts w:ascii="Arial" w:eastAsia="Calibri" w:hAnsi="Arial" w:cs="Arial"/>
          <w:b/>
          <w:bCs/>
          <w:color w:val="auto"/>
          <w:kern w:val="2"/>
          <w:highlight w:val="yellow"/>
          <w:lang w:eastAsia="en-US"/>
          <w14:ligatures w14:val="standardContextual"/>
        </w:rPr>
      </w:pPr>
      <w:r w:rsidRPr="00DB0084">
        <w:rPr>
          <w:rFonts w:ascii="Arial" w:eastAsia="Calibri" w:hAnsi="Arial" w:cs="Arial"/>
          <w:b/>
          <w:bCs/>
          <w:color w:val="auto"/>
          <w:kern w:val="2"/>
          <w:highlight w:val="yellow"/>
          <w:lang w:eastAsia="en-US"/>
          <w14:ligatures w14:val="standardContextual"/>
        </w:rPr>
        <w:t>Disclaimer (Artificial intelligence)</w:t>
      </w:r>
    </w:p>
    <w:p w14:paraId="0E451C9B" w14:textId="77777777" w:rsidR="00687320" w:rsidRPr="00DB0084" w:rsidRDefault="00000000" w:rsidP="00DB0084">
      <w:pPr>
        <w:spacing w:line="480" w:lineRule="auto"/>
        <w:jc w:val="both"/>
        <w:rPr>
          <w:rFonts w:ascii="Arial" w:eastAsia="Calibri" w:hAnsi="Arial" w:cs="Arial"/>
          <w:color w:val="auto"/>
          <w:kern w:val="2"/>
          <w:highlight w:val="yellow"/>
          <w:lang w:eastAsia="en-US"/>
          <w14:ligatures w14:val="standardContextual"/>
        </w:rPr>
      </w:pPr>
      <w:r w:rsidRPr="00DB0084">
        <w:rPr>
          <w:rFonts w:ascii="Arial" w:eastAsia="Calibri" w:hAnsi="Arial" w:cs="Arial"/>
          <w:color w:val="auto"/>
          <w:kern w:val="2"/>
          <w:highlight w:val="yellow"/>
          <w:lang w:eastAsia="en-US"/>
          <w14:ligatures w14:val="standardContextual"/>
        </w:rPr>
        <w:t xml:space="preserve">Author(s) hereby </w:t>
      </w:r>
      <w:proofErr w:type="gramStart"/>
      <w:r w:rsidRPr="00DB0084">
        <w:rPr>
          <w:rFonts w:ascii="Arial" w:eastAsia="Calibri" w:hAnsi="Arial" w:cs="Arial"/>
          <w:color w:val="auto"/>
          <w:kern w:val="2"/>
          <w:highlight w:val="yellow"/>
          <w:lang w:eastAsia="en-US"/>
          <w14:ligatures w14:val="standardContextual"/>
        </w:rPr>
        <w:t>declare</w:t>
      </w:r>
      <w:proofErr w:type="gramEnd"/>
      <w:r w:rsidRPr="00DB0084">
        <w:rPr>
          <w:rFonts w:ascii="Arial" w:eastAsia="Calibri" w:hAnsi="Arial" w:cs="Arial"/>
          <w:color w:val="auto"/>
          <w:kern w:val="2"/>
          <w:highlight w:val="yellow"/>
          <w:lang w:eastAsia="en-US"/>
          <w14:ligatures w14:val="standardContextual"/>
        </w:rPr>
        <w:t xml:space="preserve"> that NO generative AI technologies such as Large Language Models (ChatGPT, COPILOT, etc.) and text-to-image generators have been used during the writing or editing of this manuscript. </w:t>
      </w:r>
    </w:p>
    <w:p w14:paraId="0C67312A" w14:textId="77777777" w:rsidR="00687320" w:rsidRDefault="00687320">
      <w:pPr>
        <w:spacing w:line="480" w:lineRule="auto"/>
        <w:ind w:firstLine="709"/>
        <w:jc w:val="both"/>
        <w:rPr>
          <w:rFonts w:ascii="Arial" w:hAnsi="Arial" w:cs="Arial"/>
          <w:color w:val="000000" w:themeColor="text1"/>
        </w:rPr>
      </w:pPr>
    </w:p>
    <w:p w14:paraId="6DD5DD57" w14:textId="77777777" w:rsidR="00687320" w:rsidRDefault="00687320">
      <w:pPr>
        <w:spacing w:line="480" w:lineRule="auto"/>
        <w:jc w:val="both"/>
        <w:rPr>
          <w:rFonts w:ascii="Arial" w:hAnsi="Arial" w:cs="Arial"/>
          <w:b/>
          <w:bCs/>
        </w:rPr>
      </w:pPr>
    </w:p>
    <w:p w14:paraId="40993E94" w14:textId="77777777" w:rsidR="00687320" w:rsidRDefault="00000000">
      <w:pPr>
        <w:spacing w:line="480" w:lineRule="auto"/>
        <w:jc w:val="both"/>
        <w:rPr>
          <w:rFonts w:ascii="Arial" w:hAnsi="Arial" w:cs="Arial"/>
          <w:b/>
          <w:bCs/>
        </w:rPr>
      </w:pPr>
      <w:r>
        <w:rPr>
          <w:rFonts w:ascii="Arial" w:hAnsi="Arial" w:cs="Arial"/>
          <w:b/>
          <w:bCs/>
        </w:rPr>
        <w:t>REFERENCES</w:t>
      </w:r>
    </w:p>
    <w:p w14:paraId="520283DD" w14:textId="77777777" w:rsidR="00687320" w:rsidRDefault="00687320">
      <w:pPr>
        <w:spacing w:line="480" w:lineRule="auto"/>
        <w:jc w:val="both"/>
        <w:rPr>
          <w:rFonts w:ascii="Arial" w:hAnsi="Arial" w:cs="Arial"/>
          <w:b/>
          <w:bCs/>
        </w:rPr>
      </w:pPr>
    </w:p>
    <w:p w14:paraId="458995CB" w14:textId="77777777" w:rsidR="00687320" w:rsidRDefault="00000000">
      <w:pPr>
        <w:numPr>
          <w:ilvl w:val="0"/>
          <w:numId w:val="3"/>
        </w:numPr>
        <w:spacing w:line="360" w:lineRule="auto"/>
        <w:jc w:val="both"/>
        <w:rPr>
          <w:rFonts w:ascii="Arial" w:eastAsia="Arial" w:hAnsi="Arial" w:cs="Arial"/>
          <w:color w:val="212121"/>
          <w:shd w:val="clear" w:color="auto" w:fill="FFFFFF"/>
          <w:lang w:val="pt-BR"/>
        </w:rPr>
      </w:pPr>
      <w:proofErr w:type="spellStart"/>
      <w:r>
        <w:rPr>
          <w:rFonts w:ascii="Arial" w:eastAsia="Times New Roman" w:hAnsi="Arial" w:cs="Arial"/>
          <w:lang w:val="pt-BR"/>
        </w:rPr>
        <w:t>Brazilian</w:t>
      </w:r>
      <w:proofErr w:type="spellEnd"/>
      <w:r>
        <w:rPr>
          <w:rFonts w:ascii="Arial" w:eastAsia="Times New Roman" w:hAnsi="Arial" w:cs="Arial"/>
          <w:lang w:val="pt-BR"/>
        </w:rPr>
        <w:t xml:space="preserve"> </w:t>
      </w:r>
      <w:proofErr w:type="spellStart"/>
      <w:r>
        <w:rPr>
          <w:rFonts w:ascii="Arial" w:eastAsia="Times New Roman" w:hAnsi="Arial" w:cs="Arial"/>
          <w:lang w:val="pt-BR"/>
        </w:rPr>
        <w:t>Association</w:t>
      </w:r>
      <w:proofErr w:type="spellEnd"/>
      <w:r>
        <w:rPr>
          <w:rFonts w:ascii="Arial" w:eastAsia="Times New Roman" w:hAnsi="Arial" w:cs="Arial"/>
          <w:lang w:val="pt-BR"/>
        </w:rPr>
        <w:t xml:space="preserve"> for </w:t>
      </w:r>
      <w:proofErr w:type="spellStart"/>
      <w:r>
        <w:rPr>
          <w:rFonts w:ascii="Arial" w:eastAsia="Times New Roman" w:hAnsi="Arial" w:cs="Arial"/>
          <w:lang w:val="pt-BR"/>
        </w:rPr>
        <w:t>the</w:t>
      </w:r>
      <w:proofErr w:type="spellEnd"/>
      <w:r>
        <w:rPr>
          <w:rFonts w:ascii="Arial" w:eastAsia="Times New Roman" w:hAnsi="Arial" w:cs="Arial"/>
          <w:lang w:val="pt-BR"/>
        </w:rPr>
        <w:t xml:space="preserve"> </w:t>
      </w:r>
      <w:proofErr w:type="spellStart"/>
      <w:r>
        <w:rPr>
          <w:rFonts w:ascii="Arial" w:eastAsia="Times New Roman" w:hAnsi="Arial" w:cs="Arial"/>
          <w:lang w:val="pt-BR"/>
        </w:rPr>
        <w:t>Study</w:t>
      </w:r>
      <w:proofErr w:type="spellEnd"/>
      <w:r>
        <w:rPr>
          <w:rFonts w:ascii="Arial" w:eastAsia="Times New Roman" w:hAnsi="Arial" w:cs="Arial"/>
          <w:lang w:val="pt-BR"/>
        </w:rPr>
        <w:t xml:space="preserve"> </w:t>
      </w:r>
      <w:proofErr w:type="spellStart"/>
      <w:r>
        <w:rPr>
          <w:rFonts w:ascii="Arial" w:eastAsia="Times New Roman" w:hAnsi="Arial" w:cs="Arial"/>
          <w:lang w:val="pt-BR"/>
        </w:rPr>
        <w:t>of</w:t>
      </w:r>
      <w:proofErr w:type="spellEnd"/>
      <w:r>
        <w:rPr>
          <w:rFonts w:ascii="Arial" w:eastAsia="Times New Roman" w:hAnsi="Arial" w:cs="Arial"/>
          <w:lang w:val="pt-BR"/>
        </w:rPr>
        <w:t xml:space="preserve"> </w:t>
      </w:r>
      <w:proofErr w:type="spellStart"/>
      <w:r>
        <w:rPr>
          <w:rFonts w:ascii="Arial" w:eastAsia="Times New Roman" w:hAnsi="Arial" w:cs="Arial"/>
          <w:lang w:val="pt-BR"/>
        </w:rPr>
        <w:t>Obesity</w:t>
      </w:r>
      <w:proofErr w:type="spellEnd"/>
      <w:r>
        <w:rPr>
          <w:rFonts w:ascii="Arial" w:eastAsia="Times New Roman" w:hAnsi="Arial" w:cs="Arial"/>
          <w:lang w:val="pt-BR"/>
        </w:rPr>
        <w:t xml:space="preserve"> </w:t>
      </w:r>
      <w:proofErr w:type="spellStart"/>
      <w:r>
        <w:rPr>
          <w:rFonts w:ascii="Arial" w:eastAsia="Times New Roman" w:hAnsi="Arial" w:cs="Arial"/>
          <w:lang w:val="pt-BR"/>
        </w:rPr>
        <w:t>and</w:t>
      </w:r>
      <w:proofErr w:type="spellEnd"/>
      <w:r>
        <w:rPr>
          <w:rFonts w:ascii="Arial" w:eastAsia="Times New Roman" w:hAnsi="Arial" w:cs="Arial"/>
          <w:lang w:val="pt-BR"/>
        </w:rPr>
        <w:t xml:space="preserve"> </w:t>
      </w:r>
      <w:proofErr w:type="spellStart"/>
      <w:r>
        <w:rPr>
          <w:rFonts w:ascii="Arial" w:eastAsia="Times New Roman" w:hAnsi="Arial" w:cs="Arial"/>
          <w:lang w:val="pt-BR"/>
        </w:rPr>
        <w:t>Metabolic</w:t>
      </w:r>
      <w:proofErr w:type="spellEnd"/>
      <w:r>
        <w:rPr>
          <w:rFonts w:ascii="Arial" w:eastAsia="Times New Roman" w:hAnsi="Arial" w:cs="Arial"/>
          <w:lang w:val="pt-BR"/>
        </w:rPr>
        <w:t xml:space="preserve"> </w:t>
      </w:r>
      <w:proofErr w:type="spellStart"/>
      <w:r>
        <w:rPr>
          <w:rFonts w:ascii="Arial" w:eastAsia="Times New Roman" w:hAnsi="Arial" w:cs="Arial"/>
          <w:lang w:val="pt-BR"/>
        </w:rPr>
        <w:t>Syndrome</w:t>
      </w:r>
      <w:proofErr w:type="spellEnd"/>
      <w:r>
        <w:rPr>
          <w:rFonts w:ascii="Arial" w:eastAsia="Times New Roman" w:hAnsi="Arial" w:cs="Arial"/>
          <w:lang w:val="pt-BR"/>
        </w:rPr>
        <w:t xml:space="preserve"> (</w:t>
      </w:r>
      <w:proofErr w:type="spellStart"/>
      <w:r>
        <w:rPr>
          <w:rFonts w:ascii="Arial" w:eastAsia="Times New Roman" w:hAnsi="Arial" w:cs="Arial"/>
          <w:lang w:val="pt-BR"/>
        </w:rPr>
        <w:t>Abeso</w:t>
      </w:r>
      <w:proofErr w:type="spellEnd"/>
      <w:r>
        <w:rPr>
          <w:rFonts w:ascii="Arial" w:eastAsia="Times New Roman" w:hAnsi="Arial" w:cs="Arial"/>
          <w:lang w:val="pt-BR"/>
        </w:rPr>
        <w:t xml:space="preserve">). </w:t>
      </w:r>
      <w:proofErr w:type="spellStart"/>
      <w:r>
        <w:rPr>
          <w:rFonts w:ascii="Arial" w:eastAsia="Times New Roman" w:hAnsi="Arial" w:cs="Arial"/>
          <w:lang w:val="pt-BR"/>
        </w:rPr>
        <w:t>Obesity</w:t>
      </w:r>
      <w:proofErr w:type="spellEnd"/>
      <w:r>
        <w:rPr>
          <w:rFonts w:ascii="Arial" w:eastAsia="Times New Roman" w:hAnsi="Arial" w:cs="Arial"/>
          <w:lang w:val="pt-BR"/>
        </w:rPr>
        <w:t xml:space="preserve"> Map. São Paulo: ABESO. 2019.</w:t>
      </w:r>
    </w:p>
    <w:p w14:paraId="4A4464C9" w14:textId="77777777" w:rsidR="00687320" w:rsidRDefault="00687320">
      <w:pPr>
        <w:spacing w:line="360" w:lineRule="auto"/>
        <w:jc w:val="both"/>
        <w:rPr>
          <w:rFonts w:ascii="Arial" w:eastAsia="Times New Roman" w:hAnsi="Arial" w:cs="Arial"/>
          <w:lang w:val="pt-BR"/>
        </w:rPr>
      </w:pPr>
    </w:p>
    <w:p w14:paraId="3CDB5D45" w14:textId="77777777" w:rsidR="00687320" w:rsidRDefault="00000000">
      <w:pPr>
        <w:numPr>
          <w:ilvl w:val="0"/>
          <w:numId w:val="3"/>
        </w:numPr>
        <w:spacing w:line="360" w:lineRule="auto"/>
        <w:jc w:val="both"/>
        <w:rPr>
          <w:rFonts w:ascii="Arial" w:eastAsia="Arial" w:hAnsi="Arial" w:cs="Arial"/>
          <w:color w:val="212121"/>
          <w:shd w:val="clear" w:color="auto" w:fill="FFFFFF"/>
          <w:lang w:val="pt-BR"/>
        </w:rPr>
      </w:pPr>
      <w:r>
        <w:rPr>
          <w:rFonts w:ascii="Arial" w:hAnsi="Arial" w:cs="Arial"/>
          <w:lang w:eastAsia="en-US"/>
        </w:rPr>
        <w:lastRenderedPageBreak/>
        <w:t xml:space="preserve">WHO. World Health Organization. </w:t>
      </w:r>
      <w:r>
        <w:rPr>
          <w:rFonts w:ascii="Arial" w:hAnsi="Arial" w:cs="Arial"/>
        </w:rPr>
        <w:t>Obesity and overweight</w:t>
      </w:r>
      <w:r>
        <w:rPr>
          <w:rFonts w:ascii="Arial" w:hAnsi="Arial" w:cs="Arial"/>
          <w:lang w:eastAsia="en-US"/>
        </w:rPr>
        <w:t>.</w:t>
      </w:r>
      <w:r>
        <w:rPr>
          <w:rFonts w:ascii="Arial" w:hAnsi="Arial" w:cs="Arial"/>
          <w:lang w:val="pt-BR" w:eastAsia="en-US"/>
        </w:rPr>
        <w:t xml:space="preserve"> 2022.</w:t>
      </w:r>
      <w:r>
        <w:rPr>
          <w:rFonts w:ascii="Arial" w:hAnsi="Arial" w:cs="Arial"/>
          <w:lang w:eastAsia="en-US"/>
        </w:rPr>
        <w:t xml:space="preserve"> </w:t>
      </w:r>
      <w:proofErr w:type="spellStart"/>
      <w:r>
        <w:rPr>
          <w:rFonts w:ascii="Arial" w:hAnsi="Arial" w:cs="Arial"/>
          <w:lang w:eastAsia="en-US"/>
        </w:rPr>
        <w:t>Disponível</w:t>
      </w:r>
      <w:proofErr w:type="spellEnd"/>
      <w:r>
        <w:rPr>
          <w:rFonts w:ascii="Arial" w:hAnsi="Arial" w:cs="Arial"/>
          <w:lang w:eastAsia="en-US"/>
        </w:rPr>
        <w:t xml:space="preserve"> </w:t>
      </w:r>
      <w:proofErr w:type="spellStart"/>
      <w:r>
        <w:rPr>
          <w:rFonts w:ascii="Arial" w:hAnsi="Arial" w:cs="Arial"/>
          <w:lang w:eastAsia="en-US"/>
        </w:rPr>
        <w:t>em</w:t>
      </w:r>
      <w:proofErr w:type="spellEnd"/>
      <w:r>
        <w:rPr>
          <w:rFonts w:ascii="Arial" w:hAnsi="Arial" w:cs="Arial"/>
          <w:lang w:eastAsia="en-US"/>
        </w:rPr>
        <w:t xml:space="preserve">: &lt;https://www.who.int/en/news-room/fact-sheets/detail/obesity-and-overweight&gt;. </w:t>
      </w:r>
      <w:proofErr w:type="spellStart"/>
      <w:r>
        <w:rPr>
          <w:rFonts w:ascii="Arial" w:hAnsi="Arial" w:cs="Arial"/>
          <w:lang w:eastAsia="en-US"/>
        </w:rPr>
        <w:t>Acesso</w:t>
      </w:r>
      <w:proofErr w:type="spellEnd"/>
      <w:r>
        <w:rPr>
          <w:rFonts w:ascii="Arial" w:hAnsi="Arial" w:cs="Arial"/>
          <w:lang w:eastAsia="en-US"/>
        </w:rPr>
        <w:t xml:space="preserve"> </w:t>
      </w:r>
      <w:proofErr w:type="spellStart"/>
      <w:r>
        <w:rPr>
          <w:rFonts w:ascii="Arial" w:hAnsi="Arial" w:cs="Arial"/>
          <w:lang w:eastAsia="en-US"/>
        </w:rPr>
        <w:t>em</w:t>
      </w:r>
      <w:proofErr w:type="spellEnd"/>
      <w:r>
        <w:rPr>
          <w:rFonts w:ascii="Arial" w:hAnsi="Arial" w:cs="Arial"/>
          <w:lang w:eastAsia="en-US"/>
        </w:rPr>
        <w:t xml:space="preserve">: 28 </w:t>
      </w:r>
      <w:proofErr w:type="spellStart"/>
      <w:r>
        <w:rPr>
          <w:rFonts w:ascii="Arial" w:hAnsi="Arial" w:cs="Arial"/>
          <w:lang w:eastAsia="en-US"/>
        </w:rPr>
        <w:t>jan</w:t>
      </w:r>
      <w:proofErr w:type="spellEnd"/>
      <w:r>
        <w:rPr>
          <w:rFonts w:ascii="Arial" w:hAnsi="Arial" w:cs="Arial"/>
          <w:lang w:eastAsia="en-US"/>
        </w:rPr>
        <w:t xml:space="preserve"> 2025.</w:t>
      </w:r>
    </w:p>
    <w:p w14:paraId="4695E945" w14:textId="77777777" w:rsidR="00687320" w:rsidRDefault="00687320">
      <w:pPr>
        <w:spacing w:line="360" w:lineRule="auto"/>
        <w:jc w:val="both"/>
        <w:rPr>
          <w:rFonts w:ascii="Arial" w:hAnsi="Arial" w:cs="Arial"/>
          <w:lang w:eastAsia="en-US"/>
        </w:rPr>
      </w:pPr>
    </w:p>
    <w:p w14:paraId="0022E7AB" w14:textId="77777777" w:rsidR="00687320" w:rsidRDefault="00000000">
      <w:pPr>
        <w:widowControl w:val="0"/>
        <w:numPr>
          <w:ilvl w:val="0"/>
          <w:numId w:val="3"/>
        </w:numPr>
        <w:spacing w:line="360" w:lineRule="auto"/>
        <w:jc w:val="both"/>
        <w:rPr>
          <w:rFonts w:ascii="Arial" w:hAnsi="Arial" w:cs="Arial"/>
          <w:lang w:val="pt-BR" w:eastAsia="en-US"/>
        </w:rPr>
      </w:pPr>
      <w:r>
        <w:rPr>
          <w:rFonts w:ascii="Arial" w:eastAsia="Times New Roman" w:hAnsi="Arial" w:cs="Arial"/>
        </w:rPr>
        <w:t>Cullinan MP</w:t>
      </w:r>
      <w:r>
        <w:rPr>
          <w:rFonts w:ascii="Arial" w:eastAsia="Times New Roman" w:hAnsi="Arial" w:cs="Arial"/>
          <w:lang w:val="pt-BR"/>
        </w:rPr>
        <w:t>,</w:t>
      </w:r>
      <w:r>
        <w:rPr>
          <w:rFonts w:ascii="Arial" w:eastAsia="Times New Roman" w:hAnsi="Arial" w:cs="Arial"/>
        </w:rPr>
        <w:t xml:space="preserve"> Ford PJ</w:t>
      </w:r>
      <w:r>
        <w:rPr>
          <w:rFonts w:ascii="Arial" w:eastAsia="Times New Roman" w:hAnsi="Arial" w:cs="Arial"/>
          <w:lang w:val="pt-BR"/>
        </w:rPr>
        <w:t>,</w:t>
      </w:r>
      <w:r>
        <w:rPr>
          <w:rFonts w:ascii="Arial" w:eastAsia="Times New Roman" w:hAnsi="Arial" w:cs="Arial"/>
        </w:rPr>
        <w:t xml:space="preserve"> Seymour GJ. Periodontal disease and systemic health: </w:t>
      </w:r>
      <w:proofErr w:type="gramStart"/>
      <w:r>
        <w:rPr>
          <w:rFonts w:ascii="Arial" w:eastAsia="Times New Roman" w:hAnsi="Arial" w:cs="Arial"/>
        </w:rPr>
        <w:t>current status</w:t>
      </w:r>
      <w:proofErr w:type="gramEnd"/>
      <w:r>
        <w:rPr>
          <w:rFonts w:ascii="Arial" w:eastAsia="Times New Roman" w:hAnsi="Arial" w:cs="Arial"/>
        </w:rPr>
        <w:t xml:space="preserve">. Australian Dental Journal. </w:t>
      </w:r>
      <w:r>
        <w:rPr>
          <w:rFonts w:ascii="Arial" w:eastAsia="Times New Roman" w:hAnsi="Arial" w:cs="Arial"/>
          <w:lang w:val="pt-BR"/>
        </w:rPr>
        <w:t xml:space="preserve">2009; </w:t>
      </w:r>
      <w:r>
        <w:rPr>
          <w:rFonts w:ascii="Arial" w:eastAsia="Times New Roman" w:hAnsi="Arial" w:cs="Arial"/>
        </w:rPr>
        <w:t>54(1): 62–69.</w:t>
      </w:r>
    </w:p>
    <w:p w14:paraId="561E384D" w14:textId="77777777" w:rsidR="00687320" w:rsidRDefault="00687320">
      <w:pPr>
        <w:spacing w:line="360" w:lineRule="auto"/>
        <w:jc w:val="both"/>
        <w:rPr>
          <w:rFonts w:ascii="Arial" w:eastAsia="Arial" w:hAnsi="Arial" w:cs="Arial"/>
          <w:color w:val="212121"/>
          <w:shd w:val="clear" w:color="auto" w:fill="FFFFFF"/>
        </w:rPr>
      </w:pPr>
    </w:p>
    <w:p w14:paraId="6062D01E" w14:textId="77777777" w:rsidR="00687320" w:rsidRDefault="00000000">
      <w:pPr>
        <w:numPr>
          <w:ilvl w:val="0"/>
          <w:numId w:val="3"/>
        </w:numPr>
        <w:spacing w:line="360" w:lineRule="auto"/>
        <w:jc w:val="both"/>
        <w:rPr>
          <w:rFonts w:ascii="Arial" w:eastAsia="Arial" w:hAnsi="Arial" w:cs="Arial"/>
          <w:color w:val="212121"/>
          <w:shd w:val="clear" w:color="auto" w:fill="FFFFFF"/>
          <w:lang w:val="pt-BR"/>
        </w:rPr>
      </w:pPr>
      <w:r>
        <w:rPr>
          <w:rFonts w:ascii="Arial" w:eastAsia="Frutiger-LightCn" w:hAnsi="Arial" w:cs="Arial"/>
          <w:lang w:eastAsia="zh-CN" w:bidi="ar"/>
        </w:rPr>
        <w:t>Öhrn K</w:t>
      </w:r>
      <w:r>
        <w:rPr>
          <w:rFonts w:ascii="Arial" w:eastAsia="Frutiger-LightCn" w:hAnsi="Arial" w:cs="Arial"/>
          <w:lang w:val="pt-BR" w:eastAsia="zh-CN" w:bidi="ar"/>
        </w:rPr>
        <w:t>,</w:t>
      </w:r>
      <w:r>
        <w:rPr>
          <w:rFonts w:ascii="Arial" w:eastAsia="Frutiger-LightCn" w:hAnsi="Arial" w:cs="Arial"/>
          <w:lang w:eastAsia="zh-CN" w:bidi="ar"/>
        </w:rPr>
        <w:t xml:space="preserve"> A</w:t>
      </w:r>
      <w:r>
        <w:rPr>
          <w:rFonts w:ascii="Arial" w:eastAsia="Frutiger-LightCn" w:hAnsi="Arial" w:cs="Arial"/>
          <w:lang w:val="pt-BR" w:eastAsia="zh-CN" w:bidi="ar"/>
        </w:rPr>
        <w:t>l</w:t>
      </w:r>
      <w:r>
        <w:rPr>
          <w:rFonts w:ascii="Arial" w:eastAsia="Frutiger-LightCn" w:hAnsi="Arial" w:cs="Arial"/>
          <w:lang w:eastAsia="zh-CN" w:bidi="ar"/>
        </w:rPr>
        <w:t>-</w:t>
      </w:r>
      <w:proofErr w:type="spellStart"/>
      <w:r>
        <w:rPr>
          <w:rFonts w:ascii="Arial" w:eastAsia="Frutiger-LightCn" w:hAnsi="Arial" w:cs="Arial"/>
          <w:lang w:eastAsia="zh-CN" w:bidi="ar"/>
        </w:rPr>
        <w:t>Kahlili</w:t>
      </w:r>
      <w:proofErr w:type="spellEnd"/>
      <w:r>
        <w:rPr>
          <w:rFonts w:ascii="Arial" w:eastAsia="Frutiger-LightCn" w:hAnsi="Arial" w:cs="Arial"/>
          <w:lang w:eastAsia="zh-CN" w:bidi="ar"/>
        </w:rPr>
        <w:t xml:space="preserve"> B</w:t>
      </w:r>
      <w:r>
        <w:rPr>
          <w:rFonts w:ascii="Arial" w:eastAsia="Frutiger-LightCn" w:hAnsi="Arial" w:cs="Arial"/>
          <w:lang w:val="pt-BR" w:eastAsia="zh-CN" w:bidi="ar"/>
        </w:rPr>
        <w:t>,</w:t>
      </w:r>
      <w:r>
        <w:rPr>
          <w:rFonts w:ascii="Arial" w:eastAsia="Frutiger-LightCn" w:hAnsi="Arial" w:cs="Arial"/>
          <w:lang w:eastAsia="zh-CN" w:bidi="ar"/>
        </w:rPr>
        <w:t xml:space="preserve"> </w:t>
      </w:r>
      <w:proofErr w:type="spellStart"/>
      <w:r>
        <w:rPr>
          <w:rFonts w:ascii="Arial" w:eastAsia="Frutiger-LightCn" w:hAnsi="Arial" w:cs="Arial"/>
          <w:lang w:eastAsia="zh-CN" w:bidi="ar"/>
        </w:rPr>
        <w:t>Huggare</w:t>
      </w:r>
      <w:proofErr w:type="spellEnd"/>
      <w:r>
        <w:rPr>
          <w:rFonts w:ascii="Arial" w:eastAsia="Frutiger-LightCn" w:hAnsi="Arial" w:cs="Arial"/>
          <w:lang w:eastAsia="zh-CN" w:bidi="ar"/>
        </w:rPr>
        <w:t xml:space="preserve"> J</w:t>
      </w:r>
      <w:r>
        <w:rPr>
          <w:rFonts w:ascii="Arial" w:eastAsia="Frutiger-LightCn" w:hAnsi="Arial" w:cs="Arial"/>
          <w:lang w:val="pt-BR" w:eastAsia="zh-CN" w:bidi="ar"/>
        </w:rPr>
        <w:t>,</w:t>
      </w:r>
      <w:r>
        <w:rPr>
          <w:rFonts w:ascii="Arial" w:eastAsia="Frutiger-LightCn" w:hAnsi="Arial" w:cs="Arial"/>
          <w:lang w:eastAsia="zh-CN" w:bidi="ar"/>
        </w:rPr>
        <w:t xml:space="preserve"> Forsberg CM</w:t>
      </w:r>
      <w:r>
        <w:rPr>
          <w:rFonts w:ascii="Arial" w:eastAsia="Frutiger-LightCn" w:hAnsi="Arial" w:cs="Arial"/>
          <w:lang w:val="pt-BR" w:eastAsia="zh-CN" w:bidi="ar"/>
        </w:rPr>
        <w:t>,</w:t>
      </w:r>
      <w:r>
        <w:rPr>
          <w:rFonts w:ascii="Arial" w:eastAsia="Frutiger-LightCn" w:hAnsi="Arial" w:cs="Arial"/>
          <w:lang w:eastAsia="zh-CN" w:bidi="ar"/>
        </w:rPr>
        <w:t xml:space="preserve"> Marcus C</w:t>
      </w:r>
      <w:r>
        <w:rPr>
          <w:rFonts w:ascii="Arial" w:eastAsia="Frutiger-LightCn" w:hAnsi="Arial" w:cs="Arial"/>
          <w:lang w:val="pt-BR" w:eastAsia="zh-CN" w:bidi="ar"/>
        </w:rPr>
        <w:t>,</w:t>
      </w:r>
      <w:r>
        <w:rPr>
          <w:rFonts w:ascii="Arial" w:eastAsia="Frutiger-LightCn" w:hAnsi="Arial" w:cs="Arial"/>
          <w:lang w:eastAsia="zh-CN" w:bidi="ar"/>
        </w:rPr>
        <w:t xml:space="preserve"> </w:t>
      </w:r>
      <w:proofErr w:type="spellStart"/>
      <w:r>
        <w:rPr>
          <w:rFonts w:ascii="Arial" w:eastAsia="Frutiger-LightCn" w:hAnsi="Arial" w:cs="Arial"/>
          <w:lang w:eastAsia="zh-CN" w:bidi="ar"/>
        </w:rPr>
        <w:t>Dahllöf</w:t>
      </w:r>
      <w:proofErr w:type="spellEnd"/>
      <w:r>
        <w:rPr>
          <w:rFonts w:ascii="Arial" w:eastAsia="Frutiger-LightCn" w:hAnsi="Arial" w:cs="Arial"/>
          <w:lang w:eastAsia="zh-CN" w:bidi="ar"/>
        </w:rPr>
        <w:t xml:space="preserve"> G</w:t>
      </w:r>
      <w:r>
        <w:rPr>
          <w:rFonts w:ascii="Arial" w:eastAsia="Frutiger-LightCn" w:hAnsi="Arial" w:cs="Arial"/>
          <w:lang w:val="pt-BR" w:eastAsia="zh-CN" w:bidi="ar"/>
        </w:rPr>
        <w:t xml:space="preserve">. </w:t>
      </w:r>
      <w:r>
        <w:rPr>
          <w:rFonts w:ascii="Arial" w:eastAsia="Frutiger-LightCn" w:hAnsi="Arial" w:cs="Arial"/>
          <w:lang w:eastAsia="zh-CN" w:bidi="ar"/>
        </w:rPr>
        <w:t xml:space="preserve">Craniofacial morphology in obese adolescents. Acta </w:t>
      </w:r>
      <w:proofErr w:type="spellStart"/>
      <w:r>
        <w:rPr>
          <w:rFonts w:ascii="Arial" w:eastAsia="Frutiger-LightCn" w:hAnsi="Arial" w:cs="Arial"/>
          <w:lang w:eastAsia="zh-CN" w:bidi="ar"/>
        </w:rPr>
        <w:t>Odontol</w:t>
      </w:r>
      <w:r>
        <w:rPr>
          <w:rFonts w:ascii="Arial" w:eastAsia="Frutiger-LightCn" w:hAnsi="Arial" w:cs="Arial"/>
          <w:lang w:val="pt-BR" w:eastAsia="zh-CN" w:bidi="ar"/>
        </w:rPr>
        <w:t>ogica</w:t>
      </w:r>
      <w:proofErr w:type="spellEnd"/>
      <w:r>
        <w:rPr>
          <w:rFonts w:ascii="Arial" w:eastAsia="Frutiger-LightCn" w:hAnsi="Arial" w:cs="Arial"/>
          <w:lang w:eastAsia="zh-CN" w:bidi="ar"/>
        </w:rPr>
        <w:t xml:space="preserve"> Scand</w:t>
      </w:r>
      <w:proofErr w:type="spellStart"/>
      <w:r>
        <w:rPr>
          <w:rFonts w:ascii="Arial" w:eastAsia="Frutiger-LightCn" w:hAnsi="Arial" w:cs="Arial"/>
          <w:lang w:val="pt-BR" w:eastAsia="zh-CN" w:bidi="ar"/>
        </w:rPr>
        <w:t>inavica</w:t>
      </w:r>
      <w:proofErr w:type="spellEnd"/>
      <w:r>
        <w:rPr>
          <w:rFonts w:ascii="Arial" w:eastAsia="Frutiger-LightCn" w:hAnsi="Arial" w:cs="Arial"/>
          <w:lang w:eastAsia="zh-CN" w:bidi="ar"/>
        </w:rPr>
        <w:t>.</w:t>
      </w:r>
      <w:r>
        <w:rPr>
          <w:rFonts w:ascii="Arial" w:eastAsia="Frutiger-LightCn" w:hAnsi="Arial" w:cs="Arial"/>
          <w:lang w:val="pt-BR" w:eastAsia="zh-CN" w:bidi="ar"/>
        </w:rPr>
        <w:t xml:space="preserve"> 2002;</w:t>
      </w:r>
      <w:r>
        <w:rPr>
          <w:rFonts w:ascii="Arial" w:eastAsia="Frutiger-LightCn" w:hAnsi="Arial" w:cs="Arial"/>
          <w:lang w:eastAsia="zh-CN" w:bidi="ar"/>
        </w:rPr>
        <w:t xml:space="preserve"> 60</w:t>
      </w:r>
      <w:r>
        <w:rPr>
          <w:rFonts w:ascii="Arial" w:eastAsia="Frutiger-LightCn" w:hAnsi="Arial" w:cs="Arial"/>
          <w:lang w:val="pt-BR" w:eastAsia="zh-CN" w:bidi="ar"/>
        </w:rPr>
        <w:t>:</w:t>
      </w:r>
      <w:r>
        <w:rPr>
          <w:rFonts w:ascii="Arial" w:eastAsia="Frutiger-LightCn" w:hAnsi="Arial" w:cs="Arial"/>
          <w:lang w:eastAsia="zh-CN" w:bidi="ar"/>
        </w:rPr>
        <w:t xml:space="preserve"> 193-197.</w:t>
      </w:r>
    </w:p>
    <w:p w14:paraId="49D6F793" w14:textId="77777777" w:rsidR="00687320" w:rsidRDefault="00687320">
      <w:pPr>
        <w:spacing w:line="360" w:lineRule="auto"/>
        <w:jc w:val="both"/>
        <w:rPr>
          <w:rFonts w:ascii="Arial" w:eastAsia="Frutiger-LightCn" w:hAnsi="Arial" w:cs="Arial"/>
          <w:lang w:eastAsia="zh-CN" w:bidi="ar"/>
        </w:rPr>
      </w:pPr>
    </w:p>
    <w:p w14:paraId="56E492B9" w14:textId="77777777" w:rsidR="00687320" w:rsidRDefault="00000000">
      <w:pPr>
        <w:widowControl w:val="0"/>
        <w:numPr>
          <w:ilvl w:val="0"/>
          <w:numId w:val="3"/>
        </w:numPr>
        <w:spacing w:line="360" w:lineRule="auto"/>
        <w:jc w:val="both"/>
        <w:rPr>
          <w:rFonts w:ascii="Arial" w:eastAsia="Frutiger-LightCn" w:hAnsi="Arial" w:cs="Arial"/>
          <w:lang w:val="pt-BR" w:eastAsia="zh-CN" w:bidi="ar"/>
        </w:rPr>
      </w:pPr>
      <w:r>
        <w:rPr>
          <w:rFonts w:ascii="Arial" w:eastAsia="Frutiger-LightCn" w:hAnsi="Arial" w:cs="Arial"/>
          <w:lang w:eastAsia="zh-CN" w:bidi="ar"/>
        </w:rPr>
        <w:t>Hilgers KK</w:t>
      </w:r>
      <w:r>
        <w:rPr>
          <w:rFonts w:ascii="Arial" w:eastAsia="Frutiger-LightCn" w:hAnsi="Arial" w:cs="Arial"/>
          <w:lang w:val="pt-BR" w:eastAsia="zh-CN" w:bidi="ar"/>
        </w:rPr>
        <w:t>,</w:t>
      </w:r>
      <w:r>
        <w:rPr>
          <w:rFonts w:ascii="Arial" w:eastAsia="Frutiger-LightCn" w:hAnsi="Arial" w:cs="Arial"/>
          <w:lang w:eastAsia="zh-CN" w:bidi="ar"/>
        </w:rPr>
        <w:t xml:space="preserve"> Akridge M</w:t>
      </w:r>
      <w:r>
        <w:rPr>
          <w:rFonts w:ascii="Arial" w:eastAsia="Frutiger-LightCn" w:hAnsi="Arial" w:cs="Arial"/>
          <w:lang w:val="pt-BR" w:eastAsia="zh-CN" w:bidi="ar"/>
        </w:rPr>
        <w:t>,</w:t>
      </w:r>
      <w:r>
        <w:rPr>
          <w:rFonts w:ascii="Arial" w:eastAsia="Frutiger-LightCn" w:hAnsi="Arial" w:cs="Arial"/>
          <w:lang w:eastAsia="zh-CN" w:bidi="ar"/>
        </w:rPr>
        <w:t xml:space="preserve"> Scheetz JP</w:t>
      </w:r>
      <w:r>
        <w:rPr>
          <w:rFonts w:ascii="Arial" w:eastAsia="Frutiger-LightCn" w:hAnsi="Arial" w:cs="Arial"/>
          <w:lang w:val="pt-BR" w:eastAsia="zh-CN" w:bidi="ar"/>
        </w:rPr>
        <w:t>,</w:t>
      </w:r>
      <w:r>
        <w:rPr>
          <w:rFonts w:ascii="Arial" w:eastAsia="Frutiger-LightCn" w:hAnsi="Arial" w:cs="Arial"/>
          <w:lang w:eastAsia="zh-CN" w:bidi="ar"/>
        </w:rPr>
        <w:t xml:space="preserve"> Kinane DF</w:t>
      </w:r>
      <w:r>
        <w:rPr>
          <w:rFonts w:ascii="Arial" w:eastAsia="Frutiger-LightCn" w:hAnsi="Arial" w:cs="Arial"/>
          <w:lang w:val="pt-BR" w:eastAsia="zh-CN" w:bidi="ar"/>
        </w:rPr>
        <w:t>.</w:t>
      </w:r>
      <w:r>
        <w:rPr>
          <w:rFonts w:ascii="Arial" w:eastAsia="Frutiger-LightCn" w:hAnsi="Arial" w:cs="Arial"/>
          <w:lang w:eastAsia="zh-CN" w:bidi="ar"/>
        </w:rPr>
        <w:t xml:space="preserve"> Childhood obesity and dental development. </w:t>
      </w:r>
      <w:proofErr w:type="spellStart"/>
      <w:r>
        <w:rPr>
          <w:rFonts w:ascii="Arial" w:eastAsia="Frutiger-LightCn" w:hAnsi="Arial" w:cs="Arial"/>
          <w:lang w:eastAsia="zh-CN" w:bidi="ar"/>
        </w:rPr>
        <w:t>Pediatr</w:t>
      </w:r>
      <w:r>
        <w:rPr>
          <w:rFonts w:ascii="Arial" w:eastAsia="Frutiger-LightCn" w:hAnsi="Arial" w:cs="Arial"/>
          <w:lang w:val="pt-BR" w:eastAsia="zh-CN" w:bidi="ar"/>
        </w:rPr>
        <w:t>ic</w:t>
      </w:r>
      <w:proofErr w:type="spellEnd"/>
      <w:r>
        <w:rPr>
          <w:rFonts w:ascii="Arial" w:eastAsia="Frutiger-LightCn" w:hAnsi="Arial" w:cs="Arial"/>
          <w:lang w:eastAsia="zh-CN" w:bidi="ar"/>
        </w:rPr>
        <w:t xml:space="preserve"> Dent</w:t>
      </w:r>
      <w:proofErr w:type="spellStart"/>
      <w:r>
        <w:rPr>
          <w:rFonts w:ascii="Arial" w:eastAsia="Frutiger-LightCn" w:hAnsi="Arial" w:cs="Arial"/>
          <w:lang w:val="pt-BR" w:eastAsia="zh-CN" w:bidi="ar"/>
        </w:rPr>
        <w:t>istry</w:t>
      </w:r>
      <w:proofErr w:type="spellEnd"/>
      <w:r>
        <w:rPr>
          <w:rFonts w:ascii="Arial" w:eastAsia="Frutiger-LightCn" w:hAnsi="Arial" w:cs="Arial"/>
          <w:lang w:eastAsia="zh-CN" w:bidi="ar"/>
        </w:rPr>
        <w:t xml:space="preserve">. </w:t>
      </w:r>
      <w:r>
        <w:rPr>
          <w:rFonts w:ascii="Arial" w:eastAsia="Frutiger-LightCn" w:hAnsi="Arial" w:cs="Arial"/>
          <w:lang w:val="pt-BR" w:eastAsia="zh-CN" w:bidi="ar"/>
        </w:rPr>
        <w:t xml:space="preserve">2006; </w:t>
      </w:r>
      <w:r>
        <w:rPr>
          <w:rFonts w:ascii="Arial" w:eastAsia="Frutiger-LightCn" w:hAnsi="Arial" w:cs="Arial"/>
          <w:lang w:eastAsia="zh-CN" w:bidi="ar"/>
        </w:rPr>
        <w:t>28(1): 18-22.</w:t>
      </w:r>
    </w:p>
    <w:p w14:paraId="19DDB89F" w14:textId="77777777" w:rsidR="00687320" w:rsidRDefault="00687320">
      <w:pPr>
        <w:spacing w:line="360" w:lineRule="auto"/>
        <w:jc w:val="both"/>
        <w:rPr>
          <w:rFonts w:ascii="Arial" w:eastAsia="Frutiger-LightCn" w:hAnsi="Arial" w:cs="Arial"/>
          <w:lang w:eastAsia="zh-CN" w:bidi="ar"/>
        </w:rPr>
      </w:pPr>
    </w:p>
    <w:p w14:paraId="6A007770" w14:textId="77777777" w:rsidR="00687320" w:rsidRDefault="00000000">
      <w:pPr>
        <w:numPr>
          <w:ilvl w:val="0"/>
          <w:numId w:val="3"/>
        </w:numPr>
        <w:spacing w:line="360" w:lineRule="auto"/>
        <w:jc w:val="both"/>
        <w:rPr>
          <w:rFonts w:ascii="Arial" w:eastAsia="Frutiger-LightCn" w:hAnsi="Arial" w:cs="Arial"/>
          <w:lang w:val="pt-BR" w:eastAsia="zh-CN" w:bidi="ar"/>
        </w:rPr>
      </w:pPr>
      <w:r>
        <w:rPr>
          <w:rFonts w:ascii="Arial" w:eastAsia="Frutiger-LightCn" w:hAnsi="Arial" w:cs="Arial"/>
          <w:lang w:eastAsia="zh-CN" w:bidi="ar"/>
        </w:rPr>
        <w:t>Werner SL</w:t>
      </w:r>
      <w:r>
        <w:rPr>
          <w:rFonts w:ascii="Arial" w:eastAsia="Frutiger-LightCn" w:hAnsi="Arial" w:cs="Arial"/>
          <w:lang w:val="pt-BR" w:eastAsia="zh-CN" w:bidi="ar"/>
        </w:rPr>
        <w:t>,</w:t>
      </w:r>
      <w:r>
        <w:rPr>
          <w:rFonts w:ascii="Arial" w:eastAsia="Frutiger-LightCn" w:hAnsi="Arial" w:cs="Arial"/>
          <w:lang w:eastAsia="zh-CN" w:bidi="ar"/>
        </w:rPr>
        <w:t xml:space="preserve"> Phillips C</w:t>
      </w:r>
      <w:r>
        <w:rPr>
          <w:rFonts w:ascii="Arial" w:eastAsia="Frutiger-LightCn" w:hAnsi="Arial" w:cs="Arial"/>
          <w:lang w:val="pt-BR" w:eastAsia="zh-CN" w:bidi="ar"/>
        </w:rPr>
        <w:t>,</w:t>
      </w:r>
      <w:r>
        <w:rPr>
          <w:rFonts w:ascii="Arial" w:eastAsia="Frutiger-LightCn" w:hAnsi="Arial" w:cs="Arial"/>
          <w:lang w:eastAsia="zh-CN" w:bidi="ar"/>
        </w:rPr>
        <w:t xml:space="preserve"> </w:t>
      </w:r>
      <w:proofErr w:type="spellStart"/>
      <w:r>
        <w:rPr>
          <w:rFonts w:ascii="Arial" w:eastAsia="Frutiger-LightCn" w:hAnsi="Arial" w:cs="Arial"/>
          <w:lang w:eastAsia="zh-CN" w:bidi="ar"/>
        </w:rPr>
        <w:t>Koroluk</w:t>
      </w:r>
      <w:proofErr w:type="spellEnd"/>
      <w:r>
        <w:rPr>
          <w:rFonts w:ascii="Arial" w:eastAsia="Frutiger-LightCn" w:hAnsi="Arial" w:cs="Arial"/>
          <w:lang w:eastAsia="zh-CN" w:bidi="ar"/>
        </w:rPr>
        <w:t xml:space="preserve"> LD.</w:t>
      </w:r>
      <w:r>
        <w:rPr>
          <w:rFonts w:ascii="Arial" w:eastAsia="Frutiger-LightCn" w:hAnsi="Arial" w:cs="Arial"/>
          <w:lang w:val="pt-BR" w:eastAsia="zh-CN" w:bidi="ar"/>
        </w:rPr>
        <w:t xml:space="preserve"> </w:t>
      </w:r>
      <w:r>
        <w:rPr>
          <w:rFonts w:ascii="Arial" w:eastAsia="Frutiger-LightCn" w:hAnsi="Arial" w:cs="Arial"/>
          <w:lang w:eastAsia="zh-CN" w:bidi="ar"/>
        </w:rPr>
        <w:t xml:space="preserve">Association between childhood obesity and dental </w:t>
      </w:r>
      <w:proofErr w:type="gramStart"/>
      <w:r>
        <w:rPr>
          <w:rFonts w:ascii="Arial" w:eastAsia="Frutiger-LightCn" w:hAnsi="Arial" w:cs="Arial"/>
          <w:lang w:eastAsia="zh-CN" w:bidi="ar"/>
        </w:rPr>
        <w:t>caries</w:t>
      </w:r>
      <w:proofErr w:type="gramEnd"/>
      <w:r>
        <w:rPr>
          <w:rFonts w:ascii="Arial" w:eastAsia="Frutiger-LightCn" w:hAnsi="Arial" w:cs="Arial"/>
          <w:lang w:eastAsia="zh-CN" w:bidi="ar"/>
        </w:rPr>
        <w:t xml:space="preserve">. </w:t>
      </w:r>
      <w:proofErr w:type="spellStart"/>
      <w:r>
        <w:rPr>
          <w:rFonts w:ascii="Arial" w:eastAsia="Frutiger-LightCn" w:hAnsi="Arial" w:cs="Arial"/>
          <w:lang w:eastAsia="zh-CN" w:bidi="ar"/>
        </w:rPr>
        <w:t>Pediatr</w:t>
      </w:r>
      <w:r>
        <w:rPr>
          <w:rFonts w:ascii="Arial" w:eastAsia="Frutiger-LightCn" w:hAnsi="Arial" w:cs="Arial"/>
          <w:lang w:val="pt-BR" w:eastAsia="zh-CN" w:bidi="ar"/>
        </w:rPr>
        <w:t>ic</w:t>
      </w:r>
      <w:proofErr w:type="spellEnd"/>
      <w:r>
        <w:rPr>
          <w:rFonts w:ascii="Arial" w:eastAsia="Frutiger-LightCn" w:hAnsi="Arial" w:cs="Arial"/>
          <w:lang w:eastAsia="zh-CN" w:bidi="ar"/>
        </w:rPr>
        <w:t xml:space="preserve"> Dent</w:t>
      </w:r>
      <w:proofErr w:type="spellStart"/>
      <w:r>
        <w:rPr>
          <w:rFonts w:ascii="Arial" w:eastAsia="Frutiger-LightCn" w:hAnsi="Arial" w:cs="Arial"/>
          <w:lang w:val="pt-BR" w:eastAsia="zh-CN" w:bidi="ar"/>
        </w:rPr>
        <w:t>stry</w:t>
      </w:r>
      <w:proofErr w:type="spellEnd"/>
      <w:r>
        <w:rPr>
          <w:rFonts w:ascii="Arial" w:eastAsia="Frutiger-LightCn" w:hAnsi="Arial" w:cs="Arial"/>
          <w:lang w:val="pt-BR" w:eastAsia="zh-CN" w:bidi="ar"/>
        </w:rPr>
        <w:t>. 2012;</w:t>
      </w:r>
      <w:r>
        <w:rPr>
          <w:rFonts w:ascii="Arial" w:eastAsia="Frutiger-LightCn" w:hAnsi="Arial" w:cs="Arial"/>
          <w:b/>
          <w:bCs/>
          <w:lang w:eastAsia="zh-CN" w:bidi="ar"/>
        </w:rPr>
        <w:t xml:space="preserve"> </w:t>
      </w:r>
      <w:r>
        <w:rPr>
          <w:rFonts w:ascii="Arial" w:eastAsia="Frutiger-LightCn" w:hAnsi="Arial" w:cs="Arial"/>
          <w:lang w:eastAsia="zh-CN" w:bidi="ar"/>
        </w:rPr>
        <w:t>34</w:t>
      </w:r>
      <w:r>
        <w:rPr>
          <w:rFonts w:ascii="Arial" w:eastAsia="Frutiger-LightCn" w:hAnsi="Arial" w:cs="Arial"/>
          <w:lang w:val="pt-BR" w:eastAsia="zh-CN" w:bidi="ar"/>
        </w:rPr>
        <w:t>:</w:t>
      </w:r>
      <w:r>
        <w:rPr>
          <w:rFonts w:ascii="Arial" w:eastAsia="Frutiger-LightCn" w:hAnsi="Arial" w:cs="Arial"/>
          <w:lang w:eastAsia="zh-CN" w:bidi="ar"/>
        </w:rPr>
        <w:t xml:space="preserve"> 23-27.</w:t>
      </w:r>
    </w:p>
    <w:p w14:paraId="2EF2EF10" w14:textId="77777777" w:rsidR="00687320" w:rsidRDefault="00687320">
      <w:pPr>
        <w:spacing w:line="360" w:lineRule="auto"/>
        <w:jc w:val="both"/>
        <w:rPr>
          <w:rFonts w:ascii="Arial" w:eastAsia="Frutiger-LightCn" w:hAnsi="Arial" w:cs="Arial"/>
          <w:lang w:eastAsia="zh-CN" w:bidi="ar"/>
        </w:rPr>
      </w:pPr>
    </w:p>
    <w:p w14:paraId="38C9F774" w14:textId="77777777" w:rsidR="00687320" w:rsidRDefault="00000000">
      <w:pPr>
        <w:numPr>
          <w:ilvl w:val="0"/>
          <w:numId w:val="3"/>
        </w:numPr>
        <w:spacing w:line="360" w:lineRule="auto"/>
        <w:jc w:val="both"/>
        <w:rPr>
          <w:rFonts w:ascii="Arial" w:eastAsia="Franklin Gothic Book" w:hAnsi="Arial" w:cs="Arial"/>
          <w:color w:val="231F20"/>
          <w:lang w:eastAsia="zh-CN" w:bidi="ar"/>
        </w:rPr>
      </w:pPr>
      <w:r>
        <w:rPr>
          <w:rFonts w:ascii="Arial" w:eastAsia="Franklin Gothic Book" w:hAnsi="Arial" w:cs="Arial"/>
          <w:color w:val="231F20"/>
          <w:lang w:eastAsia="zh-CN" w:bidi="ar"/>
        </w:rPr>
        <w:t>Roberto CA</w:t>
      </w:r>
      <w:r>
        <w:rPr>
          <w:rFonts w:ascii="Arial" w:eastAsia="Franklin Gothic Book" w:hAnsi="Arial" w:cs="Arial"/>
          <w:color w:val="231F20"/>
          <w:lang w:val="pt-BR" w:eastAsia="zh-CN" w:bidi="ar"/>
        </w:rPr>
        <w:t>,</w:t>
      </w:r>
      <w:r>
        <w:rPr>
          <w:rFonts w:ascii="Arial" w:eastAsia="Franklin Gothic Book" w:hAnsi="Arial" w:cs="Arial"/>
          <w:color w:val="231F20"/>
          <w:lang w:eastAsia="zh-CN" w:bidi="ar"/>
        </w:rPr>
        <w:t xml:space="preserve"> Swinburn</w:t>
      </w:r>
      <w:r>
        <w:rPr>
          <w:rFonts w:ascii="Arial" w:eastAsia="Franklin Gothic Book" w:hAnsi="Arial" w:cs="Arial"/>
          <w:color w:val="231F20"/>
          <w:lang w:val="pt-BR" w:eastAsia="zh-CN" w:bidi="ar"/>
        </w:rPr>
        <w:t xml:space="preserve"> </w:t>
      </w:r>
      <w:r>
        <w:rPr>
          <w:rFonts w:ascii="Arial" w:eastAsia="Franklin Gothic Book" w:hAnsi="Arial" w:cs="Arial"/>
          <w:color w:val="231F20"/>
          <w:lang w:eastAsia="zh-CN" w:bidi="ar"/>
        </w:rPr>
        <w:t>B</w:t>
      </w:r>
      <w:r>
        <w:rPr>
          <w:rFonts w:ascii="Arial" w:eastAsia="Franklin Gothic Book" w:hAnsi="Arial" w:cs="Arial"/>
          <w:color w:val="231F20"/>
          <w:lang w:val="pt-BR" w:eastAsia="zh-CN" w:bidi="ar"/>
        </w:rPr>
        <w:t>,</w:t>
      </w:r>
      <w:r>
        <w:rPr>
          <w:rFonts w:ascii="Arial" w:eastAsia="Franklin Gothic Book" w:hAnsi="Arial" w:cs="Arial"/>
          <w:color w:val="231F20"/>
          <w:lang w:eastAsia="zh-CN" w:bidi="ar"/>
        </w:rPr>
        <w:t xml:space="preserve"> Hawkes C</w:t>
      </w:r>
      <w:r>
        <w:rPr>
          <w:rFonts w:ascii="Arial" w:eastAsia="Franklin Gothic Book" w:hAnsi="Arial" w:cs="Arial"/>
          <w:color w:val="231F20"/>
          <w:lang w:val="pt-BR" w:eastAsia="zh-CN" w:bidi="ar"/>
        </w:rPr>
        <w:t xml:space="preserve">. </w:t>
      </w:r>
      <w:r>
        <w:rPr>
          <w:rFonts w:ascii="Arial" w:eastAsia="Franklin Gothic Book" w:hAnsi="Arial" w:cs="Arial"/>
          <w:color w:val="231F20"/>
          <w:lang w:eastAsia="zh-CN" w:bidi="ar"/>
        </w:rPr>
        <w:t xml:space="preserve">Patchy progress on obesity prevention: emerging examples, entrenched barriers, and new thinking. </w:t>
      </w:r>
      <w:r>
        <w:rPr>
          <w:rFonts w:ascii="Arial" w:eastAsia="Franklin Gothic Book" w:hAnsi="Arial" w:cs="Arial"/>
          <w:color w:val="231F20"/>
          <w:lang w:val="pt-BR" w:eastAsia="zh-CN" w:bidi="ar"/>
        </w:rPr>
        <w:t xml:space="preserve">The </w:t>
      </w:r>
      <w:r>
        <w:rPr>
          <w:rFonts w:ascii="Arial" w:eastAsia="Franklin Gothic Book" w:hAnsi="Arial" w:cs="Arial"/>
          <w:color w:val="231F20"/>
          <w:lang w:eastAsia="zh-CN" w:bidi="ar"/>
        </w:rPr>
        <w:t>Lancet.</w:t>
      </w:r>
      <w:r>
        <w:rPr>
          <w:rFonts w:ascii="Arial" w:eastAsia="Franklin Gothic Book" w:hAnsi="Arial" w:cs="Arial"/>
          <w:color w:val="231F20"/>
          <w:lang w:val="pt-BR" w:eastAsia="zh-CN" w:bidi="ar"/>
        </w:rPr>
        <w:t xml:space="preserve"> 2015;</w:t>
      </w:r>
      <w:r>
        <w:rPr>
          <w:rFonts w:ascii="Arial" w:eastAsia="Franklin Gothic Book" w:hAnsi="Arial" w:cs="Arial"/>
          <w:color w:val="231F20"/>
          <w:lang w:eastAsia="zh-CN" w:bidi="ar"/>
        </w:rPr>
        <w:t xml:space="preserve"> 385:</w:t>
      </w:r>
      <w:r>
        <w:rPr>
          <w:rFonts w:ascii="Arial" w:eastAsia="Franklin Gothic Book" w:hAnsi="Arial" w:cs="Arial"/>
          <w:color w:val="231F20"/>
          <w:lang w:val="pt-BR" w:eastAsia="zh-CN" w:bidi="ar"/>
        </w:rPr>
        <w:t xml:space="preserve"> </w:t>
      </w:r>
      <w:r>
        <w:rPr>
          <w:rFonts w:ascii="Arial" w:eastAsia="Franklin Gothic Book" w:hAnsi="Arial" w:cs="Arial"/>
          <w:color w:val="231F20"/>
          <w:lang w:eastAsia="zh-CN" w:bidi="ar"/>
        </w:rPr>
        <w:t>2400-2409.</w:t>
      </w:r>
    </w:p>
    <w:p w14:paraId="3726F149" w14:textId="77777777" w:rsidR="00687320" w:rsidRDefault="00687320">
      <w:pPr>
        <w:spacing w:line="360" w:lineRule="auto"/>
        <w:jc w:val="both"/>
        <w:rPr>
          <w:rFonts w:ascii="Arial" w:eastAsia="Frutiger-LightCn" w:hAnsi="Arial" w:cs="Arial"/>
          <w:lang w:val="pt-BR" w:eastAsia="zh-CN" w:bidi="ar"/>
        </w:rPr>
      </w:pPr>
    </w:p>
    <w:p w14:paraId="6C0356AF" w14:textId="0E126965" w:rsidR="00687320" w:rsidRDefault="00000000">
      <w:pPr>
        <w:numPr>
          <w:ilvl w:val="0"/>
          <w:numId w:val="3"/>
        </w:numPr>
        <w:shd w:val="clear" w:color="auto" w:fill="FFFFFF"/>
        <w:spacing w:line="360" w:lineRule="auto"/>
        <w:ind w:right="-2"/>
        <w:jc w:val="both"/>
        <w:rPr>
          <w:rFonts w:ascii="Arial" w:eastAsia="SimSun" w:hAnsi="Arial" w:cs="Arial"/>
          <w:lang w:eastAsia="zh-CN" w:bidi="ar"/>
        </w:rPr>
      </w:pPr>
      <w:r>
        <w:rPr>
          <w:rFonts w:ascii="Arial" w:eastAsia="Segoe UI" w:hAnsi="Arial" w:cs="Arial"/>
          <w:color w:val="212121"/>
          <w:shd w:val="clear" w:color="auto" w:fill="FFFFFF"/>
        </w:rPr>
        <w:t xml:space="preserve">Afshin A, </w:t>
      </w:r>
      <w:proofErr w:type="spellStart"/>
      <w:r>
        <w:rPr>
          <w:rFonts w:ascii="Arial" w:eastAsia="Segoe UI" w:hAnsi="Arial" w:cs="Arial"/>
          <w:color w:val="212121"/>
          <w:shd w:val="clear" w:color="auto" w:fill="FFFFFF"/>
        </w:rPr>
        <w:t>Forouzanfar</w:t>
      </w:r>
      <w:proofErr w:type="spellEnd"/>
      <w:r>
        <w:rPr>
          <w:rFonts w:ascii="Arial" w:eastAsia="Segoe UI" w:hAnsi="Arial" w:cs="Arial"/>
          <w:color w:val="212121"/>
          <w:shd w:val="clear" w:color="auto" w:fill="FFFFFF"/>
        </w:rPr>
        <w:t xml:space="preserve"> MH, Reitsma MB, Sur P, Estep K, </w:t>
      </w:r>
      <w:r w:rsidR="00E61693">
        <w:rPr>
          <w:rFonts w:ascii="Arial" w:eastAsia="Segoe UI" w:hAnsi="Arial" w:cs="Arial"/>
          <w:color w:val="212121"/>
          <w:shd w:val="clear" w:color="auto" w:fill="FFFFFF"/>
        </w:rPr>
        <w:t>et al</w:t>
      </w:r>
      <w:r>
        <w:rPr>
          <w:rFonts w:ascii="Arial" w:eastAsia="Segoe UI" w:hAnsi="Arial" w:cs="Arial"/>
          <w:color w:val="212121"/>
          <w:shd w:val="clear" w:color="auto" w:fill="FFFFFF"/>
        </w:rPr>
        <w:t xml:space="preserve">. Health Effects of Overweight and Obesity in 195 Countries over 25 Years. </w:t>
      </w:r>
      <w:r>
        <w:rPr>
          <w:rFonts w:ascii="Arial" w:eastAsia="Segoe UI" w:hAnsi="Arial" w:cs="Arial"/>
          <w:color w:val="212121"/>
          <w:shd w:val="clear" w:color="auto" w:fill="FFFFFF"/>
          <w:lang w:val="pt-BR"/>
        </w:rPr>
        <w:t xml:space="preserve">The </w:t>
      </w:r>
      <w:r>
        <w:rPr>
          <w:rFonts w:ascii="Arial" w:eastAsia="Segoe UI" w:hAnsi="Arial" w:cs="Arial"/>
          <w:color w:val="212121"/>
          <w:shd w:val="clear" w:color="auto" w:fill="FFFFFF"/>
        </w:rPr>
        <w:t>N</w:t>
      </w:r>
      <w:proofErr w:type="spellStart"/>
      <w:r>
        <w:rPr>
          <w:rFonts w:ascii="Arial" w:eastAsia="Segoe UI" w:hAnsi="Arial" w:cs="Arial"/>
          <w:color w:val="212121"/>
          <w:shd w:val="clear" w:color="auto" w:fill="FFFFFF"/>
          <w:lang w:val="pt-BR"/>
        </w:rPr>
        <w:t>ew</w:t>
      </w:r>
      <w:proofErr w:type="spellEnd"/>
      <w:r>
        <w:rPr>
          <w:rFonts w:ascii="Arial" w:eastAsia="Segoe UI" w:hAnsi="Arial" w:cs="Arial"/>
          <w:color w:val="212121"/>
          <w:shd w:val="clear" w:color="auto" w:fill="FFFFFF"/>
        </w:rPr>
        <w:t xml:space="preserve"> Engl</w:t>
      </w:r>
      <w:proofErr w:type="spellStart"/>
      <w:r>
        <w:rPr>
          <w:rFonts w:ascii="Arial" w:eastAsia="Segoe UI" w:hAnsi="Arial" w:cs="Arial"/>
          <w:color w:val="212121"/>
          <w:shd w:val="clear" w:color="auto" w:fill="FFFFFF"/>
          <w:lang w:val="pt-BR"/>
        </w:rPr>
        <w:t>and</w:t>
      </w:r>
      <w:proofErr w:type="spellEnd"/>
      <w:r>
        <w:rPr>
          <w:rFonts w:ascii="Arial" w:eastAsia="Segoe UI" w:hAnsi="Arial" w:cs="Arial"/>
          <w:color w:val="212121"/>
          <w:shd w:val="clear" w:color="auto" w:fill="FFFFFF"/>
        </w:rPr>
        <w:t xml:space="preserve"> J</w:t>
      </w:r>
      <w:proofErr w:type="spellStart"/>
      <w:r>
        <w:rPr>
          <w:rFonts w:ascii="Arial" w:eastAsia="Segoe UI" w:hAnsi="Arial" w:cs="Arial"/>
          <w:color w:val="212121"/>
          <w:shd w:val="clear" w:color="auto" w:fill="FFFFFF"/>
          <w:lang w:val="pt-BR"/>
        </w:rPr>
        <w:t>ournal</w:t>
      </w:r>
      <w:proofErr w:type="spellEnd"/>
      <w:r>
        <w:rPr>
          <w:rFonts w:ascii="Arial" w:eastAsia="Segoe UI" w:hAnsi="Arial" w:cs="Arial"/>
          <w:color w:val="212121"/>
          <w:shd w:val="clear" w:color="auto" w:fill="FFFFFF"/>
          <w:lang w:val="pt-BR"/>
        </w:rPr>
        <w:t xml:space="preserve"> </w:t>
      </w:r>
      <w:proofErr w:type="spellStart"/>
      <w:proofErr w:type="gramStart"/>
      <w:r>
        <w:rPr>
          <w:rFonts w:ascii="Arial" w:eastAsia="Segoe UI" w:hAnsi="Arial" w:cs="Arial"/>
          <w:color w:val="212121"/>
          <w:shd w:val="clear" w:color="auto" w:fill="FFFFFF"/>
          <w:lang w:val="pt-BR"/>
        </w:rPr>
        <w:t>of</w:t>
      </w:r>
      <w:proofErr w:type="spellEnd"/>
      <w:r>
        <w:rPr>
          <w:rFonts w:ascii="Arial" w:eastAsia="Segoe UI" w:hAnsi="Arial" w:cs="Arial"/>
          <w:color w:val="212121"/>
          <w:shd w:val="clear" w:color="auto" w:fill="FFFFFF"/>
        </w:rPr>
        <w:t xml:space="preserve"> Med</w:t>
      </w:r>
      <w:proofErr w:type="spellStart"/>
      <w:r>
        <w:rPr>
          <w:rFonts w:ascii="Arial" w:eastAsia="Segoe UI" w:hAnsi="Arial" w:cs="Arial"/>
          <w:color w:val="212121"/>
          <w:shd w:val="clear" w:color="auto" w:fill="FFFFFF"/>
          <w:lang w:val="pt-BR"/>
        </w:rPr>
        <w:t>icine</w:t>
      </w:r>
      <w:proofErr w:type="spellEnd"/>
      <w:proofErr w:type="gramEnd"/>
      <w:r>
        <w:rPr>
          <w:rFonts w:ascii="Arial" w:eastAsia="Segoe UI" w:hAnsi="Arial" w:cs="Arial"/>
          <w:color w:val="212121"/>
          <w:shd w:val="clear" w:color="auto" w:fill="FFFFFF"/>
        </w:rPr>
        <w:t>. 2017</w:t>
      </w:r>
      <w:r>
        <w:rPr>
          <w:rFonts w:ascii="Arial" w:eastAsia="Segoe UI" w:hAnsi="Arial" w:cs="Arial"/>
          <w:color w:val="212121"/>
          <w:shd w:val="clear" w:color="auto" w:fill="FFFFFF"/>
          <w:lang w:val="pt-BR"/>
        </w:rPr>
        <w:t>;</w:t>
      </w:r>
      <w:r>
        <w:rPr>
          <w:rFonts w:ascii="Arial" w:eastAsia="Segoe UI" w:hAnsi="Arial" w:cs="Arial"/>
          <w:color w:val="212121"/>
          <w:shd w:val="clear" w:color="auto" w:fill="FFFFFF"/>
        </w:rPr>
        <w:t xml:space="preserve"> 6;</w:t>
      </w:r>
      <w:r>
        <w:rPr>
          <w:rFonts w:ascii="Arial" w:eastAsia="Segoe UI" w:hAnsi="Arial" w:cs="Arial"/>
          <w:color w:val="212121"/>
          <w:shd w:val="clear" w:color="auto" w:fill="FFFFFF"/>
          <w:lang w:val="pt-BR"/>
        </w:rPr>
        <w:t xml:space="preserve"> </w:t>
      </w:r>
      <w:r>
        <w:rPr>
          <w:rFonts w:ascii="Arial" w:eastAsia="Segoe UI" w:hAnsi="Arial" w:cs="Arial"/>
          <w:color w:val="212121"/>
          <w:shd w:val="clear" w:color="auto" w:fill="FFFFFF"/>
        </w:rPr>
        <w:t>377(1):</w:t>
      </w:r>
      <w:r>
        <w:rPr>
          <w:rFonts w:ascii="Arial" w:eastAsia="Segoe UI" w:hAnsi="Arial" w:cs="Arial"/>
          <w:color w:val="212121"/>
          <w:shd w:val="clear" w:color="auto" w:fill="FFFFFF"/>
          <w:lang w:val="pt-BR"/>
        </w:rPr>
        <w:t xml:space="preserve"> </w:t>
      </w:r>
      <w:r>
        <w:rPr>
          <w:rFonts w:ascii="Arial" w:eastAsia="Segoe UI" w:hAnsi="Arial" w:cs="Arial"/>
          <w:color w:val="212121"/>
          <w:shd w:val="clear" w:color="auto" w:fill="FFFFFF"/>
        </w:rPr>
        <w:t>13-27.</w:t>
      </w:r>
    </w:p>
    <w:p w14:paraId="57215742" w14:textId="77777777" w:rsidR="00687320" w:rsidRDefault="00687320">
      <w:pPr>
        <w:spacing w:line="360" w:lineRule="auto"/>
        <w:jc w:val="both"/>
        <w:rPr>
          <w:rFonts w:ascii="Arial" w:eastAsia="Franklin Gothic Book" w:hAnsi="Arial" w:cs="Arial"/>
          <w:color w:val="231F20"/>
          <w:highlight w:val="green"/>
          <w:lang w:eastAsia="zh-CN" w:bidi="ar"/>
        </w:rPr>
      </w:pPr>
    </w:p>
    <w:p w14:paraId="351D572B" w14:textId="77777777" w:rsidR="00687320" w:rsidRDefault="00000000">
      <w:pPr>
        <w:numPr>
          <w:ilvl w:val="0"/>
          <w:numId w:val="3"/>
        </w:numPr>
        <w:spacing w:line="360" w:lineRule="auto"/>
        <w:jc w:val="both"/>
        <w:rPr>
          <w:rFonts w:ascii="Arial" w:eastAsia="Franklin Gothic Book" w:hAnsi="Arial" w:cs="Arial"/>
          <w:color w:val="231F20"/>
          <w:lang w:val="pt-BR" w:eastAsia="zh-CN" w:bidi="ar"/>
        </w:rPr>
      </w:pPr>
      <w:r>
        <w:rPr>
          <w:rFonts w:ascii="Arial" w:eastAsia="sans-serif" w:hAnsi="Arial" w:cs="Arial"/>
          <w:color w:val="1C1D1E"/>
          <w:shd w:val="clear" w:color="auto" w:fill="FFFFFF"/>
        </w:rPr>
        <w:t>Leal VO</w:t>
      </w:r>
      <w:r>
        <w:rPr>
          <w:rFonts w:ascii="Arial" w:eastAsia="sans-serif" w:hAnsi="Arial" w:cs="Arial"/>
          <w:color w:val="1C1D1E"/>
          <w:shd w:val="clear" w:color="auto" w:fill="FFFFFF"/>
          <w:lang w:val="pt-BR"/>
        </w:rPr>
        <w:t>,</w:t>
      </w:r>
      <w:r>
        <w:rPr>
          <w:rFonts w:ascii="Arial" w:eastAsia="sans-serif" w:hAnsi="Arial" w:cs="Arial"/>
          <w:color w:val="1C1D1E"/>
          <w:shd w:val="clear" w:color="auto" w:fill="FFFFFF"/>
        </w:rPr>
        <w:t> Mafra</w:t>
      </w:r>
      <w:r>
        <w:rPr>
          <w:rFonts w:ascii="Arial" w:eastAsia="sans-serif" w:hAnsi="Arial" w:cs="Arial"/>
          <w:color w:val="1C1D1E"/>
          <w:shd w:val="clear" w:color="auto" w:fill="FFFFFF"/>
          <w:lang w:val="pt-BR"/>
        </w:rPr>
        <w:t xml:space="preserve"> </w:t>
      </w:r>
      <w:r>
        <w:rPr>
          <w:rFonts w:ascii="Arial" w:eastAsia="sans-serif" w:hAnsi="Arial" w:cs="Arial"/>
          <w:color w:val="1C1D1E"/>
          <w:shd w:val="clear" w:color="auto" w:fill="FFFFFF"/>
        </w:rPr>
        <w:t>D</w:t>
      </w:r>
      <w:r>
        <w:rPr>
          <w:rFonts w:ascii="Arial" w:eastAsia="sans-serif" w:hAnsi="Arial" w:cs="Arial"/>
          <w:color w:val="1C1D1E"/>
          <w:shd w:val="clear" w:color="auto" w:fill="FFFFFF"/>
          <w:lang w:val="pt-BR"/>
        </w:rPr>
        <w:t>.</w:t>
      </w:r>
      <w:r>
        <w:rPr>
          <w:rFonts w:ascii="Arial" w:eastAsia="sans-serif" w:hAnsi="Arial" w:cs="Arial"/>
          <w:color w:val="1C1D1E"/>
          <w:shd w:val="clear" w:color="auto" w:fill="FFFFFF"/>
        </w:rPr>
        <w:t> Adipokines in obesity. Clin</w:t>
      </w:r>
      <w:proofErr w:type="spellStart"/>
      <w:r>
        <w:rPr>
          <w:rFonts w:ascii="Arial" w:eastAsia="sans-serif" w:hAnsi="Arial" w:cs="Arial"/>
          <w:color w:val="1C1D1E"/>
          <w:shd w:val="clear" w:color="auto" w:fill="FFFFFF"/>
          <w:lang w:val="pt-BR"/>
        </w:rPr>
        <w:t>ica</w:t>
      </w:r>
      <w:proofErr w:type="spellEnd"/>
      <w:r>
        <w:rPr>
          <w:rFonts w:ascii="Arial" w:eastAsia="sans-serif" w:hAnsi="Arial" w:cs="Arial"/>
          <w:color w:val="1C1D1E"/>
          <w:shd w:val="clear" w:color="auto" w:fill="FFFFFF"/>
        </w:rPr>
        <w:t xml:space="preserve"> Chim</w:t>
      </w:r>
      <w:proofErr w:type="spellStart"/>
      <w:r>
        <w:rPr>
          <w:rFonts w:ascii="Arial" w:eastAsia="sans-serif" w:hAnsi="Arial" w:cs="Arial"/>
          <w:color w:val="1C1D1E"/>
          <w:shd w:val="clear" w:color="auto" w:fill="FFFFFF"/>
          <w:lang w:val="pt-BR"/>
        </w:rPr>
        <w:t>ica</w:t>
      </w:r>
      <w:proofErr w:type="spellEnd"/>
      <w:r>
        <w:rPr>
          <w:rFonts w:ascii="Arial" w:eastAsia="sans-serif" w:hAnsi="Arial" w:cs="Arial"/>
          <w:color w:val="1C1D1E"/>
          <w:shd w:val="clear" w:color="auto" w:fill="FFFFFF"/>
        </w:rPr>
        <w:t xml:space="preserve"> Acta.</w:t>
      </w:r>
      <w:r>
        <w:rPr>
          <w:rFonts w:ascii="Arial" w:eastAsia="sans-serif" w:hAnsi="Arial" w:cs="Arial"/>
          <w:color w:val="1C1D1E"/>
          <w:shd w:val="clear" w:color="auto" w:fill="FFFFFF"/>
          <w:lang w:val="pt-BR"/>
        </w:rPr>
        <w:t xml:space="preserve"> 2013;</w:t>
      </w:r>
      <w:r>
        <w:rPr>
          <w:rFonts w:ascii="Arial" w:eastAsia="sans-serif" w:hAnsi="Arial" w:cs="Arial"/>
          <w:color w:val="1C1D1E"/>
          <w:shd w:val="clear" w:color="auto" w:fill="FFFFFF"/>
        </w:rPr>
        <w:t> 419: 87–94.</w:t>
      </w:r>
    </w:p>
    <w:p w14:paraId="41A5DE71" w14:textId="77777777" w:rsidR="00687320" w:rsidRDefault="00687320">
      <w:pPr>
        <w:spacing w:line="360" w:lineRule="auto"/>
        <w:jc w:val="both"/>
        <w:rPr>
          <w:rFonts w:ascii="Arial" w:eastAsia="sans-serif" w:hAnsi="Arial" w:cs="Arial"/>
          <w:color w:val="1C1D1E"/>
          <w:shd w:val="clear" w:color="auto" w:fill="FFFFFF"/>
        </w:rPr>
      </w:pPr>
    </w:p>
    <w:p w14:paraId="13537C61" w14:textId="77777777" w:rsidR="00687320" w:rsidRDefault="00000000">
      <w:pPr>
        <w:numPr>
          <w:ilvl w:val="0"/>
          <w:numId w:val="3"/>
        </w:numPr>
        <w:spacing w:line="360" w:lineRule="auto"/>
        <w:jc w:val="both"/>
        <w:rPr>
          <w:rFonts w:ascii="Arial" w:eastAsia="sans-serif" w:hAnsi="Arial" w:cs="Arial"/>
          <w:color w:val="1C1D1E"/>
          <w:shd w:val="clear" w:color="auto" w:fill="FFFFFF"/>
          <w:lang w:val="pt-BR" w:eastAsia="zh-CN"/>
        </w:rPr>
      </w:pPr>
      <w:r>
        <w:rPr>
          <w:rFonts w:ascii="Arial" w:eastAsia="Times New Roman" w:hAnsi="Arial" w:cs="Arial"/>
        </w:rPr>
        <w:t>Suvan JE</w:t>
      </w:r>
      <w:r>
        <w:rPr>
          <w:rFonts w:ascii="Arial" w:eastAsia="Times New Roman" w:hAnsi="Arial" w:cs="Arial"/>
          <w:lang w:val="pt-BR"/>
        </w:rPr>
        <w:t>,</w:t>
      </w:r>
      <w:r>
        <w:rPr>
          <w:rFonts w:ascii="Arial" w:eastAsia="Times New Roman" w:hAnsi="Arial" w:cs="Arial"/>
        </w:rPr>
        <w:t xml:space="preserve"> Finer</w:t>
      </w:r>
      <w:r>
        <w:rPr>
          <w:rFonts w:ascii="Arial" w:eastAsia="Times New Roman" w:hAnsi="Arial" w:cs="Arial"/>
          <w:lang w:val="pt-BR"/>
        </w:rPr>
        <w:t xml:space="preserve"> </w:t>
      </w:r>
      <w:r>
        <w:rPr>
          <w:rFonts w:ascii="Arial" w:eastAsia="Times New Roman" w:hAnsi="Arial" w:cs="Arial"/>
        </w:rPr>
        <w:t>N</w:t>
      </w:r>
      <w:r>
        <w:rPr>
          <w:rFonts w:ascii="Arial" w:eastAsia="Times New Roman" w:hAnsi="Arial" w:cs="Arial"/>
          <w:lang w:val="pt-BR"/>
        </w:rPr>
        <w:t>,</w:t>
      </w:r>
      <w:r>
        <w:rPr>
          <w:rFonts w:ascii="Arial" w:eastAsia="Times New Roman" w:hAnsi="Arial" w:cs="Arial"/>
        </w:rPr>
        <w:t xml:space="preserve"> D’aiuto F</w:t>
      </w:r>
      <w:r>
        <w:rPr>
          <w:rFonts w:ascii="Arial" w:eastAsia="Times New Roman" w:hAnsi="Arial" w:cs="Arial"/>
          <w:lang w:val="pt-BR"/>
        </w:rPr>
        <w:t xml:space="preserve">. </w:t>
      </w:r>
      <w:r>
        <w:rPr>
          <w:rFonts w:ascii="Arial" w:eastAsia="Times New Roman" w:hAnsi="Arial" w:cs="Arial"/>
        </w:rPr>
        <w:t>Periodontal complications with obesity. Periodontology 2000</w:t>
      </w:r>
      <w:r>
        <w:rPr>
          <w:rFonts w:ascii="Arial" w:eastAsia="Times New Roman" w:hAnsi="Arial" w:cs="Arial"/>
          <w:lang w:val="pt-BR"/>
        </w:rPr>
        <w:t>. 2018;</w:t>
      </w:r>
      <w:r>
        <w:rPr>
          <w:rFonts w:ascii="Arial" w:eastAsia="Times New Roman" w:hAnsi="Arial" w:cs="Arial"/>
        </w:rPr>
        <w:t xml:space="preserve"> 78</w:t>
      </w:r>
      <w:r>
        <w:rPr>
          <w:rFonts w:ascii="Arial" w:eastAsia="Times New Roman" w:hAnsi="Arial" w:cs="Arial"/>
          <w:lang w:val="pt-BR"/>
        </w:rPr>
        <w:t>:</w:t>
      </w:r>
      <w:r>
        <w:rPr>
          <w:rFonts w:ascii="Arial" w:eastAsia="Times New Roman" w:hAnsi="Arial" w:cs="Arial"/>
        </w:rPr>
        <w:t xml:space="preserve"> 98–128.</w:t>
      </w:r>
    </w:p>
    <w:p w14:paraId="04D75B3A" w14:textId="77777777" w:rsidR="00687320" w:rsidRDefault="00687320">
      <w:pPr>
        <w:spacing w:line="360" w:lineRule="auto"/>
        <w:jc w:val="both"/>
        <w:rPr>
          <w:rFonts w:ascii="Arial" w:eastAsia="Times New Roman" w:hAnsi="Arial" w:cs="Arial"/>
        </w:rPr>
      </w:pPr>
    </w:p>
    <w:p w14:paraId="54D36635" w14:textId="77777777" w:rsidR="00687320" w:rsidRDefault="00000000">
      <w:pPr>
        <w:numPr>
          <w:ilvl w:val="0"/>
          <w:numId w:val="3"/>
        </w:num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Jaganathan R</w:t>
      </w:r>
      <w:r>
        <w:rPr>
          <w:rFonts w:ascii="Arial" w:eastAsia="SimSun" w:hAnsi="Arial" w:cs="Arial"/>
          <w:color w:val="222222"/>
          <w:shd w:val="clear" w:color="auto" w:fill="FFFFFF"/>
          <w:lang w:val="pt-BR"/>
        </w:rPr>
        <w:t>,</w:t>
      </w:r>
      <w:r>
        <w:rPr>
          <w:rFonts w:ascii="Arial" w:eastAsia="SimSun" w:hAnsi="Arial" w:cs="Arial"/>
          <w:color w:val="222222"/>
          <w:shd w:val="clear" w:color="auto" w:fill="FFFFFF"/>
        </w:rPr>
        <w:t xml:space="preserve"> Ravindran R</w:t>
      </w:r>
      <w:r>
        <w:rPr>
          <w:rFonts w:ascii="Arial" w:eastAsia="SimSun" w:hAnsi="Arial" w:cs="Arial"/>
          <w:color w:val="222222"/>
          <w:shd w:val="clear" w:color="auto" w:fill="FFFFFF"/>
          <w:lang w:val="pt-BR"/>
        </w:rPr>
        <w:t>,</w:t>
      </w:r>
      <w:r>
        <w:rPr>
          <w:rFonts w:ascii="Arial" w:eastAsia="SimSun" w:hAnsi="Arial" w:cs="Arial"/>
          <w:color w:val="222222"/>
          <w:shd w:val="clear" w:color="auto" w:fill="FFFFFF"/>
        </w:rPr>
        <w:t xml:space="preserve"> Dhanasekaran S</w:t>
      </w:r>
      <w:r>
        <w:rPr>
          <w:rFonts w:ascii="Arial" w:eastAsia="SimSun" w:hAnsi="Arial" w:cs="Arial"/>
          <w:color w:val="222222"/>
          <w:shd w:val="clear" w:color="auto" w:fill="FFFFFF"/>
          <w:lang w:val="pt-BR"/>
        </w:rPr>
        <w:t>.</w:t>
      </w:r>
      <w:r>
        <w:rPr>
          <w:rFonts w:ascii="Arial" w:eastAsia="SimSun" w:hAnsi="Arial" w:cs="Arial"/>
          <w:color w:val="222222"/>
          <w:shd w:val="clear" w:color="auto" w:fill="FFFFFF"/>
        </w:rPr>
        <w:t xml:space="preserve"> Emerging Role of Adipocytokines in Type 2 Diabetes as Mediators of Insulin Resistance and Cardiovascular Disease. Can</w:t>
      </w:r>
      <w:proofErr w:type="spellStart"/>
      <w:r>
        <w:rPr>
          <w:rFonts w:ascii="Arial" w:eastAsia="SimSun" w:hAnsi="Arial" w:cs="Arial"/>
          <w:color w:val="222222"/>
          <w:shd w:val="clear" w:color="auto" w:fill="FFFFFF"/>
          <w:lang w:val="pt-BR"/>
        </w:rPr>
        <w:t>adian</w:t>
      </w:r>
      <w:proofErr w:type="spellEnd"/>
      <w:r>
        <w:rPr>
          <w:rFonts w:ascii="Arial" w:eastAsia="SimSun" w:hAnsi="Arial" w:cs="Arial"/>
          <w:color w:val="222222"/>
          <w:shd w:val="clear" w:color="auto" w:fill="FFFFFF"/>
        </w:rPr>
        <w:t xml:space="preserve"> J</w:t>
      </w:r>
      <w:proofErr w:type="spellStart"/>
      <w:r>
        <w:rPr>
          <w:rFonts w:ascii="Arial" w:eastAsia="SimSun" w:hAnsi="Arial" w:cs="Arial"/>
          <w:color w:val="222222"/>
          <w:shd w:val="clear" w:color="auto" w:fill="FFFFFF"/>
          <w:lang w:val="pt-BR"/>
        </w:rPr>
        <w:t>ournal</w:t>
      </w:r>
      <w:proofErr w:type="spellEnd"/>
      <w:r>
        <w:rPr>
          <w:rFonts w:ascii="Arial" w:eastAsia="SimSun" w:hAnsi="Arial" w:cs="Arial"/>
          <w:color w:val="222222"/>
          <w:shd w:val="clear" w:color="auto" w:fill="FFFFFF"/>
          <w:lang w:val="pt-BR"/>
        </w:rPr>
        <w:t xml:space="preserve"> </w:t>
      </w:r>
      <w:proofErr w:type="spellStart"/>
      <w:r>
        <w:rPr>
          <w:rFonts w:ascii="Arial" w:eastAsia="SimSun" w:hAnsi="Arial" w:cs="Arial"/>
          <w:color w:val="222222"/>
          <w:shd w:val="clear" w:color="auto" w:fill="FFFFFF"/>
          <w:lang w:val="pt-BR"/>
        </w:rPr>
        <w:t>of</w:t>
      </w:r>
      <w:proofErr w:type="spellEnd"/>
      <w:r>
        <w:rPr>
          <w:rFonts w:ascii="Arial" w:eastAsia="SimSun" w:hAnsi="Arial" w:cs="Arial"/>
          <w:color w:val="222222"/>
          <w:shd w:val="clear" w:color="auto" w:fill="FFFFFF"/>
        </w:rPr>
        <w:t xml:space="preserve"> Diabetes</w:t>
      </w:r>
      <w:r>
        <w:rPr>
          <w:rFonts w:ascii="Arial" w:eastAsia="SimSun" w:hAnsi="Arial" w:cs="Arial"/>
          <w:color w:val="222222"/>
          <w:shd w:val="clear" w:color="auto" w:fill="FFFFFF"/>
          <w:lang w:val="pt-BR"/>
        </w:rPr>
        <w:t>. 2018;</w:t>
      </w:r>
      <w:r>
        <w:rPr>
          <w:rFonts w:ascii="Arial" w:eastAsia="SimSun" w:hAnsi="Arial" w:cs="Arial"/>
          <w:color w:val="222222"/>
          <w:shd w:val="clear" w:color="auto" w:fill="FFFFFF"/>
        </w:rPr>
        <w:t> 42</w:t>
      </w:r>
      <w:r>
        <w:rPr>
          <w:rFonts w:ascii="Arial" w:eastAsia="SimSun" w:hAnsi="Arial" w:cs="Arial"/>
          <w:color w:val="222222"/>
          <w:shd w:val="clear" w:color="auto" w:fill="FFFFFF"/>
          <w:lang w:val="pt-BR"/>
        </w:rPr>
        <w:t>:</w:t>
      </w:r>
      <w:r>
        <w:rPr>
          <w:rFonts w:ascii="Arial" w:eastAsia="SimSun" w:hAnsi="Arial" w:cs="Arial"/>
          <w:color w:val="222222"/>
          <w:shd w:val="clear" w:color="auto" w:fill="FFFFFF"/>
        </w:rPr>
        <w:t xml:space="preserve"> 446–456.</w:t>
      </w:r>
    </w:p>
    <w:p w14:paraId="4D04EA8D" w14:textId="77777777" w:rsidR="00687320" w:rsidRDefault="00687320">
      <w:pPr>
        <w:spacing w:line="360" w:lineRule="auto"/>
        <w:jc w:val="both"/>
        <w:rPr>
          <w:rFonts w:ascii="Arial" w:eastAsia="Times New Roman" w:hAnsi="Arial" w:cs="Arial"/>
          <w:lang w:val="pt-BR" w:eastAsia="zh-CN"/>
        </w:rPr>
      </w:pPr>
    </w:p>
    <w:p w14:paraId="50A70142" w14:textId="77777777" w:rsidR="00687320" w:rsidRDefault="00000000">
      <w:pPr>
        <w:numPr>
          <w:ilvl w:val="0"/>
          <w:numId w:val="3"/>
        </w:numPr>
        <w:spacing w:line="360" w:lineRule="auto"/>
        <w:jc w:val="both"/>
        <w:rPr>
          <w:rFonts w:ascii="Arial" w:eastAsia="Frutiger-LightCn" w:hAnsi="Arial" w:cs="Arial"/>
          <w:lang w:val="pt-BR" w:eastAsia="zh-CN" w:bidi="ar"/>
        </w:rPr>
      </w:pPr>
      <w:r>
        <w:rPr>
          <w:rFonts w:ascii="Arial" w:eastAsia="Segoe UI" w:hAnsi="Arial" w:cs="Arial"/>
          <w:color w:val="212121"/>
          <w:shd w:val="clear" w:color="auto" w:fill="FFFFFF"/>
        </w:rPr>
        <w:t>Sharma V, Gupta N, Srivastava N, Rana V, Chandna P, Yadav S, Sharma A. Diagnostic potential of inflammatory biomarkers in early childhood caries - A case control study. Clin</w:t>
      </w:r>
      <w:proofErr w:type="spellStart"/>
      <w:r>
        <w:rPr>
          <w:rFonts w:ascii="Arial" w:eastAsia="Segoe UI" w:hAnsi="Arial" w:cs="Arial"/>
          <w:color w:val="212121"/>
          <w:shd w:val="clear" w:color="auto" w:fill="FFFFFF"/>
          <w:lang w:val="pt-BR"/>
        </w:rPr>
        <w:t>ica</w:t>
      </w:r>
      <w:proofErr w:type="spellEnd"/>
      <w:r>
        <w:rPr>
          <w:rFonts w:ascii="Arial" w:eastAsia="Segoe UI" w:hAnsi="Arial" w:cs="Arial"/>
          <w:color w:val="212121"/>
          <w:shd w:val="clear" w:color="auto" w:fill="FFFFFF"/>
        </w:rPr>
        <w:t xml:space="preserve"> Chim</w:t>
      </w:r>
      <w:proofErr w:type="spellStart"/>
      <w:r>
        <w:rPr>
          <w:rFonts w:ascii="Arial" w:eastAsia="Segoe UI" w:hAnsi="Arial" w:cs="Arial"/>
          <w:color w:val="212121"/>
          <w:shd w:val="clear" w:color="auto" w:fill="FFFFFF"/>
          <w:lang w:val="pt-BR"/>
        </w:rPr>
        <w:t>ica</w:t>
      </w:r>
      <w:proofErr w:type="spellEnd"/>
      <w:r>
        <w:rPr>
          <w:rFonts w:ascii="Arial" w:eastAsia="Segoe UI" w:hAnsi="Arial" w:cs="Arial"/>
          <w:color w:val="212121"/>
          <w:shd w:val="clear" w:color="auto" w:fill="FFFFFF"/>
        </w:rPr>
        <w:t xml:space="preserve"> Acta. 2017;</w:t>
      </w:r>
      <w:r>
        <w:rPr>
          <w:rFonts w:ascii="Arial" w:eastAsia="Segoe UI" w:hAnsi="Arial" w:cs="Arial"/>
          <w:color w:val="212121"/>
          <w:shd w:val="clear" w:color="auto" w:fill="FFFFFF"/>
          <w:lang w:val="pt-BR"/>
        </w:rPr>
        <w:t xml:space="preserve"> </w:t>
      </w:r>
      <w:r>
        <w:rPr>
          <w:rFonts w:ascii="Arial" w:eastAsia="Segoe UI" w:hAnsi="Arial" w:cs="Arial"/>
          <w:color w:val="212121"/>
          <w:shd w:val="clear" w:color="auto" w:fill="FFFFFF"/>
        </w:rPr>
        <w:t>471:</w:t>
      </w:r>
      <w:r>
        <w:rPr>
          <w:rFonts w:ascii="Arial" w:eastAsia="Segoe UI" w:hAnsi="Arial" w:cs="Arial"/>
          <w:color w:val="212121"/>
          <w:shd w:val="clear" w:color="auto" w:fill="FFFFFF"/>
          <w:lang w:val="pt-BR"/>
        </w:rPr>
        <w:t xml:space="preserve"> </w:t>
      </w:r>
      <w:r>
        <w:rPr>
          <w:rFonts w:ascii="Arial" w:eastAsia="Segoe UI" w:hAnsi="Arial" w:cs="Arial"/>
          <w:color w:val="212121"/>
          <w:shd w:val="clear" w:color="auto" w:fill="FFFFFF"/>
        </w:rPr>
        <w:t>158-163.</w:t>
      </w:r>
    </w:p>
    <w:p w14:paraId="31E8193E" w14:textId="77777777" w:rsidR="00687320" w:rsidRDefault="00687320">
      <w:pPr>
        <w:spacing w:line="360" w:lineRule="auto"/>
        <w:jc w:val="both"/>
        <w:rPr>
          <w:rFonts w:ascii="Arial" w:eastAsia="Segoe UI" w:hAnsi="Arial" w:cs="Arial"/>
          <w:color w:val="212121"/>
          <w:shd w:val="clear" w:color="auto" w:fill="FFFFFF"/>
        </w:rPr>
      </w:pPr>
    </w:p>
    <w:p w14:paraId="301D3851" w14:textId="77777777" w:rsidR="00687320" w:rsidRDefault="00000000">
      <w:pPr>
        <w:numPr>
          <w:ilvl w:val="0"/>
          <w:numId w:val="3"/>
        </w:numPr>
        <w:spacing w:line="360" w:lineRule="auto"/>
        <w:jc w:val="both"/>
        <w:rPr>
          <w:rFonts w:ascii="Arial" w:eastAsia="sans-serif" w:hAnsi="Arial" w:cs="Arial"/>
          <w:color w:val="1C1D1E"/>
          <w:shd w:val="clear" w:color="auto" w:fill="FFFFFF"/>
        </w:rPr>
      </w:pPr>
      <w:r>
        <w:rPr>
          <w:rFonts w:ascii="Arial" w:eastAsia="sans-serif" w:hAnsi="Arial" w:cs="Arial"/>
          <w:color w:val="1C1D1E"/>
          <w:shd w:val="clear" w:color="auto" w:fill="FFFFFF"/>
        </w:rPr>
        <w:t>Khan S</w:t>
      </w:r>
      <w:r>
        <w:rPr>
          <w:rFonts w:ascii="Arial" w:eastAsia="sans-serif" w:hAnsi="Arial" w:cs="Arial"/>
          <w:color w:val="1C1D1E"/>
          <w:shd w:val="clear" w:color="auto" w:fill="FFFFFF"/>
          <w:lang w:val="pt-BR"/>
        </w:rPr>
        <w:t>,</w:t>
      </w:r>
      <w:r>
        <w:rPr>
          <w:rFonts w:ascii="Arial" w:eastAsia="sans-serif" w:hAnsi="Arial" w:cs="Arial"/>
          <w:color w:val="1C1D1E"/>
          <w:shd w:val="clear" w:color="auto" w:fill="FFFFFF"/>
        </w:rPr>
        <w:t> Barrington</w:t>
      </w:r>
      <w:r>
        <w:rPr>
          <w:rFonts w:ascii="Arial" w:eastAsia="sans-serif" w:hAnsi="Arial" w:cs="Arial"/>
          <w:color w:val="1C1D1E"/>
          <w:shd w:val="clear" w:color="auto" w:fill="FFFFFF"/>
          <w:lang w:val="pt-BR"/>
        </w:rPr>
        <w:t xml:space="preserve"> </w:t>
      </w:r>
      <w:r>
        <w:rPr>
          <w:rFonts w:ascii="Arial" w:eastAsia="sans-serif" w:hAnsi="Arial" w:cs="Arial"/>
          <w:color w:val="1C1D1E"/>
          <w:shd w:val="clear" w:color="auto" w:fill="FFFFFF"/>
        </w:rPr>
        <w:t>G</w:t>
      </w:r>
      <w:r>
        <w:rPr>
          <w:rFonts w:ascii="Arial" w:eastAsia="sans-serif" w:hAnsi="Arial" w:cs="Arial"/>
          <w:color w:val="1C1D1E"/>
          <w:shd w:val="clear" w:color="auto" w:fill="FFFFFF"/>
          <w:lang w:val="pt-BR"/>
        </w:rPr>
        <w:t>,</w:t>
      </w:r>
      <w:r>
        <w:rPr>
          <w:rFonts w:ascii="Arial" w:eastAsia="sans-serif" w:hAnsi="Arial" w:cs="Arial"/>
          <w:color w:val="1C1D1E"/>
          <w:shd w:val="clear" w:color="auto" w:fill="FFFFFF"/>
        </w:rPr>
        <w:t> </w:t>
      </w:r>
      <w:proofErr w:type="spellStart"/>
      <w:r>
        <w:rPr>
          <w:rFonts w:ascii="Arial" w:eastAsia="sans-serif" w:hAnsi="Arial" w:cs="Arial"/>
          <w:color w:val="1C1D1E"/>
          <w:shd w:val="clear" w:color="auto" w:fill="FFFFFF"/>
        </w:rPr>
        <w:t>Bettiol</w:t>
      </w:r>
      <w:proofErr w:type="spellEnd"/>
      <w:r>
        <w:rPr>
          <w:rFonts w:ascii="Arial" w:eastAsia="sans-serif" w:hAnsi="Arial" w:cs="Arial"/>
          <w:color w:val="1C1D1E"/>
          <w:shd w:val="clear" w:color="auto" w:fill="FFFFFF"/>
        </w:rPr>
        <w:t xml:space="preserve"> S</w:t>
      </w:r>
      <w:r>
        <w:rPr>
          <w:rFonts w:ascii="Arial" w:eastAsia="sans-serif" w:hAnsi="Arial" w:cs="Arial"/>
          <w:color w:val="1C1D1E"/>
          <w:shd w:val="clear" w:color="auto" w:fill="FFFFFF"/>
          <w:lang w:val="pt-BR"/>
        </w:rPr>
        <w:t>,</w:t>
      </w:r>
      <w:r>
        <w:rPr>
          <w:rFonts w:ascii="Arial" w:eastAsia="sans-serif" w:hAnsi="Arial" w:cs="Arial"/>
          <w:color w:val="1C1D1E"/>
          <w:shd w:val="clear" w:color="auto" w:fill="FFFFFF"/>
        </w:rPr>
        <w:t> Barnett T</w:t>
      </w:r>
      <w:r>
        <w:rPr>
          <w:rFonts w:ascii="Arial" w:eastAsia="sans-serif" w:hAnsi="Arial" w:cs="Arial"/>
          <w:color w:val="1C1D1E"/>
          <w:shd w:val="clear" w:color="auto" w:fill="FFFFFF"/>
          <w:lang w:val="pt-BR"/>
        </w:rPr>
        <w:t>,</w:t>
      </w:r>
      <w:r>
        <w:rPr>
          <w:rFonts w:ascii="Arial" w:eastAsia="sans-serif" w:hAnsi="Arial" w:cs="Arial"/>
          <w:color w:val="1C1D1E"/>
          <w:shd w:val="clear" w:color="auto" w:fill="FFFFFF"/>
        </w:rPr>
        <w:t> Crocombe L</w:t>
      </w:r>
      <w:r>
        <w:rPr>
          <w:rFonts w:ascii="Arial" w:eastAsia="sans-serif" w:hAnsi="Arial" w:cs="Arial"/>
          <w:color w:val="1C1D1E"/>
          <w:shd w:val="clear" w:color="auto" w:fill="FFFFFF"/>
          <w:lang w:val="pt-BR"/>
        </w:rPr>
        <w:t>.</w:t>
      </w:r>
      <w:r>
        <w:rPr>
          <w:rFonts w:ascii="Arial" w:eastAsia="sans-serif" w:hAnsi="Arial" w:cs="Arial"/>
          <w:color w:val="1C1D1E"/>
          <w:shd w:val="clear" w:color="auto" w:fill="FFFFFF"/>
        </w:rPr>
        <w:t> Is overweight/obesity a risk factor for periodontitis in young adults and adolescents? A systematic review. </w:t>
      </w:r>
      <w:proofErr w:type="spellStart"/>
      <w:r>
        <w:rPr>
          <w:rFonts w:ascii="Arial" w:eastAsia="sans-serif" w:hAnsi="Arial" w:cs="Arial"/>
          <w:color w:val="1C1D1E"/>
          <w:shd w:val="clear" w:color="auto" w:fill="FFFFFF"/>
        </w:rPr>
        <w:t>Obes</w:t>
      </w:r>
      <w:r>
        <w:rPr>
          <w:rFonts w:ascii="Arial" w:eastAsia="sans-serif" w:hAnsi="Arial" w:cs="Arial"/>
          <w:color w:val="1C1D1E"/>
          <w:shd w:val="clear" w:color="auto" w:fill="FFFFFF"/>
          <w:lang w:val="pt-BR"/>
        </w:rPr>
        <w:t>ity</w:t>
      </w:r>
      <w:proofErr w:type="spellEnd"/>
      <w:r>
        <w:rPr>
          <w:rFonts w:ascii="Arial" w:eastAsia="sans-serif" w:hAnsi="Arial" w:cs="Arial"/>
          <w:color w:val="1C1D1E"/>
          <w:shd w:val="clear" w:color="auto" w:fill="FFFFFF"/>
        </w:rPr>
        <w:t xml:space="preserve"> Rev</w:t>
      </w:r>
      <w:proofErr w:type="spellStart"/>
      <w:r>
        <w:rPr>
          <w:rFonts w:ascii="Arial" w:eastAsia="sans-serif" w:hAnsi="Arial" w:cs="Arial"/>
          <w:color w:val="1C1D1E"/>
          <w:shd w:val="clear" w:color="auto" w:fill="FFFFFF"/>
          <w:lang w:val="pt-BR"/>
        </w:rPr>
        <w:t>iews</w:t>
      </w:r>
      <w:proofErr w:type="spellEnd"/>
      <w:r>
        <w:rPr>
          <w:rFonts w:ascii="Arial" w:eastAsia="sans-serif" w:hAnsi="Arial" w:cs="Arial"/>
          <w:color w:val="1C1D1E"/>
          <w:shd w:val="clear" w:color="auto" w:fill="FFFFFF"/>
          <w:lang w:val="pt-BR"/>
        </w:rPr>
        <w:t>. 2019;</w:t>
      </w:r>
      <w:r>
        <w:rPr>
          <w:rFonts w:ascii="Arial" w:eastAsia="sans-serif" w:hAnsi="Arial" w:cs="Arial"/>
          <w:color w:val="1C1D1E"/>
          <w:shd w:val="clear" w:color="auto" w:fill="FFFFFF"/>
        </w:rPr>
        <w:t> 19: 852–883.</w:t>
      </w:r>
    </w:p>
    <w:p w14:paraId="6C063844" w14:textId="77777777" w:rsidR="00687320" w:rsidRDefault="00687320">
      <w:pPr>
        <w:spacing w:line="360" w:lineRule="auto"/>
        <w:jc w:val="both"/>
        <w:rPr>
          <w:rFonts w:ascii="Arial" w:eastAsia="sans-serif" w:hAnsi="Arial" w:cs="Arial"/>
          <w:color w:val="1C1D1E"/>
          <w:shd w:val="clear" w:color="auto" w:fill="FFFFFF"/>
        </w:rPr>
      </w:pPr>
    </w:p>
    <w:p w14:paraId="45A9756D" w14:textId="77777777" w:rsidR="00687320" w:rsidRDefault="00000000">
      <w:pPr>
        <w:numPr>
          <w:ilvl w:val="0"/>
          <w:numId w:val="3"/>
        </w:numPr>
        <w:autoSpaceDE w:val="0"/>
        <w:autoSpaceDN w:val="0"/>
        <w:adjustRightInd w:val="0"/>
        <w:spacing w:line="360" w:lineRule="auto"/>
        <w:jc w:val="both"/>
        <w:rPr>
          <w:rFonts w:ascii="Arial" w:hAnsi="Arial" w:cs="Arial"/>
        </w:rPr>
      </w:pPr>
      <w:r>
        <w:rPr>
          <w:rFonts w:ascii="Arial" w:hAnsi="Arial" w:cs="Arial"/>
        </w:rPr>
        <w:lastRenderedPageBreak/>
        <w:t>Simring M</w:t>
      </w:r>
      <w:r>
        <w:rPr>
          <w:rFonts w:ascii="Arial" w:hAnsi="Arial" w:cs="Arial"/>
          <w:lang w:val="pt-BR"/>
        </w:rPr>
        <w:t>,</w:t>
      </w:r>
      <w:r>
        <w:rPr>
          <w:rFonts w:ascii="Arial" w:hAnsi="Arial" w:cs="Arial"/>
        </w:rPr>
        <w:t xml:space="preserve"> Goldberg M. The pulpal pocket approach: Retrograde periodontitis. Journal of Periodontology</w:t>
      </w:r>
      <w:r>
        <w:rPr>
          <w:rFonts w:ascii="Arial" w:hAnsi="Arial" w:cs="Arial"/>
          <w:lang w:val="pt-BR"/>
        </w:rPr>
        <w:t>. 1964;</w:t>
      </w:r>
      <w:r>
        <w:rPr>
          <w:rFonts w:ascii="Arial" w:hAnsi="Arial" w:cs="Arial"/>
        </w:rPr>
        <w:t xml:space="preserve"> 35</w:t>
      </w:r>
      <w:r>
        <w:rPr>
          <w:rFonts w:ascii="Arial" w:hAnsi="Arial" w:cs="Arial"/>
          <w:lang w:val="pt-BR"/>
        </w:rPr>
        <w:t>:</w:t>
      </w:r>
      <w:r>
        <w:rPr>
          <w:rFonts w:ascii="Arial" w:hAnsi="Arial" w:cs="Arial"/>
        </w:rPr>
        <w:t xml:space="preserve"> 22-48.</w:t>
      </w:r>
    </w:p>
    <w:p w14:paraId="110A9FA8" w14:textId="77777777" w:rsidR="00687320" w:rsidRDefault="00687320">
      <w:pPr>
        <w:autoSpaceDE w:val="0"/>
        <w:autoSpaceDN w:val="0"/>
        <w:adjustRightInd w:val="0"/>
        <w:spacing w:line="360" w:lineRule="auto"/>
        <w:jc w:val="both"/>
        <w:rPr>
          <w:rFonts w:ascii="Arial" w:hAnsi="Arial" w:cs="Arial"/>
        </w:rPr>
      </w:pPr>
    </w:p>
    <w:p w14:paraId="5F9BA754" w14:textId="77777777" w:rsidR="00687320" w:rsidRDefault="00000000">
      <w:pPr>
        <w:numPr>
          <w:ilvl w:val="0"/>
          <w:numId w:val="3"/>
        </w:numPr>
        <w:spacing w:line="360" w:lineRule="auto"/>
        <w:jc w:val="both"/>
        <w:rPr>
          <w:rFonts w:ascii="Arial" w:hAnsi="Arial" w:cs="Arial"/>
        </w:rPr>
      </w:pPr>
      <w:r>
        <w:rPr>
          <w:rFonts w:ascii="Arial" w:hAnsi="Arial" w:cs="Arial"/>
        </w:rPr>
        <w:t>Petka K</w:t>
      </w:r>
      <w:r>
        <w:rPr>
          <w:rFonts w:ascii="Arial" w:hAnsi="Arial" w:cs="Arial"/>
          <w:lang w:val="pt-BR"/>
        </w:rPr>
        <w:t>.</w:t>
      </w:r>
      <w:r>
        <w:rPr>
          <w:rFonts w:ascii="Arial" w:hAnsi="Arial" w:cs="Arial"/>
        </w:rPr>
        <w:t xml:space="preserve"> The 14 warning signs. Endodontic Practice</w:t>
      </w:r>
      <w:r>
        <w:rPr>
          <w:rFonts w:ascii="Arial" w:hAnsi="Arial" w:cs="Arial"/>
          <w:lang w:val="pt-BR"/>
        </w:rPr>
        <w:t>. 2001;</w:t>
      </w:r>
      <w:r>
        <w:rPr>
          <w:rFonts w:ascii="Arial" w:hAnsi="Arial" w:cs="Arial"/>
        </w:rPr>
        <w:t xml:space="preserve"> 4</w:t>
      </w:r>
      <w:r>
        <w:rPr>
          <w:rFonts w:ascii="Arial" w:hAnsi="Arial" w:cs="Arial"/>
          <w:lang w:val="pt-BR"/>
        </w:rPr>
        <w:t>:</w:t>
      </w:r>
      <w:r>
        <w:rPr>
          <w:rFonts w:ascii="Arial" w:hAnsi="Arial" w:cs="Arial"/>
        </w:rPr>
        <w:t xml:space="preserve"> 18-26.</w:t>
      </w:r>
    </w:p>
    <w:p w14:paraId="716F1D4D" w14:textId="77777777" w:rsidR="00687320" w:rsidRDefault="00687320">
      <w:pPr>
        <w:spacing w:line="360" w:lineRule="auto"/>
        <w:jc w:val="both"/>
        <w:rPr>
          <w:rFonts w:ascii="Arial" w:hAnsi="Arial" w:cs="Arial"/>
        </w:rPr>
      </w:pPr>
    </w:p>
    <w:p w14:paraId="4EC4005E" w14:textId="77777777" w:rsidR="00687320" w:rsidRDefault="00000000">
      <w:pPr>
        <w:numPr>
          <w:ilvl w:val="0"/>
          <w:numId w:val="3"/>
        </w:numPr>
        <w:autoSpaceDE w:val="0"/>
        <w:spacing w:line="360" w:lineRule="auto"/>
        <w:jc w:val="both"/>
        <w:outlineLvl w:val="0"/>
        <w:rPr>
          <w:rFonts w:ascii="Arial" w:hAnsi="Arial" w:cs="Arial"/>
          <w:lang w:eastAsia="en-US"/>
        </w:rPr>
      </w:pPr>
      <w:r>
        <w:rPr>
          <w:rFonts w:ascii="Arial" w:hAnsi="Arial" w:cs="Arial"/>
          <w:bCs/>
        </w:rPr>
        <w:t>Wang HL</w:t>
      </w:r>
      <w:r>
        <w:rPr>
          <w:rFonts w:ascii="Arial" w:hAnsi="Arial" w:cs="Arial"/>
          <w:bCs/>
          <w:lang w:val="pt-BR"/>
        </w:rPr>
        <w:t>,</w:t>
      </w:r>
      <w:r>
        <w:rPr>
          <w:rFonts w:ascii="Arial" w:hAnsi="Arial" w:cs="Arial"/>
          <w:bCs/>
        </w:rPr>
        <w:t xml:space="preserve"> Glickman GN</w:t>
      </w:r>
      <w:r>
        <w:rPr>
          <w:rFonts w:ascii="Arial" w:hAnsi="Arial" w:cs="Arial"/>
          <w:bCs/>
          <w:lang w:val="pt-BR"/>
        </w:rPr>
        <w:t>.</w:t>
      </w:r>
      <w:r>
        <w:rPr>
          <w:rFonts w:ascii="Arial" w:hAnsi="Arial" w:cs="Arial"/>
          <w:bCs/>
        </w:rPr>
        <w:t xml:space="preserve"> Endodontic and periodontic interrelationships. In: Cohen S</w:t>
      </w:r>
      <w:r>
        <w:rPr>
          <w:rFonts w:ascii="Arial" w:hAnsi="Arial" w:cs="Arial"/>
          <w:bCs/>
          <w:lang w:val="pt-BR"/>
        </w:rPr>
        <w:t>,</w:t>
      </w:r>
      <w:r>
        <w:rPr>
          <w:rFonts w:ascii="Arial" w:hAnsi="Arial" w:cs="Arial"/>
          <w:bCs/>
        </w:rPr>
        <w:t xml:space="preserve"> Burns RC. eds. Pathways of the Pulp.</w:t>
      </w:r>
      <w:r>
        <w:rPr>
          <w:rFonts w:ascii="Arial" w:hAnsi="Arial" w:cs="Arial"/>
          <w:bCs/>
          <w:lang w:val="pt-BR"/>
        </w:rPr>
        <w:t xml:space="preserve"> 2002;</w:t>
      </w:r>
      <w:r>
        <w:rPr>
          <w:rFonts w:ascii="Arial" w:hAnsi="Arial" w:cs="Arial"/>
          <w:bCs/>
        </w:rPr>
        <w:t xml:space="preserve"> 8</w:t>
      </w:r>
      <w:r>
        <w:rPr>
          <w:rFonts w:ascii="Arial" w:hAnsi="Arial" w:cs="Arial"/>
          <w:bCs/>
          <w:lang w:val="pt-BR"/>
        </w:rPr>
        <w:t>:</w:t>
      </w:r>
      <w:r>
        <w:rPr>
          <w:rFonts w:ascii="Arial" w:hAnsi="Arial" w:cs="Arial"/>
          <w:bCs/>
        </w:rPr>
        <w:t xml:space="preserve"> 651-64.</w:t>
      </w:r>
    </w:p>
    <w:p w14:paraId="504EF77B" w14:textId="77777777" w:rsidR="00687320" w:rsidRDefault="00687320">
      <w:pPr>
        <w:spacing w:line="360" w:lineRule="auto"/>
        <w:jc w:val="both"/>
        <w:rPr>
          <w:rFonts w:ascii="Arial" w:hAnsi="Arial" w:cs="Arial"/>
        </w:rPr>
      </w:pPr>
    </w:p>
    <w:p w14:paraId="007901A7" w14:textId="77777777" w:rsidR="00687320" w:rsidRDefault="00000000">
      <w:pPr>
        <w:numPr>
          <w:ilvl w:val="0"/>
          <w:numId w:val="3"/>
        </w:numPr>
        <w:spacing w:line="360" w:lineRule="auto"/>
        <w:jc w:val="both"/>
        <w:rPr>
          <w:rFonts w:ascii="Arial" w:hAnsi="Arial" w:cs="Arial"/>
        </w:rPr>
      </w:pPr>
      <w:r>
        <w:rPr>
          <w:rFonts w:ascii="Arial" w:hAnsi="Arial" w:cs="Arial"/>
        </w:rPr>
        <w:t>Cuoghi OA</w:t>
      </w:r>
      <w:r>
        <w:rPr>
          <w:rFonts w:ascii="Arial" w:hAnsi="Arial" w:cs="Arial"/>
          <w:lang w:val="pt-BR"/>
        </w:rPr>
        <w:t>,</w:t>
      </w:r>
      <w:r>
        <w:rPr>
          <w:rFonts w:ascii="Arial" w:hAnsi="Arial" w:cs="Arial"/>
        </w:rPr>
        <w:t xml:space="preserve"> Faria LP</w:t>
      </w:r>
      <w:r>
        <w:rPr>
          <w:rFonts w:ascii="Arial" w:hAnsi="Arial" w:cs="Arial"/>
          <w:lang w:val="pt-BR"/>
        </w:rPr>
        <w:t>,</w:t>
      </w:r>
      <w:r>
        <w:rPr>
          <w:rFonts w:ascii="Arial" w:hAnsi="Arial" w:cs="Arial"/>
        </w:rPr>
        <w:t xml:space="preserve"> Ervolino E</w:t>
      </w:r>
      <w:r>
        <w:rPr>
          <w:rFonts w:ascii="Arial" w:hAnsi="Arial" w:cs="Arial"/>
          <w:lang w:val="pt-BR"/>
        </w:rPr>
        <w:t>,</w:t>
      </w:r>
      <w:r>
        <w:rPr>
          <w:rFonts w:ascii="Arial" w:hAnsi="Arial" w:cs="Arial"/>
        </w:rPr>
        <w:t xml:space="preserve"> </w:t>
      </w:r>
      <w:proofErr w:type="spellStart"/>
      <w:r>
        <w:rPr>
          <w:rFonts w:ascii="Arial" w:hAnsi="Arial" w:cs="Arial"/>
        </w:rPr>
        <w:t>Barioni</w:t>
      </w:r>
      <w:proofErr w:type="spellEnd"/>
      <w:r>
        <w:rPr>
          <w:rFonts w:ascii="Arial" w:hAnsi="Arial" w:cs="Arial"/>
        </w:rPr>
        <w:t xml:space="preserve"> SRP</w:t>
      </w:r>
      <w:r>
        <w:rPr>
          <w:rFonts w:ascii="Arial" w:hAnsi="Arial" w:cs="Arial"/>
          <w:lang w:val="pt-BR"/>
        </w:rPr>
        <w:t>,</w:t>
      </w:r>
      <w:r>
        <w:rPr>
          <w:rFonts w:ascii="Arial" w:hAnsi="Arial" w:cs="Arial"/>
        </w:rPr>
        <w:t xml:space="preserve"> Topolski F</w:t>
      </w:r>
      <w:r>
        <w:rPr>
          <w:rFonts w:ascii="Arial" w:hAnsi="Arial" w:cs="Arial"/>
          <w:lang w:val="pt-BR"/>
        </w:rPr>
        <w:t>,</w:t>
      </w:r>
      <w:r>
        <w:rPr>
          <w:rFonts w:ascii="Arial" w:hAnsi="Arial" w:cs="Arial"/>
        </w:rPr>
        <w:t xml:space="preserve"> Arana-Chavez VE</w:t>
      </w:r>
      <w:r>
        <w:rPr>
          <w:rFonts w:ascii="Arial" w:hAnsi="Arial" w:cs="Arial"/>
          <w:lang w:val="pt-BR"/>
        </w:rPr>
        <w:t>,</w:t>
      </w:r>
      <w:r>
        <w:rPr>
          <w:rFonts w:ascii="Arial" w:hAnsi="Arial" w:cs="Arial"/>
        </w:rPr>
        <w:t xml:space="preserve"> Mendonça MR. Pulp analysis of teeth submitted to different types of forces: a histological study in rats. J</w:t>
      </w:r>
      <w:proofErr w:type="spellStart"/>
      <w:r>
        <w:rPr>
          <w:rFonts w:ascii="Arial" w:hAnsi="Arial" w:cs="Arial"/>
          <w:lang w:val="pt-BR"/>
        </w:rPr>
        <w:t>ournal</w:t>
      </w:r>
      <w:proofErr w:type="spellEnd"/>
      <w:r>
        <w:rPr>
          <w:rFonts w:ascii="Arial" w:hAnsi="Arial" w:cs="Arial"/>
          <w:lang w:val="pt-BR"/>
        </w:rPr>
        <w:t xml:space="preserve"> </w:t>
      </w:r>
      <w:proofErr w:type="spellStart"/>
      <w:r>
        <w:rPr>
          <w:rFonts w:ascii="Arial" w:hAnsi="Arial" w:cs="Arial"/>
          <w:lang w:val="pt-BR"/>
        </w:rPr>
        <w:t>of</w:t>
      </w:r>
      <w:proofErr w:type="spellEnd"/>
      <w:r>
        <w:rPr>
          <w:rFonts w:ascii="Arial" w:hAnsi="Arial" w:cs="Arial"/>
        </w:rPr>
        <w:t xml:space="preserve"> Appl</w:t>
      </w:r>
      <w:proofErr w:type="spellStart"/>
      <w:r>
        <w:rPr>
          <w:rFonts w:ascii="Arial" w:hAnsi="Arial" w:cs="Arial"/>
          <w:lang w:val="pt-BR"/>
        </w:rPr>
        <w:t>ied</w:t>
      </w:r>
      <w:proofErr w:type="spellEnd"/>
      <w:r>
        <w:rPr>
          <w:rFonts w:ascii="Arial" w:hAnsi="Arial" w:cs="Arial"/>
        </w:rPr>
        <w:t xml:space="preserve"> Oral Sci</w:t>
      </w:r>
      <w:proofErr w:type="spellStart"/>
      <w:r>
        <w:rPr>
          <w:rFonts w:ascii="Arial" w:hAnsi="Arial" w:cs="Arial"/>
          <w:lang w:val="pt-BR"/>
        </w:rPr>
        <w:t>ence</w:t>
      </w:r>
      <w:proofErr w:type="spellEnd"/>
      <w:r>
        <w:rPr>
          <w:rFonts w:ascii="Arial" w:hAnsi="Arial" w:cs="Arial"/>
        </w:rPr>
        <w:t xml:space="preserve">. </w:t>
      </w:r>
      <w:r>
        <w:rPr>
          <w:rFonts w:ascii="Arial" w:hAnsi="Arial" w:cs="Arial"/>
          <w:lang w:val="pt-BR"/>
        </w:rPr>
        <w:t xml:space="preserve">2018; </w:t>
      </w:r>
      <w:r>
        <w:rPr>
          <w:rFonts w:ascii="Arial" w:hAnsi="Arial" w:cs="Arial"/>
        </w:rPr>
        <w:t>26</w:t>
      </w:r>
      <w:r>
        <w:rPr>
          <w:rFonts w:ascii="Arial" w:hAnsi="Arial" w:cs="Arial"/>
          <w:lang w:val="pt-BR"/>
        </w:rPr>
        <w:t>:</w:t>
      </w:r>
      <w:r>
        <w:rPr>
          <w:rFonts w:ascii="Arial" w:hAnsi="Arial" w:cs="Arial"/>
        </w:rPr>
        <w:t xml:space="preserve"> e2017062</w:t>
      </w:r>
      <w:r>
        <w:rPr>
          <w:rFonts w:ascii="Arial" w:hAnsi="Arial" w:cs="Arial"/>
          <w:lang w:val="pt-BR"/>
        </w:rPr>
        <w:t>6</w:t>
      </w:r>
      <w:r>
        <w:rPr>
          <w:rFonts w:ascii="Arial" w:hAnsi="Arial" w:cs="Arial"/>
        </w:rPr>
        <w:t>.</w:t>
      </w:r>
    </w:p>
    <w:p w14:paraId="3D412096" w14:textId="77777777" w:rsidR="00687320" w:rsidRDefault="00687320">
      <w:pPr>
        <w:spacing w:line="360" w:lineRule="auto"/>
        <w:jc w:val="both"/>
        <w:rPr>
          <w:rFonts w:ascii="Arial" w:hAnsi="Arial" w:cs="Arial"/>
        </w:rPr>
      </w:pPr>
    </w:p>
    <w:p w14:paraId="068BE7D3" w14:textId="77777777" w:rsidR="00687320" w:rsidRDefault="00000000">
      <w:pPr>
        <w:numPr>
          <w:ilvl w:val="0"/>
          <w:numId w:val="3"/>
        </w:numPr>
        <w:spacing w:line="360" w:lineRule="auto"/>
        <w:jc w:val="both"/>
        <w:rPr>
          <w:rFonts w:ascii="Arial" w:hAnsi="Arial" w:cs="Arial"/>
          <w:lang w:val="pt-BR"/>
        </w:rPr>
      </w:pPr>
      <w:proofErr w:type="spellStart"/>
      <w:r>
        <w:rPr>
          <w:rFonts w:ascii="Arial" w:eastAsia="Segoe UI" w:hAnsi="Arial" w:cs="Arial"/>
          <w:color w:val="212121"/>
          <w:shd w:val="clear" w:color="auto" w:fill="FFFFFF"/>
        </w:rPr>
        <w:t>Alattas</w:t>
      </w:r>
      <w:proofErr w:type="spellEnd"/>
      <w:r>
        <w:rPr>
          <w:rFonts w:ascii="Arial" w:eastAsia="Segoe UI" w:hAnsi="Arial" w:cs="Arial"/>
          <w:color w:val="212121"/>
          <w:shd w:val="clear" w:color="auto" w:fill="FFFFFF"/>
        </w:rPr>
        <w:t xml:space="preserve"> MH. Pulp Changes Secondary to Orthodontic Forces: A Review of Literature. Cureus. 2023</w:t>
      </w:r>
      <w:r>
        <w:rPr>
          <w:rFonts w:ascii="Arial" w:eastAsia="Segoe UI" w:hAnsi="Arial" w:cs="Arial"/>
          <w:color w:val="212121"/>
          <w:shd w:val="clear" w:color="auto" w:fill="FFFFFF"/>
          <w:lang w:val="pt-BR"/>
        </w:rPr>
        <w:t xml:space="preserve">; </w:t>
      </w:r>
      <w:r>
        <w:rPr>
          <w:rFonts w:ascii="Arial" w:eastAsia="Segoe UI" w:hAnsi="Arial" w:cs="Arial"/>
          <w:color w:val="212121"/>
          <w:shd w:val="clear" w:color="auto" w:fill="FFFFFF"/>
        </w:rPr>
        <w:t>15(6): e40573</w:t>
      </w:r>
      <w:r>
        <w:rPr>
          <w:rFonts w:ascii="Arial" w:eastAsia="Segoe UI" w:hAnsi="Arial" w:cs="Arial"/>
          <w:color w:val="212121"/>
          <w:shd w:val="clear" w:color="auto" w:fill="FFFFFF"/>
          <w:lang w:val="pt-BR"/>
        </w:rPr>
        <w:t>.</w:t>
      </w:r>
    </w:p>
    <w:p w14:paraId="4049339D" w14:textId="77777777" w:rsidR="00687320" w:rsidRDefault="00687320">
      <w:pPr>
        <w:spacing w:line="360" w:lineRule="auto"/>
        <w:jc w:val="both"/>
        <w:rPr>
          <w:rFonts w:ascii="Arial" w:eastAsia="Segoe UI" w:hAnsi="Arial" w:cs="Arial"/>
          <w:color w:val="212121"/>
          <w:shd w:val="clear" w:color="auto" w:fill="FFFFFF"/>
          <w:lang w:val="pt-BR" w:eastAsia="zh-CN"/>
        </w:rPr>
      </w:pPr>
    </w:p>
    <w:p w14:paraId="1EA5CBBB" w14:textId="5D82D83B" w:rsidR="00195816" w:rsidRPr="00195816" w:rsidRDefault="00195816" w:rsidP="0027448C">
      <w:pPr>
        <w:numPr>
          <w:ilvl w:val="0"/>
          <w:numId w:val="3"/>
        </w:numPr>
        <w:spacing w:line="360" w:lineRule="auto"/>
        <w:jc w:val="both"/>
        <w:rPr>
          <w:rFonts w:ascii="Arial" w:eastAsia="Times New Roman" w:hAnsi="Arial" w:cs="Arial"/>
          <w:highlight w:val="yellow"/>
          <w:lang w:val="en-GB"/>
        </w:rPr>
      </w:pPr>
      <w:bookmarkStart w:id="0" w:name="_Hlk201003403"/>
      <w:r w:rsidRPr="00195816">
        <w:rPr>
          <w:rFonts w:ascii="Arial" w:eastAsia="Times New Roman" w:hAnsi="Arial" w:cs="Arial"/>
          <w:highlight w:val="yellow"/>
          <w:lang w:val="en-GB"/>
        </w:rPr>
        <w:t>Sonkar M, Kamble</w:t>
      </w:r>
      <w:r w:rsidRPr="00195816">
        <w:rPr>
          <w:rFonts w:ascii="Arial" w:eastAsia="Times New Roman" w:hAnsi="Arial" w:cs="Arial"/>
          <w:highlight w:val="yellow"/>
          <w:lang w:val="en-GB"/>
        </w:rPr>
        <w:t xml:space="preserve"> </w:t>
      </w:r>
      <w:r w:rsidRPr="00195816">
        <w:rPr>
          <w:rFonts w:ascii="Arial" w:eastAsia="Times New Roman" w:hAnsi="Arial" w:cs="Arial"/>
          <w:highlight w:val="yellow"/>
          <w:lang w:val="en-GB"/>
        </w:rPr>
        <w:t xml:space="preserve">RH, </w:t>
      </w:r>
      <w:proofErr w:type="spellStart"/>
      <w:r w:rsidRPr="00195816">
        <w:rPr>
          <w:rFonts w:ascii="Arial" w:eastAsia="Times New Roman" w:hAnsi="Arial" w:cs="Arial"/>
          <w:highlight w:val="yellow"/>
          <w:lang w:val="en-GB"/>
        </w:rPr>
        <w:t>Dhannawat</w:t>
      </w:r>
      <w:proofErr w:type="spellEnd"/>
      <w:r w:rsidRPr="00195816">
        <w:rPr>
          <w:rFonts w:ascii="Arial" w:eastAsia="Times New Roman" w:hAnsi="Arial" w:cs="Arial"/>
          <w:highlight w:val="yellow"/>
          <w:lang w:val="en-GB"/>
        </w:rPr>
        <w:t xml:space="preserve"> P, Deshpandey M, </w:t>
      </w:r>
      <w:proofErr w:type="spellStart"/>
      <w:r w:rsidRPr="00195816">
        <w:rPr>
          <w:rFonts w:ascii="Arial" w:eastAsia="Times New Roman" w:hAnsi="Arial" w:cs="Arial"/>
          <w:highlight w:val="yellow"/>
          <w:lang w:val="en-GB"/>
        </w:rPr>
        <w:t>Daigavane</w:t>
      </w:r>
      <w:proofErr w:type="spellEnd"/>
      <w:r w:rsidRPr="00195816">
        <w:rPr>
          <w:rFonts w:ascii="Arial" w:eastAsia="Times New Roman" w:hAnsi="Arial" w:cs="Arial"/>
          <w:highlight w:val="yellow"/>
          <w:lang w:val="en-GB"/>
        </w:rPr>
        <w:t xml:space="preserve"> P, </w:t>
      </w:r>
      <w:proofErr w:type="spellStart"/>
      <w:r w:rsidRPr="00195816">
        <w:rPr>
          <w:rFonts w:ascii="Arial" w:eastAsia="Times New Roman" w:hAnsi="Arial" w:cs="Arial"/>
          <w:highlight w:val="yellow"/>
          <w:lang w:val="en-GB"/>
        </w:rPr>
        <w:t>Niranjane</w:t>
      </w:r>
      <w:proofErr w:type="spellEnd"/>
      <w:r w:rsidRPr="00195816">
        <w:rPr>
          <w:rFonts w:ascii="Arial" w:eastAsia="Times New Roman" w:hAnsi="Arial" w:cs="Arial"/>
          <w:highlight w:val="yellow"/>
          <w:lang w:val="en-GB"/>
        </w:rPr>
        <w:t xml:space="preserve"> P</w:t>
      </w:r>
      <w:r w:rsidRPr="00195816">
        <w:rPr>
          <w:rFonts w:ascii="Arial" w:eastAsia="Times New Roman" w:hAnsi="Arial" w:cs="Arial"/>
          <w:highlight w:val="yellow"/>
          <w:lang w:val="en-GB"/>
        </w:rPr>
        <w:t>,</w:t>
      </w:r>
      <w:r w:rsidRPr="00195816">
        <w:rPr>
          <w:rFonts w:ascii="Arial" w:eastAsia="Times New Roman" w:hAnsi="Arial" w:cs="Arial"/>
          <w:highlight w:val="yellow"/>
          <w:lang w:val="en-GB"/>
        </w:rPr>
        <w:t xml:space="preserve"> Gilani R. Biological Principles of Orthodontic Tooth Movement: A Review Article. Journal of Pharmaceutical Research International</w:t>
      </w:r>
      <w:r w:rsidRPr="00195816">
        <w:rPr>
          <w:rFonts w:ascii="Arial" w:eastAsia="Times New Roman" w:hAnsi="Arial" w:cs="Arial"/>
          <w:highlight w:val="yellow"/>
          <w:lang w:val="en-GB"/>
        </w:rPr>
        <w:t xml:space="preserve">. </w:t>
      </w:r>
      <w:r w:rsidRPr="00195816">
        <w:rPr>
          <w:rFonts w:ascii="Arial" w:eastAsia="Times New Roman" w:hAnsi="Arial" w:cs="Arial"/>
          <w:highlight w:val="yellow"/>
          <w:lang w:val="en-GB"/>
        </w:rPr>
        <w:t xml:space="preserve"> (2021)</w:t>
      </w:r>
      <w:r w:rsidRPr="00195816">
        <w:rPr>
          <w:rFonts w:ascii="Arial" w:eastAsia="Times New Roman" w:hAnsi="Arial" w:cs="Arial"/>
          <w:highlight w:val="yellow"/>
          <w:lang w:val="en-GB"/>
        </w:rPr>
        <w:t>;</w:t>
      </w:r>
      <w:r w:rsidRPr="00195816">
        <w:rPr>
          <w:rFonts w:ascii="Arial" w:eastAsia="Times New Roman" w:hAnsi="Arial" w:cs="Arial"/>
          <w:highlight w:val="yellow"/>
          <w:lang w:val="en-GB"/>
        </w:rPr>
        <w:t xml:space="preserve"> 33(60B)</w:t>
      </w:r>
      <w:r w:rsidRPr="00195816">
        <w:rPr>
          <w:rFonts w:ascii="Arial" w:eastAsia="Times New Roman" w:hAnsi="Arial" w:cs="Arial"/>
          <w:highlight w:val="yellow"/>
          <w:lang w:val="en-GB"/>
        </w:rPr>
        <w:t xml:space="preserve">: </w:t>
      </w:r>
      <w:r w:rsidRPr="00195816">
        <w:rPr>
          <w:rFonts w:ascii="Arial" w:eastAsia="Times New Roman" w:hAnsi="Arial" w:cs="Arial"/>
          <w:highlight w:val="yellow"/>
          <w:lang w:val="en-GB"/>
        </w:rPr>
        <w:t xml:space="preserve">3492–3499. </w:t>
      </w:r>
    </w:p>
    <w:bookmarkEnd w:id="0"/>
    <w:p w14:paraId="4967D447" w14:textId="77777777" w:rsidR="00195816" w:rsidRDefault="00195816">
      <w:pPr>
        <w:spacing w:line="360" w:lineRule="auto"/>
        <w:jc w:val="both"/>
        <w:rPr>
          <w:rFonts w:ascii="Arial" w:eastAsia="Times New Roman" w:hAnsi="Arial" w:cs="Arial"/>
        </w:rPr>
      </w:pPr>
    </w:p>
    <w:p w14:paraId="685E51D4" w14:textId="77777777" w:rsidR="00195816" w:rsidRDefault="00195816">
      <w:pPr>
        <w:spacing w:line="360" w:lineRule="auto"/>
        <w:jc w:val="both"/>
        <w:rPr>
          <w:rFonts w:ascii="Arial" w:eastAsia="Times New Roman" w:hAnsi="Arial" w:cs="Arial"/>
        </w:rPr>
      </w:pPr>
    </w:p>
    <w:p w14:paraId="1AB46B7F" w14:textId="77777777" w:rsidR="00687320" w:rsidRPr="00CD242C" w:rsidRDefault="00000000">
      <w:pPr>
        <w:widowControl w:val="0"/>
        <w:numPr>
          <w:ilvl w:val="0"/>
          <w:numId w:val="3"/>
        </w:numPr>
        <w:spacing w:line="360" w:lineRule="auto"/>
        <w:jc w:val="both"/>
        <w:rPr>
          <w:rFonts w:ascii="Arial" w:eastAsia="Times New Roman" w:hAnsi="Arial" w:cs="Arial"/>
        </w:rPr>
      </w:pPr>
      <w:r w:rsidRPr="00CD242C">
        <w:rPr>
          <w:rFonts w:ascii="Arial" w:eastAsia="Times New Roman" w:hAnsi="Arial" w:cs="Arial"/>
        </w:rPr>
        <w:t>Meikle MC.</w:t>
      </w:r>
      <w:r w:rsidRPr="00CD242C">
        <w:rPr>
          <w:rFonts w:ascii="Arial" w:eastAsia="Times New Roman" w:hAnsi="Arial" w:cs="Arial"/>
          <w:lang w:val="pt-BR"/>
        </w:rPr>
        <w:t xml:space="preserve"> </w:t>
      </w:r>
      <w:r w:rsidRPr="00CD242C">
        <w:rPr>
          <w:rFonts w:ascii="Arial" w:eastAsia="Times New Roman" w:hAnsi="Arial" w:cs="Arial"/>
        </w:rPr>
        <w:t>The tissue, cellular, and molecular regulation of orthodontic tooth movement: 100 years after Carl Sandstedt. The European Journal of Orthodontics.</w:t>
      </w:r>
      <w:r w:rsidRPr="00CD242C">
        <w:rPr>
          <w:rFonts w:ascii="Arial" w:eastAsia="Times New Roman" w:hAnsi="Arial" w:cs="Arial"/>
          <w:lang w:val="pt-BR"/>
        </w:rPr>
        <w:t xml:space="preserve"> 2006;</w:t>
      </w:r>
      <w:r w:rsidRPr="00CD242C">
        <w:rPr>
          <w:rFonts w:ascii="Arial" w:eastAsia="Times New Roman" w:hAnsi="Arial" w:cs="Arial"/>
        </w:rPr>
        <w:t xml:space="preserve"> 28(3): 221-240.</w:t>
      </w:r>
    </w:p>
    <w:p w14:paraId="168CA5DB" w14:textId="77777777" w:rsidR="00687320" w:rsidRDefault="00687320">
      <w:pPr>
        <w:widowControl w:val="0"/>
        <w:spacing w:line="360" w:lineRule="auto"/>
        <w:jc w:val="both"/>
        <w:rPr>
          <w:rFonts w:ascii="Arial" w:eastAsia="Times New Roman" w:hAnsi="Arial" w:cs="Arial"/>
        </w:rPr>
      </w:pPr>
    </w:p>
    <w:p w14:paraId="2CC3774F" w14:textId="77777777" w:rsidR="00687320" w:rsidRDefault="00000000">
      <w:pPr>
        <w:numPr>
          <w:ilvl w:val="0"/>
          <w:numId w:val="3"/>
        </w:numPr>
        <w:spacing w:line="360" w:lineRule="auto"/>
        <w:jc w:val="both"/>
        <w:rPr>
          <w:rFonts w:ascii="Arial" w:eastAsia="Times New Roman" w:hAnsi="Arial" w:cs="Arial"/>
          <w:lang w:val="pt-BR"/>
        </w:rPr>
      </w:pPr>
      <w:r>
        <w:rPr>
          <w:rFonts w:ascii="Arial" w:eastAsia="Segoe UI" w:hAnsi="Arial" w:cs="Arial"/>
          <w:color w:val="212121"/>
          <w:shd w:val="clear" w:color="auto" w:fill="FFFFFF"/>
        </w:rPr>
        <w:t>Patel S</w:t>
      </w:r>
      <w:r>
        <w:rPr>
          <w:rFonts w:ascii="Arial" w:eastAsia="Segoe UI" w:hAnsi="Arial" w:cs="Arial"/>
          <w:color w:val="212121"/>
          <w:shd w:val="clear" w:color="auto" w:fill="FFFFFF"/>
          <w:lang w:val="pt-BR"/>
        </w:rPr>
        <w:t>,</w:t>
      </w:r>
      <w:r>
        <w:rPr>
          <w:rFonts w:ascii="Arial" w:eastAsia="Segoe UI" w:hAnsi="Arial" w:cs="Arial"/>
          <w:color w:val="212121"/>
          <w:shd w:val="clear" w:color="auto" w:fill="FFFFFF"/>
        </w:rPr>
        <w:t xml:space="preserve"> Ricucci D</w:t>
      </w:r>
      <w:r>
        <w:rPr>
          <w:rFonts w:ascii="Arial" w:eastAsia="Segoe UI" w:hAnsi="Arial" w:cs="Arial"/>
          <w:color w:val="212121"/>
          <w:shd w:val="clear" w:color="auto" w:fill="FFFFFF"/>
          <w:lang w:val="pt-BR"/>
        </w:rPr>
        <w:t>,</w:t>
      </w:r>
      <w:r>
        <w:rPr>
          <w:rFonts w:ascii="Arial" w:eastAsia="Segoe UI" w:hAnsi="Arial" w:cs="Arial"/>
          <w:color w:val="212121"/>
          <w:shd w:val="clear" w:color="auto" w:fill="FFFFFF"/>
        </w:rPr>
        <w:t xml:space="preserve"> Durak C</w:t>
      </w:r>
      <w:r>
        <w:rPr>
          <w:rFonts w:ascii="Arial" w:eastAsia="Segoe UI" w:hAnsi="Arial" w:cs="Arial"/>
          <w:color w:val="212121"/>
          <w:shd w:val="clear" w:color="auto" w:fill="FFFFFF"/>
          <w:lang w:val="pt-BR"/>
        </w:rPr>
        <w:t>,</w:t>
      </w:r>
      <w:r>
        <w:rPr>
          <w:rFonts w:ascii="Arial" w:eastAsia="Segoe UI" w:hAnsi="Arial" w:cs="Arial"/>
          <w:color w:val="212121"/>
          <w:shd w:val="clear" w:color="auto" w:fill="FFFFFF"/>
        </w:rPr>
        <w:t xml:space="preserve"> Tay F. Internal root resorption: a review. J</w:t>
      </w:r>
      <w:proofErr w:type="spellStart"/>
      <w:r>
        <w:rPr>
          <w:rFonts w:ascii="Arial" w:eastAsia="Segoe UI" w:hAnsi="Arial" w:cs="Arial"/>
          <w:color w:val="212121"/>
          <w:shd w:val="clear" w:color="auto" w:fill="FFFFFF"/>
          <w:lang w:val="pt-BR"/>
        </w:rPr>
        <w:t>ournal</w:t>
      </w:r>
      <w:proofErr w:type="spellEnd"/>
      <w:r>
        <w:rPr>
          <w:rFonts w:ascii="Arial" w:eastAsia="Segoe UI" w:hAnsi="Arial" w:cs="Arial"/>
          <w:color w:val="212121"/>
          <w:shd w:val="clear" w:color="auto" w:fill="FFFFFF"/>
          <w:lang w:val="pt-BR"/>
        </w:rPr>
        <w:t xml:space="preserve"> </w:t>
      </w:r>
      <w:proofErr w:type="spellStart"/>
      <w:r>
        <w:rPr>
          <w:rFonts w:ascii="Arial" w:eastAsia="Segoe UI" w:hAnsi="Arial" w:cs="Arial"/>
          <w:color w:val="212121"/>
          <w:shd w:val="clear" w:color="auto" w:fill="FFFFFF"/>
          <w:lang w:val="pt-BR"/>
        </w:rPr>
        <w:t>of</w:t>
      </w:r>
      <w:proofErr w:type="spellEnd"/>
      <w:r>
        <w:rPr>
          <w:rFonts w:ascii="Arial" w:eastAsia="Segoe UI" w:hAnsi="Arial" w:cs="Arial"/>
          <w:color w:val="212121"/>
          <w:shd w:val="clear" w:color="auto" w:fill="FFFFFF"/>
        </w:rPr>
        <w:t xml:space="preserve"> </w:t>
      </w:r>
      <w:proofErr w:type="spellStart"/>
      <w:r>
        <w:rPr>
          <w:rFonts w:ascii="Arial" w:eastAsia="Segoe UI" w:hAnsi="Arial" w:cs="Arial"/>
          <w:color w:val="212121"/>
          <w:shd w:val="clear" w:color="auto" w:fill="FFFFFF"/>
        </w:rPr>
        <w:t>Endod</w:t>
      </w:r>
      <w:r>
        <w:rPr>
          <w:rFonts w:ascii="Arial" w:eastAsia="Segoe UI" w:hAnsi="Arial" w:cs="Arial"/>
          <w:color w:val="212121"/>
          <w:shd w:val="clear" w:color="auto" w:fill="FFFFFF"/>
          <w:lang w:val="pt-BR"/>
        </w:rPr>
        <w:t>ontics</w:t>
      </w:r>
      <w:proofErr w:type="spellEnd"/>
      <w:r>
        <w:rPr>
          <w:rFonts w:ascii="Arial" w:eastAsia="Segoe UI" w:hAnsi="Arial" w:cs="Arial"/>
          <w:color w:val="212121"/>
          <w:shd w:val="clear" w:color="auto" w:fill="FFFFFF"/>
        </w:rPr>
        <w:t>.</w:t>
      </w:r>
      <w:r>
        <w:rPr>
          <w:rFonts w:ascii="Arial" w:eastAsia="Segoe UI" w:hAnsi="Arial" w:cs="Arial"/>
          <w:color w:val="212121"/>
          <w:shd w:val="clear" w:color="auto" w:fill="FFFFFF"/>
          <w:lang w:val="pt-BR"/>
        </w:rPr>
        <w:t xml:space="preserve"> 2010;</w:t>
      </w:r>
      <w:r>
        <w:rPr>
          <w:rFonts w:ascii="Arial" w:eastAsia="Segoe UI" w:hAnsi="Arial" w:cs="Arial"/>
          <w:color w:val="212121"/>
          <w:shd w:val="clear" w:color="auto" w:fill="FFFFFF"/>
        </w:rPr>
        <w:t xml:space="preserve"> 36(7): 1107-21.</w:t>
      </w:r>
    </w:p>
    <w:p w14:paraId="61C4E6BE" w14:textId="77777777" w:rsidR="00687320" w:rsidRDefault="00687320">
      <w:pPr>
        <w:spacing w:line="360" w:lineRule="auto"/>
        <w:jc w:val="both"/>
        <w:rPr>
          <w:rFonts w:ascii="Arial" w:eastAsia="Segoe UI" w:hAnsi="Arial" w:cs="Arial"/>
          <w:color w:val="212121"/>
          <w:shd w:val="clear" w:color="auto" w:fill="FFFFFF"/>
        </w:rPr>
      </w:pPr>
    </w:p>
    <w:p w14:paraId="59D4E715" w14:textId="77777777" w:rsidR="00687320" w:rsidRDefault="00000000">
      <w:pPr>
        <w:numPr>
          <w:ilvl w:val="0"/>
          <w:numId w:val="3"/>
        </w:numPr>
        <w:spacing w:line="360" w:lineRule="auto"/>
        <w:jc w:val="both"/>
        <w:rPr>
          <w:rFonts w:ascii="Arial" w:eastAsia="Segoe UI" w:hAnsi="Arial" w:cs="Arial"/>
          <w:color w:val="212121"/>
          <w:shd w:val="clear" w:color="auto" w:fill="FFFFFF"/>
          <w:lang w:val="pt-BR"/>
        </w:rPr>
      </w:pPr>
      <w:r>
        <w:rPr>
          <w:rFonts w:ascii="Arial" w:eastAsia="Frutiger-LightCn" w:hAnsi="Arial" w:cs="Arial"/>
          <w:lang w:eastAsia="zh-CN" w:bidi="ar"/>
        </w:rPr>
        <w:t>Goga R</w:t>
      </w:r>
      <w:r>
        <w:rPr>
          <w:rFonts w:ascii="Arial" w:eastAsia="Frutiger-LightCn" w:hAnsi="Arial" w:cs="Arial"/>
          <w:lang w:val="pt-BR" w:eastAsia="zh-CN" w:bidi="ar"/>
        </w:rPr>
        <w:t>,</w:t>
      </w:r>
      <w:r>
        <w:rPr>
          <w:rFonts w:ascii="Arial" w:eastAsia="Frutiger-LightCn" w:hAnsi="Arial" w:cs="Arial"/>
          <w:lang w:eastAsia="zh-CN" w:bidi="ar"/>
        </w:rPr>
        <w:t xml:space="preserve"> Chandler N</w:t>
      </w:r>
      <w:r>
        <w:rPr>
          <w:rFonts w:ascii="Arial" w:eastAsia="Frutiger-LightCn" w:hAnsi="Arial" w:cs="Arial"/>
          <w:lang w:val="pt-BR" w:eastAsia="zh-CN" w:bidi="ar"/>
        </w:rPr>
        <w:t>,</w:t>
      </w:r>
      <w:r>
        <w:rPr>
          <w:rFonts w:ascii="Arial" w:eastAsia="Frutiger-LightCn" w:hAnsi="Arial" w:cs="Arial"/>
          <w:lang w:eastAsia="zh-CN" w:bidi="ar"/>
        </w:rPr>
        <w:t xml:space="preserve"> </w:t>
      </w:r>
      <w:proofErr w:type="spellStart"/>
      <w:r>
        <w:rPr>
          <w:rFonts w:ascii="Arial" w:eastAsia="Frutiger-LightCn" w:hAnsi="Arial" w:cs="Arial"/>
          <w:lang w:eastAsia="zh-CN" w:bidi="ar"/>
        </w:rPr>
        <w:t>Oginni</w:t>
      </w:r>
      <w:proofErr w:type="spellEnd"/>
      <w:r>
        <w:rPr>
          <w:rFonts w:ascii="Arial" w:eastAsia="Frutiger-LightCn" w:hAnsi="Arial" w:cs="Arial"/>
          <w:lang w:eastAsia="zh-CN" w:bidi="ar"/>
        </w:rPr>
        <w:t xml:space="preserve"> A</w:t>
      </w:r>
      <w:r>
        <w:rPr>
          <w:rFonts w:ascii="Arial" w:eastAsia="Frutiger-LightCn" w:hAnsi="Arial" w:cs="Arial"/>
          <w:lang w:val="pt-BR" w:eastAsia="zh-CN" w:bidi="ar"/>
        </w:rPr>
        <w:t xml:space="preserve">. </w:t>
      </w:r>
      <w:r>
        <w:rPr>
          <w:rFonts w:ascii="Arial" w:eastAsia="Frutiger-LightCn" w:hAnsi="Arial" w:cs="Arial"/>
          <w:lang w:eastAsia="zh-CN" w:bidi="ar"/>
        </w:rPr>
        <w:t>Pulp stones: a review. Int</w:t>
      </w:r>
      <w:proofErr w:type="spellStart"/>
      <w:r>
        <w:rPr>
          <w:rFonts w:ascii="Arial" w:eastAsia="Frutiger-LightCn" w:hAnsi="Arial" w:cs="Arial"/>
          <w:lang w:val="pt-BR" w:eastAsia="zh-CN" w:bidi="ar"/>
        </w:rPr>
        <w:t>ernational</w:t>
      </w:r>
      <w:proofErr w:type="spellEnd"/>
      <w:r>
        <w:rPr>
          <w:rFonts w:ascii="Arial" w:eastAsia="Frutiger-LightCn" w:hAnsi="Arial" w:cs="Arial"/>
          <w:lang w:eastAsia="zh-CN" w:bidi="ar"/>
        </w:rPr>
        <w:t xml:space="preserve"> </w:t>
      </w:r>
      <w:proofErr w:type="spellStart"/>
      <w:r>
        <w:rPr>
          <w:rFonts w:ascii="Arial" w:eastAsia="Frutiger-LightCn" w:hAnsi="Arial" w:cs="Arial"/>
          <w:lang w:eastAsia="zh-CN" w:bidi="ar"/>
        </w:rPr>
        <w:t>Endod</w:t>
      </w:r>
      <w:r>
        <w:rPr>
          <w:rFonts w:ascii="Arial" w:eastAsia="Frutiger-LightCn" w:hAnsi="Arial" w:cs="Arial"/>
          <w:lang w:val="pt-BR" w:eastAsia="zh-CN" w:bidi="ar"/>
        </w:rPr>
        <w:t>ontic</w:t>
      </w:r>
      <w:proofErr w:type="spellEnd"/>
      <w:r>
        <w:rPr>
          <w:rFonts w:ascii="Arial" w:eastAsia="Frutiger-LightCn" w:hAnsi="Arial" w:cs="Arial"/>
          <w:lang w:eastAsia="zh-CN" w:bidi="ar"/>
        </w:rPr>
        <w:t xml:space="preserve"> J</w:t>
      </w:r>
      <w:proofErr w:type="spellStart"/>
      <w:r>
        <w:rPr>
          <w:rFonts w:ascii="Arial" w:eastAsia="Frutiger-LightCn" w:hAnsi="Arial" w:cs="Arial"/>
          <w:lang w:val="pt-BR" w:eastAsia="zh-CN" w:bidi="ar"/>
        </w:rPr>
        <w:t>ournal</w:t>
      </w:r>
      <w:proofErr w:type="spellEnd"/>
      <w:r>
        <w:rPr>
          <w:rFonts w:ascii="Arial" w:eastAsia="Frutiger-LightCn" w:hAnsi="Arial" w:cs="Arial"/>
          <w:lang w:eastAsia="zh-CN" w:bidi="ar"/>
        </w:rPr>
        <w:t>.</w:t>
      </w:r>
      <w:r>
        <w:rPr>
          <w:rFonts w:ascii="Arial" w:eastAsia="Frutiger-LightCn" w:hAnsi="Arial" w:cs="Arial"/>
          <w:lang w:val="pt-BR" w:eastAsia="zh-CN" w:bidi="ar"/>
        </w:rPr>
        <w:t xml:space="preserve"> 2008;</w:t>
      </w:r>
      <w:r>
        <w:rPr>
          <w:rFonts w:ascii="Arial" w:eastAsia="Frutiger-LightCn" w:hAnsi="Arial" w:cs="Arial"/>
          <w:lang w:eastAsia="zh-CN" w:bidi="ar"/>
        </w:rPr>
        <w:t xml:space="preserve"> 41, 457-468.</w:t>
      </w:r>
    </w:p>
    <w:p w14:paraId="57B1E539" w14:textId="77777777" w:rsidR="00687320" w:rsidRDefault="00687320">
      <w:pPr>
        <w:spacing w:line="360" w:lineRule="auto"/>
        <w:jc w:val="both"/>
        <w:rPr>
          <w:rFonts w:ascii="Arial" w:eastAsia="Frutiger-LightCn" w:hAnsi="Arial" w:cs="Arial"/>
          <w:lang w:eastAsia="zh-CN" w:bidi="ar"/>
        </w:rPr>
      </w:pPr>
    </w:p>
    <w:p w14:paraId="5EB39851" w14:textId="77777777" w:rsidR="00687320" w:rsidRDefault="00000000">
      <w:pPr>
        <w:numPr>
          <w:ilvl w:val="0"/>
          <w:numId w:val="3"/>
        </w:numPr>
        <w:spacing w:line="360" w:lineRule="auto"/>
        <w:jc w:val="both"/>
        <w:rPr>
          <w:rFonts w:ascii="Arial" w:hAnsi="Arial" w:cs="Arial"/>
        </w:rPr>
      </w:pPr>
      <w:r>
        <w:rPr>
          <w:rFonts w:ascii="Arial" w:eastAsia="sans-serif" w:hAnsi="Arial" w:cs="Arial"/>
          <w:color w:val="333333"/>
        </w:rPr>
        <w:t>Yan B</w:t>
      </w:r>
      <w:r>
        <w:rPr>
          <w:rFonts w:ascii="Arial" w:eastAsia="sans-serif" w:hAnsi="Arial" w:cs="Arial"/>
          <w:color w:val="333333"/>
          <w:lang w:val="pt-BR"/>
        </w:rPr>
        <w:t>,</w:t>
      </w:r>
      <w:r>
        <w:rPr>
          <w:rFonts w:ascii="Arial" w:eastAsia="sans-serif" w:hAnsi="Arial" w:cs="Arial"/>
          <w:color w:val="333333"/>
        </w:rPr>
        <w:t xml:space="preserve"> Liu D</w:t>
      </w:r>
      <w:r>
        <w:rPr>
          <w:rFonts w:ascii="Arial" w:eastAsia="sans-serif" w:hAnsi="Arial" w:cs="Arial"/>
          <w:color w:val="333333"/>
          <w:lang w:val="pt-BR"/>
        </w:rPr>
        <w:t>,</w:t>
      </w:r>
      <w:r>
        <w:rPr>
          <w:rFonts w:ascii="Arial" w:eastAsia="sans-serif" w:hAnsi="Arial" w:cs="Arial"/>
          <w:color w:val="333333"/>
        </w:rPr>
        <w:t xml:space="preserve"> Zhan</w:t>
      </w:r>
      <w:r>
        <w:rPr>
          <w:rFonts w:ascii="Arial" w:eastAsia="sans-serif" w:hAnsi="Arial" w:cs="Arial"/>
          <w:color w:val="333333"/>
          <w:lang w:val="pt-BR"/>
        </w:rPr>
        <w:t>g</w:t>
      </w:r>
      <w:r>
        <w:rPr>
          <w:rFonts w:ascii="Arial" w:eastAsia="sans-serif" w:hAnsi="Arial" w:cs="Arial"/>
          <w:color w:val="333333"/>
        </w:rPr>
        <w:t xml:space="preserve"> C</w:t>
      </w:r>
      <w:r>
        <w:rPr>
          <w:rFonts w:ascii="Arial" w:eastAsia="sans-serif" w:hAnsi="Arial" w:cs="Arial"/>
          <w:color w:val="333333"/>
          <w:lang w:val="pt-BR"/>
        </w:rPr>
        <w:t>,</w:t>
      </w:r>
      <w:r>
        <w:rPr>
          <w:rFonts w:ascii="Arial" w:eastAsia="sans-serif" w:hAnsi="Arial" w:cs="Arial"/>
          <w:color w:val="333333"/>
        </w:rPr>
        <w:t xml:space="preserve"> Zhang T</w:t>
      </w:r>
      <w:r>
        <w:rPr>
          <w:rFonts w:ascii="Arial" w:eastAsia="sans-serif" w:hAnsi="Arial" w:cs="Arial"/>
          <w:color w:val="333333"/>
          <w:lang w:val="pt-BR"/>
        </w:rPr>
        <w:t>,</w:t>
      </w:r>
      <w:r>
        <w:rPr>
          <w:rFonts w:ascii="Arial" w:eastAsia="sans-serif" w:hAnsi="Arial" w:cs="Arial"/>
          <w:color w:val="333333"/>
        </w:rPr>
        <w:t xml:space="preserve"> Wang X</w:t>
      </w:r>
      <w:r>
        <w:rPr>
          <w:rFonts w:ascii="Arial" w:eastAsia="sans-serif" w:hAnsi="Arial" w:cs="Arial"/>
          <w:color w:val="333333"/>
          <w:lang w:val="pt-BR"/>
        </w:rPr>
        <w:t>,</w:t>
      </w:r>
      <w:r>
        <w:rPr>
          <w:rFonts w:ascii="Arial" w:eastAsia="sans-serif" w:hAnsi="Arial" w:cs="Arial"/>
          <w:color w:val="333333"/>
        </w:rPr>
        <w:t xml:space="preserve"> Yang R</w:t>
      </w:r>
      <w:r>
        <w:rPr>
          <w:rFonts w:ascii="Arial" w:eastAsia="sans-serif" w:hAnsi="Arial" w:cs="Arial"/>
          <w:color w:val="333333"/>
          <w:lang w:val="pt-BR"/>
        </w:rPr>
        <w:t>,</w:t>
      </w:r>
      <w:r>
        <w:rPr>
          <w:rFonts w:ascii="Arial" w:eastAsia="sans-serif" w:hAnsi="Arial" w:cs="Arial"/>
          <w:color w:val="333333"/>
        </w:rPr>
        <w:t xml:space="preserve"> Liu Y</w:t>
      </w:r>
      <w:r>
        <w:rPr>
          <w:rFonts w:ascii="Arial" w:eastAsia="sans-serif" w:hAnsi="Arial" w:cs="Arial"/>
          <w:color w:val="333333"/>
          <w:lang w:val="pt-BR"/>
        </w:rPr>
        <w:t>,</w:t>
      </w:r>
      <w:r>
        <w:rPr>
          <w:rFonts w:ascii="Arial" w:eastAsia="sans-serif" w:hAnsi="Arial" w:cs="Arial"/>
          <w:color w:val="333333"/>
        </w:rPr>
        <w:t xml:space="preserve"> He D</w:t>
      </w:r>
      <w:r>
        <w:rPr>
          <w:rFonts w:ascii="Arial" w:eastAsia="sans-serif" w:hAnsi="Arial" w:cs="Arial"/>
          <w:color w:val="333333"/>
          <w:lang w:val="pt-BR"/>
        </w:rPr>
        <w:t>,</w:t>
      </w:r>
      <w:r>
        <w:rPr>
          <w:rFonts w:ascii="Arial" w:eastAsia="sans-serif" w:hAnsi="Arial" w:cs="Arial"/>
          <w:color w:val="333333"/>
        </w:rPr>
        <w:t xml:space="preserve"> Zhou Y.</w:t>
      </w:r>
      <w:r>
        <w:rPr>
          <w:rFonts w:ascii="Arial" w:eastAsia="sans-serif" w:hAnsi="Arial" w:cs="Arial"/>
          <w:color w:val="333333"/>
          <w:lang w:val="pt-BR"/>
        </w:rPr>
        <w:t xml:space="preserve"> </w:t>
      </w:r>
      <w:r>
        <w:rPr>
          <w:rFonts w:ascii="Arial" w:eastAsia="sans-serif" w:hAnsi="Arial" w:cs="Arial"/>
          <w:color w:val="333333"/>
        </w:rPr>
        <w:t>Obesity attenuates force-induced tooth movement in mice with the elevation of leptin level: a preliminary translational study. Am</w:t>
      </w:r>
      <w:proofErr w:type="spellStart"/>
      <w:r>
        <w:rPr>
          <w:rFonts w:ascii="Arial" w:eastAsia="sans-serif" w:hAnsi="Arial" w:cs="Arial"/>
          <w:color w:val="333333"/>
          <w:lang w:val="pt-BR"/>
        </w:rPr>
        <w:t>erican</w:t>
      </w:r>
      <w:proofErr w:type="spellEnd"/>
      <w:r>
        <w:rPr>
          <w:rFonts w:ascii="Arial" w:eastAsia="sans-serif" w:hAnsi="Arial" w:cs="Arial"/>
          <w:color w:val="333333"/>
        </w:rPr>
        <w:t xml:space="preserve"> J</w:t>
      </w:r>
      <w:proofErr w:type="spellStart"/>
      <w:r>
        <w:rPr>
          <w:rFonts w:ascii="Arial" w:eastAsia="sans-serif" w:hAnsi="Arial" w:cs="Arial"/>
          <w:color w:val="333333"/>
          <w:lang w:val="pt-BR"/>
        </w:rPr>
        <w:t>ournal</w:t>
      </w:r>
      <w:proofErr w:type="spellEnd"/>
      <w:r>
        <w:rPr>
          <w:rFonts w:ascii="Arial" w:eastAsia="sans-serif" w:hAnsi="Arial" w:cs="Arial"/>
          <w:color w:val="333333"/>
          <w:lang w:val="pt-BR"/>
        </w:rPr>
        <w:t xml:space="preserve"> </w:t>
      </w:r>
      <w:proofErr w:type="spellStart"/>
      <w:r>
        <w:rPr>
          <w:rFonts w:ascii="Arial" w:eastAsia="sans-serif" w:hAnsi="Arial" w:cs="Arial"/>
          <w:color w:val="333333"/>
          <w:lang w:val="pt-BR"/>
        </w:rPr>
        <w:t>of</w:t>
      </w:r>
      <w:proofErr w:type="spellEnd"/>
      <w:r>
        <w:rPr>
          <w:rFonts w:ascii="Arial" w:eastAsia="sans-serif" w:hAnsi="Arial" w:cs="Arial"/>
          <w:color w:val="333333"/>
        </w:rPr>
        <w:t xml:space="preserve"> </w:t>
      </w:r>
      <w:proofErr w:type="spellStart"/>
      <w:r>
        <w:rPr>
          <w:rFonts w:ascii="Arial" w:eastAsia="sans-serif" w:hAnsi="Arial" w:cs="Arial"/>
          <w:color w:val="333333"/>
        </w:rPr>
        <w:t>Transl</w:t>
      </w:r>
      <w:r>
        <w:rPr>
          <w:rFonts w:ascii="Arial" w:eastAsia="sans-serif" w:hAnsi="Arial" w:cs="Arial"/>
          <w:color w:val="333333"/>
          <w:lang w:val="pt-BR"/>
        </w:rPr>
        <w:t>ational</w:t>
      </w:r>
      <w:proofErr w:type="spellEnd"/>
      <w:r>
        <w:rPr>
          <w:rFonts w:ascii="Arial" w:eastAsia="sans-serif" w:hAnsi="Arial" w:cs="Arial"/>
          <w:color w:val="333333"/>
        </w:rPr>
        <w:t xml:space="preserve"> Res</w:t>
      </w:r>
      <w:proofErr w:type="spellStart"/>
      <w:r>
        <w:rPr>
          <w:rFonts w:ascii="Arial" w:eastAsia="sans-serif" w:hAnsi="Arial" w:cs="Arial"/>
          <w:color w:val="333333"/>
          <w:lang w:val="pt-BR"/>
        </w:rPr>
        <w:t>earch</w:t>
      </w:r>
      <w:proofErr w:type="spellEnd"/>
      <w:r>
        <w:rPr>
          <w:rFonts w:ascii="Arial" w:eastAsia="sans-serif" w:hAnsi="Arial" w:cs="Arial"/>
          <w:color w:val="333333"/>
          <w:lang w:val="pt-BR"/>
        </w:rPr>
        <w:t>. 2018;</w:t>
      </w:r>
      <w:r>
        <w:rPr>
          <w:rFonts w:ascii="Arial" w:eastAsia="sans-serif" w:hAnsi="Arial" w:cs="Arial"/>
          <w:color w:val="333333"/>
        </w:rPr>
        <w:t xml:space="preserve"> 10(12): 4107-4118.</w:t>
      </w:r>
    </w:p>
    <w:p w14:paraId="2AE748BF" w14:textId="77777777" w:rsidR="00687320" w:rsidRDefault="00687320">
      <w:pPr>
        <w:spacing w:line="360" w:lineRule="auto"/>
        <w:jc w:val="both"/>
        <w:rPr>
          <w:rFonts w:ascii="Arial" w:eastAsia="sans-serif" w:hAnsi="Arial" w:cs="Arial"/>
          <w:color w:val="333333"/>
        </w:rPr>
      </w:pPr>
    </w:p>
    <w:p w14:paraId="05DEA1C1" w14:textId="77777777" w:rsidR="00687320" w:rsidRDefault="00000000">
      <w:pPr>
        <w:numPr>
          <w:ilvl w:val="0"/>
          <w:numId w:val="3"/>
        </w:numPr>
        <w:spacing w:line="360" w:lineRule="auto"/>
        <w:jc w:val="both"/>
        <w:rPr>
          <w:rFonts w:ascii="Arial" w:eastAsia="Times New Roman" w:hAnsi="Arial" w:cs="Arial"/>
        </w:rPr>
      </w:pPr>
      <w:r>
        <w:rPr>
          <w:rFonts w:ascii="Arial" w:eastAsia="Arial" w:hAnsi="Arial" w:cs="Arial"/>
          <w:color w:val="212121"/>
          <w:shd w:val="clear" w:color="auto" w:fill="FFFFFF"/>
        </w:rPr>
        <w:t>Vitali FC</w:t>
      </w:r>
      <w:r>
        <w:rPr>
          <w:rFonts w:ascii="Arial" w:eastAsia="Arial" w:hAnsi="Arial" w:cs="Arial"/>
          <w:color w:val="212121"/>
          <w:shd w:val="clear" w:color="auto" w:fill="FFFFFF"/>
          <w:lang w:val="pt-BR"/>
        </w:rPr>
        <w:t>,</w:t>
      </w:r>
      <w:r>
        <w:rPr>
          <w:rFonts w:ascii="Arial" w:eastAsia="Arial" w:hAnsi="Arial" w:cs="Arial"/>
          <w:color w:val="212121"/>
          <w:shd w:val="clear" w:color="auto" w:fill="FFFFFF"/>
        </w:rPr>
        <w:t xml:space="preserve"> Cardoso IV</w:t>
      </w:r>
      <w:r>
        <w:rPr>
          <w:rFonts w:ascii="Arial" w:eastAsia="Arial" w:hAnsi="Arial" w:cs="Arial"/>
          <w:color w:val="212121"/>
          <w:shd w:val="clear" w:color="auto" w:fill="FFFFFF"/>
          <w:lang w:val="pt-BR"/>
        </w:rPr>
        <w:t>,</w:t>
      </w:r>
      <w:r>
        <w:rPr>
          <w:rFonts w:ascii="Arial" w:eastAsia="Arial" w:hAnsi="Arial" w:cs="Arial"/>
          <w:color w:val="212121"/>
          <w:shd w:val="clear" w:color="auto" w:fill="FFFFFF"/>
        </w:rPr>
        <w:t xml:space="preserve"> Mello FW</w:t>
      </w:r>
      <w:r>
        <w:rPr>
          <w:rFonts w:ascii="Arial" w:eastAsia="Arial" w:hAnsi="Arial" w:cs="Arial"/>
          <w:color w:val="212121"/>
          <w:shd w:val="clear" w:color="auto" w:fill="FFFFFF"/>
          <w:lang w:val="pt-BR"/>
        </w:rPr>
        <w:t>,</w:t>
      </w:r>
      <w:r>
        <w:rPr>
          <w:rFonts w:ascii="Arial" w:eastAsia="Arial" w:hAnsi="Arial" w:cs="Arial"/>
          <w:color w:val="212121"/>
          <w:shd w:val="clear" w:color="auto" w:fill="FFFFFF"/>
        </w:rPr>
        <w:t xml:space="preserve"> Flores-Mir C</w:t>
      </w:r>
      <w:r>
        <w:rPr>
          <w:rFonts w:ascii="Arial" w:eastAsia="Arial" w:hAnsi="Arial" w:cs="Arial"/>
          <w:color w:val="212121"/>
          <w:shd w:val="clear" w:color="auto" w:fill="FFFFFF"/>
          <w:lang w:val="pt-BR"/>
        </w:rPr>
        <w:t>,</w:t>
      </w:r>
      <w:r>
        <w:rPr>
          <w:rFonts w:ascii="Arial" w:eastAsia="Arial" w:hAnsi="Arial" w:cs="Arial"/>
          <w:color w:val="212121"/>
          <w:shd w:val="clear" w:color="auto" w:fill="FFFFFF"/>
        </w:rPr>
        <w:t xml:space="preserve"> Andrada AC</w:t>
      </w:r>
      <w:r>
        <w:rPr>
          <w:rFonts w:ascii="Arial" w:eastAsia="Arial" w:hAnsi="Arial" w:cs="Arial"/>
          <w:color w:val="212121"/>
          <w:shd w:val="clear" w:color="auto" w:fill="FFFFFF"/>
          <w:lang w:val="pt-BR"/>
        </w:rPr>
        <w:t>,</w:t>
      </w:r>
      <w:r>
        <w:rPr>
          <w:rFonts w:ascii="Arial" w:eastAsia="Arial" w:hAnsi="Arial" w:cs="Arial"/>
          <w:color w:val="212121"/>
          <w:shd w:val="clear" w:color="auto" w:fill="FFFFFF"/>
        </w:rPr>
        <w:t xml:space="preserve"> Dutra-Horstmann K</w:t>
      </w:r>
      <w:r>
        <w:rPr>
          <w:rFonts w:ascii="Arial" w:eastAsia="Arial" w:hAnsi="Arial" w:cs="Arial"/>
          <w:color w:val="212121"/>
          <w:shd w:val="clear" w:color="auto" w:fill="FFFFFF"/>
          <w:lang w:val="pt-BR"/>
        </w:rPr>
        <w:t>L,</w:t>
      </w:r>
      <w:r>
        <w:rPr>
          <w:rFonts w:ascii="Arial" w:eastAsia="Arial" w:hAnsi="Arial" w:cs="Arial"/>
          <w:color w:val="212121"/>
          <w:shd w:val="clear" w:color="auto" w:fill="FFFFFF"/>
        </w:rPr>
        <w:t xml:space="preserve"> Duque TM</w:t>
      </w:r>
      <w:r>
        <w:rPr>
          <w:rFonts w:ascii="Arial" w:eastAsia="Arial" w:hAnsi="Arial" w:cs="Arial"/>
          <w:color w:val="212121"/>
          <w:shd w:val="clear" w:color="auto" w:fill="FFFFFF"/>
          <w:lang w:val="pt-BR"/>
        </w:rPr>
        <w:t>.</w:t>
      </w:r>
      <w:r>
        <w:rPr>
          <w:rFonts w:ascii="Arial" w:eastAsia="Arial" w:hAnsi="Arial" w:cs="Arial"/>
          <w:color w:val="212121"/>
          <w:shd w:val="clear" w:color="auto" w:fill="FFFFFF"/>
        </w:rPr>
        <w:t xml:space="preserve"> Effect of orthodontic force on dental pulp histomorphology and tissue factor expression. Angle </w:t>
      </w:r>
      <w:proofErr w:type="spellStart"/>
      <w:r>
        <w:rPr>
          <w:rFonts w:ascii="Arial" w:eastAsia="Arial" w:hAnsi="Arial" w:cs="Arial"/>
          <w:color w:val="212121"/>
          <w:shd w:val="clear" w:color="auto" w:fill="FFFFFF"/>
        </w:rPr>
        <w:t>Orthod</w:t>
      </w:r>
      <w:r>
        <w:rPr>
          <w:rFonts w:ascii="Arial" w:eastAsia="Arial" w:hAnsi="Arial" w:cs="Arial"/>
          <w:color w:val="212121"/>
          <w:shd w:val="clear" w:color="auto" w:fill="FFFFFF"/>
          <w:lang w:val="pt-BR"/>
        </w:rPr>
        <w:t>ontist</w:t>
      </w:r>
      <w:proofErr w:type="spellEnd"/>
      <w:r>
        <w:rPr>
          <w:rFonts w:ascii="Arial" w:eastAsia="Arial" w:hAnsi="Arial" w:cs="Arial"/>
          <w:color w:val="212121"/>
          <w:shd w:val="clear" w:color="auto" w:fill="FFFFFF"/>
        </w:rPr>
        <w:t>.</w:t>
      </w:r>
      <w:r>
        <w:rPr>
          <w:rFonts w:ascii="Arial" w:eastAsia="Arial" w:hAnsi="Arial" w:cs="Arial"/>
          <w:color w:val="212121"/>
          <w:shd w:val="clear" w:color="auto" w:fill="FFFFFF"/>
          <w:lang w:val="pt-BR"/>
        </w:rPr>
        <w:t xml:space="preserve"> 2021;</w:t>
      </w:r>
      <w:r>
        <w:rPr>
          <w:rFonts w:ascii="Arial" w:eastAsia="Arial" w:hAnsi="Arial" w:cs="Arial"/>
          <w:color w:val="212121"/>
          <w:shd w:val="clear" w:color="auto" w:fill="FFFFFF"/>
        </w:rPr>
        <w:t xml:space="preserve"> 91(6): 830-842.</w:t>
      </w:r>
    </w:p>
    <w:p w14:paraId="48F01ED6" w14:textId="77777777" w:rsidR="00687320" w:rsidRDefault="00687320">
      <w:pPr>
        <w:spacing w:line="360" w:lineRule="auto"/>
        <w:jc w:val="both"/>
        <w:rPr>
          <w:rFonts w:ascii="Arial" w:eastAsia="sans-serif" w:hAnsi="Arial" w:cs="Arial"/>
          <w:color w:val="333333"/>
        </w:rPr>
      </w:pPr>
    </w:p>
    <w:p w14:paraId="3EDBDAA6" w14:textId="77777777" w:rsidR="00687320" w:rsidRDefault="00000000">
      <w:pPr>
        <w:numPr>
          <w:ilvl w:val="0"/>
          <w:numId w:val="3"/>
        </w:numPr>
        <w:spacing w:line="360" w:lineRule="auto"/>
        <w:jc w:val="both"/>
        <w:rPr>
          <w:rFonts w:ascii="Arial" w:hAnsi="Arial" w:cs="Arial"/>
        </w:rPr>
      </w:pPr>
      <w:r>
        <w:rPr>
          <w:rFonts w:ascii="Arial" w:hAnsi="Arial" w:cs="Arial"/>
        </w:rPr>
        <w:t>Massaro CS</w:t>
      </w:r>
      <w:r>
        <w:rPr>
          <w:rFonts w:ascii="Arial" w:hAnsi="Arial" w:cs="Arial"/>
          <w:lang w:val="pt-BR"/>
        </w:rPr>
        <w:t>,</w:t>
      </w:r>
      <w:r>
        <w:rPr>
          <w:rFonts w:ascii="Arial" w:hAnsi="Arial" w:cs="Arial"/>
        </w:rPr>
        <w:t xml:space="preserve"> </w:t>
      </w:r>
      <w:proofErr w:type="spellStart"/>
      <w:r>
        <w:rPr>
          <w:rFonts w:ascii="Arial" w:hAnsi="Arial" w:cs="Arial"/>
        </w:rPr>
        <w:t>Consolaro</w:t>
      </w:r>
      <w:proofErr w:type="spellEnd"/>
      <w:r>
        <w:rPr>
          <w:rFonts w:ascii="Arial" w:hAnsi="Arial" w:cs="Arial"/>
        </w:rPr>
        <w:t xml:space="preserve"> RB</w:t>
      </w:r>
      <w:r>
        <w:rPr>
          <w:rFonts w:ascii="Arial" w:hAnsi="Arial" w:cs="Arial"/>
          <w:lang w:val="pt-BR"/>
        </w:rPr>
        <w:t>,</w:t>
      </w:r>
      <w:r>
        <w:rPr>
          <w:rFonts w:ascii="Arial" w:hAnsi="Arial" w:cs="Arial"/>
        </w:rPr>
        <w:t xml:space="preserve"> Santamaria MJR</w:t>
      </w:r>
      <w:r>
        <w:rPr>
          <w:rFonts w:ascii="Arial" w:hAnsi="Arial" w:cs="Arial"/>
          <w:lang w:val="pt-BR"/>
        </w:rPr>
        <w:t>,</w:t>
      </w:r>
      <w:r>
        <w:rPr>
          <w:rFonts w:ascii="Arial" w:hAnsi="Arial" w:cs="Arial"/>
        </w:rPr>
        <w:t xml:space="preserve"> </w:t>
      </w:r>
      <w:proofErr w:type="spellStart"/>
      <w:r>
        <w:rPr>
          <w:rFonts w:ascii="Arial" w:hAnsi="Arial" w:cs="Arial"/>
        </w:rPr>
        <w:t>Consolaro</w:t>
      </w:r>
      <w:proofErr w:type="spellEnd"/>
      <w:r>
        <w:rPr>
          <w:rFonts w:ascii="Arial" w:hAnsi="Arial" w:cs="Arial"/>
        </w:rPr>
        <w:t xml:space="preserve"> MFMO</w:t>
      </w:r>
      <w:r>
        <w:rPr>
          <w:rFonts w:ascii="Arial" w:hAnsi="Arial" w:cs="Arial"/>
          <w:lang w:val="pt-BR"/>
        </w:rPr>
        <w:t>,</w:t>
      </w:r>
      <w:r>
        <w:rPr>
          <w:rFonts w:ascii="Arial" w:hAnsi="Arial" w:cs="Arial"/>
        </w:rPr>
        <w:t xml:space="preserve"> </w:t>
      </w:r>
      <w:proofErr w:type="spellStart"/>
      <w:r>
        <w:rPr>
          <w:rFonts w:ascii="Arial" w:hAnsi="Arial" w:cs="Arial"/>
        </w:rPr>
        <w:t>Consolaro</w:t>
      </w:r>
      <w:proofErr w:type="spellEnd"/>
      <w:r>
        <w:rPr>
          <w:rFonts w:ascii="Arial" w:hAnsi="Arial" w:cs="Arial"/>
        </w:rPr>
        <w:t xml:space="preserve"> A. Analysis of the dentin-pulp complex in teeth submitted to orthodontic movement in rats. </w:t>
      </w:r>
      <w:r>
        <w:rPr>
          <w:rStyle w:val="nfase"/>
          <w:rFonts w:ascii="Arial" w:hAnsi="Arial" w:cs="Arial"/>
          <w:i w:val="0"/>
          <w:iCs w:val="0"/>
          <w:shd w:val="clear" w:color="auto" w:fill="FFFFFF"/>
        </w:rPr>
        <w:t>Journal of Applied Oral Science</w:t>
      </w:r>
      <w:r>
        <w:rPr>
          <w:rStyle w:val="nfase"/>
          <w:rFonts w:ascii="Arial" w:hAnsi="Arial" w:cs="Arial"/>
          <w:i w:val="0"/>
          <w:iCs w:val="0"/>
          <w:shd w:val="clear" w:color="auto" w:fill="FFFFFF"/>
          <w:lang w:val="pt-BR"/>
        </w:rPr>
        <w:t>. 2009;</w:t>
      </w:r>
      <w:r>
        <w:rPr>
          <w:rFonts w:ascii="Arial" w:hAnsi="Arial" w:cs="Arial"/>
        </w:rPr>
        <w:t xml:space="preserve"> 17(17): 35-42.</w:t>
      </w:r>
    </w:p>
    <w:p w14:paraId="135FE328" w14:textId="77777777" w:rsidR="00687320" w:rsidRDefault="00687320">
      <w:pPr>
        <w:spacing w:line="360" w:lineRule="auto"/>
        <w:jc w:val="both"/>
        <w:rPr>
          <w:rFonts w:ascii="Arial" w:eastAsia="sans-serif" w:hAnsi="Arial" w:cs="Arial"/>
          <w:color w:val="333333"/>
        </w:rPr>
      </w:pPr>
    </w:p>
    <w:p w14:paraId="609A28A1" w14:textId="77777777" w:rsidR="00687320" w:rsidRDefault="00000000">
      <w:pPr>
        <w:numPr>
          <w:ilvl w:val="0"/>
          <w:numId w:val="3"/>
        </w:numPr>
        <w:spacing w:line="360" w:lineRule="auto"/>
        <w:jc w:val="both"/>
        <w:rPr>
          <w:rFonts w:ascii="Arial" w:eastAsia="Arial" w:hAnsi="Arial" w:cs="Arial"/>
          <w:color w:val="212121"/>
          <w:shd w:val="clear" w:color="auto" w:fill="FFFFFF"/>
        </w:rPr>
      </w:pPr>
      <w:r>
        <w:rPr>
          <w:rFonts w:ascii="Arial" w:eastAsia="Arial" w:hAnsi="Arial" w:cs="Arial"/>
          <w:color w:val="212121"/>
          <w:shd w:val="clear" w:color="auto" w:fill="FFFFFF"/>
        </w:rPr>
        <w:t xml:space="preserve">Abi-Ramia LB, </w:t>
      </w:r>
      <w:proofErr w:type="spellStart"/>
      <w:r>
        <w:rPr>
          <w:rFonts w:ascii="Arial" w:eastAsia="Arial" w:hAnsi="Arial" w:cs="Arial"/>
          <w:color w:val="212121"/>
          <w:shd w:val="clear" w:color="auto" w:fill="FFFFFF"/>
        </w:rPr>
        <w:t>Stuani</w:t>
      </w:r>
      <w:proofErr w:type="spellEnd"/>
      <w:r>
        <w:rPr>
          <w:rFonts w:ascii="Arial" w:eastAsia="Arial" w:hAnsi="Arial" w:cs="Arial"/>
          <w:color w:val="212121"/>
          <w:shd w:val="clear" w:color="auto" w:fill="FFFFFF"/>
        </w:rPr>
        <w:t xml:space="preserve"> AS, </w:t>
      </w:r>
      <w:proofErr w:type="spellStart"/>
      <w:r>
        <w:rPr>
          <w:rFonts w:ascii="Arial" w:eastAsia="Arial" w:hAnsi="Arial" w:cs="Arial"/>
          <w:color w:val="212121"/>
          <w:shd w:val="clear" w:color="auto" w:fill="FFFFFF"/>
        </w:rPr>
        <w:t>Stuani</w:t>
      </w:r>
      <w:proofErr w:type="spellEnd"/>
      <w:r>
        <w:rPr>
          <w:rFonts w:ascii="Arial" w:eastAsia="Arial" w:hAnsi="Arial" w:cs="Arial"/>
          <w:color w:val="212121"/>
          <w:shd w:val="clear" w:color="auto" w:fill="FFFFFF"/>
        </w:rPr>
        <w:t xml:space="preserve"> MB, Mendes AM. Effects of low-level laser therapy and orthodontic tooth movement on dental pulps in rats. The Angle Orthodontist. 2010; 80: 116-122.</w:t>
      </w:r>
    </w:p>
    <w:p w14:paraId="1515A40C" w14:textId="77777777" w:rsidR="00687320" w:rsidRDefault="00687320">
      <w:pPr>
        <w:spacing w:line="360" w:lineRule="auto"/>
        <w:jc w:val="both"/>
        <w:rPr>
          <w:rFonts w:ascii="Arial" w:eastAsia="Arial" w:hAnsi="Arial" w:cs="Arial"/>
          <w:color w:val="212121"/>
          <w:highlight w:val="green"/>
          <w:shd w:val="clear" w:color="auto" w:fill="FFFFFF"/>
        </w:rPr>
      </w:pPr>
    </w:p>
    <w:p w14:paraId="7A4327FD" w14:textId="77777777" w:rsidR="00687320" w:rsidRDefault="00000000">
      <w:pPr>
        <w:numPr>
          <w:ilvl w:val="0"/>
          <w:numId w:val="3"/>
        </w:numPr>
        <w:spacing w:line="360" w:lineRule="auto"/>
        <w:jc w:val="both"/>
        <w:rPr>
          <w:rFonts w:ascii="Arial" w:eastAsia="Arial" w:hAnsi="Arial" w:cs="Arial"/>
          <w:color w:val="212121"/>
          <w:shd w:val="clear" w:color="auto" w:fill="FFFFFF"/>
        </w:rPr>
      </w:pPr>
      <w:proofErr w:type="gramStart"/>
      <w:r>
        <w:rPr>
          <w:rFonts w:ascii="Arial" w:eastAsia="Segoe UI" w:hAnsi="Arial" w:cs="Arial"/>
          <w:color w:val="212121"/>
          <w:shd w:val="clear" w:color="auto" w:fill="FFFFFF"/>
        </w:rPr>
        <w:t>Butt</w:t>
      </w:r>
      <w:proofErr w:type="gramEnd"/>
      <w:r>
        <w:rPr>
          <w:rFonts w:ascii="Arial" w:eastAsia="Segoe UI" w:hAnsi="Arial" w:cs="Arial"/>
          <w:color w:val="212121"/>
          <w:shd w:val="clear" w:color="auto" w:fill="FFFFFF"/>
        </w:rPr>
        <w:t xml:space="preserve"> K</w:t>
      </w:r>
      <w:r>
        <w:rPr>
          <w:rFonts w:ascii="Arial" w:eastAsia="Segoe UI" w:hAnsi="Arial" w:cs="Arial"/>
          <w:color w:val="212121"/>
          <w:shd w:val="clear" w:color="auto" w:fill="FFFFFF"/>
          <w:lang w:val="pt-BR"/>
        </w:rPr>
        <w:t>,</w:t>
      </w:r>
      <w:r>
        <w:rPr>
          <w:rFonts w:ascii="Arial" w:eastAsia="Segoe UI" w:hAnsi="Arial" w:cs="Arial"/>
          <w:color w:val="212121"/>
          <w:shd w:val="clear" w:color="auto" w:fill="FFFFFF"/>
        </w:rPr>
        <w:t xml:space="preserve"> Harris I</w:t>
      </w:r>
      <w:r>
        <w:rPr>
          <w:rFonts w:ascii="Arial" w:eastAsia="Segoe UI" w:hAnsi="Arial" w:cs="Arial"/>
          <w:color w:val="212121"/>
          <w:shd w:val="clear" w:color="auto" w:fill="FFFFFF"/>
          <w:lang w:val="pt-BR"/>
        </w:rPr>
        <w:t xml:space="preserve">. </w:t>
      </w:r>
      <w:r>
        <w:rPr>
          <w:rFonts w:ascii="Arial" w:eastAsia="Segoe UI" w:hAnsi="Arial" w:cs="Arial"/>
          <w:color w:val="212121"/>
          <w:shd w:val="clear" w:color="auto" w:fill="FFFFFF"/>
        </w:rPr>
        <w:t>Making sense of sensibility: part 1. Br</w:t>
      </w:r>
      <w:proofErr w:type="spellStart"/>
      <w:r>
        <w:rPr>
          <w:rFonts w:ascii="Arial" w:eastAsia="Segoe UI" w:hAnsi="Arial" w:cs="Arial"/>
          <w:color w:val="212121"/>
          <w:shd w:val="clear" w:color="auto" w:fill="FFFFFF"/>
          <w:lang w:val="pt-BR"/>
        </w:rPr>
        <w:t>itish</w:t>
      </w:r>
      <w:proofErr w:type="spellEnd"/>
      <w:r>
        <w:rPr>
          <w:rFonts w:ascii="Arial" w:eastAsia="Segoe UI" w:hAnsi="Arial" w:cs="Arial"/>
          <w:color w:val="212121"/>
          <w:shd w:val="clear" w:color="auto" w:fill="FFFFFF"/>
        </w:rPr>
        <w:t xml:space="preserve"> Dent</w:t>
      </w:r>
      <w:r>
        <w:rPr>
          <w:rFonts w:ascii="Arial" w:eastAsia="Segoe UI" w:hAnsi="Arial" w:cs="Arial"/>
          <w:color w:val="212121"/>
          <w:shd w:val="clear" w:color="auto" w:fill="FFFFFF"/>
          <w:lang w:val="pt-BR"/>
        </w:rPr>
        <w:t>al</w:t>
      </w:r>
      <w:r>
        <w:rPr>
          <w:rFonts w:ascii="Arial" w:eastAsia="Segoe UI" w:hAnsi="Arial" w:cs="Arial"/>
          <w:color w:val="212121"/>
          <w:shd w:val="clear" w:color="auto" w:fill="FFFFFF"/>
        </w:rPr>
        <w:t xml:space="preserve"> J</w:t>
      </w:r>
      <w:proofErr w:type="spellStart"/>
      <w:r>
        <w:rPr>
          <w:rFonts w:ascii="Arial" w:eastAsia="Segoe UI" w:hAnsi="Arial" w:cs="Arial"/>
          <w:color w:val="212121"/>
          <w:shd w:val="clear" w:color="auto" w:fill="FFFFFF"/>
          <w:lang w:val="pt-BR"/>
        </w:rPr>
        <w:t>ournal</w:t>
      </w:r>
      <w:proofErr w:type="spellEnd"/>
      <w:r>
        <w:rPr>
          <w:rFonts w:ascii="Arial" w:eastAsia="Segoe UI" w:hAnsi="Arial" w:cs="Arial"/>
          <w:color w:val="212121"/>
          <w:shd w:val="clear" w:color="auto" w:fill="FFFFFF"/>
        </w:rPr>
        <w:t>.</w:t>
      </w:r>
      <w:r>
        <w:rPr>
          <w:rFonts w:ascii="Arial" w:eastAsia="Segoe UI" w:hAnsi="Arial" w:cs="Arial"/>
          <w:color w:val="212121"/>
          <w:shd w:val="clear" w:color="auto" w:fill="FFFFFF"/>
          <w:lang w:val="pt-BR"/>
        </w:rPr>
        <w:t xml:space="preserve"> </w:t>
      </w:r>
      <w:proofErr w:type="gramStart"/>
      <w:r>
        <w:rPr>
          <w:rFonts w:ascii="Arial" w:eastAsia="Segoe UI" w:hAnsi="Arial" w:cs="Arial"/>
          <w:color w:val="212121"/>
          <w:shd w:val="clear" w:color="auto" w:fill="FFFFFF"/>
          <w:lang w:val="pt-BR"/>
        </w:rPr>
        <w:t>2022;</w:t>
      </w:r>
      <w:r>
        <w:rPr>
          <w:rFonts w:ascii="Arial" w:eastAsia="Segoe UI" w:hAnsi="Arial" w:cs="Arial"/>
          <w:color w:val="212121"/>
          <w:shd w:val="clear" w:color="auto" w:fill="FFFFFF"/>
        </w:rPr>
        <w:t xml:space="preserve">  232</w:t>
      </w:r>
      <w:proofErr w:type="gramEnd"/>
      <w:r>
        <w:rPr>
          <w:rFonts w:ascii="Arial" w:eastAsia="Segoe UI" w:hAnsi="Arial" w:cs="Arial"/>
          <w:color w:val="212121"/>
          <w:shd w:val="clear" w:color="auto" w:fill="FFFFFF"/>
        </w:rPr>
        <w:t>(5): 307-310.</w:t>
      </w:r>
    </w:p>
    <w:p w14:paraId="7D62079F" w14:textId="77777777" w:rsidR="00687320" w:rsidRDefault="00687320">
      <w:pPr>
        <w:spacing w:line="360" w:lineRule="auto"/>
        <w:jc w:val="both"/>
        <w:rPr>
          <w:rFonts w:ascii="Arial" w:eastAsia="Segoe UI" w:hAnsi="Arial" w:cs="Arial"/>
          <w:color w:val="212121"/>
          <w:highlight w:val="green"/>
          <w:shd w:val="clear" w:color="auto" w:fill="FFFFFF"/>
        </w:rPr>
      </w:pPr>
    </w:p>
    <w:p w14:paraId="34CB6290" w14:textId="77777777" w:rsidR="00687320" w:rsidRDefault="00000000">
      <w:pPr>
        <w:numPr>
          <w:ilvl w:val="0"/>
          <w:numId w:val="3"/>
        </w:numPr>
        <w:spacing w:line="360" w:lineRule="auto"/>
        <w:jc w:val="both"/>
        <w:rPr>
          <w:rFonts w:ascii="Arial" w:hAnsi="Arial" w:cs="Arial"/>
          <w:color w:val="000000" w:themeColor="text1"/>
        </w:rPr>
      </w:pPr>
      <w:proofErr w:type="spellStart"/>
      <w:r>
        <w:rPr>
          <w:rFonts w:ascii="Arial" w:eastAsia="sans-serif" w:hAnsi="Arial" w:cs="Arial"/>
          <w:color w:val="000000" w:themeColor="text1"/>
          <w:shd w:val="clear" w:color="auto" w:fill="FFFFFF"/>
        </w:rPr>
        <w:t>Molitch</w:t>
      </w:r>
      <w:proofErr w:type="spellEnd"/>
      <w:r>
        <w:rPr>
          <w:rFonts w:ascii="Arial" w:eastAsia="sans-serif" w:hAnsi="Arial" w:cs="Arial"/>
          <w:color w:val="000000" w:themeColor="text1"/>
          <w:shd w:val="clear" w:color="auto" w:fill="FFFFFF"/>
        </w:rPr>
        <w:t xml:space="preserve"> ME. Neuroendocrinology and the Neuroendocrine System. In Goldman's Cecil Medicine: Twenty Fourth Edition. </w:t>
      </w:r>
      <w:r>
        <w:rPr>
          <w:rFonts w:ascii="Arial" w:eastAsia="sans-serif" w:hAnsi="Arial" w:cs="Arial"/>
          <w:color w:val="000000" w:themeColor="text1"/>
          <w:shd w:val="clear" w:color="auto" w:fill="FFFFFF"/>
          <w:lang w:val="pt-BR"/>
        </w:rPr>
        <w:t xml:space="preserve">2011; </w:t>
      </w:r>
      <w:r>
        <w:rPr>
          <w:rFonts w:ascii="Arial" w:eastAsia="sans-serif" w:hAnsi="Arial" w:cs="Arial"/>
          <w:color w:val="000000" w:themeColor="text1"/>
          <w:shd w:val="clear" w:color="auto" w:fill="FFFFFF"/>
        </w:rPr>
        <w:t>Vol. 2</w:t>
      </w:r>
      <w:r>
        <w:rPr>
          <w:rFonts w:ascii="Arial" w:eastAsia="sans-serif" w:hAnsi="Arial" w:cs="Arial"/>
          <w:color w:val="000000" w:themeColor="text1"/>
          <w:shd w:val="clear" w:color="auto" w:fill="FFFFFF"/>
          <w:lang w:val="pt-BR"/>
        </w:rPr>
        <w:t>:</w:t>
      </w:r>
      <w:r>
        <w:rPr>
          <w:rFonts w:ascii="Arial" w:eastAsia="sans-serif" w:hAnsi="Arial" w:cs="Arial"/>
          <w:color w:val="000000" w:themeColor="text1"/>
          <w:shd w:val="clear" w:color="auto" w:fill="FFFFFF"/>
        </w:rPr>
        <w:t xml:space="preserve"> 1425-1431</w:t>
      </w:r>
      <w:r>
        <w:rPr>
          <w:rFonts w:ascii="Arial" w:eastAsia="sans-serif" w:hAnsi="Arial" w:cs="Arial"/>
          <w:color w:val="000000" w:themeColor="text1"/>
          <w:shd w:val="clear" w:color="auto" w:fill="FFFFFF"/>
          <w:lang w:val="pt-BR"/>
        </w:rPr>
        <w:t>.</w:t>
      </w:r>
    </w:p>
    <w:p w14:paraId="7990F544" w14:textId="77777777" w:rsidR="00687320" w:rsidRDefault="00687320">
      <w:pPr>
        <w:spacing w:line="360" w:lineRule="auto"/>
        <w:jc w:val="both"/>
        <w:rPr>
          <w:rFonts w:ascii="Arial" w:hAnsi="Arial" w:cs="Arial"/>
        </w:rPr>
      </w:pPr>
    </w:p>
    <w:p w14:paraId="491E326E" w14:textId="77777777" w:rsidR="00687320" w:rsidRDefault="00000000">
      <w:pPr>
        <w:pStyle w:val="bodytext"/>
        <w:numPr>
          <w:ilvl w:val="0"/>
          <w:numId w:val="3"/>
        </w:numPr>
        <w:shd w:val="clear" w:color="auto" w:fill="FFFFFF"/>
        <w:spacing w:before="0" w:beforeAutospacing="0" w:after="0" w:afterAutospacing="0" w:line="360" w:lineRule="auto"/>
        <w:jc w:val="both"/>
        <w:rPr>
          <w:rFonts w:ascii="Arial" w:hAnsi="Arial" w:cs="Arial"/>
          <w:sz w:val="20"/>
          <w:szCs w:val="20"/>
          <w:lang w:val="en-US"/>
        </w:rPr>
      </w:pPr>
      <w:r>
        <w:rPr>
          <w:rFonts w:ascii="Arial" w:hAnsi="Arial" w:cs="Arial"/>
          <w:sz w:val="20"/>
          <w:szCs w:val="20"/>
          <w:lang w:val="en-US"/>
        </w:rPr>
        <w:t xml:space="preserve">Faul F, </w:t>
      </w:r>
      <w:proofErr w:type="spellStart"/>
      <w:r>
        <w:rPr>
          <w:rFonts w:ascii="Arial" w:hAnsi="Arial" w:cs="Arial"/>
          <w:sz w:val="20"/>
          <w:szCs w:val="20"/>
          <w:lang w:val="en-US"/>
        </w:rPr>
        <w:t>Erdfelder</w:t>
      </w:r>
      <w:proofErr w:type="spellEnd"/>
      <w:r>
        <w:rPr>
          <w:rFonts w:ascii="Arial" w:hAnsi="Arial" w:cs="Arial"/>
          <w:sz w:val="20"/>
          <w:szCs w:val="20"/>
          <w:lang w:val="en-US"/>
        </w:rPr>
        <w:t xml:space="preserve"> E, Lang AG, Buchner A.</w:t>
      </w:r>
      <w:r>
        <w:rPr>
          <w:rFonts w:ascii="Arial" w:hAnsi="Arial" w:cs="Arial"/>
          <w:sz w:val="20"/>
          <w:szCs w:val="20"/>
        </w:rPr>
        <w:t xml:space="preserve"> </w:t>
      </w:r>
      <w:r>
        <w:rPr>
          <w:rFonts w:ascii="Arial" w:hAnsi="Arial" w:cs="Arial"/>
          <w:sz w:val="20"/>
          <w:szCs w:val="20"/>
          <w:lang w:val="en-US"/>
        </w:rPr>
        <w:t>G*Power 3: A flexible statistical power analysis program for the social, behavioral, and biomedical sciences. Behavior Research Methods. </w:t>
      </w:r>
      <w:r>
        <w:rPr>
          <w:rFonts w:ascii="Arial" w:hAnsi="Arial" w:cs="Arial"/>
          <w:sz w:val="20"/>
          <w:szCs w:val="20"/>
        </w:rPr>
        <w:t>2007;</w:t>
      </w:r>
      <w:r>
        <w:rPr>
          <w:rFonts w:ascii="Arial" w:hAnsi="Arial" w:cs="Arial"/>
          <w:sz w:val="20"/>
          <w:szCs w:val="20"/>
          <w:lang w:val="en-US"/>
        </w:rPr>
        <w:t xml:space="preserve"> 39(2): 175-19</w:t>
      </w:r>
      <w:r>
        <w:rPr>
          <w:rFonts w:ascii="Arial" w:hAnsi="Arial" w:cs="Arial"/>
          <w:sz w:val="20"/>
          <w:szCs w:val="20"/>
        </w:rPr>
        <w:t>1</w:t>
      </w:r>
      <w:r>
        <w:rPr>
          <w:rFonts w:ascii="Arial" w:hAnsi="Arial" w:cs="Arial"/>
          <w:sz w:val="20"/>
          <w:szCs w:val="20"/>
          <w:lang w:val="en-US"/>
        </w:rPr>
        <w:t>.</w:t>
      </w:r>
    </w:p>
    <w:p w14:paraId="26818233" w14:textId="77777777" w:rsidR="00687320" w:rsidRDefault="00687320">
      <w:pPr>
        <w:pStyle w:val="bodytext"/>
        <w:shd w:val="clear" w:color="auto" w:fill="FFFFFF"/>
        <w:spacing w:before="0" w:beforeAutospacing="0" w:after="0" w:afterAutospacing="0" w:line="360" w:lineRule="auto"/>
        <w:jc w:val="both"/>
        <w:rPr>
          <w:rFonts w:ascii="Arial" w:hAnsi="Arial" w:cs="Arial"/>
          <w:sz w:val="20"/>
          <w:szCs w:val="20"/>
          <w:lang w:val="en-US"/>
        </w:rPr>
      </w:pPr>
    </w:p>
    <w:p w14:paraId="516CA901" w14:textId="77777777" w:rsidR="00687320" w:rsidRDefault="00000000">
      <w:pPr>
        <w:pStyle w:val="bodytext"/>
        <w:numPr>
          <w:ilvl w:val="0"/>
          <w:numId w:val="3"/>
        </w:numPr>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z w:val="20"/>
          <w:szCs w:val="20"/>
          <w:lang w:val="en-US"/>
        </w:rPr>
        <w:t>Faul F</w:t>
      </w:r>
      <w:r>
        <w:rPr>
          <w:rFonts w:ascii="Arial" w:hAnsi="Arial" w:cs="Arial"/>
          <w:sz w:val="20"/>
          <w:szCs w:val="20"/>
        </w:rPr>
        <w:t>,</w:t>
      </w:r>
      <w:r>
        <w:rPr>
          <w:rFonts w:ascii="Arial" w:hAnsi="Arial" w:cs="Arial"/>
          <w:sz w:val="20"/>
          <w:szCs w:val="20"/>
          <w:lang w:val="en-US"/>
        </w:rPr>
        <w:t xml:space="preserve"> </w:t>
      </w:r>
      <w:proofErr w:type="spellStart"/>
      <w:r>
        <w:rPr>
          <w:rFonts w:ascii="Arial" w:hAnsi="Arial" w:cs="Arial"/>
          <w:sz w:val="20"/>
          <w:szCs w:val="20"/>
          <w:lang w:val="en-US"/>
        </w:rPr>
        <w:t>Erdfelder</w:t>
      </w:r>
      <w:proofErr w:type="spellEnd"/>
      <w:r>
        <w:rPr>
          <w:rFonts w:ascii="Arial" w:hAnsi="Arial" w:cs="Arial"/>
          <w:sz w:val="20"/>
          <w:szCs w:val="20"/>
          <w:lang w:val="en-US"/>
        </w:rPr>
        <w:t xml:space="preserve"> E</w:t>
      </w:r>
      <w:r>
        <w:rPr>
          <w:rFonts w:ascii="Arial" w:hAnsi="Arial" w:cs="Arial"/>
          <w:sz w:val="20"/>
          <w:szCs w:val="20"/>
        </w:rPr>
        <w:t>,</w:t>
      </w:r>
      <w:r>
        <w:rPr>
          <w:rFonts w:ascii="Arial" w:hAnsi="Arial" w:cs="Arial"/>
          <w:sz w:val="20"/>
          <w:szCs w:val="20"/>
          <w:lang w:val="en-US"/>
        </w:rPr>
        <w:t xml:space="preserve"> Buchner A</w:t>
      </w:r>
      <w:r>
        <w:rPr>
          <w:rFonts w:ascii="Arial" w:hAnsi="Arial" w:cs="Arial"/>
          <w:sz w:val="20"/>
          <w:szCs w:val="20"/>
        </w:rPr>
        <w:t>,</w:t>
      </w:r>
      <w:r>
        <w:rPr>
          <w:rFonts w:ascii="Arial" w:hAnsi="Arial" w:cs="Arial"/>
          <w:sz w:val="20"/>
          <w:szCs w:val="20"/>
          <w:lang w:val="en-US"/>
        </w:rPr>
        <w:t xml:space="preserve"> Lang AG. Statistical power analyses using G*Power 3.1: Tests for correlation and regression analyses. Behavior Research Methods. </w:t>
      </w:r>
      <w:r>
        <w:rPr>
          <w:rFonts w:ascii="Arial" w:hAnsi="Arial" w:cs="Arial"/>
          <w:sz w:val="20"/>
          <w:szCs w:val="20"/>
        </w:rPr>
        <w:t xml:space="preserve">2009; </w:t>
      </w:r>
      <w:r>
        <w:rPr>
          <w:rFonts w:ascii="Arial" w:hAnsi="Arial" w:cs="Arial"/>
          <w:sz w:val="20"/>
          <w:szCs w:val="20"/>
          <w:lang w:val="en-US"/>
        </w:rPr>
        <w:t>41(4): 1149-1160.</w:t>
      </w:r>
    </w:p>
    <w:p w14:paraId="509C7A55" w14:textId="77777777" w:rsidR="00687320" w:rsidRDefault="00687320">
      <w:pPr>
        <w:pStyle w:val="bodytext"/>
        <w:shd w:val="clear" w:color="auto" w:fill="FFFFFF"/>
        <w:spacing w:before="0" w:beforeAutospacing="0" w:after="0" w:afterAutospacing="0" w:line="360" w:lineRule="auto"/>
        <w:jc w:val="both"/>
        <w:rPr>
          <w:rFonts w:ascii="Arial" w:hAnsi="Arial" w:cs="Arial"/>
          <w:sz w:val="20"/>
          <w:szCs w:val="20"/>
          <w:lang w:val="en-US"/>
        </w:rPr>
      </w:pPr>
    </w:p>
    <w:p w14:paraId="1E0DE918" w14:textId="77777777" w:rsidR="00687320" w:rsidRDefault="00000000">
      <w:pPr>
        <w:numPr>
          <w:ilvl w:val="0"/>
          <w:numId w:val="3"/>
        </w:numPr>
        <w:spacing w:line="360" w:lineRule="auto"/>
        <w:ind w:right="-2"/>
        <w:jc w:val="both"/>
        <w:rPr>
          <w:rFonts w:ascii="Arial" w:hAnsi="Arial" w:cs="Arial"/>
        </w:rPr>
      </w:pPr>
      <w:r>
        <w:rPr>
          <w:rFonts w:ascii="Arial" w:hAnsi="Arial" w:cs="Arial"/>
        </w:rPr>
        <w:t>Olney JW</w:t>
      </w:r>
      <w:r>
        <w:rPr>
          <w:rFonts w:ascii="Arial" w:hAnsi="Arial" w:cs="Arial"/>
          <w:lang w:val="pt-BR"/>
        </w:rPr>
        <w:t>.</w:t>
      </w:r>
      <w:r>
        <w:rPr>
          <w:rFonts w:ascii="Arial" w:hAnsi="Arial" w:cs="Arial"/>
        </w:rPr>
        <w:t xml:space="preserve"> Brain lesions, obesity and other disturbances in mice treated with monosodium glutamate. Science. </w:t>
      </w:r>
      <w:r>
        <w:rPr>
          <w:rFonts w:ascii="Arial" w:hAnsi="Arial" w:cs="Arial"/>
          <w:lang w:val="pt-BR"/>
        </w:rPr>
        <w:t xml:space="preserve">1969; </w:t>
      </w:r>
      <w:r>
        <w:rPr>
          <w:rFonts w:ascii="Arial" w:hAnsi="Arial" w:cs="Arial"/>
        </w:rPr>
        <w:t>164(3880):</w:t>
      </w:r>
      <w:r>
        <w:rPr>
          <w:rFonts w:ascii="Arial" w:hAnsi="Arial" w:cs="Arial"/>
          <w:lang w:val="pt-BR"/>
        </w:rPr>
        <w:t xml:space="preserve"> </w:t>
      </w:r>
      <w:r>
        <w:rPr>
          <w:rFonts w:ascii="Arial" w:hAnsi="Arial" w:cs="Arial"/>
        </w:rPr>
        <w:t xml:space="preserve">719-721. </w:t>
      </w:r>
    </w:p>
    <w:p w14:paraId="16B40BDF" w14:textId="77777777" w:rsidR="00687320" w:rsidRDefault="00687320">
      <w:pPr>
        <w:pStyle w:val="bodytext"/>
        <w:shd w:val="clear" w:color="auto" w:fill="FFFFFF"/>
        <w:spacing w:before="0" w:beforeAutospacing="0" w:after="0" w:afterAutospacing="0" w:line="360" w:lineRule="auto"/>
        <w:jc w:val="both"/>
        <w:rPr>
          <w:rFonts w:ascii="Arial" w:hAnsi="Arial" w:cs="Arial"/>
          <w:sz w:val="20"/>
          <w:szCs w:val="20"/>
          <w:lang w:val="en-US"/>
        </w:rPr>
      </w:pPr>
    </w:p>
    <w:p w14:paraId="14382ECD" w14:textId="77777777" w:rsidR="00687320" w:rsidRDefault="00000000">
      <w:pPr>
        <w:widowControl w:val="0"/>
        <w:numPr>
          <w:ilvl w:val="0"/>
          <w:numId w:val="3"/>
        </w:numPr>
        <w:spacing w:line="360" w:lineRule="auto"/>
        <w:jc w:val="both"/>
        <w:rPr>
          <w:rFonts w:ascii="Arial" w:eastAsia="Times New Roman" w:hAnsi="Arial" w:cs="Arial"/>
        </w:rPr>
      </w:pPr>
      <w:r>
        <w:rPr>
          <w:rFonts w:ascii="Arial" w:eastAsia="Times New Roman" w:hAnsi="Arial" w:cs="Arial"/>
        </w:rPr>
        <w:t>Heller IJ</w:t>
      </w:r>
      <w:r>
        <w:rPr>
          <w:rFonts w:ascii="Arial" w:eastAsia="Times New Roman" w:hAnsi="Arial" w:cs="Arial"/>
          <w:lang w:val="pt-BR"/>
        </w:rPr>
        <w:t>,</w:t>
      </w:r>
      <w:r>
        <w:rPr>
          <w:rFonts w:ascii="Arial" w:eastAsia="Times New Roman" w:hAnsi="Arial" w:cs="Arial"/>
        </w:rPr>
        <w:t xml:space="preserve"> Nanda R. The effect of metabolic alteration of periodontal </w:t>
      </w:r>
      <w:proofErr w:type="spellStart"/>
      <w:r>
        <w:rPr>
          <w:rFonts w:ascii="Arial" w:eastAsia="Times New Roman" w:hAnsi="Arial" w:cs="Arial"/>
        </w:rPr>
        <w:t>fibres</w:t>
      </w:r>
      <w:proofErr w:type="spellEnd"/>
      <w:r>
        <w:rPr>
          <w:rFonts w:ascii="Arial" w:eastAsia="Times New Roman" w:hAnsi="Arial" w:cs="Arial"/>
        </w:rPr>
        <w:t xml:space="preserve"> on orthodontic tooth movement. American Journal of Orthodontics.</w:t>
      </w:r>
      <w:r>
        <w:rPr>
          <w:rFonts w:ascii="Arial" w:eastAsia="Times New Roman" w:hAnsi="Arial" w:cs="Arial"/>
          <w:lang w:val="pt-BR"/>
        </w:rPr>
        <w:t xml:space="preserve"> 1979;</w:t>
      </w:r>
      <w:r>
        <w:rPr>
          <w:rFonts w:ascii="Arial" w:eastAsia="Times New Roman" w:hAnsi="Arial" w:cs="Arial"/>
        </w:rPr>
        <w:t xml:space="preserve"> 75(75): 239–257.</w:t>
      </w:r>
    </w:p>
    <w:p w14:paraId="4A681835" w14:textId="77777777" w:rsidR="00687320" w:rsidRDefault="00687320">
      <w:pPr>
        <w:spacing w:line="360" w:lineRule="auto"/>
        <w:jc w:val="both"/>
        <w:rPr>
          <w:rFonts w:ascii="Arial" w:hAnsi="Arial" w:cs="Arial"/>
        </w:rPr>
      </w:pPr>
    </w:p>
    <w:p w14:paraId="167589C4" w14:textId="77777777" w:rsidR="00687320" w:rsidRDefault="00000000">
      <w:pPr>
        <w:pStyle w:val="Ttulo1"/>
        <w:numPr>
          <w:ilvl w:val="0"/>
          <w:numId w:val="3"/>
        </w:numPr>
        <w:spacing w:line="360" w:lineRule="auto"/>
        <w:jc w:val="both"/>
        <w:rPr>
          <w:rFonts w:ascii="Arial" w:eastAsia="Times New Roman" w:hAnsi="Arial" w:cs="Arial"/>
          <w:b w:val="0"/>
          <w:bCs w:val="0"/>
          <w:sz w:val="20"/>
          <w:szCs w:val="20"/>
        </w:rPr>
      </w:pPr>
      <w:proofErr w:type="spellStart"/>
      <w:r>
        <w:rPr>
          <w:rFonts w:ascii="Arial" w:eastAsia="Times New Roman" w:hAnsi="Arial" w:cs="Arial"/>
          <w:b w:val="0"/>
          <w:bCs w:val="0"/>
          <w:sz w:val="20"/>
          <w:szCs w:val="20"/>
        </w:rPr>
        <w:t>Pasa</w:t>
      </w:r>
      <w:proofErr w:type="spellEnd"/>
      <w:r>
        <w:rPr>
          <w:rFonts w:ascii="Arial" w:eastAsia="Times New Roman" w:hAnsi="Arial" w:cs="Arial"/>
          <w:b w:val="0"/>
          <w:bCs w:val="0"/>
          <w:sz w:val="20"/>
          <w:szCs w:val="20"/>
        </w:rPr>
        <w:t xml:space="preserve"> APBC, Brandão HCB, </w:t>
      </w:r>
      <w:proofErr w:type="spellStart"/>
      <w:r>
        <w:rPr>
          <w:rFonts w:ascii="Arial" w:eastAsia="Times New Roman" w:hAnsi="Arial" w:cs="Arial"/>
          <w:b w:val="0"/>
          <w:bCs w:val="0"/>
          <w:sz w:val="20"/>
          <w:szCs w:val="20"/>
        </w:rPr>
        <w:t>Busato</w:t>
      </w:r>
      <w:proofErr w:type="spellEnd"/>
      <w:r>
        <w:rPr>
          <w:rFonts w:ascii="Arial" w:eastAsia="Times New Roman" w:hAnsi="Arial" w:cs="Arial"/>
          <w:b w:val="0"/>
          <w:bCs w:val="0"/>
          <w:sz w:val="20"/>
          <w:szCs w:val="20"/>
        </w:rPr>
        <w:t xml:space="preserve"> MCA, Porto EM, Amorim, JPA</w:t>
      </w:r>
      <w:r>
        <w:rPr>
          <w:rFonts w:ascii="Arial" w:eastAsia="Times New Roman" w:hAnsi="Arial" w:cs="Arial"/>
          <w:b w:val="0"/>
          <w:bCs w:val="0"/>
          <w:sz w:val="20"/>
          <w:szCs w:val="20"/>
          <w:lang w:val="pt-BR"/>
        </w:rPr>
        <w:t xml:space="preserve">. </w:t>
      </w:r>
      <w:proofErr w:type="spellStart"/>
      <w:r>
        <w:rPr>
          <w:rFonts w:ascii="Arial" w:eastAsia="Times New Roman" w:hAnsi="Arial" w:cs="Arial"/>
          <w:b w:val="0"/>
          <w:bCs w:val="0"/>
          <w:sz w:val="20"/>
          <w:szCs w:val="20"/>
        </w:rPr>
        <w:t>Effects</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of</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Ovariectomy</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on</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the</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Structure</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of</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the</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Periodontium</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and</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Root</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Resorption</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During</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Orthodontic</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Tooth</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Movement</w:t>
      </w:r>
      <w:proofErr w:type="spellEnd"/>
      <w:r>
        <w:rPr>
          <w:rFonts w:ascii="Arial" w:eastAsia="Times New Roman" w:hAnsi="Arial" w:cs="Arial"/>
          <w:b w:val="0"/>
          <w:bCs w:val="0"/>
          <w:sz w:val="20"/>
          <w:szCs w:val="20"/>
        </w:rPr>
        <w:t xml:space="preserve"> in </w:t>
      </w:r>
      <w:proofErr w:type="spellStart"/>
      <w:r>
        <w:rPr>
          <w:rFonts w:ascii="Arial" w:eastAsia="Times New Roman" w:hAnsi="Arial" w:cs="Arial"/>
          <w:b w:val="0"/>
          <w:bCs w:val="0"/>
          <w:sz w:val="20"/>
          <w:szCs w:val="20"/>
        </w:rPr>
        <w:t>Rats</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Journal</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of</w:t>
      </w:r>
      <w:proofErr w:type="spellEnd"/>
      <w:r>
        <w:rPr>
          <w:rFonts w:ascii="Arial" w:eastAsia="Times New Roman" w:hAnsi="Arial" w:cs="Arial"/>
          <w:b w:val="0"/>
          <w:bCs w:val="0"/>
          <w:sz w:val="20"/>
          <w:szCs w:val="20"/>
        </w:rPr>
        <w:t xml:space="preserve"> </w:t>
      </w:r>
      <w:proofErr w:type="spellStart"/>
      <w:r>
        <w:rPr>
          <w:rFonts w:ascii="Arial" w:eastAsia="Times New Roman" w:hAnsi="Arial" w:cs="Arial"/>
          <w:b w:val="0"/>
          <w:bCs w:val="0"/>
          <w:sz w:val="20"/>
          <w:szCs w:val="20"/>
        </w:rPr>
        <w:t>Advances</w:t>
      </w:r>
      <w:proofErr w:type="spellEnd"/>
      <w:r>
        <w:rPr>
          <w:rFonts w:ascii="Arial" w:eastAsia="Times New Roman" w:hAnsi="Arial" w:cs="Arial"/>
          <w:b w:val="0"/>
          <w:bCs w:val="0"/>
          <w:sz w:val="20"/>
          <w:szCs w:val="20"/>
        </w:rPr>
        <w:t xml:space="preserve"> in Medicine </w:t>
      </w:r>
      <w:proofErr w:type="spellStart"/>
      <w:r>
        <w:rPr>
          <w:rFonts w:ascii="Arial" w:eastAsia="Times New Roman" w:hAnsi="Arial" w:cs="Arial"/>
          <w:b w:val="0"/>
          <w:bCs w:val="0"/>
          <w:sz w:val="20"/>
          <w:szCs w:val="20"/>
        </w:rPr>
        <w:t>and</w:t>
      </w:r>
      <w:proofErr w:type="spellEnd"/>
      <w:r>
        <w:rPr>
          <w:rFonts w:ascii="Arial" w:eastAsia="Times New Roman" w:hAnsi="Arial" w:cs="Arial"/>
          <w:b w:val="0"/>
          <w:bCs w:val="0"/>
          <w:sz w:val="20"/>
          <w:szCs w:val="20"/>
        </w:rPr>
        <w:t xml:space="preserve"> Medical Research</w:t>
      </w:r>
      <w:r>
        <w:rPr>
          <w:rFonts w:ascii="Arial" w:eastAsia="Times New Roman" w:hAnsi="Arial" w:cs="Arial"/>
          <w:b w:val="0"/>
          <w:bCs w:val="0"/>
          <w:sz w:val="20"/>
          <w:szCs w:val="20"/>
          <w:lang w:val="pt-BR"/>
        </w:rPr>
        <w:t>. 2024;</w:t>
      </w:r>
      <w:r>
        <w:rPr>
          <w:rFonts w:ascii="Arial" w:eastAsia="Times New Roman" w:hAnsi="Arial" w:cs="Arial"/>
          <w:b w:val="0"/>
          <w:bCs w:val="0"/>
          <w:sz w:val="20"/>
          <w:szCs w:val="20"/>
        </w:rPr>
        <w:t xml:space="preserve"> 36: 215-224.</w:t>
      </w:r>
    </w:p>
    <w:p w14:paraId="3632D5E2" w14:textId="77777777" w:rsidR="00687320" w:rsidRDefault="00687320">
      <w:pPr>
        <w:rPr>
          <w:rFonts w:ascii="Arial" w:eastAsia="Times New Roman" w:hAnsi="Arial" w:cs="Arial"/>
        </w:rPr>
      </w:pPr>
    </w:p>
    <w:p w14:paraId="574402FC" w14:textId="77777777" w:rsidR="00687320" w:rsidRDefault="00000000">
      <w:pPr>
        <w:widowControl w:val="0"/>
        <w:numPr>
          <w:ilvl w:val="0"/>
          <w:numId w:val="3"/>
        </w:numPr>
        <w:spacing w:line="360" w:lineRule="auto"/>
        <w:jc w:val="both"/>
        <w:rPr>
          <w:rFonts w:ascii="Arial" w:eastAsia="Frutiger-LightCn" w:hAnsi="Arial" w:cs="Arial"/>
          <w:lang w:eastAsia="zh-CN" w:bidi="ar"/>
        </w:rPr>
      </w:pPr>
      <w:r>
        <w:rPr>
          <w:rFonts w:ascii="Arial" w:eastAsia="Times New Roman" w:hAnsi="Arial" w:cs="Arial"/>
        </w:rPr>
        <w:t>Gameiro GH</w:t>
      </w:r>
      <w:r>
        <w:rPr>
          <w:rFonts w:ascii="Arial" w:eastAsia="Times New Roman" w:hAnsi="Arial" w:cs="Arial"/>
          <w:lang w:val="pt-BR"/>
        </w:rPr>
        <w:t>,</w:t>
      </w:r>
      <w:r>
        <w:rPr>
          <w:rFonts w:ascii="Arial" w:eastAsia="Times New Roman" w:hAnsi="Arial" w:cs="Arial"/>
        </w:rPr>
        <w:t xml:space="preserve"> </w:t>
      </w:r>
      <w:proofErr w:type="spellStart"/>
      <w:r>
        <w:rPr>
          <w:rFonts w:ascii="Arial" w:eastAsia="Times New Roman" w:hAnsi="Arial" w:cs="Arial"/>
        </w:rPr>
        <w:t>Nouer</w:t>
      </w:r>
      <w:proofErr w:type="spellEnd"/>
      <w:r>
        <w:rPr>
          <w:rFonts w:ascii="Arial" w:eastAsia="Times New Roman" w:hAnsi="Arial" w:cs="Arial"/>
          <w:lang w:val="pt-BR"/>
        </w:rPr>
        <w:t xml:space="preserve"> </w:t>
      </w:r>
      <w:r>
        <w:rPr>
          <w:rFonts w:ascii="Arial" w:eastAsia="Times New Roman" w:hAnsi="Arial" w:cs="Arial"/>
        </w:rPr>
        <w:t>DF</w:t>
      </w:r>
      <w:r>
        <w:rPr>
          <w:rFonts w:ascii="Arial" w:eastAsia="Times New Roman" w:hAnsi="Arial" w:cs="Arial"/>
          <w:lang w:val="pt-BR"/>
        </w:rPr>
        <w:t>,</w:t>
      </w:r>
      <w:r>
        <w:rPr>
          <w:rFonts w:ascii="Arial" w:eastAsia="Times New Roman" w:hAnsi="Arial" w:cs="Arial"/>
        </w:rPr>
        <w:t xml:space="preserve"> Neto JSP</w:t>
      </w:r>
      <w:r>
        <w:rPr>
          <w:rFonts w:ascii="Arial" w:eastAsia="Times New Roman" w:hAnsi="Arial" w:cs="Arial"/>
          <w:lang w:val="pt-BR"/>
        </w:rPr>
        <w:t>,</w:t>
      </w:r>
      <w:r>
        <w:rPr>
          <w:rFonts w:ascii="Arial" w:eastAsia="Times New Roman" w:hAnsi="Arial" w:cs="Arial"/>
        </w:rPr>
        <w:t xml:space="preserve"> Siqueira VC</w:t>
      </w:r>
      <w:r>
        <w:rPr>
          <w:rFonts w:ascii="Arial" w:eastAsia="Times New Roman" w:hAnsi="Arial" w:cs="Arial"/>
          <w:lang w:val="pt-BR"/>
        </w:rPr>
        <w:t>,</w:t>
      </w:r>
      <w:r>
        <w:rPr>
          <w:rFonts w:ascii="Arial" w:eastAsia="Times New Roman" w:hAnsi="Arial" w:cs="Arial"/>
        </w:rPr>
        <w:t xml:space="preserve"> Andrade ED</w:t>
      </w:r>
      <w:r>
        <w:rPr>
          <w:rFonts w:ascii="Arial" w:eastAsia="Times New Roman" w:hAnsi="Arial" w:cs="Arial"/>
          <w:lang w:val="pt-BR"/>
        </w:rPr>
        <w:t>,</w:t>
      </w:r>
      <w:r>
        <w:rPr>
          <w:rFonts w:ascii="Arial" w:eastAsia="Times New Roman" w:hAnsi="Arial" w:cs="Arial"/>
        </w:rPr>
        <w:t xml:space="preserve"> Novaes PD</w:t>
      </w:r>
      <w:r>
        <w:rPr>
          <w:rFonts w:ascii="Arial" w:eastAsia="Times New Roman" w:hAnsi="Arial" w:cs="Arial"/>
          <w:lang w:val="pt-BR"/>
        </w:rPr>
        <w:t>,</w:t>
      </w:r>
      <w:r>
        <w:rPr>
          <w:rFonts w:ascii="Arial" w:eastAsia="Times New Roman" w:hAnsi="Arial" w:cs="Arial"/>
        </w:rPr>
        <w:t xml:space="preserve"> Veiga</w:t>
      </w:r>
      <w:r>
        <w:rPr>
          <w:rFonts w:ascii="Arial" w:eastAsia="Times New Roman" w:hAnsi="Arial" w:cs="Arial"/>
          <w:lang w:val="pt-BR"/>
        </w:rPr>
        <w:t xml:space="preserve"> </w:t>
      </w:r>
      <w:r>
        <w:rPr>
          <w:rFonts w:ascii="Arial" w:eastAsia="Times New Roman" w:hAnsi="Arial" w:cs="Arial"/>
        </w:rPr>
        <w:t>MCF.</w:t>
      </w:r>
      <w:r>
        <w:rPr>
          <w:rFonts w:ascii="Arial" w:eastAsia="Times New Roman" w:hAnsi="Arial" w:cs="Arial"/>
          <w:lang w:val="pt-BR"/>
        </w:rPr>
        <w:t xml:space="preserve"> </w:t>
      </w:r>
      <w:r>
        <w:rPr>
          <w:rFonts w:ascii="Arial" w:eastAsia="Times New Roman" w:hAnsi="Arial" w:cs="Arial"/>
        </w:rPr>
        <w:t>Effects of short- and long-term celecoxib on orthodontic tooth movement. Angle Orthodontist.</w:t>
      </w:r>
      <w:r>
        <w:rPr>
          <w:rFonts w:ascii="Arial" w:eastAsia="Times New Roman" w:hAnsi="Arial" w:cs="Arial"/>
          <w:lang w:val="pt-BR"/>
        </w:rPr>
        <w:t xml:space="preserve"> 2008;</w:t>
      </w:r>
      <w:r>
        <w:rPr>
          <w:rFonts w:ascii="Arial" w:eastAsia="Times New Roman" w:hAnsi="Arial" w:cs="Arial"/>
        </w:rPr>
        <w:t xml:space="preserve"> 78(5): 860–865.</w:t>
      </w:r>
    </w:p>
    <w:p w14:paraId="67336D1D" w14:textId="77777777" w:rsidR="00687320" w:rsidRDefault="00687320">
      <w:pPr>
        <w:rPr>
          <w:rFonts w:ascii="Arial" w:eastAsia="Times New Roman" w:hAnsi="Arial" w:cs="Arial"/>
        </w:rPr>
      </w:pPr>
    </w:p>
    <w:p w14:paraId="3AEDDD22" w14:textId="77777777" w:rsidR="00687320" w:rsidRDefault="00000000">
      <w:pPr>
        <w:numPr>
          <w:ilvl w:val="0"/>
          <w:numId w:val="3"/>
        </w:numPr>
        <w:spacing w:line="360" w:lineRule="auto"/>
        <w:jc w:val="both"/>
        <w:rPr>
          <w:rFonts w:ascii="Arial" w:hAnsi="Arial" w:cs="Arial"/>
        </w:rPr>
      </w:pPr>
      <w:proofErr w:type="spellStart"/>
      <w:r>
        <w:rPr>
          <w:rFonts w:ascii="Arial" w:hAnsi="Arial" w:cs="Arial"/>
        </w:rPr>
        <w:t>Mcclanaham</w:t>
      </w:r>
      <w:proofErr w:type="spellEnd"/>
      <w:r>
        <w:rPr>
          <w:rFonts w:ascii="Arial" w:hAnsi="Arial" w:cs="Arial"/>
        </w:rPr>
        <w:t xml:space="preserve"> SB</w:t>
      </w:r>
      <w:r>
        <w:rPr>
          <w:rFonts w:ascii="Arial" w:hAnsi="Arial" w:cs="Arial"/>
          <w:lang w:val="pt-BR"/>
        </w:rPr>
        <w:t>,</w:t>
      </w:r>
      <w:r>
        <w:rPr>
          <w:rFonts w:ascii="Arial" w:hAnsi="Arial" w:cs="Arial"/>
        </w:rPr>
        <w:t xml:space="preserve"> Turner DW</w:t>
      </w:r>
      <w:r>
        <w:rPr>
          <w:rFonts w:ascii="Arial" w:hAnsi="Arial" w:cs="Arial"/>
          <w:lang w:val="pt-BR"/>
        </w:rPr>
        <w:t>,</w:t>
      </w:r>
      <w:r>
        <w:rPr>
          <w:rFonts w:ascii="Arial" w:hAnsi="Arial" w:cs="Arial"/>
        </w:rPr>
        <w:t xml:space="preserve"> Kaminski EJ</w:t>
      </w:r>
      <w:r>
        <w:rPr>
          <w:rFonts w:ascii="Arial" w:hAnsi="Arial" w:cs="Arial"/>
          <w:lang w:val="pt-BR"/>
        </w:rPr>
        <w:t>,</w:t>
      </w:r>
      <w:r>
        <w:rPr>
          <w:rFonts w:ascii="Arial" w:hAnsi="Arial" w:cs="Arial"/>
        </w:rPr>
        <w:t xml:space="preserve"> Osetek EM</w:t>
      </w:r>
      <w:r>
        <w:rPr>
          <w:rFonts w:ascii="Arial" w:hAnsi="Arial" w:cs="Arial"/>
          <w:lang w:val="pt-BR"/>
        </w:rPr>
        <w:t>,</w:t>
      </w:r>
      <w:r>
        <w:rPr>
          <w:rFonts w:ascii="Arial" w:hAnsi="Arial" w:cs="Arial"/>
        </w:rPr>
        <w:t xml:space="preserve"> Heuer MA</w:t>
      </w:r>
      <w:r>
        <w:rPr>
          <w:rFonts w:ascii="Arial" w:hAnsi="Arial" w:cs="Arial"/>
          <w:lang w:val="pt-BR"/>
        </w:rPr>
        <w:t xml:space="preserve">. </w:t>
      </w:r>
      <w:r>
        <w:rPr>
          <w:rFonts w:ascii="Arial" w:hAnsi="Arial" w:cs="Arial"/>
        </w:rPr>
        <w:t xml:space="preserve">Natural modifiers of the inflammatory process in the human dental pulp. </w:t>
      </w:r>
      <w:r>
        <w:rPr>
          <w:rFonts w:ascii="Arial" w:hAnsi="Arial" w:cs="Arial"/>
          <w:shd w:val="clear" w:color="auto" w:fill="FFFFFF"/>
        </w:rPr>
        <w:t>Journal of </w:t>
      </w:r>
      <w:r>
        <w:rPr>
          <w:rStyle w:val="nfase"/>
          <w:rFonts w:ascii="Arial" w:hAnsi="Arial" w:cs="Arial"/>
          <w:i w:val="0"/>
          <w:iCs w:val="0"/>
          <w:shd w:val="clear" w:color="auto" w:fill="FFFFFF"/>
        </w:rPr>
        <w:t>Endodontics</w:t>
      </w:r>
      <w:r>
        <w:rPr>
          <w:rStyle w:val="nfase"/>
          <w:rFonts w:ascii="Arial" w:hAnsi="Arial" w:cs="Arial"/>
          <w:i w:val="0"/>
          <w:iCs w:val="0"/>
          <w:shd w:val="clear" w:color="auto" w:fill="FFFFFF"/>
          <w:lang w:val="pt-BR"/>
        </w:rPr>
        <w:t>. 1991;</w:t>
      </w:r>
      <w:r>
        <w:rPr>
          <w:rFonts w:ascii="Arial" w:hAnsi="Arial" w:cs="Arial"/>
        </w:rPr>
        <w:t xml:space="preserve"> 17(17): 589-593.</w:t>
      </w:r>
    </w:p>
    <w:p w14:paraId="524934E5" w14:textId="77777777" w:rsidR="00687320" w:rsidRDefault="00687320">
      <w:pPr>
        <w:spacing w:line="360" w:lineRule="auto"/>
        <w:jc w:val="both"/>
        <w:rPr>
          <w:rFonts w:ascii="Arial" w:hAnsi="Arial" w:cs="Arial"/>
        </w:rPr>
      </w:pPr>
    </w:p>
    <w:p w14:paraId="5D7F2356" w14:textId="77777777" w:rsidR="00687320" w:rsidRDefault="00000000">
      <w:pPr>
        <w:numPr>
          <w:ilvl w:val="0"/>
          <w:numId w:val="3"/>
        </w:numPr>
        <w:spacing w:line="360" w:lineRule="auto"/>
        <w:jc w:val="both"/>
        <w:rPr>
          <w:rFonts w:ascii="Arial" w:hAnsi="Arial" w:cs="Arial"/>
        </w:rPr>
      </w:pPr>
      <w:r>
        <w:rPr>
          <w:rFonts w:ascii="Arial" w:eastAsia="Times New Roman" w:hAnsi="Arial" w:cs="Arial"/>
        </w:rPr>
        <w:t>Olney JW</w:t>
      </w:r>
      <w:r>
        <w:rPr>
          <w:rFonts w:ascii="Arial" w:eastAsia="Times New Roman" w:hAnsi="Arial" w:cs="Arial"/>
          <w:lang w:val="pt-BR"/>
        </w:rPr>
        <w:t>,</w:t>
      </w:r>
      <w:r>
        <w:rPr>
          <w:rFonts w:ascii="Arial" w:eastAsia="Times New Roman" w:hAnsi="Arial" w:cs="Arial"/>
        </w:rPr>
        <w:t xml:space="preserve"> Adamo NJ</w:t>
      </w:r>
      <w:r>
        <w:rPr>
          <w:rFonts w:ascii="Arial" w:eastAsia="Times New Roman" w:hAnsi="Arial" w:cs="Arial"/>
          <w:lang w:val="pt-BR"/>
        </w:rPr>
        <w:t>,</w:t>
      </w:r>
      <w:r>
        <w:rPr>
          <w:rFonts w:ascii="Arial" w:eastAsia="Times New Roman" w:hAnsi="Arial" w:cs="Arial"/>
        </w:rPr>
        <w:t xml:space="preserve"> Ratner A.</w:t>
      </w:r>
      <w:r>
        <w:rPr>
          <w:rFonts w:ascii="Arial" w:eastAsia="Times New Roman" w:hAnsi="Arial" w:cs="Arial"/>
          <w:lang w:val="pt-BR"/>
        </w:rPr>
        <w:t xml:space="preserve"> </w:t>
      </w:r>
      <w:r>
        <w:rPr>
          <w:rFonts w:ascii="Arial" w:eastAsia="Times New Roman" w:hAnsi="Arial" w:cs="Arial"/>
        </w:rPr>
        <w:t>Monosodium glutamate effects. Science.</w:t>
      </w:r>
      <w:r>
        <w:rPr>
          <w:rFonts w:ascii="Arial" w:eastAsia="Times New Roman" w:hAnsi="Arial" w:cs="Arial"/>
          <w:lang w:val="pt-BR"/>
        </w:rPr>
        <w:t xml:space="preserve"> 1971;</w:t>
      </w:r>
      <w:r>
        <w:rPr>
          <w:rFonts w:ascii="Arial" w:eastAsia="Times New Roman" w:hAnsi="Arial" w:cs="Arial"/>
        </w:rPr>
        <w:t xml:space="preserve"> 172(3980): 29</w:t>
      </w:r>
      <w:r>
        <w:rPr>
          <w:rFonts w:ascii="Arial" w:eastAsia="Times New Roman" w:hAnsi="Arial" w:cs="Arial"/>
          <w:lang w:val="pt-BR"/>
        </w:rPr>
        <w:t>4</w:t>
      </w:r>
      <w:r>
        <w:rPr>
          <w:rFonts w:ascii="Arial" w:eastAsia="Times New Roman" w:hAnsi="Arial" w:cs="Arial"/>
        </w:rPr>
        <w:t>.</w:t>
      </w:r>
    </w:p>
    <w:p w14:paraId="717B7487" w14:textId="77777777" w:rsidR="00687320" w:rsidRDefault="00687320">
      <w:pPr>
        <w:rPr>
          <w:rFonts w:ascii="Arial" w:eastAsia="Times New Roman" w:hAnsi="Arial" w:cs="Arial"/>
        </w:rPr>
      </w:pPr>
    </w:p>
    <w:p w14:paraId="28325A87" w14:textId="77777777" w:rsidR="00687320" w:rsidRDefault="00000000">
      <w:pPr>
        <w:numPr>
          <w:ilvl w:val="0"/>
          <w:numId w:val="3"/>
        </w:numPr>
        <w:shd w:val="clear" w:color="auto" w:fill="FFFFFF"/>
        <w:spacing w:line="360" w:lineRule="auto"/>
        <w:jc w:val="both"/>
        <w:rPr>
          <w:rFonts w:ascii="Arial" w:eastAsia="Times New Roman" w:hAnsi="Arial" w:cs="Arial"/>
        </w:rPr>
      </w:pPr>
      <w:r>
        <w:rPr>
          <w:rFonts w:ascii="Arial" w:eastAsia="Times New Roman" w:hAnsi="Arial" w:cs="Arial"/>
        </w:rPr>
        <w:lastRenderedPageBreak/>
        <w:t>Brandelero JS</w:t>
      </w:r>
      <w:r>
        <w:rPr>
          <w:rFonts w:ascii="Arial" w:eastAsia="Times New Roman" w:hAnsi="Arial" w:cs="Arial"/>
          <w:lang w:val="pt-BR"/>
        </w:rPr>
        <w:t>,</w:t>
      </w:r>
      <w:r>
        <w:rPr>
          <w:rFonts w:ascii="Arial" w:eastAsia="Times New Roman" w:hAnsi="Arial" w:cs="Arial"/>
        </w:rPr>
        <w:t xml:space="preserve"> </w:t>
      </w:r>
      <w:proofErr w:type="spellStart"/>
      <w:r>
        <w:rPr>
          <w:rFonts w:ascii="Arial" w:eastAsia="Times New Roman" w:hAnsi="Arial" w:cs="Arial"/>
        </w:rPr>
        <w:t>Bonfleur</w:t>
      </w:r>
      <w:proofErr w:type="spellEnd"/>
      <w:r>
        <w:rPr>
          <w:rFonts w:ascii="Arial" w:eastAsia="Times New Roman" w:hAnsi="Arial" w:cs="Arial"/>
        </w:rPr>
        <w:t xml:space="preserve"> ML</w:t>
      </w:r>
      <w:r>
        <w:rPr>
          <w:rFonts w:ascii="Arial" w:eastAsia="Times New Roman" w:hAnsi="Arial" w:cs="Arial"/>
          <w:lang w:val="pt-BR"/>
        </w:rPr>
        <w:t>,</w:t>
      </w:r>
      <w:r>
        <w:rPr>
          <w:rFonts w:ascii="Arial" w:eastAsia="Times New Roman" w:hAnsi="Arial" w:cs="Arial"/>
        </w:rPr>
        <w:t xml:space="preserve"> Ribeiro LA</w:t>
      </w:r>
      <w:r>
        <w:rPr>
          <w:rFonts w:ascii="Arial" w:eastAsia="Times New Roman" w:hAnsi="Arial" w:cs="Arial"/>
          <w:lang w:val="pt-BR"/>
        </w:rPr>
        <w:t>,</w:t>
      </w:r>
      <w:r>
        <w:rPr>
          <w:rFonts w:ascii="Arial" w:eastAsia="Times New Roman" w:hAnsi="Arial" w:cs="Arial"/>
        </w:rPr>
        <w:t xml:space="preserve"> </w:t>
      </w:r>
      <w:proofErr w:type="spellStart"/>
      <w:r>
        <w:rPr>
          <w:rFonts w:ascii="Arial" w:eastAsia="Times New Roman" w:hAnsi="Arial" w:cs="Arial"/>
        </w:rPr>
        <w:t>Vanzela</w:t>
      </w:r>
      <w:proofErr w:type="spellEnd"/>
      <w:r>
        <w:rPr>
          <w:rFonts w:ascii="Arial" w:eastAsia="Times New Roman" w:hAnsi="Arial" w:cs="Arial"/>
        </w:rPr>
        <w:t xml:space="preserve"> EC</w:t>
      </w:r>
      <w:r>
        <w:rPr>
          <w:rFonts w:ascii="Arial" w:eastAsia="Times New Roman" w:hAnsi="Arial" w:cs="Arial"/>
          <w:lang w:val="pt-BR"/>
        </w:rPr>
        <w:t>,</w:t>
      </w:r>
      <w:r>
        <w:rPr>
          <w:rFonts w:ascii="Arial" w:eastAsia="Times New Roman" w:hAnsi="Arial" w:cs="Arial"/>
        </w:rPr>
        <w:t xml:space="preserve"> Nassar CA</w:t>
      </w:r>
      <w:r>
        <w:rPr>
          <w:rFonts w:ascii="Arial" w:eastAsia="Times New Roman" w:hAnsi="Arial" w:cs="Arial"/>
          <w:lang w:val="pt-BR"/>
        </w:rPr>
        <w:t>,</w:t>
      </w:r>
      <w:r>
        <w:rPr>
          <w:rFonts w:ascii="Arial" w:eastAsia="Times New Roman" w:hAnsi="Arial" w:cs="Arial"/>
        </w:rPr>
        <w:t xml:space="preserve"> Nassar PO. Decreased TNF-α gene expression in periodontal ligature in msg obese rats: a possible protective effect of hypothalamic obesity against periodontal disease? Arch</w:t>
      </w:r>
      <w:proofErr w:type="spellStart"/>
      <w:r>
        <w:rPr>
          <w:rFonts w:ascii="Arial" w:eastAsia="Times New Roman" w:hAnsi="Arial" w:cs="Arial"/>
          <w:lang w:val="pt-BR"/>
        </w:rPr>
        <w:t>ives</w:t>
      </w:r>
      <w:proofErr w:type="spellEnd"/>
      <w:r>
        <w:rPr>
          <w:rFonts w:ascii="Arial" w:eastAsia="Times New Roman" w:hAnsi="Arial" w:cs="Arial"/>
          <w:lang w:val="pt-BR"/>
        </w:rPr>
        <w:t xml:space="preserve"> </w:t>
      </w:r>
      <w:proofErr w:type="spellStart"/>
      <w:r>
        <w:rPr>
          <w:rFonts w:ascii="Arial" w:eastAsia="Times New Roman" w:hAnsi="Arial" w:cs="Arial"/>
          <w:lang w:val="pt-BR"/>
        </w:rPr>
        <w:t>of</w:t>
      </w:r>
      <w:proofErr w:type="spellEnd"/>
      <w:r>
        <w:rPr>
          <w:rFonts w:ascii="Arial" w:eastAsia="Times New Roman" w:hAnsi="Arial" w:cs="Arial"/>
        </w:rPr>
        <w:t xml:space="preserve"> Oral Biol</w:t>
      </w:r>
      <w:proofErr w:type="spellStart"/>
      <w:r>
        <w:rPr>
          <w:rFonts w:ascii="Arial" w:eastAsia="Times New Roman" w:hAnsi="Arial" w:cs="Arial"/>
          <w:lang w:val="pt-BR"/>
        </w:rPr>
        <w:t>ogy</w:t>
      </w:r>
      <w:proofErr w:type="spellEnd"/>
      <w:r>
        <w:rPr>
          <w:rFonts w:ascii="Arial" w:eastAsia="Times New Roman" w:hAnsi="Arial" w:cs="Arial"/>
        </w:rPr>
        <w:t>. 2012</w:t>
      </w:r>
      <w:r>
        <w:rPr>
          <w:rFonts w:ascii="Arial" w:eastAsia="Times New Roman" w:hAnsi="Arial" w:cs="Arial"/>
          <w:lang w:val="pt-BR"/>
        </w:rPr>
        <w:t>;</w:t>
      </w:r>
      <w:r>
        <w:rPr>
          <w:rFonts w:ascii="Arial" w:eastAsia="Times New Roman" w:hAnsi="Arial" w:cs="Arial"/>
        </w:rPr>
        <w:t xml:space="preserve"> 57(3): 300-306.</w:t>
      </w:r>
    </w:p>
    <w:p w14:paraId="2EC7ADB5" w14:textId="77777777" w:rsidR="00687320" w:rsidRDefault="00687320">
      <w:pPr>
        <w:shd w:val="clear" w:color="auto" w:fill="FFFFFF"/>
        <w:spacing w:line="360" w:lineRule="auto"/>
        <w:jc w:val="both"/>
        <w:rPr>
          <w:rFonts w:ascii="Arial" w:eastAsia="Times New Roman" w:hAnsi="Arial" w:cs="Arial"/>
          <w:highlight w:val="green"/>
        </w:rPr>
      </w:pPr>
    </w:p>
    <w:p w14:paraId="3D5FC93A" w14:textId="77777777" w:rsidR="00687320" w:rsidRDefault="00000000">
      <w:pPr>
        <w:numPr>
          <w:ilvl w:val="0"/>
          <w:numId w:val="3"/>
        </w:numPr>
        <w:spacing w:line="360" w:lineRule="auto"/>
        <w:jc w:val="both"/>
        <w:rPr>
          <w:rFonts w:ascii="Arial" w:eastAsia="sans-serif" w:hAnsi="Arial" w:cs="Arial"/>
          <w:color w:val="333333"/>
          <w:lang w:val="pt-BR"/>
        </w:rPr>
      </w:pPr>
      <w:r>
        <w:rPr>
          <w:rFonts w:ascii="Arial" w:eastAsia="sans-serif" w:hAnsi="Arial" w:cs="Arial"/>
          <w:color w:val="333333"/>
        </w:rPr>
        <w:t>Fernandes GSA</w:t>
      </w:r>
      <w:r>
        <w:rPr>
          <w:rFonts w:ascii="Arial" w:eastAsia="sans-serif" w:hAnsi="Arial" w:cs="Arial"/>
          <w:color w:val="333333"/>
          <w:lang w:val="pt-BR"/>
        </w:rPr>
        <w:t>,</w:t>
      </w:r>
      <w:r>
        <w:rPr>
          <w:rFonts w:ascii="Arial" w:eastAsia="sans-serif" w:hAnsi="Arial" w:cs="Arial"/>
          <w:color w:val="333333"/>
        </w:rPr>
        <w:t xml:space="preserve"> Arena AC</w:t>
      </w:r>
      <w:r>
        <w:rPr>
          <w:rFonts w:ascii="Arial" w:eastAsia="sans-serif" w:hAnsi="Arial" w:cs="Arial"/>
          <w:color w:val="333333"/>
          <w:lang w:val="pt-BR"/>
        </w:rPr>
        <w:t>,</w:t>
      </w:r>
      <w:r>
        <w:rPr>
          <w:rFonts w:ascii="Arial" w:eastAsia="sans-serif" w:hAnsi="Arial" w:cs="Arial"/>
          <w:color w:val="333333"/>
        </w:rPr>
        <w:t xml:space="preserve"> Campos KE</w:t>
      </w:r>
      <w:r>
        <w:rPr>
          <w:rFonts w:ascii="Arial" w:eastAsia="sans-serif" w:hAnsi="Arial" w:cs="Arial"/>
          <w:color w:val="333333"/>
          <w:lang w:val="pt-BR"/>
        </w:rPr>
        <w:t>,</w:t>
      </w:r>
      <w:r>
        <w:rPr>
          <w:rFonts w:ascii="Arial" w:eastAsia="sans-serif" w:hAnsi="Arial" w:cs="Arial"/>
          <w:color w:val="333333"/>
        </w:rPr>
        <w:t xml:space="preserve"> Volpato GT</w:t>
      </w:r>
      <w:r>
        <w:rPr>
          <w:rFonts w:ascii="Arial" w:eastAsia="sans-serif" w:hAnsi="Arial" w:cs="Arial"/>
          <w:color w:val="333333"/>
          <w:lang w:val="pt-BR"/>
        </w:rPr>
        <w:t>,</w:t>
      </w:r>
      <w:r>
        <w:rPr>
          <w:rFonts w:ascii="Arial" w:eastAsia="sans-serif" w:hAnsi="Arial" w:cs="Arial"/>
          <w:color w:val="333333"/>
        </w:rPr>
        <w:t xml:space="preserve"> Anselmo-Franci JA</w:t>
      </w:r>
      <w:r>
        <w:rPr>
          <w:rFonts w:ascii="Arial" w:eastAsia="sans-serif" w:hAnsi="Arial" w:cs="Arial"/>
          <w:color w:val="333333"/>
          <w:lang w:val="pt-BR"/>
        </w:rPr>
        <w:t>,</w:t>
      </w:r>
      <w:r>
        <w:rPr>
          <w:rFonts w:ascii="Arial" w:eastAsia="sans-serif" w:hAnsi="Arial" w:cs="Arial"/>
          <w:color w:val="333333"/>
        </w:rPr>
        <w:t xml:space="preserve"> Damasceno DC. </w:t>
      </w:r>
      <w:r>
        <w:rPr>
          <w:rFonts w:ascii="Arial" w:eastAsia="Segoe UI" w:hAnsi="Arial" w:cs="Arial"/>
          <w:color w:val="000000" w:themeColor="text1"/>
          <w:shd w:val="clear" w:color="auto" w:fill="FFFFFF"/>
        </w:rPr>
        <w:t>Glutamate-induced obesity leads to decreased sperm reserves and acceleration of transit time in the epididymis of adult male rats.</w:t>
      </w:r>
      <w:r>
        <w:rPr>
          <w:rFonts w:ascii="Arial" w:eastAsia="sans-serif" w:hAnsi="Arial" w:cs="Arial"/>
          <w:color w:val="333333"/>
        </w:rPr>
        <w:t> </w:t>
      </w:r>
      <w:proofErr w:type="spellStart"/>
      <w:r>
        <w:rPr>
          <w:rFonts w:ascii="Arial" w:eastAsia="sans-serif" w:hAnsi="Arial" w:cs="Arial"/>
          <w:color w:val="333333"/>
        </w:rPr>
        <w:t>Reprod</w:t>
      </w:r>
      <w:r>
        <w:rPr>
          <w:rFonts w:ascii="Arial" w:eastAsia="sans-serif" w:hAnsi="Arial" w:cs="Arial"/>
          <w:color w:val="333333"/>
          <w:lang w:val="pt-BR"/>
        </w:rPr>
        <w:t>uctive</w:t>
      </w:r>
      <w:proofErr w:type="spellEnd"/>
      <w:r>
        <w:rPr>
          <w:rFonts w:ascii="Arial" w:eastAsia="sans-serif" w:hAnsi="Arial" w:cs="Arial"/>
          <w:color w:val="333333"/>
        </w:rPr>
        <w:t xml:space="preserve"> Biol</w:t>
      </w:r>
      <w:proofErr w:type="spellStart"/>
      <w:r>
        <w:rPr>
          <w:rFonts w:ascii="Arial" w:eastAsia="sans-serif" w:hAnsi="Arial" w:cs="Arial"/>
          <w:color w:val="333333"/>
          <w:lang w:val="pt-BR"/>
        </w:rPr>
        <w:t>ogy</w:t>
      </w:r>
      <w:proofErr w:type="spellEnd"/>
      <w:r>
        <w:rPr>
          <w:rFonts w:ascii="Arial" w:eastAsia="sans-serif" w:hAnsi="Arial" w:cs="Arial"/>
          <w:color w:val="333333"/>
          <w:lang w:val="pt-BR"/>
        </w:rPr>
        <w:t xml:space="preserve"> </w:t>
      </w:r>
      <w:proofErr w:type="spellStart"/>
      <w:r>
        <w:rPr>
          <w:rFonts w:ascii="Arial" w:eastAsia="sans-serif" w:hAnsi="Arial" w:cs="Arial"/>
          <w:color w:val="333333"/>
          <w:lang w:val="pt-BR"/>
        </w:rPr>
        <w:t>and</w:t>
      </w:r>
      <w:proofErr w:type="spellEnd"/>
      <w:r>
        <w:rPr>
          <w:rFonts w:ascii="Arial" w:eastAsia="sans-serif" w:hAnsi="Arial" w:cs="Arial"/>
          <w:color w:val="333333"/>
        </w:rPr>
        <w:t xml:space="preserve"> Endocrinol</w:t>
      </w:r>
      <w:proofErr w:type="spellStart"/>
      <w:r>
        <w:rPr>
          <w:rFonts w:ascii="Arial" w:eastAsia="sans-serif" w:hAnsi="Arial" w:cs="Arial"/>
          <w:color w:val="333333"/>
          <w:lang w:val="pt-BR"/>
        </w:rPr>
        <w:t>ogy</w:t>
      </w:r>
      <w:proofErr w:type="spellEnd"/>
      <w:r>
        <w:rPr>
          <w:rFonts w:ascii="Arial" w:eastAsia="sans-serif" w:hAnsi="Arial" w:cs="Arial"/>
          <w:color w:val="333333"/>
        </w:rPr>
        <w:t>.</w:t>
      </w:r>
      <w:r>
        <w:rPr>
          <w:rFonts w:ascii="Arial" w:eastAsia="sans-serif" w:hAnsi="Arial" w:cs="Arial"/>
          <w:color w:val="333333"/>
          <w:lang w:val="pt-BR"/>
        </w:rPr>
        <w:t xml:space="preserve"> 2012;</w:t>
      </w:r>
      <w:r>
        <w:rPr>
          <w:rFonts w:ascii="Arial" w:eastAsia="sans-serif" w:hAnsi="Arial" w:cs="Arial"/>
          <w:color w:val="333333"/>
        </w:rPr>
        <w:t> 10:105</w:t>
      </w:r>
      <w:r>
        <w:rPr>
          <w:rFonts w:ascii="Arial" w:eastAsia="sans-serif" w:hAnsi="Arial" w:cs="Arial"/>
          <w:color w:val="333333"/>
          <w:lang w:val="pt-BR"/>
        </w:rPr>
        <w:t>.</w:t>
      </w:r>
    </w:p>
    <w:p w14:paraId="1EB7930F" w14:textId="77777777" w:rsidR="00687320" w:rsidRDefault="00687320">
      <w:pPr>
        <w:spacing w:line="360" w:lineRule="auto"/>
        <w:jc w:val="both"/>
        <w:rPr>
          <w:rFonts w:ascii="Arial" w:eastAsia="sans-serif" w:hAnsi="Arial" w:cs="Arial"/>
          <w:color w:val="333333"/>
          <w:lang w:val="pt-BR"/>
        </w:rPr>
      </w:pPr>
    </w:p>
    <w:p w14:paraId="039169E4" w14:textId="77777777" w:rsidR="00687320" w:rsidRDefault="00000000">
      <w:pPr>
        <w:numPr>
          <w:ilvl w:val="0"/>
          <w:numId w:val="3"/>
        </w:numPr>
        <w:spacing w:line="360" w:lineRule="auto"/>
        <w:jc w:val="both"/>
        <w:rPr>
          <w:rFonts w:ascii="Arial" w:eastAsia="sans-serif" w:hAnsi="Arial" w:cs="Arial"/>
          <w:color w:val="333333"/>
          <w:lang w:val="pt-BR"/>
        </w:rPr>
      </w:pPr>
      <w:r>
        <w:rPr>
          <w:rFonts w:ascii="Arial" w:hAnsi="Arial" w:cs="Arial"/>
          <w:shd w:val="clear" w:color="auto" w:fill="FFFFFF"/>
        </w:rPr>
        <w:t>Felson DT</w:t>
      </w:r>
      <w:r>
        <w:rPr>
          <w:rFonts w:ascii="Arial" w:hAnsi="Arial" w:cs="Arial"/>
          <w:shd w:val="clear" w:color="auto" w:fill="FFFFFF"/>
          <w:lang w:val="pt-BR"/>
        </w:rPr>
        <w:t>,</w:t>
      </w:r>
      <w:r>
        <w:rPr>
          <w:rFonts w:ascii="Arial" w:hAnsi="Arial" w:cs="Arial"/>
          <w:shd w:val="clear" w:color="auto" w:fill="FFFFFF"/>
        </w:rPr>
        <w:t xml:space="preserve"> Zhang Y</w:t>
      </w:r>
      <w:r>
        <w:rPr>
          <w:rFonts w:ascii="Arial" w:hAnsi="Arial" w:cs="Arial"/>
          <w:shd w:val="clear" w:color="auto" w:fill="FFFFFF"/>
          <w:lang w:val="pt-BR"/>
        </w:rPr>
        <w:t>,</w:t>
      </w:r>
      <w:r>
        <w:rPr>
          <w:rFonts w:ascii="Arial" w:hAnsi="Arial" w:cs="Arial"/>
          <w:shd w:val="clear" w:color="auto" w:fill="FFFFFF"/>
        </w:rPr>
        <w:t xml:space="preserve"> Hannan MT</w:t>
      </w:r>
      <w:r>
        <w:rPr>
          <w:rFonts w:ascii="Arial" w:hAnsi="Arial" w:cs="Arial"/>
          <w:shd w:val="clear" w:color="auto" w:fill="FFFFFF"/>
          <w:lang w:val="pt-BR"/>
        </w:rPr>
        <w:t>,</w:t>
      </w:r>
      <w:r>
        <w:rPr>
          <w:rFonts w:ascii="Arial" w:hAnsi="Arial" w:cs="Arial"/>
          <w:shd w:val="clear" w:color="auto" w:fill="FFFFFF"/>
        </w:rPr>
        <w:t xml:space="preserve"> Anderson JJ</w:t>
      </w:r>
      <w:r>
        <w:rPr>
          <w:rFonts w:ascii="Arial" w:hAnsi="Arial" w:cs="Arial"/>
          <w:shd w:val="clear" w:color="auto" w:fill="FFFFFF"/>
          <w:lang w:val="pt-BR"/>
        </w:rPr>
        <w:t>.</w:t>
      </w:r>
      <w:r>
        <w:rPr>
          <w:rFonts w:ascii="Arial" w:hAnsi="Arial" w:cs="Arial"/>
          <w:shd w:val="clear" w:color="auto" w:fill="FFFFFF"/>
        </w:rPr>
        <w:t xml:space="preserve"> Effects of weight and body mass index on bone mineral density in men and women: the Framingham study. J</w:t>
      </w:r>
      <w:proofErr w:type="spellStart"/>
      <w:r>
        <w:rPr>
          <w:rFonts w:ascii="Arial" w:hAnsi="Arial" w:cs="Arial"/>
          <w:shd w:val="clear" w:color="auto" w:fill="FFFFFF"/>
          <w:lang w:val="pt-BR"/>
        </w:rPr>
        <w:t>ournal</w:t>
      </w:r>
      <w:proofErr w:type="spellEnd"/>
      <w:r>
        <w:rPr>
          <w:rFonts w:ascii="Arial" w:hAnsi="Arial" w:cs="Arial"/>
          <w:shd w:val="clear" w:color="auto" w:fill="FFFFFF"/>
          <w:lang w:val="pt-BR"/>
        </w:rPr>
        <w:t xml:space="preserve"> </w:t>
      </w:r>
      <w:proofErr w:type="spellStart"/>
      <w:r>
        <w:rPr>
          <w:rFonts w:ascii="Arial" w:hAnsi="Arial" w:cs="Arial"/>
          <w:shd w:val="clear" w:color="auto" w:fill="FFFFFF"/>
          <w:lang w:val="pt-BR"/>
        </w:rPr>
        <w:t>of</w:t>
      </w:r>
      <w:proofErr w:type="spellEnd"/>
      <w:r>
        <w:rPr>
          <w:rFonts w:ascii="Arial" w:hAnsi="Arial" w:cs="Arial"/>
          <w:shd w:val="clear" w:color="auto" w:fill="FFFFFF"/>
        </w:rPr>
        <w:t xml:space="preserve"> Bone and Min</w:t>
      </w:r>
      <w:proofErr w:type="spellStart"/>
      <w:r>
        <w:rPr>
          <w:rFonts w:ascii="Arial" w:hAnsi="Arial" w:cs="Arial"/>
          <w:shd w:val="clear" w:color="auto" w:fill="FFFFFF"/>
          <w:lang w:val="pt-BR"/>
        </w:rPr>
        <w:t>eral</w:t>
      </w:r>
      <w:proofErr w:type="spellEnd"/>
      <w:r>
        <w:rPr>
          <w:rFonts w:ascii="Arial" w:hAnsi="Arial" w:cs="Arial"/>
          <w:shd w:val="clear" w:color="auto" w:fill="FFFFFF"/>
        </w:rPr>
        <w:t xml:space="preserve"> Res</w:t>
      </w:r>
      <w:proofErr w:type="spellStart"/>
      <w:r>
        <w:rPr>
          <w:rFonts w:ascii="Arial" w:hAnsi="Arial" w:cs="Arial"/>
          <w:shd w:val="clear" w:color="auto" w:fill="FFFFFF"/>
          <w:lang w:val="pt-BR"/>
        </w:rPr>
        <w:t>earch</w:t>
      </w:r>
      <w:proofErr w:type="spellEnd"/>
      <w:r>
        <w:rPr>
          <w:rFonts w:ascii="Arial" w:hAnsi="Arial" w:cs="Arial"/>
          <w:shd w:val="clear" w:color="auto" w:fill="FFFFFF"/>
        </w:rPr>
        <w:t>.</w:t>
      </w:r>
      <w:r>
        <w:rPr>
          <w:rFonts w:ascii="Arial" w:hAnsi="Arial" w:cs="Arial"/>
          <w:shd w:val="clear" w:color="auto" w:fill="FFFFFF"/>
          <w:lang w:val="pt-BR"/>
        </w:rPr>
        <w:t xml:space="preserve"> 1993;</w:t>
      </w:r>
      <w:r>
        <w:rPr>
          <w:rFonts w:ascii="Arial" w:hAnsi="Arial" w:cs="Arial"/>
          <w:shd w:val="clear" w:color="auto" w:fill="FFFFFF"/>
        </w:rPr>
        <w:t xml:space="preserve"> 8(5): 567-573.</w:t>
      </w:r>
    </w:p>
    <w:p w14:paraId="7C97EF38" w14:textId="77777777" w:rsidR="00687320" w:rsidRDefault="00687320">
      <w:pPr>
        <w:shd w:val="clear" w:color="auto" w:fill="FFFFFF"/>
        <w:spacing w:line="360" w:lineRule="auto"/>
        <w:jc w:val="both"/>
        <w:rPr>
          <w:rFonts w:ascii="Arial" w:eastAsia="Times New Roman" w:hAnsi="Arial" w:cs="Arial"/>
          <w:highlight w:val="green"/>
        </w:rPr>
      </w:pPr>
    </w:p>
    <w:p w14:paraId="6BC13BAA" w14:textId="77777777" w:rsidR="00687320" w:rsidRDefault="00000000">
      <w:pPr>
        <w:numPr>
          <w:ilvl w:val="0"/>
          <w:numId w:val="3"/>
        </w:numPr>
        <w:autoSpaceDE w:val="0"/>
        <w:autoSpaceDN w:val="0"/>
        <w:adjustRightInd w:val="0"/>
        <w:spacing w:line="360" w:lineRule="auto"/>
        <w:ind w:right="-2"/>
        <w:jc w:val="both"/>
        <w:rPr>
          <w:rFonts w:ascii="Arial" w:hAnsi="Arial" w:cs="Arial"/>
          <w:shd w:val="clear" w:color="auto" w:fill="FFFFFF"/>
        </w:rPr>
      </w:pPr>
      <w:r>
        <w:rPr>
          <w:rFonts w:ascii="Arial" w:hAnsi="Arial" w:cs="Arial"/>
          <w:shd w:val="clear" w:color="auto" w:fill="FFFFFF"/>
        </w:rPr>
        <w:t>Colaianni G</w:t>
      </w:r>
      <w:r>
        <w:rPr>
          <w:rFonts w:ascii="Arial" w:hAnsi="Arial" w:cs="Arial"/>
          <w:shd w:val="clear" w:color="auto" w:fill="FFFFFF"/>
          <w:lang w:val="pt-BR"/>
        </w:rPr>
        <w:t>,</w:t>
      </w:r>
      <w:r>
        <w:rPr>
          <w:rFonts w:ascii="Arial" w:hAnsi="Arial" w:cs="Arial"/>
          <w:shd w:val="clear" w:color="auto" w:fill="FFFFFF"/>
        </w:rPr>
        <w:t xml:space="preserve"> Brunetti G</w:t>
      </w:r>
      <w:r>
        <w:rPr>
          <w:rFonts w:ascii="Arial" w:hAnsi="Arial" w:cs="Arial"/>
          <w:shd w:val="clear" w:color="auto" w:fill="FFFFFF"/>
          <w:lang w:val="pt-BR"/>
        </w:rPr>
        <w:t>,</w:t>
      </w:r>
      <w:r>
        <w:rPr>
          <w:rFonts w:ascii="Arial" w:hAnsi="Arial" w:cs="Arial"/>
          <w:shd w:val="clear" w:color="auto" w:fill="FFFFFF"/>
        </w:rPr>
        <w:t xml:space="preserve"> </w:t>
      </w:r>
      <w:proofErr w:type="spellStart"/>
      <w:r>
        <w:rPr>
          <w:rFonts w:ascii="Arial" w:hAnsi="Arial" w:cs="Arial"/>
          <w:shd w:val="clear" w:color="auto" w:fill="FFFFFF"/>
        </w:rPr>
        <w:t>Faienza</w:t>
      </w:r>
      <w:proofErr w:type="spellEnd"/>
      <w:r>
        <w:rPr>
          <w:rFonts w:ascii="Arial" w:hAnsi="Arial" w:cs="Arial"/>
          <w:shd w:val="clear" w:color="auto" w:fill="FFFFFF"/>
        </w:rPr>
        <w:t xml:space="preserve"> MF</w:t>
      </w:r>
      <w:r>
        <w:rPr>
          <w:rFonts w:ascii="Arial" w:hAnsi="Arial" w:cs="Arial"/>
          <w:shd w:val="clear" w:color="auto" w:fill="FFFFFF"/>
          <w:lang w:val="pt-BR"/>
        </w:rPr>
        <w:t>,</w:t>
      </w:r>
      <w:r>
        <w:rPr>
          <w:rFonts w:ascii="Arial" w:hAnsi="Arial" w:cs="Arial"/>
          <w:shd w:val="clear" w:color="auto" w:fill="FFFFFF"/>
        </w:rPr>
        <w:t xml:space="preserve"> Colucci S</w:t>
      </w:r>
      <w:r>
        <w:rPr>
          <w:rFonts w:ascii="Arial" w:hAnsi="Arial" w:cs="Arial"/>
          <w:shd w:val="clear" w:color="auto" w:fill="FFFFFF"/>
          <w:lang w:val="pt-BR"/>
        </w:rPr>
        <w:t>,</w:t>
      </w:r>
      <w:r>
        <w:rPr>
          <w:rFonts w:ascii="Arial" w:hAnsi="Arial" w:cs="Arial"/>
          <w:shd w:val="clear" w:color="auto" w:fill="FFFFFF"/>
        </w:rPr>
        <w:t xml:space="preserve"> Grano M.</w:t>
      </w:r>
      <w:r>
        <w:rPr>
          <w:rFonts w:ascii="Arial" w:hAnsi="Arial" w:cs="Arial"/>
          <w:shd w:val="clear" w:color="auto" w:fill="FFFFFF"/>
          <w:lang w:val="pt-BR"/>
        </w:rPr>
        <w:t xml:space="preserve"> </w:t>
      </w:r>
      <w:r>
        <w:rPr>
          <w:rFonts w:ascii="Arial" w:hAnsi="Arial" w:cs="Arial"/>
          <w:shd w:val="clear" w:color="auto" w:fill="FFFFFF"/>
        </w:rPr>
        <w:t xml:space="preserve">Osteoporosis and obesity: Role of </w:t>
      </w:r>
      <w:proofErr w:type="spellStart"/>
      <w:r>
        <w:rPr>
          <w:rFonts w:ascii="Arial" w:hAnsi="Arial" w:cs="Arial"/>
          <w:shd w:val="clear" w:color="auto" w:fill="FFFFFF"/>
        </w:rPr>
        <w:t>Wnt</w:t>
      </w:r>
      <w:proofErr w:type="spellEnd"/>
      <w:r>
        <w:rPr>
          <w:rFonts w:ascii="Arial" w:hAnsi="Arial" w:cs="Arial"/>
          <w:shd w:val="clear" w:color="auto" w:fill="FFFFFF"/>
        </w:rPr>
        <w:t xml:space="preserve"> pathway in human and murine models. World J</w:t>
      </w:r>
      <w:proofErr w:type="spellStart"/>
      <w:r>
        <w:rPr>
          <w:rFonts w:ascii="Arial" w:hAnsi="Arial" w:cs="Arial"/>
          <w:shd w:val="clear" w:color="auto" w:fill="FFFFFF"/>
          <w:lang w:val="pt-BR"/>
        </w:rPr>
        <w:t>ournal</w:t>
      </w:r>
      <w:proofErr w:type="spellEnd"/>
      <w:r>
        <w:rPr>
          <w:rFonts w:ascii="Arial" w:hAnsi="Arial" w:cs="Arial"/>
          <w:shd w:val="clear" w:color="auto" w:fill="FFFFFF"/>
          <w:lang w:val="pt-BR"/>
        </w:rPr>
        <w:t xml:space="preserve"> </w:t>
      </w:r>
      <w:proofErr w:type="spellStart"/>
      <w:r>
        <w:rPr>
          <w:rFonts w:ascii="Arial" w:hAnsi="Arial" w:cs="Arial"/>
          <w:shd w:val="clear" w:color="auto" w:fill="FFFFFF"/>
          <w:lang w:val="pt-BR"/>
        </w:rPr>
        <w:t>of</w:t>
      </w:r>
      <w:proofErr w:type="spellEnd"/>
      <w:r>
        <w:rPr>
          <w:rFonts w:ascii="Arial" w:hAnsi="Arial" w:cs="Arial"/>
          <w:shd w:val="clear" w:color="auto" w:fill="FFFFFF"/>
        </w:rPr>
        <w:t xml:space="preserve"> </w:t>
      </w:r>
      <w:proofErr w:type="spellStart"/>
      <w:r>
        <w:rPr>
          <w:rFonts w:ascii="Arial" w:hAnsi="Arial" w:cs="Arial"/>
          <w:shd w:val="clear" w:color="auto" w:fill="FFFFFF"/>
        </w:rPr>
        <w:t>Orthop</w:t>
      </w:r>
      <w:r>
        <w:rPr>
          <w:rFonts w:ascii="Arial" w:hAnsi="Arial" w:cs="Arial"/>
          <w:shd w:val="clear" w:color="auto" w:fill="FFFFFF"/>
          <w:lang w:val="pt-BR"/>
        </w:rPr>
        <w:t>edics</w:t>
      </w:r>
      <w:proofErr w:type="spellEnd"/>
      <w:r>
        <w:rPr>
          <w:rFonts w:ascii="Arial" w:hAnsi="Arial" w:cs="Arial"/>
          <w:shd w:val="clear" w:color="auto" w:fill="FFFFFF"/>
        </w:rPr>
        <w:t xml:space="preserve">. </w:t>
      </w:r>
      <w:r>
        <w:rPr>
          <w:rFonts w:ascii="Arial" w:hAnsi="Arial" w:cs="Arial"/>
          <w:shd w:val="clear" w:color="auto" w:fill="FFFFFF"/>
          <w:lang w:val="pt-BR"/>
        </w:rPr>
        <w:t>2014;</w:t>
      </w:r>
      <w:r>
        <w:rPr>
          <w:rFonts w:ascii="Arial" w:hAnsi="Arial" w:cs="Arial"/>
          <w:shd w:val="clear" w:color="auto" w:fill="FFFFFF"/>
        </w:rPr>
        <w:t xml:space="preserve"> 5(3): 242-246.</w:t>
      </w:r>
    </w:p>
    <w:p w14:paraId="6F1AE091" w14:textId="77777777" w:rsidR="00687320" w:rsidRDefault="00687320">
      <w:pPr>
        <w:shd w:val="clear" w:color="auto" w:fill="FFFFFF"/>
        <w:spacing w:line="360" w:lineRule="auto"/>
        <w:jc w:val="both"/>
        <w:rPr>
          <w:rFonts w:ascii="Arial" w:eastAsia="Times New Roman" w:hAnsi="Arial" w:cs="Arial"/>
          <w:highlight w:val="green"/>
        </w:rPr>
      </w:pPr>
    </w:p>
    <w:p w14:paraId="75260598" w14:textId="77777777" w:rsidR="00687320" w:rsidRDefault="00000000">
      <w:pPr>
        <w:numPr>
          <w:ilvl w:val="0"/>
          <w:numId w:val="3"/>
        </w:numPr>
        <w:spacing w:line="360" w:lineRule="auto"/>
        <w:jc w:val="both"/>
        <w:rPr>
          <w:rFonts w:ascii="Arial" w:hAnsi="Arial" w:cs="Arial"/>
          <w:shd w:val="clear" w:color="auto" w:fill="FFFFFF"/>
        </w:rPr>
      </w:pPr>
      <w:r>
        <w:rPr>
          <w:rFonts w:ascii="Arial" w:hAnsi="Arial" w:cs="Arial"/>
          <w:shd w:val="clear" w:color="auto" w:fill="FFFFFF"/>
        </w:rPr>
        <w:t>Evans AL</w:t>
      </w:r>
      <w:r>
        <w:rPr>
          <w:rFonts w:ascii="Arial" w:hAnsi="Arial" w:cs="Arial"/>
          <w:shd w:val="clear" w:color="auto" w:fill="FFFFFF"/>
          <w:lang w:val="pt-BR"/>
        </w:rPr>
        <w:t>,</w:t>
      </w:r>
      <w:r>
        <w:rPr>
          <w:rFonts w:ascii="Arial" w:hAnsi="Arial" w:cs="Arial"/>
          <w:shd w:val="clear" w:color="auto" w:fill="FFFFFF"/>
        </w:rPr>
        <w:t xml:space="preserve"> </w:t>
      </w:r>
      <w:proofErr w:type="spellStart"/>
      <w:r>
        <w:rPr>
          <w:rFonts w:ascii="Arial" w:hAnsi="Arial" w:cs="Arial"/>
          <w:shd w:val="clear" w:color="auto" w:fill="FFFFFF"/>
        </w:rPr>
        <w:t>Paggiosi</w:t>
      </w:r>
      <w:proofErr w:type="spellEnd"/>
      <w:r>
        <w:rPr>
          <w:rFonts w:ascii="Arial" w:hAnsi="Arial" w:cs="Arial"/>
          <w:shd w:val="clear" w:color="auto" w:fill="FFFFFF"/>
        </w:rPr>
        <w:t xml:space="preserve"> MA</w:t>
      </w:r>
      <w:r>
        <w:rPr>
          <w:rFonts w:ascii="Arial" w:hAnsi="Arial" w:cs="Arial"/>
          <w:shd w:val="clear" w:color="auto" w:fill="FFFFFF"/>
          <w:lang w:val="pt-BR"/>
        </w:rPr>
        <w:t>,</w:t>
      </w:r>
      <w:r>
        <w:rPr>
          <w:rFonts w:ascii="Arial" w:hAnsi="Arial" w:cs="Arial"/>
          <w:shd w:val="clear" w:color="auto" w:fill="FFFFFF"/>
        </w:rPr>
        <w:t xml:space="preserve"> </w:t>
      </w:r>
      <w:proofErr w:type="spellStart"/>
      <w:r>
        <w:rPr>
          <w:rFonts w:ascii="Arial" w:hAnsi="Arial" w:cs="Arial"/>
          <w:shd w:val="clear" w:color="auto" w:fill="FFFFFF"/>
        </w:rPr>
        <w:t>Eastell</w:t>
      </w:r>
      <w:proofErr w:type="spellEnd"/>
      <w:r>
        <w:rPr>
          <w:rFonts w:ascii="Arial" w:hAnsi="Arial" w:cs="Arial"/>
          <w:shd w:val="clear" w:color="auto" w:fill="FFFFFF"/>
        </w:rPr>
        <w:t xml:space="preserve"> R</w:t>
      </w:r>
      <w:r>
        <w:rPr>
          <w:rFonts w:ascii="Arial" w:hAnsi="Arial" w:cs="Arial"/>
          <w:shd w:val="clear" w:color="auto" w:fill="FFFFFF"/>
          <w:lang w:val="pt-BR"/>
        </w:rPr>
        <w:t>,</w:t>
      </w:r>
      <w:r>
        <w:rPr>
          <w:rFonts w:ascii="Arial" w:hAnsi="Arial" w:cs="Arial"/>
          <w:shd w:val="clear" w:color="auto" w:fill="FFFFFF"/>
        </w:rPr>
        <w:t xml:space="preserve"> Walsh JS.</w:t>
      </w:r>
      <w:r>
        <w:rPr>
          <w:rFonts w:ascii="Arial" w:hAnsi="Arial" w:cs="Arial"/>
          <w:shd w:val="clear" w:color="auto" w:fill="FFFFFF"/>
          <w:lang w:val="pt-BR"/>
        </w:rPr>
        <w:t xml:space="preserve"> </w:t>
      </w:r>
      <w:r>
        <w:rPr>
          <w:rFonts w:ascii="Arial" w:hAnsi="Arial" w:cs="Arial"/>
          <w:shd w:val="clear" w:color="auto" w:fill="FFFFFF"/>
        </w:rPr>
        <w:t xml:space="preserve">Bone density, microstructure and strength in obese and normal </w:t>
      </w:r>
      <w:proofErr w:type="spellStart"/>
      <w:r>
        <w:rPr>
          <w:rFonts w:ascii="Arial" w:hAnsi="Arial" w:cs="Arial"/>
          <w:shd w:val="clear" w:color="auto" w:fill="FFFFFF"/>
        </w:rPr>
        <w:t>weiht</w:t>
      </w:r>
      <w:proofErr w:type="spellEnd"/>
      <w:r>
        <w:rPr>
          <w:rFonts w:ascii="Arial" w:hAnsi="Arial" w:cs="Arial"/>
          <w:shd w:val="clear" w:color="auto" w:fill="FFFFFF"/>
        </w:rPr>
        <w:t xml:space="preserve"> men and women in younger and older adulthood. J</w:t>
      </w:r>
      <w:proofErr w:type="spellStart"/>
      <w:r>
        <w:rPr>
          <w:rFonts w:ascii="Arial" w:hAnsi="Arial" w:cs="Arial"/>
          <w:shd w:val="clear" w:color="auto" w:fill="FFFFFF"/>
          <w:lang w:val="pt-BR"/>
        </w:rPr>
        <w:t>ournal</w:t>
      </w:r>
      <w:proofErr w:type="spellEnd"/>
      <w:r>
        <w:rPr>
          <w:rFonts w:ascii="Arial" w:hAnsi="Arial" w:cs="Arial"/>
          <w:shd w:val="clear" w:color="auto" w:fill="FFFFFF"/>
          <w:lang w:val="pt-BR"/>
        </w:rPr>
        <w:t xml:space="preserve"> </w:t>
      </w:r>
      <w:proofErr w:type="spellStart"/>
      <w:r>
        <w:rPr>
          <w:rFonts w:ascii="Arial" w:hAnsi="Arial" w:cs="Arial"/>
          <w:shd w:val="clear" w:color="auto" w:fill="FFFFFF"/>
          <w:lang w:val="pt-BR"/>
        </w:rPr>
        <w:t>of</w:t>
      </w:r>
      <w:proofErr w:type="spellEnd"/>
      <w:r>
        <w:rPr>
          <w:rFonts w:ascii="Arial" w:hAnsi="Arial" w:cs="Arial"/>
          <w:shd w:val="clear" w:color="auto" w:fill="FFFFFF"/>
        </w:rPr>
        <w:t xml:space="preserve"> Bone </w:t>
      </w:r>
      <w:proofErr w:type="spellStart"/>
      <w:r>
        <w:rPr>
          <w:rFonts w:ascii="Arial" w:hAnsi="Arial" w:cs="Arial"/>
          <w:shd w:val="clear" w:color="auto" w:fill="FFFFFF"/>
          <w:lang w:val="pt-BR"/>
        </w:rPr>
        <w:t>and</w:t>
      </w:r>
      <w:proofErr w:type="spellEnd"/>
      <w:r>
        <w:rPr>
          <w:rFonts w:ascii="Arial" w:hAnsi="Arial" w:cs="Arial"/>
          <w:shd w:val="clear" w:color="auto" w:fill="FFFFFF"/>
          <w:lang w:val="pt-BR"/>
        </w:rPr>
        <w:t xml:space="preserve"> </w:t>
      </w:r>
      <w:r>
        <w:rPr>
          <w:rFonts w:ascii="Arial" w:hAnsi="Arial" w:cs="Arial"/>
          <w:shd w:val="clear" w:color="auto" w:fill="FFFFFF"/>
        </w:rPr>
        <w:t>Miner</w:t>
      </w:r>
      <w:r>
        <w:rPr>
          <w:rFonts w:ascii="Arial" w:hAnsi="Arial" w:cs="Arial"/>
          <w:shd w:val="clear" w:color="auto" w:fill="FFFFFF"/>
          <w:lang w:val="pt-BR"/>
        </w:rPr>
        <w:t>al</w:t>
      </w:r>
      <w:r>
        <w:rPr>
          <w:rFonts w:ascii="Arial" w:hAnsi="Arial" w:cs="Arial"/>
          <w:shd w:val="clear" w:color="auto" w:fill="FFFFFF"/>
        </w:rPr>
        <w:t xml:space="preserve"> Res</w:t>
      </w:r>
      <w:proofErr w:type="spellStart"/>
      <w:r>
        <w:rPr>
          <w:rFonts w:ascii="Arial" w:hAnsi="Arial" w:cs="Arial"/>
          <w:shd w:val="clear" w:color="auto" w:fill="FFFFFF"/>
          <w:lang w:val="pt-BR"/>
        </w:rPr>
        <w:t>earch</w:t>
      </w:r>
      <w:proofErr w:type="spellEnd"/>
      <w:r>
        <w:rPr>
          <w:rFonts w:ascii="Arial" w:hAnsi="Arial" w:cs="Arial"/>
          <w:shd w:val="clear" w:color="auto" w:fill="FFFFFF"/>
        </w:rPr>
        <w:t>.</w:t>
      </w:r>
      <w:r>
        <w:rPr>
          <w:rFonts w:ascii="Arial" w:hAnsi="Arial" w:cs="Arial"/>
          <w:shd w:val="clear" w:color="auto" w:fill="FFFFFF"/>
          <w:lang w:val="pt-BR"/>
        </w:rPr>
        <w:t xml:space="preserve"> 2015;</w:t>
      </w:r>
      <w:r>
        <w:rPr>
          <w:rFonts w:ascii="Arial" w:hAnsi="Arial" w:cs="Arial"/>
          <w:shd w:val="clear" w:color="auto" w:fill="FFFFFF"/>
        </w:rPr>
        <w:t xml:space="preserve"> 30(5): 920-928.</w:t>
      </w:r>
    </w:p>
    <w:p w14:paraId="4EB1A037" w14:textId="77777777" w:rsidR="00687320" w:rsidRDefault="00687320">
      <w:pPr>
        <w:widowControl w:val="0"/>
        <w:spacing w:line="360" w:lineRule="auto"/>
        <w:jc w:val="both"/>
        <w:rPr>
          <w:rFonts w:ascii="Arial" w:eastAsia="Segoe UI" w:hAnsi="Arial" w:cs="Arial"/>
          <w:color w:val="212121"/>
          <w:highlight w:val="green"/>
          <w:shd w:val="clear" w:color="auto" w:fill="FFFFFF"/>
        </w:rPr>
      </w:pPr>
    </w:p>
    <w:p w14:paraId="0F5C2B89" w14:textId="77777777" w:rsidR="00687320" w:rsidRDefault="00000000">
      <w:pPr>
        <w:numPr>
          <w:ilvl w:val="0"/>
          <w:numId w:val="3"/>
        </w:numPr>
        <w:autoSpaceDE w:val="0"/>
        <w:autoSpaceDN w:val="0"/>
        <w:adjustRightInd w:val="0"/>
        <w:spacing w:line="360" w:lineRule="auto"/>
        <w:ind w:right="-2"/>
        <w:jc w:val="both"/>
        <w:rPr>
          <w:rFonts w:ascii="Arial" w:hAnsi="Arial" w:cs="Arial"/>
          <w:shd w:val="clear" w:color="auto" w:fill="FFFFFF"/>
        </w:rPr>
      </w:pPr>
      <w:proofErr w:type="spellStart"/>
      <w:r>
        <w:rPr>
          <w:rFonts w:ascii="Arial" w:hAnsi="Arial" w:cs="Arial"/>
          <w:shd w:val="clear" w:color="auto" w:fill="FFFFFF"/>
        </w:rPr>
        <w:t>Lecka</w:t>
      </w:r>
      <w:proofErr w:type="spellEnd"/>
      <w:r>
        <w:rPr>
          <w:rFonts w:ascii="Arial" w:hAnsi="Arial" w:cs="Arial"/>
          <w:shd w:val="clear" w:color="auto" w:fill="FFFFFF"/>
        </w:rPr>
        <w:t>-Czernik B</w:t>
      </w:r>
      <w:r>
        <w:rPr>
          <w:rFonts w:ascii="Arial" w:hAnsi="Arial" w:cs="Arial"/>
          <w:shd w:val="clear" w:color="auto" w:fill="FFFFFF"/>
          <w:lang w:val="pt-BR"/>
        </w:rPr>
        <w:t>,</w:t>
      </w:r>
      <w:r>
        <w:rPr>
          <w:rFonts w:ascii="Arial" w:hAnsi="Arial" w:cs="Arial"/>
          <w:shd w:val="clear" w:color="auto" w:fill="FFFFFF"/>
        </w:rPr>
        <w:t xml:space="preserve"> Stechschulte LA</w:t>
      </w:r>
      <w:r>
        <w:rPr>
          <w:rFonts w:ascii="Arial" w:hAnsi="Arial" w:cs="Arial"/>
          <w:shd w:val="clear" w:color="auto" w:fill="FFFFFF"/>
          <w:lang w:val="pt-BR"/>
        </w:rPr>
        <w:t>,</w:t>
      </w:r>
      <w:r>
        <w:rPr>
          <w:rFonts w:ascii="Arial" w:hAnsi="Arial" w:cs="Arial"/>
          <w:shd w:val="clear" w:color="auto" w:fill="FFFFFF"/>
        </w:rPr>
        <w:t xml:space="preserve"> Czernik PJ</w:t>
      </w:r>
      <w:r>
        <w:rPr>
          <w:rFonts w:ascii="Arial" w:hAnsi="Arial" w:cs="Arial"/>
          <w:shd w:val="clear" w:color="auto" w:fill="FFFFFF"/>
          <w:lang w:val="pt-BR"/>
        </w:rPr>
        <w:t>,</w:t>
      </w:r>
      <w:r>
        <w:rPr>
          <w:rFonts w:ascii="Arial" w:hAnsi="Arial" w:cs="Arial"/>
          <w:shd w:val="clear" w:color="auto" w:fill="FFFFFF"/>
        </w:rPr>
        <w:t xml:space="preserve"> Dowling AR. High bone mass in adult mice with diet-induced obesity results from a combination of initial increase in bone mass followed by attenuation in bone formation; implications for </w:t>
      </w:r>
      <w:proofErr w:type="spellStart"/>
      <w:r>
        <w:rPr>
          <w:rFonts w:ascii="Arial" w:hAnsi="Arial" w:cs="Arial"/>
          <w:shd w:val="clear" w:color="auto" w:fill="FFFFFF"/>
        </w:rPr>
        <w:t>hight</w:t>
      </w:r>
      <w:proofErr w:type="spellEnd"/>
      <w:r>
        <w:rPr>
          <w:rFonts w:ascii="Arial" w:hAnsi="Arial" w:cs="Arial"/>
          <w:shd w:val="clear" w:color="auto" w:fill="FFFFFF"/>
        </w:rPr>
        <w:t xml:space="preserve"> bone mass and decreased bone quality in obesity. Mol</w:t>
      </w:r>
      <w:proofErr w:type="spellStart"/>
      <w:r>
        <w:rPr>
          <w:rFonts w:ascii="Arial" w:hAnsi="Arial" w:cs="Arial"/>
          <w:shd w:val="clear" w:color="auto" w:fill="FFFFFF"/>
          <w:lang w:val="pt-BR"/>
        </w:rPr>
        <w:t>ecular</w:t>
      </w:r>
      <w:proofErr w:type="spellEnd"/>
      <w:r>
        <w:rPr>
          <w:rFonts w:ascii="Arial" w:hAnsi="Arial" w:cs="Arial"/>
          <w:shd w:val="clear" w:color="auto" w:fill="FFFFFF"/>
          <w:lang w:val="pt-BR"/>
        </w:rPr>
        <w:t xml:space="preserve"> </w:t>
      </w:r>
      <w:proofErr w:type="spellStart"/>
      <w:r>
        <w:rPr>
          <w:rFonts w:ascii="Arial" w:hAnsi="Arial" w:cs="Arial"/>
          <w:shd w:val="clear" w:color="auto" w:fill="FFFFFF"/>
          <w:lang w:val="pt-BR"/>
        </w:rPr>
        <w:t>and</w:t>
      </w:r>
      <w:proofErr w:type="spellEnd"/>
      <w:r>
        <w:rPr>
          <w:rFonts w:ascii="Arial" w:hAnsi="Arial" w:cs="Arial"/>
          <w:shd w:val="clear" w:color="auto" w:fill="FFFFFF"/>
        </w:rPr>
        <w:t xml:space="preserve"> Cell</w:t>
      </w:r>
      <w:proofErr w:type="spellStart"/>
      <w:r>
        <w:rPr>
          <w:rFonts w:ascii="Arial" w:hAnsi="Arial" w:cs="Arial"/>
          <w:shd w:val="clear" w:color="auto" w:fill="FFFFFF"/>
          <w:lang w:val="pt-BR"/>
        </w:rPr>
        <w:t>ular</w:t>
      </w:r>
      <w:proofErr w:type="spellEnd"/>
      <w:r>
        <w:rPr>
          <w:rFonts w:ascii="Arial" w:hAnsi="Arial" w:cs="Arial"/>
          <w:shd w:val="clear" w:color="auto" w:fill="FFFFFF"/>
        </w:rPr>
        <w:t xml:space="preserve"> Endocrinol</w:t>
      </w:r>
      <w:proofErr w:type="spellStart"/>
      <w:r>
        <w:rPr>
          <w:rFonts w:ascii="Arial" w:hAnsi="Arial" w:cs="Arial"/>
          <w:shd w:val="clear" w:color="auto" w:fill="FFFFFF"/>
          <w:lang w:val="pt-BR"/>
        </w:rPr>
        <w:t>ogy</w:t>
      </w:r>
      <w:proofErr w:type="spellEnd"/>
      <w:r>
        <w:rPr>
          <w:rFonts w:ascii="Arial" w:hAnsi="Arial" w:cs="Arial"/>
          <w:shd w:val="clear" w:color="auto" w:fill="FFFFFF"/>
          <w:lang w:val="pt-BR"/>
        </w:rPr>
        <w:t>. 2015;</w:t>
      </w:r>
      <w:r>
        <w:rPr>
          <w:rFonts w:ascii="Arial" w:hAnsi="Arial" w:cs="Arial"/>
          <w:shd w:val="clear" w:color="auto" w:fill="FFFFFF"/>
        </w:rPr>
        <w:t xml:space="preserve"> 410: 35-41.</w:t>
      </w:r>
    </w:p>
    <w:p w14:paraId="5DFEDA2B" w14:textId="77777777" w:rsidR="00687320" w:rsidRDefault="00687320">
      <w:pPr>
        <w:widowControl w:val="0"/>
        <w:spacing w:line="360" w:lineRule="auto"/>
        <w:jc w:val="both"/>
        <w:rPr>
          <w:rFonts w:ascii="Arial" w:eastAsia="Segoe UI" w:hAnsi="Arial" w:cs="Arial"/>
          <w:color w:val="212121"/>
          <w:highlight w:val="green"/>
          <w:shd w:val="clear" w:color="auto" w:fill="FFFFFF"/>
        </w:rPr>
      </w:pPr>
    </w:p>
    <w:p w14:paraId="1BB70105" w14:textId="3834B82B" w:rsidR="00CD242C" w:rsidRPr="00CD242C" w:rsidRDefault="00000000" w:rsidP="00247C63">
      <w:pPr>
        <w:widowControl w:val="0"/>
        <w:numPr>
          <w:ilvl w:val="0"/>
          <w:numId w:val="3"/>
        </w:numPr>
        <w:autoSpaceDE w:val="0"/>
        <w:autoSpaceDN w:val="0"/>
        <w:adjustRightInd w:val="0"/>
        <w:spacing w:line="360" w:lineRule="auto"/>
        <w:ind w:right="-2"/>
        <w:jc w:val="both"/>
        <w:rPr>
          <w:rFonts w:ascii="Arial" w:eastAsia="Times New Roman" w:hAnsi="Arial" w:cs="Arial"/>
          <w:highlight w:val="yellow"/>
          <w:lang w:val="en-GB"/>
        </w:rPr>
      </w:pPr>
      <w:r w:rsidRPr="00CD242C">
        <w:rPr>
          <w:rFonts w:ascii="Arial" w:hAnsi="Arial" w:cs="Arial"/>
          <w:highlight w:val="yellow"/>
          <w:shd w:val="clear" w:color="auto" w:fill="FFFFFF"/>
        </w:rPr>
        <w:t>M</w:t>
      </w:r>
      <w:proofErr w:type="spellStart"/>
      <w:r w:rsidR="00CD242C" w:rsidRPr="00CD242C">
        <w:rPr>
          <w:rFonts w:ascii="Arial" w:eastAsia="Times New Roman" w:hAnsi="Arial" w:cs="Arial"/>
          <w:highlight w:val="yellow"/>
          <w:lang w:val="en-GB"/>
        </w:rPr>
        <w:t>arcantonio</w:t>
      </w:r>
      <w:proofErr w:type="spellEnd"/>
      <w:r w:rsidR="00CD242C" w:rsidRPr="00CD242C">
        <w:rPr>
          <w:rFonts w:ascii="Arial" w:eastAsia="Times New Roman" w:hAnsi="Arial" w:cs="Arial"/>
          <w:highlight w:val="yellow"/>
          <w:lang w:val="en-GB"/>
        </w:rPr>
        <w:t xml:space="preserve"> CC, Nogueira AVB, </w:t>
      </w:r>
      <w:proofErr w:type="spellStart"/>
      <w:r w:rsidR="00CD242C" w:rsidRPr="00CD242C">
        <w:rPr>
          <w:rFonts w:ascii="Arial" w:eastAsia="Times New Roman" w:hAnsi="Arial" w:cs="Arial"/>
          <w:highlight w:val="yellow"/>
          <w:lang w:val="en-GB"/>
        </w:rPr>
        <w:t>Leguizamón</w:t>
      </w:r>
      <w:proofErr w:type="spellEnd"/>
      <w:r w:rsidR="00CD242C" w:rsidRPr="00CD242C">
        <w:rPr>
          <w:rFonts w:ascii="Arial" w:eastAsia="Times New Roman" w:hAnsi="Arial" w:cs="Arial"/>
          <w:highlight w:val="yellow"/>
          <w:lang w:val="en-GB"/>
        </w:rPr>
        <w:t xml:space="preserve"> NDP, de Molon RS, Lopes MES, Silva R C L,   Cirelli</w:t>
      </w:r>
      <w:r w:rsidR="00CD242C" w:rsidRPr="00CD242C">
        <w:rPr>
          <w:rFonts w:ascii="Arial" w:eastAsia="Times New Roman" w:hAnsi="Arial" w:cs="Arial"/>
          <w:highlight w:val="yellow"/>
          <w:lang w:val="en-GB"/>
        </w:rPr>
        <w:t xml:space="preserve"> </w:t>
      </w:r>
      <w:r w:rsidR="00CD242C" w:rsidRPr="00CD242C">
        <w:rPr>
          <w:rFonts w:ascii="Arial" w:eastAsia="Times New Roman" w:hAnsi="Arial" w:cs="Arial"/>
          <w:highlight w:val="yellow"/>
          <w:lang w:val="en-GB"/>
        </w:rPr>
        <w:t xml:space="preserve">JA. Effects of obesity on periodontal tissue </w:t>
      </w:r>
      <w:proofErr w:type="spellStart"/>
      <w:r w:rsidR="00CD242C" w:rsidRPr="00CD242C">
        <w:rPr>
          <w:rFonts w:ascii="Arial" w:eastAsia="Times New Roman" w:hAnsi="Arial" w:cs="Arial"/>
          <w:highlight w:val="yellow"/>
          <w:lang w:val="en-GB"/>
        </w:rPr>
        <w:t>remodeling</w:t>
      </w:r>
      <w:proofErr w:type="spellEnd"/>
      <w:r w:rsidR="00CD242C" w:rsidRPr="00CD242C">
        <w:rPr>
          <w:rFonts w:ascii="Arial" w:eastAsia="Times New Roman" w:hAnsi="Arial" w:cs="Arial"/>
          <w:highlight w:val="yellow"/>
          <w:lang w:val="en-GB"/>
        </w:rPr>
        <w:t xml:space="preserve"> during orthodontic movement. American Journal of Orthodontics and Dentofacial </w:t>
      </w:r>
      <w:proofErr w:type="spellStart"/>
      <w:r w:rsidR="00CD242C" w:rsidRPr="00CD242C">
        <w:rPr>
          <w:rFonts w:ascii="Arial" w:eastAsia="Times New Roman" w:hAnsi="Arial" w:cs="Arial"/>
          <w:highlight w:val="yellow"/>
          <w:lang w:val="en-GB"/>
        </w:rPr>
        <w:t>Orthopedics</w:t>
      </w:r>
      <w:proofErr w:type="spellEnd"/>
      <w:r w:rsidR="00CD242C" w:rsidRPr="00CD242C">
        <w:rPr>
          <w:rFonts w:ascii="Arial" w:eastAsia="Times New Roman" w:hAnsi="Arial" w:cs="Arial"/>
          <w:highlight w:val="yellow"/>
          <w:lang w:val="en-GB"/>
        </w:rPr>
        <w:t>.</w:t>
      </w:r>
      <w:r w:rsidR="00CD242C" w:rsidRPr="00CD242C">
        <w:rPr>
          <w:rFonts w:ascii="Arial" w:eastAsia="Times New Roman" w:hAnsi="Arial" w:cs="Arial"/>
          <w:highlight w:val="yellow"/>
          <w:lang w:val="en-GB"/>
        </w:rPr>
        <w:t xml:space="preserve"> 2021</w:t>
      </w:r>
      <w:r w:rsidR="00CD242C" w:rsidRPr="00CD242C">
        <w:rPr>
          <w:rFonts w:ascii="Arial" w:eastAsia="Times New Roman" w:hAnsi="Arial" w:cs="Arial"/>
          <w:highlight w:val="yellow"/>
          <w:lang w:val="en-GB"/>
        </w:rPr>
        <w:t>;</w:t>
      </w:r>
      <w:r w:rsidR="00CD242C" w:rsidRPr="00CD242C">
        <w:rPr>
          <w:rFonts w:ascii="Arial" w:eastAsia="Times New Roman" w:hAnsi="Arial" w:cs="Arial"/>
          <w:highlight w:val="yellow"/>
          <w:lang w:val="en-GB"/>
        </w:rPr>
        <w:t xml:space="preserve"> 159(4)</w:t>
      </w:r>
      <w:r w:rsidR="00CD242C" w:rsidRPr="00CD242C">
        <w:rPr>
          <w:rFonts w:ascii="Arial" w:eastAsia="Times New Roman" w:hAnsi="Arial" w:cs="Arial"/>
          <w:highlight w:val="yellow"/>
          <w:lang w:val="en-GB"/>
        </w:rPr>
        <w:t>:</w:t>
      </w:r>
      <w:r w:rsidR="00CD242C" w:rsidRPr="00CD242C">
        <w:rPr>
          <w:rFonts w:ascii="Arial" w:eastAsia="Times New Roman" w:hAnsi="Arial" w:cs="Arial"/>
          <w:highlight w:val="yellow"/>
          <w:lang w:val="en-GB"/>
        </w:rPr>
        <w:t xml:space="preserve"> 480-490. </w:t>
      </w:r>
    </w:p>
    <w:p w14:paraId="00A381CB" w14:textId="77777777" w:rsidR="00CD242C" w:rsidRPr="00CD242C" w:rsidRDefault="00CD242C" w:rsidP="00CD242C">
      <w:pPr>
        <w:widowControl w:val="0"/>
        <w:spacing w:line="360" w:lineRule="auto"/>
        <w:jc w:val="both"/>
        <w:rPr>
          <w:rFonts w:ascii="Arial" w:eastAsia="Segoe UI" w:hAnsi="Arial" w:cs="Arial"/>
          <w:color w:val="212121"/>
          <w:highlight w:val="green"/>
          <w:shd w:val="clear" w:color="auto" w:fill="FFFFFF"/>
        </w:rPr>
      </w:pPr>
    </w:p>
    <w:p w14:paraId="194966A1" w14:textId="77777777" w:rsidR="00687320" w:rsidRDefault="00000000" w:rsidP="00CD242C">
      <w:pPr>
        <w:numPr>
          <w:ilvl w:val="0"/>
          <w:numId w:val="3"/>
        </w:numPr>
        <w:spacing w:line="360" w:lineRule="auto"/>
        <w:jc w:val="both"/>
        <w:rPr>
          <w:rFonts w:ascii="Arial" w:hAnsi="Arial" w:cs="Arial"/>
        </w:rPr>
      </w:pPr>
      <w:r w:rsidRPr="00CD242C">
        <w:rPr>
          <w:rFonts w:ascii="Arial" w:hAnsi="Arial" w:cs="Arial"/>
        </w:rPr>
        <w:t>Li J</w:t>
      </w:r>
      <w:r w:rsidRPr="00CD242C">
        <w:rPr>
          <w:rFonts w:ascii="Arial" w:hAnsi="Arial" w:cs="Arial"/>
          <w:lang w:val="pt-BR"/>
        </w:rPr>
        <w:t>,</w:t>
      </w:r>
      <w:r w:rsidRPr="00CD242C">
        <w:rPr>
          <w:rFonts w:ascii="Arial" w:hAnsi="Arial" w:cs="Arial"/>
        </w:rPr>
        <w:t xml:space="preserve"> Ren H</w:t>
      </w:r>
      <w:r w:rsidRPr="00CD242C">
        <w:rPr>
          <w:rFonts w:ascii="Arial" w:hAnsi="Arial" w:cs="Arial"/>
          <w:lang w:val="pt-BR"/>
        </w:rPr>
        <w:t>,</w:t>
      </w:r>
      <w:r w:rsidRPr="00CD242C">
        <w:rPr>
          <w:rFonts w:ascii="Arial" w:hAnsi="Arial" w:cs="Arial"/>
        </w:rPr>
        <w:t xml:space="preserve"> Zhang</w:t>
      </w:r>
      <w:r>
        <w:rPr>
          <w:rFonts w:ascii="Arial" w:hAnsi="Arial" w:cs="Arial"/>
        </w:rPr>
        <w:t xml:space="preserve"> Z</w:t>
      </w:r>
      <w:r>
        <w:rPr>
          <w:rFonts w:ascii="Arial" w:hAnsi="Arial" w:cs="Arial"/>
          <w:lang w:val="pt-BR"/>
        </w:rPr>
        <w:t>,</w:t>
      </w:r>
      <w:r>
        <w:rPr>
          <w:rFonts w:ascii="Arial" w:hAnsi="Arial" w:cs="Arial"/>
        </w:rPr>
        <w:t xml:space="preserve"> Zhang J</w:t>
      </w:r>
      <w:r>
        <w:rPr>
          <w:rFonts w:ascii="Arial" w:hAnsi="Arial" w:cs="Arial"/>
          <w:lang w:val="pt-BR"/>
        </w:rPr>
        <w:t>,</w:t>
      </w:r>
      <w:r>
        <w:rPr>
          <w:rFonts w:ascii="Arial" w:hAnsi="Arial" w:cs="Arial"/>
        </w:rPr>
        <w:t xml:space="preserve"> Wei F. Macrophage M2 polarization promotes pulpal inflammation resolution during orthodontic tooth movement. Journal of cellular and molecular </w:t>
      </w:r>
      <w:proofErr w:type="spellStart"/>
      <w:r>
        <w:rPr>
          <w:rFonts w:ascii="Arial" w:hAnsi="Arial" w:cs="Arial"/>
        </w:rPr>
        <w:t>medicin</w:t>
      </w:r>
      <w:proofErr w:type="spellEnd"/>
      <w:r>
        <w:rPr>
          <w:rFonts w:ascii="Arial" w:hAnsi="Arial" w:cs="Arial"/>
          <w:lang w:val="pt-BR"/>
        </w:rPr>
        <w:t xml:space="preserve">e. 2024; </w:t>
      </w:r>
      <w:r>
        <w:rPr>
          <w:rFonts w:ascii="Arial" w:hAnsi="Arial" w:cs="Arial"/>
        </w:rPr>
        <w:t>28(9): e18350.</w:t>
      </w:r>
    </w:p>
    <w:p w14:paraId="2FF2FDD7" w14:textId="77777777" w:rsidR="00687320" w:rsidRDefault="00687320">
      <w:pPr>
        <w:widowControl w:val="0"/>
        <w:spacing w:line="360" w:lineRule="auto"/>
        <w:jc w:val="both"/>
        <w:rPr>
          <w:rFonts w:ascii="Arial" w:eastAsia="Segoe UI" w:hAnsi="Arial" w:cs="Arial"/>
          <w:color w:val="212121"/>
          <w:highlight w:val="green"/>
          <w:shd w:val="clear" w:color="auto" w:fill="FFFFFF"/>
        </w:rPr>
      </w:pPr>
    </w:p>
    <w:p w14:paraId="1800E24C" w14:textId="77777777" w:rsidR="00687320" w:rsidRDefault="00000000">
      <w:pPr>
        <w:numPr>
          <w:ilvl w:val="0"/>
          <w:numId w:val="3"/>
        </w:numPr>
        <w:spacing w:line="360" w:lineRule="auto"/>
        <w:jc w:val="both"/>
        <w:rPr>
          <w:rFonts w:ascii="Arial" w:eastAsia="Times New Roman" w:hAnsi="Arial" w:cs="Arial"/>
        </w:rPr>
      </w:pPr>
      <w:r>
        <w:rPr>
          <w:rFonts w:ascii="Arial" w:hAnsi="Arial" w:cs="Arial"/>
        </w:rPr>
        <w:t>Mattia TM</w:t>
      </w:r>
      <w:r>
        <w:rPr>
          <w:rFonts w:ascii="Arial" w:hAnsi="Arial" w:cs="Arial"/>
          <w:lang w:val="pt-BR"/>
        </w:rPr>
        <w:t>,</w:t>
      </w:r>
      <w:r>
        <w:rPr>
          <w:rFonts w:ascii="Arial" w:hAnsi="Arial" w:cs="Arial"/>
        </w:rPr>
        <w:t xml:space="preserve"> Leite</w:t>
      </w:r>
      <w:r>
        <w:rPr>
          <w:rFonts w:ascii="Arial" w:hAnsi="Arial" w:cs="Arial"/>
          <w:lang w:val="pt-BR"/>
        </w:rPr>
        <w:t xml:space="preserve"> </w:t>
      </w:r>
      <w:r>
        <w:rPr>
          <w:rFonts w:ascii="Arial" w:hAnsi="Arial" w:cs="Arial"/>
        </w:rPr>
        <w:t>MA</w:t>
      </w:r>
      <w:r>
        <w:rPr>
          <w:rFonts w:ascii="Arial" w:hAnsi="Arial" w:cs="Arial"/>
          <w:lang w:val="pt-BR"/>
        </w:rPr>
        <w:t>,</w:t>
      </w:r>
      <w:r>
        <w:rPr>
          <w:rFonts w:ascii="Arial" w:hAnsi="Arial" w:cs="Arial"/>
        </w:rPr>
        <w:t xml:space="preserve"> Alegre-Maller CP</w:t>
      </w:r>
      <w:r>
        <w:rPr>
          <w:rFonts w:ascii="Arial" w:hAnsi="Arial" w:cs="Arial"/>
          <w:lang w:val="pt-BR"/>
        </w:rPr>
        <w:t>,</w:t>
      </w:r>
      <w:r>
        <w:rPr>
          <w:rFonts w:ascii="Arial" w:hAnsi="Arial" w:cs="Arial"/>
        </w:rPr>
        <w:t xml:space="preserve"> Nassar CA. The Influence of Obesity Induced by Monosodium Glutamate in Periodontal Tissues of Female Wister Rats with Experimental Periodontitis. American International Journal of Contemporary Research</w:t>
      </w:r>
      <w:r>
        <w:rPr>
          <w:rFonts w:ascii="Arial" w:hAnsi="Arial" w:cs="Arial"/>
          <w:lang w:val="pt-BR"/>
        </w:rPr>
        <w:t xml:space="preserve">. 2017; </w:t>
      </w:r>
      <w:r>
        <w:rPr>
          <w:rFonts w:ascii="Arial" w:hAnsi="Arial" w:cs="Arial"/>
        </w:rPr>
        <w:t>7(3): 28-40.</w:t>
      </w:r>
    </w:p>
    <w:p w14:paraId="74F63222" w14:textId="77777777" w:rsidR="00687320" w:rsidRDefault="00687320">
      <w:pPr>
        <w:spacing w:line="360" w:lineRule="auto"/>
        <w:jc w:val="both"/>
        <w:rPr>
          <w:rFonts w:ascii="Arial" w:hAnsi="Arial" w:cs="Arial"/>
        </w:rPr>
      </w:pPr>
    </w:p>
    <w:p w14:paraId="23EE28DB" w14:textId="77777777" w:rsidR="00687320" w:rsidRDefault="00000000">
      <w:pPr>
        <w:numPr>
          <w:ilvl w:val="0"/>
          <w:numId w:val="3"/>
        </w:numPr>
        <w:spacing w:line="360" w:lineRule="auto"/>
        <w:jc w:val="both"/>
        <w:rPr>
          <w:rFonts w:ascii="Arial" w:eastAsia="Helvetica" w:hAnsi="Arial" w:cs="Arial"/>
          <w:color w:val="000000" w:themeColor="text1"/>
          <w:shd w:val="clear" w:color="auto" w:fill="F7F7F7"/>
        </w:rPr>
      </w:pPr>
      <w:proofErr w:type="spellStart"/>
      <w:r>
        <w:rPr>
          <w:rFonts w:ascii="Arial" w:eastAsia="Segoe UI" w:hAnsi="Arial" w:cs="Arial"/>
          <w:color w:val="000000" w:themeColor="text1"/>
          <w:shd w:val="clear" w:color="auto" w:fill="FFFFFF"/>
        </w:rPr>
        <w:lastRenderedPageBreak/>
        <w:t>Wróblewski</w:t>
      </w:r>
      <w:proofErr w:type="spellEnd"/>
      <w:r>
        <w:rPr>
          <w:rFonts w:ascii="Arial" w:eastAsia="Segoe UI" w:hAnsi="Arial" w:cs="Arial"/>
          <w:color w:val="000000" w:themeColor="text1"/>
          <w:shd w:val="clear" w:color="auto" w:fill="FFFFFF"/>
        </w:rPr>
        <w:t xml:space="preserve"> A, Strycharz J, </w:t>
      </w:r>
      <w:proofErr w:type="spellStart"/>
      <w:r>
        <w:rPr>
          <w:rFonts w:ascii="Arial" w:eastAsia="Segoe UI" w:hAnsi="Arial" w:cs="Arial"/>
          <w:color w:val="000000" w:themeColor="text1"/>
          <w:shd w:val="clear" w:color="auto" w:fill="FFFFFF"/>
        </w:rPr>
        <w:t>Świderska</w:t>
      </w:r>
      <w:proofErr w:type="spellEnd"/>
      <w:r>
        <w:rPr>
          <w:rFonts w:ascii="Arial" w:eastAsia="Segoe UI" w:hAnsi="Arial" w:cs="Arial"/>
          <w:color w:val="000000" w:themeColor="text1"/>
          <w:shd w:val="clear" w:color="auto" w:fill="FFFFFF"/>
        </w:rPr>
        <w:t xml:space="preserve"> E, Drewniak K, </w:t>
      </w:r>
      <w:proofErr w:type="spellStart"/>
      <w:r>
        <w:rPr>
          <w:rFonts w:ascii="Arial" w:eastAsia="Segoe UI" w:hAnsi="Arial" w:cs="Arial"/>
          <w:color w:val="000000" w:themeColor="text1"/>
          <w:shd w:val="clear" w:color="auto" w:fill="FFFFFF"/>
        </w:rPr>
        <w:t>Drzewoski</w:t>
      </w:r>
      <w:proofErr w:type="spellEnd"/>
      <w:r>
        <w:rPr>
          <w:rFonts w:ascii="Arial" w:eastAsia="Segoe UI" w:hAnsi="Arial" w:cs="Arial"/>
          <w:color w:val="000000" w:themeColor="text1"/>
          <w:shd w:val="clear" w:color="auto" w:fill="FFFFFF"/>
        </w:rPr>
        <w:t xml:space="preserve"> J, </w:t>
      </w:r>
      <w:proofErr w:type="spellStart"/>
      <w:r>
        <w:rPr>
          <w:rFonts w:ascii="Arial" w:eastAsia="Segoe UI" w:hAnsi="Arial" w:cs="Arial"/>
          <w:color w:val="000000" w:themeColor="text1"/>
          <w:shd w:val="clear" w:color="auto" w:fill="FFFFFF"/>
        </w:rPr>
        <w:t>Szemraj</w:t>
      </w:r>
      <w:proofErr w:type="spellEnd"/>
      <w:r>
        <w:rPr>
          <w:rFonts w:ascii="Arial" w:eastAsia="Segoe UI" w:hAnsi="Arial" w:cs="Arial"/>
          <w:color w:val="000000" w:themeColor="text1"/>
          <w:shd w:val="clear" w:color="auto" w:fill="FFFFFF"/>
        </w:rPr>
        <w:t xml:space="preserve"> J, </w:t>
      </w:r>
      <w:proofErr w:type="spellStart"/>
      <w:r>
        <w:rPr>
          <w:rFonts w:ascii="Arial" w:eastAsia="Segoe UI" w:hAnsi="Arial" w:cs="Arial"/>
          <w:color w:val="000000" w:themeColor="text1"/>
          <w:shd w:val="clear" w:color="auto" w:fill="FFFFFF"/>
        </w:rPr>
        <w:t>Kasznicki</w:t>
      </w:r>
      <w:proofErr w:type="spellEnd"/>
      <w:r>
        <w:rPr>
          <w:rFonts w:ascii="Arial" w:eastAsia="Segoe UI" w:hAnsi="Arial" w:cs="Arial"/>
          <w:color w:val="000000" w:themeColor="text1"/>
          <w:shd w:val="clear" w:color="auto" w:fill="FFFFFF"/>
        </w:rPr>
        <w:t xml:space="preserve"> J, Śliwińska A. Molecular Insight into the Interaction between Epigenetics and Leptin in Metabolic Disorders. Nutrients. 2019</w:t>
      </w:r>
      <w:r>
        <w:rPr>
          <w:rFonts w:ascii="Arial" w:eastAsia="Segoe UI" w:hAnsi="Arial" w:cs="Arial"/>
          <w:color w:val="000000" w:themeColor="text1"/>
          <w:shd w:val="clear" w:color="auto" w:fill="FFFFFF"/>
          <w:lang w:val="pt-BR"/>
        </w:rPr>
        <w:t xml:space="preserve">; </w:t>
      </w:r>
      <w:r>
        <w:rPr>
          <w:rFonts w:ascii="Arial" w:eastAsia="Segoe UI" w:hAnsi="Arial" w:cs="Arial"/>
          <w:color w:val="000000" w:themeColor="text1"/>
          <w:shd w:val="clear" w:color="auto" w:fill="FFFFFF"/>
        </w:rPr>
        <w:t>11(8):</w:t>
      </w:r>
      <w:r>
        <w:rPr>
          <w:rFonts w:ascii="Arial" w:eastAsia="Segoe UI" w:hAnsi="Arial" w:cs="Arial"/>
          <w:color w:val="000000" w:themeColor="text1"/>
          <w:shd w:val="clear" w:color="auto" w:fill="FFFFFF"/>
          <w:lang w:val="pt-BR"/>
        </w:rPr>
        <w:t xml:space="preserve"> </w:t>
      </w:r>
      <w:r>
        <w:rPr>
          <w:rFonts w:ascii="Arial" w:eastAsia="Segoe UI" w:hAnsi="Arial" w:cs="Arial"/>
          <w:color w:val="000000" w:themeColor="text1"/>
          <w:shd w:val="clear" w:color="auto" w:fill="FFFFFF"/>
        </w:rPr>
        <w:t>1872. </w:t>
      </w:r>
    </w:p>
    <w:p w14:paraId="02A21F9F" w14:textId="77777777" w:rsidR="00687320" w:rsidRDefault="00687320">
      <w:pPr>
        <w:spacing w:line="360" w:lineRule="auto"/>
        <w:jc w:val="both"/>
        <w:rPr>
          <w:rFonts w:ascii="Arial" w:eastAsia="Helvetica" w:hAnsi="Arial" w:cs="Arial"/>
          <w:color w:val="282828"/>
          <w:shd w:val="clear" w:color="auto" w:fill="F7F7F7"/>
        </w:rPr>
      </w:pPr>
    </w:p>
    <w:p w14:paraId="20A3C3DF" w14:textId="77777777" w:rsidR="00687320" w:rsidRDefault="00000000">
      <w:pPr>
        <w:numPr>
          <w:ilvl w:val="0"/>
          <w:numId w:val="3"/>
        </w:numPr>
        <w:spacing w:line="360" w:lineRule="auto"/>
        <w:jc w:val="both"/>
        <w:rPr>
          <w:rFonts w:ascii="Arial" w:hAnsi="Arial" w:cs="Arial"/>
        </w:rPr>
      </w:pPr>
      <w:r>
        <w:rPr>
          <w:rFonts w:ascii="Arial" w:hAnsi="Arial" w:cs="Arial"/>
        </w:rPr>
        <w:t>Iwashita M</w:t>
      </w:r>
      <w:r>
        <w:rPr>
          <w:rFonts w:ascii="Arial" w:hAnsi="Arial" w:cs="Arial"/>
          <w:lang w:val="pt-BR"/>
        </w:rPr>
        <w:t>,</w:t>
      </w:r>
      <w:r>
        <w:rPr>
          <w:rFonts w:ascii="Arial" w:hAnsi="Arial" w:cs="Arial"/>
        </w:rPr>
        <w:t xml:space="preserve"> Hayashi M</w:t>
      </w:r>
      <w:r>
        <w:rPr>
          <w:rFonts w:ascii="Arial" w:hAnsi="Arial" w:cs="Arial"/>
          <w:lang w:val="pt-BR"/>
        </w:rPr>
        <w:t>,</w:t>
      </w:r>
      <w:r>
        <w:rPr>
          <w:rFonts w:ascii="Arial" w:hAnsi="Arial" w:cs="Arial"/>
        </w:rPr>
        <w:t xml:space="preserve"> Nishimura Y</w:t>
      </w:r>
      <w:r>
        <w:rPr>
          <w:rFonts w:ascii="Arial" w:hAnsi="Arial" w:cs="Arial"/>
          <w:lang w:val="pt-BR"/>
        </w:rPr>
        <w:t>,</w:t>
      </w:r>
      <w:r>
        <w:rPr>
          <w:rFonts w:ascii="Arial" w:hAnsi="Arial" w:cs="Arial"/>
        </w:rPr>
        <w:t xml:space="preserve"> Yamashita A. The Link Between Periodontal Inflammation and Obesity. Current oral health reports</w:t>
      </w:r>
      <w:r>
        <w:rPr>
          <w:rFonts w:ascii="Arial" w:hAnsi="Arial" w:cs="Arial"/>
          <w:lang w:val="pt-BR"/>
        </w:rPr>
        <w:t>. 2021;</w:t>
      </w:r>
      <w:r>
        <w:rPr>
          <w:rFonts w:ascii="Arial" w:hAnsi="Arial" w:cs="Arial"/>
        </w:rPr>
        <w:t> 8(4), 76–83.</w:t>
      </w:r>
    </w:p>
    <w:p w14:paraId="459E02D4" w14:textId="77777777" w:rsidR="00687320" w:rsidRDefault="00687320">
      <w:pPr>
        <w:spacing w:line="360" w:lineRule="auto"/>
        <w:jc w:val="both"/>
        <w:rPr>
          <w:rFonts w:ascii="Arial" w:eastAsia="Helvetica" w:hAnsi="Arial" w:cs="Arial"/>
          <w:color w:val="282828"/>
          <w:shd w:val="clear" w:color="auto" w:fill="F7F7F7"/>
        </w:rPr>
      </w:pPr>
    </w:p>
    <w:p w14:paraId="59DF4E10" w14:textId="77777777" w:rsidR="00687320" w:rsidRDefault="00000000">
      <w:pPr>
        <w:numPr>
          <w:ilvl w:val="0"/>
          <w:numId w:val="3"/>
        </w:num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Cohen S</w:t>
      </w:r>
      <w:r>
        <w:rPr>
          <w:rFonts w:ascii="Arial" w:eastAsia="SimSun" w:hAnsi="Arial" w:cs="Arial"/>
          <w:color w:val="222222"/>
          <w:shd w:val="clear" w:color="auto" w:fill="FFFFFF"/>
          <w:lang w:val="pt-BR"/>
        </w:rPr>
        <w:t>,</w:t>
      </w:r>
      <w:r>
        <w:rPr>
          <w:rFonts w:ascii="Arial" w:eastAsia="SimSun" w:hAnsi="Arial" w:cs="Arial"/>
          <w:color w:val="222222"/>
          <w:shd w:val="clear" w:color="auto" w:fill="FFFFFF"/>
        </w:rPr>
        <w:t xml:space="preserve"> Burns RC</w:t>
      </w:r>
      <w:r>
        <w:rPr>
          <w:rFonts w:ascii="Arial" w:eastAsia="SimSun" w:hAnsi="Arial" w:cs="Arial"/>
          <w:color w:val="222222"/>
          <w:shd w:val="clear" w:color="auto" w:fill="FFFFFF"/>
          <w:lang w:val="pt-BR"/>
        </w:rPr>
        <w:t>,</w:t>
      </w:r>
      <w:r>
        <w:rPr>
          <w:rFonts w:ascii="Arial" w:eastAsia="SimSun" w:hAnsi="Arial" w:cs="Arial"/>
          <w:color w:val="222222"/>
          <w:shd w:val="clear" w:color="auto" w:fill="FFFFFF"/>
        </w:rPr>
        <w:t xml:space="preserve"> Keiser K. Editors. Pathways of the pulp. </w:t>
      </w:r>
      <w:r>
        <w:rPr>
          <w:rFonts w:ascii="Arial" w:eastAsia="SimSun" w:hAnsi="Arial" w:cs="Arial"/>
          <w:color w:val="222222"/>
          <w:shd w:val="clear" w:color="auto" w:fill="FFFFFF"/>
          <w:lang w:val="pt-BR"/>
        </w:rPr>
        <w:t xml:space="preserve">1998. </w:t>
      </w:r>
      <w:r>
        <w:rPr>
          <w:rFonts w:ascii="Arial" w:eastAsia="SimSun" w:hAnsi="Arial" w:cs="Arial"/>
          <w:color w:val="222222"/>
          <w:shd w:val="clear" w:color="auto" w:fill="FFFFFF"/>
        </w:rPr>
        <w:t>St. Louis: Mosby.</w:t>
      </w:r>
    </w:p>
    <w:p w14:paraId="66C2ADDA" w14:textId="77777777" w:rsidR="00687320" w:rsidRDefault="00687320">
      <w:pPr>
        <w:spacing w:line="360" w:lineRule="auto"/>
        <w:jc w:val="both"/>
        <w:rPr>
          <w:rFonts w:ascii="Arial" w:eastAsia="sans-serif" w:hAnsi="Arial" w:cs="Arial"/>
          <w:color w:val="333333"/>
        </w:rPr>
      </w:pPr>
    </w:p>
    <w:p w14:paraId="55946F91" w14:textId="77777777" w:rsidR="00687320" w:rsidRDefault="00000000">
      <w:pPr>
        <w:numPr>
          <w:ilvl w:val="0"/>
          <w:numId w:val="3"/>
        </w:numPr>
        <w:shd w:val="clear" w:color="auto" w:fill="FFFFFF"/>
        <w:spacing w:line="360" w:lineRule="auto"/>
        <w:jc w:val="both"/>
        <w:rPr>
          <w:rFonts w:ascii="Arial" w:eastAsia="Arial" w:hAnsi="Arial" w:cs="Arial"/>
          <w:shd w:val="clear" w:color="auto" w:fill="FFFFFF"/>
          <w:lang w:eastAsia="zh-CN" w:bidi="ar"/>
        </w:rPr>
      </w:pPr>
      <w:r>
        <w:rPr>
          <w:rFonts w:ascii="Arial" w:eastAsia="Arial" w:hAnsi="Arial" w:cs="Arial"/>
          <w:shd w:val="clear" w:color="auto" w:fill="FFFFFF"/>
          <w:lang w:eastAsia="zh-CN" w:bidi="ar"/>
        </w:rPr>
        <w:t>Kumar V</w:t>
      </w:r>
      <w:r>
        <w:rPr>
          <w:rFonts w:ascii="Arial" w:eastAsia="Arial" w:hAnsi="Arial" w:cs="Arial"/>
          <w:shd w:val="clear" w:color="auto" w:fill="FFFFFF"/>
          <w:lang w:val="pt-BR" w:eastAsia="zh-CN" w:bidi="ar"/>
        </w:rPr>
        <w:t>,</w:t>
      </w:r>
      <w:r>
        <w:rPr>
          <w:rFonts w:ascii="Arial" w:eastAsia="Arial" w:hAnsi="Arial" w:cs="Arial"/>
          <w:shd w:val="clear" w:color="auto" w:fill="FFFFFF"/>
          <w:lang w:eastAsia="zh-CN" w:bidi="ar"/>
        </w:rPr>
        <w:t> </w:t>
      </w:r>
      <w:proofErr w:type="spellStart"/>
      <w:r>
        <w:rPr>
          <w:rFonts w:ascii="Arial" w:eastAsia="Arial" w:hAnsi="Arial" w:cs="Arial"/>
          <w:shd w:val="clear" w:color="auto" w:fill="FFFFFF"/>
          <w:lang w:eastAsia="zh-CN" w:bidi="ar"/>
        </w:rPr>
        <w:t>Cotran</w:t>
      </w:r>
      <w:proofErr w:type="spellEnd"/>
      <w:r>
        <w:rPr>
          <w:rFonts w:ascii="Arial" w:eastAsia="Arial" w:hAnsi="Arial" w:cs="Arial"/>
          <w:shd w:val="clear" w:color="auto" w:fill="FFFFFF"/>
          <w:lang w:eastAsia="zh-CN" w:bidi="ar"/>
        </w:rPr>
        <w:t> RS</w:t>
      </w:r>
      <w:r>
        <w:rPr>
          <w:rFonts w:ascii="Arial" w:eastAsia="Arial" w:hAnsi="Arial" w:cs="Arial"/>
          <w:shd w:val="clear" w:color="auto" w:fill="FFFFFF"/>
          <w:lang w:val="pt-BR" w:eastAsia="zh-CN" w:bidi="ar"/>
        </w:rPr>
        <w:t>,</w:t>
      </w:r>
      <w:r>
        <w:rPr>
          <w:rFonts w:ascii="Arial" w:eastAsia="Arial" w:hAnsi="Arial" w:cs="Arial"/>
          <w:shd w:val="clear" w:color="auto" w:fill="FFFFFF"/>
          <w:lang w:eastAsia="zh-CN" w:bidi="ar"/>
        </w:rPr>
        <w:t> Robbins SL</w:t>
      </w:r>
      <w:r>
        <w:rPr>
          <w:rFonts w:ascii="Arial" w:eastAsia="Arial" w:hAnsi="Arial" w:cs="Arial"/>
          <w:shd w:val="clear" w:color="auto" w:fill="FFFFFF"/>
          <w:lang w:val="pt-BR" w:eastAsia="zh-CN" w:bidi="ar"/>
        </w:rPr>
        <w:t xml:space="preserve">. </w:t>
      </w:r>
      <w:proofErr w:type="spellStart"/>
      <w:r>
        <w:rPr>
          <w:rFonts w:ascii="Arial" w:eastAsia="Arial" w:hAnsi="Arial" w:cs="Arial"/>
          <w:shd w:val="clear" w:color="auto" w:fill="FFFFFF"/>
          <w:lang w:eastAsia="zh-CN" w:bidi="ar"/>
        </w:rPr>
        <w:t>Patologia</w:t>
      </w:r>
      <w:proofErr w:type="spellEnd"/>
      <w:r>
        <w:rPr>
          <w:rFonts w:ascii="Arial" w:eastAsia="Arial" w:hAnsi="Arial" w:cs="Arial"/>
          <w:shd w:val="clear" w:color="auto" w:fill="FFFFFF"/>
          <w:lang w:eastAsia="zh-CN" w:bidi="ar"/>
        </w:rPr>
        <w:t xml:space="preserve"> </w:t>
      </w:r>
      <w:proofErr w:type="spellStart"/>
      <w:r>
        <w:rPr>
          <w:rFonts w:ascii="Arial" w:eastAsia="Arial" w:hAnsi="Arial" w:cs="Arial"/>
          <w:shd w:val="clear" w:color="auto" w:fill="FFFFFF"/>
          <w:lang w:eastAsia="zh-CN" w:bidi="ar"/>
        </w:rPr>
        <w:t>básica</w:t>
      </w:r>
      <w:proofErr w:type="spellEnd"/>
      <w:r>
        <w:rPr>
          <w:rFonts w:ascii="Arial" w:eastAsia="Arial" w:hAnsi="Arial" w:cs="Arial"/>
          <w:shd w:val="clear" w:color="auto" w:fill="FFFFFF"/>
          <w:lang w:eastAsia="zh-CN" w:bidi="ar"/>
        </w:rPr>
        <w:t> (5ª ed.)</w:t>
      </w:r>
      <w:r>
        <w:rPr>
          <w:rFonts w:ascii="Arial" w:eastAsia="Arial" w:hAnsi="Arial" w:cs="Arial"/>
          <w:shd w:val="clear" w:color="auto" w:fill="FFFFFF"/>
          <w:lang w:val="pt-BR" w:eastAsia="zh-CN" w:bidi="ar"/>
        </w:rPr>
        <w:t>. 1992;</w:t>
      </w:r>
      <w:r>
        <w:rPr>
          <w:rFonts w:ascii="Arial" w:eastAsia="Arial" w:hAnsi="Arial" w:cs="Arial"/>
          <w:shd w:val="clear" w:color="auto" w:fill="FFFFFF"/>
          <w:lang w:eastAsia="zh-CN" w:bidi="ar"/>
        </w:rPr>
        <w:t> WB Saunders, </w:t>
      </w:r>
      <w:proofErr w:type="spellStart"/>
      <w:r>
        <w:rPr>
          <w:rFonts w:ascii="Arial" w:eastAsia="Arial" w:hAnsi="Arial" w:cs="Arial"/>
          <w:shd w:val="clear" w:color="auto" w:fill="FFFFFF"/>
          <w:lang w:eastAsia="zh-CN" w:bidi="ar"/>
        </w:rPr>
        <w:t>Filadélfia</w:t>
      </w:r>
      <w:proofErr w:type="spellEnd"/>
      <w:r>
        <w:rPr>
          <w:rFonts w:ascii="Arial" w:eastAsia="Arial" w:hAnsi="Arial" w:cs="Arial"/>
          <w:shd w:val="clear" w:color="auto" w:fill="FFFFFF"/>
          <w:lang w:eastAsia="zh-CN" w:bidi="ar"/>
        </w:rPr>
        <w:t>, pp. 3 – 24.</w:t>
      </w:r>
    </w:p>
    <w:p w14:paraId="3A88F2AE" w14:textId="77777777" w:rsidR="00687320" w:rsidRDefault="00687320">
      <w:pPr>
        <w:shd w:val="clear" w:color="auto" w:fill="FFFFFF"/>
        <w:spacing w:line="360" w:lineRule="auto"/>
        <w:jc w:val="both"/>
        <w:rPr>
          <w:rFonts w:ascii="Arial" w:eastAsia="Arial" w:hAnsi="Arial" w:cs="Arial"/>
          <w:shd w:val="clear" w:color="auto" w:fill="FFFFFF"/>
          <w:lang w:eastAsia="zh-CN" w:bidi="ar"/>
        </w:rPr>
      </w:pPr>
    </w:p>
    <w:p w14:paraId="32D2D15B" w14:textId="77777777" w:rsidR="00687320" w:rsidRDefault="00000000">
      <w:pPr>
        <w:numPr>
          <w:ilvl w:val="0"/>
          <w:numId w:val="3"/>
        </w:numPr>
        <w:spacing w:line="360" w:lineRule="auto"/>
        <w:jc w:val="both"/>
        <w:rPr>
          <w:rStyle w:val="Hyperlink"/>
          <w:rFonts w:ascii="Arial" w:eastAsia="Helvetica" w:hAnsi="Arial" w:cs="Arial"/>
          <w:color w:val="auto"/>
          <w:u w:val="none"/>
          <w:shd w:val="clear" w:color="auto" w:fill="FFFFFF"/>
          <w:lang w:val="pt-BR"/>
        </w:rPr>
      </w:pPr>
      <w:r>
        <w:rPr>
          <w:rFonts w:ascii="Arial" w:eastAsia="Helvetica" w:hAnsi="Arial" w:cs="Arial"/>
          <w:shd w:val="clear" w:color="auto" w:fill="FFFFFF"/>
        </w:rPr>
        <w:t>Taylor EB.</w:t>
      </w:r>
      <w:r>
        <w:rPr>
          <w:rFonts w:ascii="Arial" w:eastAsia="Helvetica" w:hAnsi="Arial" w:cs="Arial"/>
          <w:shd w:val="clear" w:color="auto" w:fill="FFFFFF"/>
          <w:lang w:val="pt-BR"/>
        </w:rPr>
        <w:t xml:space="preserve"> The </w:t>
      </w:r>
      <w:proofErr w:type="spellStart"/>
      <w:r>
        <w:rPr>
          <w:rFonts w:ascii="Arial" w:eastAsia="Helvetica" w:hAnsi="Arial" w:cs="Arial"/>
          <w:shd w:val="clear" w:color="auto" w:fill="FFFFFF"/>
          <w:lang w:val="pt-BR"/>
        </w:rPr>
        <w:t>complex</w:t>
      </w:r>
      <w:proofErr w:type="spellEnd"/>
      <w:r>
        <w:rPr>
          <w:rFonts w:ascii="Arial" w:eastAsia="Helvetica" w:hAnsi="Arial" w:cs="Arial"/>
          <w:shd w:val="clear" w:color="auto" w:fill="FFFFFF"/>
          <w:lang w:val="pt-BR"/>
        </w:rPr>
        <w:t xml:space="preserve"> role </w:t>
      </w:r>
      <w:proofErr w:type="spellStart"/>
      <w:r>
        <w:rPr>
          <w:rFonts w:ascii="Arial" w:eastAsia="Helvetica" w:hAnsi="Arial" w:cs="Arial"/>
          <w:shd w:val="clear" w:color="auto" w:fill="FFFFFF"/>
          <w:lang w:val="pt-BR"/>
        </w:rPr>
        <w:t>of</w:t>
      </w:r>
      <w:proofErr w:type="spellEnd"/>
      <w:r>
        <w:rPr>
          <w:rFonts w:ascii="Arial" w:eastAsia="Helvetica" w:hAnsi="Arial" w:cs="Arial"/>
          <w:shd w:val="clear" w:color="auto" w:fill="FFFFFF"/>
          <w:lang w:val="pt-BR"/>
        </w:rPr>
        <w:t xml:space="preserve"> </w:t>
      </w:r>
      <w:proofErr w:type="spellStart"/>
      <w:r>
        <w:rPr>
          <w:rFonts w:ascii="Arial" w:eastAsia="Helvetica" w:hAnsi="Arial" w:cs="Arial"/>
          <w:shd w:val="clear" w:color="auto" w:fill="FFFFFF"/>
          <w:lang w:val="pt-BR"/>
        </w:rPr>
        <w:t>adipokines</w:t>
      </w:r>
      <w:proofErr w:type="spellEnd"/>
      <w:r>
        <w:rPr>
          <w:rFonts w:ascii="Arial" w:eastAsia="Helvetica" w:hAnsi="Arial" w:cs="Arial"/>
          <w:shd w:val="clear" w:color="auto" w:fill="FFFFFF"/>
          <w:lang w:val="pt-BR"/>
        </w:rPr>
        <w:t xml:space="preserve"> in </w:t>
      </w:r>
      <w:proofErr w:type="spellStart"/>
      <w:r>
        <w:rPr>
          <w:rFonts w:ascii="Arial" w:eastAsia="Helvetica" w:hAnsi="Arial" w:cs="Arial"/>
          <w:shd w:val="clear" w:color="auto" w:fill="FFFFFF"/>
          <w:lang w:val="pt-BR"/>
        </w:rPr>
        <w:t>obesity</w:t>
      </w:r>
      <w:proofErr w:type="spellEnd"/>
      <w:r>
        <w:rPr>
          <w:rFonts w:ascii="Arial" w:eastAsia="Helvetica" w:hAnsi="Arial" w:cs="Arial"/>
          <w:shd w:val="clear" w:color="auto" w:fill="FFFFFF"/>
          <w:lang w:val="pt-BR"/>
        </w:rPr>
        <w:t xml:space="preserve">, </w:t>
      </w:r>
      <w:proofErr w:type="spellStart"/>
      <w:r>
        <w:rPr>
          <w:rFonts w:ascii="Arial" w:eastAsia="Helvetica" w:hAnsi="Arial" w:cs="Arial"/>
          <w:shd w:val="clear" w:color="auto" w:fill="FFFFFF"/>
          <w:lang w:val="pt-BR"/>
        </w:rPr>
        <w:t>inflamation</w:t>
      </w:r>
      <w:proofErr w:type="spellEnd"/>
      <w:r>
        <w:rPr>
          <w:rFonts w:ascii="Arial" w:eastAsia="Helvetica" w:hAnsi="Arial" w:cs="Arial"/>
          <w:shd w:val="clear" w:color="auto" w:fill="FFFFFF"/>
          <w:lang w:val="pt-BR"/>
        </w:rPr>
        <w:t xml:space="preserve"> </w:t>
      </w:r>
      <w:proofErr w:type="spellStart"/>
      <w:r>
        <w:rPr>
          <w:rFonts w:ascii="Arial" w:eastAsia="Helvetica" w:hAnsi="Arial" w:cs="Arial"/>
          <w:shd w:val="clear" w:color="auto" w:fill="FFFFFF"/>
          <w:lang w:val="pt-BR"/>
        </w:rPr>
        <w:t>and</w:t>
      </w:r>
      <w:proofErr w:type="spellEnd"/>
      <w:r>
        <w:rPr>
          <w:rFonts w:ascii="Arial" w:eastAsia="Helvetica" w:hAnsi="Arial" w:cs="Arial"/>
          <w:shd w:val="clear" w:color="auto" w:fill="FFFFFF"/>
          <w:lang w:val="pt-BR"/>
        </w:rPr>
        <w:t xml:space="preserve"> </w:t>
      </w:r>
      <w:proofErr w:type="spellStart"/>
      <w:r>
        <w:rPr>
          <w:rFonts w:ascii="Arial" w:eastAsia="Helvetica" w:hAnsi="Arial" w:cs="Arial"/>
          <w:shd w:val="clear" w:color="auto" w:fill="FFFFFF"/>
          <w:lang w:val="pt-BR"/>
        </w:rPr>
        <w:t>autoimmunity</w:t>
      </w:r>
      <w:proofErr w:type="spellEnd"/>
      <w:r>
        <w:rPr>
          <w:rFonts w:ascii="Arial" w:eastAsia="Helvetica" w:hAnsi="Arial" w:cs="Arial"/>
          <w:shd w:val="clear" w:color="auto" w:fill="FFFFFF"/>
          <w:lang w:val="pt-BR"/>
        </w:rPr>
        <w:t>.</w:t>
      </w:r>
      <w:r>
        <w:rPr>
          <w:rFonts w:ascii="Arial" w:eastAsia="Helvetica" w:hAnsi="Arial" w:cs="Arial"/>
          <w:shd w:val="clear" w:color="auto" w:fill="FFFFFF"/>
        </w:rPr>
        <w:t> </w:t>
      </w:r>
      <w:r>
        <w:rPr>
          <w:rStyle w:val="nfase"/>
          <w:rFonts w:ascii="Arial" w:eastAsia="Helvetica" w:hAnsi="Arial" w:cs="Arial"/>
          <w:i w:val="0"/>
          <w:iCs w:val="0"/>
          <w:shd w:val="clear" w:color="auto" w:fill="FFFFFF"/>
        </w:rPr>
        <w:t>Clin</w:t>
      </w:r>
      <w:proofErr w:type="spellStart"/>
      <w:r>
        <w:rPr>
          <w:rStyle w:val="nfase"/>
          <w:rFonts w:ascii="Arial" w:eastAsia="Helvetica" w:hAnsi="Arial" w:cs="Arial"/>
          <w:i w:val="0"/>
          <w:iCs w:val="0"/>
          <w:shd w:val="clear" w:color="auto" w:fill="FFFFFF"/>
          <w:lang w:val="pt-BR"/>
        </w:rPr>
        <w:t>ical</w:t>
      </w:r>
      <w:proofErr w:type="spellEnd"/>
      <w:r>
        <w:rPr>
          <w:rStyle w:val="nfase"/>
          <w:rFonts w:ascii="Arial" w:eastAsia="Helvetica" w:hAnsi="Arial" w:cs="Arial"/>
          <w:i w:val="0"/>
          <w:iCs w:val="0"/>
          <w:shd w:val="clear" w:color="auto" w:fill="FFFFFF"/>
        </w:rPr>
        <w:t xml:space="preserve"> Sci</w:t>
      </w:r>
      <w:proofErr w:type="spellStart"/>
      <w:r>
        <w:rPr>
          <w:rStyle w:val="nfase"/>
          <w:rFonts w:ascii="Arial" w:eastAsia="Helvetica" w:hAnsi="Arial" w:cs="Arial"/>
          <w:i w:val="0"/>
          <w:iCs w:val="0"/>
          <w:shd w:val="clear" w:color="auto" w:fill="FFFFFF"/>
          <w:lang w:val="pt-BR"/>
        </w:rPr>
        <w:t>ence</w:t>
      </w:r>
      <w:proofErr w:type="spellEnd"/>
      <w:r>
        <w:rPr>
          <w:rStyle w:val="nfase"/>
          <w:rFonts w:ascii="Arial" w:eastAsia="Helvetica" w:hAnsi="Arial" w:cs="Arial"/>
          <w:i w:val="0"/>
          <w:iCs w:val="0"/>
          <w:shd w:val="clear" w:color="auto" w:fill="FFFFFF"/>
          <w:lang w:val="pt-BR"/>
        </w:rPr>
        <w:t>. 2021;</w:t>
      </w:r>
      <w:r>
        <w:rPr>
          <w:rFonts w:ascii="Arial" w:eastAsia="Helvetica" w:hAnsi="Arial" w:cs="Arial"/>
          <w:shd w:val="clear" w:color="auto" w:fill="FFFFFF"/>
        </w:rPr>
        <w:t xml:space="preserve"> 135 (6): 731–752. </w:t>
      </w:r>
    </w:p>
    <w:p w14:paraId="5CB66939" w14:textId="77777777" w:rsidR="00687320" w:rsidRDefault="00687320">
      <w:pPr>
        <w:spacing w:line="360" w:lineRule="auto"/>
        <w:jc w:val="both"/>
        <w:rPr>
          <w:rStyle w:val="Hyperlink"/>
          <w:rFonts w:ascii="Arial" w:eastAsia="Helvetica" w:hAnsi="Arial" w:cs="Arial"/>
          <w:color w:val="auto"/>
          <w:u w:val="none"/>
          <w:shd w:val="clear" w:color="auto" w:fill="FFFFFF"/>
          <w:lang w:val="pt-BR"/>
        </w:rPr>
      </w:pPr>
    </w:p>
    <w:p w14:paraId="5CEF8F64" w14:textId="77777777" w:rsidR="00687320" w:rsidRDefault="00000000">
      <w:pPr>
        <w:numPr>
          <w:ilvl w:val="0"/>
          <w:numId w:val="3"/>
        </w:numPr>
        <w:spacing w:line="360" w:lineRule="auto"/>
        <w:jc w:val="both"/>
        <w:rPr>
          <w:rFonts w:ascii="Arial" w:eastAsia="Times New Roman" w:hAnsi="Arial" w:cs="Arial"/>
        </w:rPr>
      </w:pPr>
      <w:r>
        <w:rPr>
          <w:rFonts w:ascii="Arial" w:eastAsia="SimSun" w:hAnsi="Arial" w:cs="Arial"/>
        </w:rPr>
        <w:t>Santamaria M</w:t>
      </w:r>
      <w:r>
        <w:rPr>
          <w:rFonts w:ascii="Arial" w:eastAsia="SimSun" w:hAnsi="Arial" w:cs="Arial"/>
          <w:lang w:val="pt-BR"/>
        </w:rPr>
        <w:t>,</w:t>
      </w:r>
      <w:r>
        <w:rPr>
          <w:rFonts w:ascii="Arial" w:eastAsia="SimSun" w:hAnsi="Arial" w:cs="Arial"/>
        </w:rPr>
        <w:t xml:space="preserve"> Milagres</w:t>
      </w:r>
      <w:r>
        <w:rPr>
          <w:rFonts w:ascii="Arial" w:eastAsia="SimSun" w:hAnsi="Arial" w:cs="Arial"/>
          <w:lang w:val="pt-BR"/>
        </w:rPr>
        <w:t xml:space="preserve"> </w:t>
      </w:r>
      <w:r>
        <w:rPr>
          <w:rFonts w:ascii="Arial" w:eastAsia="SimSun" w:hAnsi="Arial" w:cs="Arial"/>
        </w:rPr>
        <w:t>D</w:t>
      </w:r>
      <w:r>
        <w:rPr>
          <w:rFonts w:ascii="Arial" w:eastAsia="SimSun" w:hAnsi="Arial" w:cs="Arial"/>
          <w:lang w:val="pt-BR"/>
        </w:rPr>
        <w:t>,</w:t>
      </w:r>
      <w:r>
        <w:rPr>
          <w:rFonts w:ascii="Arial" w:eastAsia="SimSun" w:hAnsi="Arial" w:cs="Arial"/>
        </w:rPr>
        <w:t xml:space="preserve"> </w:t>
      </w:r>
      <w:proofErr w:type="spellStart"/>
      <w:r>
        <w:rPr>
          <w:rFonts w:ascii="Arial" w:eastAsia="SimSun" w:hAnsi="Arial" w:cs="Arial"/>
        </w:rPr>
        <w:t>Iyomasa</w:t>
      </w:r>
      <w:proofErr w:type="spellEnd"/>
      <w:r>
        <w:rPr>
          <w:rFonts w:ascii="Arial" w:eastAsia="SimSun" w:hAnsi="Arial" w:cs="Arial"/>
        </w:rPr>
        <w:t xml:space="preserve"> MM</w:t>
      </w:r>
      <w:r>
        <w:rPr>
          <w:rFonts w:ascii="Arial" w:eastAsia="SimSun" w:hAnsi="Arial" w:cs="Arial"/>
          <w:lang w:val="pt-BR"/>
        </w:rPr>
        <w:t>,</w:t>
      </w:r>
      <w:r>
        <w:rPr>
          <w:rFonts w:ascii="Arial" w:eastAsia="SimSun" w:hAnsi="Arial" w:cs="Arial"/>
        </w:rPr>
        <w:t xml:space="preserve"> </w:t>
      </w:r>
      <w:proofErr w:type="spellStart"/>
      <w:r>
        <w:rPr>
          <w:rFonts w:ascii="Arial" w:eastAsia="SimSun" w:hAnsi="Arial" w:cs="Arial"/>
        </w:rPr>
        <w:t>Stuani</w:t>
      </w:r>
      <w:proofErr w:type="spellEnd"/>
      <w:r>
        <w:rPr>
          <w:rFonts w:ascii="Arial" w:eastAsia="SimSun" w:hAnsi="Arial" w:cs="Arial"/>
        </w:rPr>
        <w:t xml:space="preserve"> MBS</w:t>
      </w:r>
      <w:r>
        <w:rPr>
          <w:rFonts w:ascii="Arial" w:eastAsia="SimSun" w:hAnsi="Arial" w:cs="Arial"/>
          <w:lang w:val="pt-BR"/>
        </w:rPr>
        <w:t>,</w:t>
      </w:r>
      <w:r>
        <w:rPr>
          <w:rFonts w:ascii="Arial" w:eastAsia="SimSun" w:hAnsi="Arial" w:cs="Arial"/>
        </w:rPr>
        <w:t xml:space="preserve"> </w:t>
      </w:r>
      <w:proofErr w:type="spellStart"/>
      <w:r>
        <w:rPr>
          <w:rFonts w:ascii="Arial" w:eastAsia="SimSun" w:hAnsi="Arial" w:cs="Arial"/>
        </w:rPr>
        <w:t>Ruellas</w:t>
      </w:r>
      <w:proofErr w:type="spellEnd"/>
      <w:r>
        <w:rPr>
          <w:rFonts w:ascii="Arial" w:eastAsia="SimSun" w:hAnsi="Arial" w:cs="Arial"/>
        </w:rPr>
        <w:t xml:space="preserve"> ACO</w:t>
      </w:r>
      <w:r>
        <w:rPr>
          <w:rFonts w:ascii="Arial" w:eastAsia="SimSun" w:hAnsi="Arial" w:cs="Arial"/>
          <w:lang w:val="pt-BR"/>
        </w:rPr>
        <w:t xml:space="preserve">. </w:t>
      </w:r>
      <w:r>
        <w:rPr>
          <w:rFonts w:ascii="Arial" w:eastAsia="SimSun" w:hAnsi="Arial" w:cs="Arial"/>
        </w:rPr>
        <w:t xml:space="preserve">Initial pulp changes during orthodontic movement: </w:t>
      </w:r>
      <w:proofErr w:type="spellStart"/>
      <w:r>
        <w:rPr>
          <w:rFonts w:ascii="Arial" w:eastAsia="SimSun" w:hAnsi="Arial" w:cs="Arial"/>
        </w:rPr>
        <w:t>histomorphological</w:t>
      </w:r>
      <w:proofErr w:type="spellEnd"/>
      <w:r>
        <w:rPr>
          <w:rFonts w:ascii="Arial" w:eastAsia="SimSun" w:hAnsi="Arial" w:cs="Arial"/>
        </w:rPr>
        <w:t xml:space="preserve"> evaluation. Braz</w:t>
      </w:r>
      <w:proofErr w:type="spellStart"/>
      <w:r>
        <w:rPr>
          <w:rFonts w:ascii="Arial" w:eastAsia="SimSun" w:hAnsi="Arial" w:cs="Arial"/>
          <w:lang w:val="pt-BR"/>
        </w:rPr>
        <w:t>ilian</w:t>
      </w:r>
      <w:proofErr w:type="spellEnd"/>
      <w:r>
        <w:rPr>
          <w:rFonts w:ascii="Arial" w:eastAsia="SimSun" w:hAnsi="Arial" w:cs="Arial"/>
        </w:rPr>
        <w:t xml:space="preserve"> Dent</w:t>
      </w:r>
      <w:r>
        <w:rPr>
          <w:rFonts w:ascii="Arial" w:eastAsia="SimSun" w:hAnsi="Arial" w:cs="Arial"/>
          <w:lang w:val="pt-BR"/>
        </w:rPr>
        <w:t>al</w:t>
      </w:r>
      <w:r>
        <w:rPr>
          <w:rFonts w:ascii="Arial" w:eastAsia="SimSun" w:hAnsi="Arial" w:cs="Arial"/>
        </w:rPr>
        <w:t xml:space="preserve"> J</w:t>
      </w:r>
      <w:proofErr w:type="spellStart"/>
      <w:r>
        <w:rPr>
          <w:rFonts w:ascii="Arial" w:eastAsia="SimSun" w:hAnsi="Arial" w:cs="Arial"/>
          <w:lang w:val="pt-BR"/>
        </w:rPr>
        <w:t>ournal</w:t>
      </w:r>
      <w:proofErr w:type="spellEnd"/>
      <w:r>
        <w:rPr>
          <w:rFonts w:ascii="Arial" w:eastAsia="SimSun" w:hAnsi="Arial" w:cs="Arial"/>
        </w:rPr>
        <w:t>.</w:t>
      </w:r>
      <w:r>
        <w:rPr>
          <w:rFonts w:ascii="Arial" w:eastAsia="SimSun" w:hAnsi="Arial" w:cs="Arial"/>
          <w:lang w:val="pt-BR"/>
        </w:rPr>
        <w:t xml:space="preserve"> 2007; </w:t>
      </w:r>
      <w:r>
        <w:rPr>
          <w:rFonts w:ascii="Arial" w:eastAsia="SimSun" w:hAnsi="Arial" w:cs="Arial"/>
        </w:rPr>
        <w:t>18(1): 34-39.</w:t>
      </w:r>
    </w:p>
    <w:p w14:paraId="6D5CC771" w14:textId="77777777" w:rsidR="00687320" w:rsidRDefault="00687320">
      <w:pPr>
        <w:spacing w:line="360" w:lineRule="auto"/>
        <w:jc w:val="both"/>
        <w:rPr>
          <w:rStyle w:val="Hyperlink"/>
          <w:rFonts w:ascii="Arial" w:eastAsia="Helvetica" w:hAnsi="Arial" w:cs="Arial"/>
          <w:color w:val="auto"/>
          <w:u w:val="none"/>
          <w:shd w:val="clear" w:color="auto" w:fill="FFFFFF"/>
          <w:lang w:val="pt-BR"/>
        </w:rPr>
      </w:pPr>
    </w:p>
    <w:p w14:paraId="1B5C2B45" w14:textId="77777777" w:rsidR="00687320" w:rsidRDefault="00000000">
      <w:pPr>
        <w:numPr>
          <w:ilvl w:val="0"/>
          <w:numId w:val="3"/>
        </w:numPr>
        <w:spacing w:line="360" w:lineRule="auto"/>
        <w:jc w:val="both"/>
        <w:rPr>
          <w:rFonts w:ascii="Arial" w:eastAsia="sans-serif" w:hAnsi="Arial" w:cs="Arial"/>
          <w:color w:val="000000" w:themeColor="text1"/>
        </w:rPr>
      </w:pPr>
      <w:proofErr w:type="spellStart"/>
      <w:r>
        <w:rPr>
          <w:rFonts w:ascii="Arial" w:eastAsia="sans-serif" w:hAnsi="Arial" w:cs="Arial"/>
          <w:color w:val="000000" w:themeColor="text1"/>
        </w:rPr>
        <w:t>Consolaro</w:t>
      </w:r>
      <w:proofErr w:type="spellEnd"/>
      <w:r>
        <w:rPr>
          <w:rFonts w:ascii="Arial" w:eastAsia="sans-serif" w:hAnsi="Arial" w:cs="Arial"/>
          <w:color w:val="000000" w:themeColor="text1"/>
        </w:rPr>
        <w:t xml:space="preserve"> RB.</w:t>
      </w:r>
      <w:r>
        <w:rPr>
          <w:rFonts w:ascii="Arial" w:eastAsia="sans-serif" w:hAnsi="Arial" w:cs="Arial"/>
          <w:color w:val="000000" w:themeColor="text1"/>
          <w:lang w:val="pt-BR"/>
        </w:rPr>
        <w:t xml:space="preserve"> </w:t>
      </w:r>
      <w:proofErr w:type="spellStart"/>
      <w:r>
        <w:rPr>
          <w:rFonts w:ascii="Arial" w:eastAsia="sans-serif" w:hAnsi="Arial" w:cs="Arial"/>
          <w:color w:val="000000" w:themeColor="text1"/>
        </w:rPr>
        <w:t>Análise</w:t>
      </w:r>
      <w:proofErr w:type="spellEnd"/>
      <w:r>
        <w:rPr>
          <w:rFonts w:ascii="Arial" w:eastAsia="sans-serif" w:hAnsi="Arial" w:cs="Arial"/>
          <w:color w:val="000000" w:themeColor="text1"/>
        </w:rPr>
        <w:t xml:space="preserve"> do </w:t>
      </w:r>
      <w:proofErr w:type="spellStart"/>
      <w:r>
        <w:rPr>
          <w:rFonts w:ascii="Arial" w:eastAsia="sans-serif" w:hAnsi="Arial" w:cs="Arial"/>
          <w:color w:val="000000" w:themeColor="text1"/>
        </w:rPr>
        <w:t>complexo</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dentino</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pulpar</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em</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dentes</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submetidos</w:t>
      </w:r>
      <w:proofErr w:type="spellEnd"/>
      <w:r>
        <w:rPr>
          <w:rFonts w:ascii="Arial" w:eastAsia="sans-serif" w:hAnsi="Arial" w:cs="Arial"/>
          <w:color w:val="000000" w:themeColor="text1"/>
        </w:rPr>
        <w:t xml:space="preserve"> a </w:t>
      </w:r>
      <w:proofErr w:type="spellStart"/>
      <w:r>
        <w:rPr>
          <w:rFonts w:ascii="Arial" w:eastAsia="sans-serif" w:hAnsi="Arial" w:cs="Arial"/>
          <w:color w:val="000000" w:themeColor="text1"/>
        </w:rPr>
        <w:t>movimentação</w:t>
      </w:r>
      <w:proofErr w:type="spellEnd"/>
      <w:r>
        <w:rPr>
          <w:rFonts w:ascii="Arial" w:eastAsia="sans-serif" w:hAnsi="Arial" w:cs="Arial"/>
          <w:color w:val="000000" w:themeColor="text1"/>
        </w:rPr>
        <w:t xml:space="preserve"> dentaria </w:t>
      </w:r>
      <w:proofErr w:type="spellStart"/>
      <w:r>
        <w:rPr>
          <w:rFonts w:ascii="Arial" w:eastAsia="sans-serif" w:hAnsi="Arial" w:cs="Arial"/>
          <w:color w:val="000000" w:themeColor="text1"/>
        </w:rPr>
        <w:t>induzida</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em</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ratos</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Dissertação</w:t>
      </w:r>
      <w:proofErr w:type="spellEnd"/>
      <w:r>
        <w:rPr>
          <w:rFonts w:ascii="Arial" w:eastAsia="sans-serif" w:hAnsi="Arial" w:cs="Arial"/>
          <w:color w:val="000000" w:themeColor="text1"/>
        </w:rPr>
        <w:t xml:space="preserve"> (</w:t>
      </w:r>
      <w:proofErr w:type="spellStart"/>
      <w:r>
        <w:rPr>
          <w:rFonts w:ascii="Arial" w:eastAsia="sans-serif" w:hAnsi="Arial" w:cs="Arial"/>
          <w:color w:val="000000" w:themeColor="text1"/>
        </w:rPr>
        <w:t>Mestrado</w:t>
      </w:r>
      <w:proofErr w:type="spellEnd"/>
      <w:r>
        <w:rPr>
          <w:rFonts w:ascii="Arial" w:eastAsia="sans-serif" w:hAnsi="Arial" w:cs="Arial"/>
          <w:color w:val="000000" w:themeColor="text1"/>
        </w:rPr>
        <w:t xml:space="preserve">) - </w:t>
      </w:r>
      <w:proofErr w:type="spellStart"/>
      <w:r>
        <w:rPr>
          <w:rFonts w:ascii="Arial" w:eastAsia="sans-serif" w:hAnsi="Arial" w:cs="Arial"/>
          <w:color w:val="000000" w:themeColor="text1"/>
        </w:rPr>
        <w:t>Curso</w:t>
      </w:r>
      <w:proofErr w:type="spellEnd"/>
      <w:r>
        <w:rPr>
          <w:rFonts w:ascii="Arial" w:eastAsia="sans-serif" w:hAnsi="Arial" w:cs="Arial"/>
          <w:color w:val="000000" w:themeColor="text1"/>
        </w:rPr>
        <w:t xml:space="preserve"> de Odontologia, </w:t>
      </w:r>
      <w:proofErr w:type="spellStart"/>
      <w:r>
        <w:rPr>
          <w:rFonts w:ascii="Arial" w:eastAsia="sans-serif" w:hAnsi="Arial" w:cs="Arial"/>
          <w:color w:val="000000" w:themeColor="text1"/>
        </w:rPr>
        <w:t>Universidade</w:t>
      </w:r>
      <w:proofErr w:type="spellEnd"/>
      <w:r>
        <w:rPr>
          <w:rFonts w:ascii="Arial" w:eastAsia="sans-serif" w:hAnsi="Arial" w:cs="Arial"/>
          <w:color w:val="000000" w:themeColor="text1"/>
        </w:rPr>
        <w:t xml:space="preserve"> de São Paulo</w:t>
      </w:r>
      <w:r>
        <w:rPr>
          <w:rFonts w:ascii="Arial" w:eastAsia="sans-serif" w:hAnsi="Arial" w:cs="Arial"/>
          <w:color w:val="000000" w:themeColor="text1"/>
          <w:lang w:val="pt-BR"/>
        </w:rPr>
        <w:t xml:space="preserve">. </w:t>
      </w:r>
      <w:proofErr w:type="gramStart"/>
      <w:r>
        <w:rPr>
          <w:rFonts w:ascii="Arial" w:eastAsia="sans-serif" w:hAnsi="Arial" w:cs="Arial"/>
          <w:color w:val="000000" w:themeColor="text1"/>
          <w:lang w:val="pt-BR"/>
        </w:rPr>
        <w:t>2005;</w:t>
      </w:r>
      <w:r>
        <w:rPr>
          <w:rFonts w:ascii="Arial" w:eastAsia="sans-serif" w:hAnsi="Arial" w:cs="Arial"/>
          <w:color w:val="000000" w:themeColor="text1"/>
        </w:rPr>
        <w:t xml:space="preserve">  p.</w:t>
      </w:r>
      <w:proofErr w:type="gramEnd"/>
      <w:r>
        <w:rPr>
          <w:rFonts w:ascii="Arial" w:eastAsia="sans-serif" w:hAnsi="Arial" w:cs="Arial"/>
          <w:color w:val="000000" w:themeColor="text1"/>
        </w:rPr>
        <w:t xml:space="preserve"> 115.</w:t>
      </w:r>
    </w:p>
    <w:p w14:paraId="39F4BB3A" w14:textId="77777777" w:rsidR="00687320" w:rsidRDefault="00687320">
      <w:pPr>
        <w:spacing w:line="360" w:lineRule="auto"/>
        <w:jc w:val="both"/>
        <w:rPr>
          <w:rFonts w:ascii="Arial" w:eastAsia="sans-serif" w:hAnsi="Arial" w:cs="Arial"/>
          <w:color w:val="000000" w:themeColor="text1"/>
          <w:shd w:val="clear" w:color="auto" w:fill="FFFFFF"/>
        </w:rPr>
      </w:pPr>
    </w:p>
    <w:p w14:paraId="7CBF6CA5" w14:textId="77777777" w:rsidR="00687320" w:rsidRDefault="00000000">
      <w:pPr>
        <w:numPr>
          <w:ilvl w:val="0"/>
          <w:numId w:val="3"/>
        </w:numPr>
        <w:spacing w:line="360" w:lineRule="auto"/>
        <w:jc w:val="both"/>
        <w:rPr>
          <w:rFonts w:ascii="Arial" w:eastAsia="Consolas" w:hAnsi="Arial" w:cs="Arial"/>
          <w:color w:val="1B1B1B"/>
          <w:shd w:val="clear" w:color="auto" w:fill="FFFFFF"/>
        </w:rPr>
      </w:pPr>
      <w:r>
        <w:rPr>
          <w:rFonts w:ascii="Arial" w:eastAsia="SimSun" w:hAnsi="Arial" w:cs="Arial"/>
          <w:color w:val="222222"/>
          <w:shd w:val="clear" w:color="auto" w:fill="FFFFFF"/>
        </w:rPr>
        <w:t>Kim</w:t>
      </w:r>
      <w:r>
        <w:rPr>
          <w:rFonts w:ascii="Arial" w:eastAsia="SimSun" w:hAnsi="Arial" w:cs="Arial"/>
          <w:color w:val="222222"/>
          <w:shd w:val="clear" w:color="auto" w:fill="FFFFFF"/>
          <w:lang w:val="pt-BR"/>
        </w:rPr>
        <w:t xml:space="preserve"> </w:t>
      </w:r>
      <w:r>
        <w:rPr>
          <w:rFonts w:ascii="Arial" w:eastAsia="SimSun" w:hAnsi="Arial" w:cs="Arial"/>
          <w:color w:val="222222"/>
          <w:shd w:val="clear" w:color="auto" w:fill="FFFFFF"/>
        </w:rPr>
        <w:t>S. Microcirculation of the dental pulp in health and disease. Journal of endodontics</w:t>
      </w:r>
      <w:r>
        <w:rPr>
          <w:rFonts w:ascii="Arial" w:eastAsia="SimSun" w:hAnsi="Arial" w:cs="Arial"/>
          <w:color w:val="222222"/>
          <w:shd w:val="clear" w:color="auto" w:fill="FFFFFF"/>
          <w:lang w:val="pt-BR"/>
        </w:rPr>
        <w:t>. 1985;</w:t>
      </w:r>
      <w:r>
        <w:rPr>
          <w:rFonts w:ascii="Arial" w:eastAsia="SimSun" w:hAnsi="Arial" w:cs="Arial"/>
          <w:color w:val="222222"/>
          <w:shd w:val="clear" w:color="auto" w:fill="FFFFFF"/>
        </w:rPr>
        <w:t xml:space="preserve"> 11(11): 465-71.</w:t>
      </w:r>
    </w:p>
    <w:p w14:paraId="56B7E835" w14:textId="77777777" w:rsidR="00687320" w:rsidRDefault="00687320">
      <w:pPr>
        <w:shd w:val="clear" w:color="auto" w:fill="FFFFFF"/>
        <w:spacing w:line="360" w:lineRule="auto"/>
        <w:ind w:right="-2"/>
        <w:jc w:val="both"/>
        <w:rPr>
          <w:rFonts w:ascii="Arial" w:eastAsia="Times New Roman" w:hAnsi="Arial" w:cs="Arial"/>
        </w:rPr>
      </w:pPr>
    </w:p>
    <w:p w14:paraId="6854133E" w14:textId="77777777" w:rsidR="00687320" w:rsidRDefault="00000000">
      <w:pPr>
        <w:numPr>
          <w:ilvl w:val="0"/>
          <w:numId w:val="3"/>
        </w:numPr>
        <w:spacing w:line="360" w:lineRule="auto"/>
        <w:jc w:val="both"/>
        <w:rPr>
          <w:rFonts w:ascii="Arial" w:eastAsia="Segoe UI" w:hAnsi="Arial" w:cs="Arial"/>
          <w:color w:val="212121"/>
          <w:shd w:val="clear" w:color="auto" w:fill="FFFFFF"/>
        </w:rPr>
      </w:pPr>
      <w:r>
        <w:rPr>
          <w:rFonts w:ascii="Arial" w:eastAsia="Segoe UI" w:hAnsi="Arial" w:cs="Arial"/>
          <w:color w:val="212121"/>
          <w:shd w:val="clear" w:color="auto" w:fill="FFFFFF"/>
        </w:rPr>
        <w:t>Ouchi N, Parker JL, Lugus JJ, Walsh K</w:t>
      </w:r>
      <w:r>
        <w:rPr>
          <w:rFonts w:ascii="Arial" w:eastAsia="Segoe UI" w:hAnsi="Arial" w:cs="Arial"/>
          <w:color w:val="212121"/>
          <w:shd w:val="clear" w:color="auto" w:fill="FFFFFF"/>
          <w:lang w:val="pt-BR"/>
        </w:rPr>
        <w:t xml:space="preserve">. </w:t>
      </w:r>
      <w:r>
        <w:rPr>
          <w:rFonts w:ascii="Arial" w:eastAsia="Segoe UI" w:hAnsi="Arial" w:cs="Arial"/>
          <w:color w:val="212121"/>
          <w:shd w:val="clear" w:color="auto" w:fill="FFFFFF"/>
        </w:rPr>
        <w:t>Adipokines in inflammation and metabolic disease. Nat</w:t>
      </w:r>
      <w:proofErr w:type="spellStart"/>
      <w:r>
        <w:rPr>
          <w:rFonts w:ascii="Arial" w:eastAsia="Segoe UI" w:hAnsi="Arial" w:cs="Arial"/>
          <w:color w:val="212121"/>
          <w:shd w:val="clear" w:color="auto" w:fill="FFFFFF"/>
          <w:lang w:val="pt-BR"/>
        </w:rPr>
        <w:t>ure</w:t>
      </w:r>
      <w:proofErr w:type="spellEnd"/>
      <w:r>
        <w:rPr>
          <w:rFonts w:ascii="Arial" w:eastAsia="Segoe UI" w:hAnsi="Arial" w:cs="Arial"/>
          <w:color w:val="212121"/>
          <w:shd w:val="clear" w:color="auto" w:fill="FFFFFF"/>
        </w:rPr>
        <w:t xml:space="preserve"> Rev</w:t>
      </w:r>
      <w:proofErr w:type="spellStart"/>
      <w:r>
        <w:rPr>
          <w:rFonts w:ascii="Arial" w:eastAsia="Segoe UI" w:hAnsi="Arial" w:cs="Arial"/>
          <w:color w:val="212121"/>
          <w:shd w:val="clear" w:color="auto" w:fill="FFFFFF"/>
          <w:lang w:val="pt-BR"/>
        </w:rPr>
        <w:t>iews</w:t>
      </w:r>
      <w:proofErr w:type="spellEnd"/>
      <w:r>
        <w:rPr>
          <w:rFonts w:ascii="Arial" w:eastAsia="Segoe UI" w:hAnsi="Arial" w:cs="Arial"/>
          <w:color w:val="212121"/>
          <w:shd w:val="clear" w:color="auto" w:fill="FFFFFF"/>
        </w:rPr>
        <w:t xml:space="preserve"> Immunol</w:t>
      </w:r>
      <w:proofErr w:type="spellStart"/>
      <w:r>
        <w:rPr>
          <w:rFonts w:ascii="Arial" w:eastAsia="Segoe UI" w:hAnsi="Arial" w:cs="Arial"/>
          <w:color w:val="212121"/>
          <w:shd w:val="clear" w:color="auto" w:fill="FFFFFF"/>
          <w:lang w:val="pt-BR"/>
        </w:rPr>
        <w:t>ogy</w:t>
      </w:r>
      <w:proofErr w:type="spellEnd"/>
      <w:r>
        <w:rPr>
          <w:rFonts w:ascii="Arial" w:eastAsia="Segoe UI" w:hAnsi="Arial" w:cs="Arial"/>
          <w:color w:val="212121"/>
          <w:shd w:val="clear" w:color="auto" w:fill="FFFFFF"/>
          <w:lang w:val="pt-BR"/>
        </w:rPr>
        <w:t xml:space="preserve">. 2011; </w:t>
      </w:r>
      <w:r>
        <w:rPr>
          <w:rFonts w:ascii="Arial" w:eastAsia="Segoe UI" w:hAnsi="Arial" w:cs="Arial"/>
          <w:color w:val="212121"/>
          <w:shd w:val="clear" w:color="auto" w:fill="FFFFFF"/>
        </w:rPr>
        <w:t>11:</w:t>
      </w:r>
      <w:r>
        <w:rPr>
          <w:rFonts w:ascii="Arial" w:eastAsia="Segoe UI" w:hAnsi="Arial" w:cs="Arial"/>
          <w:color w:val="212121"/>
          <w:shd w:val="clear" w:color="auto" w:fill="FFFFFF"/>
          <w:lang w:val="pt-BR"/>
        </w:rPr>
        <w:t xml:space="preserve"> </w:t>
      </w:r>
      <w:r>
        <w:rPr>
          <w:rFonts w:ascii="Arial" w:eastAsia="Segoe UI" w:hAnsi="Arial" w:cs="Arial"/>
          <w:color w:val="212121"/>
          <w:shd w:val="clear" w:color="auto" w:fill="FFFFFF"/>
        </w:rPr>
        <w:t>85–97.</w:t>
      </w:r>
    </w:p>
    <w:p w14:paraId="7C731121" w14:textId="77777777" w:rsidR="00687320" w:rsidRDefault="00687320">
      <w:pPr>
        <w:spacing w:line="360" w:lineRule="auto"/>
        <w:jc w:val="both"/>
        <w:rPr>
          <w:rFonts w:ascii="Arial" w:eastAsia="Franklin Gothic Book" w:hAnsi="Arial" w:cs="Arial"/>
          <w:color w:val="231F20"/>
          <w:lang w:eastAsia="zh-CN" w:bidi="ar"/>
        </w:rPr>
      </w:pPr>
    </w:p>
    <w:p w14:paraId="6565167F" w14:textId="77777777" w:rsidR="00687320" w:rsidRDefault="00000000">
      <w:pPr>
        <w:numPr>
          <w:ilvl w:val="0"/>
          <w:numId w:val="3"/>
        </w:numPr>
        <w:spacing w:line="360" w:lineRule="auto"/>
        <w:jc w:val="both"/>
        <w:rPr>
          <w:rFonts w:ascii="Arial" w:eastAsia="Helvetica" w:hAnsi="Arial" w:cs="Arial"/>
          <w:color w:val="282828"/>
          <w:shd w:val="clear" w:color="auto" w:fill="F7F7F7"/>
        </w:rPr>
      </w:pPr>
      <w:bookmarkStart w:id="1" w:name="_Hlk200985523"/>
      <w:r>
        <w:rPr>
          <w:rFonts w:ascii="Arial" w:eastAsia="Helvetica" w:hAnsi="Arial" w:cs="Arial"/>
          <w:color w:val="282828"/>
          <w:shd w:val="clear" w:color="auto" w:fill="F7F7F7"/>
        </w:rPr>
        <w:t>Rosen ED, Spiegelman BM.</w:t>
      </w:r>
      <w:r>
        <w:rPr>
          <w:rFonts w:ascii="Arial" w:eastAsia="Helvetica" w:hAnsi="Arial" w:cs="Arial"/>
          <w:color w:val="282828"/>
          <w:shd w:val="clear" w:color="auto" w:fill="F7F7F7"/>
          <w:lang w:val="pt-BR"/>
        </w:rPr>
        <w:t xml:space="preserve"> </w:t>
      </w:r>
      <w:proofErr w:type="spellStart"/>
      <w:r>
        <w:rPr>
          <w:rFonts w:ascii="Arial" w:eastAsia="Helvetica" w:hAnsi="Arial" w:cs="Arial"/>
          <w:color w:val="282828"/>
          <w:shd w:val="clear" w:color="auto" w:fill="F7F7F7"/>
          <w:lang w:val="pt-BR"/>
        </w:rPr>
        <w:t>What</w:t>
      </w:r>
      <w:proofErr w:type="spellEnd"/>
      <w:r>
        <w:rPr>
          <w:rFonts w:ascii="Arial" w:eastAsia="Helvetica" w:hAnsi="Arial" w:cs="Arial"/>
          <w:color w:val="282828"/>
          <w:shd w:val="clear" w:color="auto" w:fill="F7F7F7"/>
          <w:lang w:val="pt-BR"/>
        </w:rPr>
        <w:t xml:space="preserve"> </w:t>
      </w:r>
      <w:proofErr w:type="spellStart"/>
      <w:r>
        <w:rPr>
          <w:rFonts w:ascii="Arial" w:eastAsia="Helvetica" w:hAnsi="Arial" w:cs="Arial"/>
          <w:color w:val="282828"/>
          <w:shd w:val="clear" w:color="auto" w:fill="F7F7F7"/>
          <w:lang w:val="pt-BR"/>
        </w:rPr>
        <w:t>We</w:t>
      </w:r>
      <w:proofErr w:type="spellEnd"/>
      <w:r>
        <w:rPr>
          <w:rFonts w:ascii="Arial" w:eastAsia="Helvetica" w:hAnsi="Arial" w:cs="Arial"/>
          <w:color w:val="282828"/>
          <w:shd w:val="clear" w:color="auto" w:fill="F7F7F7"/>
          <w:lang w:val="pt-BR"/>
        </w:rPr>
        <w:t xml:space="preserve"> Talk </w:t>
      </w:r>
      <w:proofErr w:type="spellStart"/>
      <w:r>
        <w:rPr>
          <w:rFonts w:ascii="Arial" w:eastAsia="Helvetica" w:hAnsi="Arial" w:cs="Arial"/>
          <w:color w:val="282828"/>
          <w:shd w:val="clear" w:color="auto" w:fill="F7F7F7"/>
          <w:lang w:val="pt-BR"/>
        </w:rPr>
        <w:t>About</w:t>
      </w:r>
      <w:proofErr w:type="spellEnd"/>
      <w:r>
        <w:rPr>
          <w:rFonts w:ascii="Arial" w:eastAsia="Helvetica" w:hAnsi="Arial" w:cs="Arial"/>
          <w:color w:val="282828"/>
          <w:shd w:val="clear" w:color="auto" w:fill="F7F7F7"/>
          <w:lang w:val="pt-BR"/>
        </w:rPr>
        <w:t xml:space="preserve"> When </w:t>
      </w:r>
      <w:proofErr w:type="spellStart"/>
      <w:r>
        <w:rPr>
          <w:rFonts w:ascii="Arial" w:eastAsia="Helvetica" w:hAnsi="Arial" w:cs="Arial"/>
          <w:color w:val="282828"/>
          <w:shd w:val="clear" w:color="auto" w:fill="F7F7F7"/>
          <w:lang w:val="pt-BR"/>
        </w:rPr>
        <w:t>We</w:t>
      </w:r>
      <w:proofErr w:type="spellEnd"/>
      <w:r>
        <w:rPr>
          <w:rFonts w:ascii="Arial" w:eastAsia="Helvetica" w:hAnsi="Arial" w:cs="Arial"/>
          <w:color w:val="282828"/>
          <w:shd w:val="clear" w:color="auto" w:fill="F7F7F7"/>
          <w:lang w:val="pt-BR"/>
        </w:rPr>
        <w:t xml:space="preserve"> Talk </w:t>
      </w:r>
      <w:proofErr w:type="spellStart"/>
      <w:r>
        <w:rPr>
          <w:rFonts w:ascii="Arial" w:eastAsia="Helvetica" w:hAnsi="Arial" w:cs="Arial"/>
          <w:color w:val="282828"/>
          <w:shd w:val="clear" w:color="auto" w:fill="F7F7F7"/>
          <w:lang w:val="pt-BR"/>
        </w:rPr>
        <w:t>About</w:t>
      </w:r>
      <w:proofErr w:type="spellEnd"/>
      <w:r>
        <w:rPr>
          <w:rFonts w:ascii="Arial" w:eastAsia="Helvetica" w:hAnsi="Arial" w:cs="Arial"/>
          <w:color w:val="282828"/>
          <w:shd w:val="clear" w:color="auto" w:fill="F7F7F7"/>
          <w:lang w:val="pt-BR"/>
        </w:rPr>
        <w:t xml:space="preserve"> Fat</w:t>
      </w:r>
      <w:r>
        <w:rPr>
          <w:rFonts w:ascii="Arial" w:eastAsia="Helvetica" w:hAnsi="Arial" w:cs="Arial"/>
          <w:color w:val="282828"/>
          <w:shd w:val="clear" w:color="auto" w:fill="F7F7F7"/>
        </w:rPr>
        <w:t>. Cell</w:t>
      </w:r>
      <w:r>
        <w:rPr>
          <w:rFonts w:ascii="Arial" w:eastAsia="Helvetica" w:hAnsi="Arial" w:cs="Arial"/>
          <w:color w:val="282828"/>
          <w:shd w:val="clear" w:color="auto" w:fill="F7F7F7"/>
          <w:lang w:val="pt-BR"/>
        </w:rPr>
        <w:t>. 2014;</w:t>
      </w:r>
      <w:r>
        <w:rPr>
          <w:rFonts w:ascii="Arial" w:eastAsia="Helvetica" w:hAnsi="Arial" w:cs="Arial"/>
          <w:color w:val="282828"/>
          <w:shd w:val="clear" w:color="auto" w:fill="F7F7F7"/>
        </w:rPr>
        <w:t xml:space="preserve"> 156:</w:t>
      </w:r>
      <w:r>
        <w:rPr>
          <w:rFonts w:ascii="Arial" w:eastAsia="Helvetica" w:hAnsi="Arial" w:cs="Arial"/>
          <w:color w:val="282828"/>
          <w:shd w:val="clear" w:color="auto" w:fill="F7F7F7"/>
          <w:lang w:val="pt-BR"/>
        </w:rPr>
        <w:t xml:space="preserve"> </w:t>
      </w:r>
      <w:r>
        <w:rPr>
          <w:rFonts w:ascii="Arial" w:eastAsia="Helvetica" w:hAnsi="Arial" w:cs="Arial"/>
          <w:color w:val="282828"/>
          <w:shd w:val="clear" w:color="auto" w:fill="F7F7F7"/>
        </w:rPr>
        <w:t>20–44.</w:t>
      </w:r>
    </w:p>
    <w:bookmarkEnd w:id="1"/>
    <w:p w14:paraId="721CFB8C" w14:textId="77777777" w:rsidR="00687320" w:rsidRDefault="00687320">
      <w:pPr>
        <w:spacing w:line="360" w:lineRule="auto"/>
        <w:jc w:val="both"/>
        <w:rPr>
          <w:rStyle w:val="Hyperlink"/>
          <w:rFonts w:ascii="Arial" w:eastAsia="Helvetica" w:hAnsi="Arial" w:cs="Arial"/>
          <w:color w:val="auto"/>
          <w:u w:val="none"/>
          <w:shd w:val="clear" w:color="auto" w:fill="FFFFFF"/>
          <w:lang w:val="pt-BR"/>
        </w:rPr>
      </w:pPr>
    </w:p>
    <w:p w14:paraId="5CEB1BE6" w14:textId="77777777" w:rsidR="00687320" w:rsidRDefault="00000000">
      <w:pPr>
        <w:numPr>
          <w:ilvl w:val="0"/>
          <w:numId w:val="3"/>
        </w:numPr>
        <w:spacing w:line="360" w:lineRule="auto"/>
        <w:jc w:val="both"/>
        <w:rPr>
          <w:rFonts w:ascii="Arial" w:eastAsia="SimSun" w:hAnsi="Arial" w:cs="Arial"/>
          <w:lang w:eastAsia="zh-CN" w:bidi="ar"/>
        </w:rPr>
      </w:pPr>
      <w:proofErr w:type="spellStart"/>
      <w:r>
        <w:rPr>
          <w:rFonts w:ascii="Arial" w:eastAsia="SimSun" w:hAnsi="Arial" w:cs="Arial"/>
          <w:lang w:eastAsia="zh-CN" w:bidi="ar"/>
        </w:rPr>
        <w:t>Vandevska-Radunovic</w:t>
      </w:r>
      <w:proofErr w:type="spellEnd"/>
      <w:r>
        <w:rPr>
          <w:rFonts w:ascii="Arial" w:eastAsia="SimSun" w:hAnsi="Arial" w:cs="Arial"/>
          <w:lang w:eastAsia="zh-CN" w:bidi="ar"/>
        </w:rPr>
        <w:t xml:space="preserve"> V</w:t>
      </w:r>
      <w:r>
        <w:rPr>
          <w:rFonts w:ascii="Arial" w:eastAsia="SimSun" w:hAnsi="Arial" w:cs="Arial"/>
          <w:lang w:val="pt-BR" w:eastAsia="zh-CN" w:bidi="ar"/>
        </w:rPr>
        <w:t>,</w:t>
      </w:r>
      <w:r>
        <w:rPr>
          <w:rFonts w:ascii="Arial" w:eastAsia="SimSun" w:hAnsi="Arial" w:cs="Arial"/>
          <w:lang w:eastAsia="zh-CN" w:bidi="ar"/>
        </w:rPr>
        <w:t xml:space="preserve"> </w:t>
      </w:r>
      <w:proofErr w:type="spellStart"/>
      <w:r>
        <w:rPr>
          <w:rFonts w:ascii="Arial" w:eastAsia="SimSun" w:hAnsi="Arial" w:cs="Arial"/>
          <w:lang w:eastAsia="zh-CN" w:bidi="ar"/>
        </w:rPr>
        <w:t>Kvinnsland</w:t>
      </w:r>
      <w:proofErr w:type="spellEnd"/>
      <w:r>
        <w:rPr>
          <w:rFonts w:ascii="Arial" w:eastAsia="SimSun" w:hAnsi="Arial" w:cs="Arial"/>
          <w:lang w:val="pt-BR" w:eastAsia="zh-CN" w:bidi="ar"/>
        </w:rPr>
        <w:t xml:space="preserve"> </w:t>
      </w:r>
      <w:r>
        <w:rPr>
          <w:rFonts w:ascii="Arial" w:eastAsia="SimSun" w:hAnsi="Arial" w:cs="Arial"/>
          <w:lang w:eastAsia="zh-CN" w:bidi="ar"/>
        </w:rPr>
        <w:t>S</w:t>
      </w:r>
      <w:r>
        <w:rPr>
          <w:rFonts w:ascii="Arial" w:eastAsia="SimSun" w:hAnsi="Arial" w:cs="Arial"/>
          <w:lang w:val="pt-BR" w:eastAsia="zh-CN" w:bidi="ar"/>
        </w:rPr>
        <w:t>,</w:t>
      </w:r>
      <w:r>
        <w:rPr>
          <w:rFonts w:ascii="Arial" w:eastAsia="SimSun" w:hAnsi="Arial" w:cs="Arial"/>
          <w:lang w:eastAsia="zh-CN" w:bidi="ar"/>
        </w:rPr>
        <w:t xml:space="preserve"> </w:t>
      </w:r>
      <w:proofErr w:type="spellStart"/>
      <w:r>
        <w:rPr>
          <w:rFonts w:ascii="Arial" w:eastAsia="SimSun" w:hAnsi="Arial" w:cs="Arial"/>
          <w:lang w:eastAsia="zh-CN" w:bidi="ar"/>
        </w:rPr>
        <w:t>Kvinnsland</w:t>
      </w:r>
      <w:proofErr w:type="spellEnd"/>
      <w:r>
        <w:rPr>
          <w:rFonts w:ascii="Arial" w:eastAsia="SimSun" w:hAnsi="Arial" w:cs="Arial"/>
          <w:lang w:eastAsia="zh-CN" w:bidi="ar"/>
        </w:rPr>
        <w:t xml:space="preserve"> IH. Effect of experimental tooth movement on nerve </w:t>
      </w:r>
      <w:proofErr w:type="spellStart"/>
      <w:r>
        <w:rPr>
          <w:rFonts w:ascii="Arial" w:eastAsia="SimSun" w:hAnsi="Arial" w:cs="Arial"/>
          <w:lang w:eastAsia="zh-CN" w:bidi="ar"/>
        </w:rPr>
        <w:t>fibres</w:t>
      </w:r>
      <w:proofErr w:type="spellEnd"/>
      <w:r>
        <w:rPr>
          <w:rFonts w:ascii="Arial" w:eastAsia="SimSun" w:hAnsi="Arial" w:cs="Arial"/>
          <w:lang w:eastAsia="zh-CN" w:bidi="ar"/>
        </w:rPr>
        <w:t xml:space="preserve"> immunoreactive to calcitonin gene-related peptide, protein gene product 9.5, and blood vessel density and distribution in rats. </w:t>
      </w:r>
      <w:proofErr w:type="spellStart"/>
      <w:r>
        <w:rPr>
          <w:rFonts w:ascii="Arial" w:eastAsia="SimSun" w:hAnsi="Arial" w:cs="Arial"/>
          <w:lang w:eastAsia="zh-CN" w:bidi="ar"/>
        </w:rPr>
        <w:t>Eur</w:t>
      </w:r>
      <w:r>
        <w:rPr>
          <w:rFonts w:ascii="Arial" w:eastAsia="SimSun" w:hAnsi="Arial" w:cs="Arial"/>
          <w:lang w:val="pt-BR" w:eastAsia="zh-CN" w:bidi="ar"/>
        </w:rPr>
        <w:t>opean</w:t>
      </w:r>
      <w:proofErr w:type="spellEnd"/>
      <w:r>
        <w:rPr>
          <w:rFonts w:ascii="Arial" w:eastAsia="SimSun" w:hAnsi="Arial" w:cs="Arial"/>
          <w:lang w:eastAsia="zh-CN" w:bidi="ar"/>
        </w:rPr>
        <w:t xml:space="preserve"> J</w:t>
      </w:r>
      <w:proofErr w:type="spellStart"/>
      <w:r>
        <w:rPr>
          <w:rFonts w:ascii="Arial" w:eastAsia="SimSun" w:hAnsi="Arial" w:cs="Arial"/>
          <w:lang w:val="pt-BR" w:eastAsia="zh-CN" w:bidi="ar"/>
        </w:rPr>
        <w:t>ournal</w:t>
      </w:r>
      <w:proofErr w:type="spellEnd"/>
      <w:r>
        <w:rPr>
          <w:rFonts w:ascii="Arial" w:eastAsia="SimSun" w:hAnsi="Arial" w:cs="Arial"/>
          <w:lang w:val="pt-BR" w:eastAsia="zh-CN" w:bidi="ar"/>
        </w:rPr>
        <w:t xml:space="preserve"> </w:t>
      </w:r>
      <w:proofErr w:type="spellStart"/>
      <w:r>
        <w:rPr>
          <w:rFonts w:ascii="Arial" w:eastAsia="SimSun" w:hAnsi="Arial" w:cs="Arial"/>
          <w:lang w:val="pt-BR" w:eastAsia="zh-CN" w:bidi="ar"/>
        </w:rPr>
        <w:t>of</w:t>
      </w:r>
      <w:proofErr w:type="spellEnd"/>
      <w:r>
        <w:rPr>
          <w:rFonts w:ascii="Arial" w:eastAsia="SimSun" w:hAnsi="Arial" w:cs="Arial"/>
          <w:lang w:eastAsia="zh-CN" w:bidi="ar"/>
        </w:rPr>
        <w:t xml:space="preserve"> </w:t>
      </w:r>
      <w:proofErr w:type="spellStart"/>
      <w:r>
        <w:rPr>
          <w:rFonts w:ascii="Arial" w:eastAsia="SimSun" w:hAnsi="Arial" w:cs="Arial"/>
          <w:lang w:eastAsia="zh-CN" w:bidi="ar"/>
        </w:rPr>
        <w:t>Orthod</w:t>
      </w:r>
      <w:r>
        <w:rPr>
          <w:rFonts w:ascii="Arial" w:eastAsia="SimSun" w:hAnsi="Arial" w:cs="Arial"/>
          <w:lang w:val="pt-BR" w:eastAsia="zh-CN" w:bidi="ar"/>
        </w:rPr>
        <w:t>ontics</w:t>
      </w:r>
      <w:proofErr w:type="spellEnd"/>
      <w:r>
        <w:rPr>
          <w:rFonts w:ascii="Arial" w:eastAsia="SimSun" w:hAnsi="Arial" w:cs="Arial"/>
          <w:lang w:eastAsia="zh-CN" w:bidi="ar"/>
        </w:rPr>
        <w:t>.</w:t>
      </w:r>
      <w:r>
        <w:rPr>
          <w:rFonts w:ascii="Arial" w:eastAsia="SimSun" w:hAnsi="Arial" w:cs="Arial"/>
          <w:lang w:val="pt-BR" w:eastAsia="zh-CN" w:bidi="ar"/>
        </w:rPr>
        <w:t xml:space="preserve"> 1997;</w:t>
      </w:r>
      <w:r>
        <w:rPr>
          <w:rFonts w:ascii="Arial" w:eastAsia="SimSun" w:hAnsi="Arial" w:cs="Arial"/>
          <w:lang w:eastAsia="zh-CN" w:bidi="ar"/>
        </w:rPr>
        <w:t xml:space="preserve"> 19(5):</w:t>
      </w:r>
      <w:r>
        <w:rPr>
          <w:rFonts w:ascii="Arial" w:eastAsia="SimSun" w:hAnsi="Arial" w:cs="Arial"/>
          <w:lang w:val="pt-BR" w:eastAsia="zh-CN" w:bidi="ar"/>
        </w:rPr>
        <w:t xml:space="preserve"> </w:t>
      </w:r>
      <w:r>
        <w:rPr>
          <w:rFonts w:ascii="Arial" w:eastAsia="SimSun" w:hAnsi="Arial" w:cs="Arial"/>
          <w:lang w:eastAsia="zh-CN" w:bidi="ar"/>
        </w:rPr>
        <w:t>517-29.</w:t>
      </w:r>
    </w:p>
    <w:p w14:paraId="429A3214" w14:textId="77777777" w:rsidR="00687320" w:rsidRDefault="00687320">
      <w:pPr>
        <w:spacing w:line="360" w:lineRule="auto"/>
        <w:jc w:val="both"/>
        <w:rPr>
          <w:rFonts w:ascii="Arial" w:eastAsia="SimSun" w:hAnsi="Arial" w:cs="Arial"/>
          <w:lang w:eastAsia="zh-CN" w:bidi="ar"/>
        </w:rPr>
      </w:pPr>
    </w:p>
    <w:p w14:paraId="307FF5D8" w14:textId="61E60ED8" w:rsidR="00687320" w:rsidRDefault="00000000">
      <w:pPr>
        <w:numPr>
          <w:ilvl w:val="0"/>
          <w:numId w:val="3"/>
        </w:numPr>
        <w:shd w:val="clear" w:color="auto" w:fill="FFFFFF"/>
        <w:spacing w:line="360" w:lineRule="auto"/>
        <w:ind w:right="-2"/>
        <w:jc w:val="both"/>
        <w:rPr>
          <w:rFonts w:ascii="Arial" w:eastAsia="Times New Roman" w:hAnsi="Arial" w:cs="Arial"/>
        </w:rPr>
      </w:pPr>
      <w:r>
        <w:rPr>
          <w:rFonts w:ascii="Arial" w:hAnsi="Arial" w:cs="Arial"/>
        </w:rPr>
        <w:t>Estrela C, Bueno M</w:t>
      </w:r>
      <w:r>
        <w:rPr>
          <w:rFonts w:ascii="Arial" w:hAnsi="Arial" w:cs="Arial"/>
          <w:lang w:val="pt-BR"/>
        </w:rPr>
        <w:t>.</w:t>
      </w:r>
      <w:r>
        <w:rPr>
          <w:rFonts w:ascii="Arial" w:hAnsi="Arial" w:cs="Arial"/>
        </w:rPr>
        <w:t xml:space="preserve"> </w:t>
      </w:r>
      <w:r w:rsidR="00E61693" w:rsidRPr="00E61693">
        <w:rPr>
          <w:rFonts w:ascii="Arial" w:hAnsi="Arial" w:cs="Arial"/>
        </w:rPr>
        <w:t>Endodontic Science</w:t>
      </w:r>
      <w:r>
        <w:rPr>
          <w:rFonts w:ascii="Arial" w:hAnsi="Arial" w:cs="Arial"/>
        </w:rPr>
        <w:t>.</w:t>
      </w:r>
      <w:r>
        <w:rPr>
          <w:rFonts w:ascii="Arial" w:hAnsi="Arial" w:cs="Arial"/>
          <w:lang w:val="pt-BR"/>
        </w:rPr>
        <w:t xml:space="preserve"> 2023;</w:t>
      </w:r>
      <w:r>
        <w:rPr>
          <w:rFonts w:ascii="Arial" w:hAnsi="Arial" w:cs="Arial"/>
        </w:rPr>
        <w:t xml:space="preserve"> Vol. 1. 3ª </w:t>
      </w:r>
      <w:proofErr w:type="spellStart"/>
      <w:r>
        <w:rPr>
          <w:rFonts w:ascii="Arial" w:hAnsi="Arial" w:cs="Arial"/>
        </w:rPr>
        <w:t>edição</w:t>
      </w:r>
      <w:proofErr w:type="spellEnd"/>
      <w:r>
        <w:rPr>
          <w:rFonts w:ascii="Arial" w:hAnsi="Arial" w:cs="Arial"/>
        </w:rPr>
        <w:t>.</w:t>
      </w:r>
      <w:r w:rsidR="00FC00FF">
        <w:rPr>
          <w:rFonts w:ascii="Arial" w:hAnsi="Arial" w:cs="Arial"/>
        </w:rPr>
        <w:t xml:space="preserve"> São Paulo, Artes </w:t>
      </w:r>
      <w:proofErr w:type="spellStart"/>
      <w:r w:rsidR="00FC00FF">
        <w:rPr>
          <w:rFonts w:ascii="Arial" w:hAnsi="Arial" w:cs="Arial"/>
        </w:rPr>
        <w:t>Médicas</w:t>
      </w:r>
      <w:proofErr w:type="spellEnd"/>
      <w:r w:rsidR="00FC00FF">
        <w:rPr>
          <w:rFonts w:ascii="Arial" w:hAnsi="Arial" w:cs="Arial"/>
        </w:rPr>
        <w:t xml:space="preserve">. </w:t>
      </w:r>
    </w:p>
    <w:sectPr w:rsidR="00687320">
      <w:headerReference w:type="even" r:id="rId9"/>
      <w:headerReference w:type="default" r:id="rId10"/>
      <w:headerReference w:type="first" r:id="rId11"/>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D201" w14:textId="77777777" w:rsidR="008B525C" w:rsidRDefault="008B525C">
      <w:r>
        <w:separator/>
      </w:r>
    </w:p>
  </w:endnote>
  <w:endnote w:type="continuationSeparator" w:id="0">
    <w:p w14:paraId="4D24581D" w14:textId="77777777" w:rsidR="008B525C" w:rsidRDefault="008B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utiger-LightCn">
    <w:altName w:val="Segoe Print"/>
    <w:charset w:val="00"/>
    <w:family w:val="auto"/>
    <w:pitch w:val="default"/>
    <w:sig w:usb0="00000000" w:usb1="00000000" w:usb2="00000000" w:usb3="00000000" w:csb0="0004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Helvetica">
    <w:panose1 w:val="020B0604020202020204"/>
    <w:charset w:val="00"/>
    <w:family w:val="swiss"/>
    <w:pitch w:val="default"/>
    <w:sig w:usb0="00000000" w:usb1="00000000"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20B3" w14:textId="77777777" w:rsidR="008B525C" w:rsidRDefault="008B525C">
      <w:r>
        <w:separator/>
      </w:r>
    </w:p>
  </w:footnote>
  <w:footnote w:type="continuationSeparator" w:id="0">
    <w:p w14:paraId="7C31D8A7" w14:textId="77777777" w:rsidR="008B525C" w:rsidRDefault="008B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1EE8" w14:textId="77777777" w:rsidR="00687320" w:rsidRDefault="00000000">
    <w:pPr>
      <w:pStyle w:val="Cabealho"/>
    </w:pPr>
    <w:r>
      <w:pict w14:anchorId="46CD4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7344" o:spid="_x0000_s1026" type="#_x0000_t136" style="position:absolute;margin-left:0;margin-top:0;width:492.7pt;height:92.3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3D5A" w14:textId="77777777" w:rsidR="00687320" w:rsidRDefault="00000000">
    <w:pPr>
      <w:pStyle w:val="HeaderFooter"/>
      <w:rPr>
        <w:rFonts w:hint="eastAsia"/>
      </w:rPr>
    </w:pPr>
    <w:r>
      <w:rPr>
        <w:rFonts w:hint="eastAsia"/>
      </w:rPr>
      <w:pict w14:anchorId="4C7C1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7345" o:spid="_x0000_s1027" type="#_x0000_t136" style="position:absolute;margin-left:0;margin-top:0;width:492.7pt;height:92.3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61BF" w14:textId="77777777" w:rsidR="00687320" w:rsidRDefault="00000000">
    <w:pPr>
      <w:pStyle w:val="Cabealho"/>
    </w:pPr>
    <w:r>
      <w:pict w14:anchorId="509CC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7343" o:spid="_x0000_s1025" type="#_x0000_t136" style="position:absolute;margin-left:0;margin-top:0;width:492.7pt;height:92.3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4AC451"/>
    <w:multiLevelType w:val="singleLevel"/>
    <w:tmpl w:val="7798A4E2"/>
    <w:lvl w:ilvl="0">
      <w:start w:val="1"/>
      <w:numFmt w:val="decimal"/>
      <w:suff w:val="space"/>
      <w:lvlText w:val="%1."/>
      <w:lvlJc w:val="left"/>
      <w:rPr>
        <w:sz w:val="20"/>
        <w:szCs w:val="20"/>
      </w:rPr>
    </w:lvl>
  </w:abstractNum>
  <w:abstractNum w:abstractNumId="1" w15:restartNumberingAfterBreak="0">
    <w:nsid w:val="253B7098"/>
    <w:multiLevelType w:val="multilevel"/>
    <w:tmpl w:val="8AA438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F7152E"/>
    <w:multiLevelType w:val="multilevel"/>
    <w:tmpl w:val="35F715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69387B"/>
    <w:multiLevelType w:val="multilevel"/>
    <w:tmpl w:val="7769387B"/>
    <w:lvl w:ilvl="0">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15702334">
    <w:abstractNumId w:val="2"/>
  </w:num>
  <w:num w:numId="2" w16cid:durableId="539321684">
    <w:abstractNumId w:val="3"/>
  </w:num>
  <w:num w:numId="3" w16cid:durableId="1136339199">
    <w:abstractNumId w:val="0"/>
  </w:num>
  <w:num w:numId="4" w16cid:durableId="208171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97"/>
    <w:rsid w:val="00031889"/>
    <w:rsid w:val="00047E70"/>
    <w:rsid w:val="00052284"/>
    <w:rsid w:val="000857AD"/>
    <w:rsid w:val="000A2872"/>
    <w:rsid w:val="000A3EB1"/>
    <w:rsid w:val="001029BA"/>
    <w:rsid w:val="001456A8"/>
    <w:rsid w:val="001470AF"/>
    <w:rsid w:val="00195816"/>
    <w:rsid w:val="001A6285"/>
    <w:rsid w:val="001B4600"/>
    <w:rsid w:val="001E21EC"/>
    <w:rsid w:val="00214D04"/>
    <w:rsid w:val="002C6862"/>
    <w:rsid w:val="002F233F"/>
    <w:rsid w:val="00333D23"/>
    <w:rsid w:val="00373BCB"/>
    <w:rsid w:val="00384C08"/>
    <w:rsid w:val="003A43A8"/>
    <w:rsid w:val="003D6D31"/>
    <w:rsid w:val="003E3B3C"/>
    <w:rsid w:val="00435879"/>
    <w:rsid w:val="00435B8D"/>
    <w:rsid w:val="00452297"/>
    <w:rsid w:val="00471E8A"/>
    <w:rsid w:val="004730E1"/>
    <w:rsid w:val="004E4BBE"/>
    <w:rsid w:val="00510D48"/>
    <w:rsid w:val="00513EF9"/>
    <w:rsid w:val="005C42E7"/>
    <w:rsid w:val="005E057D"/>
    <w:rsid w:val="005F694F"/>
    <w:rsid w:val="00635C91"/>
    <w:rsid w:val="00665552"/>
    <w:rsid w:val="00666CD3"/>
    <w:rsid w:val="00672A0B"/>
    <w:rsid w:val="006851CD"/>
    <w:rsid w:val="00687320"/>
    <w:rsid w:val="007E5670"/>
    <w:rsid w:val="007F10CE"/>
    <w:rsid w:val="008412CC"/>
    <w:rsid w:val="008B525C"/>
    <w:rsid w:val="009207E8"/>
    <w:rsid w:val="00942A6A"/>
    <w:rsid w:val="00987AEC"/>
    <w:rsid w:val="009E6657"/>
    <w:rsid w:val="009E735C"/>
    <w:rsid w:val="00A23C4B"/>
    <w:rsid w:val="00A26EA8"/>
    <w:rsid w:val="00A61005"/>
    <w:rsid w:val="00A7374A"/>
    <w:rsid w:val="00AA464B"/>
    <w:rsid w:val="00AD5781"/>
    <w:rsid w:val="00AE245B"/>
    <w:rsid w:val="00AE72D7"/>
    <w:rsid w:val="00AF2774"/>
    <w:rsid w:val="00B00DC7"/>
    <w:rsid w:val="00B13996"/>
    <w:rsid w:val="00B362B3"/>
    <w:rsid w:val="00B72060"/>
    <w:rsid w:val="00B7720A"/>
    <w:rsid w:val="00BA5605"/>
    <w:rsid w:val="00BC2A65"/>
    <w:rsid w:val="00C43BD0"/>
    <w:rsid w:val="00C545BD"/>
    <w:rsid w:val="00C96E6D"/>
    <w:rsid w:val="00CA31E5"/>
    <w:rsid w:val="00CA38D9"/>
    <w:rsid w:val="00CD12B3"/>
    <w:rsid w:val="00CD242C"/>
    <w:rsid w:val="00D04126"/>
    <w:rsid w:val="00D30EE6"/>
    <w:rsid w:val="00D353EB"/>
    <w:rsid w:val="00D8022B"/>
    <w:rsid w:val="00DB0084"/>
    <w:rsid w:val="00DB2587"/>
    <w:rsid w:val="00DE4C08"/>
    <w:rsid w:val="00E104BF"/>
    <w:rsid w:val="00E16870"/>
    <w:rsid w:val="00E61693"/>
    <w:rsid w:val="00EB4E2F"/>
    <w:rsid w:val="00EC7302"/>
    <w:rsid w:val="00EF3D4F"/>
    <w:rsid w:val="00F10BC9"/>
    <w:rsid w:val="00F23ABC"/>
    <w:rsid w:val="00F31F3D"/>
    <w:rsid w:val="00F35D6E"/>
    <w:rsid w:val="00F400CB"/>
    <w:rsid w:val="00F570E0"/>
    <w:rsid w:val="00FC00FF"/>
    <w:rsid w:val="00FE4EF4"/>
    <w:rsid w:val="00FE4F11"/>
    <w:rsid w:val="00FF53C8"/>
    <w:rsid w:val="055D6C15"/>
    <w:rsid w:val="39FF0638"/>
    <w:rsid w:val="5B2A0DF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41DB53"/>
  <w15:docId w15:val="{2ED440B1-DDA1-408E-82AD-0EB3B49C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Arial Unicode MS"/>
      <w:color w:val="000000"/>
      <w:u w:color="000000"/>
      <w:lang w:val="en-US"/>
    </w:rPr>
  </w:style>
  <w:style w:type="paragraph" w:styleId="Ttulo1">
    <w:name w:val="heading 1"/>
    <w:next w:val="Normal"/>
    <w:link w:val="Ttulo1Char"/>
    <w:uiPriority w:val="9"/>
    <w:qFormat/>
    <w:pPr>
      <w:keepNext/>
      <w:spacing w:before="240" w:after="60"/>
      <w:outlineLvl w:val="0"/>
    </w:pPr>
    <w:rPr>
      <w:rFonts w:ascii="Calibri" w:hAnsi="Calibri" w:cs="Arial Unicode MS"/>
      <w:b/>
      <w:bCs/>
      <w:color w:val="000000"/>
      <w:sz w:val="32"/>
      <w:szCs w:val="32"/>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basedOn w:val="Fontepargpadro"/>
    <w:rPr>
      <w:u w:val="single"/>
    </w:rPr>
  </w:style>
  <w:style w:type="paragraph" w:styleId="NormalWeb">
    <w:name w:val="Normal (Web)"/>
    <w:uiPriority w:val="99"/>
    <w:rPr>
      <w:rFonts w:ascii="Calibri" w:hAnsi="Calibri" w:cs="Arial Unicode MS"/>
      <w:color w:val="000000"/>
      <w:u w:color="000000"/>
      <w:lang w:val="en-US"/>
    </w:rPr>
  </w:style>
  <w:style w:type="paragraph" w:styleId="Pr-formatao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Arial Unicode MS"/>
      <w:color w:val="000000"/>
      <w:sz w:val="24"/>
      <w:szCs w:val="24"/>
      <w:u w:color="000000"/>
      <w:lang w:val="en-US"/>
    </w:rPr>
  </w:style>
  <w:style w:type="paragraph" w:styleId="Cabealho">
    <w:name w:val="header"/>
    <w:basedOn w:val="Normal"/>
    <w:link w:val="CabealhoChar"/>
    <w:uiPriority w:val="99"/>
    <w:unhideWhenUsed/>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table" w:customStyle="1" w:styleId="TableNormal1">
    <w:name w:val="Table Normal1"/>
    <w:tblPr>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text">
    <w:name w:val="bodytext"/>
    <w:basedOn w:val="Normal"/>
    <w:qFormat/>
    <w:pPr>
      <w:spacing w:before="100" w:beforeAutospacing="1" w:after="100" w:afterAutospacing="1"/>
    </w:pPr>
    <w:rPr>
      <w:rFonts w:ascii="Times New Roman" w:eastAsia="Times New Roman" w:hAnsi="Times New Roman" w:cs="Times New Roman"/>
      <w:color w:val="auto"/>
      <w:sz w:val="24"/>
      <w:szCs w:val="24"/>
      <w:lang w:val="pt-BR"/>
    </w:rPr>
  </w:style>
  <w:style w:type="paragraph" w:styleId="PargrafodaLista">
    <w:name w:val="List Paragraph"/>
    <w:basedOn w:val="Normal"/>
    <w:uiPriority w:val="34"/>
    <w:qFormat/>
    <w:pPr>
      <w:suppressAutoHyphens/>
      <w:ind w:left="720"/>
      <w:contextualSpacing/>
    </w:pPr>
    <w:rPr>
      <w:rFonts w:ascii="Times New Roman" w:eastAsia="Times New Roman" w:hAnsi="Times New Roman" w:cs="Times New Roman"/>
      <w:color w:val="auto"/>
      <w:sz w:val="24"/>
      <w:szCs w:val="24"/>
      <w:lang w:eastAsia="ar-SA"/>
    </w:rPr>
  </w:style>
  <w:style w:type="character" w:customStyle="1" w:styleId="Ttulo1Char">
    <w:name w:val="Título 1 Char"/>
    <w:basedOn w:val="Fontepargpadro"/>
    <w:link w:val="Ttulo1"/>
    <w:uiPriority w:val="9"/>
    <w:qFormat/>
    <w:rPr>
      <w:rFonts w:ascii="Calibri" w:hAnsi="Calibri" w:cs="Arial Unicode MS"/>
      <w:b/>
      <w:bCs/>
      <w:color w:val="000000"/>
      <w:sz w:val="32"/>
      <w:szCs w:val="32"/>
      <w:u w:color="000000"/>
      <w:lang w:val="pt-PT"/>
    </w:r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CabealhoChar">
    <w:name w:val="Cabeçalho Char"/>
    <w:basedOn w:val="Fontepargpadro"/>
    <w:link w:val="Cabealho"/>
    <w:uiPriority w:val="99"/>
    <w:rPr>
      <w:rFonts w:ascii="Calibri" w:hAnsi="Calibri" w:cs="Arial Unicode MS"/>
      <w:color w:val="000000"/>
      <w:u w:color="000000"/>
      <w:lang w:val="en-US"/>
    </w:rPr>
  </w:style>
  <w:style w:type="character" w:customStyle="1" w:styleId="RodapChar">
    <w:name w:val="Rodapé Char"/>
    <w:basedOn w:val="Fontepargpadro"/>
    <w:link w:val="Rodap"/>
    <w:uiPriority w:val="99"/>
    <w:rPr>
      <w:rFonts w:ascii="Calibri" w:hAnsi="Calibri"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06152">
      <w:bodyDiv w:val="1"/>
      <w:marLeft w:val="0"/>
      <w:marRight w:val="0"/>
      <w:marTop w:val="0"/>
      <w:marBottom w:val="0"/>
      <w:divBdr>
        <w:top w:val="none" w:sz="0" w:space="0" w:color="auto"/>
        <w:left w:val="none" w:sz="0" w:space="0" w:color="auto"/>
        <w:bottom w:val="none" w:sz="0" w:space="0" w:color="auto"/>
        <w:right w:val="none" w:sz="0" w:space="0" w:color="auto"/>
      </w:divBdr>
    </w:div>
    <w:div w:id="1600140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5232</Words>
  <Characters>28254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Joao Paulo de Arruda Amorim</cp:lastModifiedBy>
  <cp:revision>13</cp:revision>
  <dcterms:created xsi:type="dcterms:W3CDTF">2025-06-16T19:55:00Z</dcterms:created>
  <dcterms:modified xsi:type="dcterms:W3CDTF">2025-06-17T01:14:00Z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C15DA5E1D1FA43CFA456587280C8CEF0_12</vt:lpwstr>
  </property>
</Properties>
</file>