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365EE5" w14:textId="77777777" w:rsidR="00754C9A" w:rsidRDefault="00754C9A" w:rsidP="00441B6F">
      <w:pPr>
        <w:pStyle w:val="Title"/>
        <w:spacing w:after="0"/>
        <w:jc w:val="both"/>
        <w:rPr>
          <w:rFonts w:ascii="Arial" w:hAnsi="Arial" w:cs="Arial"/>
        </w:rPr>
      </w:pPr>
    </w:p>
    <w:p w14:paraId="558FEB15" w14:textId="48EB9DB8" w:rsidR="007F367C" w:rsidRPr="00790ADA" w:rsidRDefault="007F367C" w:rsidP="007F367C">
      <w:pPr>
        <w:pStyle w:val="Author"/>
        <w:spacing w:line="240" w:lineRule="auto"/>
        <w:rPr>
          <w:rFonts w:ascii="Arial" w:hAnsi="Arial" w:cs="Arial"/>
          <w:sz w:val="36"/>
        </w:rPr>
      </w:pPr>
      <w:r w:rsidRPr="00B70526">
        <w:rPr>
          <w:rFonts w:ascii="Arial" w:hAnsi="Arial" w:cs="Arial"/>
          <w:bCs/>
          <w:i/>
          <w:kern w:val="28"/>
          <w:sz w:val="36"/>
          <w:highlight w:val="yellow"/>
        </w:rPr>
        <w:t xml:space="preserve">In vitro </w:t>
      </w:r>
      <w:r w:rsidR="00FC4838">
        <w:rPr>
          <w:rFonts w:ascii="Arial" w:hAnsi="Arial" w:cs="Arial"/>
          <w:bCs/>
          <w:iCs/>
          <w:kern w:val="28"/>
          <w:sz w:val="36"/>
          <w:highlight w:val="yellow"/>
        </w:rPr>
        <w:t xml:space="preserve">evaluation of new </w:t>
      </w:r>
      <w:r w:rsidRPr="00B70526">
        <w:rPr>
          <w:rFonts w:ascii="Arial" w:hAnsi="Arial" w:cs="Arial"/>
          <w:bCs/>
          <w:iCs/>
          <w:kern w:val="28"/>
          <w:sz w:val="36"/>
          <w:highlight w:val="yellow"/>
        </w:rPr>
        <w:t xml:space="preserve">generation fungicides in the management of anthracnose of </w:t>
      </w:r>
      <w:proofErr w:type="spellStart"/>
      <w:r w:rsidRPr="00B70526">
        <w:rPr>
          <w:rFonts w:ascii="Arial" w:hAnsi="Arial" w:cs="Arial"/>
          <w:bCs/>
          <w:iCs/>
          <w:kern w:val="28"/>
          <w:sz w:val="36"/>
          <w:highlight w:val="yellow"/>
        </w:rPr>
        <w:t>mungbean</w:t>
      </w:r>
      <w:proofErr w:type="spellEnd"/>
      <w:r w:rsidRPr="00B70526">
        <w:rPr>
          <w:rFonts w:ascii="Arial" w:hAnsi="Arial" w:cs="Arial"/>
          <w:bCs/>
          <w:iCs/>
          <w:kern w:val="28"/>
          <w:sz w:val="36"/>
          <w:highlight w:val="yellow"/>
        </w:rPr>
        <w:t xml:space="preserve"> </w:t>
      </w:r>
      <w:r w:rsidRPr="00E0205C">
        <w:rPr>
          <w:rFonts w:ascii="Arial" w:hAnsi="Arial" w:cs="Arial"/>
          <w:bCs/>
          <w:iCs/>
          <w:kern w:val="28"/>
          <w:sz w:val="36"/>
          <w:highlight w:val="yellow"/>
        </w:rPr>
        <w:t>[</w:t>
      </w:r>
      <w:r w:rsidRPr="00B70526">
        <w:rPr>
          <w:rFonts w:ascii="Arial" w:hAnsi="Arial" w:cs="Arial"/>
          <w:bCs/>
          <w:i/>
          <w:kern w:val="28"/>
          <w:sz w:val="36"/>
          <w:highlight w:val="yellow"/>
        </w:rPr>
        <w:t xml:space="preserve">Vigna radiata </w:t>
      </w:r>
      <w:r w:rsidRPr="00B70526">
        <w:rPr>
          <w:rFonts w:ascii="Arial" w:hAnsi="Arial" w:cs="Arial"/>
          <w:bCs/>
          <w:iCs/>
          <w:kern w:val="28"/>
          <w:sz w:val="36"/>
          <w:highlight w:val="yellow"/>
        </w:rPr>
        <w:t>(L.)</w:t>
      </w:r>
      <w:r w:rsidRPr="00B70526">
        <w:rPr>
          <w:rFonts w:ascii="Arial" w:hAnsi="Arial" w:cs="Arial"/>
          <w:bCs/>
          <w:i/>
          <w:kern w:val="28"/>
          <w:sz w:val="36"/>
          <w:highlight w:val="yellow"/>
        </w:rPr>
        <w:t xml:space="preserve"> </w:t>
      </w:r>
      <w:r w:rsidRPr="00B70526">
        <w:rPr>
          <w:rFonts w:ascii="Arial" w:hAnsi="Arial" w:cs="Arial"/>
          <w:bCs/>
          <w:iCs/>
          <w:kern w:val="28"/>
          <w:sz w:val="36"/>
          <w:highlight w:val="yellow"/>
        </w:rPr>
        <w:t>Wilczek]</w:t>
      </w:r>
    </w:p>
    <w:p w14:paraId="0D3A7699" w14:textId="77777777" w:rsidR="007F367C" w:rsidRDefault="007F367C" w:rsidP="007F367C">
      <w:pPr>
        <w:pStyle w:val="Copyright"/>
        <w:spacing w:after="0" w:line="240" w:lineRule="auto"/>
        <w:jc w:val="both"/>
        <w:rPr>
          <w:rFonts w:ascii="Arial" w:hAnsi="Arial" w:cs="Arial"/>
        </w:rPr>
      </w:pPr>
    </w:p>
    <w:p w14:paraId="052D059E" w14:textId="77777777" w:rsidR="008135E5" w:rsidRPr="00790ADA" w:rsidRDefault="008135E5" w:rsidP="008135E5">
      <w:pPr>
        <w:pStyle w:val="Author"/>
        <w:spacing w:line="240" w:lineRule="auto"/>
        <w:rPr>
          <w:rFonts w:ascii="Arial" w:hAnsi="Arial" w:cs="Arial"/>
          <w:sz w:val="36"/>
        </w:rPr>
      </w:pPr>
    </w:p>
    <w:p w14:paraId="511A4857" w14:textId="77777777" w:rsidR="00536706" w:rsidRDefault="00536706" w:rsidP="00441B6F">
      <w:pPr>
        <w:pStyle w:val="Copyright"/>
        <w:spacing w:after="0" w:line="240" w:lineRule="auto"/>
        <w:jc w:val="both"/>
        <w:rPr>
          <w:rFonts w:ascii="Arial" w:hAnsi="Arial" w:cs="Arial"/>
        </w:rPr>
      </w:pPr>
    </w:p>
    <w:p w14:paraId="18919F9F" w14:textId="77777777" w:rsidR="00F40656" w:rsidRDefault="00F40656" w:rsidP="00441B6F">
      <w:pPr>
        <w:pStyle w:val="Copyright"/>
        <w:spacing w:after="0" w:line="240" w:lineRule="auto"/>
        <w:jc w:val="both"/>
        <w:rPr>
          <w:rFonts w:ascii="Arial" w:hAnsi="Arial" w:cs="Arial"/>
        </w:rPr>
      </w:pPr>
    </w:p>
    <w:p w14:paraId="5E1D17B8" w14:textId="77777777" w:rsidR="00F40656" w:rsidRPr="00FB3A86" w:rsidRDefault="00F40656" w:rsidP="00441B6F">
      <w:pPr>
        <w:pStyle w:val="Copyright"/>
        <w:spacing w:after="0" w:line="240" w:lineRule="auto"/>
        <w:jc w:val="both"/>
        <w:rPr>
          <w:rFonts w:ascii="Arial" w:hAnsi="Arial" w:cs="Arial"/>
        </w:rPr>
        <w:sectPr w:rsidR="00F40656" w:rsidRPr="00FB3A86" w:rsidSect="00F4065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1D23E3A2" w14:textId="154D10A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4E0860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F95D9B5" w14:textId="77777777" w:rsidTr="001E44FE">
        <w:tc>
          <w:tcPr>
            <w:tcW w:w="9576" w:type="dxa"/>
            <w:shd w:val="clear" w:color="auto" w:fill="F2F2F2"/>
          </w:tcPr>
          <w:p w14:paraId="4F11F94D" w14:textId="62A6DA52" w:rsidR="00505F06" w:rsidRPr="00BA1B01" w:rsidRDefault="00F87657" w:rsidP="00441B6F">
            <w:pPr>
              <w:pStyle w:val="Body"/>
              <w:spacing w:after="0"/>
              <w:rPr>
                <w:rFonts w:ascii="Arial" w:eastAsia="Calibri" w:hAnsi="Arial" w:cs="Arial"/>
                <w:szCs w:val="22"/>
              </w:rPr>
            </w:pPr>
            <w:r w:rsidRPr="00F87657">
              <w:rPr>
                <w:rFonts w:ascii="Arial" w:eastAsia="Calibri" w:hAnsi="Arial" w:cs="Arial"/>
                <w:szCs w:val="22"/>
              </w:rPr>
              <w:t xml:space="preserve">Biotic stress has been a major constraint in the cultivation for </w:t>
            </w:r>
            <w:proofErr w:type="spellStart"/>
            <w:r w:rsidRPr="00F87657">
              <w:rPr>
                <w:rFonts w:ascii="Arial" w:eastAsia="Calibri" w:hAnsi="Arial" w:cs="Arial"/>
                <w:szCs w:val="22"/>
              </w:rPr>
              <w:t>mungbean</w:t>
            </w:r>
            <w:proofErr w:type="spellEnd"/>
            <w:r w:rsidRPr="00F87657">
              <w:rPr>
                <w:rFonts w:ascii="Arial" w:eastAsia="Calibri" w:hAnsi="Arial" w:cs="Arial"/>
                <w:szCs w:val="22"/>
              </w:rPr>
              <w:t xml:space="preserve"> growers</w:t>
            </w:r>
            <w:r w:rsidR="003C19D7">
              <w:rPr>
                <w:rFonts w:ascii="Arial" w:eastAsia="Calibri" w:hAnsi="Arial" w:cs="Arial"/>
                <w:szCs w:val="22"/>
              </w:rPr>
              <w:t xml:space="preserve"> throughout these years</w:t>
            </w:r>
            <w:r w:rsidRPr="00F87657">
              <w:rPr>
                <w:rFonts w:ascii="Arial" w:eastAsia="Calibri" w:hAnsi="Arial" w:cs="Arial"/>
                <w:szCs w:val="22"/>
              </w:rPr>
              <w:t xml:space="preserve">. </w:t>
            </w:r>
            <w:r w:rsidR="00020B0F" w:rsidRPr="00F87657">
              <w:rPr>
                <w:rFonts w:ascii="Arial" w:eastAsia="Calibri" w:hAnsi="Arial" w:cs="Arial"/>
                <w:i/>
                <w:iCs/>
                <w:szCs w:val="22"/>
                <w:lang w:val="en-IN"/>
              </w:rPr>
              <w:t>Colletot</w:t>
            </w:r>
            <w:r w:rsidR="00020B0F" w:rsidRPr="000C641B">
              <w:rPr>
                <w:rFonts w:ascii="Arial" w:eastAsia="Calibri" w:hAnsi="Arial" w:cs="Arial"/>
                <w:i/>
                <w:iCs/>
                <w:szCs w:val="22"/>
                <w:lang w:val="en-IN"/>
              </w:rPr>
              <w:t>richum</w:t>
            </w:r>
            <w:r w:rsidR="000A490A">
              <w:rPr>
                <w:rFonts w:ascii="Arial" w:eastAsia="Calibri" w:hAnsi="Arial" w:cs="Arial"/>
                <w:i/>
                <w:iCs/>
                <w:szCs w:val="22"/>
                <w:lang w:val="en-IN"/>
              </w:rPr>
              <w:t xml:space="preserve"> </w:t>
            </w:r>
            <w:r w:rsidR="00020B0F" w:rsidRPr="009F4598">
              <w:rPr>
                <w:rFonts w:ascii="Arial" w:eastAsia="Aptos" w:hAnsi="Arial" w:cs="Arial"/>
                <w:kern w:val="2"/>
                <w:lang w:val="en-IN"/>
              </w:rPr>
              <w:t>species complex</w:t>
            </w:r>
            <w:r w:rsidR="000C641B">
              <w:rPr>
                <w:rFonts w:ascii="Arial" w:eastAsia="Aptos" w:hAnsi="Arial" w:cs="Arial"/>
                <w:kern w:val="2"/>
                <w:lang w:val="en-IN"/>
              </w:rPr>
              <w:t xml:space="preserve">, </w:t>
            </w:r>
            <w:r w:rsidR="00020B0F" w:rsidRPr="00020B0F">
              <w:rPr>
                <w:rFonts w:ascii="Arial" w:eastAsia="Calibri" w:hAnsi="Arial" w:cs="Arial"/>
                <w:szCs w:val="22"/>
                <w:lang w:val="en-IN"/>
              </w:rPr>
              <w:t xml:space="preserve">the causative agent of </w:t>
            </w:r>
            <w:r w:rsidR="00020B0F">
              <w:rPr>
                <w:rFonts w:ascii="Arial" w:eastAsia="Calibri" w:hAnsi="Arial" w:cs="Arial"/>
                <w:szCs w:val="22"/>
                <w:lang w:val="en-IN"/>
              </w:rPr>
              <w:t xml:space="preserve">anthracnose in </w:t>
            </w:r>
            <w:proofErr w:type="spellStart"/>
            <w:r w:rsidR="00020B0F">
              <w:rPr>
                <w:rFonts w:ascii="Arial" w:eastAsia="Calibri" w:hAnsi="Arial" w:cs="Arial"/>
                <w:szCs w:val="22"/>
                <w:lang w:val="en-IN"/>
              </w:rPr>
              <w:t>mungbean</w:t>
            </w:r>
            <w:proofErr w:type="spellEnd"/>
            <w:r w:rsidR="00020B0F">
              <w:rPr>
                <w:rFonts w:ascii="Arial" w:eastAsia="Calibri" w:hAnsi="Arial" w:cs="Arial"/>
                <w:szCs w:val="22"/>
                <w:lang w:val="en-IN"/>
              </w:rPr>
              <w:t xml:space="preserve">, </w:t>
            </w:r>
            <w:r w:rsidR="000C641B">
              <w:rPr>
                <w:rFonts w:ascii="Arial" w:eastAsia="Calibri" w:hAnsi="Arial" w:cs="Arial"/>
                <w:szCs w:val="22"/>
                <w:lang w:val="en-IN"/>
              </w:rPr>
              <w:t>results in</w:t>
            </w:r>
            <w:r w:rsidR="00020B0F">
              <w:rPr>
                <w:rFonts w:ascii="Arial" w:eastAsia="Calibri" w:hAnsi="Arial" w:cs="Arial"/>
                <w:szCs w:val="22"/>
                <w:lang w:val="en-IN"/>
              </w:rPr>
              <w:t xml:space="preserve"> severe yield loss mainly in Asia, </w:t>
            </w:r>
            <w:r w:rsidR="00020B0F" w:rsidRPr="009F4598">
              <w:rPr>
                <w:rFonts w:ascii="Arial" w:eastAsia="Aptos" w:hAnsi="Arial" w:cs="Arial"/>
                <w:kern w:val="2"/>
                <w:lang w:val="en-IN"/>
              </w:rPr>
              <w:t>South America, Australi</w:t>
            </w:r>
            <w:r w:rsidR="00553013">
              <w:rPr>
                <w:rFonts w:ascii="Arial" w:eastAsia="Aptos" w:hAnsi="Arial" w:cs="Arial"/>
                <w:kern w:val="2"/>
                <w:lang w:val="en-IN"/>
              </w:rPr>
              <w:t>a</w:t>
            </w:r>
            <w:r w:rsidR="00020B0F" w:rsidRPr="009F4598">
              <w:rPr>
                <w:rFonts w:ascii="Arial" w:eastAsia="Aptos" w:hAnsi="Arial" w:cs="Arial"/>
                <w:kern w:val="2"/>
                <w:lang w:val="en-IN"/>
              </w:rPr>
              <w:t xml:space="preserve"> and Sub-Saharan Africa</w:t>
            </w:r>
            <w:r w:rsidR="00020B0F">
              <w:rPr>
                <w:rFonts w:ascii="Arial" w:eastAsia="Aptos" w:hAnsi="Arial" w:cs="Arial"/>
                <w:kern w:val="2"/>
                <w:lang w:val="en-IN"/>
              </w:rPr>
              <w:t xml:space="preserve">. </w:t>
            </w:r>
            <w:r w:rsidR="000C641B" w:rsidRPr="000C641B">
              <w:rPr>
                <w:rFonts w:ascii="Arial" w:eastAsia="Aptos" w:hAnsi="Arial" w:cs="Arial"/>
                <w:kern w:val="2"/>
                <w:lang w:val="en-IN"/>
              </w:rPr>
              <w:t xml:space="preserve">To address this issue, a methodical </w:t>
            </w:r>
            <w:r>
              <w:rPr>
                <w:rFonts w:ascii="Arial" w:eastAsia="Aptos" w:hAnsi="Arial" w:cs="Arial"/>
                <w:kern w:val="2"/>
                <w:lang w:val="en-IN"/>
              </w:rPr>
              <w:t xml:space="preserve">survey </w:t>
            </w:r>
            <w:r w:rsidR="000C641B" w:rsidRPr="000C641B">
              <w:rPr>
                <w:rFonts w:ascii="Arial" w:eastAsia="Aptos" w:hAnsi="Arial" w:cs="Arial"/>
                <w:kern w:val="2"/>
                <w:lang w:val="en-IN"/>
              </w:rPr>
              <w:t xml:space="preserve">was carried out </w:t>
            </w:r>
            <w:r>
              <w:rPr>
                <w:rFonts w:ascii="Arial" w:eastAsia="Aptos" w:hAnsi="Arial" w:cs="Arial"/>
                <w:kern w:val="2"/>
                <w:lang w:val="en-IN"/>
              </w:rPr>
              <w:t xml:space="preserve">in major </w:t>
            </w:r>
            <w:proofErr w:type="spellStart"/>
            <w:r>
              <w:rPr>
                <w:rFonts w:ascii="Arial" w:eastAsia="Aptos" w:hAnsi="Arial" w:cs="Arial"/>
                <w:kern w:val="2"/>
                <w:lang w:val="en-IN"/>
              </w:rPr>
              <w:t>mungbean</w:t>
            </w:r>
            <w:proofErr w:type="spellEnd"/>
            <w:r>
              <w:rPr>
                <w:rFonts w:ascii="Arial" w:eastAsia="Aptos" w:hAnsi="Arial" w:cs="Arial"/>
                <w:kern w:val="2"/>
                <w:lang w:val="en-IN"/>
              </w:rPr>
              <w:t xml:space="preserve"> growing parts in </w:t>
            </w:r>
            <w:r w:rsidR="000C641B" w:rsidRPr="000C641B">
              <w:rPr>
                <w:rFonts w:ascii="Arial" w:eastAsia="Aptos" w:hAnsi="Arial" w:cs="Arial"/>
                <w:kern w:val="2"/>
                <w:lang w:val="en-IN"/>
              </w:rPr>
              <w:t>Karnataka in 202</w:t>
            </w:r>
            <w:r w:rsidR="000C641B">
              <w:rPr>
                <w:rFonts w:ascii="Arial" w:eastAsia="Aptos" w:hAnsi="Arial" w:cs="Arial"/>
                <w:kern w:val="2"/>
                <w:lang w:val="en-IN"/>
              </w:rPr>
              <w:t xml:space="preserve">3 to </w:t>
            </w:r>
            <w:r w:rsidR="000C641B" w:rsidRPr="000C641B">
              <w:rPr>
                <w:rFonts w:ascii="Arial" w:eastAsia="Aptos" w:hAnsi="Arial" w:cs="Arial"/>
                <w:kern w:val="2"/>
                <w:lang w:val="en-IN"/>
              </w:rPr>
              <w:t>202</w:t>
            </w:r>
            <w:r w:rsidR="000C641B">
              <w:rPr>
                <w:rFonts w:ascii="Arial" w:eastAsia="Aptos" w:hAnsi="Arial" w:cs="Arial"/>
                <w:kern w:val="2"/>
                <w:lang w:val="en-IN"/>
              </w:rPr>
              <w:t>4</w:t>
            </w:r>
            <w:r w:rsidR="000C641B" w:rsidRPr="000C641B">
              <w:rPr>
                <w:rFonts w:ascii="Arial" w:eastAsia="Aptos" w:hAnsi="Arial" w:cs="Arial"/>
                <w:kern w:val="2"/>
                <w:lang w:val="en-IN"/>
              </w:rPr>
              <w:t>.</w:t>
            </w:r>
            <w:r w:rsidR="000C641B">
              <w:rPr>
                <w:rFonts w:ascii="Arial" w:eastAsia="Aptos" w:hAnsi="Arial" w:cs="Arial"/>
                <w:kern w:val="2"/>
                <w:lang w:val="en-IN"/>
              </w:rPr>
              <w:t xml:space="preserve"> In the current study, </w:t>
            </w:r>
            <w:r w:rsidR="000C641B">
              <w:rPr>
                <w:rFonts w:ascii="Arial" w:eastAsia="Calibri" w:hAnsi="Arial" w:cs="Arial"/>
                <w:szCs w:val="22"/>
              </w:rPr>
              <w:t>new generation fungicides such as triazoles, strobilurins and combinations</w:t>
            </w:r>
            <w:r w:rsidR="003C19D7">
              <w:rPr>
                <w:rFonts w:ascii="Arial" w:eastAsia="Calibri" w:hAnsi="Arial" w:cs="Arial"/>
                <w:szCs w:val="22"/>
              </w:rPr>
              <w:t>,</w:t>
            </w:r>
            <w:r w:rsidR="000C641B">
              <w:rPr>
                <w:rFonts w:ascii="Arial" w:eastAsia="Calibri" w:hAnsi="Arial" w:cs="Arial"/>
                <w:szCs w:val="22"/>
              </w:rPr>
              <w:t xml:space="preserve"> at three concentrations </w:t>
            </w:r>
            <w:r w:rsidR="000C641B">
              <w:rPr>
                <w:rFonts w:ascii="Arial" w:eastAsia="Calibri" w:hAnsi="Arial" w:cs="Arial"/>
                <w:i/>
                <w:iCs/>
                <w:szCs w:val="22"/>
              </w:rPr>
              <w:t xml:space="preserve">viz., </w:t>
            </w:r>
            <w:r w:rsidR="000C641B">
              <w:rPr>
                <w:rFonts w:ascii="Arial" w:eastAsia="Calibri" w:hAnsi="Arial" w:cs="Arial"/>
                <w:szCs w:val="22"/>
              </w:rPr>
              <w:t xml:space="preserve">0.10, 0.15 and 0.20 per cent were evaluated </w:t>
            </w:r>
            <w:r w:rsidR="000C641B">
              <w:rPr>
                <w:rFonts w:ascii="Arial" w:eastAsia="Calibri" w:hAnsi="Arial" w:cs="Arial"/>
                <w:i/>
                <w:iCs/>
                <w:szCs w:val="22"/>
              </w:rPr>
              <w:t>in vitro</w:t>
            </w:r>
            <w:r w:rsidR="000C641B">
              <w:rPr>
                <w:rFonts w:ascii="Arial" w:eastAsia="Calibri" w:hAnsi="Arial" w:cs="Arial"/>
                <w:szCs w:val="22"/>
              </w:rPr>
              <w:t xml:space="preserve"> to test the efficacy against the pathogen</w:t>
            </w:r>
            <w:r>
              <w:rPr>
                <w:rFonts w:ascii="Arial" w:eastAsia="Calibri" w:hAnsi="Arial" w:cs="Arial"/>
                <w:szCs w:val="22"/>
              </w:rPr>
              <w:t xml:space="preserve"> using poison food technique. Among the eight fungicides tested, </w:t>
            </w:r>
            <w:r w:rsidRPr="002B3FDB">
              <w:rPr>
                <w:rFonts w:ascii="Arial" w:eastAsia="Aptos" w:hAnsi="Arial" w:cs="Arial"/>
                <w:kern w:val="2"/>
                <w:lang w:val="en-IN"/>
              </w:rPr>
              <w:t>Propiconazole 25% EC</w:t>
            </w:r>
            <w:r>
              <w:rPr>
                <w:rFonts w:ascii="Arial" w:eastAsia="Aptos" w:hAnsi="Arial" w:cs="Arial"/>
                <w:kern w:val="2"/>
                <w:lang w:val="en-IN"/>
              </w:rPr>
              <w:t>,</w:t>
            </w:r>
            <w:r w:rsidRPr="002B3FDB">
              <w:rPr>
                <w:rFonts w:ascii="Arial" w:eastAsia="Aptos" w:hAnsi="Arial" w:cs="Arial"/>
                <w:kern w:val="2"/>
                <w:lang w:val="en-IN"/>
              </w:rPr>
              <w:t xml:space="preserve"> Carbendazim 12% + Mancozeb 63% WP, Tebuconazole 50% + </w:t>
            </w:r>
            <w:proofErr w:type="spellStart"/>
            <w:r w:rsidRPr="002B3FDB">
              <w:rPr>
                <w:rFonts w:ascii="Arial" w:eastAsia="Aptos" w:hAnsi="Arial" w:cs="Arial"/>
                <w:kern w:val="2"/>
                <w:lang w:val="en-IN"/>
              </w:rPr>
              <w:t>Trifloxystrobin</w:t>
            </w:r>
            <w:proofErr w:type="spellEnd"/>
            <w:r w:rsidRPr="002B3FDB">
              <w:rPr>
                <w:rFonts w:ascii="Arial" w:eastAsia="Aptos" w:hAnsi="Arial" w:cs="Arial"/>
                <w:kern w:val="2"/>
                <w:lang w:val="en-IN"/>
              </w:rPr>
              <w:t xml:space="preserve"> 25% WG and Tricyclazole 18 % + Mancozeb 62 % WP</w:t>
            </w:r>
            <w:r>
              <w:rPr>
                <w:rFonts w:ascii="Arial" w:eastAsia="Aptos" w:hAnsi="Arial" w:cs="Arial"/>
                <w:kern w:val="2"/>
                <w:lang w:val="en-IN"/>
              </w:rPr>
              <w:t xml:space="preserve"> showed cent per cent inhibition in the pathogen mycelium growth at all three </w:t>
            </w:r>
            <w:r w:rsidR="003C19D7">
              <w:rPr>
                <w:rFonts w:ascii="Arial" w:eastAsia="Aptos" w:hAnsi="Arial" w:cs="Arial"/>
                <w:kern w:val="2"/>
                <w:lang w:val="en-IN"/>
              </w:rPr>
              <w:t>concentrations</w:t>
            </w:r>
            <w:r>
              <w:rPr>
                <w:rFonts w:ascii="Arial" w:eastAsia="Aptos" w:hAnsi="Arial" w:cs="Arial"/>
                <w:kern w:val="2"/>
                <w:lang w:val="en-IN"/>
              </w:rPr>
              <w:t>.</w:t>
            </w:r>
            <w:r w:rsidR="003C19D7">
              <w:rPr>
                <w:rFonts w:ascii="Arial" w:eastAsia="Aptos" w:hAnsi="Arial" w:cs="Arial"/>
                <w:kern w:val="2"/>
                <w:lang w:val="en-IN"/>
              </w:rPr>
              <w:t xml:space="preserve"> </w:t>
            </w:r>
            <w:r w:rsidR="003C19D7" w:rsidRPr="002B3FDB">
              <w:rPr>
                <w:rFonts w:ascii="Arial" w:hAnsi="Arial" w:cs="Arial"/>
              </w:rPr>
              <w:t xml:space="preserve">Fluxapyroxad 21.26 % + </w:t>
            </w:r>
            <w:proofErr w:type="spellStart"/>
            <w:r w:rsidR="003C19D7" w:rsidRPr="002B3FDB">
              <w:rPr>
                <w:rFonts w:ascii="Arial" w:hAnsi="Arial" w:cs="Arial"/>
              </w:rPr>
              <w:t>Pyraclostrobin</w:t>
            </w:r>
            <w:proofErr w:type="spellEnd"/>
            <w:r w:rsidR="003C19D7" w:rsidRPr="002B3FDB">
              <w:rPr>
                <w:rFonts w:ascii="Arial" w:hAnsi="Arial" w:cs="Arial"/>
              </w:rPr>
              <w:t xml:space="preserve"> 21.26 % SC</w:t>
            </w:r>
            <w:r>
              <w:rPr>
                <w:rFonts w:ascii="Arial" w:eastAsia="Aptos" w:hAnsi="Arial" w:cs="Arial"/>
                <w:kern w:val="2"/>
                <w:lang w:val="en-IN"/>
              </w:rPr>
              <w:t xml:space="preserve"> </w:t>
            </w:r>
            <w:r w:rsidR="003C19D7">
              <w:rPr>
                <w:rFonts w:ascii="Arial" w:eastAsia="Aptos" w:hAnsi="Arial" w:cs="Arial"/>
                <w:kern w:val="2"/>
                <w:lang w:val="en-IN"/>
              </w:rPr>
              <w:t xml:space="preserve">showed cent per cent inhibition at 0.15 and 0.20 per cent concentration. </w:t>
            </w:r>
            <w:r>
              <w:rPr>
                <w:rFonts w:ascii="Arial" w:eastAsia="Aptos" w:hAnsi="Arial" w:cs="Arial"/>
                <w:kern w:val="2"/>
                <w:lang w:val="en-IN"/>
              </w:rPr>
              <w:t xml:space="preserve">The least efficacy was showed by </w:t>
            </w:r>
            <w:r w:rsidRPr="002B3FDB">
              <w:rPr>
                <w:rFonts w:ascii="Arial" w:hAnsi="Arial" w:cs="Arial"/>
              </w:rPr>
              <w:t>Azoxystrobin 23% SC</w:t>
            </w:r>
            <w:r>
              <w:rPr>
                <w:rFonts w:ascii="Arial" w:hAnsi="Arial" w:cs="Arial"/>
              </w:rPr>
              <w:t xml:space="preserve"> with 49.75 per cent mean inhibition. </w:t>
            </w:r>
            <w:r w:rsidR="00085991" w:rsidRPr="00062194">
              <w:rPr>
                <w:rFonts w:ascii="Arial" w:eastAsia="Aptos" w:hAnsi="Arial" w:cs="Arial"/>
                <w:kern w:val="2"/>
                <w:lang w:val="en-IN"/>
              </w:rPr>
              <w:t xml:space="preserve">However, </w:t>
            </w:r>
            <w:r w:rsidR="000C641B">
              <w:rPr>
                <w:rFonts w:ascii="Arial" w:eastAsia="Aptos" w:hAnsi="Arial" w:cs="Arial"/>
                <w:kern w:val="2"/>
                <w:lang w:val="en-IN"/>
              </w:rPr>
              <w:t>t</w:t>
            </w:r>
            <w:r w:rsidR="00085991">
              <w:rPr>
                <w:rFonts w:ascii="Arial" w:eastAsia="Aptos" w:hAnsi="Arial" w:cs="Arial"/>
                <w:kern w:val="2"/>
                <w:lang w:val="en-IN"/>
              </w:rPr>
              <w:t>he</w:t>
            </w:r>
            <w:r w:rsidR="00085991" w:rsidRPr="00062194">
              <w:rPr>
                <w:rFonts w:ascii="Arial" w:eastAsia="Aptos" w:hAnsi="Arial" w:cs="Arial"/>
                <w:kern w:val="2"/>
                <w:lang w:val="en-IN"/>
              </w:rPr>
              <w:t xml:space="preserve"> targeted mechanism of action</w:t>
            </w:r>
            <w:r w:rsidR="00085991">
              <w:rPr>
                <w:rFonts w:ascii="Arial" w:eastAsia="Aptos" w:hAnsi="Arial" w:cs="Arial"/>
                <w:kern w:val="2"/>
                <w:lang w:val="en-IN"/>
              </w:rPr>
              <w:t xml:space="preserve"> in case of single systemic fungicides</w:t>
            </w:r>
            <w:r w:rsidR="00F17836">
              <w:rPr>
                <w:rFonts w:ascii="Arial" w:eastAsia="Aptos" w:hAnsi="Arial" w:cs="Arial"/>
                <w:kern w:val="2"/>
                <w:lang w:val="en-IN"/>
              </w:rPr>
              <w:t xml:space="preserve"> </w:t>
            </w:r>
            <w:r w:rsidR="00085991" w:rsidRPr="00062194">
              <w:rPr>
                <w:rFonts w:ascii="Arial" w:eastAsia="Aptos" w:hAnsi="Arial" w:cs="Arial"/>
                <w:kern w:val="2"/>
                <w:lang w:val="en-IN"/>
              </w:rPr>
              <w:t>increases the likelihood of resistance evolution in pathogen populations</w:t>
            </w:r>
            <w:r w:rsidR="00085991">
              <w:rPr>
                <w:rFonts w:ascii="Arial" w:eastAsia="Aptos" w:hAnsi="Arial" w:cs="Arial"/>
                <w:kern w:val="2"/>
                <w:lang w:val="en-IN"/>
              </w:rPr>
              <w:t xml:space="preserve"> by mutations and adaptive selection</w:t>
            </w:r>
            <w:r w:rsidR="00085991" w:rsidRPr="00062194">
              <w:rPr>
                <w:rFonts w:ascii="Arial" w:eastAsia="Aptos" w:hAnsi="Arial" w:cs="Arial"/>
                <w:kern w:val="2"/>
                <w:lang w:val="en-IN"/>
              </w:rPr>
              <w:t>.</w:t>
            </w:r>
            <w:r w:rsidR="00085991">
              <w:rPr>
                <w:rFonts w:ascii="Arial" w:eastAsia="Aptos" w:hAnsi="Arial" w:cs="Arial"/>
                <w:kern w:val="2"/>
                <w:lang w:val="en-IN"/>
              </w:rPr>
              <w:t xml:space="preserve"> The c</w:t>
            </w:r>
            <w:r w:rsidR="00085991" w:rsidRPr="00062194">
              <w:rPr>
                <w:rFonts w:ascii="Arial" w:eastAsia="Aptos" w:hAnsi="Arial" w:cs="Arial"/>
                <w:kern w:val="2"/>
                <w:lang w:val="en-IN"/>
              </w:rPr>
              <w:t>ombination fungicides will offer more effective control by targeting multiple biochemical pathways in the pathogen.</w:t>
            </w:r>
            <w:r w:rsidR="003C19D7">
              <w:rPr>
                <w:rFonts w:ascii="Arial" w:eastAsia="Aptos" w:hAnsi="Arial" w:cs="Arial"/>
                <w:kern w:val="2"/>
                <w:lang w:val="en-IN"/>
              </w:rPr>
              <w:t xml:space="preserve"> Hence, it will be better for farmers to adopt combination fungicides such as </w:t>
            </w:r>
            <w:r w:rsidR="003C19D7" w:rsidRPr="002B3FDB">
              <w:rPr>
                <w:rFonts w:ascii="Arial" w:eastAsia="Aptos" w:hAnsi="Arial" w:cs="Arial"/>
                <w:kern w:val="2"/>
                <w:lang w:val="en-IN"/>
              </w:rPr>
              <w:t xml:space="preserve">Carbendazim 12% + Mancozeb 63% WP, Tebuconazole 50% + </w:t>
            </w:r>
            <w:proofErr w:type="spellStart"/>
            <w:r w:rsidR="003C19D7" w:rsidRPr="002B3FDB">
              <w:rPr>
                <w:rFonts w:ascii="Arial" w:eastAsia="Aptos" w:hAnsi="Arial" w:cs="Arial"/>
                <w:kern w:val="2"/>
                <w:lang w:val="en-IN"/>
              </w:rPr>
              <w:t>Trifloxystrobin</w:t>
            </w:r>
            <w:proofErr w:type="spellEnd"/>
            <w:r w:rsidR="003C19D7" w:rsidRPr="002B3FDB">
              <w:rPr>
                <w:rFonts w:ascii="Arial" w:eastAsia="Aptos" w:hAnsi="Arial" w:cs="Arial"/>
                <w:kern w:val="2"/>
                <w:lang w:val="en-IN"/>
              </w:rPr>
              <w:t xml:space="preserve"> 25% WG and Tricyclazole 18 % + Mancozeb 62 % WP</w:t>
            </w:r>
            <w:r w:rsidR="003C19D7">
              <w:rPr>
                <w:rFonts w:ascii="Arial" w:eastAsia="Aptos" w:hAnsi="Arial" w:cs="Arial"/>
                <w:kern w:val="2"/>
                <w:lang w:val="en-IN"/>
              </w:rPr>
              <w:t xml:space="preserve"> which showed cent per cent inhibition in this study. </w:t>
            </w:r>
            <w:r w:rsidR="003C19D7" w:rsidRPr="003C19D7">
              <w:rPr>
                <w:rFonts w:ascii="Arial" w:eastAsia="Aptos" w:hAnsi="Arial" w:cs="Arial"/>
                <w:kern w:val="2"/>
                <w:lang w:val="en-IN"/>
              </w:rPr>
              <w:t xml:space="preserve">Their dual mode of action, which not only improves </w:t>
            </w:r>
            <w:r w:rsidR="003C19D7">
              <w:rPr>
                <w:rFonts w:ascii="Arial" w:eastAsia="Aptos" w:hAnsi="Arial" w:cs="Arial"/>
                <w:kern w:val="2"/>
                <w:lang w:val="en-IN"/>
              </w:rPr>
              <w:t>disease</w:t>
            </w:r>
            <w:r w:rsidR="003C19D7" w:rsidRPr="003C19D7">
              <w:rPr>
                <w:rFonts w:ascii="Arial" w:eastAsia="Aptos" w:hAnsi="Arial" w:cs="Arial"/>
                <w:kern w:val="2"/>
                <w:lang w:val="en-IN"/>
              </w:rPr>
              <w:t xml:space="preserve"> suppression but also reduces the likelihood of resistance development, makes them a more reliable and effective option for long-term disease</w:t>
            </w:r>
            <w:r w:rsidR="003C19D7">
              <w:rPr>
                <w:rFonts w:ascii="Arial" w:eastAsia="Aptos" w:hAnsi="Arial" w:cs="Arial"/>
                <w:kern w:val="2"/>
                <w:lang w:val="en-IN"/>
              </w:rPr>
              <w:t xml:space="preserve"> management</w:t>
            </w:r>
            <w:r w:rsidR="003C19D7" w:rsidRPr="003C19D7">
              <w:rPr>
                <w:rFonts w:ascii="Arial" w:eastAsia="Aptos" w:hAnsi="Arial" w:cs="Arial"/>
                <w:kern w:val="2"/>
                <w:lang w:val="en-IN"/>
              </w:rPr>
              <w:t xml:space="preserve">. </w:t>
            </w:r>
          </w:p>
        </w:tc>
      </w:tr>
    </w:tbl>
    <w:p w14:paraId="32CDF3AF" w14:textId="77777777" w:rsidR="00636EB2" w:rsidRDefault="00636EB2" w:rsidP="00441B6F">
      <w:pPr>
        <w:pStyle w:val="Body"/>
        <w:spacing w:after="0"/>
        <w:rPr>
          <w:rFonts w:ascii="Arial" w:hAnsi="Arial" w:cs="Arial"/>
          <w:i/>
        </w:rPr>
      </w:pPr>
    </w:p>
    <w:p w14:paraId="51EDBE8F" w14:textId="15A41A7D" w:rsidR="007F367C" w:rsidRDefault="007F367C" w:rsidP="007F367C">
      <w:pPr>
        <w:pStyle w:val="Body"/>
        <w:spacing w:after="0"/>
        <w:rPr>
          <w:rFonts w:ascii="Arial" w:hAnsi="Arial" w:cs="Arial"/>
          <w:i/>
        </w:rPr>
      </w:pPr>
      <w:r w:rsidRPr="00B70526">
        <w:rPr>
          <w:rFonts w:ascii="Arial" w:hAnsi="Arial" w:cs="Arial"/>
          <w:i/>
          <w:highlight w:val="yellow"/>
        </w:rPr>
        <w:t xml:space="preserve">Keywords: Anthracnose; Colletotrichum </w:t>
      </w:r>
      <w:r w:rsidRPr="00B70526">
        <w:rPr>
          <w:rFonts w:ascii="Arial" w:hAnsi="Arial" w:cs="Arial"/>
          <w:iCs/>
          <w:highlight w:val="yellow"/>
        </w:rPr>
        <w:t>spp.</w:t>
      </w:r>
      <w:r w:rsidRPr="00B70526">
        <w:rPr>
          <w:rFonts w:ascii="Arial" w:hAnsi="Arial" w:cs="Arial"/>
          <w:i/>
          <w:highlight w:val="yellow"/>
        </w:rPr>
        <w:t xml:space="preserve">; triazoles; strobilurins; inhibition; </w:t>
      </w:r>
    </w:p>
    <w:p w14:paraId="28B459EE" w14:textId="77777777" w:rsidR="007F367C" w:rsidRDefault="007F367C" w:rsidP="007F367C">
      <w:pPr>
        <w:pStyle w:val="Body"/>
        <w:spacing w:after="0"/>
        <w:rPr>
          <w:rFonts w:ascii="Arial" w:hAnsi="Arial" w:cs="Arial"/>
          <w:i/>
          <w:sz w:val="18"/>
        </w:rPr>
      </w:pPr>
    </w:p>
    <w:p w14:paraId="2D212E65" w14:textId="77777777" w:rsidR="00505F06" w:rsidRPr="00A24E7E" w:rsidRDefault="00505F06" w:rsidP="00441B6F">
      <w:pPr>
        <w:pStyle w:val="Body"/>
        <w:spacing w:after="0"/>
        <w:rPr>
          <w:rFonts w:ascii="Arial" w:hAnsi="Arial" w:cs="Arial"/>
          <w:i/>
        </w:rPr>
      </w:pPr>
    </w:p>
    <w:p w14:paraId="6CFD90CF" w14:textId="2D8966BE"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6A95746" w14:textId="77777777" w:rsidR="00790ADA" w:rsidRPr="00FB3A86" w:rsidRDefault="00790ADA" w:rsidP="00441B6F">
      <w:pPr>
        <w:pStyle w:val="AbstHead"/>
        <w:spacing w:after="0"/>
        <w:jc w:val="both"/>
        <w:rPr>
          <w:rFonts w:ascii="Arial" w:hAnsi="Arial" w:cs="Arial"/>
        </w:rPr>
      </w:pPr>
    </w:p>
    <w:p w14:paraId="326C0E8A" w14:textId="3285A7C5" w:rsidR="00E70278" w:rsidRDefault="009F4598" w:rsidP="009F4598">
      <w:pPr>
        <w:spacing w:after="160"/>
        <w:jc w:val="both"/>
        <w:rPr>
          <w:rFonts w:ascii="Arial" w:eastAsia="Aptos" w:hAnsi="Arial" w:cs="Arial"/>
          <w:kern w:val="2"/>
          <w:lang w:val="en-IN"/>
        </w:rPr>
      </w:pPr>
      <w:bookmarkStart w:id="0" w:name="_Hlk199419989"/>
      <w:r w:rsidRPr="009F4598">
        <w:rPr>
          <w:rFonts w:ascii="Arial" w:eastAsia="Aptos" w:hAnsi="Arial" w:cs="Arial"/>
          <w:kern w:val="2"/>
          <w:lang w:val="en-IN"/>
        </w:rPr>
        <w:t xml:space="preserve">Pulses, often referred to as "poor man's meat" or "rich man's vegetable," are crucial to human nutrition. </w:t>
      </w:r>
      <w:proofErr w:type="spellStart"/>
      <w:r w:rsidRPr="009F4598">
        <w:rPr>
          <w:rFonts w:ascii="Arial" w:eastAsia="Aptos" w:hAnsi="Arial" w:cs="Arial"/>
          <w:kern w:val="2"/>
          <w:lang w:val="en-IN"/>
        </w:rPr>
        <w:t>Mungbean</w:t>
      </w:r>
      <w:proofErr w:type="spellEnd"/>
      <w:r w:rsidRPr="009F4598">
        <w:rPr>
          <w:rFonts w:ascii="Arial" w:eastAsia="Aptos" w:hAnsi="Arial" w:cs="Arial"/>
          <w:kern w:val="2"/>
          <w:lang w:val="en-IN"/>
        </w:rPr>
        <w:t xml:space="preserve"> (</w:t>
      </w:r>
      <w:r w:rsidRPr="009F4598">
        <w:rPr>
          <w:rFonts w:ascii="Arial" w:eastAsia="Aptos" w:hAnsi="Arial" w:cs="Arial"/>
          <w:i/>
          <w:iCs/>
          <w:kern w:val="2"/>
          <w:lang w:val="en-IN"/>
        </w:rPr>
        <w:t>Vigna radiata</w:t>
      </w:r>
      <w:r w:rsidRPr="009F4598">
        <w:rPr>
          <w:rFonts w:ascii="Arial" w:eastAsia="Aptos" w:hAnsi="Arial" w:cs="Arial"/>
          <w:kern w:val="2"/>
          <w:lang w:val="en-IN"/>
        </w:rPr>
        <w:t xml:space="preserve"> [L.] R. Wilczek var. </w:t>
      </w:r>
      <w:r w:rsidRPr="009F4598">
        <w:rPr>
          <w:rFonts w:ascii="Arial" w:eastAsia="Aptos" w:hAnsi="Arial" w:cs="Arial"/>
          <w:i/>
          <w:iCs/>
          <w:kern w:val="2"/>
          <w:lang w:val="en-IN"/>
        </w:rPr>
        <w:t>radiata),</w:t>
      </w:r>
      <w:r w:rsidRPr="009F4598">
        <w:rPr>
          <w:rFonts w:ascii="Arial" w:eastAsia="Aptos" w:hAnsi="Arial" w:cs="Arial"/>
          <w:kern w:val="2"/>
          <w:lang w:val="en-IN"/>
        </w:rPr>
        <w:t xml:space="preserve"> is the primary crop in cereal-based farming systems in Asia, </w:t>
      </w:r>
      <w:r w:rsidR="007F367C" w:rsidRPr="009F4598">
        <w:rPr>
          <w:rFonts w:ascii="Arial" w:eastAsia="Aptos" w:hAnsi="Arial" w:cs="Arial"/>
          <w:kern w:val="2"/>
          <w:lang w:val="en-IN"/>
        </w:rPr>
        <w:t>South America, Australia</w:t>
      </w:r>
      <w:r w:rsidR="007F367C">
        <w:rPr>
          <w:rFonts w:ascii="Arial" w:eastAsia="Aptos" w:hAnsi="Arial" w:cs="Arial"/>
          <w:kern w:val="2"/>
          <w:lang w:val="en-IN"/>
        </w:rPr>
        <w:t xml:space="preserve"> </w:t>
      </w:r>
      <w:r w:rsidRPr="009F4598">
        <w:rPr>
          <w:rFonts w:ascii="Arial" w:eastAsia="Aptos" w:hAnsi="Arial" w:cs="Arial"/>
          <w:kern w:val="2"/>
          <w:lang w:val="en-IN"/>
        </w:rPr>
        <w:t xml:space="preserve">and Sub-Saharan Africa </w:t>
      </w:r>
      <w:r w:rsidRPr="009F4598">
        <w:rPr>
          <w:rFonts w:ascii="Arial" w:eastAsia="Aptos" w:hAnsi="Arial" w:cs="Arial"/>
          <w:kern w:val="2"/>
          <w:lang w:val="en-IN"/>
        </w:rPr>
        <w:fldChar w:fldCharType="begin"/>
      </w:r>
      <w:r w:rsidRPr="009F4598">
        <w:rPr>
          <w:rFonts w:ascii="Arial" w:eastAsia="Aptos" w:hAnsi="Arial" w:cs="Arial"/>
          <w:kern w:val="2"/>
          <w:lang w:val="en-IN"/>
        </w:rPr>
        <w:instrText xml:space="preserve"> ADDIN ZOTERO_ITEM CSL_CITATION {"citationID":"dWAKFI5I","properties":{"formattedCitation":"[1\\uc0\\u8211{}3]","plainCitation":"[1–3]","noteIndex":0},"citationItems":[{"id":565,"uris":["http://zotero.org/users/local/5ucmndSA/items/3CIU9N7L"],"itemData":{"id":565,"type":"article-journal","abstract":"Anthracnose is a prevalent disease of mungbean in Asian countries and Sub-Saharan Africa. It is caused by multiple Colletotrichum species. The high levels of anthracnose resistance in mungbean have not been studied in depth in India, but genetic resistance is desired. In this study, we identified the causal agent of mungbean anthracnose in two regions of India as Colletotrichum truncatum through morphological and molecular methods. A set of 296 mungbean mini-core accessions developed by WorldVeg was screened under a natural disease pressure from July to September (kharif season) in 2016, 2017, and 2018 in Hyderabad (a hot spot for anthracnose) to identify anthracnose resistance. Based on disease severity scores, 22 accessions were consistently anthracnose resistant under the categories of immune, highly resistant, and resistant with scores ranging from ≥1.0 to ≤3.0 during the period of study. Furthermore, based on the agronomic performance, anthracnose resistance in Hyderabad, and other desirable traits, a subset of 74 mungbean accessions was selected from 296 mini-core accessions. These accessions were evaluated under natural disease pressure from July to September in 2018 and 2019 in Palampur (another hot spot for anthracnose) to determine the variation in anthracnose resistance. Out of the 74 accessions, two accessions were resistant in 2018; in 2019, one was immune, nine were highly resistant, and 15 were resistant. Combined analysis of variance of 65 accessions common in Hyderabad and Palampur revealed highly significant effects of environment, genotype (accessions), and genotype × environment interaction on the disease severity. The combined GGE biplot analysis of data across years and locations confirmed that the seven accessions MC-24, MC-51, MC-75, MC-127, MC-207, MC-208, and MC-292 were resistant during 2016 to 2018 in Hyderabad, and only in 2019 in Palampur, and the same accessions were moderately resistant in 2018 in Palampur. The seven resistant accessions identified from both test locations could be used as potential donors in the anthracnose resistance breeding program.\n            [Formula: see text] Copyright © 2021 The Author(s). This is an open access article distributed under the CC BY-NC-ND 4.0 International license .","container-title":"Plant Disease","DOI":"10.1094/PDIS-12-20-2722-RE","ISSN":"0191-2917, 1943-7692","issue":"7","journalAbbreviation":"Plant Disease","language":"en","page":"2001-2010","source":"DOI.org (Crossref)","title":"Field-Relevant New Sources of Resistance to Anthracnose Caused by &lt;i&gt;Colletotrichum truncatum&lt;/i&gt; in a Mungbean Mini-Core Collection","volume":"105","author":[{"family":"Pandey","given":"Abhay K."},{"family":"Basandrai","given":"Ashwani K."},{"family":"Basandrai","given":"Daisy"},{"family":"Boddepalli","given":"Venkata Naresh"},{"family":"Rathore","given":"Abhishek"},{"family":"Adapala","given":"Gopikrishna"},{"family":"Nair","given":"Ramakrishnan M."}],"issued":{"date-parts":[["2021",7,1]]}}},{"id":561,"uris":["http://zotero.org/users/local/5ucmndSA/items/4GJHI2PL"],"itemData":{"id":561,"type":"article-journal","container-title":"Frontiers in Plant Science","DOI":"10.3389/fpls.2019.01340","ISSN":"1664-462X","journalAbbreviation":"Front. Plant Sci.","page":"1340","source":"DOI.org (Crossref)","title":"Biotic and Abiotic Constraints in Mungbean Production—Progress in Genetic Improvement","volume":"10","author":[{"family":"Nair","given":"Ramakrishnan M."},{"family":"Pandey","given":"Abhay K."},{"family":"War","given":"Abdul R."},{"family":"Hanumantharao","given":"Bindumadhava"},{"family":"Shwe","given":"Tun"},{"family":"Alam","given":"Akmm"},{"family":"Pratap","given":"Aditya"},{"family":"Malik","given":"Shahid R."},{"family":"Karimi","given":"Rael"},{"family":"Mbeyagala","given":"Emmanuel K."},{"family":"Douglas","given":"Colin A."},{"family":"Rane","given":"Jagadish"},{"family":"Schafleitner","given":"Roland"}],"issued":{"date-parts":[["2019",10,25]]}}},{"id":563,"uris":["http://zotero.org/users/local/5ucmndSA/items/26WIKK7N"],"itemData":{"id":563,"type":"article-journal","abstract":"Mungbean (Vigna radiata L. Wilczek var. radiata) is an important food crop cultivated on over 6 Mha throughout the world. Its short duration of 55–70 days, capacity to fix atmospheric nitrogen, and exceptional grain nutritional profile makes the crop a staple for smallholder and subsistence farmers. In Australia, mungbean is grown as a high-value export crop and established as a main summer rotation for dryland farmers. A major threat to the integrity of the industry is halo blight, a bacterial disease leading to necrotic lesions surrounded by a chlorotic halo that stunts and ultimately kills the plant. Caused by Pseudomonas savastanoi pv. phaseolicola, this seed-borne disease is extremely difficult to control, resulting in significant yield loss and production volatility. The challenge of managing halo blight is exacerbated by a wide host range that includes many legume and weed species, and the presence of multiple epidemiologically significant strains. Molecular technologies could play a pivotal role in addressing these issues. This review synthesises current and emerging technologies to develop improved management strategies for the control of halo blight in mungbean.","container-title":"Crop and Pasture Science","DOI":"10.1071/CP18541","ISSN":"1836-0947","issue":"3","journalAbbreviation":"Crop Pasture Sci.","language":"en","page":"195","source":"DOI.org (Crossref)","title":"Diagnosis and management of halo blight in Australian mungbeans: a review","title-short":"Diagnosis and management of halo blight in Australian mungbeans","volume":"70","author":[{"family":"Noble","given":"Thomas J."},{"family":"Young","given":"Anthony J."},{"family":"Douglas","given":"Colin A."},{"family":"Williams","given":"Brett"},{"family":"Mundree","given":"Sagadevan"}],"issued":{"date-parts":[["2019"]]}}}],"schema":"https://github.com/citation-style-language/schema/raw/master/csl-citation.json"} </w:instrText>
      </w:r>
      <w:r w:rsidRPr="009F4598">
        <w:rPr>
          <w:rFonts w:ascii="Arial" w:eastAsia="Aptos" w:hAnsi="Arial" w:cs="Arial"/>
          <w:kern w:val="2"/>
          <w:lang w:val="en-IN"/>
        </w:rPr>
        <w:fldChar w:fldCharType="separate"/>
      </w:r>
      <w:r w:rsidRPr="009F4598">
        <w:rPr>
          <w:rFonts w:ascii="Arial" w:eastAsia="Aptos" w:hAnsi="Arial" w:cs="Arial"/>
          <w:lang w:val="en-IN"/>
        </w:rPr>
        <w:t>[1–3]</w:t>
      </w:r>
      <w:r w:rsidRPr="009F4598">
        <w:rPr>
          <w:rFonts w:ascii="Arial" w:eastAsia="Aptos" w:hAnsi="Arial" w:cs="Arial"/>
          <w:kern w:val="2"/>
          <w:lang w:val="en-IN"/>
        </w:rPr>
        <w:fldChar w:fldCharType="end"/>
      </w:r>
      <w:r w:rsidRPr="009F4598">
        <w:rPr>
          <w:rFonts w:ascii="Arial" w:eastAsia="Aptos" w:hAnsi="Arial" w:cs="Arial"/>
          <w:kern w:val="2"/>
          <w:lang w:val="en-IN"/>
        </w:rPr>
        <w:t>.</w:t>
      </w:r>
      <w:bookmarkEnd w:id="0"/>
      <w:r w:rsidRPr="009F4598">
        <w:rPr>
          <w:rFonts w:ascii="Arial" w:eastAsia="Aptos" w:hAnsi="Arial" w:cs="Arial"/>
          <w:kern w:val="2"/>
          <w:lang w:val="en-IN"/>
        </w:rPr>
        <w:t xml:space="preserve"> Due to its high nutritional content, it is</w:t>
      </w:r>
      <w:r w:rsidR="00E0205C">
        <w:rPr>
          <w:rFonts w:ascii="Arial" w:eastAsia="Aptos" w:hAnsi="Arial" w:cs="Arial"/>
          <w:kern w:val="2"/>
          <w:lang w:val="en-IN"/>
        </w:rPr>
        <w:t xml:space="preserve"> often </w:t>
      </w:r>
      <w:r w:rsidRPr="009F4598">
        <w:rPr>
          <w:rFonts w:ascii="Arial" w:eastAsia="Aptos" w:hAnsi="Arial" w:cs="Arial"/>
          <w:kern w:val="2"/>
          <w:lang w:val="en-IN"/>
        </w:rPr>
        <w:t xml:space="preserve">referred as "Golden Bean." In addition to having hepatoprotective and immunomodulatory properties, it has been shown to reduce hyperglycaemia, hyperlipemia and hypertension and to prevent cancer and melanogenesis </w:t>
      </w:r>
      <w:r w:rsidRPr="009F4598">
        <w:rPr>
          <w:rFonts w:ascii="Arial" w:eastAsia="Aptos" w:hAnsi="Arial" w:cs="Arial"/>
          <w:kern w:val="2"/>
          <w:lang w:val="en-IN"/>
        </w:rPr>
        <w:fldChar w:fldCharType="begin"/>
      </w:r>
      <w:r w:rsidRPr="009F4598">
        <w:rPr>
          <w:rFonts w:ascii="Arial" w:eastAsia="Aptos" w:hAnsi="Arial" w:cs="Arial"/>
          <w:kern w:val="2"/>
          <w:lang w:val="en-IN"/>
        </w:rPr>
        <w:instrText xml:space="preserve"> ADDIN ZOTERO_ITEM CSL_CITATION {"citationID":"7Nm7IB2q","properties":{"formattedCitation":"[4]","plainCitation":"[4]","noteIndex":0},"citationItems":[{"id":567,"uris":["http://zotero.org/users/local/5ucmndSA/items/RLM9FANF"],"itemData":{"id":567,"type":"article-journal","abstract":"Mung bean (Vigna radiata L.) is an important pulse consumed all over the world, especially in Asian countries, and has a long history of usage as traditional medicine. It has been known to be an excellent source of protein, dietary fiber, minerals, vitamins, and significant amounts of bioactive compounds, including polyphenols, polysaccharides, and peptides, therefore, becoming a popular functional food in promoting good health. The mung bean has been documented to ameliorate hyperglycemia, hyperlipemia, and hypertension, and prevent cancer and melanogenesis, as well as possess hepatoprotective and immunomodulatory activities. These health benefits derive primarily from the concentration and properties of those active compounds present in the mung bean. Vitexin and isovitexin are identified as the major polyphenols, and peptides containing hydrophobic amino acid residues with small molecular weight show higher bioactivity in the mung bean. Considering the recent surge in interest in the use of grain legumes, we hope this review will provide a blueprint to better utilize the mung bean in food products to improve human nutrition and further encourage advancement in this field.","container-title":"Nutrients","DOI":"10.3390/nu11061238","ISSN":"2072-6643","issue":"6","journalAbbreviation":"Nutrients","language":"en","license":"https://creativecommons.org/licenses/by/4.0/","page":"1238","source":"DOI.org (Crossref)","title":"Mung Bean (Vigna radiata L.): Bioactive Polyphenols, Polysaccharides, Peptides, and Health Benefits","title-short":"Mung Bean (Vigna radiata L.)","volume":"11","author":[{"family":"Hou","given":"Dianzhi"},{"family":"Yousaf","given":"Laraib"},{"family":"Xue","given":"Yong"},{"family":"Hu","given":"Jinrong"},{"family":"Wu","given":"Jihong"},{"family":"Hu","given":"Xiaosong"},{"family":"Feng","given":"Naihong"},{"family":"Shen","given":"Qun"}],"issued":{"date-parts":[["2019",5,31]]}}}],"schema":"https://github.com/citation-style-language/schema/raw/master/csl-citation.json"} </w:instrText>
      </w:r>
      <w:r w:rsidRPr="009F4598">
        <w:rPr>
          <w:rFonts w:ascii="Arial" w:eastAsia="Aptos" w:hAnsi="Arial" w:cs="Arial"/>
          <w:kern w:val="2"/>
          <w:lang w:val="en-IN"/>
        </w:rPr>
        <w:fldChar w:fldCharType="separate"/>
      </w:r>
      <w:r w:rsidRPr="009F4598">
        <w:rPr>
          <w:rFonts w:ascii="Arial" w:eastAsia="Aptos" w:hAnsi="Arial" w:cs="Arial"/>
          <w:kern w:val="2"/>
          <w:lang w:val="en-IN"/>
        </w:rPr>
        <w:t>[4]</w:t>
      </w:r>
      <w:r w:rsidRPr="009F4598">
        <w:rPr>
          <w:rFonts w:ascii="Arial" w:eastAsia="Aptos" w:hAnsi="Arial" w:cs="Arial"/>
          <w:kern w:val="2"/>
          <w:lang w:val="en-IN"/>
        </w:rPr>
        <w:fldChar w:fldCharType="end"/>
      </w:r>
      <w:r w:rsidRPr="009F4598">
        <w:rPr>
          <w:rFonts w:ascii="Arial" w:eastAsia="Aptos" w:hAnsi="Arial" w:cs="Arial"/>
          <w:kern w:val="2"/>
          <w:lang w:val="en-IN"/>
        </w:rPr>
        <w:t xml:space="preserve">. </w:t>
      </w:r>
      <w:r w:rsidR="00E70278" w:rsidRPr="00E70278">
        <w:rPr>
          <w:rFonts w:ascii="Arial" w:eastAsia="Aptos" w:hAnsi="Arial" w:cs="Arial"/>
          <w:kern w:val="2"/>
          <w:highlight w:val="yellow"/>
          <w:lang w:val="en-IN"/>
        </w:rPr>
        <w:t xml:space="preserve">These attributes elevate the status of </w:t>
      </w:r>
      <w:proofErr w:type="spellStart"/>
      <w:r w:rsidR="00E70278" w:rsidRPr="00E70278">
        <w:rPr>
          <w:rFonts w:ascii="Arial" w:eastAsia="Aptos" w:hAnsi="Arial" w:cs="Arial"/>
          <w:kern w:val="2"/>
          <w:highlight w:val="yellow"/>
          <w:lang w:val="en-IN"/>
        </w:rPr>
        <w:t>mungbean</w:t>
      </w:r>
      <w:proofErr w:type="spellEnd"/>
      <w:r w:rsidR="00E70278" w:rsidRPr="00E70278">
        <w:rPr>
          <w:rFonts w:ascii="Arial" w:eastAsia="Aptos" w:hAnsi="Arial" w:cs="Arial"/>
          <w:kern w:val="2"/>
          <w:highlight w:val="yellow"/>
          <w:lang w:val="en-IN"/>
        </w:rPr>
        <w:t xml:space="preserve"> as superfood.</w:t>
      </w:r>
      <w:r w:rsidR="00E70278">
        <w:rPr>
          <w:rFonts w:ascii="Arial" w:eastAsia="Aptos" w:hAnsi="Arial" w:cs="Arial"/>
          <w:kern w:val="2"/>
          <w:lang w:val="en-IN"/>
        </w:rPr>
        <w:t xml:space="preserve"> </w:t>
      </w:r>
    </w:p>
    <w:p w14:paraId="16904F57" w14:textId="77777777" w:rsidR="00E70278" w:rsidRDefault="00E70278" w:rsidP="009F4598">
      <w:pPr>
        <w:spacing w:after="160"/>
        <w:jc w:val="both"/>
        <w:rPr>
          <w:rFonts w:ascii="Arial" w:eastAsia="Aptos" w:hAnsi="Arial" w:cs="Arial"/>
          <w:kern w:val="2"/>
          <w:highlight w:val="yellow"/>
          <w:lang w:val="en-IN"/>
        </w:rPr>
      </w:pPr>
      <w:r w:rsidRPr="00E70278">
        <w:rPr>
          <w:rFonts w:ascii="Arial" w:eastAsia="Aptos" w:hAnsi="Arial" w:cs="Arial"/>
          <w:kern w:val="2"/>
          <w:highlight w:val="yellow"/>
        </w:rPr>
        <w:t xml:space="preserve">Chronologically, the global expansion of </w:t>
      </w:r>
      <w:proofErr w:type="spellStart"/>
      <w:r w:rsidRPr="00E70278">
        <w:rPr>
          <w:rFonts w:ascii="Arial" w:eastAsia="Aptos" w:hAnsi="Arial" w:cs="Arial"/>
          <w:kern w:val="2"/>
          <w:highlight w:val="yellow"/>
        </w:rPr>
        <w:t>mungbean</w:t>
      </w:r>
      <w:proofErr w:type="spellEnd"/>
      <w:r w:rsidRPr="00E70278">
        <w:rPr>
          <w:rFonts w:ascii="Arial" w:eastAsia="Aptos" w:hAnsi="Arial" w:cs="Arial"/>
          <w:kern w:val="2"/>
          <w:highlight w:val="yellow"/>
        </w:rPr>
        <w:t xml:space="preserve"> cultivation began in Asia and gradually spread to Sub-Saharan Africa, Latin America, and Australia.</w:t>
      </w:r>
      <w:r w:rsidRPr="00E70278">
        <w:rPr>
          <w:rFonts w:ascii="Arial" w:eastAsia="Aptos" w:hAnsi="Arial" w:cs="Arial"/>
          <w:kern w:val="2"/>
        </w:rPr>
        <w:t xml:space="preserve"> </w:t>
      </w:r>
      <w:r>
        <w:rPr>
          <w:rFonts w:ascii="Arial" w:eastAsia="Aptos" w:hAnsi="Arial" w:cs="Arial"/>
          <w:kern w:val="2"/>
        </w:rPr>
        <w:t xml:space="preserve">Currently, </w:t>
      </w:r>
      <w:r>
        <w:rPr>
          <w:rFonts w:ascii="Arial" w:eastAsia="Aptos" w:hAnsi="Arial" w:cs="Arial"/>
          <w:kern w:val="2"/>
          <w:lang w:val="en-IN"/>
        </w:rPr>
        <w:t>w</w:t>
      </w:r>
      <w:r w:rsidR="009F4598" w:rsidRPr="009F4598">
        <w:rPr>
          <w:rFonts w:ascii="Arial" w:eastAsia="Aptos" w:hAnsi="Arial" w:cs="Arial"/>
          <w:kern w:val="2"/>
          <w:lang w:val="en-IN"/>
        </w:rPr>
        <w:t xml:space="preserve">ith an average productivity of 0.5 t/ha, South Asia accounts for 90% of global </w:t>
      </w:r>
      <w:proofErr w:type="spellStart"/>
      <w:r w:rsidR="009F4598" w:rsidRPr="009F4598">
        <w:rPr>
          <w:rFonts w:ascii="Arial" w:eastAsia="Aptos" w:hAnsi="Arial" w:cs="Arial"/>
          <w:kern w:val="2"/>
          <w:lang w:val="en-IN"/>
        </w:rPr>
        <w:t>mungbean</w:t>
      </w:r>
      <w:proofErr w:type="spellEnd"/>
      <w:r w:rsidR="009F4598" w:rsidRPr="009F4598">
        <w:rPr>
          <w:rFonts w:ascii="Arial" w:eastAsia="Aptos" w:hAnsi="Arial" w:cs="Arial"/>
          <w:kern w:val="2"/>
          <w:lang w:val="en-IN"/>
        </w:rPr>
        <w:t xml:space="preserve"> production, with India being the region's major producer, producing 1.5 to </w:t>
      </w:r>
      <w:r w:rsidR="00C453D2">
        <w:rPr>
          <w:rFonts w:ascii="Arial" w:eastAsia="Aptos" w:hAnsi="Arial" w:cs="Arial"/>
          <w:kern w:val="2"/>
          <w:lang w:val="en-IN"/>
        </w:rPr>
        <w:t>2</w:t>
      </w:r>
      <w:r w:rsidR="009F4598" w:rsidRPr="009F4598">
        <w:rPr>
          <w:rFonts w:ascii="Arial" w:eastAsia="Aptos" w:hAnsi="Arial" w:cs="Arial"/>
          <w:kern w:val="2"/>
          <w:lang w:val="en-IN"/>
        </w:rPr>
        <w:t xml:space="preserve"> million tonnes from 3</w:t>
      </w:r>
      <w:r w:rsidR="00C453D2">
        <w:rPr>
          <w:rFonts w:ascii="Arial" w:eastAsia="Aptos" w:hAnsi="Arial" w:cs="Arial"/>
          <w:kern w:val="2"/>
          <w:lang w:val="en-IN"/>
        </w:rPr>
        <w:t xml:space="preserve"> to </w:t>
      </w:r>
      <w:r w:rsidR="009F4598" w:rsidRPr="009F4598">
        <w:rPr>
          <w:rFonts w:ascii="Arial" w:eastAsia="Aptos" w:hAnsi="Arial" w:cs="Arial"/>
          <w:kern w:val="2"/>
          <w:lang w:val="en-IN"/>
        </w:rPr>
        <w:t xml:space="preserve">4 million </w:t>
      </w:r>
      <w:r w:rsidR="009F4598" w:rsidRPr="009F4598">
        <w:rPr>
          <w:rFonts w:ascii="Arial" w:eastAsia="Aptos" w:hAnsi="Arial" w:cs="Arial"/>
          <w:kern w:val="2"/>
          <w:lang w:val="en-IN"/>
        </w:rPr>
        <w:lastRenderedPageBreak/>
        <w:t xml:space="preserve">hectares yearly </w:t>
      </w:r>
      <w:r w:rsidR="009F4598" w:rsidRPr="009F4598">
        <w:rPr>
          <w:rFonts w:ascii="Arial" w:eastAsia="Aptos" w:hAnsi="Arial" w:cs="Arial"/>
          <w:kern w:val="2"/>
          <w:lang w:val="en-IN"/>
        </w:rPr>
        <w:fldChar w:fldCharType="begin"/>
      </w:r>
      <w:r w:rsidR="009F4598" w:rsidRPr="009F4598">
        <w:rPr>
          <w:rFonts w:ascii="Arial" w:eastAsia="Aptos" w:hAnsi="Arial" w:cs="Arial"/>
          <w:kern w:val="2"/>
          <w:lang w:val="en-IN"/>
        </w:rPr>
        <w:instrText xml:space="preserve"> ADDIN ZOTERO_ITEM CSL_CITATION {"citationID":"FOoHe3JB","properties":{"formattedCitation":"[5]","plainCitation":"[5]","noteIndex":0},"citationItems":[{"id":569,"uris":["http://zotero.org/users/local/5ucmndSA/items/GDLS66IN"],"itemData":{"id":569,"type":"chapter","container-title":"The Mungbean Genome","event-place":"Cham","ISBN":"978-3-030-20007-7","language":"en","note":"collection-title: Compendium of Plant Genomes\nDOI: 10.1007/978-3-030-20008-4_5","page":"55-80","publisher":"Springer International Publishing","publisher-place":"Cham","source":"DOI.org (Crossref)","title":"Breeding Progress and Future Challenges: Biotic Stresses","title-short":"Breeding Progress and Future Challenges","URL":"http://link.springer.com/10.1007/978-3-030-20008-4_5","editor":[{"family":"Nair","given":"Ramakrishnan M."},{"family":"Schafleitner","given":"Roland"},{"family":"Lee","given":"Suk-Ha"}],"author":[{"family":"Pratap","given":"Aditya"},{"family":"Douglas","given":"Col"},{"family":"Prajapati","given":"Umashanker"},{"family":"Kumari","given":"Gita"},{"family":"War","given":"Abdul Rasheed"},{"family":"Tomar","given":"Rakhi"},{"family":"Pandey","given":"Abhay K."},{"family":"Dubey","given":"Sonali"}],"accessed":{"date-parts":[["2025",5,28]]},"issued":{"date-parts":[["2020"]]}}}],"schema":"https://github.com/citation-style-language/schema/raw/master/csl-citation.json"} </w:instrText>
      </w:r>
      <w:r w:rsidR="009F4598" w:rsidRPr="009F4598">
        <w:rPr>
          <w:rFonts w:ascii="Arial" w:eastAsia="Aptos" w:hAnsi="Arial" w:cs="Arial"/>
          <w:kern w:val="2"/>
          <w:lang w:val="en-IN"/>
        </w:rPr>
        <w:fldChar w:fldCharType="separate"/>
      </w:r>
      <w:r w:rsidR="009F4598" w:rsidRPr="009F4598">
        <w:rPr>
          <w:rFonts w:ascii="Arial" w:eastAsia="Aptos" w:hAnsi="Arial" w:cs="Arial"/>
          <w:kern w:val="2"/>
          <w:lang w:val="en-IN"/>
        </w:rPr>
        <w:t>[5]</w:t>
      </w:r>
      <w:r w:rsidR="009F4598" w:rsidRPr="009F4598">
        <w:rPr>
          <w:rFonts w:ascii="Arial" w:eastAsia="Aptos" w:hAnsi="Arial" w:cs="Arial"/>
          <w:kern w:val="2"/>
          <w:lang w:val="en-IN"/>
        </w:rPr>
        <w:fldChar w:fldCharType="end"/>
      </w:r>
      <w:r w:rsidR="009F4598" w:rsidRPr="009F4598">
        <w:rPr>
          <w:rFonts w:ascii="Arial" w:eastAsia="Aptos" w:hAnsi="Arial" w:cs="Arial"/>
          <w:kern w:val="2"/>
          <w:lang w:val="en-IN"/>
        </w:rPr>
        <w:t xml:space="preserve">. </w:t>
      </w:r>
      <w:r>
        <w:rPr>
          <w:rFonts w:ascii="Arial" w:eastAsia="Aptos" w:hAnsi="Arial" w:cs="Arial"/>
          <w:kern w:val="2"/>
          <w:highlight w:val="yellow"/>
          <w:lang w:val="en-IN"/>
        </w:rPr>
        <w:t xml:space="preserve">Despite its significance, the cultivation </w:t>
      </w:r>
      <w:r w:rsidRPr="00EB2A85">
        <w:rPr>
          <w:rFonts w:ascii="Arial" w:eastAsia="Aptos" w:hAnsi="Arial" w:cs="Arial"/>
          <w:kern w:val="2"/>
          <w:highlight w:val="yellow"/>
          <w:lang w:val="en-IN"/>
        </w:rPr>
        <w:t>worldwide and mainly in Asian continent</w:t>
      </w:r>
      <w:r>
        <w:rPr>
          <w:rFonts w:ascii="Arial" w:eastAsia="Aptos" w:hAnsi="Arial" w:cs="Arial"/>
          <w:kern w:val="2"/>
          <w:highlight w:val="yellow"/>
          <w:lang w:val="en-IN"/>
        </w:rPr>
        <w:t xml:space="preserve"> is affected by anthracnose, </w:t>
      </w:r>
      <w:r w:rsidR="009F4598" w:rsidRPr="00EB2A85">
        <w:rPr>
          <w:rFonts w:ascii="Arial" w:eastAsia="Aptos" w:hAnsi="Arial" w:cs="Arial"/>
          <w:kern w:val="2"/>
          <w:highlight w:val="yellow"/>
          <w:lang w:val="en-IN"/>
        </w:rPr>
        <w:t>a fungal disease which is</w:t>
      </w:r>
      <w:r w:rsidR="00EB2A85" w:rsidRPr="00EB2A85">
        <w:rPr>
          <w:rFonts w:ascii="Arial" w:eastAsia="Aptos" w:hAnsi="Arial" w:cs="Arial"/>
          <w:kern w:val="2"/>
          <w:highlight w:val="yellow"/>
          <w:lang w:val="en-IN"/>
        </w:rPr>
        <w:t xml:space="preserve"> </w:t>
      </w:r>
      <w:r w:rsidR="009F4598" w:rsidRPr="00EB2A85">
        <w:rPr>
          <w:rFonts w:ascii="Arial" w:eastAsia="Aptos" w:hAnsi="Arial" w:cs="Arial"/>
          <w:kern w:val="2"/>
          <w:highlight w:val="yellow"/>
          <w:lang w:val="en-IN"/>
        </w:rPr>
        <w:t xml:space="preserve">caused by </w:t>
      </w:r>
      <w:r w:rsidR="009F4598" w:rsidRPr="00EB2A85">
        <w:rPr>
          <w:rFonts w:ascii="Arial" w:eastAsia="Aptos" w:hAnsi="Arial" w:cs="Arial"/>
          <w:i/>
          <w:iCs/>
          <w:kern w:val="2"/>
          <w:highlight w:val="yellow"/>
          <w:lang w:val="en-IN"/>
        </w:rPr>
        <w:t>Colletotrichum</w:t>
      </w:r>
      <w:r w:rsidR="007F367C" w:rsidRPr="00EB2A85">
        <w:rPr>
          <w:rFonts w:ascii="Arial" w:eastAsia="Aptos" w:hAnsi="Arial" w:cs="Arial"/>
          <w:i/>
          <w:iCs/>
          <w:kern w:val="2"/>
          <w:highlight w:val="yellow"/>
          <w:lang w:val="en-IN"/>
        </w:rPr>
        <w:t xml:space="preserve"> </w:t>
      </w:r>
      <w:r w:rsidR="007F367C" w:rsidRPr="00EB2A85">
        <w:rPr>
          <w:rFonts w:ascii="Arial" w:eastAsia="Aptos" w:hAnsi="Arial" w:cs="Arial"/>
          <w:kern w:val="2"/>
          <w:highlight w:val="yellow"/>
          <w:lang w:val="en-IN"/>
        </w:rPr>
        <w:t>species complex</w:t>
      </w:r>
      <w:r w:rsidR="009F4598" w:rsidRPr="00EB2A85">
        <w:rPr>
          <w:rFonts w:ascii="Arial" w:eastAsia="Aptos" w:hAnsi="Arial" w:cs="Arial"/>
          <w:kern w:val="2"/>
          <w:highlight w:val="yellow"/>
          <w:lang w:val="en-IN"/>
        </w:rPr>
        <w:t xml:space="preserve">. </w:t>
      </w:r>
      <w:r w:rsidR="00EB2A85" w:rsidRPr="00EB2A85">
        <w:rPr>
          <w:rFonts w:ascii="Arial" w:eastAsia="Aptos" w:hAnsi="Arial" w:cs="Arial"/>
          <w:kern w:val="2"/>
          <w:highlight w:val="yellow"/>
          <w:lang w:val="en-IN"/>
        </w:rPr>
        <w:t xml:space="preserve">In India, it was first reported in 1951 in Jorhat, Assam </w:t>
      </w:r>
      <w:r w:rsidR="00EB2A85" w:rsidRPr="00EB2A85">
        <w:rPr>
          <w:rFonts w:ascii="Arial" w:eastAsia="Aptos" w:hAnsi="Arial" w:cs="Arial"/>
          <w:kern w:val="2"/>
          <w:highlight w:val="yellow"/>
          <w:lang w:val="en-IN"/>
        </w:rPr>
        <w:fldChar w:fldCharType="begin"/>
      </w:r>
      <w:r w:rsidR="00EB2A85" w:rsidRPr="00EB2A85">
        <w:rPr>
          <w:rFonts w:ascii="Arial" w:eastAsia="Aptos" w:hAnsi="Arial" w:cs="Arial"/>
          <w:kern w:val="2"/>
          <w:highlight w:val="yellow"/>
          <w:lang w:val="en-IN"/>
        </w:rPr>
        <w:instrText xml:space="preserve"> ADDIN ZOTERO_ITEM CSL_CITATION {"citationID":"AwhSDwRx","properties":{"formattedCitation":"[6]","plainCitation":"[6]","noteIndex":0},"citationItems":[{"id":577,"uris":["http://zotero.org/users/local/5ucmndSA/items/VZT7JZSP"],"itemData":{"id":577,"type":"article-journal","container-title":"Crop Protection","DOI":"10.1016/j.cropro.2023.106432","ISSN":"02612194","journalAbbreviation":"Crop Protection","language":"en","page":"106432","source":"DOI.org (Crossref)","title":"Control efficacy and yield response of different fungicides evaluated against anthracnose of green gram","volume":"174","author":[{"family":"Nandeesha","given":"C.V."},{"family":"Akbari","given":"L.F."},{"family":"Jaiswal","given":"Aman"},{"family":"Harsha","given":"B.R."},{"family":"Patil","given":"Balanagouda"},{"family":"Bhaliya","given":"C.M."},{"family":"Kumar","given":"Navin"},{"family":"Singh","given":"Tribhuwan"},{"family":"Jain","given":"Sinchana"}],"issued":{"date-parts":[["2023",12]]}}}],"schema":"https://github.com/citation-style-language/schema/raw/master/csl-citation.json"} </w:instrText>
      </w:r>
      <w:r w:rsidR="00EB2A85" w:rsidRPr="00EB2A85">
        <w:rPr>
          <w:rFonts w:ascii="Arial" w:eastAsia="Aptos" w:hAnsi="Arial" w:cs="Arial"/>
          <w:kern w:val="2"/>
          <w:highlight w:val="yellow"/>
          <w:lang w:val="en-IN"/>
        </w:rPr>
        <w:fldChar w:fldCharType="separate"/>
      </w:r>
      <w:r w:rsidR="00EB2A85" w:rsidRPr="00EB2A85">
        <w:rPr>
          <w:rFonts w:ascii="Arial" w:eastAsia="Aptos" w:hAnsi="Arial" w:cs="Arial"/>
          <w:kern w:val="2"/>
          <w:highlight w:val="yellow"/>
          <w:lang w:val="en-IN"/>
        </w:rPr>
        <w:t>[6]</w:t>
      </w:r>
      <w:r w:rsidR="00EB2A85" w:rsidRPr="00EB2A85">
        <w:rPr>
          <w:rFonts w:ascii="Arial" w:eastAsia="Aptos" w:hAnsi="Arial" w:cs="Arial"/>
          <w:kern w:val="2"/>
          <w:highlight w:val="yellow"/>
          <w:lang w:val="en-IN"/>
        </w:rPr>
        <w:fldChar w:fldCharType="end"/>
      </w:r>
      <w:r w:rsidR="00EB2A85" w:rsidRPr="00EB2A85">
        <w:rPr>
          <w:rFonts w:ascii="Arial" w:eastAsia="Aptos" w:hAnsi="Arial" w:cs="Arial"/>
          <w:kern w:val="2"/>
          <w:highlight w:val="yellow"/>
          <w:lang w:val="en-IN"/>
        </w:rPr>
        <w:t xml:space="preserve"> and</w:t>
      </w:r>
      <w:r w:rsidR="009F4598" w:rsidRPr="00EB2A85">
        <w:rPr>
          <w:rFonts w:ascii="Arial" w:eastAsia="Aptos" w:hAnsi="Arial" w:cs="Arial"/>
          <w:kern w:val="2"/>
          <w:highlight w:val="yellow"/>
          <w:lang w:val="en-IN"/>
        </w:rPr>
        <w:t xml:space="preserve"> </w:t>
      </w:r>
      <w:r w:rsidR="00EB2A85" w:rsidRPr="00EB2A85">
        <w:rPr>
          <w:rFonts w:ascii="Arial" w:eastAsia="Aptos" w:hAnsi="Arial" w:cs="Arial"/>
          <w:kern w:val="2"/>
          <w:highlight w:val="yellow"/>
          <w:lang w:val="en-IN"/>
        </w:rPr>
        <w:t xml:space="preserve">reduces the </w:t>
      </w:r>
      <w:r w:rsidR="009F4598" w:rsidRPr="00EB2A85">
        <w:rPr>
          <w:rFonts w:ascii="Arial" w:eastAsia="Aptos" w:hAnsi="Arial" w:cs="Arial"/>
          <w:kern w:val="2"/>
          <w:highlight w:val="yellow"/>
          <w:lang w:val="en-IN"/>
        </w:rPr>
        <w:t xml:space="preserve">crop yield by 30 to 70 per cent </w:t>
      </w:r>
      <w:r w:rsidR="009F4598" w:rsidRPr="00EB2A85">
        <w:rPr>
          <w:rFonts w:ascii="Arial" w:eastAsia="Aptos" w:hAnsi="Arial" w:cs="Arial"/>
          <w:kern w:val="2"/>
          <w:highlight w:val="yellow"/>
          <w:lang w:val="en-IN"/>
        </w:rPr>
        <w:fldChar w:fldCharType="begin"/>
      </w:r>
      <w:r w:rsidR="009F4598" w:rsidRPr="00EB2A85">
        <w:rPr>
          <w:rFonts w:ascii="Arial" w:eastAsia="Aptos" w:hAnsi="Arial" w:cs="Arial"/>
          <w:kern w:val="2"/>
          <w:highlight w:val="yellow"/>
          <w:lang w:val="en-IN"/>
        </w:rPr>
        <w:instrText xml:space="preserve"> ADDIN ZOTERO_ITEM CSL_CITATION {"citationID":"So77qz3h","properties":{"formattedCitation":"[1]","plainCitation":"[1]","noteIndex":0},"citationItems":[{"id":565,"uris":["http://zotero.org/users/local/5ucmndSA/items/3CIU9N7L"],"itemData":{"id":565,"type":"article-journal","abstract":"Anthracnose is a prevalent disease of mungbean in Asian countries and Sub-Saharan Africa. It is caused by multiple Colletotrichum species. The high levels of anthracnose resistance in mungbean have not been studied in depth in India, but genetic resistance is desired. In this study, we identified the causal agent of mungbean anthracnose in two regions of India as Colletotrichum truncatum through morphological and molecular methods. A set of 296 mungbean mini-core accessions developed by WorldVeg was screened under a natural disease pressure from July to September (kharif season) in 2016, 2017, and 2018 in Hyderabad (a hot spot for anthracnose) to identify anthracnose resistance. Based on disease severity scores, 22 accessions were consistently anthracnose resistant under the categories of immune, highly resistant, and resistant with scores ranging from ≥1.0 to ≤3.0 during the period of study. Furthermore, based on the agronomic performance, anthracnose resistance in Hyderabad, and other desirable traits, a subset of 74 mungbean accessions was selected from 296 mini-core accessions. These accessions were evaluated under natural disease pressure from July to September in 2018 and 2019 in Palampur (another hot spot for anthracnose) to determine the variation in anthracnose resistance. Out of the 74 accessions, two accessions were resistant in 2018; in 2019, one was immune, nine were highly resistant, and 15 were resistant. Combined analysis of variance of 65 accessions common in Hyderabad and Palampur revealed highly significant effects of environment, genotype (accessions), and genotype × environment interaction on the disease severity. The combined GGE biplot analysis of data across years and locations confirmed that the seven accessions MC-24, MC-51, MC-75, MC-127, MC-207, MC-208, and MC-292 were resistant during 2016 to 2018 in Hyderabad, and only in 2019 in Palampur, and the same accessions were moderately resistant in 2018 in Palampur. The seven resistant accessions identified from both test locations could be used as potential donors in the anthracnose resistance breeding program.\n            [Formula: see text] Copyright © 2021 The Author(s). This is an open access article distributed under the CC BY-NC-ND 4.0 International license .","container-title":"Plant Disease","DOI":"10.1094/PDIS-12-20-2722-RE","ISSN":"0191-2917, 1943-7692","issue":"7","journalAbbreviation":"Plant Disease","language":"en","page":"2001-2010","source":"DOI.org (Crossref)","title":"Field-Relevant New Sources of Resistance to Anthracnose Caused by &lt;i&gt;Colletotrichum truncatum&lt;/i&gt; in a Mungbean Mini-Core Collection","volume":"105","author":[{"family":"Pandey","given":"Abhay K."},{"family":"Basandrai","given":"Ashwani K."},{"family":"Basandrai","given":"Daisy"},{"family":"Boddepalli","given":"Venkata Naresh"},{"family":"Rathore","given":"Abhishek"},{"family":"Adapala","given":"Gopikrishna"},{"family":"Nair","given":"Ramakrishnan M."}],"issued":{"date-parts":[["2021",7,1]]}}}],"schema":"https://github.com/citation-style-language/schema/raw/master/csl-citation.json"} </w:instrText>
      </w:r>
      <w:r w:rsidR="009F4598" w:rsidRPr="00EB2A85">
        <w:rPr>
          <w:rFonts w:ascii="Arial" w:eastAsia="Aptos" w:hAnsi="Arial" w:cs="Arial"/>
          <w:kern w:val="2"/>
          <w:highlight w:val="yellow"/>
          <w:lang w:val="en-IN"/>
        </w:rPr>
        <w:fldChar w:fldCharType="separate"/>
      </w:r>
      <w:r w:rsidR="009F4598" w:rsidRPr="00EB2A85">
        <w:rPr>
          <w:rFonts w:ascii="Arial" w:eastAsia="Aptos" w:hAnsi="Arial" w:cs="Arial"/>
          <w:kern w:val="2"/>
          <w:highlight w:val="yellow"/>
          <w:lang w:val="en-IN"/>
        </w:rPr>
        <w:t>[1]</w:t>
      </w:r>
      <w:r w:rsidR="009F4598" w:rsidRPr="00EB2A85">
        <w:rPr>
          <w:rFonts w:ascii="Arial" w:eastAsia="Aptos" w:hAnsi="Arial" w:cs="Arial"/>
          <w:kern w:val="2"/>
          <w:highlight w:val="yellow"/>
          <w:lang w:val="en-IN"/>
        </w:rPr>
        <w:fldChar w:fldCharType="end"/>
      </w:r>
      <w:r w:rsidR="009F4598" w:rsidRPr="00EB2A85">
        <w:rPr>
          <w:rFonts w:ascii="Arial" w:eastAsia="Aptos" w:hAnsi="Arial" w:cs="Arial"/>
          <w:kern w:val="2"/>
          <w:highlight w:val="yellow"/>
          <w:lang w:val="en-IN"/>
        </w:rPr>
        <w:t>.</w:t>
      </w:r>
    </w:p>
    <w:p w14:paraId="055CAE78" w14:textId="394084C3" w:rsidR="009F4598" w:rsidRPr="00EB2A85" w:rsidRDefault="009F4598" w:rsidP="009F4598">
      <w:pPr>
        <w:spacing w:after="160"/>
        <w:jc w:val="both"/>
        <w:rPr>
          <w:rFonts w:ascii="Arial" w:eastAsia="Aptos" w:hAnsi="Arial" w:cs="Arial"/>
          <w:kern w:val="2"/>
          <w:lang w:val="en-IN"/>
        </w:rPr>
      </w:pPr>
      <w:r w:rsidRPr="00EB2A85">
        <w:rPr>
          <w:rFonts w:ascii="Arial" w:eastAsia="Aptos" w:hAnsi="Arial" w:cs="Arial"/>
          <w:kern w:val="2"/>
          <w:lang w:val="en-IN"/>
        </w:rPr>
        <w:t>In developing nations, farmers often go for Carbendazim 50% WP and mancozeb 75% WP fungicides</w:t>
      </w:r>
      <w:r w:rsidR="007F367C" w:rsidRPr="00EB2A85">
        <w:rPr>
          <w:rFonts w:ascii="Arial" w:eastAsia="Aptos" w:hAnsi="Arial" w:cs="Arial"/>
          <w:kern w:val="2"/>
          <w:lang w:val="en-IN"/>
        </w:rPr>
        <w:t xml:space="preserve"> for the management of this disease</w:t>
      </w:r>
      <w:r w:rsidRPr="00EB2A85">
        <w:rPr>
          <w:rFonts w:ascii="Arial" w:eastAsia="Aptos" w:hAnsi="Arial" w:cs="Arial"/>
          <w:kern w:val="2"/>
          <w:lang w:val="en-IN"/>
        </w:rPr>
        <w:t>. Due</w:t>
      </w:r>
      <w:r w:rsidRPr="009F4598">
        <w:rPr>
          <w:rFonts w:ascii="Arial" w:eastAsia="Aptos" w:hAnsi="Arial" w:cs="Arial"/>
          <w:kern w:val="2"/>
          <w:lang w:val="en-IN"/>
        </w:rPr>
        <w:t xml:space="preserve"> to the continuous use of the same, fungicide resistance has been developed in pathogen and is a major cause of concern </w:t>
      </w:r>
      <w:r w:rsidRPr="009F4598">
        <w:rPr>
          <w:rFonts w:ascii="Arial" w:eastAsia="Aptos" w:hAnsi="Arial" w:cs="Arial"/>
          <w:kern w:val="2"/>
          <w:lang w:val="en-IN"/>
        </w:rPr>
        <w:fldChar w:fldCharType="begin"/>
      </w:r>
      <w:r w:rsidRPr="009F4598">
        <w:rPr>
          <w:rFonts w:ascii="Arial" w:eastAsia="Aptos" w:hAnsi="Arial" w:cs="Arial"/>
          <w:kern w:val="2"/>
          <w:lang w:val="en-IN"/>
        </w:rPr>
        <w:instrText xml:space="preserve"> ADDIN ZOTERO_ITEM CSL_CITATION {"citationID":"MP3DQKxg","properties":{"formattedCitation":"[7]","plainCitation":"[7]","noteIndex":0},"citationItems":[{"id":571,"uris":["http://zotero.org/users/local/5ucmndSA/items/MTYTVZGS"],"itemData":{"id":571,"type":"article-journal","abstract":"The mungbean crop suffers from several fungal diseases, among which anthracnose caused by Colletotrichum gloeosporioides is one of the serious disease observed regularly in mungbean growing areas of Gujarat and its incidence has increased alarmingly during the recent years in Gujarat. Among the nine fungicides at three concentrations were screened under in vitro condition against C. gloeosporioides by poisoned food technique revealed propiconazole, carbendazim (12%) + mancozeb (63%) and propineb completely inhibited the mycelial growth and proved to be most effective over rest of the treatments. The next best were azoxystrobin + difenconazole and trifloxystrobin + tebuconazole. Based on in vitro screening, promising fungicides were selected and re-evaluated under field condition against anthracnose of mungbean. Experiment under field condition revealed that anthracnose disease of mungbean can effectively managed by seed treatment with Thiram 75 SD, 3 g/kg seeds + two foliar sprays at 15 days interval starting from initiation of disease with trifloxystrobin + tebuconazole (75 WG), 0.075 per cent or with carbendazim + mancozeb (75 WP), 0.075 per cent. One of the key reasons for success of strobilurins that it gives a control of fungi from all four groups of plant pathogens i.e. Ascomycota, Basidiomycota, Deuteromycota and Oomycota.","language":"en","source":"Zotero","title":"Management of Anthracnose Disease of Mungbean Through New Fungicidal Formulations","author":[{"family":"Chaudhari","given":"Kinjal A"},{"family":"Gohel","given":"N M"}]}}],"schema":"https://github.com/citation-style-language/schema/raw/master/csl-citation.json"} </w:instrText>
      </w:r>
      <w:r w:rsidRPr="009F4598">
        <w:rPr>
          <w:rFonts w:ascii="Arial" w:eastAsia="Aptos" w:hAnsi="Arial" w:cs="Arial"/>
          <w:kern w:val="2"/>
          <w:lang w:val="en-IN"/>
        </w:rPr>
        <w:fldChar w:fldCharType="separate"/>
      </w:r>
      <w:r w:rsidRPr="009F4598">
        <w:rPr>
          <w:rFonts w:ascii="Arial" w:eastAsia="Aptos" w:hAnsi="Arial" w:cs="Arial"/>
          <w:kern w:val="2"/>
          <w:lang w:val="en-IN"/>
        </w:rPr>
        <w:t>[7]</w:t>
      </w:r>
      <w:r w:rsidRPr="009F4598">
        <w:rPr>
          <w:rFonts w:ascii="Arial" w:eastAsia="Aptos" w:hAnsi="Arial" w:cs="Arial"/>
          <w:kern w:val="2"/>
          <w:lang w:val="en-IN"/>
        </w:rPr>
        <w:fldChar w:fldCharType="end"/>
      </w:r>
      <w:r w:rsidRPr="009F4598">
        <w:rPr>
          <w:rFonts w:ascii="Arial" w:eastAsia="Aptos" w:hAnsi="Arial" w:cs="Arial"/>
          <w:kern w:val="2"/>
          <w:lang w:val="en-IN"/>
        </w:rPr>
        <w:t xml:space="preserve">. </w:t>
      </w:r>
      <w:r w:rsidR="007F367C" w:rsidRPr="007F367C">
        <w:rPr>
          <w:rFonts w:ascii="Arial" w:eastAsia="Aptos" w:hAnsi="Arial" w:cs="Arial"/>
          <w:kern w:val="2"/>
          <w:highlight w:val="yellow"/>
          <w:lang w:val="en-GB"/>
        </w:rPr>
        <w:t xml:space="preserve">The new-generation fungicides consist of modern synthetic fungicidal chemicals that </w:t>
      </w:r>
      <w:r w:rsidR="007F367C">
        <w:rPr>
          <w:rFonts w:ascii="Arial" w:eastAsia="Aptos" w:hAnsi="Arial" w:cs="Arial"/>
          <w:kern w:val="2"/>
          <w:highlight w:val="yellow"/>
          <w:lang w:val="en-GB"/>
        </w:rPr>
        <w:t>is</w:t>
      </w:r>
      <w:r w:rsidR="00EB2A85">
        <w:rPr>
          <w:rFonts w:ascii="Arial" w:eastAsia="Aptos" w:hAnsi="Arial" w:cs="Arial"/>
          <w:kern w:val="2"/>
          <w:highlight w:val="yellow"/>
          <w:lang w:val="en-GB"/>
        </w:rPr>
        <w:t xml:space="preserve"> </w:t>
      </w:r>
      <w:r w:rsidR="00EB2A85" w:rsidRPr="007F367C">
        <w:rPr>
          <w:rFonts w:ascii="Arial" w:eastAsia="Aptos" w:hAnsi="Arial" w:cs="Arial"/>
          <w:kern w:val="2"/>
          <w:highlight w:val="yellow"/>
          <w:lang w:val="en-GB"/>
        </w:rPr>
        <w:t>synthe</w:t>
      </w:r>
      <w:r w:rsidR="00EB2A85">
        <w:rPr>
          <w:rFonts w:ascii="Arial" w:eastAsia="Aptos" w:hAnsi="Arial" w:cs="Arial"/>
          <w:kern w:val="2"/>
          <w:highlight w:val="yellow"/>
          <w:lang w:val="en-GB"/>
        </w:rPr>
        <w:t>s</w:t>
      </w:r>
      <w:r w:rsidR="00EB2A85" w:rsidRPr="007F367C">
        <w:rPr>
          <w:rFonts w:ascii="Arial" w:eastAsia="Aptos" w:hAnsi="Arial" w:cs="Arial"/>
          <w:kern w:val="2"/>
          <w:highlight w:val="yellow"/>
          <w:lang w:val="en-GB"/>
        </w:rPr>
        <w:t>i</w:t>
      </w:r>
      <w:r w:rsidR="00EB2A85">
        <w:rPr>
          <w:rFonts w:ascii="Arial" w:eastAsia="Aptos" w:hAnsi="Arial" w:cs="Arial"/>
          <w:kern w:val="2"/>
          <w:highlight w:val="yellow"/>
          <w:lang w:val="en-GB"/>
        </w:rPr>
        <w:t>z</w:t>
      </w:r>
      <w:r w:rsidR="00EB2A85" w:rsidRPr="007F367C">
        <w:rPr>
          <w:rFonts w:ascii="Arial" w:eastAsia="Aptos" w:hAnsi="Arial" w:cs="Arial"/>
          <w:kern w:val="2"/>
          <w:highlight w:val="yellow"/>
          <w:lang w:val="en-GB"/>
        </w:rPr>
        <w:t>e</w:t>
      </w:r>
      <w:r w:rsidR="00EB2A85">
        <w:rPr>
          <w:rFonts w:ascii="Arial" w:eastAsia="Aptos" w:hAnsi="Arial" w:cs="Arial"/>
          <w:kern w:val="2"/>
          <w:highlight w:val="yellow"/>
          <w:lang w:val="en-GB"/>
        </w:rPr>
        <w:t>d</w:t>
      </w:r>
      <w:r w:rsidR="007F367C" w:rsidRPr="007F367C">
        <w:rPr>
          <w:rFonts w:ascii="Arial" w:eastAsia="Aptos" w:hAnsi="Arial" w:cs="Arial"/>
          <w:kern w:val="2"/>
          <w:highlight w:val="yellow"/>
          <w:lang w:val="en-GB"/>
        </w:rPr>
        <w:t xml:space="preserve"> with improved or new modes of action, increased specificity, systemic </w:t>
      </w:r>
      <w:r w:rsidR="00EB2A85" w:rsidRPr="007F367C">
        <w:rPr>
          <w:rFonts w:ascii="Arial" w:eastAsia="Aptos" w:hAnsi="Arial" w:cs="Arial"/>
          <w:kern w:val="2"/>
          <w:highlight w:val="yellow"/>
          <w:lang w:val="en-GB"/>
        </w:rPr>
        <w:t>activit</w:t>
      </w:r>
      <w:r w:rsidR="00EB2A85">
        <w:rPr>
          <w:rFonts w:ascii="Arial" w:eastAsia="Aptos" w:hAnsi="Arial" w:cs="Arial"/>
          <w:kern w:val="2"/>
          <w:highlight w:val="yellow"/>
          <w:lang w:val="en-GB"/>
        </w:rPr>
        <w:t>ies,</w:t>
      </w:r>
      <w:r w:rsidR="007F367C">
        <w:rPr>
          <w:rFonts w:ascii="Arial" w:eastAsia="Aptos" w:hAnsi="Arial" w:cs="Arial"/>
          <w:kern w:val="2"/>
          <w:highlight w:val="yellow"/>
          <w:lang w:val="en-GB"/>
        </w:rPr>
        <w:t xml:space="preserve"> </w:t>
      </w:r>
      <w:r w:rsidR="007F367C" w:rsidRPr="007F367C">
        <w:rPr>
          <w:rFonts w:ascii="Arial" w:eastAsia="Aptos" w:hAnsi="Arial" w:cs="Arial"/>
          <w:kern w:val="2"/>
          <w:highlight w:val="yellow"/>
          <w:lang w:val="en-GB"/>
        </w:rPr>
        <w:t xml:space="preserve">and reduced toxicity. Among these, two well-known classes that revolutionized disease control in contemporary agriculture are triazoles (DMIs) and </w:t>
      </w:r>
      <w:proofErr w:type="spellStart"/>
      <w:r w:rsidR="007F367C" w:rsidRPr="007F367C">
        <w:rPr>
          <w:rFonts w:ascii="Arial" w:eastAsia="Aptos" w:hAnsi="Arial" w:cs="Arial"/>
          <w:kern w:val="2"/>
          <w:highlight w:val="yellow"/>
          <w:lang w:val="en-GB"/>
        </w:rPr>
        <w:t>strobilurins</w:t>
      </w:r>
      <w:proofErr w:type="spellEnd"/>
      <w:r w:rsidR="007F367C" w:rsidRPr="007F367C">
        <w:rPr>
          <w:rFonts w:ascii="Arial" w:eastAsia="Aptos" w:hAnsi="Arial" w:cs="Arial"/>
          <w:kern w:val="2"/>
          <w:highlight w:val="yellow"/>
          <w:lang w:val="en-GB"/>
        </w:rPr>
        <w:t xml:space="preserve"> (</w:t>
      </w:r>
      <w:proofErr w:type="spellStart"/>
      <w:r w:rsidR="007F367C" w:rsidRPr="007F367C">
        <w:rPr>
          <w:rFonts w:ascii="Arial" w:eastAsia="Aptos" w:hAnsi="Arial" w:cs="Arial"/>
          <w:kern w:val="2"/>
          <w:highlight w:val="yellow"/>
          <w:lang w:val="en-GB"/>
        </w:rPr>
        <w:t>QoIs</w:t>
      </w:r>
      <w:proofErr w:type="spellEnd"/>
      <w:r w:rsidR="007F367C" w:rsidRPr="007F367C">
        <w:rPr>
          <w:rFonts w:ascii="Arial" w:eastAsia="Aptos" w:hAnsi="Arial" w:cs="Arial"/>
          <w:kern w:val="2"/>
          <w:highlight w:val="yellow"/>
          <w:lang w:val="en-GB"/>
        </w:rPr>
        <w:t>).</w:t>
      </w:r>
      <w:r w:rsidR="007F367C">
        <w:rPr>
          <w:rFonts w:ascii="Arial" w:eastAsia="Aptos" w:hAnsi="Arial" w:cs="Arial"/>
          <w:kern w:val="2"/>
          <w:lang w:val="en-GB"/>
        </w:rPr>
        <w:t xml:space="preserve"> </w:t>
      </w:r>
      <w:r w:rsidRPr="009F4598">
        <w:rPr>
          <w:rFonts w:ascii="Arial" w:eastAsia="Aptos" w:hAnsi="Arial" w:cs="Arial"/>
          <w:kern w:val="2"/>
          <w:lang w:val="en-IN"/>
        </w:rPr>
        <w:t xml:space="preserve">Hence, use of new generation fungicides is highly recommended for the management of anthracnose in </w:t>
      </w:r>
      <w:proofErr w:type="spellStart"/>
      <w:r w:rsidRPr="009F4598">
        <w:rPr>
          <w:rFonts w:ascii="Arial" w:eastAsia="Aptos" w:hAnsi="Arial" w:cs="Arial"/>
          <w:kern w:val="2"/>
          <w:lang w:val="en-IN"/>
        </w:rPr>
        <w:t>mungbean</w:t>
      </w:r>
      <w:proofErr w:type="spellEnd"/>
      <w:r w:rsidRPr="009F4598">
        <w:rPr>
          <w:rFonts w:ascii="Arial" w:eastAsia="Aptos" w:hAnsi="Arial" w:cs="Arial"/>
          <w:kern w:val="2"/>
          <w:lang w:val="en-IN"/>
        </w:rPr>
        <w:t>. Despite the potential modes of action of new-generation fungicides, especially triazoles, strobilurins and their combinations, their practical usage is not much highlighted in disease management</w:t>
      </w:r>
      <w:r>
        <w:rPr>
          <w:rFonts w:ascii="Arial" w:eastAsia="Aptos" w:hAnsi="Arial" w:cs="Arial"/>
          <w:kern w:val="2"/>
          <w:lang w:val="en-IN"/>
        </w:rPr>
        <w:t xml:space="preserve"> of </w:t>
      </w:r>
      <w:r w:rsidR="000A490A" w:rsidRPr="000A490A">
        <w:rPr>
          <w:rFonts w:ascii="Arial" w:eastAsia="Aptos" w:hAnsi="Arial" w:cs="Arial"/>
          <w:kern w:val="2"/>
          <w:lang w:val="en-IN"/>
        </w:rPr>
        <w:t>anthracnose</w:t>
      </w:r>
      <w:r w:rsidRPr="000A490A">
        <w:rPr>
          <w:rFonts w:ascii="Arial" w:eastAsia="Aptos" w:hAnsi="Arial" w:cs="Arial"/>
          <w:kern w:val="2"/>
          <w:lang w:val="en-IN"/>
        </w:rPr>
        <w:t>, hence</w:t>
      </w:r>
      <w:r w:rsidRPr="009F4598">
        <w:rPr>
          <w:rFonts w:ascii="Arial" w:eastAsia="Aptos" w:hAnsi="Arial" w:cs="Arial"/>
          <w:kern w:val="2"/>
          <w:lang w:val="en-IN"/>
        </w:rPr>
        <w:t xml:space="preserve"> it underscores the pressing need for these novel and optimized fungicide-based approaches. Therefore, with the above research gaps and facts mentioned, this current study was conducted with the main objective to identity the new generation fungicidal molecules for the management of </w:t>
      </w:r>
      <w:proofErr w:type="spellStart"/>
      <w:r w:rsidRPr="009F4598">
        <w:rPr>
          <w:rFonts w:ascii="Arial" w:eastAsia="Aptos" w:hAnsi="Arial" w:cs="Arial"/>
          <w:kern w:val="2"/>
          <w:lang w:val="en-IN"/>
        </w:rPr>
        <w:t>mungbean</w:t>
      </w:r>
      <w:proofErr w:type="spellEnd"/>
      <w:r w:rsidRPr="009F4598">
        <w:rPr>
          <w:rFonts w:ascii="Arial" w:eastAsia="Aptos" w:hAnsi="Arial" w:cs="Arial"/>
          <w:kern w:val="2"/>
          <w:lang w:val="en-IN"/>
        </w:rPr>
        <w:t xml:space="preserve"> anthracnose.</w:t>
      </w:r>
    </w:p>
    <w:p w14:paraId="34564983" w14:textId="759853C9" w:rsidR="009F4598" w:rsidRDefault="00902823" w:rsidP="009F4598">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394CC81" w14:textId="77777777" w:rsidR="009F4598" w:rsidRPr="009F4598" w:rsidRDefault="009F4598" w:rsidP="009F4598">
      <w:pPr>
        <w:pStyle w:val="AbstHead"/>
        <w:spacing w:after="0"/>
        <w:jc w:val="both"/>
        <w:rPr>
          <w:rFonts w:ascii="Arial" w:hAnsi="Arial" w:cs="Arial"/>
        </w:rPr>
      </w:pPr>
    </w:p>
    <w:p w14:paraId="15C3EC88" w14:textId="2FD2AE1B" w:rsidR="009F4598" w:rsidRPr="009F4598" w:rsidRDefault="009F4598" w:rsidP="009F4598">
      <w:pPr>
        <w:spacing w:after="160"/>
        <w:jc w:val="both"/>
        <w:rPr>
          <w:rFonts w:ascii="Arial" w:eastAsia="Aptos" w:hAnsi="Arial" w:cs="Arial"/>
          <w:kern w:val="2"/>
          <w:lang w:val="en-IN"/>
        </w:rPr>
      </w:pPr>
      <w:r w:rsidRPr="009F4598">
        <w:rPr>
          <w:rFonts w:ascii="Arial" w:eastAsia="Aptos" w:hAnsi="Arial" w:cs="Arial"/>
          <w:kern w:val="2"/>
          <w:lang w:val="en-IN"/>
        </w:rPr>
        <w:t xml:space="preserve">Infected samples were collected from different </w:t>
      </w:r>
      <w:proofErr w:type="spellStart"/>
      <w:r w:rsidRPr="009F4598">
        <w:rPr>
          <w:rFonts w:ascii="Arial" w:eastAsia="Aptos" w:hAnsi="Arial" w:cs="Arial"/>
          <w:kern w:val="2"/>
          <w:lang w:val="en-IN"/>
        </w:rPr>
        <w:t>mungbean</w:t>
      </w:r>
      <w:proofErr w:type="spellEnd"/>
      <w:r w:rsidRPr="009F4598">
        <w:rPr>
          <w:rFonts w:ascii="Arial" w:eastAsia="Aptos" w:hAnsi="Arial" w:cs="Arial"/>
          <w:kern w:val="2"/>
          <w:lang w:val="en-IN"/>
        </w:rPr>
        <w:t xml:space="preserve"> growing </w:t>
      </w:r>
      <w:r w:rsidR="00C453D2">
        <w:rPr>
          <w:rFonts w:ascii="Arial" w:eastAsia="Aptos" w:hAnsi="Arial" w:cs="Arial"/>
          <w:kern w:val="2"/>
          <w:lang w:val="en-IN"/>
        </w:rPr>
        <w:t>parts</w:t>
      </w:r>
      <w:r w:rsidRPr="009F4598">
        <w:rPr>
          <w:rFonts w:ascii="Arial" w:eastAsia="Aptos" w:hAnsi="Arial" w:cs="Arial"/>
          <w:kern w:val="2"/>
          <w:lang w:val="en-IN"/>
        </w:rPr>
        <w:t xml:space="preserve"> of Karnataka</w:t>
      </w:r>
      <w:r w:rsidR="00C453D2">
        <w:rPr>
          <w:rFonts w:ascii="Arial" w:eastAsia="Aptos" w:hAnsi="Arial" w:cs="Arial"/>
          <w:kern w:val="2"/>
          <w:lang w:val="en-IN"/>
        </w:rPr>
        <w:t>, India</w:t>
      </w:r>
      <w:r w:rsidRPr="009F4598">
        <w:rPr>
          <w:rFonts w:ascii="Arial" w:eastAsia="Aptos" w:hAnsi="Arial" w:cs="Arial"/>
          <w:kern w:val="2"/>
          <w:lang w:val="en-IN"/>
        </w:rPr>
        <w:t xml:space="preserve"> during </w:t>
      </w:r>
      <w:r w:rsidR="000A490A">
        <w:rPr>
          <w:rFonts w:ascii="Arial" w:eastAsia="Aptos" w:hAnsi="Arial" w:cs="Arial"/>
          <w:i/>
          <w:iCs/>
          <w:kern w:val="2"/>
          <w:lang w:val="en-IN"/>
        </w:rPr>
        <w:t>k</w:t>
      </w:r>
      <w:r w:rsidR="000A490A" w:rsidRPr="000A490A">
        <w:rPr>
          <w:rFonts w:ascii="Arial" w:eastAsia="Aptos" w:hAnsi="Arial" w:cs="Arial"/>
          <w:i/>
          <w:iCs/>
          <w:kern w:val="2"/>
          <w:lang w:val="en-IN"/>
        </w:rPr>
        <w:t xml:space="preserve">harif </w:t>
      </w:r>
      <w:r w:rsidRPr="009F4598">
        <w:rPr>
          <w:rFonts w:ascii="Arial" w:eastAsia="Aptos" w:hAnsi="Arial" w:cs="Arial"/>
          <w:kern w:val="2"/>
          <w:lang w:val="en-IN"/>
        </w:rPr>
        <w:t>2023 and 2024 survey. The standard isolation procedure for pathogen was followed from the collected infected samples. The cultures were purified using single spore technique in Potato Dextrose Agar (PDA) medium and maintained in PDA agar slants at 4</w:t>
      </w:r>
      <w:r>
        <w:rPr>
          <w:rFonts w:ascii="Arial" w:eastAsia="Aptos" w:hAnsi="Arial" w:cs="Arial"/>
          <w:kern w:val="2"/>
          <w:lang w:val="en-IN"/>
        </w:rPr>
        <w:t xml:space="preserve"> </w:t>
      </w:r>
      <w:r w:rsidRPr="009F4598">
        <w:rPr>
          <w:rFonts w:ascii="Arial" w:eastAsia="Aptos" w:hAnsi="Arial" w:cs="Arial"/>
          <w:kern w:val="2"/>
          <w:lang w:val="en-IN"/>
        </w:rPr>
        <w:t xml:space="preserve">⁰C in fridge </w:t>
      </w:r>
      <w:r w:rsidRPr="009F4598">
        <w:rPr>
          <w:rFonts w:ascii="Arial" w:eastAsia="Aptos" w:hAnsi="Arial" w:cs="Arial"/>
          <w:kern w:val="2"/>
          <w:lang w:val="en-IN"/>
        </w:rPr>
        <w:fldChar w:fldCharType="begin"/>
      </w:r>
      <w:r w:rsidRPr="009F4598">
        <w:rPr>
          <w:rFonts w:ascii="Arial" w:eastAsia="Aptos" w:hAnsi="Arial" w:cs="Arial"/>
          <w:kern w:val="2"/>
          <w:lang w:val="en-IN"/>
        </w:rPr>
        <w:instrText xml:space="preserve"> ADDIN ZOTERO_ITEM CSL_CITATION {"citationID":"m9jIR2Rk","properties":{"formattedCitation":"[8]","plainCitation":"[8]","noteIndex":0},"citationItems":[{"id":578,"uris":["http://zotero.org/users/local/5ucmndSA/items/AMB67863"],"itemData":{"id":578,"type":"book","edition":"2","ISBN":"978-1-315-13813-8","language":"en","note":"DOI: 10.1201/9781315138138","publisher":"CRC Press","source":"DOI.org (Crossref)","title":"Basic Plant Pathology Methods","URL":"https://www.taylorfrancis.com/books/9781351464512","author":[{"family":"Dhingra","given":"Onkar D."},{"family":"Sinclair","given":"James B."}],"accessed":{"date-parts":[["2025",5,28]]},"issued":{"date-parts":[["2017",11,22]]}}}],"schema":"https://github.com/citation-style-language/schema/raw/master/csl-citation.json"} </w:instrText>
      </w:r>
      <w:r w:rsidRPr="009F4598">
        <w:rPr>
          <w:rFonts w:ascii="Arial" w:eastAsia="Aptos" w:hAnsi="Arial" w:cs="Arial"/>
          <w:kern w:val="2"/>
          <w:lang w:val="en-IN"/>
        </w:rPr>
        <w:fldChar w:fldCharType="separate"/>
      </w:r>
      <w:r w:rsidRPr="009F4598">
        <w:rPr>
          <w:rFonts w:ascii="Arial" w:eastAsia="Aptos" w:hAnsi="Arial" w:cs="Arial"/>
          <w:kern w:val="2"/>
          <w:lang w:val="en-IN"/>
        </w:rPr>
        <w:t>[8]</w:t>
      </w:r>
      <w:r w:rsidRPr="009F4598">
        <w:rPr>
          <w:rFonts w:ascii="Arial" w:eastAsia="Aptos" w:hAnsi="Arial" w:cs="Arial"/>
          <w:kern w:val="2"/>
          <w:lang w:val="en-IN"/>
        </w:rPr>
        <w:fldChar w:fldCharType="end"/>
      </w:r>
      <w:r w:rsidRPr="009F4598">
        <w:rPr>
          <w:rFonts w:ascii="Arial" w:eastAsia="Aptos" w:hAnsi="Arial" w:cs="Arial"/>
          <w:kern w:val="2"/>
          <w:lang w:val="en-IN"/>
        </w:rPr>
        <w:t>. Koch’s postulates were also proved.</w:t>
      </w:r>
      <w:r w:rsidR="00C453D2">
        <w:rPr>
          <w:rFonts w:ascii="Arial" w:eastAsia="Aptos" w:hAnsi="Arial" w:cs="Arial"/>
          <w:kern w:val="2"/>
          <w:lang w:val="en-IN"/>
        </w:rPr>
        <w:t xml:space="preserve"> </w:t>
      </w:r>
      <w:r w:rsidR="00C453D2" w:rsidRPr="00C453D2">
        <w:rPr>
          <w:rFonts w:ascii="Arial" w:eastAsia="Aptos" w:hAnsi="Arial" w:cs="Arial"/>
          <w:kern w:val="2"/>
        </w:rPr>
        <w:t>The experiment was conducted in 2024 at the Department of Plant Pathology, College of Agriculture, Dharwad,</w:t>
      </w:r>
      <w:r w:rsidR="00C453D2">
        <w:rPr>
          <w:rFonts w:ascii="Arial" w:eastAsia="Aptos" w:hAnsi="Arial" w:cs="Arial"/>
          <w:kern w:val="2"/>
        </w:rPr>
        <w:t xml:space="preserve"> Karnataka</w:t>
      </w:r>
      <w:r w:rsidR="00C453D2" w:rsidRPr="00C453D2">
        <w:rPr>
          <w:rFonts w:ascii="Arial" w:eastAsia="Aptos" w:hAnsi="Arial" w:cs="Arial"/>
          <w:kern w:val="2"/>
        </w:rPr>
        <w:t xml:space="preserve"> using a factorial Completely Randomized Design (CRD) under </w:t>
      </w:r>
      <w:r w:rsidR="00C453D2" w:rsidRPr="00C453D2">
        <w:rPr>
          <w:rFonts w:ascii="Arial" w:eastAsia="Aptos" w:hAnsi="Arial" w:cs="Arial"/>
          <w:i/>
          <w:iCs/>
          <w:kern w:val="2"/>
        </w:rPr>
        <w:t>in vitro</w:t>
      </w:r>
      <w:r w:rsidR="00C453D2" w:rsidRPr="00C453D2">
        <w:rPr>
          <w:rFonts w:ascii="Arial" w:eastAsia="Aptos" w:hAnsi="Arial" w:cs="Arial"/>
          <w:kern w:val="2"/>
        </w:rPr>
        <w:t xml:space="preserve"> conditions.</w:t>
      </w:r>
    </w:p>
    <w:p w14:paraId="5B23BCB6" w14:textId="789D2A5F" w:rsidR="009F4598" w:rsidRPr="009F4598" w:rsidRDefault="00AA74E0" w:rsidP="009F4598">
      <w:pPr>
        <w:jc w:val="both"/>
        <w:rPr>
          <w:rFonts w:ascii="Arial" w:eastAsia="Aptos" w:hAnsi="Arial" w:cs="Arial"/>
          <w:b/>
          <w:bCs/>
          <w:kern w:val="2"/>
          <w:lang w:val="en-IN"/>
        </w:rPr>
      </w:pPr>
      <w:r w:rsidRPr="00C30A0F">
        <w:rPr>
          <w:rFonts w:ascii="Arial" w:hAnsi="Arial" w:cs="Arial"/>
          <w:b/>
          <w:caps/>
          <w:sz w:val="22"/>
        </w:rPr>
        <w:t xml:space="preserve">2.1 </w:t>
      </w:r>
      <w:r w:rsidR="009F4598" w:rsidRPr="009F4598">
        <w:rPr>
          <w:rFonts w:ascii="Arial" w:eastAsia="Aptos" w:hAnsi="Arial" w:cs="Arial"/>
          <w:b/>
          <w:bCs/>
          <w:i/>
          <w:iCs/>
          <w:kern w:val="2"/>
          <w:lang w:val="en-IN"/>
        </w:rPr>
        <w:t xml:space="preserve">In vitro </w:t>
      </w:r>
      <w:r w:rsidR="009F4598" w:rsidRPr="009F4598">
        <w:rPr>
          <w:rFonts w:ascii="Arial" w:eastAsia="Aptos" w:hAnsi="Arial" w:cs="Arial"/>
          <w:b/>
          <w:bCs/>
          <w:kern w:val="2"/>
          <w:lang w:val="en-IN"/>
        </w:rPr>
        <w:t>screening of modern fungicides</w:t>
      </w:r>
    </w:p>
    <w:p w14:paraId="24713A02" w14:textId="77777777" w:rsidR="009F4598" w:rsidRDefault="009F4598" w:rsidP="00441B6F">
      <w:pPr>
        <w:pStyle w:val="Body"/>
        <w:spacing w:after="0"/>
        <w:rPr>
          <w:rFonts w:ascii="Arial" w:hAnsi="Arial" w:cs="Arial"/>
          <w:b/>
          <w:caps/>
        </w:rPr>
      </w:pPr>
    </w:p>
    <w:p w14:paraId="59E8B160" w14:textId="3EB894A5" w:rsidR="009F4598" w:rsidRDefault="009F4598" w:rsidP="009F4598">
      <w:pPr>
        <w:spacing w:after="160"/>
        <w:jc w:val="both"/>
        <w:rPr>
          <w:rFonts w:ascii="Arial" w:eastAsia="Aptos" w:hAnsi="Arial" w:cs="Arial"/>
          <w:kern w:val="2"/>
          <w:lang w:val="en-IN"/>
        </w:rPr>
      </w:pPr>
      <w:r w:rsidRPr="009F4598">
        <w:rPr>
          <w:rFonts w:ascii="Arial" w:eastAsia="Aptos" w:hAnsi="Arial" w:cs="Arial"/>
          <w:kern w:val="2"/>
          <w:lang w:val="en-IN"/>
        </w:rPr>
        <w:t>New generation fungicides that are commercially available in the markets and are cost friendly to farmers were chosen in this study. The pathogen w</w:t>
      </w:r>
      <w:r w:rsidR="000A490A">
        <w:rPr>
          <w:rFonts w:ascii="Arial" w:eastAsia="Aptos" w:hAnsi="Arial" w:cs="Arial"/>
          <w:kern w:val="2"/>
          <w:lang w:val="en-IN"/>
        </w:rPr>
        <w:t>as</w:t>
      </w:r>
      <w:r w:rsidRPr="009F4598">
        <w:rPr>
          <w:rFonts w:ascii="Arial" w:eastAsia="Aptos" w:hAnsi="Arial" w:cs="Arial"/>
          <w:kern w:val="2"/>
          <w:lang w:val="en-IN"/>
        </w:rPr>
        <w:t xml:space="preserve"> screened using 3 triazoles (</w:t>
      </w:r>
      <w:proofErr w:type="spellStart"/>
      <w:r w:rsidRPr="009F4598">
        <w:rPr>
          <w:rFonts w:ascii="Arial" w:eastAsia="Aptos" w:hAnsi="Arial" w:cs="Arial"/>
          <w:kern w:val="2"/>
          <w:lang w:val="en-IN"/>
        </w:rPr>
        <w:t>Difenconazole</w:t>
      </w:r>
      <w:proofErr w:type="spellEnd"/>
      <w:r w:rsidRPr="009F4598">
        <w:rPr>
          <w:rFonts w:ascii="Arial" w:eastAsia="Aptos" w:hAnsi="Arial" w:cs="Arial"/>
          <w:kern w:val="2"/>
          <w:lang w:val="en-IN"/>
        </w:rPr>
        <w:t xml:space="preserve"> 25% EC, Propiconazole 25% EC and Hexaconazole 5% EC), one strobilurin (Azoxystrobin 23% SC) and four combination fungicides (Carbendazim 12% + Mancozeb 63% WP, Tebuconazole 50% + </w:t>
      </w:r>
      <w:proofErr w:type="spellStart"/>
      <w:r w:rsidRPr="009F4598">
        <w:rPr>
          <w:rFonts w:ascii="Arial" w:eastAsia="Aptos" w:hAnsi="Arial" w:cs="Arial"/>
          <w:kern w:val="2"/>
          <w:lang w:val="en-IN"/>
        </w:rPr>
        <w:t>Trifloxystrobin</w:t>
      </w:r>
      <w:proofErr w:type="spellEnd"/>
      <w:r w:rsidRPr="009F4598">
        <w:rPr>
          <w:rFonts w:ascii="Arial" w:eastAsia="Aptos" w:hAnsi="Arial" w:cs="Arial"/>
          <w:kern w:val="2"/>
          <w:lang w:val="en-IN"/>
        </w:rPr>
        <w:t xml:space="preserve"> 25% WG, Fluxapyroxad 21.26 % + </w:t>
      </w:r>
      <w:proofErr w:type="spellStart"/>
      <w:r w:rsidRPr="009F4598">
        <w:rPr>
          <w:rFonts w:ascii="Arial" w:eastAsia="Aptos" w:hAnsi="Arial" w:cs="Arial"/>
          <w:kern w:val="2"/>
          <w:lang w:val="en-IN"/>
        </w:rPr>
        <w:t>Pyraclostrobin</w:t>
      </w:r>
      <w:proofErr w:type="spellEnd"/>
      <w:r w:rsidRPr="009F4598">
        <w:rPr>
          <w:rFonts w:ascii="Arial" w:eastAsia="Aptos" w:hAnsi="Arial" w:cs="Arial"/>
          <w:kern w:val="2"/>
          <w:lang w:val="en-IN"/>
        </w:rPr>
        <w:t xml:space="preserve"> 21.26 % SC, Tricyclazole 18 % + Mancozeb 62 % WP). The efficacy of fungicides was evaluated using poison food technique given by Nene and Thapliyal (1993) at three concentrations (0.1%, 0.15% and 0.2%), each with three replications (Table 1).</w:t>
      </w:r>
    </w:p>
    <w:p w14:paraId="187AE52F" w14:textId="77777777" w:rsidR="000A490A" w:rsidRDefault="000A490A" w:rsidP="000A490A">
      <w:pPr>
        <w:jc w:val="center"/>
        <w:rPr>
          <w:rFonts w:ascii="Arial" w:hAnsi="Arial" w:cs="Arial"/>
          <w:b/>
          <w:bCs/>
        </w:rPr>
      </w:pPr>
    </w:p>
    <w:p w14:paraId="1FD23C8E" w14:textId="13EE2969" w:rsidR="000A490A" w:rsidRDefault="002B3FDB" w:rsidP="000A490A">
      <w:pPr>
        <w:jc w:val="center"/>
        <w:rPr>
          <w:rFonts w:ascii="Arial" w:hAnsi="Arial" w:cs="Arial"/>
          <w:b/>
          <w:bCs/>
        </w:rPr>
      </w:pPr>
      <w:r w:rsidRPr="00AF15F3">
        <w:rPr>
          <w:rFonts w:ascii="Arial" w:hAnsi="Arial" w:cs="Arial"/>
          <w:b/>
          <w:bCs/>
          <w:highlight w:val="yellow"/>
        </w:rPr>
        <w:t xml:space="preserve">Table 1. </w:t>
      </w:r>
      <w:r w:rsidR="00AF15F3" w:rsidRPr="00AF15F3">
        <w:rPr>
          <w:rFonts w:ascii="Arial" w:hAnsi="Arial" w:cs="Arial"/>
          <w:b/>
          <w:bCs/>
          <w:highlight w:val="yellow"/>
        </w:rPr>
        <w:t>List of n</w:t>
      </w:r>
      <w:r w:rsidRPr="00AF15F3">
        <w:rPr>
          <w:rFonts w:ascii="Arial" w:hAnsi="Arial" w:cs="Arial"/>
          <w:b/>
          <w:bCs/>
          <w:highlight w:val="yellow"/>
        </w:rPr>
        <w:t>ew</w:t>
      </w:r>
      <w:r w:rsidR="00AF15F3" w:rsidRPr="00AF15F3">
        <w:rPr>
          <w:rFonts w:ascii="Arial" w:hAnsi="Arial" w:cs="Arial"/>
          <w:b/>
          <w:bCs/>
          <w:highlight w:val="yellow"/>
        </w:rPr>
        <w:t>-</w:t>
      </w:r>
      <w:r w:rsidRPr="00AF15F3">
        <w:rPr>
          <w:rFonts w:ascii="Arial" w:hAnsi="Arial" w:cs="Arial"/>
          <w:b/>
          <w:bCs/>
          <w:highlight w:val="yellow"/>
        </w:rPr>
        <w:t>generation fungicides used in this study</w:t>
      </w:r>
    </w:p>
    <w:tbl>
      <w:tblPr>
        <w:tblStyle w:val="TableGrid1"/>
        <w:tblW w:w="8109" w:type="dxa"/>
        <w:tblInd w:w="108" w:type="dxa"/>
        <w:tblLayout w:type="fixed"/>
        <w:tblLook w:val="04A0" w:firstRow="1" w:lastRow="0" w:firstColumn="1" w:lastColumn="0" w:noHBand="0" w:noVBand="1"/>
      </w:tblPr>
      <w:tblGrid>
        <w:gridCol w:w="1266"/>
        <w:gridCol w:w="1740"/>
        <w:gridCol w:w="1701"/>
        <w:gridCol w:w="1701"/>
        <w:gridCol w:w="1701"/>
      </w:tblGrid>
      <w:tr w:rsidR="00DF51A3" w:rsidRPr="002B3FDB" w14:paraId="2E628703" w14:textId="77777777" w:rsidTr="00DF51A3">
        <w:trPr>
          <w:trHeight w:val="680"/>
        </w:trPr>
        <w:tc>
          <w:tcPr>
            <w:tcW w:w="1266" w:type="dxa"/>
            <w:vAlign w:val="center"/>
          </w:tcPr>
          <w:p w14:paraId="3BC2BEE8" w14:textId="77777777" w:rsidR="00DF51A3" w:rsidRPr="002B3FDB" w:rsidRDefault="00DF51A3" w:rsidP="00E64AA5">
            <w:pPr>
              <w:spacing w:line="480" w:lineRule="auto"/>
              <w:jc w:val="center"/>
              <w:rPr>
                <w:rFonts w:ascii="Arial" w:hAnsi="Arial" w:cs="Arial"/>
                <w:b/>
                <w:sz w:val="20"/>
              </w:rPr>
            </w:pPr>
            <w:r w:rsidRPr="002B3FDB">
              <w:rPr>
                <w:rFonts w:ascii="Arial" w:hAnsi="Arial" w:cs="Arial"/>
                <w:b/>
                <w:sz w:val="20"/>
              </w:rPr>
              <w:t>Sl. No.</w:t>
            </w:r>
          </w:p>
        </w:tc>
        <w:tc>
          <w:tcPr>
            <w:tcW w:w="1740" w:type="dxa"/>
            <w:vAlign w:val="center"/>
          </w:tcPr>
          <w:p w14:paraId="3922A997" w14:textId="77777777" w:rsidR="00DF51A3" w:rsidRPr="002B3FDB" w:rsidRDefault="00DF51A3" w:rsidP="00553013">
            <w:pPr>
              <w:spacing w:line="480" w:lineRule="auto"/>
              <w:jc w:val="center"/>
              <w:rPr>
                <w:rFonts w:ascii="Arial" w:hAnsi="Arial" w:cs="Arial"/>
                <w:b/>
                <w:sz w:val="20"/>
              </w:rPr>
            </w:pPr>
            <w:r w:rsidRPr="002B3FDB">
              <w:rPr>
                <w:rFonts w:ascii="Arial" w:hAnsi="Arial" w:cs="Arial"/>
                <w:b/>
                <w:sz w:val="20"/>
              </w:rPr>
              <w:t>Chemical name</w:t>
            </w:r>
          </w:p>
        </w:tc>
        <w:tc>
          <w:tcPr>
            <w:tcW w:w="1701" w:type="dxa"/>
            <w:vAlign w:val="center"/>
          </w:tcPr>
          <w:p w14:paraId="01D0E17F" w14:textId="03D87599" w:rsidR="00DF51A3" w:rsidRPr="002B3FDB" w:rsidRDefault="00DF51A3" w:rsidP="00553013">
            <w:pPr>
              <w:spacing w:line="480" w:lineRule="auto"/>
              <w:jc w:val="center"/>
              <w:rPr>
                <w:rFonts w:ascii="Arial" w:hAnsi="Arial" w:cs="Arial"/>
                <w:b/>
                <w:sz w:val="20"/>
              </w:rPr>
            </w:pPr>
            <w:r w:rsidRPr="002B3FDB">
              <w:rPr>
                <w:rFonts w:ascii="Arial" w:hAnsi="Arial" w:cs="Arial"/>
                <w:b/>
                <w:sz w:val="20"/>
              </w:rPr>
              <w:t>Trade name</w:t>
            </w:r>
          </w:p>
        </w:tc>
        <w:tc>
          <w:tcPr>
            <w:tcW w:w="1701" w:type="dxa"/>
          </w:tcPr>
          <w:p w14:paraId="071710D1" w14:textId="53148B47" w:rsidR="00DF51A3" w:rsidRPr="00DF51A3" w:rsidRDefault="00DF51A3" w:rsidP="00553013">
            <w:pPr>
              <w:spacing w:line="480" w:lineRule="auto"/>
              <w:jc w:val="center"/>
              <w:rPr>
                <w:rFonts w:ascii="Arial" w:hAnsi="Arial" w:cs="Arial"/>
                <w:b/>
                <w:highlight w:val="yellow"/>
              </w:rPr>
            </w:pPr>
            <w:r w:rsidRPr="00DF51A3">
              <w:rPr>
                <w:rFonts w:ascii="Arial" w:hAnsi="Arial" w:cs="Arial"/>
                <w:b/>
                <w:sz w:val="20"/>
                <w:szCs w:val="20"/>
                <w:highlight w:val="yellow"/>
              </w:rPr>
              <w:t>Chemical component</w:t>
            </w:r>
          </w:p>
        </w:tc>
        <w:tc>
          <w:tcPr>
            <w:tcW w:w="1701" w:type="dxa"/>
            <w:vAlign w:val="center"/>
          </w:tcPr>
          <w:p w14:paraId="45677E3B" w14:textId="2C92641A" w:rsidR="00DF51A3" w:rsidRPr="002B3FDB" w:rsidRDefault="00DF51A3" w:rsidP="00553013">
            <w:pPr>
              <w:spacing w:line="480" w:lineRule="auto"/>
              <w:jc w:val="center"/>
              <w:rPr>
                <w:rFonts w:ascii="Arial" w:hAnsi="Arial" w:cs="Arial"/>
                <w:b/>
                <w:sz w:val="20"/>
              </w:rPr>
            </w:pPr>
            <w:r w:rsidRPr="002B3FDB">
              <w:rPr>
                <w:rFonts w:ascii="Arial" w:hAnsi="Arial" w:cs="Arial"/>
                <w:b/>
                <w:sz w:val="20"/>
              </w:rPr>
              <w:t>Target site</w:t>
            </w:r>
          </w:p>
        </w:tc>
      </w:tr>
      <w:tr w:rsidR="00DF51A3" w:rsidRPr="002B3FDB" w14:paraId="4C74F171" w14:textId="77777777" w:rsidTr="00DF51A3">
        <w:trPr>
          <w:trHeight w:val="680"/>
        </w:trPr>
        <w:tc>
          <w:tcPr>
            <w:tcW w:w="1266" w:type="dxa"/>
            <w:vAlign w:val="center"/>
          </w:tcPr>
          <w:p w14:paraId="14E245F3" w14:textId="77777777" w:rsidR="00DF51A3" w:rsidRPr="002B3FDB" w:rsidRDefault="00DF51A3" w:rsidP="00DF51A3">
            <w:pPr>
              <w:spacing w:line="480" w:lineRule="auto"/>
              <w:jc w:val="center"/>
              <w:rPr>
                <w:rFonts w:ascii="Arial" w:hAnsi="Arial" w:cs="Arial"/>
                <w:sz w:val="20"/>
              </w:rPr>
            </w:pPr>
            <w:r w:rsidRPr="002B3FDB">
              <w:rPr>
                <w:rFonts w:ascii="Arial" w:hAnsi="Arial" w:cs="Arial"/>
                <w:sz w:val="20"/>
              </w:rPr>
              <w:t>1.</w:t>
            </w:r>
          </w:p>
        </w:tc>
        <w:tc>
          <w:tcPr>
            <w:tcW w:w="1740" w:type="dxa"/>
            <w:vAlign w:val="center"/>
          </w:tcPr>
          <w:p w14:paraId="47A2362C" w14:textId="77777777" w:rsidR="00DF51A3" w:rsidRPr="002B3FDB" w:rsidRDefault="00DF51A3" w:rsidP="00DF51A3">
            <w:pPr>
              <w:spacing w:line="480" w:lineRule="auto"/>
              <w:jc w:val="center"/>
              <w:rPr>
                <w:rFonts w:ascii="Arial" w:hAnsi="Arial" w:cs="Arial"/>
                <w:sz w:val="20"/>
              </w:rPr>
            </w:pPr>
            <w:r w:rsidRPr="002B3FDB">
              <w:rPr>
                <w:rFonts w:ascii="Arial" w:hAnsi="Arial" w:cs="Arial"/>
                <w:sz w:val="20"/>
              </w:rPr>
              <w:t>Azoxystrobin 23% SC</w:t>
            </w:r>
          </w:p>
        </w:tc>
        <w:tc>
          <w:tcPr>
            <w:tcW w:w="1701" w:type="dxa"/>
            <w:vAlign w:val="center"/>
          </w:tcPr>
          <w:p w14:paraId="350506FC" w14:textId="60803C81" w:rsidR="00DF51A3" w:rsidRPr="002B3FDB" w:rsidRDefault="00DF51A3" w:rsidP="00DF51A3">
            <w:pPr>
              <w:spacing w:line="480" w:lineRule="auto"/>
              <w:jc w:val="center"/>
              <w:rPr>
                <w:rFonts w:ascii="Arial" w:hAnsi="Arial" w:cs="Arial"/>
                <w:sz w:val="20"/>
              </w:rPr>
            </w:pPr>
            <w:proofErr w:type="spellStart"/>
            <w:r w:rsidRPr="002B3FDB">
              <w:rPr>
                <w:rFonts w:ascii="Arial" w:hAnsi="Arial" w:cs="Arial"/>
                <w:sz w:val="20"/>
              </w:rPr>
              <w:t>Amistar</w:t>
            </w:r>
            <w:proofErr w:type="spellEnd"/>
            <w:r w:rsidRPr="002B3FDB">
              <w:rPr>
                <w:rFonts w:ascii="Arial" w:hAnsi="Arial" w:cs="Arial"/>
                <w:sz w:val="20"/>
              </w:rPr>
              <w:t xml:space="preserve"> 23% SC</w:t>
            </w:r>
          </w:p>
        </w:tc>
        <w:tc>
          <w:tcPr>
            <w:tcW w:w="1701" w:type="dxa"/>
            <w:vAlign w:val="center"/>
          </w:tcPr>
          <w:p w14:paraId="0992EFCD" w14:textId="57527E53" w:rsidR="00DF51A3" w:rsidRPr="00DF51A3" w:rsidRDefault="00DF51A3" w:rsidP="00DF51A3">
            <w:pPr>
              <w:spacing w:line="480" w:lineRule="auto"/>
              <w:jc w:val="center"/>
              <w:rPr>
                <w:rFonts w:ascii="Arial" w:hAnsi="Arial" w:cs="Arial"/>
                <w:highlight w:val="yellow"/>
              </w:rPr>
            </w:pPr>
            <w:r w:rsidRPr="00DF51A3">
              <w:rPr>
                <w:rFonts w:ascii="Arial" w:hAnsi="Arial" w:cs="Arial"/>
                <w:sz w:val="20"/>
                <w:highlight w:val="yellow"/>
              </w:rPr>
              <w:t>Azoxystrobin</w:t>
            </w:r>
          </w:p>
        </w:tc>
        <w:tc>
          <w:tcPr>
            <w:tcW w:w="1701" w:type="dxa"/>
            <w:vAlign w:val="center"/>
          </w:tcPr>
          <w:p w14:paraId="1CE9B296" w14:textId="1AECCD76" w:rsidR="00DF51A3" w:rsidRPr="002B3FDB" w:rsidRDefault="00DF51A3" w:rsidP="00DF51A3">
            <w:pPr>
              <w:spacing w:line="480" w:lineRule="auto"/>
              <w:jc w:val="center"/>
              <w:rPr>
                <w:rFonts w:ascii="Arial" w:hAnsi="Arial" w:cs="Arial"/>
                <w:sz w:val="20"/>
              </w:rPr>
            </w:pPr>
            <w:proofErr w:type="spellStart"/>
            <w:r w:rsidRPr="002B3FDB">
              <w:rPr>
                <w:rFonts w:ascii="Arial" w:hAnsi="Arial" w:cs="Arial"/>
                <w:sz w:val="20"/>
              </w:rPr>
              <w:t>QoI</w:t>
            </w:r>
            <w:proofErr w:type="spellEnd"/>
            <w:r w:rsidRPr="002B3FDB">
              <w:rPr>
                <w:rFonts w:ascii="Arial" w:hAnsi="Arial" w:cs="Arial"/>
                <w:sz w:val="20"/>
              </w:rPr>
              <w:t xml:space="preserve">, </w:t>
            </w:r>
            <w:proofErr w:type="spellStart"/>
            <w:r w:rsidRPr="002B3FDB">
              <w:rPr>
                <w:rFonts w:ascii="Arial" w:hAnsi="Arial" w:cs="Arial"/>
                <w:sz w:val="20"/>
              </w:rPr>
              <w:t>strobilurin</w:t>
            </w:r>
            <w:proofErr w:type="spellEnd"/>
            <w:r w:rsidRPr="002B3FDB">
              <w:rPr>
                <w:rFonts w:ascii="Arial" w:hAnsi="Arial" w:cs="Arial"/>
                <w:sz w:val="20"/>
              </w:rPr>
              <w:t xml:space="preserve"> class</w:t>
            </w:r>
          </w:p>
        </w:tc>
      </w:tr>
      <w:tr w:rsidR="00DF51A3" w:rsidRPr="002B3FDB" w14:paraId="5E82E1C9" w14:textId="77777777" w:rsidTr="00DF51A3">
        <w:trPr>
          <w:trHeight w:val="680"/>
        </w:trPr>
        <w:tc>
          <w:tcPr>
            <w:tcW w:w="1266" w:type="dxa"/>
            <w:vAlign w:val="center"/>
          </w:tcPr>
          <w:p w14:paraId="3D5F6ACC" w14:textId="77777777" w:rsidR="00DF51A3" w:rsidRPr="002B3FDB" w:rsidRDefault="00DF51A3" w:rsidP="00DF51A3">
            <w:pPr>
              <w:spacing w:line="480" w:lineRule="auto"/>
              <w:jc w:val="center"/>
              <w:rPr>
                <w:rFonts w:ascii="Arial" w:hAnsi="Arial" w:cs="Arial"/>
                <w:sz w:val="20"/>
              </w:rPr>
            </w:pPr>
            <w:r w:rsidRPr="002B3FDB">
              <w:rPr>
                <w:rFonts w:ascii="Arial" w:hAnsi="Arial" w:cs="Arial"/>
                <w:sz w:val="20"/>
              </w:rPr>
              <w:lastRenderedPageBreak/>
              <w:t>2.</w:t>
            </w:r>
          </w:p>
        </w:tc>
        <w:tc>
          <w:tcPr>
            <w:tcW w:w="1740" w:type="dxa"/>
            <w:vAlign w:val="center"/>
          </w:tcPr>
          <w:p w14:paraId="1090D96C" w14:textId="77777777" w:rsidR="00DF51A3" w:rsidRPr="002B3FDB" w:rsidRDefault="00DF51A3" w:rsidP="00DF51A3">
            <w:pPr>
              <w:spacing w:line="480" w:lineRule="auto"/>
              <w:jc w:val="center"/>
              <w:rPr>
                <w:rFonts w:ascii="Arial" w:hAnsi="Arial" w:cs="Arial"/>
                <w:sz w:val="20"/>
              </w:rPr>
            </w:pPr>
            <w:r w:rsidRPr="002B3FDB">
              <w:rPr>
                <w:rFonts w:ascii="Arial" w:hAnsi="Arial" w:cs="Arial"/>
                <w:sz w:val="20"/>
              </w:rPr>
              <w:t>Hexaconazole 5% EC</w:t>
            </w:r>
          </w:p>
        </w:tc>
        <w:tc>
          <w:tcPr>
            <w:tcW w:w="1701" w:type="dxa"/>
            <w:vAlign w:val="center"/>
          </w:tcPr>
          <w:p w14:paraId="1FF1B863" w14:textId="768A04CD" w:rsidR="00DF51A3" w:rsidRPr="002B3FDB" w:rsidRDefault="00DF51A3" w:rsidP="00DF51A3">
            <w:pPr>
              <w:spacing w:line="480" w:lineRule="auto"/>
              <w:jc w:val="center"/>
              <w:rPr>
                <w:rFonts w:ascii="Arial" w:hAnsi="Arial" w:cs="Arial"/>
                <w:sz w:val="20"/>
              </w:rPr>
            </w:pPr>
            <w:proofErr w:type="spellStart"/>
            <w:r w:rsidRPr="002B3FDB">
              <w:rPr>
                <w:rFonts w:ascii="Arial" w:hAnsi="Arial" w:cs="Arial"/>
                <w:sz w:val="20"/>
              </w:rPr>
              <w:t>Contaf</w:t>
            </w:r>
            <w:proofErr w:type="spellEnd"/>
            <w:r w:rsidRPr="002B3FDB">
              <w:rPr>
                <w:rFonts w:ascii="Arial" w:hAnsi="Arial" w:cs="Arial"/>
                <w:sz w:val="20"/>
              </w:rPr>
              <w:t xml:space="preserve"> 5% EC</w:t>
            </w:r>
          </w:p>
        </w:tc>
        <w:tc>
          <w:tcPr>
            <w:tcW w:w="1701" w:type="dxa"/>
            <w:vAlign w:val="center"/>
          </w:tcPr>
          <w:p w14:paraId="3DD1A91E" w14:textId="12C50D72" w:rsidR="00DF51A3" w:rsidRPr="00DF51A3" w:rsidRDefault="00DF51A3" w:rsidP="00DF51A3">
            <w:pPr>
              <w:spacing w:line="480" w:lineRule="auto"/>
              <w:jc w:val="center"/>
              <w:rPr>
                <w:rFonts w:ascii="Arial" w:hAnsi="Arial" w:cs="Arial"/>
                <w:highlight w:val="yellow"/>
              </w:rPr>
            </w:pPr>
            <w:r w:rsidRPr="00DF51A3">
              <w:rPr>
                <w:rFonts w:ascii="Arial" w:hAnsi="Arial" w:cs="Arial"/>
                <w:sz w:val="20"/>
                <w:highlight w:val="yellow"/>
              </w:rPr>
              <w:t>Hexaconazole</w:t>
            </w:r>
          </w:p>
        </w:tc>
        <w:tc>
          <w:tcPr>
            <w:tcW w:w="1701" w:type="dxa"/>
            <w:vAlign w:val="center"/>
          </w:tcPr>
          <w:p w14:paraId="173B71A1" w14:textId="65064D55" w:rsidR="00DF51A3" w:rsidRPr="002B3FDB" w:rsidRDefault="00DF51A3" w:rsidP="00DF51A3">
            <w:pPr>
              <w:spacing w:line="480" w:lineRule="auto"/>
              <w:jc w:val="center"/>
              <w:rPr>
                <w:rFonts w:ascii="Arial" w:hAnsi="Arial" w:cs="Arial"/>
                <w:sz w:val="20"/>
              </w:rPr>
            </w:pPr>
            <w:r w:rsidRPr="002B3FDB">
              <w:rPr>
                <w:rFonts w:ascii="Arial" w:hAnsi="Arial" w:cs="Arial"/>
                <w:sz w:val="20"/>
              </w:rPr>
              <w:t>DMI, triazole class</w:t>
            </w:r>
          </w:p>
        </w:tc>
      </w:tr>
      <w:tr w:rsidR="00DF51A3" w:rsidRPr="002B3FDB" w14:paraId="35027DA5" w14:textId="77777777" w:rsidTr="00DF51A3">
        <w:trPr>
          <w:trHeight w:val="680"/>
        </w:trPr>
        <w:tc>
          <w:tcPr>
            <w:tcW w:w="1266" w:type="dxa"/>
            <w:vAlign w:val="center"/>
          </w:tcPr>
          <w:p w14:paraId="5E1CD3FA" w14:textId="77777777" w:rsidR="00DF51A3" w:rsidRPr="002B3FDB" w:rsidRDefault="00DF51A3" w:rsidP="00DF51A3">
            <w:pPr>
              <w:spacing w:line="480" w:lineRule="auto"/>
              <w:jc w:val="center"/>
              <w:rPr>
                <w:rFonts w:ascii="Arial" w:hAnsi="Arial" w:cs="Arial"/>
                <w:sz w:val="20"/>
              </w:rPr>
            </w:pPr>
            <w:r w:rsidRPr="002B3FDB">
              <w:rPr>
                <w:rFonts w:ascii="Arial" w:hAnsi="Arial" w:cs="Arial"/>
                <w:sz w:val="20"/>
              </w:rPr>
              <w:t>3.</w:t>
            </w:r>
          </w:p>
        </w:tc>
        <w:tc>
          <w:tcPr>
            <w:tcW w:w="1740" w:type="dxa"/>
            <w:vAlign w:val="center"/>
          </w:tcPr>
          <w:p w14:paraId="12FD169C" w14:textId="77777777" w:rsidR="00DF51A3" w:rsidRPr="002B3FDB" w:rsidRDefault="00DF51A3" w:rsidP="00DF51A3">
            <w:pPr>
              <w:spacing w:line="480" w:lineRule="auto"/>
              <w:jc w:val="center"/>
              <w:rPr>
                <w:rFonts w:ascii="Arial" w:hAnsi="Arial" w:cs="Arial"/>
                <w:sz w:val="20"/>
              </w:rPr>
            </w:pPr>
            <w:r w:rsidRPr="002B3FDB">
              <w:rPr>
                <w:rFonts w:ascii="Arial" w:hAnsi="Arial" w:cs="Arial"/>
                <w:sz w:val="20"/>
              </w:rPr>
              <w:t>Propiconazole 25% EC</w:t>
            </w:r>
          </w:p>
        </w:tc>
        <w:tc>
          <w:tcPr>
            <w:tcW w:w="1701" w:type="dxa"/>
            <w:vAlign w:val="center"/>
          </w:tcPr>
          <w:p w14:paraId="12590AA8" w14:textId="6C280951" w:rsidR="00DF51A3" w:rsidRPr="002B3FDB" w:rsidRDefault="00DF51A3" w:rsidP="00DF51A3">
            <w:pPr>
              <w:spacing w:line="480" w:lineRule="auto"/>
              <w:jc w:val="center"/>
              <w:rPr>
                <w:rFonts w:ascii="Arial" w:hAnsi="Arial" w:cs="Arial"/>
                <w:sz w:val="20"/>
              </w:rPr>
            </w:pPr>
            <w:r w:rsidRPr="002B3FDB">
              <w:rPr>
                <w:rFonts w:ascii="Arial" w:hAnsi="Arial" w:cs="Arial"/>
                <w:sz w:val="20"/>
              </w:rPr>
              <w:t>Tilt 25% EC</w:t>
            </w:r>
          </w:p>
        </w:tc>
        <w:tc>
          <w:tcPr>
            <w:tcW w:w="1701" w:type="dxa"/>
            <w:vAlign w:val="center"/>
          </w:tcPr>
          <w:p w14:paraId="6FFF7546" w14:textId="2CA19958" w:rsidR="00DF51A3" w:rsidRPr="00DF51A3" w:rsidRDefault="00DF51A3" w:rsidP="00DF51A3">
            <w:pPr>
              <w:spacing w:line="480" w:lineRule="auto"/>
              <w:jc w:val="center"/>
              <w:rPr>
                <w:rFonts w:ascii="Arial" w:hAnsi="Arial" w:cs="Arial"/>
                <w:highlight w:val="yellow"/>
              </w:rPr>
            </w:pPr>
            <w:r w:rsidRPr="00DF51A3">
              <w:rPr>
                <w:rFonts w:ascii="Arial" w:hAnsi="Arial" w:cs="Arial"/>
                <w:sz w:val="20"/>
                <w:highlight w:val="yellow"/>
              </w:rPr>
              <w:t>Propiconazole</w:t>
            </w:r>
          </w:p>
        </w:tc>
        <w:tc>
          <w:tcPr>
            <w:tcW w:w="1701" w:type="dxa"/>
            <w:vAlign w:val="center"/>
          </w:tcPr>
          <w:p w14:paraId="7CFA9A68" w14:textId="2F51CBAD" w:rsidR="00DF51A3" w:rsidRPr="002B3FDB" w:rsidRDefault="00DF51A3" w:rsidP="00DF51A3">
            <w:pPr>
              <w:spacing w:line="480" w:lineRule="auto"/>
              <w:jc w:val="center"/>
              <w:rPr>
                <w:rFonts w:ascii="Arial" w:hAnsi="Arial" w:cs="Arial"/>
                <w:sz w:val="20"/>
              </w:rPr>
            </w:pPr>
            <w:r w:rsidRPr="002B3FDB">
              <w:rPr>
                <w:rFonts w:ascii="Arial" w:hAnsi="Arial" w:cs="Arial"/>
                <w:sz w:val="20"/>
              </w:rPr>
              <w:t>DMI, triazole class</w:t>
            </w:r>
          </w:p>
        </w:tc>
      </w:tr>
      <w:tr w:rsidR="00DF51A3" w:rsidRPr="002B3FDB" w14:paraId="3559AF95" w14:textId="77777777" w:rsidTr="00DF51A3">
        <w:trPr>
          <w:trHeight w:val="680"/>
        </w:trPr>
        <w:tc>
          <w:tcPr>
            <w:tcW w:w="1266" w:type="dxa"/>
            <w:vAlign w:val="center"/>
          </w:tcPr>
          <w:p w14:paraId="3B9AF224" w14:textId="77777777" w:rsidR="00DF51A3" w:rsidRPr="002B3FDB" w:rsidRDefault="00DF51A3" w:rsidP="00DF51A3">
            <w:pPr>
              <w:spacing w:line="480" w:lineRule="auto"/>
              <w:jc w:val="center"/>
              <w:rPr>
                <w:rFonts w:ascii="Arial" w:hAnsi="Arial" w:cs="Arial"/>
                <w:sz w:val="20"/>
              </w:rPr>
            </w:pPr>
            <w:r w:rsidRPr="002B3FDB">
              <w:rPr>
                <w:rFonts w:ascii="Arial" w:hAnsi="Arial" w:cs="Arial"/>
                <w:sz w:val="20"/>
              </w:rPr>
              <w:t>4.</w:t>
            </w:r>
          </w:p>
        </w:tc>
        <w:tc>
          <w:tcPr>
            <w:tcW w:w="1740" w:type="dxa"/>
            <w:vAlign w:val="center"/>
          </w:tcPr>
          <w:p w14:paraId="424828B1" w14:textId="77777777" w:rsidR="00DF51A3" w:rsidRPr="002B3FDB" w:rsidRDefault="00DF51A3" w:rsidP="00DF51A3">
            <w:pPr>
              <w:spacing w:line="480" w:lineRule="auto"/>
              <w:jc w:val="center"/>
              <w:rPr>
                <w:rFonts w:ascii="Arial" w:hAnsi="Arial" w:cs="Arial"/>
                <w:sz w:val="20"/>
              </w:rPr>
            </w:pPr>
            <w:r w:rsidRPr="002B3FDB">
              <w:rPr>
                <w:rFonts w:ascii="Arial" w:hAnsi="Arial" w:cs="Arial"/>
                <w:sz w:val="20"/>
              </w:rPr>
              <w:t>Difenoconazole 25% EC</w:t>
            </w:r>
          </w:p>
        </w:tc>
        <w:tc>
          <w:tcPr>
            <w:tcW w:w="1701" w:type="dxa"/>
            <w:vAlign w:val="center"/>
          </w:tcPr>
          <w:p w14:paraId="654DF16E" w14:textId="5DD4EE18" w:rsidR="00DF51A3" w:rsidRPr="002B3FDB" w:rsidRDefault="00DF51A3" w:rsidP="00DF51A3">
            <w:pPr>
              <w:spacing w:line="480" w:lineRule="auto"/>
              <w:jc w:val="center"/>
              <w:rPr>
                <w:rFonts w:ascii="Arial" w:hAnsi="Arial" w:cs="Arial"/>
                <w:sz w:val="20"/>
              </w:rPr>
            </w:pPr>
            <w:r w:rsidRPr="002B3FDB">
              <w:rPr>
                <w:rFonts w:ascii="Arial" w:hAnsi="Arial" w:cs="Arial"/>
                <w:sz w:val="20"/>
              </w:rPr>
              <w:t>Score 25% EC</w:t>
            </w:r>
          </w:p>
        </w:tc>
        <w:tc>
          <w:tcPr>
            <w:tcW w:w="1701" w:type="dxa"/>
            <w:vAlign w:val="center"/>
          </w:tcPr>
          <w:p w14:paraId="433ADE15" w14:textId="4E849105" w:rsidR="00DF51A3" w:rsidRPr="00DF51A3" w:rsidRDefault="00DF51A3" w:rsidP="00DF51A3">
            <w:pPr>
              <w:spacing w:line="480" w:lineRule="auto"/>
              <w:jc w:val="center"/>
              <w:rPr>
                <w:rFonts w:ascii="Arial" w:hAnsi="Arial" w:cs="Arial"/>
                <w:highlight w:val="yellow"/>
              </w:rPr>
            </w:pPr>
            <w:r w:rsidRPr="00DF51A3">
              <w:rPr>
                <w:rFonts w:ascii="Arial" w:hAnsi="Arial" w:cs="Arial"/>
                <w:sz w:val="20"/>
                <w:highlight w:val="yellow"/>
              </w:rPr>
              <w:t>Difenoconazole</w:t>
            </w:r>
          </w:p>
        </w:tc>
        <w:tc>
          <w:tcPr>
            <w:tcW w:w="1701" w:type="dxa"/>
            <w:vAlign w:val="center"/>
          </w:tcPr>
          <w:p w14:paraId="7A33EEB6" w14:textId="3642FEEF" w:rsidR="00DF51A3" w:rsidRPr="002B3FDB" w:rsidRDefault="00DF51A3" w:rsidP="00DF51A3">
            <w:pPr>
              <w:spacing w:line="480" w:lineRule="auto"/>
              <w:jc w:val="center"/>
              <w:rPr>
                <w:rFonts w:ascii="Arial" w:hAnsi="Arial" w:cs="Arial"/>
                <w:sz w:val="20"/>
              </w:rPr>
            </w:pPr>
            <w:r w:rsidRPr="002B3FDB">
              <w:rPr>
                <w:rFonts w:ascii="Arial" w:hAnsi="Arial" w:cs="Arial"/>
                <w:sz w:val="20"/>
              </w:rPr>
              <w:t>DMI, triazole class</w:t>
            </w:r>
          </w:p>
        </w:tc>
      </w:tr>
      <w:tr w:rsidR="00DF51A3" w:rsidRPr="002B3FDB" w14:paraId="6C2FEE31" w14:textId="77777777" w:rsidTr="00DF51A3">
        <w:trPr>
          <w:trHeight w:val="680"/>
        </w:trPr>
        <w:tc>
          <w:tcPr>
            <w:tcW w:w="1266" w:type="dxa"/>
            <w:vAlign w:val="center"/>
          </w:tcPr>
          <w:p w14:paraId="4CB1BD85" w14:textId="77777777" w:rsidR="00DF51A3" w:rsidRPr="002B3FDB" w:rsidRDefault="00DF51A3" w:rsidP="00DF51A3">
            <w:pPr>
              <w:spacing w:line="480" w:lineRule="auto"/>
              <w:jc w:val="center"/>
              <w:rPr>
                <w:rFonts w:ascii="Arial" w:hAnsi="Arial" w:cs="Arial"/>
                <w:sz w:val="20"/>
              </w:rPr>
            </w:pPr>
            <w:r w:rsidRPr="002B3FDB">
              <w:rPr>
                <w:rFonts w:ascii="Arial" w:hAnsi="Arial" w:cs="Arial"/>
                <w:sz w:val="20"/>
              </w:rPr>
              <w:t>5.</w:t>
            </w:r>
          </w:p>
        </w:tc>
        <w:tc>
          <w:tcPr>
            <w:tcW w:w="1740" w:type="dxa"/>
            <w:vAlign w:val="center"/>
          </w:tcPr>
          <w:p w14:paraId="59C081B7" w14:textId="77777777" w:rsidR="00DF51A3" w:rsidRPr="002B3FDB" w:rsidRDefault="00DF51A3" w:rsidP="00DF51A3">
            <w:pPr>
              <w:spacing w:line="480" w:lineRule="auto"/>
              <w:jc w:val="center"/>
              <w:rPr>
                <w:rFonts w:ascii="Arial" w:hAnsi="Arial" w:cs="Arial"/>
                <w:sz w:val="20"/>
              </w:rPr>
            </w:pPr>
            <w:bookmarkStart w:id="1" w:name="_Hlk199350260"/>
            <w:r w:rsidRPr="002B3FDB">
              <w:rPr>
                <w:rFonts w:ascii="Arial" w:hAnsi="Arial" w:cs="Arial"/>
                <w:sz w:val="20"/>
              </w:rPr>
              <w:t>Carbendazim 12% + Mancozeb 63% WP</w:t>
            </w:r>
            <w:bookmarkEnd w:id="1"/>
          </w:p>
        </w:tc>
        <w:tc>
          <w:tcPr>
            <w:tcW w:w="1701" w:type="dxa"/>
            <w:vAlign w:val="center"/>
          </w:tcPr>
          <w:p w14:paraId="493D209F" w14:textId="5772F380" w:rsidR="00DF51A3" w:rsidRPr="002B3FDB" w:rsidRDefault="00DF51A3" w:rsidP="00DF51A3">
            <w:pPr>
              <w:spacing w:line="480" w:lineRule="auto"/>
              <w:jc w:val="center"/>
              <w:rPr>
                <w:rFonts w:ascii="Arial" w:hAnsi="Arial" w:cs="Arial"/>
                <w:sz w:val="20"/>
              </w:rPr>
            </w:pPr>
            <w:proofErr w:type="spellStart"/>
            <w:r w:rsidRPr="002B3FDB">
              <w:rPr>
                <w:rFonts w:ascii="Arial" w:hAnsi="Arial" w:cs="Arial"/>
                <w:sz w:val="20"/>
              </w:rPr>
              <w:t>Saaf</w:t>
            </w:r>
            <w:proofErr w:type="spellEnd"/>
            <w:r w:rsidRPr="002B3FDB">
              <w:rPr>
                <w:rFonts w:ascii="Arial" w:hAnsi="Arial" w:cs="Arial"/>
                <w:sz w:val="20"/>
              </w:rPr>
              <w:t xml:space="preserve"> 75% WP</w:t>
            </w:r>
          </w:p>
        </w:tc>
        <w:tc>
          <w:tcPr>
            <w:tcW w:w="1701" w:type="dxa"/>
            <w:vAlign w:val="center"/>
          </w:tcPr>
          <w:p w14:paraId="2F686F78" w14:textId="4EBC54AB" w:rsidR="00DF51A3" w:rsidRPr="00DF51A3" w:rsidRDefault="00DF51A3" w:rsidP="00DF51A3">
            <w:pPr>
              <w:spacing w:line="480" w:lineRule="auto"/>
              <w:jc w:val="center"/>
              <w:rPr>
                <w:rFonts w:ascii="Arial" w:hAnsi="Arial" w:cs="Arial"/>
                <w:highlight w:val="yellow"/>
              </w:rPr>
            </w:pPr>
            <w:r w:rsidRPr="00DF51A3">
              <w:rPr>
                <w:rFonts w:ascii="Arial" w:hAnsi="Arial" w:cs="Arial"/>
                <w:sz w:val="20"/>
                <w:highlight w:val="yellow"/>
              </w:rPr>
              <w:t>Carbendazim + Mancozeb</w:t>
            </w:r>
          </w:p>
        </w:tc>
        <w:tc>
          <w:tcPr>
            <w:tcW w:w="1701" w:type="dxa"/>
            <w:vAlign w:val="center"/>
          </w:tcPr>
          <w:p w14:paraId="4919571E" w14:textId="44669B81" w:rsidR="00DF51A3" w:rsidRPr="002B3FDB" w:rsidRDefault="00DF51A3" w:rsidP="00DF51A3">
            <w:pPr>
              <w:spacing w:line="480" w:lineRule="auto"/>
              <w:jc w:val="center"/>
              <w:rPr>
                <w:rFonts w:ascii="Arial" w:hAnsi="Arial" w:cs="Arial"/>
                <w:sz w:val="20"/>
              </w:rPr>
            </w:pPr>
            <w:r w:rsidRPr="002B3FDB">
              <w:rPr>
                <w:rFonts w:ascii="Arial" w:hAnsi="Arial" w:cs="Arial"/>
                <w:sz w:val="20"/>
              </w:rPr>
              <w:t xml:space="preserve">Benzimidazole + </w:t>
            </w:r>
            <w:proofErr w:type="spellStart"/>
            <w:r w:rsidRPr="002B3FDB">
              <w:rPr>
                <w:rFonts w:ascii="Arial" w:hAnsi="Arial" w:cs="Arial"/>
                <w:sz w:val="20"/>
              </w:rPr>
              <w:t>Dithiocarbamate</w:t>
            </w:r>
            <w:proofErr w:type="spellEnd"/>
            <w:r w:rsidRPr="002B3FDB">
              <w:rPr>
                <w:rFonts w:ascii="Arial" w:hAnsi="Arial" w:cs="Arial"/>
                <w:sz w:val="20"/>
              </w:rPr>
              <w:t xml:space="preserve"> (multi-site)</w:t>
            </w:r>
          </w:p>
        </w:tc>
      </w:tr>
      <w:tr w:rsidR="00DF51A3" w:rsidRPr="002B3FDB" w14:paraId="76A60FE6" w14:textId="77777777" w:rsidTr="00DF51A3">
        <w:trPr>
          <w:trHeight w:val="680"/>
        </w:trPr>
        <w:tc>
          <w:tcPr>
            <w:tcW w:w="1266" w:type="dxa"/>
            <w:vAlign w:val="center"/>
          </w:tcPr>
          <w:p w14:paraId="05D1B4E8" w14:textId="77777777" w:rsidR="00DF51A3" w:rsidRPr="002B3FDB" w:rsidRDefault="00DF51A3" w:rsidP="00DF51A3">
            <w:pPr>
              <w:spacing w:line="480" w:lineRule="auto"/>
              <w:jc w:val="center"/>
              <w:rPr>
                <w:rFonts w:ascii="Arial" w:hAnsi="Arial" w:cs="Arial"/>
                <w:sz w:val="20"/>
              </w:rPr>
            </w:pPr>
            <w:bookmarkStart w:id="2" w:name="_Hlk199350269"/>
            <w:r w:rsidRPr="002B3FDB">
              <w:rPr>
                <w:rFonts w:ascii="Arial" w:hAnsi="Arial" w:cs="Arial"/>
                <w:sz w:val="20"/>
              </w:rPr>
              <w:t>6.</w:t>
            </w:r>
          </w:p>
        </w:tc>
        <w:tc>
          <w:tcPr>
            <w:tcW w:w="1740" w:type="dxa"/>
            <w:vAlign w:val="center"/>
          </w:tcPr>
          <w:p w14:paraId="5915D95C" w14:textId="77777777" w:rsidR="00DF51A3" w:rsidRPr="002B3FDB" w:rsidRDefault="00DF51A3" w:rsidP="00DF51A3">
            <w:pPr>
              <w:spacing w:line="480" w:lineRule="auto"/>
              <w:jc w:val="center"/>
              <w:rPr>
                <w:rFonts w:ascii="Arial" w:hAnsi="Arial" w:cs="Arial"/>
                <w:sz w:val="20"/>
              </w:rPr>
            </w:pPr>
            <w:r w:rsidRPr="002B3FDB">
              <w:rPr>
                <w:rFonts w:ascii="Arial" w:hAnsi="Arial" w:cs="Arial"/>
                <w:sz w:val="20"/>
              </w:rPr>
              <w:t xml:space="preserve">Tebuconazole 50% + </w:t>
            </w:r>
            <w:proofErr w:type="spellStart"/>
            <w:r w:rsidRPr="002B3FDB">
              <w:rPr>
                <w:rFonts w:ascii="Arial" w:hAnsi="Arial" w:cs="Arial"/>
                <w:sz w:val="20"/>
              </w:rPr>
              <w:t>Trifloxystrobin</w:t>
            </w:r>
            <w:proofErr w:type="spellEnd"/>
            <w:r w:rsidRPr="002B3FDB">
              <w:rPr>
                <w:rFonts w:ascii="Arial" w:hAnsi="Arial" w:cs="Arial"/>
                <w:sz w:val="20"/>
              </w:rPr>
              <w:t xml:space="preserve"> 25% WG</w:t>
            </w:r>
          </w:p>
        </w:tc>
        <w:tc>
          <w:tcPr>
            <w:tcW w:w="1701" w:type="dxa"/>
            <w:vAlign w:val="center"/>
          </w:tcPr>
          <w:p w14:paraId="3640774A" w14:textId="0E96C01C" w:rsidR="00DF51A3" w:rsidRPr="002B3FDB" w:rsidRDefault="00DF51A3" w:rsidP="00DF51A3">
            <w:pPr>
              <w:spacing w:line="480" w:lineRule="auto"/>
              <w:jc w:val="center"/>
              <w:rPr>
                <w:rFonts w:ascii="Arial" w:hAnsi="Arial" w:cs="Arial"/>
                <w:sz w:val="20"/>
              </w:rPr>
            </w:pPr>
            <w:r w:rsidRPr="002B3FDB">
              <w:rPr>
                <w:rFonts w:ascii="Arial" w:hAnsi="Arial" w:cs="Arial"/>
                <w:sz w:val="20"/>
              </w:rPr>
              <w:t>Nativo 75% WG</w:t>
            </w:r>
          </w:p>
        </w:tc>
        <w:tc>
          <w:tcPr>
            <w:tcW w:w="1701" w:type="dxa"/>
            <w:vAlign w:val="center"/>
          </w:tcPr>
          <w:p w14:paraId="28B68BFA" w14:textId="2A08F485" w:rsidR="00DF51A3" w:rsidRPr="00DF51A3" w:rsidRDefault="00DF51A3" w:rsidP="00DF51A3">
            <w:pPr>
              <w:spacing w:line="480" w:lineRule="auto"/>
              <w:jc w:val="center"/>
              <w:rPr>
                <w:rFonts w:ascii="Arial" w:hAnsi="Arial" w:cs="Arial"/>
                <w:highlight w:val="yellow"/>
              </w:rPr>
            </w:pPr>
            <w:r w:rsidRPr="00DF51A3">
              <w:rPr>
                <w:rFonts w:ascii="Arial" w:hAnsi="Arial" w:cs="Arial"/>
                <w:sz w:val="20"/>
                <w:highlight w:val="yellow"/>
              </w:rPr>
              <w:t xml:space="preserve">Tebuconazole + </w:t>
            </w:r>
            <w:proofErr w:type="spellStart"/>
            <w:r w:rsidRPr="00DF51A3">
              <w:rPr>
                <w:rFonts w:ascii="Arial" w:hAnsi="Arial" w:cs="Arial"/>
                <w:sz w:val="20"/>
                <w:highlight w:val="yellow"/>
              </w:rPr>
              <w:t>Trifloxystrobin</w:t>
            </w:r>
            <w:proofErr w:type="spellEnd"/>
          </w:p>
        </w:tc>
        <w:tc>
          <w:tcPr>
            <w:tcW w:w="1701" w:type="dxa"/>
            <w:vAlign w:val="center"/>
          </w:tcPr>
          <w:p w14:paraId="622D15B1" w14:textId="54890CA2" w:rsidR="00DF51A3" w:rsidRPr="002B3FDB" w:rsidRDefault="00DF51A3" w:rsidP="00DF51A3">
            <w:pPr>
              <w:spacing w:line="480" w:lineRule="auto"/>
              <w:jc w:val="center"/>
              <w:rPr>
                <w:rFonts w:ascii="Arial" w:hAnsi="Arial" w:cs="Arial"/>
                <w:sz w:val="20"/>
              </w:rPr>
            </w:pPr>
            <w:r w:rsidRPr="002B3FDB">
              <w:rPr>
                <w:rFonts w:ascii="Arial" w:hAnsi="Arial" w:cs="Arial"/>
                <w:sz w:val="20"/>
              </w:rPr>
              <w:t xml:space="preserve">DMI + </w:t>
            </w:r>
            <w:proofErr w:type="spellStart"/>
            <w:r w:rsidRPr="002B3FDB">
              <w:rPr>
                <w:rFonts w:ascii="Arial" w:hAnsi="Arial" w:cs="Arial"/>
                <w:sz w:val="20"/>
              </w:rPr>
              <w:t>QoI</w:t>
            </w:r>
            <w:proofErr w:type="spellEnd"/>
            <w:r w:rsidRPr="002B3FDB">
              <w:rPr>
                <w:rFonts w:ascii="Arial" w:hAnsi="Arial" w:cs="Arial"/>
                <w:sz w:val="20"/>
              </w:rPr>
              <w:t xml:space="preserve"> (dual action)</w:t>
            </w:r>
          </w:p>
        </w:tc>
      </w:tr>
      <w:bookmarkEnd w:id="2"/>
      <w:tr w:rsidR="00DF51A3" w:rsidRPr="002B3FDB" w14:paraId="425CFFD9" w14:textId="77777777" w:rsidTr="00DF51A3">
        <w:trPr>
          <w:trHeight w:val="680"/>
        </w:trPr>
        <w:tc>
          <w:tcPr>
            <w:tcW w:w="1266" w:type="dxa"/>
            <w:vAlign w:val="center"/>
          </w:tcPr>
          <w:p w14:paraId="5BBCDA45" w14:textId="77777777" w:rsidR="00DF51A3" w:rsidRPr="002B3FDB" w:rsidRDefault="00DF51A3" w:rsidP="00DF51A3">
            <w:pPr>
              <w:spacing w:line="480" w:lineRule="auto"/>
              <w:jc w:val="center"/>
              <w:rPr>
                <w:rFonts w:ascii="Arial" w:hAnsi="Arial" w:cs="Arial"/>
                <w:sz w:val="20"/>
              </w:rPr>
            </w:pPr>
            <w:r w:rsidRPr="002B3FDB">
              <w:rPr>
                <w:rFonts w:ascii="Arial" w:hAnsi="Arial" w:cs="Arial"/>
                <w:sz w:val="20"/>
              </w:rPr>
              <w:t>7.</w:t>
            </w:r>
          </w:p>
        </w:tc>
        <w:tc>
          <w:tcPr>
            <w:tcW w:w="1740" w:type="dxa"/>
            <w:vAlign w:val="center"/>
          </w:tcPr>
          <w:p w14:paraId="770E82AC" w14:textId="77777777" w:rsidR="00DF51A3" w:rsidRPr="002B3FDB" w:rsidRDefault="00DF51A3" w:rsidP="00DF51A3">
            <w:pPr>
              <w:spacing w:line="480" w:lineRule="auto"/>
              <w:jc w:val="center"/>
              <w:rPr>
                <w:rFonts w:ascii="Arial" w:hAnsi="Arial" w:cs="Arial"/>
                <w:sz w:val="20"/>
              </w:rPr>
            </w:pPr>
            <w:bookmarkStart w:id="3" w:name="_Hlk199350279"/>
            <w:r w:rsidRPr="002B3FDB">
              <w:rPr>
                <w:rFonts w:ascii="Arial" w:hAnsi="Arial" w:cs="Arial"/>
                <w:sz w:val="20"/>
              </w:rPr>
              <w:t xml:space="preserve">Fluxapyroxad 21.26 % + </w:t>
            </w:r>
            <w:proofErr w:type="spellStart"/>
            <w:r w:rsidRPr="002B3FDB">
              <w:rPr>
                <w:rFonts w:ascii="Arial" w:hAnsi="Arial" w:cs="Arial"/>
                <w:sz w:val="20"/>
              </w:rPr>
              <w:t>Pyraclostrobin</w:t>
            </w:r>
            <w:proofErr w:type="spellEnd"/>
            <w:r w:rsidRPr="002B3FDB">
              <w:rPr>
                <w:rFonts w:ascii="Arial" w:hAnsi="Arial" w:cs="Arial"/>
                <w:sz w:val="20"/>
              </w:rPr>
              <w:t xml:space="preserve"> 21.26 % SC</w:t>
            </w:r>
            <w:bookmarkEnd w:id="3"/>
          </w:p>
        </w:tc>
        <w:tc>
          <w:tcPr>
            <w:tcW w:w="1701" w:type="dxa"/>
            <w:vAlign w:val="center"/>
          </w:tcPr>
          <w:p w14:paraId="02B7F91F" w14:textId="7612788E" w:rsidR="00DF51A3" w:rsidRPr="002B3FDB" w:rsidRDefault="00DF51A3" w:rsidP="00DF51A3">
            <w:pPr>
              <w:spacing w:line="480" w:lineRule="auto"/>
              <w:jc w:val="center"/>
              <w:rPr>
                <w:rFonts w:ascii="Arial" w:hAnsi="Arial" w:cs="Arial"/>
                <w:sz w:val="20"/>
              </w:rPr>
            </w:pPr>
            <w:proofErr w:type="spellStart"/>
            <w:r w:rsidRPr="002B3FDB">
              <w:rPr>
                <w:rFonts w:ascii="Arial" w:hAnsi="Arial" w:cs="Arial"/>
                <w:sz w:val="20"/>
              </w:rPr>
              <w:t>Merivon</w:t>
            </w:r>
            <w:proofErr w:type="spellEnd"/>
            <w:r w:rsidRPr="002B3FDB">
              <w:rPr>
                <w:rFonts w:ascii="Arial" w:hAnsi="Arial" w:cs="Arial"/>
                <w:sz w:val="20"/>
              </w:rPr>
              <w:t xml:space="preserve"> 42.52 % SC</w:t>
            </w:r>
          </w:p>
        </w:tc>
        <w:tc>
          <w:tcPr>
            <w:tcW w:w="1701" w:type="dxa"/>
            <w:vAlign w:val="center"/>
          </w:tcPr>
          <w:p w14:paraId="6456828A" w14:textId="34996856" w:rsidR="00DF51A3" w:rsidRPr="00DF51A3" w:rsidRDefault="00DF51A3" w:rsidP="00DF51A3">
            <w:pPr>
              <w:spacing w:line="480" w:lineRule="auto"/>
              <w:jc w:val="center"/>
              <w:rPr>
                <w:rFonts w:ascii="Arial" w:hAnsi="Arial" w:cs="Arial"/>
                <w:highlight w:val="yellow"/>
              </w:rPr>
            </w:pPr>
            <w:r w:rsidRPr="00DF51A3">
              <w:rPr>
                <w:rFonts w:ascii="Arial" w:hAnsi="Arial" w:cs="Arial"/>
                <w:sz w:val="20"/>
                <w:highlight w:val="yellow"/>
              </w:rPr>
              <w:t xml:space="preserve">Fluxapyroxad + </w:t>
            </w:r>
            <w:proofErr w:type="spellStart"/>
            <w:r w:rsidRPr="00DF51A3">
              <w:rPr>
                <w:rFonts w:ascii="Arial" w:hAnsi="Arial" w:cs="Arial"/>
                <w:sz w:val="20"/>
                <w:highlight w:val="yellow"/>
              </w:rPr>
              <w:t>Pyraclostrobin</w:t>
            </w:r>
            <w:proofErr w:type="spellEnd"/>
          </w:p>
        </w:tc>
        <w:tc>
          <w:tcPr>
            <w:tcW w:w="1701" w:type="dxa"/>
            <w:vAlign w:val="center"/>
          </w:tcPr>
          <w:p w14:paraId="66DCDED2" w14:textId="7E24C996" w:rsidR="00DF51A3" w:rsidRPr="002B3FDB" w:rsidRDefault="00DF51A3" w:rsidP="00DF51A3">
            <w:pPr>
              <w:spacing w:line="480" w:lineRule="auto"/>
              <w:jc w:val="center"/>
              <w:rPr>
                <w:rFonts w:ascii="Arial" w:hAnsi="Arial" w:cs="Arial"/>
                <w:sz w:val="20"/>
              </w:rPr>
            </w:pPr>
            <w:r w:rsidRPr="002B3FDB">
              <w:rPr>
                <w:rFonts w:ascii="Arial" w:hAnsi="Arial" w:cs="Arial"/>
                <w:sz w:val="20"/>
              </w:rPr>
              <w:t xml:space="preserve">SDHI + </w:t>
            </w:r>
            <w:proofErr w:type="spellStart"/>
            <w:r w:rsidRPr="002B3FDB">
              <w:rPr>
                <w:rFonts w:ascii="Arial" w:hAnsi="Arial" w:cs="Arial"/>
                <w:sz w:val="20"/>
              </w:rPr>
              <w:t>QoI</w:t>
            </w:r>
            <w:proofErr w:type="spellEnd"/>
            <w:r w:rsidRPr="002B3FDB">
              <w:rPr>
                <w:rFonts w:ascii="Arial" w:hAnsi="Arial" w:cs="Arial"/>
                <w:sz w:val="20"/>
              </w:rPr>
              <w:t xml:space="preserve"> (dual action)</w:t>
            </w:r>
          </w:p>
        </w:tc>
      </w:tr>
      <w:tr w:rsidR="00DF51A3" w:rsidRPr="002B3FDB" w14:paraId="2F1B1934" w14:textId="77777777" w:rsidTr="00DF51A3">
        <w:trPr>
          <w:trHeight w:val="680"/>
        </w:trPr>
        <w:tc>
          <w:tcPr>
            <w:tcW w:w="1266" w:type="dxa"/>
            <w:vAlign w:val="center"/>
          </w:tcPr>
          <w:p w14:paraId="04D00559" w14:textId="77777777" w:rsidR="00DF51A3" w:rsidRPr="002B3FDB" w:rsidRDefault="00DF51A3" w:rsidP="00DF51A3">
            <w:pPr>
              <w:spacing w:line="480" w:lineRule="auto"/>
              <w:jc w:val="center"/>
              <w:rPr>
                <w:rFonts w:ascii="Arial" w:hAnsi="Arial" w:cs="Arial"/>
                <w:sz w:val="20"/>
              </w:rPr>
            </w:pPr>
            <w:r w:rsidRPr="002B3FDB">
              <w:rPr>
                <w:rFonts w:ascii="Arial" w:hAnsi="Arial" w:cs="Arial"/>
                <w:sz w:val="20"/>
              </w:rPr>
              <w:t>8.</w:t>
            </w:r>
          </w:p>
        </w:tc>
        <w:tc>
          <w:tcPr>
            <w:tcW w:w="1740" w:type="dxa"/>
            <w:vAlign w:val="center"/>
          </w:tcPr>
          <w:p w14:paraId="3B69CED2" w14:textId="77777777" w:rsidR="00DF51A3" w:rsidRPr="002B3FDB" w:rsidRDefault="00DF51A3" w:rsidP="00DF51A3">
            <w:pPr>
              <w:spacing w:line="480" w:lineRule="auto"/>
              <w:jc w:val="center"/>
              <w:rPr>
                <w:rFonts w:ascii="Arial" w:hAnsi="Arial" w:cs="Arial"/>
                <w:sz w:val="20"/>
              </w:rPr>
            </w:pPr>
            <w:r w:rsidRPr="002B3FDB">
              <w:rPr>
                <w:rFonts w:ascii="Arial" w:hAnsi="Arial" w:cs="Arial"/>
                <w:sz w:val="20"/>
              </w:rPr>
              <w:t>Tricyclazole 18 % + Mancozeb 62 % WP</w:t>
            </w:r>
          </w:p>
        </w:tc>
        <w:tc>
          <w:tcPr>
            <w:tcW w:w="1701" w:type="dxa"/>
            <w:vAlign w:val="center"/>
          </w:tcPr>
          <w:p w14:paraId="65301D90" w14:textId="6AD6EA6C" w:rsidR="00DF51A3" w:rsidRPr="002B3FDB" w:rsidRDefault="00DF51A3" w:rsidP="00DF51A3">
            <w:pPr>
              <w:spacing w:line="480" w:lineRule="auto"/>
              <w:jc w:val="center"/>
              <w:rPr>
                <w:rFonts w:ascii="Arial" w:hAnsi="Arial" w:cs="Arial"/>
                <w:sz w:val="20"/>
              </w:rPr>
            </w:pPr>
            <w:r w:rsidRPr="002B3FDB">
              <w:rPr>
                <w:rFonts w:ascii="Arial" w:hAnsi="Arial" w:cs="Arial"/>
                <w:sz w:val="20"/>
              </w:rPr>
              <w:t>Merger 80 % WP</w:t>
            </w:r>
          </w:p>
        </w:tc>
        <w:tc>
          <w:tcPr>
            <w:tcW w:w="1701" w:type="dxa"/>
            <w:vAlign w:val="center"/>
          </w:tcPr>
          <w:p w14:paraId="1849D15A" w14:textId="7C4472CC" w:rsidR="00DF51A3" w:rsidRPr="00DF51A3" w:rsidRDefault="00DF51A3" w:rsidP="00DF51A3">
            <w:pPr>
              <w:spacing w:line="480" w:lineRule="auto"/>
              <w:jc w:val="center"/>
              <w:rPr>
                <w:rFonts w:ascii="Arial" w:hAnsi="Arial" w:cs="Arial"/>
                <w:highlight w:val="yellow"/>
              </w:rPr>
            </w:pPr>
            <w:r w:rsidRPr="00DF51A3">
              <w:rPr>
                <w:rFonts w:ascii="Arial" w:hAnsi="Arial" w:cs="Arial"/>
                <w:sz w:val="20"/>
                <w:highlight w:val="yellow"/>
              </w:rPr>
              <w:t>Tricyclazole + Mancozeb</w:t>
            </w:r>
          </w:p>
        </w:tc>
        <w:tc>
          <w:tcPr>
            <w:tcW w:w="1701" w:type="dxa"/>
            <w:vAlign w:val="center"/>
          </w:tcPr>
          <w:p w14:paraId="01EAFDE6" w14:textId="65DADC7F" w:rsidR="00DF51A3" w:rsidRPr="002B3FDB" w:rsidRDefault="00DF51A3" w:rsidP="00DF51A3">
            <w:pPr>
              <w:spacing w:line="480" w:lineRule="auto"/>
              <w:jc w:val="center"/>
              <w:rPr>
                <w:rFonts w:ascii="Arial" w:hAnsi="Arial" w:cs="Arial"/>
                <w:sz w:val="20"/>
              </w:rPr>
            </w:pPr>
            <w:r w:rsidRPr="002B3FDB">
              <w:rPr>
                <w:rFonts w:ascii="Arial" w:hAnsi="Arial" w:cs="Arial"/>
                <w:sz w:val="20"/>
              </w:rPr>
              <w:t>Melanin biosynthesis inhibitor + multi-site</w:t>
            </w:r>
          </w:p>
        </w:tc>
      </w:tr>
    </w:tbl>
    <w:p w14:paraId="1001C4A1" w14:textId="599742DE" w:rsidR="002B3FDB" w:rsidRDefault="00131498" w:rsidP="002B3FDB">
      <w:pPr>
        <w:rPr>
          <w:rFonts w:ascii="Arial" w:hAnsi="Arial" w:cs="Arial"/>
        </w:rPr>
      </w:pPr>
      <w:r>
        <w:rPr>
          <w:rFonts w:ascii="Arial" w:hAnsi="Arial" w:cs="Arial"/>
        </w:rPr>
        <w:t xml:space="preserve"> </w:t>
      </w:r>
      <w:r w:rsidR="002B3FDB" w:rsidRPr="00795859">
        <w:rPr>
          <w:rFonts w:ascii="Arial" w:hAnsi="Arial" w:cs="Arial"/>
        </w:rPr>
        <w:t xml:space="preserve">QOI: Quinone Outside Inhibitor, DMI: </w:t>
      </w:r>
      <w:proofErr w:type="spellStart"/>
      <w:r w:rsidR="002B3FDB" w:rsidRPr="00795859">
        <w:rPr>
          <w:rFonts w:ascii="Arial" w:hAnsi="Arial" w:cs="Arial"/>
        </w:rPr>
        <w:t>Demthylation</w:t>
      </w:r>
      <w:proofErr w:type="spellEnd"/>
      <w:r w:rsidR="002B3FDB" w:rsidRPr="00795859">
        <w:rPr>
          <w:rFonts w:ascii="Arial" w:hAnsi="Arial" w:cs="Arial"/>
        </w:rPr>
        <w:t xml:space="preserve"> Inhibitor, </w:t>
      </w:r>
    </w:p>
    <w:p w14:paraId="2EE11275" w14:textId="2F3008FF" w:rsidR="002B3FDB" w:rsidRPr="00795859" w:rsidRDefault="00131498" w:rsidP="002B3FDB">
      <w:pPr>
        <w:rPr>
          <w:rFonts w:ascii="Arial" w:hAnsi="Arial" w:cs="Arial"/>
        </w:rPr>
      </w:pPr>
      <w:r>
        <w:rPr>
          <w:rFonts w:ascii="Arial" w:hAnsi="Arial" w:cs="Arial"/>
        </w:rPr>
        <w:t xml:space="preserve"> </w:t>
      </w:r>
      <w:r w:rsidR="002B3FDB" w:rsidRPr="00795859">
        <w:rPr>
          <w:rFonts w:ascii="Arial" w:hAnsi="Arial" w:cs="Arial"/>
        </w:rPr>
        <w:t>SDHI: Succinate</w:t>
      </w:r>
      <w:r w:rsidR="002B3FDB">
        <w:rPr>
          <w:rFonts w:ascii="Arial" w:hAnsi="Arial" w:cs="Arial"/>
        </w:rPr>
        <w:t xml:space="preserve"> </w:t>
      </w:r>
      <w:r w:rsidR="002B3FDB" w:rsidRPr="00795859">
        <w:rPr>
          <w:rFonts w:ascii="Arial" w:hAnsi="Arial" w:cs="Arial"/>
        </w:rPr>
        <w:t>Dehydrogenase Inhibitor.</w:t>
      </w:r>
    </w:p>
    <w:p w14:paraId="1005B094" w14:textId="77777777" w:rsidR="002B3FDB" w:rsidRPr="009F4598" w:rsidRDefault="002B3FDB" w:rsidP="009F4598">
      <w:pPr>
        <w:spacing w:after="160"/>
        <w:jc w:val="both"/>
        <w:rPr>
          <w:rFonts w:ascii="Arial" w:eastAsia="Aptos" w:hAnsi="Arial" w:cs="Arial"/>
          <w:kern w:val="2"/>
          <w:lang w:val="en-IN"/>
        </w:rPr>
      </w:pPr>
    </w:p>
    <w:p w14:paraId="47CA4980" w14:textId="7B32039B" w:rsidR="00553013" w:rsidRDefault="009F4598" w:rsidP="009F4598">
      <w:pPr>
        <w:spacing w:after="160"/>
        <w:jc w:val="both"/>
        <w:rPr>
          <w:rFonts w:ascii="Arial" w:eastAsia="Aptos" w:hAnsi="Arial" w:cs="Arial"/>
          <w:kern w:val="2"/>
          <w:lang w:val="en-IN"/>
        </w:rPr>
      </w:pPr>
      <w:r w:rsidRPr="009F4598">
        <w:rPr>
          <w:rFonts w:ascii="Arial" w:eastAsia="Aptos" w:hAnsi="Arial" w:cs="Arial"/>
          <w:kern w:val="2"/>
          <w:lang w:val="en-IN"/>
        </w:rPr>
        <w:t xml:space="preserve">To perform the poisoned food technique, autoclaved molten PDA medium was first prepared and mixed with adequate concentration of each fungicide to create the medium suspensions. Approximately, 20ml of this amended medium was poured to sterile Petri dishes and allowed to solidify under sterile conditions. Three replications were maintained for each fungicide and control (without the fungicide).  After solidification, using a sterile </w:t>
      </w:r>
      <w:proofErr w:type="spellStart"/>
      <w:r w:rsidRPr="009F4598">
        <w:rPr>
          <w:rFonts w:ascii="Arial" w:eastAsia="Aptos" w:hAnsi="Arial" w:cs="Arial"/>
          <w:kern w:val="2"/>
          <w:lang w:val="en-IN"/>
        </w:rPr>
        <w:t>cork</w:t>
      </w:r>
      <w:proofErr w:type="spellEnd"/>
      <w:r w:rsidRPr="009F4598">
        <w:rPr>
          <w:rFonts w:ascii="Arial" w:eastAsia="Aptos" w:hAnsi="Arial" w:cs="Arial"/>
          <w:kern w:val="2"/>
          <w:lang w:val="en-IN"/>
        </w:rPr>
        <w:t xml:space="preserve"> borer, five mm mycelial </w:t>
      </w:r>
      <w:r w:rsidRPr="009F4598">
        <w:rPr>
          <w:rFonts w:ascii="Arial" w:eastAsia="Aptos" w:hAnsi="Arial" w:cs="Arial"/>
          <w:kern w:val="2"/>
          <w:lang w:val="en-IN"/>
        </w:rPr>
        <w:lastRenderedPageBreak/>
        <w:t xml:space="preserve">discs of actively growing margin of seven-day old culture were aseptically cut. Using a flame sterilized inoculation needle, the disc was carefully placed at the centre of the solidified amended medium to corroborate the growth rate. A control plate was also maintained for comparison. The inoculated Petri plates were wrapped and maintained under sterile condition at 28±1°C. Observations were taken when the pathogen mycelium reach full growth in control plate. Two orthogonal diagonal measurements (0° and 90° angles) of mycelium were taken in control and other inoculated plates and then the average values of these diameters were calculated. Lastly, the following equation by Vincent was used to calculate the per cent suppression of mycelial growth of pathogen </w:t>
      </w:r>
      <w:r w:rsidRPr="009F4598">
        <w:rPr>
          <w:rFonts w:ascii="Arial" w:eastAsia="Aptos" w:hAnsi="Arial" w:cs="Arial"/>
          <w:kern w:val="2"/>
          <w:lang w:val="en-IN"/>
        </w:rPr>
        <w:fldChar w:fldCharType="begin"/>
      </w:r>
      <w:r w:rsidRPr="009F4598">
        <w:rPr>
          <w:rFonts w:ascii="Arial" w:eastAsia="Aptos" w:hAnsi="Arial" w:cs="Arial"/>
          <w:kern w:val="2"/>
          <w:lang w:val="en-IN"/>
        </w:rPr>
        <w:instrText xml:space="preserve"> ADDIN ZOTERO_ITEM CSL_CITATION {"citationID":"3tiIISq2","properties":{"formattedCitation":"[9]","plainCitation":"[9]","noteIndex":0},"citationItems":[{"id":580,"uris":["http://zotero.org/users/local/5ucmndSA/items/FSKRPJIU"],"itemData":{"id":580,"type":"article-journal","container-title":"Nature","DOI":"10.1038/159850b0","ISSN":"0028-0836, 1476-4687","issue":"4051","journalAbbreviation":"Nature","language":"en","license":"https://www.springernature.com/gp/researchers/text-and-data-mining","page":"850-850","source":"DOI.org (Crossref)","title":"Distortion of Fungal Hyphæ in the Presence of Certain Inhibitors","volume":"159","author":[{"family":"Vincent","given":"J. M."}],"issued":{"date-parts":[["1947",6,21]]}}}],"schema":"https://github.com/citation-style-language/schema/raw/master/csl-citation.json"} </w:instrText>
      </w:r>
      <w:r w:rsidRPr="009F4598">
        <w:rPr>
          <w:rFonts w:ascii="Arial" w:eastAsia="Aptos" w:hAnsi="Arial" w:cs="Arial"/>
          <w:kern w:val="2"/>
          <w:lang w:val="en-IN"/>
        </w:rPr>
        <w:fldChar w:fldCharType="separate"/>
      </w:r>
      <w:r w:rsidRPr="009F4598">
        <w:rPr>
          <w:rFonts w:ascii="Arial" w:eastAsia="Aptos" w:hAnsi="Arial" w:cs="Arial"/>
          <w:kern w:val="2"/>
          <w:lang w:val="en-IN"/>
        </w:rPr>
        <w:t>[9]</w:t>
      </w:r>
      <w:r w:rsidRPr="009F4598">
        <w:rPr>
          <w:rFonts w:ascii="Arial" w:eastAsia="Aptos" w:hAnsi="Arial" w:cs="Arial"/>
          <w:kern w:val="2"/>
          <w:lang w:val="en-IN"/>
        </w:rPr>
        <w:fldChar w:fldCharType="end"/>
      </w:r>
      <w:r w:rsidRPr="009F4598">
        <w:rPr>
          <w:rFonts w:ascii="Arial" w:eastAsia="Aptos" w:hAnsi="Arial" w:cs="Arial"/>
          <w:kern w:val="2"/>
          <w:lang w:val="en-IN"/>
        </w:rPr>
        <w:t xml:space="preserve">. </w:t>
      </w:r>
    </w:p>
    <w:p w14:paraId="6FF6276B" w14:textId="54B53BF7" w:rsidR="009F4598" w:rsidRPr="00A3012C" w:rsidRDefault="009F4598" w:rsidP="009F4598">
      <w:pPr>
        <w:spacing w:after="160"/>
        <w:jc w:val="both"/>
        <w:rPr>
          <w:rFonts w:ascii="Arial" w:hAnsi="Arial" w:cs="Arial"/>
          <w:iCs/>
          <w:kern w:val="2"/>
          <w:lang w:val="en-IN"/>
        </w:rPr>
      </w:pPr>
      <m:oMathPara>
        <m:oMath>
          <m:r>
            <m:rPr>
              <m:sty m:val="p"/>
            </m:rPr>
            <w:rPr>
              <w:rFonts w:ascii="Cambria Math" w:eastAsia="Aptos" w:hAnsi="Cambria Math" w:cs="Arial"/>
              <w:kern w:val="2"/>
              <w:lang w:val="en-IN"/>
            </w:rPr>
            <m:t>I=</m:t>
          </m:r>
          <m:d>
            <m:dPr>
              <m:begChr m:val="["/>
              <m:endChr m:val="]"/>
              <m:ctrlPr>
                <w:rPr>
                  <w:rFonts w:ascii="Cambria Math" w:eastAsia="Aptos" w:hAnsi="Cambria Math" w:cs="Arial"/>
                  <w:iCs/>
                  <w:kern w:val="2"/>
                  <w:lang w:val="en-IN"/>
                </w:rPr>
              </m:ctrlPr>
            </m:dPr>
            <m:e>
              <m:d>
                <m:dPr>
                  <m:ctrlPr>
                    <w:rPr>
                      <w:rFonts w:ascii="Cambria Math" w:eastAsia="Aptos" w:hAnsi="Cambria Math" w:cs="Arial"/>
                      <w:iCs/>
                      <w:kern w:val="2"/>
                      <w:lang w:val="en-IN"/>
                    </w:rPr>
                  </m:ctrlPr>
                </m:dPr>
                <m:e>
                  <m:r>
                    <m:rPr>
                      <m:sty m:val="p"/>
                    </m:rPr>
                    <w:rPr>
                      <w:rFonts w:ascii="Cambria Math" w:eastAsia="Aptos" w:hAnsi="Cambria Math" w:cs="Arial"/>
                      <w:kern w:val="2"/>
                      <w:lang w:val="en-IN"/>
                    </w:rPr>
                    <m:t>C-T</m:t>
                  </m:r>
                </m:e>
              </m:d>
              <m:r>
                <m:rPr>
                  <m:sty m:val="p"/>
                </m:rPr>
                <w:rPr>
                  <w:rFonts w:ascii="Cambria Math" w:eastAsia="Aptos" w:hAnsi="Cambria Math" w:cs="Arial"/>
                  <w:kern w:val="2"/>
                  <w:lang w:val="en-IN"/>
                </w:rPr>
                <m:t>÷C</m:t>
              </m:r>
            </m:e>
          </m:d>
          <m:r>
            <m:rPr>
              <m:sty m:val="p"/>
            </m:rPr>
            <w:rPr>
              <w:rFonts w:ascii="Cambria Math" w:eastAsia="Aptos" w:hAnsi="Cambria Math" w:cs="Arial"/>
              <w:kern w:val="2"/>
              <w:lang w:val="en-IN"/>
            </w:rPr>
            <m:t>×100</m:t>
          </m:r>
        </m:oMath>
      </m:oMathPara>
    </w:p>
    <w:p w14:paraId="5153222A" w14:textId="77777777" w:rsidR="009F4598" w:rsidRPr="009F4598" w:rsidRDefault="009F4598" w:rsidP="009F4598">
      <w:pPr>
        <w:spacing w:after="160"/>
        <w:jc w:val="both"/>
        <w:rPr>
          <w:rFonts w:ascii="Arial" w:eastAsia="Aptos" w:hAnsi="Arial" w:cs="Arial"/>
          <w:kern w:val="2"/>
          <w:lang w:val="en-IN"/>
        </w:rPr>
      </w:pPr>
      <w:r w:rsidRPr="009F4598">
        <w:rPr>
          <w:rFonts w:ascii="Arial" w:eastAsia="Aptos" w:hAnsi="Arial" w:cs="Arial"/>
          <w:kern w:val="2"/>
          <w:lang w:val="en-IN"/>
        </w:rPr>
        <w:t>Where, I = Percent mycelial growth inhibition; </w:t>
      </w:r>
    </w:p>
    <w:p w14:paraId="7D528D7B" w14:textId="77777777" w:rsidR="009F4598" w:rsidRPr="009F4598" w:rsidRDefault="009F4598" w:rsidP="009F4598">
      <w:pPr>
        <w:spacing w:after="160"/>
        <w:jc w:val="both"/>
        <w:rPr>
          <w:rFonts w:ascii="Arial" w:eastAsia="Aptos" w:hAnsi="Arial" w:cs="Arial"/>
          <w:kern w:val="2"/>
          <w:lang w:val="en-IN"/>
        </w:rPr>
      </w:pPr>
      <w:r w:rsidRPr="009F4598">
        <w:rPr>
          <w:rFonts w:ascii="Arial" w:eastAsia="Aptos" w:hAnsi="Arial" w:cs="Arial"/>
          <w:kern w:val="2"/>
          <w:lang w:val="en-IN"/>
        </w:rPr>
        <w:t xml:space="preserve">C = Mean diameter (cm) of mycelial growth in control </w:t>
      </w:r>
    </w:p>
    <w:p w14:paraId="630A9AEC" w14:textId="77777777" w:rsidR="009F4598" w:rsidRPr="009F4598" w:rsidRDefault="009F4598" w:rsidP="009F4598">
      <w:pPr>
        <w:spacing w:after="160"/>
        <w:jc w:val="both"/>
        <w:rPr>
          <w:rFonts w:ascii="Arial" w:eastAsia="Aptos" w:hAnsi="Arial" w:cs="Arial"/>
          <w:kern w:val="2"/>
          <w:lang w:val="en-IN"/>
        </w:rPr>
      </w:pPr>
      <w:r w:rsidRPr="009F4598">
        <w:rPr>
          <w:rFonts w:ascii="Arial" w:eastAsia="Aptos" w:hAnsi="Arial" w:cs="Arial"/>
          <w:kern w:val="2"/>
          <w:lang w:val="en-IN"/>
        </w:rPr>
        <w:t xml:space="preserve">T = Mean diameter (cm) of mycelial growth in treatment </w:t>
      </w:r>
    </w:p>
    <w:p w14:paraId="28E637A9" w14:textId="6936D533" w:rsidR="009F4598" w:rsidRPr="00A3012C" w:rsidRDefault="00757B79" w:rsidP="009F4598">
      <w:pPr>
        <w:spacing w:after="160"/>
        <w:jc w:val="both"/>
        <w:rPr>
          <w:rFonts w:ascii="Arial" w:eastAsia="Aptos" w:hAnsi="Arial" w:cs="Arial"/>
          <w:kern w:val="2"/>
          <w:lang w:val="en-IN"/>
        </w:rPr>
      </w:pPr>
      <w:r w:rsidRPr="00A3012C">
        <w:rPr>
          <w:rFonts w:ascii="Arial" w:eastAsia="Aptos" w:hAnsi="Arial" w:cs="Arial"/>
          <w:kern w:val="2"/>
          <w:highlight w:val="yellow"/>
        </w:rPr>
        <w:t xml:space="preserve">To normalize the distribution of percentage data and stabilize variance, the inhibition values were subjected to arcsine </w:t>
      </w:r>
      <w:r w:rsidR="00A3012C" w:rsidRPr="00A3012C">
        <w:rPr>
          <w:rFonts w:ascii="Arial" w:eastAsia="Aptos" w:hAnsi="Arial" w:cs="Arial"/>
          <w:kern w:val="2"/>
          <w:highlight w:val="yellow"/>
        </w:rPr>
        <w:t xml:space="preserve">angular </w:t>
      </w:r>
      <w:r w:rsidRPr="00A3012C">
        <w:rPr>
          <w:rFonts w:ascii="Arial" w:eastAsia="Aptos" w:hAnsi="Arial" w:cs="Arial"/>
          <w:kern w:val="2"/>
          <w:highlight w:val="yellow"/>
        </w:rPr>
        <w:t>transformation prior to statistical analysis. A two-way Analysis of Variance (ANOVA) was performed to test for significant effects of fungicide, concentration and their interaction</w:t>
      </w:r>
      <w:r w:rsidR="00A3012C" w:rsidRPr="00A3012C">
        <w:rPr>
          <w:rFonts w:ascii="Arial" w:eastAsia="Aptos" w:hAnsi="Arial" w:cs="Arial"/>
          <w:kern w:val="2"/>
          <w:highlight w:val="yellow"/>
        </w:rPr>
        <w:t xml:space="preserve"> using R software and SPSS</w:t>
      </w:r>
      <w:r w:rsidRPr="00A3012C">
        <w:rPr>
          <w:rFonts w:ascii="Arial" w:eastAsia="Aptos" w:hAnsi="Arial" w:cs="Arial"/>
          <w:kern w:val="2"/>
          <w:highlight w:val="yellow"/>
        </w:rPr>
        <w:t xml:space="preserve">. </w:t>
      </w:r>
      <w:r w:rsidR="00A3012C" w:rsidRPr="00A3012C">
        <w:rPr>
          <w:rFonts w:ascii="Arial" w:eastAsia="Aptos" w:hAnsi="Arial" w:cs="Arial"/>
          <w:kern w:val="2"/>
          <w:highlight w:val="yellow"/>
        </w:rPr>
        <w:t xml:space="preserve">The significance of mean differences was determined using </w:t>
      </w:r>
      <w:r w:rsidRPr="00A3012C">
        <w:rPr>
          <w:rFonts w:ascii="Arial" w:eastAsia="Aptos" w:hAnsi="Arial" w:cs="Arial"/>
          <w:kern w:val="2"/>
          <w:highlight w:val="yellow"/>
        </w:rPr>
        <w:t xml:space="preserve">Tukey’s Honestly Significant Difference (HSD) test as a post hoc comparison method to separate treatment means at a significance level of p ≤ 0.05. The results are presented as </w:t>
      </w:r>
      <w:r w:rsidR="00A3012C" w:rsidRPr="00A3012C">
        <w:rPr>
          <w:rFonts w:ascii="Arial" w:eastAsia="Aptos" w:hAnsi="Arial" w:cs="Arial"/>
          <w:kern w:val="2"/>
          <w:highlight w:val="yellow"/>
        </w:rPr>
        <w:t>mean inhibition</w:t>
      </w:r>
      <w:r w:rsidRPr="00A3012C">
        <w:rPr>
          <w:rFonts w:ascii="Arial" w:eastAsia="Aptos" w:hAnsi="Arial" w:cs="Arial"/>
          <w:kern w:val="2"/>
          <w:highlight w:val="yellow"/>
        </w:rPr>
        <w:t xml:space="preserve"> ± standard deviation (SD</w:t>
      </w:r>
      <w:r w:rsidRPr="00B46FE7">
        <w:rPr>
          <w:rFonts w:ascii="Arial" w:eastAsia="Aptos" w:hAnsi="Arial" w:cs="Arial"/>
          <w:kern w:val="2"/>
          <w:highlight w:val="yellow"/>
        </w:rPr>
        <w:t>).</w:t>
      </w:r>
      <w:r w:rsidR="00A3012C" w:rsidRPr="00B46FE7">
        <w:rPr>
          <w:highlight w:val="yellow"/>
        </w:rPr>
        <w:t xml:space="preserve"> </w:t>
      </w:r>
      <w:r w:rsidR="00A3012C" w:rsidRPr="00B46FE7">
        <w:rPr>
          <w:rFonts w:ascii="Arial" w:eastAsia="Aptos" w:hAnsi="Arial" w:cs="Arial"/>
          <w:kern w:val="2"/>
          <w:highlight w:val="yellow"/>
        </w:rPr>
        <w:t xml:space="preserve">Overall mean across all three concentrations was calculated per fungicide to provide information on the overall efficacy of each fungicide irrespective of dosage. This allows for direct comparison among fungicides, </w:t>
      </w:r>
      <w:r w:rsidR="00B46FE7" w:rsidRPr="00B46FE7">
        <w:rPr>
          <w:rFonts w:ascii="Arial" w:eastAsia="Aptos" w:hAnsi="Arial" w:cs="Arial"/>
          <w:kern w:val="2"/>
          <w:highlight w:val="yellow"/>
        </w:rPr>
        <w:t>considering</w:t>
      </w:r>
      <w:r w:rsidR="00A3012C" w:rsidRPr="00B46FE7">
        <w:rPr>
          <w:rFonts w:ascii="Arial" w:eastAsia="Aptos" w:hAnsi="Arial" w:cs="Arial"/>
          <w:kern w:val="2"/>
          <w:highlight w:val="yellow"/>
        </w:rPr>
        <w:t xml:space="preserve"> their performance consistency across all tested concentrations. </w:t>
      </w:r>
      <w:r w:rsidRPr="00B46FE7">
        <w:rPr>
          <w:rFonts w:ascii="Arial" w:eastAsia="Aptos" w:hAnsi="Arial" w:cs="Arial"/>
          <w:kern w:val="2"/>
          <w:highlight w:val="yellow"/>
        </w:rPr>
        <w:t>In the final summary table, group letters</w:t>
      </w:r>
      <w:r w:rsidR="00B46FE7">
        <w:rPr>
          <w:rFonts w:ascii="Arial" w:eastAsia="Aptos" w:hAnsi="Arial" w:cs="Arial"/>
          <w:kern w:val="2"/>
          <w:highlight w:val="yellow"/>
        </w:rPr>
        <w:t xml:space="preserve"> </w:t>
      </w:r>
      <w:r w:rsidRPr="00B46FE7">
        <w:rPr>
          <w:rFonts w:ascii="Arial" w:eastAsia="Aptos" w:hAnsi="Arial" w:cs="Arial"/>
          <w:kern w:val="2"/>
          <w:highlight w:val="yellow"/>
        </w:rPr>
        <w:t>were assigned to overall means to indicate</w:t>
      </w:r>
      <w:r w:rsidRPr="00A3012C">
        <w:rPr>
          <w:rFonts w:ascii="Arial" w:eastAsia="Aptos" w:hAnsi="Arial" w:cs="Arial"/>
          <w:kern w:val="2"/>
          <w:highlight w:val="yellow"/>
        </w:rPr>
        <w:t xml:space="preserve"> statistically homogeneous groups based on the Tukey HSD test</w:t>
      </w:r>
      <w:r w:rsidR="009F4598" w:rsidRPr="00A3012C">
        <w:rPr>
          <w:rFonts w:ascii="Arial" w:eastAsia="Aptos" w:hAnsi="Arial" w:cs="Arial"/>
          <w:kern w:val="2"/>
          <w:highlight w:val="yellow"/>
          <w:lang w:val="en-IN"/>
        </w:rPr>
        <w:t xml:space="preserve"> </w:t>
      </w:r>
      <w:r w:rsidR="009F4598" w:rsidRPr="00A3012C">
        <w:rPr>
          <w:rFonts w:ascii="Arial" w:eastAsia="Aptos" w:hAnsi="Arial" w:cs="Arial"/>
          <w:kern w:val="2"/>
          <w:highlight w:val="yellow"/>
          <w:lang w:val="en-IN"/>
        </w:rPr>
        <w:fldChar w:fldCharType="begin"/>
      </w:r>
      <w:r w:rsidR="009F4598" w:rsidRPr="00A3012C">
        <w:rPr>
          <w:rFonts w:ascii="Arial" w:eastAsia="Aptos" w:hAnsi="Arial" w:cs="Arial"/>
          <w:kern w:val="2"/>
          <w:highlight w:val="yellow"/>
          <w:lang w:val="en-IN"/>
        </w:rPr>
        <w:instrText xml:space="preserve"> ADDIN ZOTERO_ITEM CSL_CITATION {"citationID":"jqfzC6RQ","properties":{"formattedCitation":"[10]","plainCitation":"[10]","noteIndex":0},"citationItems":[{"id":581,"uris":["http://zotero.org/users/local/5ucmndSA/items/MV6FDDLU"],"itemData":{"id":581,"type":"article-journal","container-title":"Biometrics","DOI":"10.2307/3001478","ISSN":"0006341X","issue":"1","journalAbbreviation":"Biometrics","page":"1","source":"DOI.org (Crossref)","title":"Multiple Range and Multiple F Tests","volume":"11","author":[{"family":"Duncan","given":"David B."}],"issued":{"date-parts":[["1955",3]]}}}],"schema":"https://github.com/citation-style-language/schema/raw/master/csl-citation.json"} </w:instrText>
      </w:r>
      <w:r w:rsidR="009F4598" w:rsidRPr="00A3012C">
        <w:rPr>
          <w:rFonts w:ascii="Arial" w:eastAsia="Aptos" w:hAnsi="Arial" w:cs="Arial"/>
          <w:kern w:val="2"/>
          <w:highlight w:val="yellow"/>
          <w:lang w:val="en-IN"/>
        </w:rPr>
        <w:fldChar w:fldCharType="separate"/>
      </w:r>
      <w:r w:rsidR="009F4598" w:rsidRPr="00A3012C">
        <w:rPr>
          <w:rFonts w:ascii="Arial" w:eastAsia="Aptos" w:hAnsi="Arial" w:cs="Arial"/>
          <w:kern w:val="2"/>
          <w:highlight w:val="yellow"/>
          <w:lang w:val="en-IN"/>
        </w:rPr>
        <w:t>[10]</w:t>
      </w:r>
      <w:r w:rsidR="009F4598" w:rsidRPr="00A3012C">
        <w:rPr>
          <w:rFonts w:ascii="Arial" w:eastAsia="Aptos" w:hAnsi="Arial" w:cs="Arial"/>
          <w:kern w:val="2"/>
          <w:highlight w:val="yellow"/>
          <w:lang w:val="en-IN"/>
        </w:rPr>
        <w:fldChar w:fldCharType="end"/>
      </w:r>
      <w:r w:rsidR="009F4598" w:rsidRPr="00A3012C">
        <w:rPr>
          <w:rFonts w:ascii="Arial" w:eastAsia="Aptos" w:hAnsi="Arial" w:cs="Arial"/>
          <w:kern w:val="2"/>
          <w:highlight w:val="yellow"/>
          <w:lang w:val="en-IN"/>
        </w:rPr>
        <w:t xml:space="preserve">. The heatmap was generated using python coding in </w:t>
      </w:r>
      <w:proofErr w:type="spellStart"/>
      <w:r w:rsidR="009F4598" w:rsidRPr="00A3012C">
        <w:rPr>
          <w:rFonts w:ascii="Arial" w:eastAsia="Aptos" w:hAnsi="Arial" w:cs="Arial"/>
          <w:kern w:val="2"/>
          <w:highlight w:val="yellow"/>
          <w:lang w:val="en-IN"/>
        </w:rPr>
        <w:t>Jupyter</w:t>
      </w:r>
      <w:proofErr w:type="spellEnd"/>
      <w:r w:rsidR="009F4598" w:rsidRPr="00A3012C">
        <w:rPr>
          <w:rFonts w:ascii="Arial" w:eastAsia="Aptos" w:hAnsi="Arial" w:cs="Arial"/>
          <w:kern w:val="2"/>
          <w:highlight w:val="yellow"/>
          <w:lang w:val="en-IN"/>
        </w:rPr>
        <w:t xml:space="preserve"> Notebook.</w:t>
      </w:r>
      <w:r w:rsidR="009F4598" w:rsidRPr="00A3012C">
        <w:rPr>
          <w:rFonts w:ascii="Arial" w:eastAsia="Aptos" w:hAnsi="Arial" w:cs="Arial"/>
          <w:kern w:val="2"/>
          <w:lang w:val="en-IN"/>
        </w:rPr>
        <w:t xml:space="preserve"> </w:t>
      </w:r>
    </w:p>
    <w:p w14:paraId="252E1BF0" w14:textId="25669B21"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4F2942F" w14:textId="77777777" w:rsidR="00790ADA" w:rsidRPr="00FB3A86" w:rsidRDefault="00790ADA" w:rsidP="00441B6F">
      <w:pPr>
        <w:pStyle w:val="Head1"/>
        <w:spacing w:after="0"/>
        <w:jc w:val="both"/>
        <w:rPr>
          <w:rFonts w:ascii="Arial" w:hAnsi="Arial" w:cs="Arial"/>
        </w:rPr>
      </w:pPr>
    </w:p>
    <w:p w14:paraId="0050C982" w14:textId="135EDEC1" w:rsidR="00131498" w:rsidRPr="00131498" w:rsidRDefault="002B3FDB" w:rsidP="00131498">
      <w:pPr>
        <w:spacing w:after="160"/>
        <w:jc w:val="both"/>
        <w:rPr>
          <w:rFonts w:ascii="Arial" w:eastAsia="Aptos" w:hAnsi="Arial" w:cs="Arial"/>
          <w:i/>
          <w:iCs/>
          <w:kern w:val="2"/>
          <w:lang w:val="en-IN"/>
        </w:rPr>
      </w:pPr>
      <w:r w:rsidRPr="002B3FDB">
        <w:rPr>
          <w:rFonts w:ascii="Arial" w:eastAsia="Aptos" w:hAnsi="Arial" w:cs="Arial"/>
          <w:kern w:val="2"/>
          <w:lang w:val="en-IN"/>
        </w:rPr>
        <w:t xml:space="preserve">The </w:t>
      </w:r>
      <w:r w:rsidRPr="002B3FDB">
        <w:rPr>
          <w:rFonts w:ascii="Arial" w:eastAsia="Aptos" w:hAnsi="Arial" w:cs="Arial"/>
          <w:i/>
          <w:iCs/>
          <w:kern w:val="2"/>
          <w:lang w:val="en-IN"/>
        </w:rPr>
        <w:t xml:space="preserve">In vitro </w:t>
      </w:r>
      <w:r w:rsidRPr="002B3FDB">
        <w:rPr>
          <w:rFonts w:ascii="Arial" w:eastAsia="Aptos" w:hAnsi="Arial" w:cs="Arial"/>
          <w:kern w:val="2"/>
          <w:lang w:val="en-IN"/>
        </w:rPr>
        <w:t xml:space="preserve">evaluation was aimed for screening new generation fungicides using poison food technique. The fungicides </w:t>
      </w:r>
      <w:proofErr w:type="spellStart"/>
      <w:r w:rsidRPr="002B3FDB">
        <w:rPr>
          <w:rFonts w:ascii="Arial" w:eastAsia="Aptos" w:hAnsi="Arial" w:cs="Arial"/>
          <w:kern w:val="2"/>
          <w:lang w:val="en-IN"/>
        </w:rPr>
        <w:t>Difenconazole</w:t>
      </w:r>
      <w:proofErr w:type="spellEnd"/>
      <w:r w:rsidRPr="002B3FDB">
        <w:rPr>
          <w:rFonts w:ascii="Arial" w:eastAsia="Aptos" w:hAnsi="Arial" w:cs="Arial"/>
          <w:kern w:val="2"/>
          <w:lang w:val="en-IN"/>
        </w:rPr>
        <w:t xml:space="preserve"> 25% EC, Propiconazole 25% EC, Hexaconazole 5% EC, Azoxystrobin 23% SC, Carbendazim 12% + Mancozeb 63% WP, Tebuconazole 50% + </w:t>
      </w:r>
      <w:proofErr w:type="spellStart"/>
      <w:r w:rsidRPr="002B3FDB">
        <w:rPr>
          <w:rFonts w:ascii="Arial" w:eastAsia="Aptos" w:hAnsi="Arial" w:cs="Arial"/>
          <w:kern w:val="2"/>
          <w:lang w:val="en-IN"/>
        </w:rPr>
        <w:t>Trifloxystrobin</w:t>
      </w:r>
      <w:proofErr w:type="spellEnd"/>
      <w:r w:rsidRPr="002B3FDB">
        <w:rPr>
          <w:rFonts w:ascii="Arial" w:eastAsia="Aptos" w:hAnsi="Arial" w:cs="Arial"/>
          <w:kern w:val="2"/>
          <w:lang w:val="en-IN"/>
        </w:rPr>
        <w:t xml:space="preserve"> 25% WG, Fluxapyroxad 21.26 % + </w:t>
      </w:r>
      <w:proofErr w:type="spellStart"/>
      <w:r w:rsidRPr="002B3FDB">
        <w:rPr>
          <w:rFonts w:ascii="Arial" w:eastAsia="Aptos" w:hAnsi="Arial" w:cs="Arial"/>
          <w:kern w:val="2"/>
          <w:lang w:val="en-IN"/>
        </w:rPr>
        <w:t>Pyraclostrobin</w:t>
      </w:r>
      <w:proofErr w:type="spellEnd"/>
      <w:r w:rsidRPr="002B3FDB">
        <w:rPr>
          <w:rFonts w:ascii="Arial" w:eastAsia="Aptos" w:hAnsi="Arial" w:cs="Arial"/>
          <w:kern w:val="2"/>
          <w:lang w:val="en-IN"/>
        </w:rPr>
        <w:t xml:space="preserve"> 21.26 % SC and Tricyclazole 18 % + Mancozeb 62 % WP were evaluated at three different concentrations of 0.1, 0.15 and 0.2 per cent. It was observed that cent per cent significant inhibition of mycelium growth of pathogen was shown by three combi products (Carbendazim 12% + Mancozeb 63% WP, Tebuconazole 50% + </w:t>
      </w:r>
      <w:proofErr w:type="spellStart"/>
      <w:r w:rsidRPr="002B3FDB">
        <w:rPr>
          <w:rFonts w:ascii="Arial" w:eastAsia="Aptos" w:hAnsi="Arial" w:cs="Arial"/>
          <w:kern w:val="2"/>
          <w:lang w:val="en-IN"/>
        </w:rPr>
        <w:t>Trifloxystrobin</w:t>
      </w:r>
      <w:proofErr w:type="spellEnd"/>
      <w:r w:rsidRPr="002B3FDB">
        <w:rPr>
          <w:rFonts w:ascii="Arial" w:eastAsia="Aptos" w:hAnsi="Arial" w:cs="Arial"/>
          <w:kern w:val="2"/>
          <w:lang w:val="en-IN"/>
        </w:rPr>
        <w:t xml:space="preserve"> 25% WG and Tricyclazole 18 % + Mancozeb 62 % WP) and one systemic triazole fungicide Propiconazole 25% EC (FRAC Group 3) at all three concentrations (Fig. 1). The combi product Fluxapyroxad 21.26 % + </w:t>
      </w:r>
      <w:proofErr w:type="spellStart"/>
      <w:r w:rsidRPr="002B3FDB">
        <w:rPr>
          <w:rFonts w:ascii="Arial" w:eastAsia="Aptos" w:hAnsi="Arial" w:cs="Arial"/>
          <w:kern w:val="2"/>
          <w:lang w:val="en-IN"/>
        </w:rPr>
        <w:t>Pyraclostrobin</w:t>
      </w:r>
      <w:proofErr w:type="spellEnd"/>
      <w:r w:rsidRPr="002B3FDB">
        <w:rPr>
          <w:rFonts w:ascii="Arial" w:eastAsia="Aptos" w:hAnsi="Arial" w:cs="Arial"/>
          <w:kern w:val="2"/>
          <w:lang w:val="en-IN"/>
        </w:rPr>
        <w:t xml:space="preserve"> 21.26 % SC was the next effective fungicide (100%) at 0.15 and 0.20 per cent concentration followed by 93.33 per cent inhibition at 0.1 per cent concentration (Table 2 and Plate 1). The least inhibition per cent of pathogen mycelium was shown by the Azoxystrobin 23% SC (49.75%). The other two triazole fungicides showed 87.28 per cent inhibition by </w:t>
      </w:r>
      <w:proofErr w:type="spellStart"/>
      <w:r w:rsidRPr="002B3FDB">
        <w:rPr>
          <w:rFonts w:ascii="Arial" w:eastAsia="Aptos" w:hAnsi="Arial" w:cs="Arial"/>
          <w:kern w:val="2"/>
          <w:lang w:val="en-IN"/>
        </w:rPr>
        <w:t>Difenconazole</w:t>
      </w:r>
      <w:proofErr w:type="spellEnd"/>
      <w:r w:rsidRPr="002B3FDB">
        <w:rPr>
          <w:rFonts w:ascii="Arial" w:eastAsia="Aptos" w:hAnsi="Arial" w:cs="Arial"/>
          <w:kern w:val="2"/>
          <w:lang w:val="en-IN"/>
        </w:rPr>
        <w:t xml:space="preserve"> 25% EC and 81.85 per cent inhibition by Hexaconazole 5% EC. The results were illustrated in the form of heatmap which shows that there is an increasing per cent inhibition of pathogen mycelium with increase in concentration of fungicides. The fungicide Azoxystrobin 23% SC exhibited variability in per cent inhibition across all concentrations (Fig. 2). This findings align with the result by Patel et al. </w:t>
      </w:r>
      <w:r w:rsidRPr="002B3FDB">
        <w:rPr>
          <w:rFonts w:ascii="Arial" w:eastAsia="Aptos" w:hAnsi="Arial" w:cs="Arial"/>
          <w:kern w:val="2"/>
          <w:lang w:val="en-IN"/>
        </w:rPr>
        <w:fldChar w:fldCharType="begin"/>
      </w:r>
      <w:r w:rsidRPr="002B3FDB">
        <w:rPr>
          <w:rFonts w:ascii="Arial" w:eastAsia="Aptos" w:hAnsi="Arial" w:cs="Arial"/>
          <w:kern w:val="2"/>
          <w:lang w:val="en-IN"/>
        </w:rPr>
        <w:instrText xml:space="preserve"> ADDIN ZOTERO_ITEM CSL_CITATION {"citationID":"JK8dQ8u5","properties":{"formattedCitation":"[11]","plainCitation":"[11]","noteIndex":0},"citationItems":[{"id":582,"uris":["http://zotero.org/users/local/5ucmndSA/items/7L739ARM"],"itemData":{"id":582,"type":"article-journal","abstract":"Background: Green gram (Vigna radiata L.) is one of the most important legume crops which is a rich source of protein (24.5%), fat (1.3%), Minerals (3.5%) and Carbohydrates (56.7%). Anthracnose disease of green gram caused by Colletotrichum truncatum is a major fungal disease causing serious loss of 24 to 67% both qualitative and quantitatively. Fungicide-resistant strains can develop due to excessive use of fungicides with similar actions. To avoid this, it is necessary to use fungicides having novel modes of action to lessen selection pressure, develop resistance and successfully manage infections over the long term. The current study aimed to test the efficacy of some fungicides against anthracnose of green gram under in vitro and pot conditions. Methods: A total of 10 different fungicides were tested at three different concentrations (0.10, 0.15 and 0.20%) against the pathogen by poisoned food technique and a pot culture experiment was also conducted in protected structure (poly house) on green gram susceptible variety ‘MH-421’ against this disease during Kharif season of 2023 at Hi-Tech Nursery, S.K. Rajasthan Agricultural University Bikaner, Rajasthan, India. Result: Among 11 treatments of fungicides, propiconazole at all concentrations, tebuconazole at 0.15 and 0.20% and carbendazim+ mancozeb at 0.20% gave 100% inhibition of growth of the pathogen. In the pot culture experiment, the least disease incidence was recorded in the treatment sprayed with propiconazole (0.10%) among tested fungicides.","container-title":"Agricultural Science Digest - A Research Journal","DOI":"10.18805/ag.D-6043","ISSN":"0976-0547, 0253-150X","issue":"Of","journalAbbreviation":"ASD","source":"DOI.org (Crossref)","title":"Evaluation of Fungicides against Anthracnose Disease in Green Gram under in vitro and Pot Conditions","URL":"https://arccjournals.com/journal/agricultural-science-digest/D-6043","author":[{"family":"Patel","given":"Kailash"},{"family":"Yadav","given":"A.L."},{"family":"Kumhar","given":"D.R."},{"family":"Kumar","given":"Ashok"},{"family":"Acharya","given":"V.S."},{"family":"Jakhar","given":"Mukesh"},{"family":"Maheshwari","given":"S.K."}],"accessed":{"date-parts":[["2025",5,28]]},"issued":{"date-parts":[["2024",12,13]]}}}],"schema":"https://github.com/citation-style-language/schema/raw/master/csl-citation.json"} </w:instrText>
      </w:r>
      <w:r w:rsidRPr="002B3FDB">
        <w:rPr>
          <w:rFonts w:ascii="Arial" w:eastAsia="Aptos" w:hAnsi="Arial" w:cs="Arial"/>
          <w:kern w:val="2"/>
          <w:lang w:val="en-IN"/>
        </w:rPr>
        <w:fldChar w:fldCharType="separate"/>
      </w:r>
      <w:r w:rsidRPr="002B3FDB">
        <w:rPr>
          <w:rFonts w:ascii="Arial" w:eastAsia="Aptos" w:hAnsi="Arial" w:cs="Arial"/>
          <w:kern w:val="2"/>
          <w:lang w:val="en-IN"/>
        </w:rPr>
        <w:t>[11]</w:t>
      </w:r>
      <w:r w:rsidRPr="002B3FDB">
        <w:rPr>
          <w:rFonts w:ascii="Arial" w:eastAsia="Aptos" w:hAnsi="Arial" w:cs="Arial"/>
          <w:kern w:val="2"/>
          <w:lang w:val="en-IN"/>
        </w:rPr>
        <w:fldChar w:fldCharType="end"/>
      </w:r>
      <w:r w:rsidRPr="002B3FDB">
        <w:rPr>
          <w:rFonts w:ascii="Arial" w:eastAsia="Aptos" w:hAnsi="Arial" w:cs="Arial"/>
          <w:kern w:val="2"/>
          <w:lang w:val="en-IN"/>
        </w:rPr>
        <w:t xml:space="preserve">, which reported that have reported Propiconazole 25% EC at all concentrations and Carbendazim 12% + Mancozeb 63% WP at 0.20% gave cent per cent inhibition to </w:t>
      </w:r>
      <w:r w:rsidRPr="002B3FDB">
        <w:rPr>
          <w:rFonts w:ascii="Arial" w:eastAsia="Aptos" w:hAnsi="Arial" w:cs="Arial"/>
          <w:i/>
          <w:iCs/>
          <w:kern w:val="2"/>
          <w:lang w:val="en-IN"/>
        </w:rPr>
        <w:t xml:space="preserve">C. </w:t>
      </w:r>
      <w:proofErr w:type="spellStart"/>
      <w:r w:rsidRPr="002B3FDB">
        <w:rPr>
          <w:rFonts w:ascii="Arial" w:eastAsia="Aptos" w:hAnsi="Arial" w:cs="Arial"/>
          <w:i/>
          <w:iCs/>
          <w:kern w:val="2"/>
          <w:lang w:val="en-IN"/>
        </w:rPr>
        <w:t>truncatum</w:t>
      </w:r>
      <w:proofErr w:type="spellEnd"/>
      <w:r w:rsidRPr="002B3FDB">
        <w:rPr>
          <w:rFonts w:ascii="Arial" w:eastAsia="Aptos" w:hAnsi="Arial" w:cs="Arial"/>
          <w:kern w:val="2"/>
          <w:lang w:val="en-IN"/>
        </w:rPr>
        <w:t xml:space="preserve"> in </w:t>
      </w:r>
      <w:proofErr w:type="spellStart"/>
      <w:r w:rsidRPr="002B3FDB">
        <w:rPr>
          <w:rFonts w:ascii="Arial" w:eastAsia="Aptos" w:hAnsi="Arial" w:cs="Arial"/>
          <w:kern w:val="2"/>
          <w:lang w:val="en-IN"/>
        </w:rPr>
        <w:t>mungbean</w:t>
      </w:r>
      <w:proofErr w:type="spellEnd"/>
      <w:r w:rsidRPr="002B3FDB">
        <w:rPr>
          <w:rFonts w:ascii="Arial" w:eastAsia="Aptos" w:hAnsi="Arial" w:cs="Arial"/>
          <w:kern w:val="2"/>
          <w:lang w:val="en-IN"/>
        </w:rPr>
        <w:t xml:space="preserve">. Similarly, </w:t>
      </w:r>
      <w:proofErr w:type="spellStart"/>
      <w:r w:rsidRPr="002B3FDB">
        <w:rPr>
          <w:rFonts w:ascii="Arial" w:eastAsia="Aptos" w:hAnsi="Arial" w:cs="Arial"/>
          <w:kern w:val="2"/>
          <w:lang w:val="en-IN"/>
        </w:rPr>
        <w:t>Purushotham</w:t>
      </w:r>
      <w:proofErr w:type="spellEnd"/>
      <w:r w:rsidRPr="002B3FDB">
        <w:rPr>
          <w:rFonts w:ascii="Arial" w:eastAsia="Aptos" w:hAnsi="Arial" w:cs="Arial"/>
          <w:kern w:val="2"/>
          <w:lang w:val="en-IN"/>
        </w:rPr>
        <w:t xml:space="preserve"> et al. </w:t>
      </w:r>
      <w:r w:rsidRPr="002B3FDB">
        <w:rPr>
          <w:rFonts w:ascii="Arial" w:eastAsia="Aptos" w:hAnsi="Arial" w:cs="Arial"/>
          <w:kern w:val="2"/>
          <w:lang w:val="en-IN"/>
        </w:rPr>
        <w:fldChar w:fldCharType="begin"/>
      </w:r>
      <w:r w:rsidRPr="002B3FDB">
        <w:rPr>
          <w:rFonts w:ascii="Arial" w:eastAsia="Aptos" w:hAnsi="Arial" w:cs="Arial"/>
          <w:kern w:val="2"/>
          <w:lang w:val="en-IN"/>
        </w:rPr>
        <w:instrText xml:space="preserve"> ADDIN ZOTERO_ITEM CSL_CITATION {"citationID":"STrnf8xr","properties":{"formattedCitation":"[12]","plainCitation":"[12]","noteIndex":0},"citationItems":[{"id":584,"uris":["http://zotero.org/users/local/5ucmndSA/items/GE5CV4GT"],"itemData":{"id":584,"type":"article-journal","abstract":"Background: Anthracnose is currently a severe threat to green gram cultivation in India. In vitro bioassay and glasshouse studies were performed to evaluate the effectiveness of different fungicides against Collectotrichum lindemuthianum. Methods: The current investigation was conducted at the Department of Plant Pathology, N.M. College of Agriculture, Navsari Agricultural University, Navsari, Gujarat in 2020-21. The poison food technique assessed the efficacy of systemic, non-systemic and combination fungicides against C. lindemuthianum. The management study was also carried out from the best-performing bioassay treatments and evaluated in the glasshouse. Result: At 500 ppm, carbendazim 50 WP and propiconazole 25 EC inhibited 100% of mycelial growth out of six systemic fungicides tested while in non-systemic fungicides, mancozeb 75 WP and chlorothalonil 75 WP inhibited the test pathogen the most at 2500 ppm. Among the combi-fungicides tested at 500 ppm, carbendazim (12%) + mancozeb (63%) 75 WP and captan 70% + hexaconazole 5% 75 WP inhibited pathogen mycelial growth the most significantly more than the untreated control. In glasshouse studies, the lowest disease index was found in two foliar sprays of carbendazim 50 WP @ 1.0 g/l, propiconazole 25 EC @ 2.0 ml/l and captan 70% + hexaconazole 5% @ 0.6 g/l spaced 15 days apart. On the other hand, seed treatment of carbendazim 12% + mancozeb 63% @ 3.0 g/kg seed and mancozeb 75 WP @ 3.0 g/kg seed had the lowest disease index compared to control.","container-title":"LEGUME RESEARCH - AN INTERNATIONAL JOURNAL","DOI":"10.18805/LR-5137","ISSN":"0976-0571, 0250-5371","issue":"Of","journalAbbreviation":"LR","source":"DOI.org (Crossref)","title":"Effectiveness of Fungicides against Colletotrichum lindemuthianum Causing Anthracnose of Green Gram [Vigna radiata (L.) Wilczek]","URL":"https://arccjournals.com/journal/legume-research-an-international-journal/LR-5137","author":[{"family":"Purushotham","given":"Pooja"},{"family":"Rakholiya","given":"K.B."},{"family":"Vanani","given":"K.D."}],"accessed":{"date-parts":[["2025",5,28]]},"issued":{"date-parts":[["2023",10,9]]}}}],"schema":"https://github.com/citation-style-language/schema/raw/master/csl-citation.json"} </w:instrText>
      </w:r>
      <w:r w:rsidRPr="002B3FDB">
        <w:rPr>
          <w:rFonts w:ascii="Arial" w:eastAsia="Aptos" w:hAnsi="Arial" w:cs="Arial"/>
          <w:kern w:val="2"/>
          <w:lang w:val="en-IN"/>
        </w:rPr>
        <w:fldChar w:fldCharType="separate"/>
      </w:r>
      <w:r w:rsidRPr="002B3FDB">
        <w:rPr>
          <w:rFonts w:ascii="Arial" w:eastAsia="Aptos" w:hAnsi="Arial" w:cs="Arial"/>
          <w:kern w:val="2"/>
          <w:lang w:val="en-IN"/>
        </w:rPr>
        <w:t>[12]</w:t>
      </w:r>
      <w:r w:rsidRPr="002B3FDB">
        <w:rPr>
          <w:rFonts w:ascii="Arial" w:eastAsia="Aptos" w:hAnsi="Arial" w:cs="Arial"/>
          <w:kern w:val="2"/>
          <w:lang w:val="en-IN"/>
        </w:rPr>
        <w:fldChar w:fldCharType="end"/>
      </w:r>
      <w:r w:rsidRPr="002B3FDB">
        <w:rPr>
          <w:rFonts w:ascii="Arial" w:eastAsia="Aptos" w:hAnsi="Arial" w:cs="Arial"/>
          <w:kern w:val="2"/>
          <w:lang w:val="en-IN"/>
        </w:rPr>
        <w:t xml:space="preserve"> evaluated the </w:t>
      </w:r>
      <w:r w:rsidRPr="002B3FDB">
        <w:rPr>
          <w:rFonts w:ascii="Arial" w:eastAsia="Aptos" w:hAnsi="Arial" w:cs="Arial"/>
          <w:kern w:val="2"/>
          <w:lang w:val="en-IN"/>
        </w:rPr>
        <w:lastRenderedPageBreak/>
        <w:t xml:space="preserve">efficacy of six fungicides </w:t>
      </w:r>
      <w:r w:rsidRPr="002B3FDB">
        <w:rPr>
          <w:rFonts w:ascii="Arial" w:eastAsia="Aptos" w:hAnsi="Arial" w:cs="Arial"/>
          <w:i/>
          <w:iCs/>
          <w:kern w:val="2"/>
          <w:lang w:val="en-IN"/>
        </w:rPr>
        <w:t>in vitro</w:t>
      </w:r>
      <w:r w:rsidRPr="002B3FDB">
        <w:rPr>
          <w:rFonts w:ascii="Arial" w:eastAsia="Aptos" w:hAnsi="Arial" w:cs="Arial"/>
          <w:kern w:val="2"/>
          <w:lang w:val="en-IN"/>
        </w:rPr>
        <w:t xml:space="preserve"> against </w:t>
      </w:r>
      <w:r w:rsidRPr="002B3FDB">
        <w:rPr>
          <w:rFonts w:ascii="Arial" w:eastAsia="Aptos" w:hAnsi="Arial" w:cs="Arial"/>
          <w:i/>
          <w:iCs/>
          <w:kern w:val="2"/>
          <w:lang w:val="en-IN"/>
        </w:rPr>
        <w:t xml:space="preserve">C. </w:t>
      </w:r>
      <w:proofErr w:type="spellStart"/>
      <w:r w:rsidRPr="002B3FDB">
        <w:rPr>
          <w:rFonts w:ascii="Arial" w:eastAsia="Aptos" w:hAnsi="Arial" w:cs="Arial"/>
          <w:i/>
          <w:iCs/>
          <w:kern w:val="2"/>
          <w:lang w:val="en-IN"/>
        </w:rPr>
        <w:t>lindemuthianum</w:t>
      </w:r>
      <w:proofErr w:type="spellEnd"/>
      <w:r w:rsidRPr="002B3FDB">
        <w:rPr>
          <w:rFonts w:ascii="Arial" w:eastAsia="Aptos" w:hAnsi="Arial" w:cs="Arial"/>
          <w:i/>
          <w:iCs/>
          <w:kern w:val="2"/>
          <w:lang w:val="en-IN"/>
        </w:rPr>
        <w:t xml:space="preserve"> </w:t>
      </w:r>
      <w:r w:rsidRPr="002B3FDB">
        <w:rPr>
          <w:rFonts w:ascii="Arial" w:eastAsia="Aptos" w:hAnsi="Arial" w:cs="Arial"/>
          <w:kern w:val="2"/>
          <w:lang w:val="en-IN"/>
        </w:rPr>
        <w:t xml:space="preserve">causing </w:t>
      </w:r>
      <w:proofErr w:type="spellStart"/>
      <w:r w:rsidRPr="002B3FDB">
        <w:rPr>
          <w:rFonts w:ascii="Arial" w:eastAsia="Aptos" w:hAnsi="Arial" w:cs="Arial"/>
          <w:kern w:val="2"/>
          <w:lang w:val="en-IN"/>
        </w:rPr>
        <w:t>mungbean</w:t>
      </w:r>
      <w:proofErr w:type="spellEnd"/>
      <w:r w:rsidRPr="002B3FDB">
        <w:rPr>
          <w:rFonts w:ascii="Arial" w:eastAsia="Aptos" w:hAnsi="Arial" w:cs="Arial"/>
          <w:kern w:val="2"/>
          <w:lang w:val="en-IN"/>
        </w:rPr>
        <w:t xml:space="preserve"> anthracnose and found that cent per cent inhibition was shown by propiconazole 25% EC at 500ppm. They reported that Carbendazim 12% + Mancozeb 63% WP showed better inhibition than single systemic products. Additionally, studies by </w:t>
      </w:r>
      <w:proofErr w:type="spellStart"/>
      <w:r w:rsidRPr="002B3FDB">
        <w:rPr>
          <w:rFonts w:ascii="Arial" w:eastAsia="Aptos" w:hAnsi="Arial" w:cs="Arial"/>
          <w:kern w:val="2"/>
          <w:lang w:val="en-IN"/>
        </w:rPr>
        <w:t>Pruthviraj</w:t>
      </w:r>
      <w:proofErr w:type="spellEnd"/>
      <w:r w:rsidRPr="002B3FDB">
        <w:rPr>
          <w:rFonts w:ascii="Arial" w:eastAsia="Aptos" w:hAnsi="Arial" w:cs="Arial"/>
          <w:kern w:val="2"/>
          <w:lang w:val="en-IN"/>
        </w:rPr>
        <w:t xml:space="preserve"> et al. </w:t>
      </w:r>
      <w:r w:rsidRPr="002B3FDB">
        <w:rPr>
          <w:rFonts w:ascii="Arial" w:eastAsia="Aptos" w:hAnsi="Arial" w:cs="Arial"/>
          <w:kern w:val="2"/>
          <w:lang w:val="en-IN"/>
        </w:rPr>
        <w:fldChar w:fldCharType="begin"/>
      </w:r>
      <w:r w:rsidRPr="002B3FDB">
        <w:rPr>
          <w:rFonts w:ascii="Arial" w:eastAsia="Aptos" w:hAnsi="Arial" w:cs="Arial"/>
          <w:kern w:val="2"/>
          <w:lang w:val="en-IN"/>
        </w:rPr>
        <w:instrText xml:space="preserve"> ADDIN ZOTERO_ITEM CSL_CITATION {"citationID":"btVWzT9G","properties":{"formattedCitation":"[13]","plainCitation":"[13]","noteIndex":0},"citationItems":[{"id":586,"uris":["http://zotero.org/users/local/5ucmndSA/items/2NWTTS8C"],"itemData":{"id":586,"type":"article-journal","container-title":"Crop Protection","DOI":"10.1016/j.cropro.2024.106598","ISSN":"02612194","journalAbbreviation":"Crop Protection","language":"en","page":"106598","source":"DOI.org (Crossref)","title":"In vitro and in vivo evaluation of fungicides against anthracnose disease on pomegranate (Punica granatum L.) caused by Colletotrichum gloeosporioides","volume":"178","author":[{"literal":"Pruthviraj"},{"family":"Ekabote","given":"Suresha D."},{"family":"Patil","given":"Balanagouda"},{"family":"Ramesh","given":"A.N."},{"family":"Onkarappa","given":"S."}],"issued":{"date-parts":[["2024",4]]}}}],"schema":"https://github.com/citation-style-language/schema/raw/master/csl-citation.json"} </w:instrText>
      </w:r>
      <w:r w:rsidRPr="002B3FDB">
        <w:rPr>
          <w:rFonts w:ascii="Arial" w:eastAsia="Aptos" w:hAnsi="Arial" w:cs="Arial"/>
          <w:kern w:val="2"/>
          <w:lang w:val="en-IN"/>
        </w:rPr>
        <w:fldChar w:fldCharType="separate"/>
      </w:r>
      <w:r w:rsidRPr="002B3FDB">
        <w:rPr>
          <w:rFonts w:ascii="Arial" w:eastAsia="Aptos" w:hAnsi="Arial" w:cs="Arial"/>
          <w:kern w:val="2"/>
          <w:lang w:val="en-IN"/>
        </w:rPr>
        <w:t>[13]</w:t>
      </w:r>
      <w:r w:rsidRPr="002B3FDB">
        <w:rPr>
          <w:rFonts w:ascii="Arial" w:eastAsia="Aptos" w:hAnsi="Arial" w:cs="Arial"/>
          <w:kern w:val="2"/>
          <w:lang w:val="en-IN"/>
        </w:rPr>
        <w:fldChar w:fldCharType="end"/>
      </w:r>
      <w:r w:rsidRPr="002B3FDB">
        <w:rPr>
          <w:rFonts w:ascii="Arial" w:eastAsia="Aptos" w:hAnsi="Arial" w:cs="Arial"/>
          <w:kern w:val="2"/>
          <w:lang w:val="en-IN"/>
        </w:rPr>
        <w:t xml:space="preserve"> and Dev and </w:t>
      </w:r>
      <w:proofErr w:type="spellStart"/>
      <w:r w:rsidRPr="002B3FDB">
        <w:rPr>
          <w:rFonts w:ascii="Arial" w:eastAsia="Aptos" w:hAnsi="Arial" w:cs="Arial"/>
          <w:kern w:val="2"/>
          <w:lang w:val="en-IN"/>
        </w:rPr>
        <w:t>Narendrappa</w:t>
      </w:r>
      <w:proofErr w:type="spellEnd"/>
      <w:r w:rsidRPr="002B3FDB">
        <w:rPr>
          <w:rFonts w:ascii="Arial" w:eastAsia="Aptos" w:hAnsi="Arial" w:cs="Arial"/>
          <w:kern w:val="2"/>
          <w:lang w:val="en-IN"/>
        </w:rPr>
        <w:t xml:space="preserve"> </w:t>
      </w:r>
      <w:r w:rsidRPr="002B3FDB">
        <w:rPr>
          <w:rFonts w:ascii="Arial" w:eastAsia="Aptos" w:hAnsi="Arial" w:cs="Arial"/>
          <w:kern w:val="2"/>
          <w:lang w:val="en-IN"/>
        </w:rPr>
        <w:fldChar w:fldCharType="begin"/>
      </w:r>
      <w:r w:rsidRPr="002B3FDB">
        <w:rPr>
          <w:rFonts w:ascii="Arial" w:eastAsia="Aptos" w:hAnsi="Arial" w:cs="Arial"/>
          <w:kern w:val="2"/>
          <w:lang w:val="en-IN"/>
        </w:rPr>
        <w:instrText xml:space="preserve"> ADDIN ZOTERO_ITEM CSL_CITATION {"citationID":"vjLN4BvJ","properties":{"formattedCitation":"[14]","plainCitation":"[14]","noteIndex":0},"citationItems":[{"id":587,"uris":["http://zotero.org/users/local/5ucmndSA/items/3FFQYWKJ"],"itemData":{"id":587,"type":"article-journal","abstract":"Pomegranate (Punica granatum L.) is a widely grown fruit in many regions of the world. Anthracnose of pomegranate is one of the limiting factor for low productivity and also the low market price. Therefore, the management of anthracnose disease is necessary. In this study new fungicide molecules are evaluated under in vitro condition against the mycelial growth of Colletotrichum gloeosporioides. In vitro screening of fungicides against C. gloeosporioides showed two combination product Hexaconazole + Zineb, Trifloxystrobin + Tebuconazole and a nonsystemic fungicide Captan showed cent percent inhibition at 100, 250, 500 and 1000 ppm concentration. Similarly, systemic fungicides Hexaconazole, Propiconazole, Penconazole, Tebuconazole and Carbendazim showed cent percent mycelial inhibition at 500, 1000 and 2000 ppm concentrations.","container-title":"Journal of Applied and Natural Science","DOI":"10.31018/jans.v8i4.1123","ISSN":"2231-5209, 0974-9411","issue":"4","journalAbbreviation":"JANS","license":"http://creativecommons.org/licenses/by-nc/4.0","page":"2268-2272","source":"DOI.org (Crossref)","title":"In vitro evaluation of fungicides against Colletotrichum gloeosporioides (Penz.) Penz and Sacc. causing anthracnose of pomegranate (Punica granatum L.)","volume":"8","author":[{"family":"Dev","given":"Devanshu"},{"family":"Narendrappa","given":"T."}],"issued":{"date-parts":[["2016",12,1]]}}}],"schema":"https://github.com/citation-style-language/schema/raw/master/csl-citation.json"} </w:instrText>
      </w:r>
      <w:r w:rsidRPr="002B3FDB">
        <w:rPr>
          <w:rFonts w:ascii="Arial" w:eastAsia="Aptos" w:hAnsi="Arial" w:cs="Arial"/>
          <w:kern w:val="2"/>
          <w:lang w:val="en-IN"/>
        </w:rPr>
        <w:fldChar w:fldCharType="separate"/>
      </w:r>
      <w:r w:rsidRPr="002B3FDB">
        <w:rPr>
          <w:rFonts w:ascii="Arial" w:eastAsia="Aptos" w:hAnsi="Arial" w:cs="Arial"/>
          <w:kern w:val="2"/>
          <w:lang w:val="en-IN"/>
        </w:rPr>
        <w:t>[14]</w:t>
      </w:r>
      <w:r w:rsidRPr="002B3FDB">
        <w:rPr>
          <w:rFonts w:ascii="Arial" w:eastAsia="Aptos" w:hAnsi="Arial" w:cs="Arial"/>
          <w:kern w:val="2"/>
          <w:lang w:val="en-IN"/>
        </w:rPr>
        <w:fldChar w:fldCharType="end"/>
      </w:r>
      <w:r w:rsidRPr="002B3FDB">
        <w:rPr>
          <w:rFonts w:ascii="Arial" w:eastAsia="Aptos" w:hAnsi="Arial" w:cs="Arial"/>
          <w:kern w:val="2"/>
          <w:lang w:val="en-IN"/>
        </w:rPr>
        <w:t xml:space="preserve"> confirmed that Propiconazole 25% EC and Tebuconazole 50% + </w:t>
      </w:r>
      <w:proofErr w:type="spellStart"/>
      <w:r w:rsidRPr="002B3FDB">
        <w:rPr>
          <w:rFonts w:ascii="Arial" w:eastAsia="Aptos" w:hAnsi="Arial" w:cs="Arial"/>
          <w:kern w:val="2"/>
          <w:lang w:val="en-IN"/>
        </w:rPr>
        <w:t>Trifloxystrobin</w:t>
      </w:r>
      <w:proofErr w:type="spellEnd"/>
      <w:r w:rsidRPr="002B3FDB">
        <w:rPr>
          <w:rFonts w:ascii="Arial" w:eastAsia="Aptos" w:hAnsi="Arial" w:cs="Arial"/>
          <w:kern w:val="2"/>
          <w:lang w:val="en-IN"/>
        </w:rPr>
        <w:t xml:space="preserve"> 25% WG showed cent percent inhibition at all concentrations against </w:t>
      </w:r>
      <w:r w:rsidRPr="002B3FDB">
        <w:rPr>
          <w:rFonts w:ascii="Arial" w:eastAsia="Aptos" w:hAnsi="Arial" w:cs="Arial"/>
          <w:i/>
          <w:iCs/>
          <w:kern w:val="2"/>
          <w:lang w:val="en-IN"/>
        </w:rPr>
        <w:t xml:space="preserve">C. </w:t>
      </w:r>
      <w:proofErr w:type="spellStart"/>
      <w:r w:rsidRPr="002B3FDB">
        <w:rPr>
          <w:rFonts w:ascii="Arial" w:eastAsia="Aptos" w:hAnsi="Arial" w:cs="Arial"/>
          <w:i/>
          <w:iCs/>
          <w:kern w:val="2"/>
          <w:lang w:val="en-IN"/>
        </w:rPr>
        <w:t>gloeosporioides</w:t>
      </w:r>
      <w:proofErr w:type="spellEnd"/>
      <w:r w:rsidRPr="002B3FDB">
        <w:rPr>
          <w:rFonts w:ascii="Arial" w:eastAsia="Aptos" w:hAnsi="Arial" w:cs="Arial"/>
          <w:i/>
          <w:iCs/>
          <w:kern w:val="2"/>
          <w:lang w:val="en-IN"/>
        </w:rPr>
        <w:t xml:space="preserve"> </w:t>
      </w:r>
      <w:r w:rsidRPr="002B3FDB">
        <w:rPr>
          <w:rFonts w:ascii="Arial" w:eastAsia="Aptos" w:hAnsi="Arial" w:cs="Arial"/>
          <w:kern w:val="2"/>
          <w:lang w:val="en-IN"/>
        </w:rPr>
        <w:t xml:space="preserve">causing anthracnose of pomegranate. Cao et al </w:t>
      </w:r>
      <w:r w:rsidRPr="002B3FDB">
        <w:rPr>
          <w:rFonts w:ascii="Arial" w:eastAsia="Aptos" w:hAnsi="Arial" w:cs="Arial"/>
          <w:kern w:val="2"/>
          <w:lang w:val="en-IN"/>
        </w:rPr>
        <w:fldChar w:fldCharType="begin"/>
      </w:r>
      <w:r w:rsidRPr="002B3FDB">
        <w:rPr>
          <w:rFonts w:ascii="Arial" w:eastAsia="Aptos" w:hAnsi="Arial" w:cs="Arial"/>
          <w:kern w:val="2"/>
          <w:lang w:val="en-IN"/>
        </w:rPr>
        <w:instrText xml:space="preserve"> ADDIN ZOTERO_ITEM CSL_CITATION {"citationID":"1bhIa0wj","properties":{"formattedCitation":"[15]","plainCitation":"[15]","noteIndex":0},"citationItems":[{"id":591,"uris":["http://zotero.org/users/local/5ucmndSA/items/HRVGDE7F"],"itemData":{"id":591,"type":"article-journal","abstract":"Colletotrichum gloeosporioides and C. acutatum species complexes are causal agents of Colletotrichum leaf disease (CLD) of rubber trees worldwide. To determine the geographic distribution of Colletotrichum species complexes associated with CLD of rubber trees in Hainan, China, and their sensitivity to fungicides used in the region, a total of 275 Colletotrichum isolates were collected from 52 rubber tree plantations in 11 counties. These isolates were identified based jointly on morphological characteristics and PCR-based methodology. Of these isolates, 78 and 22% belonged to the C. gloeosporioides species complex (CGSC) and the C. acutatum complex (CASC), respectively. The incidence of CGSC isolates was greater than the CASC in all counties sampled. The incidence of CASC isolates appeared to be lower in the western and central south of Hainan than in other regions. There was no association in their presence at a given plantation between the two species complexes. The in vitro sensitivity of these two species complexes to carbendazim, chlorothalonil, and four demethylation inhibitor (DMI) fungicides (difenoconazole, propiconazole, myclobutanil, and prochloraz) was determined. Carbendazim was effective against CGSC but not against CASC with mean ED\n              50\n              values of 0.176 and 2.182 µg/ml, respectively. CASC isolates were more sensitive to difenoconazole, propiconazole, and myclobutanil (mean ED\n              50\n              values of 0.177, 0.129, and 1.424 µg/ml, respectively) than CGSC isolates (mean ED\n              50\n              values of 0.710, 0.348, and 3.496 µg/ml, respectively). Mean ED\n              50\n              values of CGSC against chlorothalonil and prochloraz were 173.341 and 0.035 µg/ml, respectively; corresponding values for CASC were 151.441 and 0.040 µg/ml. These results suggest that prochloraz, propiconazole, and difenoconazole are effective against both species complexes.","container-title":"Plant Disease","DOI":"10.1094/PDIS-03-17-0352-RE","ISSN":"0191-2917, 1943-7692","issue":"10","journalAbbreviation":"Plant Disease","language":"en","page":"1774-1780","source":"DOI.org (Crossref)","title":"Distribution and Fungicide Sensitivity of &lt;i&gt;Colletotrichum&lt;/i&gt; Species Complexes from Rubber Tree in Hainan, China","volume":"101","author":[{"family":"Cao","given":"Xueren"},{"family":"Xu","given":"Xiangming"},{"family":"Che","given":"Haiyan"},{"family":"West","given":"Jonathan S."},{"family":"Luo","given":"Daquan"}],"issued":{"date-parts":[["2017",10]]}}}],"schema":"https://github.com/citation-style-language/schema/raw/master/csl-citation.json"} </w:instrText>
      </w:r>
      <w:r w:rsidRPr="002B3FDB">
        <w:rPr>
          <w:rFonts w:ascii="Arial" w:eastAsia="Aptos" w:hAnsi="Arial" w:cs="Arial"/>
          <w:kern w:val="2"/>
          <w:lang w:val="en-IN"/>
        </w:rPr>
        <w:fldChar w:fldCharType="separate"/>
      </w:r>
      <w:r w:rsidRPr="002B3FDB">
        <w:rPr>
          <w:rFonts w:ascii="Arial" w:eastAsia="Aptos" w:hAnsi="Arial" w:cs="Arial"/>
          <w:kern w:val="2"/>
          <w:lang w:val="en-IN"/>
        </w:rPr>
        <w:t>[15]</w:t>
      </w:r>
      <w:r w:rsidRPr="002B3FDB">
        <w:rPr>
          <w:rFonts w:ascii="Arial" w:eastAsia="Aptos" w:hAnsi="Arial" w:cs="Arial"/>
          <w:kern w:val="2"/>
          <w:lang w:val="en-IN"/>
        </w:rPr>
        <w:fldChar w:fldCharType="end"/>
      </w:r>
      <w:r w:rsidRPr="002B3FDB">
        <w:rPr>
          <w:rFonts w:ascii="Arial" w:eastAsia="Aptos" w:hAnsi="Arial" w:cs="Arial"/>
          <w:kern w:val="2"/>
          <w:lang w:val="en-IN"/>
        </w:rPr>
        <w:t xml:space="preserve"> also confirmed that Propiconazole showed a strong effectiveness against </w:t>
      </w:r>
      <w:r w:rsidRPr="002B3FDB">
        <w:rPr>
          <w:rFonts w:ascii="Arial" w:eastAsia="Aptos" w:hAnsi="Arial" w:cs="Arial"/>
          <w:i/>
          <w:iCs/>
          <w:kern w:val="2"/>
          <w:lang w:val="en-IN"/>
        </w:rPr>
        <w:t xml:space="preserve">C. </w:t>
      </w:r>
      <w:proofErr w:type="spellStart"/>
      <w:r w:rsidRPr="002B3FDB">
        <w:rPr>
          <w:rFonts w:ascii="Arial" w:eastAsia="Aptos" w:hAnsi="Arial" w:cs="Arial"/>
          <w:i/>
          <w:iCs/>
          <w:kern w:val="2"/>
          <w:lang w:val="en-IN"/>
        </w:rPr>
        <w:t>siamense</w:t>
      </w:r>
      <w:proofErr w:type="spellEnd"/>
      <w:r w:rsidRPr="002B3FDB">
        <w:rPr>
          <w:rFonts w:ascii="Arial" w:eastAsia="Aptos" w:hAnsi="Arial" w:cs="Arial"/>
          <w:kern w:val="2"/>
          <w:lang w:val="en-IN"/>
        </w:rPr>
        <w:t xml:space="preserve"> and </w:t>
      </w:r>
      <w:r w:rsidRPr="002B3FDB">
        <w:rPr>
          <w:rFonts w:ascii="Arial" w:eastAsia="Aptos" w:hAnsi="Arial" w:cs="Arial"/>
          <w:i/>
          <w:iCs/>
          <w:kern w:val="2"/>
          <w:lang w:val="en-IN"/>
        </w:rPr>
        <w:t xml:space="preserve">C. </w:t>
      </w:r>
      <w:proofErr w:type="spellStart"/>
      <w:r w:rsidRPr="002B3FDB">
        <w:rPr>
          <w:rFonts w:ascii="Arial" w:eastAsia="Aptos" w:hAnsi="Arial" w:cs="Arial"/>
          <w:i/>
          <w:iCs/>
          <w:kern w:val="2"/>
          <w:lang w:val="en-IN"/>
        </w:rPr>
        <w:t>fructicola</w:t>
      </w:r>
      <w:proofErr w:type="spellEnd"/>
      <w:r w:rsidRPr="002B3FDB">
        <w:rPr>
          <w:rFonts w:ascii="Arial" w:eastAsia="Aptos" w:hAnsi="Arial" w:cs="Arial"/>
          <w:i/>
          <w:iCs/>
          <w:kern w:val="2"/>
          <w:lang w:val="en-IN"/>
        </w:rPr>
        <w:t xml:space="preserve">. </w:t>
      </w:r>
    </w:p>
    <w:p w14:paraId="38D97AA9" w14:textId="3EAF44D1" w:rsidR="00863BD3" w:rsidRDefault="009500A6" w:rsidP="002B3FDB">
      <w:pPr>
        <w:tabs>
          <w:tab w:val="left" w:pos="1080"/>
        </w:tabs>
        <w:jc w:val="center"/>
        <w:rPr>
          <w:rFonts w:ascii="Arial" w:eastAsia="Aptos" w:hAnsi="Arial" w:cs="Arial"/>
          <w:b/>
          <w:bCs/>
          <w:i/>
          <w:iCs/>
          <w:kern w:val="2"/>
          <w:lang w:val="en-IN"/>
        </w:rPr>
      </w:pPr>
      <w:r>
        <w:rPr>
          <w:rFonts w:ascii="Arial" w:hAnsi="Arial"/>
          <w:b/>
        </w:rPr>
        <w:t xml:space="preserve">Table </w:t>
      </w:r>
      <w:r w:rsidR="002B3FDB">
        <w:rPr>
          <w:rFonts w:ascii="Arial" w:hAnsi="Arial"/>
          <w:b/>
        </w:rPr>
        <w:t>2</w:t>
      </w:r>
      <w:r>
        <w:rPr>
          <w:rFonts w:ascii="Arial" w:hAnsi="Arial"/>
          <w:b/>
        </w:rPr>
        <w:t>.</w:t>
      </w:r>
      <w:r w:rsidR="002B3FDB">
        <w:rPr>
          <w:rFonts w:ascii="Arial" w:hAnsi="Arial"/>
          <w:b/>
        </w:rPr>
        <w:t xml:space="preserve"> </w:t>
      </w:r>
      <w:r w:rsidR="00CD6B41">
        <w:rPr>
          <w:rFonts w:ascii="Arial" w:hAnsi="Arial"/>
          <w:b/>
        </w:rPr>
        <w:t xml:space="preserve">List </w:t>
      </w:r>
      <w:r w:rsidR="002B3FDB" w:rsidRPr="00795859">
        <w:rPr>
          <w:rFonts w:ascii="Arial" w:hAnsi="Arial" w:cs="Arial"/>
          <w:b/>
          <w:bCs/>
        </w:rPr>
        <w:t xml:space="preserve">of fungicides against </w:t>
      </w:r>
      <w:r w:rsidR="000A490A" w:rsidRPr="000B77BB">
        <w:rPr>
          <w:rFonts w:ascii="Arial" w:hAnsi="Arial" w:cs="Arial"/>
          <w:b/>
          <w:bCs/>
          <w:i/>
          <w:iCs/>
        </w:rPr>
        <w:t xml:space="preserve">Colletotrichum </w:t>
      </w:r>
      <w:r w:rsidR="000A490A" w:rsidRPr="000A490A">
        <w:rPr>
          <w:rFonts w:ascii="Arial" w:eastAsia="Aptos" w:hAnsi="Arial" w:cs="Arial"/>
          <w:b/>
          <w:bCs/>
          <w:kern w:val="2"/>
          <w:lang w:val="en-IN"/>
        </w:rPr>
        <w:t>spp</w:t>
      </w:r>
      <w:r w:rsidR="000A490A">
        <w:rPr>
          <w:rFonts w:ascii="Arial" w:eastAsia="Aptos" w:hAnsi="Arial" w:cs="Arial"/>
          <w:b/>
          <w:bCs/>
          <w:i/>
          <w:iCs/>
          <w:kern w:val="2"/>
          <w:lang w:val="en-IN"/>
        </w:rPr>
        <w:t>.</w:t>
      </w:r>
      <w:bookmarkStart w:id="4" w:name="_GoBack"/>
      <w:bookmarkEnd w:id="4"/>
    </w:p>
    <w:p w14:paraId="0A43763F" w14:textId="77777777" w:rsidR="00863BD3" w:rsidRPr="00DC3180" w:rsidRDefault="00863BD3" w:rsidP="00441B6F">
      <w:pPr>
        <w:tabs>
          <w:tab w:val="left" w:pos="1080"/>
        </w:tabs>
        <w:jc w:val="both"/>
        <w:rPr>
          <w:rFonts w:ascii="Arial" w:hAnsi="Arial"/>
          <w:b/>
        </w:rPr>
      </w:pPr>
    </w:p>
    <w:tbl>
      <w:tblPr>
        <w:tblW w:w="60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2694"/>
        <w:gridCol w:w="1559"/>
        <w:gridCol w:w="567"/>
        <w:gridCol w:w="1134"/>
        <w:gridCol w:w="992"/>
        <w:gridCol w:w="690"/>
        <w:gridCol w:w="1682"/>
      </w:tblGrid>
      <w:tr w:rsidR="00EF79C9" w:rsidRPr="00795859" w14:paraId="75ADBA21" w14:textId="4D3130CD" w:rsidTr="00EF79C9">
        <w:trPr>
          <w:trHeight w:val="20"/>
          <w:jc w:val="center"/>
        </w:trPr>
        <w:tc>
          <w:tcPr>
            <w:tcW w:w="562" w:type="dxa"/>
            <w:vMerge w:val="restart"/>
            <w:vAlign w:val="center"/>
          </w:tcPr>
          <w:p w14:paraId="6B5B1B31" w14:textId="5F74560B" w:rsidR="00EF79C9" w:rsidRPr="002B3FDB" w:rsidRDefault="00EF79C9" w:rsidP="004D55F6">
            <w:pPr>
              <w:spacing w:before="40" w:after="40" w:line="360" w:lineRule="auto"/>
              <w:jc w:val="center"/>
              <w:rPr>
                <w:rFonts w:ascii="Arial" w:hAnsi="Arial" w:cs="Arial"/>
                <w:b/>
                <w:color w:val="000000"/>
              </w:rPr>
            </w:pPr>
            <w:r w:rsidRPr="002B3FDB">
              <w:rPr>
                <w:rFonts w:ascii="Arial" w:hAnsi="Arial" w:cs="Arial"/>
                <w:b/>
                <w:color w:val="000000"/>
              </w:rPr>
              <w:t>Sl. No.</w:t>
            </w:r>
          </w:p>
        </w:tc>
        <w:tc>
          <w:tcPr>
            <w:tcW w:w="2694" w:type="dxa"/>
            <w:vMerge w:val="restart"/>
            <w:noWrap/>
            <w:vAlign w:val="center"/>
          </w:tcPr>
          <w:p w14:paraId="212F0716" w14:textId="77777777" w:rsidR="00EF79C9" w:rsidRPr="002B3FDB" w:rsidRDefault="00EF79C9" w:rsidP="004D55F6">
            <w:pPr>
              <w:spacing w:before="40" w:after="40" w:line="360" w:lineRule="auto"/>
              <w:jc w:val="center"/>
              <w:rPr>
                <w:rFonts w:ascii="Arial" w:hAnsi="Arial" w:cs="Arial"/>
                <w:b/>
                <w:color w:val="000000"/>
              </w:rPr>
            </w:pPr>
            <w:r w:rsidRPr="002B3FDB">
              <w:rPr>
                <w:rFonts w:ascii="Arial" w:hAnsi="Arial" w:cs="Arial"/>
                <w:b/>
                <w:color w:val="000000"/>
              </w:rPr>
              <w:t>Fungicides</w:t>
            </w:r>
          </w:p>
        </w:tc>
        <w:tc>
          <w:tcPr>
            <w:tcW w:w="4942" w:type="dxa"/>
            <w:gridSpan w:val="5"/>
            <w:noWrap/>
            <w:vAlign w:val="center"/>
          </w:tcPr>
          <w:p w14:paraId="513B941B" w14:textId="36B3BF59" w:rsidR="00EF79C9" w:rsidRPr="002B3FDB" w:rsidRDefault="00EF79C9" w:rsidP="00DB0C1C">
            <w:pPr>
              <w:spacing w:before="40" w:after="40" w:line="360" w:lineRule="auto"/>
              <w:jc w:val="center"/>
              <w:rPr>
                <w:rFonts w:ascii="Arial" w:hAnsi="Arial" w:cs="Arial"/>
                <w:b/>
                <w:color w:val="000000"/>
              </w:rPr>
            </w:pPr>
            <w:r w:rsidRPr="002B3FDB">
              <w:rPr>
                <w:rFonts w:ascii="Arial" w:hAnsi="Arial" w:cs="Arial"/>
                <w:b/>
                <w:color w:val="000000"/>
              </w:rPr>
              <w:t>Per cent mycelial growth inhibition*</w:t>
            </w:r>
          </w:p>
        </w:tc>
        <w:tc>
          <w:tcPr>
            <w:tcW w:w="1682" w:type="dxa"/>
            <w:vMerge w:val="restart"/>
            <w:vAlign w:val="center"/>
          </w:tcPr>
          <w:p w14:paraId="732A06F4" w14:textId="3953E60B" w:rsidR="00EF79C9" w:rsidRPr="00757B79" w:rsidRDefault="00EF79C9" w:rsidP="00EF79C9">
            <w:pPr>
              <w:spacing w:before="40" w:after="40" w:line="360" w:lineRule="auto"/>
              <w:jc w:val="center"/>
              <w:rPr>
                <w:rFonts w:ascii="Arial" w:hAnsi="Arial" w:cs="Arial"/>
                <w:b/>
                <w:color w:val="000000"/>
                <w:highlight w:val="yellow"/>
              </w:rPr>
            </w:pPr>
            <w:r w:rsidRPr="00757B79">
              <w:rPr>
                <w:rFonts w:ascii="Arial" w:hAnsi="Arial" w:cs="Arial"/>
                <w:b/>
                <w:color w:val="000000"/>
              </w:rPr>
              <w:t>Mean</w:t>
            </w:r>
          </w:p>
        </w:tc>
      </w:tr>
      <w:tr w:rsidR="00EF79C9" w:rsidRPr="00795859" w14:paraId="0B060B83" w14:textId="2E59C0B8" w:rsidTr="00EF79C9">
        <w:trPr>
          <w:trHeight w:val="20"/>
          <w:jc w:val="center"/>
        </w:trPr>
        <w:tc>
          <w:tcPr>
            <w:tcW w:w="562" w:type="dxa"/>
            <w:vMerge/>
            <w:vAlign w:val="center"/>
          </w:tcPr>
          <w:p w14:paraId="24CA7A87" w14:textId="77777777" w:rsidR="00EF79C9" w:rsidRPr="002B3FDB" w:rsidRDefault="00EF79C9" w:rsidP="004D55F6">
            <w:pPr>
              <w:spacing w:before="40" w:after="40" w:line="360" w:lineRule="auto"/>
              <w:jc w:val="center"/>
              <w:rPr>
                <w:rFonts w:ascii="Arial" w:hAnsi="Arial" w:cs="Arial"/>
                <w:b/>
                <w:color w:val="000000"/>
              </w:rPr>
            </w:pPr>
          </w:p>
        </w:tc>
        <w:tc>
          <w:tcPr>
            <w:tcW w:w="2694" w:type="dxa"/>
            <w:vMerge/>
            <w:noWrap/>
            <w:vAlign w:val="center"/>
          </w:tcPr>
          <w:p w14:paraId="06CB4E4F" w14:textId="77777777" w:rsidR="00EF79C9" w:rsidRPr="002B3FDB" w:rsidRDefault="00EF79C9" w:rsidP="004D55F6">
            <w:pPr>
              <w:spacing w:before="40" w:after="40" w:line="360" w:lineRule="auto"/>
              <w:jc w:val="center"/>
              <w:rPr>
                <w:rFonts w:ascii="Arial" w:hAnsi="Arial" w:cs="Arial"/>
                <w:b/>
                <w:color w:val="000000"/>
              </w:rPr>
            </w:pPr>
          </w:p>
        </w:tc>
        <w:tc>
          <w:tcPr>
            <w:tcW w:w="4942" w:type="dxa"/>
            <w:gridSpan w:val="5"/>
            <w:noWrap/>
            <w:vAlign w:val="center"/>
          </w:tcPr>
          <w:p w14:paraId="38E3822F" w14:textId="5D5F2EFA" w:rsidR="00EF79C9" w:rsidRPr="002B3FDB" w:rsidRDefault="00EF79C9" w:rsidP="004D55F6">
            <w:pPr>
              <w:spacing w:before="40" w:after="40" w:line="360" w:lineRule="auto"/>
              <w:jc w:val="center"/>
              <w:rPr>
                <w:rFonts w:ascii="Arial" w:hAnsi="Arial" w:cs="Arial"/>
                <w:b/>
                <w:color w:val="000000"/>
              </w:rPr>
            </w:pPr>
            <w:r w:rsidRPr="002B3FDB">
              <w:rPr>
                <w:rFonts w:ascii="Arial" w:hAnsi="Arial" w:cs="Arial"/>
                <w:b/>
                <w:color w:val="000000"/>
              </w:rPr>
              <w:t>Concentration (%)</w:t>
            </w:r>
          </w:p>
        </w:tc>
        <w:tc>
          <w:tcPr>
            <w:tcW w:w="1682" w:type="dxa"/>
            <w:vMerge/>
          </w:tcPr>
          <w:p w14:paraId="444312E8" w14:textId="77777777" w:rsidR="00EF79C9" w:rsidRPr="00757B79" w:rsidRDefault="00EF79C9" w:rsidP="004D55F6">
            <w:pPr>
              <w:spacing w:before="40" w:after="40" w:line="360" w:lineRule="auto"/>
              <w:jc w:val="center"/>
              <w:rPr>
                <w:rFonts w:ascii="Arial" w:hAnsi="Arial" w:cs="Arial"/>
                <w:b/>
                <w:color w:val="000000"/>
                <w:highlight w:val="yellow"/>
              </w:rPr>
            </w:pPr>
          </w:p>
        </w:tc>
      </w:tr>
      <w:tr w:rsidR="00EF79C9" w:rsidRPr="00795859" w14:paraId="05E991A9" w14:textId="5C3933BC" w:rsidTr="00EF79C9">
        <w:trPr>
          <w:trHeight w:val="20"/>
          <w:jc w:val="center"/>
        </w:trPr>
        <w:tc>
          <w:tcPr>
            <w:tcW w:w="562" w:type="dxa"/>
            <w:vMerge/>
            <w:vAlign w:val="center"/>
          </w:tcPr>
          <w:p w14:paraId="01F44A2E" w14:textId="77777777" w:rsidR="00EF79C9" w:rsidRPr="002B3FDB" w:rsidRDefault="00EF79C9" w:rsidP="004D55F6">
            <w:pPr>
              <w:spacing w:before="40" w:after="40" w:line="360" w:lineRule="auto"/>
              <w:jc w:val="center"/>
              <w:rPr>
                <w:rFonts w:ascii="Arial" w:hAnsi="Arial" w:cs="Arial"/>
                <w:color w:val="000000"/>
              </w:rPr>
            </w:pPr>
          </w:p>
        </w:tc>
        <w:tc>
          <w:tcPr>
            <w:tcW w:w="2694" w:type="dxa"/>
            <w:vMerge/>
            <w:noWrap/>
            <w:vAlign w:val="center"/>
          </w:tcPr>
          <w:p w14:paraId="13CE72EC" w14:textId="77777777" w:rsidR="00EF79C9" w:rsidRPr="002B3FDB" w:rsidRDefault="00EF79C9" w:rsidP="004D55F6">
            <w:pPr>
              <w:spacing w:before="40" w:after="40" w:line="360" w:lineRule="auto"/>
              <w:jc w:val="center"/>
              <w:rPr>
                <w:rFonts w:ascii="Arial" w:hAnsi="Arial" w:cs="Arial"/>
                <w:color w:val="000000"/>
              </w:rPr>
            </w:pPr>
          </w:p>
        </w:tc>
        <w:tc>
          <w:tcPr>
            <w:tcW w:w="1559" w:type="dxa"/>
            <w:noWrap/>
            <w:vAlign w:val="center"/>
          </w:tcPr>
          <w:p w14:paraId="721B81A7" w14:textId="77777777" w:rsidR="00EF79C9" w:rsidRPr="002B3FDB" w:rsidRDefault="00EF79C9" w:rsidP="004D55F6">
            <w:pPr>
              <w:spacing w:before="40" w:after="40" w:line="360" w:lineRule="auto"/>
              <w:jc w:val="center"/>
              <w:rPr>
                <w:rFonts w:ascii="Arial" w:hAnsi="Arial" w:cs="Arial"/>
                <w:b/>
                <w:bCs/>
                <w:color w:val="000000"/>
              </w:rPr>
            </w:pPr>
            <w:r w:rsidRPr="002B3FDB">
              <w:rPr>
                <w:rFonts w:ascii="Arial" w:hAnsi="Arial" w:cs="Arial"/>
                <w:b/>
                <w:bCs/>
                <w:color w:val="000000"/>
              </w:rPr>
              <w:t>0.1</w:t>
            </w:r>
          </w:p>
        </w:tc>
        <w:tc>
          <w:tcPr>
            <w:tcW w:w="1701" w:type="dxa"/>
            <w:gridSpan w:val="2"/>
            <w:noWrap/>
            <w:vAlign w:val="center"/>
          </w:tcPr>
          <w:p w14:paraId="2449E42C" w14:textId="77777777" w:rsidR="00EF79C9" w:rsidRPr="002B3FDB" w:rsidRDefault="00EF79C9" w:rsidP="004D55F6">
            <w:pPr>
              <w:spacing w:before="40" w:after="40" w:line="360" w:lineRule="auto"/>
              <w:jc w:val="center"/>
              <w:rPr>
                <w:rFonts w:ascii="Arial" w:hAnsi="Arial" w:cs="Arial"/>
                <w:b/>
                <w:bCs/>
                <w:color w:val="000000"/>
              </w:rPr>
            </w:pPr>
            <w:r w:rsidRPr="002B3FDB">
              <w:rPr>
                <w:rFonts w:ascii="Arial" w:hAnsi="Arial" w:cs="Arial"/>
                <w:b/>
                <w:bCs/>
                <w:color w:val="000000"/>
              </w:rPr>
              <w:t>0.15</w:t>
            </w:r>
          </w:p>
        </w:tc>
        <w:tc>
          <w:tcPr>
            <w:tcW w:w="1682" w:type="dxa"/>
            <w:gridSpan w:val="2"/>
            <w:noWrap/>
            <w:vAlign w:val="center"/>
          </w:tcPr>
          <w:p w14:paraId="7891A165" w14:textId="3A33FFC7" w:rsidR="00EF79C9" w:rsidRPr="002B3FDB" w:rsidRDefault="00EF79C9" w:rsidP="004D55F6">
            <w:pPr>
              <w:spacing w:before="40" w:after="40" w:line="360" w:lineRule="auto"/>
              <w:jc w:val="center"/>
              <w:rPr>
                <w:rFonts w:ascii="Arial" w:hAnsi="Arial" w:cs="Arial"/>
                <w:color w:val="000000"/>
              </w:rPr>
            </w:pPr>
            <w:r w:rsidRPr="002B3FDB">
              <w:rPr>
                <w:rFonts w:ascii="Arial" w:hAnsi="Arial" w:cs="Arial"/>
                <w:b/>
                <w:bCs/>
                <w:color w:val="000000"/>
              </w:rPr>
              <w:t>0.20</w:t>
            </w:r>
          </w:p>
        </w:tc>
        <w:tc>
          <w:tcPr>
            <w:tcW w:w="1682" w:type="dxa"/>
            <w:vMerge/>
          </w:tcPr>
          <w:p w14:paraId="19828AE4" w14:textId="77777777" w:rsidR="00EF79C9" w:rsidRPr="00757B79" w:rsidRDefault="00EF79C9" w:rsidP="004D55F6">
            <w:pPr>
              <w:spacing w:before="40" w:after="40" w:line="360" w:lineRule="auto"/>
              <w:jc w:val="center"/>
              <w:rPr>
                <w:rFonts w:ascii="Arial" w:hAnsi="Arial" w:cs="Arial"/>
                <w:b/>
                <w:bCs/>
                <w:color w:val="000000"/>
                <w:highlight w:val="yellow"/>
              </w:rPr>
            </w:pPr>
          </w:p>
        </w:tc>
      </w:tr>
      <w:tr w:rsidR="00EF79C9" w:rsidRPr="00795859" w14:paraId="7BA9E063" w14:textId="40170D44" w:rsidTr="00A3012C">
        <w:trPr>
          <w:trHeight w:val="624"/>
          <w:jc w:val="center"/>
        </w:trPr>
        <w:tc>
          <w:tcPr>
            <w:tcW w:w="562" w:type="dxa"/>
            <w:vAlign w:val="center"/>
          </w:tcPr>
          <w:p w14:paraId="6C85BE82" w14:textId="77777777" w:rsidR="00EF79C9" w:rsidRPr="002B3FDB" w:rsidRDefault="00EF79C9" w:rsidP="00DB0C1C">
            <w:pPr>
              <w:spacing w:before="40" w:after="40" w:line="360" w:lineRule="auto"/>
              <w:jc w:val="center"/>
              <w:rPr>
                <w:rFonts w:ascii="Arial" w:hAnsi="Arial" w:cs="Arial"/>
                <w:color w:val="000000"/>
              </w:rPr>
            </w:pPr>
            <w:r w:rsidRPr="002B3FDB">
              <w:rPr>
                <w:rFonts w:ascii="Arial" w:hAnsi="Arial" w:cs="Arial"/>
                <w:color w:val="000000"/>
              </w:rPr>
              <w:t>1.</w:t>
            </w:r>
          </w:p>
        </w:tc>
        <w:tc>
          <w:tcPr>
            <w:tcW w:w="2694" w:type="dxa"/>
            <w:noWrap/>
            <w:vAlign w:val="center"/>
          </w:tcPr>
          <w:p w14:paraId="61EA7151" w14:textId="77777777" w:rsidR="00EF79C9" w:rsidRPr="002B3FDB" w:rsidRDefault="00EF79C9" w:rsidP="00A3012C">
            <w:pPr>
              <w:spacing w:before="40" w:after="40" w:line="360" w:lineRule="auto"/>
              <w:jc w:val="center"/>
              <w:rPr>
                <w:rFonts w:ascii="Arial" w:hAnsi="Arial" w:cs="Arial"/>
                <w:color w:val="000000"/>
              </w:rPr>
            </w:pPr>
            <w:r w:rsidRPr="002B3FDB">
              <w:rPr>
                <w:rFonts w:ascii="Arial" w:hAnsi="Arial" w:cs="Arial"/>
              </w:rPr>
              <w:t>Azoxystrobin 23% SC</w:t>
            </w:r>
          </w:p>
        </w:tc>
        <w:tc>
          <w:tcPr>
            <w:tcW w:w="1559" w:type="dxa"/>
            <w:noWrap/>
            <w:vAlign w:val="center"/>
          </w:tcPr>
          <w:p w14:paraId="727173BF" w14:textId="377619A7" w:rsidR="00EF79C9" w:rsidRPr="00DB0C1C" w:rsidRDefault="00EF79C9" w:rsidP="00A3012C">
            <w:pPr>
              <w:spacing w:before="40" w:after="40" w:line="360" w:lineRule="auto"/>
              <w:jc w:val="center"/>
              <w:rPr>
                <w:rFonts w:ascii="Arial" w:hAnsi="Arial" w:cs="Arial"/>
                <w:color w:val="000000"/>
                <w:highlight w:val="yellow"/>
                <w:vertAlign w:val="superscript"/>
              </w:rPr>
            </w:pPr>
            <w:r w:rsidRPr="00DB0C1C">
              <w:rPr>
                <w:rFonts w:ascii="Arial" w:hAnsi="Arial" w:cs="Arial"/>
                <w:color w:val="000000"/>
                <w:highlight w:val="yellow"/>
              </w:rPr>
              <w:t>43.33 ± 1.11</w:t>
            </w:r>
            <w:r w:rsidRPr="008C73BB">
              <w:rPr>
                <w:rFonts w:ascii="Arial" w:hAnsi="Arial"/>
                <w:bCs/>
                <w:i/>
                <w:sz w:val="18"/>
              </w:rPr>
              <w:t>*</w:t>
            </w:r>
          </w:p>
        </w:tc>
        <w:tc>
          <w:tcPr>
            <w:tcW w:w="1701" w:type="dxa"/>
            <w:gridSpan w:val="2"/>
            <w:noWrap/>
            <w:vAlign w:val="center"/>
          </w:tcPr>
          <w:p w14:paraId="0E8C1AFD" w14:textId="48A60069" w:rsidR="00EF79C9" w:rsidRPr="00DB0C1C" w:rsidRDefault="00EF79C9" w:rsidP="00A3012C">
            <w:pPr>
              <w:spacing w:before="40" w:after="40" w:line="360" w:lineRule="auto"/>
              <w:jc w:val="center"/>
              <w:rPr>
                <w:rFonts w:ascii="Arial" w:hAnsi="Arial" w:cs="Arial"/>
                <w:color w:val="000000"/>
                <w:highlight w:val="yellow"/>
              </w:rPr>
            </w:pPr>
            <w:r w:rsidRPr="00DB0C1C">
              <w:rPr>
                <w:rFonts w:ascii="Arial" w:hAnsi="Arial" w:cs="Arial"/>
                <w:color w:val="000000"/>
                <w:highlight w:val="yellow"/>
              </w:rPr>
              <w:t>50.99 ± 0.21</w:t>
            </w:r>
          </w:p>
        </w:tc>
        <w:tc>
          <w:tcPr>
            <w:tcW w:w="1682" w:type="dxa"/>
            <w:gridSpan w:val="2"/>
            <w:noWrap/>
            <w:vAlign w:val="center"/>
          </w:tcPr>
          <w:p w14:paraId="52615940" w14:textId="3C12001D" w:rsidR="00EF79C9" w:rsidRPr="00DB0C1C" w:rsidRDefault="00EF79C9" w:rsidP="00A3012C">
            <w:pPr>
              <w:spacing w:before="40" w:after="40" w:line="360" w:lineRule="auto"/>
              <w:jc w:val="center"/>
              <w:rPr>
                <w:rFonts w:ascii="Arial" w:hAnsi="Arial" w:cs="Arial"/>
                <w:color w:val="000000"/>
                <w:highlight w:val="yellow"/>
              </w:rPr>
            </w:pPr>
            <w:r w:rsidRPr="00DB0C1C">
              <w:rPr>
                <w:rFonts w:ascii="Arial" w:hAnsi="Arial" w:cs="Arial"/>
                <w:color w:val="000000"/>
                <w:highlight w:val="yellow"/>
              </w:rPr>
              <w:t>55.19 ± 0.64</w:t>
            </w:r>
          </w:p>
        </w:tc>
        <w:tc>
          <w:tcPr>
            <w:tcW w:w="1682" w:type="dxa"/>
            <w:vAlign w:val="center"/>
          </w:tcPr>
          <w:p w14:paraId="4F64CBA2" w14:textId="3FE68023" w:rsidR="00EF79C9" w:rsidRPr="00757B79" w:rsidRDefault="00757B79" w:rsidP="00A3012C">
            <w:pPr>
              <w:spacing w:line="360" w:lineRule="auto"/>
              <w:jc w:val="center"/>
              <w:rPr>
                <w:rFonts w:ascii="Arial" w:hAnsi="Arial" w:cs="Arial"/>
                <w:color w:val="000000"/>
                <w:highlight w:val="yellow"/>
              </w:rPr>
            </w:pPr>
            <w:r w:rsidRPr="00757B79">
              <w:rPr>
                <w:rFonts w:ascii="Arial" w:hAnsi="Arial" w:cs="Arial"/>
                <w:color w:val="000000"/>
                <w:highlight w:val="yellow"/>
              </w:rPr>
              <w:t>49.84</w:t>
            </w:r>
            <w:r>
              <w:rPr>
                <w:rFonts w:ascii="Arial" w:hAnsi="Arial" w:cs="Arial"/>
                <w:color w:val="000000"/>
                <w:highlight w:val="yellow"/>
                <w:vertAlign w:val="superscript"/>
              </w:rPr>
              <w:t>c**</w:t>
            </w:r>
            <w:r w:rsidRPr="00757B79">
              <w:rPr>
                <w:rFonts w:ascii="Arial" w:hAnsi="Arial" w:cs="Arial"/>
                <w:color w:val="000000"/>
                <w:highlight w:val="yellow"/>
              </w:rPr>
              <w:t xml:space="preserve"> ± 6.01</w:t>
            </w:r>
          </w:p>
        </w:tc>
      </w:tr>
      <w:tr w:rsidR="00757B79" w:rsidRPr="00795859" w14:paraId="3A008441" w14:textId="68E4EF33" w:rsidTr="00A3012C">
        <w:trPr>
          <w:trHeight w:val="624"/>
          <w:jc w:val="center"/>
        </w:trPr>
        <w:tc>
          <w:tcPr>
            <w:tcW w:w="562" w:type="dxa"/>
            <w:vAlign w:val="center"/>
          </w:tcPr>
          <w:p w14:paraId="3F1224A2" w14:textId="77777777" w:rsidR="00757B79" w:rsidRPr="002B3FDB" w:rsidRDefault="00757B79" w:rsidP="00757B79">
            <w:pPr>
              <w:spacing w:before="40" w:after="40" w:line="360" w:lineRule="auto"/>
              <w:jc w:val="center"/>
              <w:rPr>
                <w:rFonts w:ascii="Arial" w:hAnsi="Arial" w:cs="Arial"/>
                <w:color w:val="000000"/>
              </w:rPr>
            </w:pPr>
            <w:r w:rsidRPr="002B3FDB">
              <w:rPr>
                <w:rFonts w:ascii="Arial" w:hAnsi="Arial" w:cs="Arial"/>
                <w:color w:val="000000"/>
              </w:rPr>
              <w:t>2.</w:t>
            </w:r>
          </w:p>
        </w:tc>
        <w:tc>
          <w:tcPr>
            <w:tcW w:w="2694" w:type="dxa"/>
            <w:noWrap/>
            <w:vAlign w:val="center"/>
          </w:tcPr>
          <w:p w14:paraId="36143FA2" w14:textId="77777777" w:rsidR="00757B79" w:rsidRPr="002B3FDB" w:rsidRDefault="00757B79" w:rsidP="00A3012C">
            <w:pPr>
              <w:spacing w:before="40" w:after="40" w:line="360" w:lineRule="auto"/>
              <w:jc w:val="center"/>
              <w:rPr>
                <w:rFonts w:ascii="Arial" w:hAnsi="Arial" w:cs="Arial"/>
                <w:color w:val="000000"/>
              </w:rPr>
            </w:pPr>
            <w:r w:rsidRPr="002B3FDB">
              <w:rPr>
                <w:rFonts w:ascii="Arial" w:hAnsi="Arial" w:cs="Arial"/>
              </w:rPr>
              <w:t>Hexaconazole 5% EC</w:t>
            </w:r>
          </w:p>
        </w:tc>
        <w:tc>
          <w:tcPr>
            <w:tcW w:w="1559" w:type="dxa"/>
            <w:noWrap/>
            <w:vAlign w:val="center"/>
          </w:tcPr>
          <w:p w14:paraId="5FCFFCE2" w14:textId="26EF5618" w:rsidR="00757B79" w:rsidRPr="00DB0C1C" w:rsidRDefault="00757B79" w:rsidP="00A3012C">
            <w:pPr>
              <w:spacing w:line="360" w:lineRule="auto"/>
              <w:jc w:val="center"/>
              <w:rPr>
                <w:rFonts w:ascii="Arial" w:hAnsi="Arial" w:cs="Arial"/>
                <w:color w:val="000000"/>
                <w:highlight w:val="yellow"/>
              </w:rPr>
            </w:pPr>
            <w:r w:rsidRPr="00DB0C1C">
              <w:rPr>
                <w:rFonts w:ascii="Arial" w:hAnsi="Arial" w:cs="Arial"/>
                <w:color w:val="000000"/>
                <w:highlight w:val="yellow"/>
              </w:rPr>
              <w:t>80.37 ± 0.64</w:t>
            </w:r>
          </w:p>
        </w:tc>
        <w:tc>
          <w:tcPr>
            <w:tcW w:w="1701" w:type="dxa"/>
            <w:gridSpan w:val="2"/>
            <w:noWrap/>
            <w:vAlign w:val="center"/>
          </w:tcPr>
          <w:p w14:paraId="36615E13" w14:textId="517FACD3" w:rsidR="00757B79" w:rsidRPr="00DB0C1C" w:rsidRDefault="00757B79" w:rsidP="00A3012C">
            <w:pPr>
              <w:spacing w:before="40" w:after="40" w:line="360" w:lineRule="auto"/>
              <w:jc w:val="center"/>
              <w:rPr>
                <w:rFonts w:ascii="Arial" w:hAnsi="Arial" w:cs="Arial"/>
                <w:color w:val="000000"/>
                <w:highlight w:val="yellow"/>
              </w:rPr>
            </w:pPr>
            <w:r w:rsidRPr="00DB0C1C">
              <w:rPr>
                <w:rFonts w:ascii="Arial" w:hAnsi="Arial" w:cs="Arial"/>
                <w:color w:val="000000"/>
                <w:highlight w:val="yellow"/>
              </w:rPr>
              <w:t>81.48 ± 0.64</w:t>
            </w:r>
          </w:p>
        </w:tc>
        <w:tc>
          <w:tcPr>
            <w:tcW w:w="1682" w:type="dxa"/>
            <w:gridSpan w:val="2"/>
            <w:noWrap/>
            <w:vAlign w:val="center"/>
          </w:tcPr>
          <w:p w14:paraId="22B94E60" w14:textId="7DEBC383" w:rsidR="00757B79" w:rsidRPr="00DB0C1C" w:rsidRDefault="00757B79" w:rsidP="00A3012C">
            <w:pPr>
              <w:spacing w:before="40" w:after="40" w:line="360" w:lineRule="auto"/>
              <w:jc w:val="center"/>
              <w:rPr>
                <w:rFonts w:ascii="Arial" w:hAnsi="Arial" w:cs="Arial"/>
                <w:color w:val="000000"/>
                <w:highlight w:val="yellow"/>
              </w:rPr>
            </w:pPr>
            <w:r w:rsidRPr="00DB0C1C">
              <w:rPr>
                <w:rFonts w:ascii="Arial" w:hAnsi="Arial" w:cs="Arial"/>
                <w:color w:val="000000"/>
                <w:highlight w:val="yellow"/>
              </w:rPr>
              <w:t>83.70 ± 0.64</w:t>
            </w:r>
          </w:p>
        </w:tc>
        <w:tc>
          <w:tcPr>
            <w:tcW w:w="1682" w:type="dxa"/>
            <w:vAlign w:val="center"/>
          </w:tcPr>
          <w:p w14:paraId="31B96034" w14:textId="543DF5D6" w:rsidR="00757B79" w:rsidRPr="00757B79" w:rsidRDefault="00757B79" w:rsidP="00A3012C">
            <w:pPr>
              <w:spacing w:before="40" w:after="40" w:line="360" w:lineRule="auto"/>
              <w:jc w:val="center"/>
              <w:rPr>
                <w:rFonts w:ascii="Arial" w:hAnsi="Arial" w:cs="Arial"/>
                <w:color w:val="000000"/>
                <w:highlight w:val="yellow"/>
              </w:rPr>
            </w:pPr>
            <w:r w:rsidRPr="00757B79">
              <w:rPr>
                <w:rFonts w:ascii="Arial" w:hAnsi="Arial" w:cs="Arial"/>
                <w:color w:val="000000"/>
                <w:highlight w:val="yellow"/>
              </w:rPr>
              <w:t>81.85</w:t>
            </w:r>
            <w:r>
              <w:rPr>
                <w:rFonts w:ascii="Arial" w:hAnsi="Arial" w:cs="Arial"/>
                <w:color w:val="000000"/>
                <w:highlight w:val="yellow"/>
                <w:vertAlign w:val="superscript"/>
              </w:rPr>
              <w:t>bc</w:t>
            </w:r>
            <w:r w:rsidRPr="00757B79">
              <w:rPr>
                <w:rFonts w:ascii="Arial" w:hAnsi="Arial" w:cs="Arial"/>
                <w:color w:val="000000"/>
                <w:highlight w:val="yellow"/>
              </w:rPr>
              <w:t xml:space="preserve"> ± 1.70</w:t>
            </w:r>
          </w:p>
        </w:tc>
      </w:tr>
      <w:tr w:rsidR="00757B79" w:rsidRPr="00795859" w14:paraId="43A51F07" w14:textId="2FAC7B37" w:rsidTr="00A3012C">
        <w:trPr>
          <w:trHeight w:val="624"/>
          <w:jc w:val="center"/>
        </w:trPr>
        <w:tc>
          <w:tcPr>
            <w:tcW w:w="562" w:type="dxa"/>
            <w:vAlign w:val="center"/>
          </w:tcPr>
          <w:p w14:paraId="40DE811D" w14:textId="77777777" w:rsidR="00757B79" w:rsidRPr="002B3FDB" w:rsidRDefault="00757B79" w:rsidP="00757B79">
            <w:pPr>
              <w:spacing w:before="40" w:after="40" w:line="360" w:lineRule="auto"/>
              <w:jc w:val="center"/>
              <w:rPr>
                <w:rFonts w:ascii="Arial" w:hAnsi="Arial" w:cs="Arial"/>
                <w:color w:val="000000"/>
              </w:rPr>
            </w:pPr>
            <w:r w:rsidRPr="002B3FDB">
              <w:rPr>
                <w:rFonts w:ascii="Arial" w:hAnsi="Arial" w:cs="Arial"/>
                <w:color w:val="000000"/>
              </w:rPr>
              <w:t>3.</w:t>
            </w:r>
          </w:p>
        </w:tc>
        <w:tc>
          <w:tcPr>
            <w:tcW w:w="2694" w:type="dxa"/>
            <w:noWrap/>
            <w:vAlign w:val="center"/>
          </w:tcPr>
          <w:p w14:paraId="330C04A9" w14:textId="77777777" w:rsidR="00757B79" w:rsidRPr="002B3FDB" w:rsidRDefault="00757B79" w:rsidP="00A3012C">
            <w:pPr>
              <w:spacing w:before="40" w:after="40" w:line="360" w:lineRule="auto"/>
              <w:jc w:val="center"/>
              <w:rPr>
                <w:rFonts w:ascii="Arial" w:hAnsi="Arial" w:cs="Arial"/>
                <w:color w:val="000000"/>
              </w:rPr>
            </w:pPr>
            <w:r w:rsidRPr="002B3FDB">
              <w:rPr>
                <w:rFonts w:ascii="Arial" w:hAnsi="Arial" w:cs="Arial"/>
                <w:color w:val="000000"/>
              </w:rPr>
              <w:t>Propiconazole 25% EC</w:t>
            </w:r>
          </w:p>
        </w:tc>
        <w:tc>
          <w:tcPr>
            <w:tcW w:w="1559" w:type="dxa"/>
            <w:noWrap/>
            <w:vAlign w:val="center"/>
          </w:tcPr>
          <w:p w14:paraId="10F158E3" w14:textId="46C6AA1D" w:rsidR="00757B79" w:rsidRPr="00DB0C1C" w:rsidRDefault="00757B79" w:rsidP="00A3012C">
            <w:pPr>
              <w:spacing w:before="40" w:after="40" w:line="360" w:lineRule="auto"/>
              <w:jc w:val="center"/>
              <w:rPr>
                <w:rFonts w:ascii="Arial" w:hAnsi="Arial" w:cs="Arial"/>
                <w:color w:val="000000"/>
                <w:highlight w:val="yellow"/>
              </w:rPr>
            </w:pPr>
            <w:r w:rsidRPr="00DB0C1C">
              <w:rPr>
                <w:rFonts w:ascii="Arial" w:hAnsi="Arial" w:cs="Arial"/>
                <w:color w:val="000000"/>
                <w:highlight w:val="yellow"/>
              </w:rPr>
              <w:t>100.00 ± 0.00</w:t>
            </w:r>
          </w:p>
        </w:tc>
        <w:tc>
          <w:tcPr>
            <w:tcW w:w="1701" w:type="dxa"/>
            <w:gridSpan w:val="2"/>
            <w:noWrap/>
            <w:vAlign w:val="center"/>
          </w:tcPr>
          <w:p w14:paraId="0F89EE0D" w14:textId="5266EC2F" w:rsidR="00757B79" w:rsidRPr="00DB0C1C" w:rsidRDefault="00757B79" w:rsidP="00A3012C">
            <w:pPr>
              <w:spacing w:before="40" w:after="40" w:line="360" w:lineRule="auto"/>
              <w:jc w:val="center"/>
              <w:rPr>
                <w:rFonts w:ascii="Arial" w:hAnsi="Arial" w:cs="Arial"/>
                <w:color w:val="000000"/>
                <w:highlight w:val="yellow"/>
              </w:rPr>
            </w:pPr>
            <w:r w:rsidRPr="00DB0C1C">
              <w:rPr>
                <w:rFonts w:ascii="Arial" w:hAnsi="Arial" w:cs="Arial"/>
                <w:color w:val="000000"/>
                <w:highlight w:val="yellow"/>
              </w:rPr>
              <w:t>100.00 ± 0.00</w:t>
            </w:r>
          </w:p>
        </w:tc>
        <w:tc>
          <w:tcPr>
            <w:tcW w:w="1682" w:type="dxa"/>
            <w:gridSpan w:val="2"/>
            <w:noWrap/>
            <w:vAlign w:val="center"/>
          </w:tcPr>
          <w:p w14:paraId="22E19886" w14:textId="18E0EE44" w:rsidR="00757B79" w:rsidRPr="00DB0C1C" w:rsidRDefault="00757B79" w:rsidP="00A3012C">
            <w:pPr>
              <w:spacing w:before="40" w:after="40" w:line="360" w:lineRule="auto"/>
              <w:jc w:val="center"/>
              <w:rPr>
                <w:rFonts w:ascii="Arial" w:hAnsi="Arial" w:cs="Arial"/>
                <w:color w:val="000000"/>
                <w:highlight w:val="yellow"/>
              </w:rPr>
            </w:pPr>
            <w:r w:rsidRPr="00DB0C1C">
              <w:rPr>
                <w:rFonts w:ascii="Arial" w:hAnsi="Arial" w:cs="Arial"/>
                <w:color w:val="000000"/>
                <w:highlight w:val="yellow"/>
              </w:rPr>
              <w:t>100.00 ± 0.00</w:t>
            </w:r>
          </w:p>
        </w:tc>
        <w:tc>
          <w:tcPr>
            <w:tcW w:w="1682" w:type="dxa"/>
            <w:vAlign w:val="center"/>
          </w:tcPr>
          <w:p w14:paraId="06FFBC09" w14:textId="51D74D92" w:rsidR="00757B79" w:rsidRPr="00757B79" w:rsidRDefault="00757B79" w:rsidP="00A3012C">
            <w:pPr>
              <w:spacing w:before="40" w:after="40" w:line="360" w:lineRule="auto"/>
              <w:jc w:val="center"/>
              <w:rPr>
                <w:rFonts w:ascii="Arial" w:hAnsi="Arial" w:cs="Arial"/>
                <w:color w:val="000000"/>
                <w:highlight w:val="yellow"/>
              </w:rPr>
            </w:pPr>
            <w:r w:rsidRPr="00757B79">
              <w:rPr>
                <w:rFonts w:ascii="Arial" w:hAnsi="Arial" w:cs="Arial"/>
                <w:color w:val="000000"/>
                <w:highlight w:val="yellow"/>
              </w:rPr>
              <w:t>100.00</w:t>
            </w:r>
            <w:r w:rsidRPr="00757B79">
              <w:rPr>
                <w:rFonts w:ascii="Arial" w:hAnsi="Arial" w:cs="Arial"/>
                <w:color w:val="000000"/>
                <w:highlight w:val="yellow"/>
                <w:vertAlign w:val="superscript"/>
              </w:rPr>
              <w:t>a</w:t>
            </w:r>
            <w:r w:rsidRPr="00757B79">
              <w:rPr>
                <w:rFonts w:ascii="Arial" w:hAnsi="Arial" w:cs="Arial"/>
                <w:color w:val="000000"/>
                <w:highlight w:val="yellow"/>
              </w:rPr>
              <w:t xml:space="preserve"> ± 0.00</w:t>
            </w:r>
          </w:p>
        </w:tc>
      </w:tr>
      <w:tr w:rsidR="00757B79" w:rsidRPr="00795859" w14:paraId="3C5B0737" w14:textId="1BDD4A96" w:rsidTr="00A3012C">
        <w:trPr>
          <w:trHeight w:val="624"/>
          <w:jc w:val="center"/>
        </w:trPr>
        <w:tc>
          <w:tcPr>
            <w:tcW w:w="562" w:type="dxa"/>
            <w:vAlign w:val="center"/>
          </w:tcPr>
          <w:p w14:paraId="30A41AEC" w14:textId="77777777" w:rsidR="00757B79" w:rsidRPr="002B3FDB" w:rsidRDefault="00757B79" w:rsidP="00757B79">
            <w:pPr>
              <w:spacing w:before="40" w:after="40" w:line="360" w:lineRule="auto"/>
              <w:jc w:val="center"/>
              <w:rPr>
                <w:rFonts w:ascii="Arial" w:hAnsi="Arial" w:cs="Arial"/>
                <w:color w:val="000000"/>
                <w:lang w:val="it-IT"/>
              </w:rPr>
            </w:pPr>
            <w:r w:rsidRPr="002B3FDB">
              <w:rPr>
                <w:rFonts w:ascii="Arial" w:hAnsi="Arial" w:cs="Arial"/>
                <w:color w:val="000000"/>
                <w:lang w:val="it-IT"/>
              </w:rPr>
              <w:t>4.</w:t>
            </w:r>
          </w:p>
        </w:tc>
        <w:tc>
          <w:tcPr>
            <w:tcW w:w="2694" w:type="dxa"/>
            <w:noWrap/>
            <w:vAlign w:val="center"/>
          </w:tcPr>
          <w:p w14:paraId="22A99F3C" w14:textId="77777777" w:rsidR="00757B79" w:rsidRPr="002B3FDB" w:rsidRDefault="00757B79" w:rsidP="00A3012C">
            <w:pPr>
              <w:spacing w:before="40" w:after="40" w:line="360" w:lineRule="auto"/>
              <w:jc w:val="center"/>
              <w:rPr>
                <w:rFonts w:ascii="Arial" w:hAnsi="Arial" w:cs="Arial"/>
                <w:color w:val="000000"/>
                <w:lang w:val="it-IT"/>
              </w:rPr>
            </w:pPr>
            <w:r w:rsidRPr="002B3FDB">
              <w:rPr>
                <w:rFonts w:ascii="Arial" w:hAnsi="Arial" w:cs="Arial"/>
              </w:rPr>
              <w:t>Difenoconazole 25% EC</w:t>
            </w:r>
          </w:p>
        </w:tc>
        <w:tc>
          <w:tcPr>
            <w:tcW w:w="1559" w:type="dxa"/>
            <w:noWrap/>
            <w:vAlign w:val="center"/>
          </w:tcPr>
          <w:p w14:paraId="40F42361" w14:textId="4E78FABE" w:rsidR="00757B79" w:rsidRPr="00DB0C1C" w:rsidRDefault="00757B79" w:rsidP="00A3012C">
            <w:pPr>
              <w:spacing w:before="40" w:after="40" w:line="360" w:lineRule="auto"/>
              <w:jc w:val="center"/>
              <w:rPr>
                <w:rFonts w:ascii="Arial" w:hAnsi="Arial" w:cs="Arial"/>
                <w:color w:val="000000"/>
                <w:highlight w:val="yellow"/>
              </w:rPr>
            </w:pPr>
            <w:r w:rsidRPr="00DB0C1C">
              <w:rPr>
                <w:rFonts w:ascii="Arial" w:hAnsi="Arial" w:cs="Arial"/>
                <w:color w:val="000000"/>
                <w:highlight w:val="yellow"/>
              </w:rPr>
              <w:t>84.44 ± 1.11</w:t>
            </w:r>
          </w:p>
        </w:tc>
        <w:tc>
          <w:tcPr>
            <w:tcW w:w="1701" w:type="dxa"/>
            <w:gridSpan w:val="2"/>
            <w:noWrap/>
            <w:vAlign w:val="center"/>
          </w:tcPr>
          <w:p w14:paraId="613DCBC9" w14:textId="3249C067" w:rsidR="00757B79" w:rsidRPr="00DB0C1C" w:rsidRDefault="00757B79" w:rsidP="00A3012C">
            <w:pPr>
              <w:spacing w:before="40" w:after="40" w:line="360" w:lineRule="auto"/>
              <w:jc w:val="center"/>
              <w:rPr>
                <w:rFonts w:ascii="Arial" w:hAnsi="Arial" w:cs="Arial"/>
                <w:color w:val="000000"/>
                <w:highlight w:val="yellow"/>
              </w:rPr>
            </w:pPr>
            <w:r w:rsidRPr="00DB0C1C">
              <w:rPr>
                <w:rFonts w:ascii="Arial" w:hAnsi="Arial" w:cs="Arial"/>
                <w:color w:val="000000"/>
                <w:highlight w:val="yellow"/>
              </w:rPr>
              <w:t>88.15 ± 1.70</w:t>
            </w:r>
          </w:p>
        </w:tc>
        <w:tc>
          <w:tcPr>
            <w:tcW w:w="1682" w:type="dxa"/>
            <w:gridSpan w:val="2"/>
            <w:noWrap/>
            <w:vAlign w:val="center"/>
          </w:tcPr>
          <w:p w14:paraId="0425E1FB" w14:textId="26ADD23C" w:rsidR="00757B79" w:rsidRPr="00DB0C1C" w:rsidRDefault="00757B79" w:rsidP="00A3012C">
            <w:pPr>
              <w:spacing w:before="40" w:after="40" w:line="360" w:lineRule="auto"/>
              <w:jc w:val="center"/>
              <w:rPr>
                <w:rFonts w:ascii="Arial" w:hAnsi="Arial" w:cs="Arial"/>
                <w:color w:val="000000"/>
                <w:highlight w:val="yellow"/>
              </w:rPr>
            </w:pPr>
            <w:r w:rsidRPr="00DB0C1C">
              <w:rPr>
                <w:rFonts w:ascii="Arial" w:hAnsi="Arial" w:cs="Arial"/>
                <w:color w:val="000000"/>
                <w:highlight w:val="yellow"/>
              </w:rPr>
              <w:t>89.26 ± 1.28</w:t>
            </w:r>
          </w:p>
        </w:tc>
        <w:tc>
          <w:tcPr>
            <w:tcW w:w="1682" w:type="dxa"/>
            <w:vAlign w:val="center"/>
          </w:tcPr>
          <w:p w14:paraId="13832181" w14:textId="7923582C" w:rsidR="00757B79" w:rsidRPr="00757B79" w:rsidRDefault="00757B79" w:rsidP="00A3012C">
            <w:pPr>
              <w:spacing w:before="40" w:after="40" w:line="360" w:lineRule="auto"/>
              <w:jc w:val="center"/>
              <w:rPr>
                <w:rFonts w:ascii="Arial" w:hAnsi="Arial" w:cs="Arial"/>
                <w:color w:val="000000"/>
                <w:highlight w:val="yellow"/>
              </w:rPr>
            </w:pPr>
            <w:r w:rsidRPr="00757B79">
              <w:rPr>
                <w:rFonts w:ascii="Arial" w:hAnsi="Arial" w:cs="Arial"/>
                <w:color w:val="000000"/>
                <w:highlight w:val="yellow"/>
              </w:rPr>
              <w:t>87.28</w:t>
            </w:r>
            <w:r>
              <w:rPr>
                <w:rFonts w:ascii="Arial" w:hAnsi="Arial" w:cs="Arial"/>
                <w:color w:val="000000"/>
                <w:highlight w:val="yellow"/>
                <w:vertAlign w:val="superscript"/>
              </w:rPr>
              <w:t>b</w:t>
            </w:r>
            <w:r w:rsidRPr="00757B79">
              <w:rPr>
                <w:rFonts w:ascii="Arial" w:hAnsi="Arial" w:cs="Arial"/>
                <w:color w:val="000000"/>
                <w:highlight w:val="yellow"/>
              </w:rPr>
              <w:t xml:space="preserve"> ± 2.52</w:t>
            </w:r>
          </w:p>
        </w:tc>
      </w:tr>
      <w:tr w:rsidR="00757B79" w:rsidRPr="00795859" w14:paraId="76CD1E0F" w14:textId="28A91081" w:rsidTr="00A3012C">
        <w:trPr>
          <w:trHeight w:val="624"/>
          <w:jc w:val="center"/>
        </w:trPr>
        <w:tc>
          <w:tcPr>
            <w:tcW w:w="562" w:type="dxa"/>
            <w:vAlign w:val="center"/>
          </w:tcPr>
          <w:p w14:paraId="0B30A931" w14:textId="77777777" w:rsidR="00757B79" w:rsidRPr="002B3FDB" w:rsidRDefault="00757B79" w:rsidP="00757B79">
            <w:pPr>
              <w:spacing w:before="40" w:after="40" w:line="360" w:lineRule="auto"/>
              <w:jc w:val="center"/>
              <w:rPr>
                <w:rFonts w:ascii="Arial" w:hAnsi="Arial" w:cs="Arial"/>
              </w:rPr>
            </w:pPr>
            <w:r w:rsidRPr="002B3FDB">
              <w:rPr>
                <w:rFonts w:ascii="Arial" w:hAnsi="Arial" w:cs="Arial"/>
              </w:rPr>
              <w:t>5.</w:t>
            </w:r>
          </w:p>
        </w:tc>
        <w:tc>
          <w:tcPr>
            <w:tcW w:w="2694" w:type="dxa"/>
            <w:noWrap/>
            <w:vAlign w:val="center"/>
          </w:tcPr>
          <w:p w14:paraId="4916C5B1" w14:textId="77777777" w:rsidR="00757B79" w:rsidRDefault="00757B79" w:rsidP="00A3012C">
            <w:pPr>
              <w:spacing w:before="40" w:after="40" w:line="360" w:lineRule="auto"/>
              <w:jc w:val="center"/>
              <w:rPr>
                <w:rFonts w:ascii="Arial" w:hAnsi="Arial" w:cs="Arial"/>
              </w:rPr>
            </w:pPr>
            <w:r w:rsidRPr="002B3FDB">
              <w:rPr>
                <w:rFonts w:ascii="Arial" w:hAnsi="Arial" w:cs="Arial"/>
              </w:rPr>
              <w:t xml:space="preserve">Carbendazim 12% + </w:t>
            </w:r>
          </w:p>
          <w:p w14:paraId="64D778F7" w14:textId="5248ACB7" w:rsidR="00757B79" w:rsidRPr="002B3FDB" w:rsidRDefault="00757B79" w:rsidP="00A3012C">
            <w:pPr>
              <w:spacing w:before="40" w:after="40" w:line="360" w:lineRule="auto"/>
              <w:jc w:val="center"/>
              <w:rPr>
                <w:rFonts w:ascii="Arial" w:hAnsi="Arial" w:cs="Arial"/>
              </w:rPr>
            </w:pPr>
            <w:r w:rsidRPr="002B3FDB">
              <w:rPr>
                <w:rFonts w:ascii="Arial" w:hAnsi="Arial" w:cs="Arial"/>
              </w:rPr>
              <w:t>Mancozeb 63% WP</w:t>
            </w:r>
          </w:p>
        </w:tc>
        <w:tc>
          <w:tcPr>
            <w:tcW w:w="1559" w:type="dxa"/>
            <w:noWrap/>
            <w:vAlign w:val="center"/>
          </w:tcPr>
          <w:p w14:paraId="30C11AF0" w14:textId="12382D8F" w:rsidR="00757B79" w:rsidRPr="00DB0C1C" w:rsidRDefault="00757B79" w:rsidP="00A3012C">
            <w:pPr>
              <w:spacing w:before="40" w:after="40" w:line="360" w:lineRule="auto"/>
              <w:jc w:val="center"/>
              <w:rPr>
                <w:rFonts w:ascii="Arial" w:hAnsi="Arial" w:cs="Arial"/>
                <w:highlight w:val="yellow"/>
              </w:rPr>
            </w:pPr>
            <w:r w:rsidRPr="00DB0C1C">
              <w:rPr>
                <w:rFonts w:ascii="Arial" w:hAnsi="Arial" w:cs="Arial"/>
                <w:color w:val="000000"/>
                <w:highlight w:val="yellow"/>
              </w:rPr>
              <w:t>100.00 ± 0.00</w:t>
            </w:r>
          </w:p>
        </w:tc>
        <w:tc>
          <w:tcPr>
            <w:tcW w:w="1701" w:type="dxa"/>
            <w:gridSpan w:val="2"/>
            <w:noWrap/>
            <w:vAlign w:val="center"/>
          </w:tcPr>
          <w:p w14:paraId="77A52077" w14:textId="522D635D" w:rsidR="00757B79" w:rsidRPr="00DB0C1C" w:rsidRDefault="00757B79" w:rsidP="00A3012C">
            <w:pPr>
              <w:spacing w:before="40" w:after="40" w:line="360" w:lineRule="auto"/>
              <w:jc w:val="center"/>
              <w:rPr>
                <w:rFonts w:ascii="Arial" w:hAnsi="Arial" w:cs="Arial"/>
                <w:highlight w:val="yellow"/>
              </w:rPr>
            </w:pPr>
            <w:r w:rsidRPr="00DB0C1C">
              <w:rPr>
                <w:rFonts w:ascii="Arial" w:hAnsi="Arial" w:cs="Arial"/>
                <w:color w:val="000000"/>
                <w:highlight w:val="yellow"/>
              </w:rPr>
              <w:t>100.00 ± 0.00</w:t>
            </w:r>
          </w:p>
        </w:tc>
        <w:tc>
          <w:tcPr>
            <w:tcW w:w="1682" w:type="dxa"/>
            <w:gridSpan w:val="2"/>
            <w:noWrap/>
            <w:vAlign w:val="center"/>
          </w:tcPr>
          <w:p w14:paraId="3D9E23B8" w14:textId="10C39646" w:rsidR="00757B79" w:rsidRPr="00DB0C1C" w:rsidRDefault="00757B79" w:rsidP="00A3012C">
            <w:pPr>
              <w:spacing w:before="40" w:after="40" w:line="360" w:lineRule="auto"/>
              <w:jc w:val="center"/>
              <w:rPr>
                <w:rFonts w:ascii="Arial" w:hAnsi="Arial" w:cs="Arial"/>
                <w:b/>
                <w:bCs/>
                <w:highlight w:val="yellow"/>
              </w:rPr>
            </w:pPr>
            <w:r w:rsidRPr="00DB0C1C">
              <w:rPr>
                <w:rFonts w:ascii="Arial" w:hAnsi="Arial" w:cs="Arial"/>
                <w:color w:val="000000"/>
                <w:highlight w:val="yellow"/>
              </w:rPr>
              <w:t>100.00 ± 0.00</w:t>
            </w:r>
          </w:p>
        </w:tc>
        <w:tc>
          <w:tcPr>
            <w:tcW w:w="1682" w:type="dxa"/>
            <w:vAlign w:val="center"/>
          </w:tcPr>
          <w:p w14:paraId="78EAF901" w14:textId="4BC7AAD0" w:rsidR="00757B79" w:rsidRPr="00757B79" w:rsidRDefault="00757B79" w:rsidP="00A3012C">
            <w:pPr>
              <w:spacing w:before="40" w:after="40" w:line="360" w:lineRule="auto"/>
              <w:jc w:val="center"/>
              <w:rPr>
                <w:rFonts w:ascii="Arial" w:hAnsi="Arial" w:cs="Arial"/>
                <w:color w:val="000000"/>
                <w:highlight w:val="yellow"/>
              </w:rPr>
            </w:pPr>
            <w:r w:rsidRPr="00757B79">
              <w:rPr>
                <w:rFonts w:ascii="Arial" w:hAnsi="Arial" w:cs="Arial"/>
                <w:color w:val="000000"/>
                <w:highlight w:val="yellow"/>
              </w:rPr>
              <w:t>100.00</w:t>
            </w:r>
            <w:r w:rsidRPr="00757B79">
              <w:rPr>
                <w:rFonts w:ascii="Arial" w:hAnsi="Arial" w:cs="Arial"/>
                <w:color w:val="000000"/>
                <w:highlight w:val="yellow"/>
                <w:vertAlign w:val="superscript"/>
              </w:rPr>
              <w:t>a</w:t>
            </w:r>
            <w:r w:rsidRPr="00757B79">
              <w:rPr>
                <w:rFonts w:ascii="Arial" w:hAnsi="Arial" w:cs="Arial"/>
                <w:color w:val="000000"/>
                <w:highlight w:val="yellow"/>
              </w:rPr>
              <w:t xml:space="preserve"> ± 0.00</w:t>
            </w:r>
          </w:p>
        </w:tc>
      </w:tr>
      <w:tr w:rsidR="00757B79" w:rsidRPr="00795859" w14:paraId="11CD19B2" w14:textId="695F9AE4" w:rsidTr="00A3012C">
        <w:trPr>
          <w:trHeight w:val="624"/>
          <w:jc w:val="center"/>
        </w:trPr>
        <w:tc>
          <w:tcPr>
            <w:tcW w:w="562" w:type="dxa"/>
            <w:vAlign w:val="center"/>
          </w:tcPr>
          <w:p w14:paraId="36072BF2" w14:textId="77777777" w:rsidR="00757B79" w:rsidRPr="002B3FDB" w:rsidRDefault="00757B79" w:rsidP="00757B79">
            <w:pPr>
              <w:spacing w:before="40" w:after="40" w:line="360" w:lineRule="auto"/>
              <w:jc w:val="center"/>
              <w:rPr>
                <w:rFonts w:ascii="Arial" w:hAnsi="Arial" w:cs="Arial"/>
              </w:rPr>
            </w:pPr>
            <w:r w:rsidRPr="002B3FDB">
              <w:rPr>
                <w:rFonts w:ascii="Arial" w:hAnsi="Arial" w:cs="Arial"/>
              </w:rPr>
              <w:t>6.</w:t>
            </w:r>
          </w:p>
        </w:tc>
        <w:tc>
          <w:tcPr>
            <w:tcW w:w="2694" w:type="dxa"/>
            <w:noWrap/>
            <w:vAlign w:val="center"/>
          </w:tcPr>
          <w:p w14:paraId="002FAC52" w14:textId="77777777" w:rsidR="00757B79" w:rsidRDefault="00757B79" w:rsidP="00A3012C">
            <w:pPr>
              <w:spacing w:before="40" w:after="40" w:line="360" w:lineRule="auto"/>
              <w:jc w:val="center"/>
              <w:rPr>
                <w:rFonts w:ascii="Arial" w:hAnsi="Arial" w:cs="Arial"/>
              </w:rPr>
            </w:pPr>
            <w:r w:rsidRPr="002B3FDB">
              <w:rPr>
                <w:rFonts w:ascii="Arial" w:hAnsi="Arial" w:cs="Arial"/>
              </w:rPr>
              <w:t xml:space="preserve">Tebuconazole 50% + </w:t>
            </w:r>
          </w:p>
          <w:p w14:paraId="4C2DBE8D" w14:textId="34140C7B" w:rsidR="00757B79" w:rsidRPr="002B3FDB" w:rsidRDefault="00757B79" w:rsidP="00A3012C">
            <w:pPr>
              <w:spacing w:before="40" w:after="40" w:line="360" w:lineRule="auto"/>
              <w:jc w:val="center"/>
              <w:rPr>
                <w:rFonts w:ascii="Arial" w:hAnsi="Arial" w:cs="Arial"/>
              </w:rPr>
            </w:pPr>
            <w:proofErr w:type="spellStart"/>
            <w:r w:rsidRPr="002B3FDB">
              <w:rPr>
                <w:rFonts w:ascii="Arial" w:hAnsi="Arial" w:cs="Arial"/>
              </w:rPr>
              <w:t>Trifloxystrobin</w:t>
            </w:r>
            <w:proofErr w:type="spellEnd"/>
            <w:r w:rsidRPr="002B3FDB">
              <w:rPr>
                <w:rFonts w:ascii="Arial" w:hAnsi="Arial" w:cs="Arial"/>
              </w:rPr>
              <w:t xml:space="preserve"> 25% WG</w:t>
            </w:r>
          </w:p>
        </w:tc>
        <w:tc>
          <w:tcPr>
            <w:tcW w:w="1559" w:type="dxa"/>
            <w:noWrap/>
            <w:vAlign w:val="center"/>
          </w:tcPr>
          <w:p w14:paraId="59B12AC9" w14:textId="103874F5" w:rsidR="00757B79" w:rsidRPr="00DB0C1C" w:rsidRDefault="00757B79" w:rsidP="00A3012C">
            <w:pPr>
              <w:spacing w:before="40" w:after="40" w:line="360" w:lineRule="auto"/>
              <w:jc w:val="center"/>
              <w:rPr>
                <w:rFonts w:ascii="Arial" w:hAnsi="Arial" w:cs="Arial"/>
                <w:highlight w:val="yellow"/>
              </w:rPr>
            </w:pPr>
            <w:r w:rsidRPr="00DB0C1C">
              <w:rPr>
                <w:rFonts w:ascii="Arial" w:hAnsi="Arial" w:cs="Arial"/>
                <w:color w:val="000000"/>
                <w:highlight w:val="yellow"/>
              </w:rPr>
              <w:t>100.00 ± 0.00</w:t>
            </w:r>
          </w:p>
        </w:tc>
        <w:tc>
          <w:tcPr>
            <w:tcW w:w="1701" w:type="dxa"/>
            <w:gridSpan w:val="2"/>
            <w:noWrap/>
            <w:vAlign w:val="center"/>
          </w:tcPr>
          <w:p w14:paraId="6851401E" w14:textId="39000E32" w:rsidR="00757B79" w:rsidRPr="00DB0C1C" w:rsidRDefault="00757B79" w:rsidP="00A3012C">
            <w:pPr>
              <w:spacing w:before="40" w:after="40" w:line="360" w:lineRule="auto"/>
              <w:jc w:val="center"/>
              <w:rPr>
                <w:rFonts w:ascii="Arial" w:hAnsi="Arial" w:cs="Arial"/>
                <w:highlight w:val="yellow"/>
              </w:rPr>
            </w:pPr>
            <w:r w:rsidRPr="00DB0C1C">
              <w:rPr>
                <w:rFonts w:ascii="Arial" w:hAnsi="Arial" w:cs="Arial"/>
                <w:color w:val="000000"/>
                <w:highlight w:val="yellow"/>
              </w:rPr>
              <w:t>100.00 ± 0.00</w:t>
            </w:r>
          </w:p>
        </w:tc>
        <w:tc>
          <w:tcPr>
            <w:tcW w:w="1682" w:type="dxa"/>
            <w:gridSpan w:val="2"/>
            <w:noWrap/>
            <w:vAlign w:val="center"/>
          </w:tcPr>
          <w:p w14:paraId="382C2D28" w14:textId="6D2C6EF9" w:rsidR="00757B79" w:rsidRPr="00DB0C1C" w:rsidRDefault="00757B79" w:rsidP="00A3012C">
            <w:pPr>
              <w:spacing w:before="40" w:after="40" w:line="360" w:lineRule="auto"/>
              <w:jc w:val="center"/>
              <w:rPr>
                <w:rFonts w:ascii="Arial" w:hAnsi="Arial" w:cs="Arial"/>
                <w:b/>
                <w:bCs/>
                <w:highlight w:val="yellow"/>
              </w:rPr>
            </w:pPr>
            <w:r w:rsidRPr="00DB0C1C">
              <w:rPr>
                <w:rFonts w:ascii="Arial" w:hAnsi="Arial" w:cs="Arial"/>
                <w:color w:val="000000"/>
                <w:highlight w:val="yellow"/>
              </w:rPr>
              <w:t>100.00 ± 0.00</w:t>
            </w:r>
          </w:p>
        </w:tc>
        <w:tc>
          <w:tcPr>
            <w:tcW w:w="1682" w:type="dxa"/>
            <w:vAlign w:val="center"/>
          </w:tcPr>
          <w:p w14:paraId="13C5FCAA" w14:textId="45F0C00F" w:rsidR="00757B79" w:rsidRPr="00757B79" w:rsidRDefault="00757B79" w:rsidP="00A3012C">
            <w:pPr>
              <w:spacing w:before="40" w:after="40" w:line="360" w:lineRule="auto"/>
              <w:jc w:val="center"/>
              <w:rPr>
                <w:rFonts w:ascii="Arial" w:hAnsi="Arial" w:cs="Arial"/>
                <w:color w:val="000000"/>
                <w:highlight w:val="yellow"/>
              </w:rPr>
            </w:pPr>
            <w:r w:rsidRPr="00757B79">
              <w:rPr>
                <w:rFonts w:ascii="Arial" w:hAnsi="Arial" w:cs="Arial"/>
                <w:color w:val="000000"/>
                <w:highlight w:val="yellow"/>
              </w:rPr>
              <w:t>100.00</w:t>
            </w:r>
            <w:r w:rsidRPr="00757B79">
              <w:rPr>
                <w:rFonts w:ascii="Arial" w:hAnsi="Arial" w:cs="Arial"/>
                <w:color w:val="000000"/>
                <w:highlight w:val="yellow"/>
                <w:vertAlign w:val="superscript"/>
              </w:rPr>
              <w:t>a</w:t>
            </w:r>
            <w:r w:rsidRPr="00757B79">
              <w:rPr>
                <w:rFonts w:ascii="Arial" w:hAnsi="Arial" w:cs="Arial"/>
                <w:color w:val="000000"/>
                <w:highlight w:val="yellow"/>
              </w:rPr>
              <w:t xml:space="preserve"> ± 0.00</w:t>
            </w:r>
          </w:p>
        </w:tc>
      </w:tr>
      <w:tr w:rsidR="00757B79" w:rsidRPr="00795859" w14:paraId="0645B2D4" w14:textId="2D7AC573" w:rsidTr="00A3012C">
        <w:trPr>
          <w:trHeight w:val="624"/>
          <w:jc w:val="center"/>
        </w:trPr>
        <w:tc>
          <w:tcPr>
            <w:tcW w:w="562" w:type="dxa"/>
            <w:vAlign w:val="center"/>
          </w:tcPr>
          <w:p w14:paraId="045F840E" w14:textId="77777777" w:rsidR="00757B79" w:rsidRPr="002B3FDB" w:rsidRDefault="00757B79" w:rsidP="00757B79">
            <w:pPr>
              <w:spacing w:before="40" w:after="40" w:line="360" w:lineRule="auto"/>
              <w:jc w:val="center"/>
              <w:rPr>
                <w:rFonts w:ascii="Arial" w:hAnsi="Arial" w:cs="Arial"/>
              </w:rPr>
            </w:pPr>
            <w:r w:rsidRPr="002B3FDB">
              <w:rPr>
                <w:rFonts w:ascii="Arial" w:hAnsi="Arial" w:cs="Arial"/>
              </w:rPr>
              <w:t>7.</w:t>
            </w:r>
          </w:p>
        </w:tc>
        <w:tc>
          <w:tcPr>
            <w:tcW w:w="2694" w:type="dxa"/>
            <w:noWrap/>
            <w:vAlign w:val="center"/>
          </w:tcPr>
          <w:p w14:paraId="5F59BE03" w14:textId="77777777" w:rsidR="00757B79" w:rsidRPr="002B3FDB" w:rsidRDefault="00757B79" w:rsidP="00A3012C">
            <w:pPr>
              <w:spacing w:before="40" w:after="40" w:line="360" w:lineRule="auto"/>
              <w:jc w:val="center"/>
              <w:rPr>
                <w:rFonts w:ascii="Arial" w:hAnsi="Arial" w:cs="Arial"/>
              </w:rPr>
            </w:pPr>
            <w:r w:rsidRPr="002B3FDB">
              <w:rPr>
                <w:rFonts w:ascii="Arial" w:hAnsi="Arial" w:cs="Arial"/>
              </w:rPr>
              <w:t xml:space="preserve">Fluxapyroxad 21.26 % + </w:t>
            </w:r>
            <w:proofErr w:type="spellStart"/>
            <w:r w:rsidRPr="002B3FDB">
              <w:rPr>
                <w:rFonts w:ascii="Arial" w:hAnsi="Arial" w:cs="Arial"/>
              </w:rPr>
              <w:t>Pyraclostrobin</w:t>
            </w:r>
            <w:proofErr w:type="spellEnd"/>
            <w:r w:rsidRPr="002B3FDB">
              <w:rPr>
                <w:rFonts w:ascii="Arial" w:hAnsi="Arial" w:cs="Arial"/>
              </w:rPr>
              <w:t xml:space="preserve"> 21.26 % SC</w:t>
            </w:r>
          </w:p>
        </w:tc>
        <w:tc>
          <w:tcPr>
            <w:tcW w:w="1559" w:type="dxa"/>
            <w:noWrap/>
            <w:vAlign w:val="center"/>
          </w:tcPr>
          <w:p w14:paraId="4C8CFDA7" w14:textId="60EBA2B5" w:rsidR="00757B79" w:rsidRPr="00DB0C1C" w:rsidRDefault="00757B79" w:rsidP="00A3012C">
            <w:pPr>
              <w:spacing w:before="40" w:after="40" w:line="360" w:lineRule="auto"/>
              <w:jc w:val="center"/>
              <w:rPr>
                <w:rFonts w:ascii="Arial" w:hAnsi="Arial" w:cs="Arial"/>
                <w:highlight w:val="yellow"/>
              </w:rPr>
            </w:pPr>
            <w:r w:rsidRPr="00DB0C1C">
              <w:rPr>
                <w:rFonts w:ascii="Arial" w:hAnsi="Arial" w:cs="Arial"/>
                <w:color w:val="000000"/>
                <w:highlight w:val="yellow"/>
              </w:rPr>
              <w:t>93.33 ± 0.00</w:t>
            </w:r>
          </w:p>
        </w:tc>
        <w:tc>
          <w:tcPr>
            <w:tcW w:w="1701" w:type="dxa"/>
            <w:gridSpan w:val="2"/>
            <w:noWrap/>
            <w:vAlign w:val="center"/>
          </w:tcPr>
          <w:p w14:paraId="0DB7D9B8" w14:textId="1A869B49" w:rsidR="00757B79" w:rsidRPr="00DB0C1C" w:rsidRDefault="00757B79" w:rsidP="00A3012C">
            <w:pPr>
              <w:spacing w:before="40" w:after="40" w:line="360" w:lineRule="auto"/>
              <w:jc w:val="center"/>
              <w:rPr>
                <w:rFonts w:ascii="Arial" w:hAnsi="Arial" w:cs="Arial"/>
                <w:highlight w:val="yellow"/>
              </w:rPr>
            </w:pPr>
            <w:r w:rsidRPr="00DB0C1C">
              <w:rPr>
                <w:rFonts w:ascii="Arial" w:hAnsi="Arial" w:cs="Arial"/>
                <w:color w:val="000000"/>
                <w:highlight w:val="yellow"/>
              </w:rPr>
              <w:t>100.00 ± 0.00</w:t>
            </w:r>
          </w:p>
        </w:tc>
        <w:tc>
          <w:tcPr>
            <w:tcW w:w="1682" w:type="dxa"/>
            <w:gridSpan w:val="2"/>
            <w:noWrap/>
            <w:vAlign w:val="center"/>
          </w:tcPr>
          <w:p w14:paraId="45AFD9DC" w14:textId="7F35BF3C" w:rsidR="00757B79" w:rsidRPr="00DB0C1C" w:rsidRDefault="00757B79" w:rsidP="00A3012C">
            <w:pPr>
              <w:spacing w:before="40" w:after="40" w:line="360" w:lineRule="auto"/>
              <w:jc w:val="center"/>
              <w:rPr>
                <w:rFonts w:ascii="Arial" w:hAnsi="Arial" w:cs="Arial"/>
                <w:b/>
                <w:bCs/>
                <w:highlight w:val="yellow"/>
              </w:rPr>
            </w:pPr>
            <w:r w:rsidRPr="00DB0C1C">
              <w:rPr>
                <w:rFonts w:ascii="Arial" w:hAnsi="Arial" w:cs="Arial"/>
                <w:color w:val="000000"/>
                <w:highlight w:val="yellow"/>
              </w:rPr>
              <w:t>100.00 ± 0.00</w:t>
            </w:r>
          </w:p>
        </w:tc>
        <w:tc>
          <w:tcPr>
            <w:tcW w:w="1682" w:type="dxa"/>
            <w:vAlign w:val="center"/>
          </w:tcPr>
          <w:p w14:paraId="59F58F63" w14:textId="14FC9E76" w:rsidR="00757B79" w:rsidRPr="00757B79" w:rsidRDefault="00757B79" w:rsidP="00A3012C">
            <w:pPr>
              <w:spacing w:before="40" w:after="40" w:line="360" w:lineRule="auto"/>
              <w:jc w:val="center"/>
              <w:rPr>
                <w:rFonts w:ascii="Arial" w:hAnsi="Arial" w:cs="Arial"/>
                <w:color w:val="000000"/>
                <w:highlight w:val="yellow"/>
              </w:rPr>
            </w:pPr>
            <w:r w:rsidRPr="00757B79">
              <w:rPr>
                <w:rFonts w:ascii="Arial" w:hAnsi="Arial" w:cs="Arial"/>
                <w:color w:val="000000"/>
                <w:highlight w:val="yellow"/>
              </w:rPr>
              <w:t>97.78</w:t>
            </w:r>
            <w:r w:rsidRPr="00757B79">
              <w:rPr>
                <w:rFonts w:ascii="Arial" w:hAnsi="Arial" w:cs="Arial"/>
                <w:color w:val="000000"/>
                <w:highlight w:val="yellow"/>
                <w:vertAlign w:val="superscript"/>
              </w:rPr>
              <w:t>a</w:t>
            </w:r>
            <w:r>
              <w:rPr>
                <w:rFonts w:ascii="Arial" w:hAnsi="Arial" w:cs="Arial"/>
                <w:color w:val="000000"/>
                <w:highlight w:val="yellow"/>
                <w:vertAlign w:val="superscript"/>
              </w:rPr>
              <w:t>b</w:t>
            </w:r>
            <w:r w:rsidRPr="00757B79">
              <w:rPr>
                <w:rFonts w:ascii="Arial" w:hAnsi="Arial" w:cs="Arial"/>
                <w:color w:val="000000"/>
                <w:highlight w:val="yellow"/>
              </w:rPr>
              <w:t xml:space="preserve"> ± 3.85</w:t>
            </w:r>
          </w:p>
        </w:tc>
      </w:tr>
      <w:tr w:rsidR="00757B79" w:rsidRPr="00795859" w14:paraId="0DD4DD86" w14:textId="3C8AB529" w:rsidTr="00A3012C">
        <w:trPr>
          <w:trHeight w:val="624"/>
          <w:jc w:val="center"/>
        </w:trPr>
        <w:tc>
          <w:tcPr>
            <w:tcW w:w="562" w:type="dxa"/>
            <w:vAlign w:val="center"/>
          </w:tcPr>
          <w:p w14:paraId="3AEA23B1" w14:textId="77777777" w:rsidR="00757B79" w:rsidRPr="002B3FDB" w:rsidRDefault="00757B79" w:rsidP="00757B79">
            <w:pPr>
              <w:spacing w:before="40" w:after="40" w:line="360" w:lineRule="auto"/>
              <w:jc w:val="center"/>
              <w:rPr>
                <w:rFonts w:ascii="Arial" w:hAnsi="Arial" w:cs="Arial"/>
              </w:rPr>
            </w:pPr>
            <w:r w:rsidRPr="002B3FDB">
              <w:rPr>
                <w:rFonts w:ascii="Arial" w:hAnsi="Arial" w:cs="Arial"/>
              </w:rPr>
              <w:t>8.</w:t>
            </w:r>
          </w:p>
        </w:tc>
        <w:tc>
          <w:tcPr>
            <w:tcW w:w="2694" w:type="dxa"/>
            <w:noWrap/>
            <w:vAlign w:val="center"/>
          </w:tcPr>
          <w:p w14:paraId="26D74051" w14:textId="77777777" w:rsidR="00757B79" w:rsidRDefault="00757B79" w:rsidP="00A3012C">
            <w:pPr>
              <w:spacing w:before="40" w:after="40" w:line="360" w:lineRule="auto"/>
              <w:jc w:val="center"/>
              <w:rPr>
                <w:rFonts w:ascii="Arial" w:hAnsi="Arial" w:cs="Arial"/>
              </w:rPr>
            </w:pPr>
            <w:r w:rsidRPr="002B3FDB">
              <w:rPr>
                <w:rFonts w:ascii="Arial" w:hAnsi="Arial" w:cs="Arial"/>
              </w:rPr>
              <w:t xml:space="preserve">Tricyclazole 18 % + </w:t>
            </w:r>
          </w:p>
          <w:p w14:paraId="43680B60" w14:textId="6916B2D3" w:rsidR="00757B79" w:rsidRPr="002B3FDB" w:rsidRDefault="00757B79" w:rsidP="00A3012C">
            <w:pPr>
              <w:spacing w:before="40" w:after="40" w:line="360" w:lineRule="auto"/>
              <w:jc w:val="center"/>
              <w:rPr>
                <w:rFonts w:ascii="Arial" w:hAnsi="Arial" w:cs="Arial"/>
              </w:rPr>
            </w:pPr>
            <w:r w:rsidRPr="002B3FDB">
              <w:rPr>
                <w:rFonts w:ascii="Arial" w:hAnsi="Arial" w:cs="Arial"/>
              </w:rPr>
              <w:t>Mancozeb 62 % WP</w:t>
            </w:r>
          </w:p>
        </w:tc>
        <w:tc>
          <w:tcPr>
            <w:tcW w:w="1559" w:type="dxa"/>
            <w:noWrap/>
            <w:vAlign w:val="center"/>
          </w:tcPr>
          <w:p w14:paraId="72515B4D" w14:textId="4ACDF370" w:rsidR="00757B79" w:rsidRPr="00DB0C1C" w:rsidRDefault="00757B79" w:rsidP="00A3012C">
            <w:pPr>
              <w:spacing w:before="40" w:after="40" w:line="360" w:lineRule="auto"/>
              <w:jc w:val="center"/>
              <w:rPr>
                <w:rFonts w:ascii="Arial" w:hAnsi="Arial" w:cs="Arial"/>
                <w:b/>
                <w:bCs/>
                <w:highlight w:val="yellow"/>
              </w:rPr>
            </w:pPr>
            <w:r w:rsidRPr="00DB0C1C">
              <w:rPr>
                <w:rFonts w:ascii="Arial" w:hAnsi="Arial" w:cs="Arial"/>
                <w:color w:val="000000"/>
                <w:highlight w:val="yellow"/>
              </w:rPr>
              <w:t>100.00 ± 0.00</w:t>
            </w:r>
          </w:p>
        </w:tc>
        <w:tc>
          <w:tcPr>
            <w:tcW w:w="1701" w:type="dxa"/>
            <w:gridSpan w:val="2"/>
            <w:noWrap/>
            <w:vAlign w:val="center"/>
          </w:tcPr>
          <w:p w14:paraId="4F7A9A3B" w14:textId="1829E6C4" w:rsidR="00757B79" w:rsidRPr="00DB0C1C" w:rsidRDefault="00757B79" w:rsidP="00A3012C">
            <w:pPr>
              <w:spacing w:before="40" w:after="40" w:line="360" w:lineRule="auto"/>
              <w:jc w:val="center"/>
              <w:rPr>
                <w:rFonts w:ascii="Arial" w:hAnsi="Arial" w:cs="Arial"/>
                <w:b/>
                <w:bCs/>
                <w:highlight w:val="yellow"/>
              </w:rPr>
            </w:pPr>
            <w:r w:rsidRPr="00DB0C1C">
              <w:rPr>
                <w:rFonts w:ascii="Arial" w:hAnsi="Arial" w:cs="Arial"/>
                <w:color w:val="000000"/>
                <w:highlight w:val="yellow"/>
              </w:rPr>
              <w:t>100.00 ± 0.00</w:t>
            </w:r>
          </w:p>
        </w:tc>
        <w:tc>
          <w:tcPr>
            <w:tcW w:w="1682" w:type="dxa"/>
            <w:gridSpan w:val="2"/>
            <w:noWrap/>
            <w:vAlign w:val="center"/>
          </w:tcPr>
          <w:p w14:paraId="23339B2D" w14:textId="4271D9C7" w:rsidR="00757B79" w:rsidRPr="00DB0C1C" w:rsidRDefault="00757B79" w:rsidP="00A3012C">
            <w:pPr>
              <w:spacing w:before="40" w:after="40" w:line="360" w:lineRule="auto"/>
              <w:jc w:val="center"/>
              <w:rPr>
                <w:rFonts w:ascii="Arial" w:hAnsi="Arial" w:cs="Arial"/>
                <w:b/>
                <w:bCs/>
                <w:highlight w:val="yellow"/>
              </w:rPr>
            </w:pPr>
            <w:r w:rsidRPr="00DB0C1C">
              <w:rPr>
                <w:rFonts w:ascii="Arial" w:hAnsi="Arial" w:cs="Arial"/>
                <w:color w:val="000000"/>
                <w:highlight w:val="yellow"/>
              </w:rPr>
              <w:t>100.00 ± 0.00</w:t>
            </w:r>
          </w:p>
        </w:tc>
        <w:tc>
          <w:tcPr>
            <w:tcW w:w="1682" w:type="dxa"/>
            <w:vAlign w:val="center"/>
          </w:tcPr>
          <w:p w14:paraId="3054CAD3" w14:textId="4004D8C4" w:rsidR="00757B79" w:rsidRPr="00757B79" w:rsidRDefault="00757B79" w:rsidP="00A3012C">
            <w:pPr>
              <w:spacing w:before="40" w:after="40" w:line="360" w:lineRule="auto"/>
              <w:jc w:val="center"/>
              <w:rPr>
                <w:rFonts w:ascii="Arial" w:hAnsi="Arial" w:cs="Arial"/>
                <w:color w:val="000000"/>
                <w:highlight w:val="yellow"/>
              </w:rPr>
            </w:pPr>
            <w:r w:rsidRPr="00757B79">
              <w:rPr>
                <w:rFonts w:ascii="Arial" w:hAnsi="Arial" w:cs="Arial"/>
                <w:color w:val="000000"/>
                <w:highlight w:val="yellow"/>
              </w:rPr>
              <w:t>100.00</w:t>
            </w:r>
            <w:r w:rsidRPr="00757B79">
              <w:rPr>
                <w:rFonts w:ascii="Arial" w:hAnsi="Arial" w:cs="Arial"/>
                <w:color w:val="000000"/>
                <w:highlight w:val="yellow"/>
                <w:vertAlign w:val="superscript"/>
              </w:rPr>
              <w:t>a</w:t>
            </w:r>
            <w:r w:rsidRPr="00757B79">
              <w:rPr>
                <w:rFonts w:ascii="Arial" w:hAnsi="Arial" w:cs="Arial"/>
                <w:color w:val="000000"/>
                <w:highlight w:val="yellow"/>
              </w:rPr>
              <w:t xml:space="preserve"> ± 0.00</w:t>
            </w:r>
          </w:p>
        </w:tc>
      </w:tr>
      <w:tr w:rsidR="00EF79C9" w:rsidRPr="00795859" w14:paraId="38EE52C5" w14:textId="3FF5CDD4" w:rsidTr="00A3012C">
        <w:trPr>
          <w:trHeight w:val="624"/>
          <w:jc w:val="center"/>
        </w:trPr>
        <w:tc>
          <w:tcPr>
            <w:tcW w:w="3256" w:type="dxa"/>
            <w:gridSpan w:val="2"/>
            <w:vAlign w:val="center"/>
          </w:tcPr>
          <w:p w14:paraId="15D30D86" w14:textId="45AFC289" w:rsidR="00EF79C9" w:rsidRPr="007E103B" w:rsidRDefault="00EF79C9" w:rsidP="00A3012C">
            <w:pPr>
              <w:spacing w:before="40" w:after="40" w:line="360" w:lineRule="auto"/>
              <w:jc w:val="center"/>
              <w:rPr>
                <w:rFonts w:ascii="Arial" w:hAnsi="Arial" w:cs="Arial"/>
                <w:b/>
                <w:color w:val="000000"/>
              </w:rPr>
            </w:pPr>
            <w:r w:rsidRPr="007E103B">
              <w:rPr>
                <w:rFonts w:ascii="Arial" w:hAnsi="Arial" w:cs="Arial"/>
                <w:b/>
                <w:color w:val="000000"/>
              </w:rPr>
              <w:t>Source</w:t>
            </w:r>
          </w:p>
        </w:tc>
        <w:tc>
          <w:tcPr>
            <w:tcW w:w="2126" w:type="dxa"/>
            <w:gridSpan w:val="2"/>
            <w:noWrap/>
            <w:vAlign w:val="center"/>
          </w:tcPr>
          <w:p w14:paraId="5CBA83B4" w14:textId="78494463" w:rsidR="00EF79C9" w:rsidRPr="007E103B" w:rsidRDefault="00EF79C9" w:rsidP="00A3012C">
            <w:pPr>
              <w:spacing w:before="40" w:after="40" w:line="360" w:lineRule="auto"/>
              <w:jc w:val="center"/>
              <w:rPr>
                <w:rFonts w:ascii="Arial" w:hAnsi="Arial" w:cs="Arial"/>
                <w:highlight w:val="yellow"/>
              </w:rPr>
            </w:pPr>
            <w:r w:rsidRPr="007E103B">
              <w:rPr>
                <w:rFonts w:ascii="Arial" w:hAnsi="Arial" w:cs="Arial"/>
                <w:b/>
                <w:color w:val="000000"/>
              </w:rPr>
              <w:t>Fungicide (F)</w:t>
            </w:r>
          </w:p>
        </w:tc>
        <w:tc>
          <w:tcPr>
            <w:tcW w:w="2126" w:type="dxa"/>
            <w:gridSpan w:val="2"/>
            <w:noWrap/>
            <w:vAlign w:val="center"/>
          </w:tcPr>
          <w:p w14:paraId="7A5B68CE" w14:textId="649C87FB" w:rsidR="00EF79C9" w:rsidRPr="007E103B" w:rsidRDefault="00EF79C9" w:rsidP="00A3012C">
            <w:pPr>
              <w:spacing w:before="40" w:after="40" w:line="360" w:lineRule="auto"/>
              <w:jc w:val="center"/>
              <w:rPr>
                <w:rFonts w:ascii="Arial" w:hAnsi="Arial" w:cs="Arial"/>
                <w:color w:val="000000"/>
                <w:highlight w:val="yellow"/>
              </w:rPr>
            </w:pPr>
            <w:r w:rsidRPr="007E103B">
              <w:rPr>
                <w:rFonts w:ascii="Arial" w:hAnsi="Arial" w:cs="Arial"/>
                <w:b/>
                <w:color w:val="000000"/>
              </w:rPr>
              <w:t>Concentration (C)</w:t>
            </w:r>
          </w:p>
        </w:tc>
        <w:tc>
          <w:tcPr>
            <w:tcW w:w="2372" w:type="dxa"/>
            <w:gridSpan w:val="2"/>
            <w:noWrap/>
            <w:vAlign w:val="center"/>
          </w:tcPr>
          <w:p w14:paraId="53E61B4D" w14:textId="0FFE1330" w:rsidR="00EF79C9" w:rsidRPr="007E103B" w:rsidRDefault="00EF79C9" w:rsidP="00A3012C">
            <w:pPr>
              <w:spacing w:before="40" w:after="40" w:line="360" w:lineRule="auto"/>
              <w:jc w:val="center"/>
              <w:rPr>
                <w:rFonts w:ascii="Arial" w:hAnsi="Arial" w:cs="Arial"/>
                <w:b/>
                <w:color w:val="000000"/>
              </w:rPr>
            </w:pPr>
            <w:r w:rsidRPr="007E103B">
              <w:rPr>
                <w:rFonts w:ascii="Arial" w:hAnsi="Arial" w:cs="Arial"/>
                <w:b/>
                <w:color w:val="000000"/>
              </w:rPr>
              <w:t>F X C</w:t>
            </w:r>
          </w:p>
        </w:tc>
      </w:tr>
      <w:tr w:rsidR="00EF79C9" w:rsidRPr="00795859" w14:paraId="11AF935D" w14:textId="3DB23848" w:rsidTr="00A3012C">
        <w:trPr>
          <w:trHeight w:val="624"/>
          <w:jc w:val="center"/>
        </w:trPr>
        <w:tc>
          <w:tcPr>
            <w:tcW w:w="3256" w:type="dxa"/>
            <w:gridSpan w:val="2"/>
            <w:vAlign w:val="center"/>
          </w:tcPr>
          <w:p w14:paraId="24D8D144" w14:textId="59ADAAE2" w:rsidR="00EF79C9" w:rsidRPr="007E103B" w:rsidRDefault="00EF79C9" w:rsidP="00A3012C">
            <w:pPr>
              <w:spacing w:before="40" w:after="40" w:line="360" w:lineRule="auto"/>
              <w:jc w:val="center"/>
              <w:rPr>
                <w:rFonts w:ascii="Arial" w:hAnsi="Arial" w:cs="Arial"/>
                <w:b/>
                <w:color w:val="000000"/>
              </w:rPr>
            </w:pPr>
            <w:r w:rsidRPr="007E103B">
              <w:rPr>
                <w:rFonts w:ascii="Arial" w:hAnsi="Arial" w:cs="Arial"/>
                <w:b/>
                <w:color w:val="000000"/>
              </w:rPr>
              <w:t>S. Em. ±</w:t>
            </w:r>
          </w:p>
        </w:tc>
        <w:tc>
          <w:tcPr>
            <w:tcW w:w="2126" w:type="dxa"/>
            <w:gridSpan w:val="2"/>
            <w:noWrap/>
            <w:vAlign w:val="center"/>
          </w:tcPr>
          <w:p w14:paraId="2CE0DDB2" w14:textId="1ED8F8AB" w:rsidR="00EF79C9" w:rsidRPr="007E103B" w:rsidRDefault="00EF79C9" w:rsidP="00A3012C">
            <w:pPr>
              <w:spacing w:before="40" w:after="40" w:line="360" w:lineRule="auto"/>
              <w:jc w:val="center"/>
              <w:rPr>
                <w:rFonts w:ascii="Arial" w:hAnsi="Arial" w:cs="Arial"/>
                <w:b/>
                <w:color w:val="000000"/>
              </w:rPr>
            </w:pPr>
            <w:r>
              <w:rPr>
                <w:rFonts w:ascii="Arial" w:hAnsi="Arial" w:cs="Arial"/>
                <w:b/>
                <w:color w:val="000000"/>
              </w:rPr>
              <w:t>0.17</w:t>
            </w:r>
          </w:p>
        </w:tc>
        <w:tc>
          <w:tcPr>
            <w:tcW w:w="2126" w:type="dxa"/>
            <w:gridSpan w:val="2"/>
            <w:noWrap/>
            <w:vAlign w:val="center"/>
          </w:tcPr>
          <w:p w14:paraId="49A5ADC9" w14:textId="32AB9189" w:rsidR="00EF79C9" w:rsidRPr="007E103B" w:rsidRDefault="00EF79C9" w:rsidP="00A3012C">
            <w:pPr>
              <w:spacing w:before="40" w:after="40" w:line="360" w:lineRule="auto"/>
              <w:jc w:val="center"/>
              <w:rPr>
                <w:rFonts w:ascii="Arial" w:hAnsi="Arial" w:cs="Arial"/>
                <w:b/>
                <w:color w:val="000000"/>
              </w:rPr>
            </w:pPr>
            <w:r>
              <w:rPr>
                <w:rFonts w:ascii="Arial" w:hAnsi="Arial" w:cs="Arial"/>
                <w:b/>
                <w:color w:val="000000"/>
              </w:rPr>
              <w:t>0.10</w:t>
            </w:r>
          </w:p>
        </w:tc>
        <w:tc>
          <w:tcPr>
            <w:tcW w:w="2372" w:type="dxa"/>
            <w:gridSpan w:val="2"/>
            <w:noWrap/>
            <w:vAlign w:val="center"/>
          </w:tcPr>
          <w:p w14:paraId="7925FDCA" w14:textId="677DABBC" w:rsidR="00EF79C9" w:rsidRDefault="00EF79C9" w:rsidP="00A3012C">
            <w:pPr>
              <w:spacing w:before="40" w:after="40" w:line="360" w:lineRule="auto"/>
              <w:jc w:val="center"/>
              <w:rPr>
                <w:rFonts w:ascii="Arial" w:hAnsi="Arial" w:cs="Arial"/>
                <w:b/>
                <w:bCs/>
                <w:color w:val="000000"/>
              </w:rPr>
            </w:pPr>
            <w:r>
              <w:rPr>
                <w:rFonts w:ascii="Arial" w:hAnsi="Arial" w:cs="Arial"/>
                <w:b/>
                <w:bCs/>
                <w:color w:val="000000"/>
              </w:rPr>
              <w:t>0.29</w:t>
            </w:r>
          </w:p>
        </w:tc>
      </w:tr>
      <w:tr w:rsidR="00EF79C9" w:rsidRPr="00795859" w14:paraId="0E25E1F7" w14:textId="41863434" w:rsidTr="00A3012C">
        <w:trPr>
          <w:trHeight w:val="624"/>
          <w:jc w:val="center"/>
        </w:trPr>
        <w:tc>
          <w:tcPr>
            <w:tcW w:w="3256" w:type="dxa"/>
            <w:gridSpan w:val="2"/>
            <w:vAlign w:val="center"/>
          </w:tcPr>
          <w:p w14:paraId="17B515F4" w14:textId="5C588B11" w:rsidR="00EF79C9" w:rsidRPr="007E103B" w:rsidRDefault="00EF79C9" w:rsidP="00A3012C">
            <w:pPr>
              <w:spacing w:before="40" w:after="40" w:line="360" w:lineRule="auto"/>
              <w:jc w:val="center"/>
              <w:rPr>
                <w:rFonts w:ascii="Arial" w:hAnsi="Arial" w:cs="Arial"/>
                <w:b/>
                <w:color w:val="000000"/>
              </w:rPr>
            </w:pPr>
            <w:r w:rsidRPr="007E103B">
              <w:rPr>
                <w:rFonts w:ascii="Arial" w:hAnsi="Arial" w:cs="Arial"/>
                <w:b/>
                <w:color w:val="000000"/>
              </w:rPr>
              <w:t>CD @ 1%</w:t>
            </w:r>
          </w:p>
        </w:tc>
        <w:tc>
          <w:tcPr>
            <w:tcW w:w="2126" w:type="dxa"/>
            <w:gridSpan w:val="2"/>
            <w:noWrap/>
            <w:vAlign w:val="center"/>
          </w:tcPr>
          <w:p w14:paraId="1917E9D7" w14:textId="7E682CCF" w:rsidR="00EF79C9" w:rsidRPr="007E103B" w:rsidRDefault="00EF79C9" w:rsidP="00A3012C">
            <w:pPr>
              <w:spacing w:before="40" w:after="40" w:line="360" w:lineRule="auto"/>
              <w:jc w:val="center"/>
              <w:rPr>
                <w:rFonts w:ascii="Arial" w:hAnsi="Arial" w:cs="Arial"/>
                <w:b/>
                <w:color w:val="000000"/>
              </w:rPr>
            </w:pPr>
            <w:r>
              <w:rPr>
                <w:rFonts w:ascii="Arial" w:hAnsi="Arial" w:cs="Arial"/>
                <w:b/>
                <w:color w:val="000000"/>
              </w:rPr>
              <w:t>0.63</w:t>
            </w:r>
          </w:p>
        </w:tc>
        <w:tc>
          <w:tcPr>
            <w:tcW w:w="2126" w:type="dxa"/>
            <w:gridSpan w:val="2"/>
            <w:noWrap/>
            <w:vAlign w:val="center"/>
          </w:tcPr>
          <w:p w14:paraId="4572996C" w14:textId="093F3375" w:rsidR="00EF79C9" w:rsidRPr="007E103B" w:rsidRDefault="00EF79C9" w:rsidP="00A3012C">
            <w:pPr>
              <w:spacing w:before="40" w:after="40" w:line="360" w:lineRule="auto"/>
              <w:jc w:val="center"/>
              <w:rPr>
                <w:rFonts w:ascii="Arial" w:hAnsi="Arial" w:cs="Arial"/>
                <w:b/>
                <w:color w:val="000000"/>
              </w:rPr>
            </w:pPr>
            <w:r>
              <w:rPr>
                <w:rFonts w:ascii="Arial" w:hAnsi="Arial" w:cs="Arial"/>
                <w:b/>
                <w:color w:val="000000"/>
              </w:rPr>
              <w:t>0.39</w:t>
            </w:r>
          </w:p>
        </w:tc>
        <w:tc>
          <w:tcPr>
            <w:tcW w:w="2372" w:type="dxa"/>
            <w:gridSpan w:val="2"/>
            <w:noWrap/>
            <w:vAlign w:val="center"/>
          </w:tcPr>
          <w:p w14:paraId="548D989D" w14:textId="69E74D62" w:rsidR="00EF79C9" w:rsidRDefault="00EF79C9" w:rsidP="00A3012C">
            <w:pPr>
              <w:spacing w:before="40" w:after="40" w:line="360" w:lineRule="auto"/>
              <w:jc w:val="center"/>
              <w:rPr>
                <w:rFonts w:ascii="Arial" w:hAnsi="Arial" w:cs="Arial"/>
                <w:b/>
                <w:bCs/>
                <w:color w:val="000000"/>
              </w:rPr>
            </w:pPr>
            <w:r>
              <w:rPr>
                <w:rFonts w:ascii="Arial" w:hAnsi="Arial" w:cs="Arial"/>
                <w:b/>
                <w:bCs/>
                <w:color w:val="000000"/>
              </w:rPr>
              <w:t>1.09</w:t>
            </w:r>
          </w:p>
        </w:tc>
      </w:tr>
    </w:tbl>
    <w:p w14:paraId="2BA70180" w14:textId="17D0AD0F" w:rsidR="00131498" w:rsidRPr="00757B79" w:rsidRDefault="00863BD3" w:rsidP="00131498">
      <w:pPr>
        <w:rPr>
          <w:rFonts w:ascii="Arial" w:hAnsi="Arial" w:cs="Arial"/>
          <w:color w:val="000000"/>
          <w:highlight w:val="yellow"/>
        </w:rPr>
      </w:pPr>
      <w:r w:rsidRPr="00A3012C">
        <w:rPr>
          <w:rFonts w:ascii="Arial" w:hAnsi="Arial" w:cs="Arial"/>
          <w:bCs/>
          <w:i/>
          <w:highlight w:val="yellow"/>
        </w:rPr>
        <w:t>*</w:t>
      </w:r>
      <w:r w:rsidR="00A3012C" w:rsidRPr="00A3012C">
        <w:rPr>
          <w:highlight w:val="yellow"/>
        </w:rPr>
        <w:t>M</w:t>
      </w:r>
      <w:r w:rsidR="00A3012C" w:rsidRPr="00A3012C">
        <w:rPr>
          <w:rFonts w:ascii="Arial" w:hAnsi="Arial" w:cs="Arial"/>
          <w:highlight w:val="yellow"/>
        </w:rPr>
        <w:t>ean percent mycelial inhibition ± standard deviation (SD) of three replications</w:t>
      </w:r>
    </w:p>
    <w:p w14:paraId="7AADBB03" w14:textId="6E48273F" w:rsidR="00757B79" w:rsidRPr="00757B79" w:rsidRDefault="00757B79" w:rsidP="00131498">
      <w:pPr>
        <w:rPr>
          <w:rFonts w:ascii="Arial" w:hAnsi="Arial" w:cs="Arial"/>
        </w:rPr>
      </w:pPr>
      <w:r w:rsidRPr="00757B79">
        <w:rPr>
          <w:rFonts w:ascii="Arial" w:hAnsi="Arial" w:cs="Arial"/>
          <w:color w:val="000000"/>
          <w:highlight w:val="yellow"/>
        </w:rPr>
        <w:t>**Tukey’s Honestly Significant Difference (HSD) post hoc test at p ≤ 0.05</w:t>
      </w:r>
    </w:p>
    <w:p w14:paraId="40F16903" w14:textId="6880CFBE" w:rsidR="00131498" w:rsidRDefault="00131498" w:rsidP="00131498">
      <w:r>
        <w:rPr>
          <w:b/>
          <w:bCs/>
        </w:rPr>
        <w:t xml:space="preserve"> </w:t>
      </w:r>
      <w:r w:rsidRPr="00343839">
        <w:rPr>
          <w:b/>
        </w:rPr>
        <w:t>F-</w:t>
      </w:r>
      <w:r w:rsidRPr="00343839">
        <w:t xml:space="preserve">Fungicide, </w:t>
      </w:r>
      <w:r w:rsidRPr="00343839">
        <w:rPr>
          <w:b/>
        </w:rPr>
        <w:t>C-</w:t>
      </w:r>
      <w:r>
        <w:t>C</w:t>
      </w:r>
      <w:r w:rsidRPr="00343839">
        <w:t xml:space="preserve">oncentration, </w:t>
      </w:r>
      <w:r w:rsidRPr="00343839">
        <w:rPr>
          <w:b/>
        </w:rPr>
        <w:t>F</w:t>
      </w:r>
      <w:r>
        <w:rPr>
          <w:b/>
        </w:rPr>
        <w:t xml:space="preserve"> x </w:t>
      </w:r>
      <w:r w:rsidRPr="00343839">
        <w:rPr>
          <w:b/>
        </w:rPr>
        <w:t xml:space="preserve">C- </w:t>
      </w:r>
      <w:r>
        <w:t>I</w:t>
      </w:r>
      <w:r w:rsidRPr="00343839">
        <w:t>nteraction</w:t>
      </w:r>
    </w:p>
    <w:p w14:paraId="369F3641" w14:textId="77777777" w:rsidR="004D55F6" w:rsidRPr="004D55F6" w:rsidRDefault="004D55F6" w:rsidP="004D55F6"/>
    <w:p w14:paraId="3F850C93" w14:textId="47B5CBED" w:rsidR="00131498" w:rsidRDefault="004D55F6" w:rsidP="00062194">
      <w:pPr>
        <w:pStyle w:val="BodyText3"/>
        <w:tabs>
          <w:tab w:val="left" w:pos="1080"/>
        </w:tabs>
        <w:spacing w:after="0"/>
        <w:jc w:val="both"/>
        <w:rPr>
          <w:rFonts w:ascii="Arial" w:hAnsi="Arial"/>
          <w:b/>
          <w:sz w:val="20"/>
          <w:szCs w:val="20"/>
        </w:rPr>
      </w:pPr>
      <w:r>
        <w:rPr>
          <w:rFonts w:ascii="Arial" w:hAnsi="Arial"/>
          <w:b/>
          <w:sz w:val="20"/>
          <w:szCs w:val="20"/>
        </w:rPr>
        <w:lastRenderedPageBreak/>
        <w:t xml:space="preserve">          </w:t>
      </w:r>
      <w:r w:rsidR="00627ECD">
        <w:rPr>
          <w:rFonts w:ascii="Arial" w:hAnsi="Arial"/>
          <w:b/>
          <w:noProof/>
          <w:sz w:val="20"/>
          <w:szCs w:val="20"/>
        </w:rPr>
        <w:drawing>
          <wp:inline distT="0" distB="0" distL="0" distR="0" wp14:anchorId="245D222F" wp14:editId="4E22187C">
            <wp:extent cx="5135880" cy="4236720"/>
            <wp:effectExtent l="19050" t="19050" r="26670" b="11430"/>
            <wp:docPr id="10573065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06588" name="Picture 1057306588"/>
                    <pic:cNvPicPr/>
                  </pic:nvPicPr>
                  <pic:blipFill rotWithShape="1">
                    <a:blip r:embed="rId14">
                      <a:extLst>
                        <a:ext uri="{28A0092B-C50C-407E-A947-70E740481C1C}">
                          <a14:useLocalDpi xmlns:a14="http://schemas.microsoft.com/office/drawing/2010/main" val="0"/>
                        </a:ext>
                      </a:extLst>
                    </a:blip>
                    <a:srcRect l="1462" t="1224" b="1516"/>
                    <a:stretch>
                      <a:fillRect/>
                    </a:stretch>
                  </pic:blipFill>
                  <pic:spPr bwMode="auto">
                    <a:xfrm>
                      <a:off x="0" y="0"/>
                      <a:ext cx="5135880" cy="423672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06A77EB1" w14:textId="77777777" w:rsidR="00131498" w:rsidRDefault="00131498" w:rsidP="00062194">
      <w:pPr>
        <w:pStyle w:val="BodyText3"/>
        <w:tabs>
          <w:tab w:val="left" w:pos="1080"/>
        </w:tabs>
        <w:spacing w:after="0"/>
        <w:jc w:val="both"/>
        <w:rPr>
          <w:rFonts w:ascii="Arial" w:hAnsi="Arial"/>
          <w:b/>
          <w:sz w:val="20"/>
          <w:szCs w:val="20"/>
        </w:rPr>
      </w:pPr>
    </w:p>
    <w:p w14:paraId="5298809B" w14:textId="5E48C718" w:rsidR="000A490A" w:rsidRPr="000B77BB" w:rsidRDefault="00131498" w:rsidP="000A490A">
      <w:pPr>
        <w:tabs>
          <w:tab w:val="left" w:pos="1080"/>
        </w:tabs>
        <w:jc w:val="center"/>
        <w:rPr>
          <w:rFonts w:ascii="Arial" w:hAnsi="Arial"/>
          <w:b/>
          <w:bCs/>
        </w:rPr>
      </w:pPr>
      <w:r w:rsidRPr="00627ECD">
        <w:rPr>
          <w:rFonts w:ascii="Arial" w:hAnsi="Arial"/>
          <w:b/>
          <w:highlight w:val="yellow"/>
        </w:rPr>
        <w:t xml:space="preserve">Plate 1. </w:t>
      </w:r>
      <w:r w:rsidR="00CD6B41">
        <w:rPr>
          <w:rFonts w:ascii="Arial" w:hAnsi="Arial"/>
          <w:b/>
          <w:highlight w:val="yellow"/>
        </w:rPr>
        <w:t xml:space="preserve">Petri plates showing </w:t>
      </w:r>
      <w:r w:rsidRPr="00627ECD">
        <w:rPr>
          <w:rFonts w:ascii="Arial" w:eastAsia="Aptos" w:hAnsi="Arial" w:cs="Arial"/>
          <w:b/>
          <w:bCs/>
          <w:i/>
          <w:iCs/>
          <w:kern w:val="2"/>
          <w:highlight w:val="yellow"/>
          <w:lang w:val="en-IN"/>
        </w:rPr>
        <w:t>In vitro</w:t>
      </w:r>
      <w:r w:rsidRPr="00627ECD">
        <w:rPr>
          <w:rFonts w:ascii="Arial" w:eastAsia="Aptos" w:hAnsi="Arial" w:cs="Arial"/>
          <w:b/>
          <w:bCs/>
          <w:kern w:val="2"/>
          <w:highlight w:val="yellow"/>
          <w:lang w:val="en-IN"/>
        </w:rPr>
        <w:t xml:space="preserve"> evaluation of fungicides against </w:t>
      </w:r>
      <w:r w:rsidR="000A490A" w:rsidRPr="00627ECD">
        <w:rPr>
          <w:rFonts w:ascii="Arial" w:hAnsi="Arial" w:cs="Arial"/>
          <w:b/>
          <w:bCs/>
          <w:i/>
          <w:iCs/>
          <w:highlight w:val="yellow"/>
        </w:rPr>
        <w:t xml:space="preserve">Colletotrichum </w:t>
      </w:r>
      <w:r w:rsidR="000A490A" w:rsidRPr="00627ECD">
        <w:rPr>
          <w:rFonts w:ascii="Arial" w:eastAsia="Aptos" w:hAnsi="Arial" w:cs="Arial"/>
          <w:b/>
          <w:bCs/>
          <w:kern w:val="2"/>
          <w:highlight w:val="yellow"/>
          <w:lang w:val="en-IN"/>
        </w:rPr>
        <w:t>spp</w:t>
      </w:r>
      <w:r w:rsidR="000A490A" w:rsidRPr="00627ECD">
        <w:rPr>
          <w:rFonts w:ascii="Arial" w:eastAsia="Aptos" w:hAnsi="Arial" w:cs="Arial"/>
          <w:b/>
          <w:bCs/>
          <w:i/>
          <w:iCs/>
          <w:kern w:val="2"/>
          <w:highlight w:val="yellow"/>
          <w:lang w:val="en-IN"/>
        </w:rPr>
        <w:t>.</w:t>
      </w:r>
    </w:p>
    <w:p w14:paraId="26B290D0" w14:textId="3F8A901A" w:rsidR="00131498" w:rsidRDefault="00131498" w:rsidP="00131498">
      <w:pPr>
        <w:autoSpaceDE w:val="0"/>
        <w:autoSpaceDN w:val="0"/>
        <w:adjustRightInd w:val="0"/>
        <w:jc w:val="center"/>
        <w:rPr>
          <w:rFonts w:ascii="Arial" w:hAnsi="Arial" w:cs="Arial"/>
        </w:rPr>
      </w:pPr>
    </w:p>
    <w:p w14:paraId="69830C17" w14:textId="77AE0E55" w:rsidR="00131498" w:rsidRDefault="00131498" w:rsidP="00062194">
      <w:pPr>
        <w:pStyle w:val="BodyText3"/>
        <w:tabs>
          <w:tab w:val="left" w:pos="1080"/>
        </w:tabs>
        <w:spacing w:after="0"/>
        <w:jc w:val="both"/>
        <w:rPr>
          <w:rFonts w:ascii="Arial" w:hAnsi="Arial"/>
          <w:b/>
          <w:sz w:val="20"/>
          <w:szCs w:val="20"/>
        </w:rPr>
      </w:pPr>
    </w:p>
    <w:p w14:paraId="5A4B0894" w14:textId="24CEB789" w:rsidR="002B3FDB" w:rsidRPr="00062194" w:rsidRDefault="002B3FDB" w:rsidP="00062194">
      <w:pPr>
        <w:pStyle w:val="Body"/>
        <w:spacing w:after="0" w:line="480" w:lineRule="auto"/>
        <w:rPr>
          <w:rFonts w:ascii="Arial" w:hAnsi="Arial" w:cs="Arial"/>
        </w:rPr>
      </w:pPr>
      <w:r w:rsidRPr="00795859">
        <w:rPr>
          <w:rFonts w:ascii="Arial" w:hAnsi="Arial" w:cs="Arial"/>
          <w:b/>
          <w:noProof/>
          <w:color w:val="000000"/>
        </w:rPr>
        <w:drawing>
          <wp:inline distT="0" distB="0" distL="0" distR="0" wp14:anchorId="6AD7881E" wp14:editId="79E0B9AA">
            <wp:extent cx="5212080" cy="2557780"/>
            <wp:effectExtent l="0" t="0" r="7620" b="13970"/>
            <wp:docPr id="2195660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0B51A09" w14:textId="28BDAA21" w:rsidR="00C30A0F" w:rsidRPr="000B77BB" w:rsidRDefault="009E048A" w:rsidP="00062194">
      <w:pPr>
        <w:autoSpaceDE w:val="0"/>
        <w:autoSpaceDN w:val="0"/>
        <w:adjustRightInd w:val="0"/>
        <w:jc w:val="center"/>
        <w:rPr>
          <w:rFonts w:ascii="Arial" w:hAnsi="Arial" w:cs="Arial"/>
          <w:b/>
          <w:bCs/>
        </w:rPr>
      </w:pPr>
      <w:r w:rsidRPr="004C60F5">
        <w:rPr>
          <w:rFonts w:ascii="Arial" w:hAnsi="Arial" w:cs="Arial"/>
          <w:b/>
          <w:bCs/>
          <w:szCs w:val="22"/>
          <w:highlight w:val="yellow"/>
        </w:rPr>
        <w:lastRenderedPageBreak/>
        <w:t>Fig.</w:t>
      </w:r>
      <w:r w:rsidR="00927834" w:rsidRPr="004C60F5">
        <w:rPr>
          <w:rFonts w:ascii="Arial" w:hAnsi="Arial" w:cs="Arial"/>
          <w:b/>
          <w:bCs/>
          <w:szCs w:val="22"/>
          <w:highlight w:val="yellow"/>
        </w:rPr>
        <w:t xml:space="preserve"> 1</w:t>
      </w:r>
      <w:r w:rsidRPr="004C60F5">
        <w:rPr>
          <w:rFonts w:ascii="Arial" w:hAnsi="Arial" w:cs="Arial"/>
          <w:b/>
          <w:bCs/>
          <w:szCs w:val="22"/>
          <w:highlight w:val="yellow"/>
        </w:rPr>
        <w:t>.</w:t>
      </w:r>
      <w:r w:rsidR="00927834" w:rsidRPr="004C60F5">
        <w:rPr>
          <w:rFonts w:ascii="Arial" w:hAnsi="Arial" w:cs="Arial"/>
          <w:b/>
          <w:bCs/>
          <w:szCs w:val="22"/>
          <w:highlight w:val="yellow"/>
        </w:rPr>
        <w:t xml:space="preserve"> </w:t>
      </w:r>
      <w:r w:rsidR="00CD6B41">
        <w:rPr>
          <w:rFonts w:ascii="Arial" w:hAnsi="Arial" w:cs="Arial"/>
          <w:b/>
          <w:bCs/>
          <w:szCs w:val="22"/>
          <w:highlight w:val="yellow"/>
        </w:rPr>
        <w:t xml:space="preserve">Bar graph showing </w:t>
      </w:r>
      <w:r w:rsidR="00062194" w:rsidRPr="004C60F5">
        <w:rPr>
          <w:rFonts w:ascii="Arial" w:eastAsia="Aptos" w:hAnsi="Arial" w:cs="Arial"/>
          <w:b/>
          <w:bCs/>
          <w:i/>
          <w:iCs/>
          <w:kern w:val="2"/>
          <w:highlight w:val="yellow"/>
          <w:lang w:val="en-IN"/>
        </w:rPr>
        <w:t>In vitro</w:t>
      </w:r>
      <w:r w:rsidR="00062194" w:rsidRPr="004C60F5">
        <w:rPr>
          <w:rFonts w:ascii="Arial" w:eastAsia="Aptos" w:hAnsi="Arial" w:cs="Arial"/>
          <w:b/>
          <w:bCs/>
          <w:kern w:val="2"/>
          <w:highlight w:val="yellow"/>
          <w:lang w:val="en-IN"/>
        </w:rPr>
        <w:t xml:space="preserve"> evaluation of fungicides against </w:t>
      </w:r>
      <w:r w:rsidR="000A490A" w:rsidRPr="004C60F5">
        <w:rPr>
          <w:rFonts w:ascii="Arial" w:hAnsi="Arial" w:cs="Arial"/>
          <w:b/>
          <w:bCs/>
          <w:i/>
          <w:iCs/>
          <w:highlight w:val="yellow"/>
        </w:rPr>
        <w:t xml:space="preserve">Colletotrichum </w:t>
      </w:r>
      <w:r w:rsidR="000A490A" w:rsidRPr="004C60F5">
        <w:rPr>
          <w:rFonts w:ascii="Arial" w:eastAsia="Aptos" w:hAnsi="Arial" w:cs="Arial"/>
          <w:b/>
          <w:bCs/>
          <w:kern w:val="2"/>
          <w:highlight w:val="yellow"/>
          <w:lang w:val="en-IN"/>
        </w:rPr>
        <w:t>spp</w:t>
      </w:r>
      <w:r w:rsidR="000A490A" w:rsidRPr="004C60F5">
        <w:rPr>
          <w:rFonts w:ascii="Arial" w:eastAsia="Aptos" w:hAnsi="Arial" w:cs="Arial"/>
          <w:b/>
          <w:bCs/>
          <w:i/>
          <w:iCs/>
          <w:kern w:val="2"/>
          <w:highlight w:val="yellow"/>
          <w:lang w:val="en-IN"/>
        </w:rPr>
        <w:t>.</w:t>
      </w:r>
    </w:p>
    <w:p w14:paraId="0EB484BE" w14:textId="77777777" w:rsidR="00E053D0" w:rsidRDefault="00E053D0" w:rsidP="00441B6F">
      <w:pPr>
        <w:pStyle w:val="Body"/>
        <w:spacing w:after="0"/>
        <w:rPr>
          <w:rFonts w:ascii="Arial" w:hAnsi="Arial" w:cs="Arial"/>
        </w:rPr>
      </w:pPr>
    </w:p>
    <w:p w14:paraId="7ED3FFFC" w14:textId="0D685A2F" w:rsidR="00062194" w:rsidRDefault="00062194" w:rsidP="004D55F6">
      <w:pPr>
        <w:pStyle w:val="Body"/>
        <w:spacing w:after="0" w:line="480" w:lineRule="auto"/>
        <w:rPr>
          <w:rFonts w:ascii="Arial" w:hAnsi="Arial" w:cs="Arial"/>
        </w:rPr>
      </w:pPr>
      <w:r w:rsidRPr="00795859">
        <w:rPr>
          <w:rFonts w:ascii="Arial" w:hAnsi="Arial" w:cs="Arial"/>
          <w:noProof/>
        </w:rPr>
        <w:drawing>
          <wp:inline distT="0" distB="0" distL="0" distR="0" wp14:anchorId="28A4818D" wp14:editId="7CC1B857">
            <wp:extent cx="5211820" cy="3028950"/>
            <wp:effectExtent l="19050" t="19050" r="8255" b="0"/>
            <wp:docPr id="762188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4705" cy="3030627"/>
                    </a:xfrm>
                    <a:prstGeom prst="rect">
                      <a:avLst/>
                    </a:prstGeom>
                    <a:noFill/>
                    <a:ln>
                      <a:solidFill>
                        <a:schemeClr val="tx1"/>
                      </a:solidFill>
                    </a:ln>
                  </pic:spPr>
                </pic:pic>
              </a:graphicData>
            </a:graphic>
          </wp:inline>
        </w:drawing>
      </w:r>
    </w:p>
    <w:p w14:paraId="731D6812" w14:textId="5DA24B1F" w:rsidR="00062194" w:rsidRPr="000B77BB" w:rsidRDefault="00062194" w:rsidP="00062194">
      <w:pPr>
        <w:jc w:val="center"/>
        <w:rPr>
          <w:rFonts w:ascii="Arial" w:eastAsia="Aptos" w:hAnsi="Arial" w:cs="Arial"/>
          <w:b/>
          <w:bCs/>
          <w:i/>
          <w:iCs/>
          <w:kern w:val="2"/>
          <w:lang w:val="en-IN"/>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2</w:t>
      </w:r>
      <w:r w:rsidRPr="00062194">
        <w:rPr>
          <w:rFonts w:ascii="Arial" w:eastAsia="Aptos" w:hAnsi="Arial" w:cs="Arial"/>
          <w:b/>
          <w:bCs/>
          <w:kern w:val="2"/>
          <w:lang w:val="en-IN"/>
          <w14:ligatures w14:val="standardContextual"/>
        </w:rPr>
        <w:t xml:space="preserve"> </w:t>
      </w:r>
      <w:r w:rsidRPr="00062194">
        <w:rPr>
          <w:rFonts w:ascii="Arial" w:eastAsia="Aptos" w:hAnsi="Arial" w:cs="Arial"/>
          <w:b/>
          <w:bCs/>
          <w:kern w:val="2"/>
          <w:lang w:val="en-IN"/>
        </w:rPr>
        <w:t xml:space="preserve">Heatmap illustrating the comparative </w:t>
      </w:r>
      <w:r w:rsidRPr="00062194">
        <w:rPr>
          <w:rFonts w:ascii="Arial" w:eastAsia="Aptos" w:hAnsi="Arial" w:cs="Arial"/>
          <w:b/>
          <w:bCs/>
          <w:i/>
          <w:iCs/>
          <w:kern w:val="2"/>
          <w:lang w:val="en-IN"/>
        </w:rPr>
        <w:t xml:space="preserve">in vitro </w:t>
      </w:r>
      <w:r w:rsidRPr="00062194">
        <w:rPr>
          <w:rFonts w:ascii="Arial" w:eastAsia="Aptos" w:hAnsi="Arial" w:cs="Arial"/>
          <w:b/>
          <w:bCs/>
          <w:kern w:val="2"/>
          <w:lang w:val="en-IN"/>
        </w:rPr>
        <w:t xml:space="preserve">efficacy of fungicides against </w:t>
      </w:r>
      <w:r w:rsidR="000A490A" w:rsidRPr="000B77BB">
        <w:rPr>
          <w:rFonts w:ascii="Arial" w:hAnsi="Arial" w:cs="Arial"/>
          <w:b/>
          <w:bCs/>
          <w:i/>
          <w:iCs/>
        </w:rPr>
        <w:t xml:space="preserve">Colletotrichum </w:t>
      </w:r>
      <w:r w:rsidR="000A490A" w:rsidRPr="000A490A">
        <w:rPr>
          <w:rFonts w:ascii="Arial" w:eastAsia="Aptos" w:hAnsi="Arial" w:cs="Arial"/>
          <w:b/>
          <w:bCs/>
          <w:kern w:val="2"/>
          <w:lang w:val="en-IN"/>
        </w:rPr>
        <w:t>spp</w:t>
      </w:r>
      <w:r w:rsidR="000A490A">
        <w:rPr>
          <w:rFonts w:ascii="Arial" w:eastAsia="Aptos" w:hAnsi="Arial" w:cs="Arial"/>
          <w:b/>
          <w:bCs/>
          <w:i/>
          <w:iCs/>
          <w:kern w:val="2"/>
          <w:lang w:val="en-IN"/>
        </w:rPr>
        <w:t>.</w:t>
      </w:r>
    </w:p>
    <w:p w14:paraId="4221AA49" w14:textId="77777777" w:rsidR="00062194" w:rsidRDefault="00062194" w:rsidP="00062194">
      <w:pPr>
        <w:spacing w:after="160"/>
        <w:jc w:val="both"/>
        <w:rPr>
          <w:rFonts w:ascii="Arial" w:eastAsia="Aptos" w:hAnsi="Arial" w:cs="Arial"/>
          <w:kern w:val="2"/>
          <w:lang w:val="en-IN"/>
        </w:rPr>
      </w:pPr>
    </w:p>
    <w:p w14:paraId="36F9C451" w14:textId="25DA12BE" w:rsidR="00131498" w:rsidRPr="00062194" w:rsidRDefault="00062194" w:rsidP="00062194">
      <w:pPr>
        <w:spacing w:after="160"/>
        <w:jc w:val="both"/>
        <w:rPr>
          <w:rFonts w:ascii="Arial" w:eastAsia="Aptos" w:hAnsi="Arial" w:cs="Arial"/>
          <w:kern w:val="2"/>
          <w:lang w:val="en-IN"/>
        </w:rPr>
      </w:pPr>
      <w:r w:rsidRPr="00062194">
        <w:rPr>
          <w:rFonts w:ascii="Arial" w:eastAsia="Aptos" w:hAnsi="Arial" w:cs="Arial"/>
          <w:kern w:val="2"/>
          <w:lang w:val="en-IN"/>
        </w:rPr>
        <w:t>Propiconazole is a Demethylation Inhibitor (DMI) fungicide that belongs to FRAC</w:t>
      </w:r>
      <w:r>
        <w:rPr>
          <w:rFonts w:ascii="Arial" w:eastAsia="Aptos" w:hAnsi="Arial" w:cs="Arial"/>
          <w:kern w:val="2"/>
          <w:lang w:val="en-IN"/>
        </w:rPr>
        <w:t xml:space="preserve"> (Fungicides Resistance Action Committee)</w:t>
      </w:r>
      <w:r w:rsidRPr="00062194">
        <w:rPr>
          <w:rFonts w:ascii="Arial" w:eastAsia="Aptos" w:hAnsi="Arial" w:cs="Arial"/>
          <w:kern w:val="2"/>
          <w:lang w:val="en-IN"/>
        </w:rPr>
        <w:t xml:space="preserve"> code3. Chen et al. </w:t>
      </w:r>
      <w:r w:rsidRPr="00062194">
        <w:rPr>
          <w:rFonts w:ascii="Arial" w:eastAsia="Aptos" w:hAnsi="Arial" w:cs="Arial"/>
          <w:kern w:val="2"/>
          <w:lang w:val="en-IN"/>
        </w:rPr>
        <w:fldChar w:fldCharType="begin"/>
      </w:r>
      <w:r w:rsidRPr="00062194">
        <w:rPr>
          <w:rFonts w:ascii="Arial" w:eastAsia="Aptos" w:hAnsi="Arial" w:cs="Arial"/>
          <w:kern w:val="2"/>
          <w:lang w:val="en-IN"/>
        </w:rPr>
        <w:instrText xml:space="preserve"> ADDIN ZOTERO_ITEM CSL_CITATION {"citationID":"laX3q0AF","properties":{"formattedCitation":"[16]","plainCitation":"[16]","noteIndex":0},"citationItems":[{"id":589,"uris":["http://zotero.org/users/local/5ucmndSA/items/BUHE6E8M"],"itemData":{"id":589,"type":"article-journal","abstract":"Few fungicides are effective against anthracnose, caused by Colletotrichum spp., and emerging resistance makes the search for chemical alternatives more relevant. Isolates of the Colletotrichum acutatum species complex were collected from South Carolina and Georgia peach orchards and phylogenetic analysis of the combined internal transcribed spacer region, glyceraldehyde-3-phosphate dehydrogenase, and β-tubulin gene sequences separated the isolates into C. nymphaeae and C. fioriniae. The sensitivity of these and three other previously reported Colletotrichum spp. from peach, including C. fructicola, C. siamense, and C. truncatum, to demethylation inhibitor (DMI) fungicides difenoconazole, propiconazole, tebuconazole, metconazole, flutriafol, and fenbuconazole was determined based upon mycelial growth inhibition. C. truncatum was resistant to tebuconazole, metconazole, flutriafol, and fenbuconazole and C. nymphaeae was resistant to flutriafol and fenbuconazole based on 50% effective concentration (EC\n              50\n              ) values &gt;100 μg/ml. C. fructicola and C. siamense were sensitive to all DMI fungicides (EC\n              50\n              values of 0.2 to 13.1 μg/ml). C. fioriniae subgroup 2 isolates were less sensitive to DMI fungicides (EC\n              50\n              values of 0.5 to 16.2 μg/ml) compared with C. fioriniae subgroup 1 (EC\n              50\n              values of 0.03 to 2.1 μg/ml). Difenoconazole and propiconazole provided the best control efficacy in vitro to all five species, with EC\n              50\n              values of 0.2 to 2.7 μg/ml. Tebuconazole and metconazole were effective against all Colletotrichum spp., except for C. truncatum. The strong in vitro activity of some DMI fungicides against Colletotrichum spp. may be exploited for improved anthracnose disease management of peach.","container-title":"Plant Disease","DOI":"10.1094/PDIS-04-16-0574-RE","ISSN":"0191-2917, 1943-7692","issue":"12","journalAbbreviation":"Plant Disease","language":"en","page":"2434-2441","source":"DOI.org (Crossref)","title":"Sensitivity of &lt;i&gt;Colletotrichum&lt;/i&gt; Species, Including &lt;i&gt;C. fioriniae&lt;/i&gt; and &lt;i&gt;C. nymphaeae&lt;/i&gt; , from Peach to Demethylation Inhibitor Fungicides","volume":"100","author":[{"family":"Chen","given":"S. N."},{"family":"Luo","given":"C. X."},{"family":"Hu","given":"M. J."},{"family":"Schnabel","given":"G."}],"issued":{"date-parts":[["2016",12]]}}}],"schema":"https://github.com/citation-style-language/schema/raw/master/csl-citation.json"} </w:instrText>
      </w:r>
      <w:r w:rsidRPr="00062194">
        <w:rPr>
          <w:rFonts w:ascii="Arial" w:eastAsia="Aptos" w:hAnsi="Arial" w:cs="Arial"/>
          <w:kern w:val="2"/>
          <w:lang w:val="en-IN"/>
        </w:rPr>
        <w:fldChar w:fldCharType="separate"/>
      </w:r>
      <w:r w:rsidRPr="00062194">
        <w:rPr>
          <w:rFonts w:ascii="Arial" w:eastAsia="Aptos" w:hAnsi="Arial" w:cs="Arial"/>
          <w:kern w:val="2"/>
          <w:lang w:val="en-IN"/>
        </w:rPr>
        <w:t>[16]</w:t>
      </w:r>
      <w:r w:rsidRPr="00062194">
        <w:rPr>
          <w:rFonts w:ascii="Arial" w:eastAsia="Aptos" w:hAnsi="Arial" w:cs="Arial"/>
          <w:kern w:val="2"/>
          <w:lang w:val="en-IN"/>
        </w:rPr>
        <w:fldChar w:fldCharType="end"/>
      </w:r>
      <w:r w:rsidRPr="00062194">
        <w:rPr>
          <w:rFonts w:ascii="Arial" w:eastAsia="Aptos" w:hAnsi="Arial" w:cs="Arial"/>
          <w:kern w:val="2"/>
          <w:lang w:val="en-IN"/>
        </w:rPr>
        <w:t xml:space="preserve"> have reported that among the DMI fungicides tested for sensitivity toward </w:t>
      </w:r>
      <w:r w:rsidRPr="00062194">
        <w:rPr>
          <w:rFonts w:ascii="Arial" w:eastAsia="Aptos" w:hAnsi="Arial" w:cs="Arial"/>
          <w:i/>
          <w:iCs/>
          <w:kern w:val="2"/>
          <w:lang w:val="en-IN"/>
        </w:rPr>
        <w:t xml:space="preserve">C. </w:t>
      </w:r>
      <w:proofErr w:type="spellStart"/>
      <w:r w:rsidRPr="00062194">
        <w:rPr>
          <w:rFonts w:ascii="Arial" w:eastAsia="Aptos" w:hAnsi="Arial" w:cs="Arial"/>
          <w:i/>
          <w:iCs/>
          <w:kern w:val="2"/>
          <w:lang w:val="en-IN"/>
        </w:rPr>
        <w:t>truncatum</w:t>
      </w:r>
      <w:proofErr w:type="spellEnd"/>
      <w:r w:rsidRPr="00062194">
        <w:rPr>
          <w:rFonts w:ascii="Arial" w:eastAsia="Aptos" w:hAnsi="Arial" w:cs="Arial"/>
          <w:i/>
          <w:iCs/>
          <w:kern w:val="2"/>
          <w:lang w:val="en-IN"/>
        </w:rPr>
        <w:t xml:space="preserve">, C. </w:t>
      </w:r>
      <w:proofErr w:type="spellStart"/>
      <w:r w:rsidRPr="00062194">
        <w:rPr>
          <w:rFonts w:ascii="Arial" w:eastAsia="Aptos" w:hAnsi="Arial" w:cs="Arial"/>
          <w:i/>
          <w:iCs/>
          <w:kern w:val="2"/>
          <w:lang w:val="en-IN"/>
        </w:rPr>
        <w:t>fructicola</w:t>
      </w:r>
      <w:proofErr w:type="spellEnd"/>
      <w:r w:rsidRPr="00062194">
        <w:rPr>
          <w:rFonts w:ascii="Arial" w:eastAsia="Aptos" w:hAnsi="Arial" w:cs="Arial"/>
          <w:i/>
          <w:iCs/>
          <w:kern w:val="2"/>
          <w:lang w:val="en-IN"/>
        </w:rPr>
        <w:t xml:space="preserve"> and</w:t>
      </w:r>
      <w:r w:rsidRPr="00062194">
        <w:rPr>
          <w:rFonts w:ascii="Arial" w:eastAsia="Aptos" w:hAnsi="Arial" w:cs="Arial"/>
          <w:kern w:val="2"/>
          <w:lang w:val="en-IN"/>
        </w:rPr>
        <w:t xml:space="preserve"> </w:t>
      </w:r>
      <w:r w:rsidRPr="00062194">
        <w:rPr>
          <w:rFonts w:ascii="Arial" w:eastAsia="Aptos" w:hAnsi="Arial" w:cs="Arial"/>
          <w:i/>
          <w:iCs/>
          <w:kern w:val="2"/>
          <w:lang w:val="en-IN"/>
        </w:rPr>
        <w:t xml:space="preserve">C. </w:t>
      </w:r>
      <w:proofErr w:type="spellStart"/>
      <w:r w:rsidRPr="00062194">
        <w:rPr>
          <w:rFonts w:ascii="Arial" w:eastAsia="Aptos" w:hAnsi="Arial" w:cs="Arial"/>
          <w:i/>
          <w:iCs/>
          <w:kern w:val="2"/>
          <w:lang w:val="en-IN"/>
        </w:rPr>
        <w:t>siamense</w:t>
      </w:r>
      <w:proofErr w:type="spellEnd"/>
      <w:r w:rsidRPr="00062194">
        <w:rPr>
          <w:rFonts w:ascii="Arial" w:eastAsia="Aptos" w:hAnsi="Arial" w:cs="Arial"/>
          <w:i/>
          <w:iCs/>
          <w:kern w:val="2"/>
          <w:lang w:val="en-IN"/>
        </w:rPr>
        <w:t>,</w:t>
      </w:r>
      <w:r w:rsidRPr="00062194">
        <w:rPr>
          <w:rFonts w:ascii="Arial" w:eastAsia="Aptos" w:hAnsi="Arial" w:cs="Arial"/>
          <w:kern w:val="2"/>
          <w:lang w:val="en-IN"/>
        </w:rPr>
        <w:t xml:space="preserve"> propiconazole and difenoconazole were the most effective. In </w:t>
      </w:r>
      <w:proofErr w:type="spellStart"/>
      <w:r w:rsidRPr="00062194">
        <w:rPr>
          <w:rFonts w:ascii="Arial" w:eastAsia="Aptos" w:hAnsi="Arial" w:cs="Arial"/>
          <w:i/>
          <w:iCs/>
          <w:kern w:val="2"/>
          <w:lang w:val="en-IN"/>
        </w:rPr>
        <w:t>Colleotrichum</w:t>
      </w:r>
      <w:proofErr w:type="spellEnd"/>
      <w:r w:rsidRPr="00062194">
        <w:rPr>
          <w:rFonts w:ascii="Arial" w:eastAsia="Aptos" w:hAnsi="Arial" w:cs="Arial"/>
          <w:kern w:val="2"/>
          <w:lang w:val="en-IN"/>
        </w:rPr>
        <w:t xml:space="preserve"> spp., the DMI fungicides, mainly propiconazole, primarily targets the ergosterol biosynthesis by inhibition of the cytochrome P450 enzyme CYP51 (lanosterol 14α-demethylase) </w:t>
      </w:r>
      <w:r w:rsidRPr="00062194">
        <w:rPr>
          <w:rFonts w:ascii="Arial" w:eastAsia="Aptos" w:hAnsi="Arial" w:cs="Arial"/>
          <w:kern w:val="2"/>
          <w:lang w:val="en-IN"/>
        </w:rPr>
        <w:fldChar w:fldCharType="begin"/>
      </w:r>
      <w:r w:rsidRPr="00062194">
        <w:rPr>
          <w:rFonts w:ascii="Arial" w:eastAsia="Aptos" w:hAnsi="Arial" w:cs="Arial"/>
          <w:kern w:val="2"/>
          <w:lang w:val="en-IN"/>
        </w:rPr>
        <w:instrText xml:space="preserve"> ADDIN ZOTERO_ITEM CSL_CITATION {"citationID":"qSR06JY5","properties":{"formattedCitation":"[17]","plainCitation":"[17]","noteIndex":0},"citationItems":[{"id":593,"uris":["http://zotero.org/users/local/5ucmndSA/items/EA4BX9IX"],"itemData":{"id":593,"type":"article-journal","abstract":"The baseline sensitivity of a California population of Colletotrichum cereale (turfgrass anthracnose) to the sterol demethylation inhibitor (DMI) fungicide propiconazole was determined using an in vitro assay with known reproducibility. The 50% effective dose (ED\n              50\n              ) values for propiconazole for a nonexposed, baseline population ranged from 0.025 to 0.35 μg/ml with a mean of 0.14 μg/ml. Examination of two DMI-exposed populations indicated an approximate increase of 6.5× in mean ED\n              50\n              values. In vivo testing of two isolates with ED\n              50\n              values of propiconazole at 0.15 and 0.90 μg/ml indicated reduced control for the less sensitive isolate by propiconazole at rates ≤38 μg/ml. It was determined that single discriminatory dose testing in vitro with propiconazole at 0.50 μg/ml could differentiate sensitive and resistant isolates. Using this dose, six additional populations were tested and DMI-exposed populations were found to be three to nine times less sensitive compared with the baseline population. Two populations were assayed for sensitivity to myclobutanil, tebuconazole, and triadimefon. Mean ED\n              50\n              values for a nonexposed population were 0.72, 0.082, and 5.6 μg/ml, respectively; for a DMI-exposed population, mean ED\n              50\n              values were 3.8, 0.35, and 18 μg/ml, respectively. This work provides information on the development of DMI resistance in populations of C. cereale in California and methodologies for future resistance monitoring for this pathogen.","container-title":"Plant Disease","DOI":"10.1094/PDIS-91-12-1547","ISSN":"0191-2917, 1943-7692","issue":"12","journalAbbreviation":"Plant Disease","language":"en","page":"1547-1555","source":"DOI.org (Crossref)","title":"Sensitivity Distributions of California Populations of &lt;i&gt;Colletotrichum cereale&lt;/i&gt; to the DMI Fungicides Propiconazole, Myclobutanil, Tebuconazole, and Triadimefon","volume":"91","author":[{"family":"Wong","given":"Francis P."},{"family":"Midland","given":"Sharon L."}],"issued":{"date-parts":[["2007",12]]}}}],"schema":"https://github.com/citation-style-language/schema/raw/master/csl-citation.json"} </w:instrText>
      </w:r>
      <w:r w:rsidRPr="00062194">
        <w:rPr>
          <w:rFonts w:ascii="Arial" w:eastAsia="Aptos" w:hAnsi="Arial" w:cs="Arial"/>
          <w:kern w:val="2"/>
          <w:lang w:val="en-IN"/>
        </w:rPr>
        <w:fldChar w:fldCharType="separate"/>
      </w:r>
      <w:r w:rsidRPr="00062194">
        <w:rPr>
          <w:rFonts w:ascii="Arial" w:eastAsia="Aptos" w:hAnsi="Arial" w:cs="Arial"/>
          <w:kern w:val="2"/>
          <w:lang w:val="en-IN"/>
        </w:rPr>
        <w:t>[17]</w:t>
      </w:r>
      <w:r w:rsidRPr="00062194">
        <w:rPr>
          <w:rFonts w:ascii="Arial" w:eastAsia="Aptos" w:hAnsi="Arial" w:cs="Arial"/>
          <w:kern w:val="2"/>
          <w:lang w:val="en-IN"/>
        </w:rPr>
        <w:fldChar w:fldCharType="end"/>
      </w:r>
      <w:r w:rsidRPr="00062194">
        <w:rPr>
          <w:rFonts w:ascii="Arial" w:eastAsia="Aptos" w:hAnsi="Arial" w:cs="Arial"/>
          <w:kern w:val="2"/>
          <w:lang w:val="en-IN"/>
        </w:rPr>
        <w:t>.</w:t>
      </w:r>
      <w:r w:rsidR="004C60F5">
        <w:rPr>
          <w:rFonts w:ascii="Arial" w:eastAsia="Aptos" w:hAnsi="Arial" w:cs="Arial"/>
          <w:kern w:val="2"/>
          <w:lang w:val="en-IN"/>
        </w:rPr>
        <w:t xml:space="preserve"> </w:t>
      </w:r>
      <w:r w:rsidR="004C60F5" w:rsidRPr="004C60F5">
        <w:rPr>
          <w:rFonts w:ascii="Arial" w:eastAsia="Aptos" w:hAnsi="Arial" w:cs="Arial"/>
          <w:kern w:val="2"/>
          <w:highlight w:val="yellow"/>
        </w:rPr>
        <w:t xml:space="preserve">Systemic </w:t>
      </w:r>
      <w:r w:rsidR="004C60F5">
        <w:rPr>
          <w:rFonts w:ascii="Arial" w:eastAsia="Aptos" w:hAnsi="Arial" w:cs="Arial"/>
          <w:kern w:val="2"/>
          <w:highlight w:val="yellow"/>
        </w:rPr>
        <w:t xml:space="preserve">fungicides such as </w:t>
      </w:r>
      <w:r w:rsidR="004C60F5" w:rsidRPr="004C60F5">
        <w:rPr>
          <w:rFonts w:ascii="Arial" w:eastAsia="Aptos" w:hAnsi="Arial" w:cs="Arial"/>
          <w:kern w:val="2"/>
          <w:highlight w:val="yellow"/>
        </w:rPr>
        <w:t>triazoles</w:t>
      </w:r>
      <w:r w:rsidR="004C60F5">
        <w:rPr>
          <w:rFonts w:ascii="Arial" w:eastAsia="Aptos" w:hAnsi="Arial" w:cs="Arial"/>
          <w:kern w:val="2"/>
          <w:highlight w:val="yellow"/>
        </w:rPr>
        <w:t xml:space="preserve"> </w:t>
      </w:r>
      <w:r w:rsidR="004C60F5" w:rsidRPr="004C60F5">
        <w:rPr>
          <w:rFonts w:ascii="Arial" w:eastAsia="Aptos" w:hAnsi="Arial" w:cs="Arial"/>
          <w:kern w:val="2"/>
          <w:highlight w:val="yellow"/>
        </w:rPr>
        <w:t xml:space="preserve">are xylem-mobile and inhibit ergosterol biosynthesis, offering </w:t>
      </w:r>
      <w:r w:rsidR="004C60F5">
        <w:rPr>
          <w:rFonts w:ascii="Arial" w:eastAsia="Aptos" w:hAnsi="Arial" w:cs="Arial"/>
          <w:kern w:val="2"/>
          <w:highlight w:val="yellow"/>
        </w:rPr>
        <w:t xml:space="preserve">the </w:t>
      </w:r>
      <w:r w:rsidR="004C60F5" w:rsidRPr="004C60F5">
        <w:rPr>
          <w:rFonts w:ascii="Arial" w:eastAsia="Aptos" w:hAnsi="Arial" w:cs="Arial"/>
          <w:kern w:val="2"/>
          <w:highlight w:val="yellow"/>
        </w:rPr>
        <w:t xml:space="preserve">curative action. In contrast, Azoxystrobin, a </w:t>
      </w:r>
      <w:proofErr w:type="spellStart"/>
      <w:r w:rsidR="004C60F5">
        <w:rPr>
          <w:rFonts w:ascii="Arial" w:eastAsia="Aptos" w:hAnsi="Arial" w:cs="Arial"/>
          <w:kern w:val="2"/>
          <w:highlight w:val="yellow"/>
        </w:rPr>
        <w:t>strobilurin</w:t>
      </w:r>
      <w:proofErr w:type="spellEnd"/>
      <w:r w:rsidR="004C60F5">
        <w:rPr>
          <w:rFonts w:ascii="Arial" w:eastAsia="Aptos" w:hAnsi="Arial" w:cs="Arial"/>
          <w:kern w:val="2"/>
          <w:highlight w:val="yellow"/>
        </w:rPr>
        <w:t xml:space="preserve"> and </w:t>
      </w:r>
      <w:proofErr w:type="spellStart"/>
      <w:r w:rsidR="004C60F5" w:rsidRPr="004C60F5">
        <w:rPr>
          <w:rFonts w:ascii="Arial" w:eastAsia="Aptos" w:hAnsi="Arial" w:cs="Arial"/>
          <w:kern w:val="2"/>
          <w:highlight w:val="yellow"/>
        </w:rPr>
        <w:t>QoI</w:t>
      </w:r>
      <w:proofErr w:type="spellEnd"/>
      <w:r w:rsidR="004C60F5" w:rsidRPr="004C60F5">
        <w:rPr>
          <w:rFonts w:ascii="Arial" w:eastAsia="Aptos" w:hAnsi="Arial" w:cs="Arial"/>
          <w:kern w:val="2"/>
          <w:highlight w:val="yellow"/>
        </w:rPr>
        <w:t xml:space="preserve"> fungicide, acts preventively by disrupting mitochondrial respiration, but its system</w:t>
      </w:r>
      <w:r w:rsidR="004C60F5">
        <w:rPr>
          <w:rFonts w:ascii="Arial" w:eastAsia="Aptos" w:hAnsi="Arial" w:cs="Arial"/>
          <w:kern w:val="2"/>
          <w:highlight w:val="yellow"/>
        </w:rPr>
        <w:t xml:space="preserve">ic limitation </w:t>
      </w:r>
      <w:r w:rsidR="004C60F5" w:rsidRPr="004C60F5">
        <w:rPr>
          <w:rFonts w:ascii="Arial" w:eastAsia="Aptos" w:hAnsi="Arial" w:cs="Arial"/>
          <w:kern w:val="2"/>
          <w:highlight w:val="yellow"/>
        </w:rPr>
        <w:t>may explain the lower inhibition observed here</w:t>
      </w:r>
      <w:r w:rsidR="004C60F5" w:rsidRPr="004C60F5">
        <w:rPr>
          <w:rFonts w:ascii="Arial" w:eastAsia="Aptos" w:hAnsi="Arial" w:cs="Arial"/>
          <w:kern w:val="2"/>
        </w:rPr>
        <w:t xml:space="preserve">. </w:t>
      </w:r>
      <w:r w:rsidRPr="004C60F5">
        <w:rPr>
          <w:rFonts w:ascii="Arial" w:eastAsia="Aptos" w:hAnsi="Arial" w:cs="Arial"/>
          <w:kern w:val="2"/>
          <w:lang w:val="en-IN"/>
        </w:rPr>
        <w:t>However, the continuous use of systemic fungicides poses risk of fungicide resistance development with time, as they will be targeting one or two specific</w:t>
      </w:r>
      <w:r w:rsidRPr="00062194">
        <w:rPr>
          <w:rFonts w:ascii="Arial" w:eastAsia="Aptos" w:hAnsi="Arial" w:cs="Arial"/>
          <w:kern w:val="2"/>
          <w:lang w:val="en-IN"/>
        </w:rPr>
        <w:t xml:space="preserve"> fungal functions, leaving them open to mutations or selection of resistant ones.</w:t>
      </w:r>
      <w:r w:rsidR="004C60F5">
        <w:rPr>
          <w:rFonts w:ascii="Arial" w:eastAsia="Aptos" w:hAnsi="Arial" w:cs="Arial"/>
          <w:kern w:val="2"/>
          <w:lang w:val="en-IN"/>
        </w:rPr>
        <w:t xml:space="preserve"> </w:t>
      </w:r>
      <w:r w:rsidRPr="00062194">
        <w:rPr>
          <w:rFonts w:ascii="Arial" w:eastAsia="Aptos" w:hAnsi="Arial" w:cs="Arial"/>
          <w:kern w:val="2"/>
          <w:lang w:val="en-IN"/>
        </w:rPr>
        <w:t xml:space="preserve">Whereas combination fungicides used in this study such as Tebuconazole 50% + </w:t>
      </w:r>
      <w:proofErr w:type="spellStart"/>
      <w:r w:rsidRPr="00062194">
        <w:rPr>
          <w:rFonts w:ascii="Arial" w:eastAsia="Aptos" w:hAnsi="Arial" w:cs="Arial"/>
          <w:kern w:val="2"/>
          <w:lang w:val="en-IN"/>
        </w:rPr>
        <w:t>Trifloxystrobin</w:t>
      </w:r>
      <w:proofErr w:type="spellEnd"/>
      <w:r w:rsidRPr="00062194">
        <w:rPr>
          <w:rFonts w:ascii="Arial" w:eastAsia="Aptos" w:hAnsi="Arial" w:cs="Arial"/>
          <w:kern w:val="2"/>
          <w:lang w:val="en-IN"/>
        </w:rPr>
        <w:t xml:space="preserve"> 25% WG and Fluxapyroxad 21.26 % + </w:t>
      </w:r>
      <w:proofErr w:type="spellStart"/>
      <w:r w:rsidRPr="00062194">
        <w:rPr>
          <w:rFonts w:ascii="Arial" w:eastAsia="Aptos" w:hAnsi="Arial" w:cs="Arial"/>
          <w:kern w:val="2"/>
          <w:lang w:val="en-IN"/>
        </w:rPr>
        <w:t>Pyraclostrobin</w:t>
      </w:r>
      <w:proofErr w:type="spellEnd"/>
      <w:r w:rsidRPr="00062194">
        <w:rPr>
          <w:rFonts w:ascii="Arial" w:eastAsia="Aptos" w:hAnsi="Arial" w:cs="Arial"/>
          <w:kern w:val="2"/>
          <w:lang w:val="en-IN"/>
        </w:rPr>
        <w:t xml:space="preserve"> 21.26 % SC, which showed cent per cent inhibition, comprise of active ingredients that act synergistically to control the fungus through distinct biochemical pathways. </w:t>
      </w:r>
      <w:r w:rsidR="00EB2A85" w:rsidRPr="00EB2A85">
        <w:rPr>
          <w:rFonts w:ascii="Arial" w:eastAsia="Aptos" w:hAnsi="Arial" w:cs="Arial"/>
          <w:kern w:val="2"/>
          <w:highlight w:val="yellow"/>
        </w:rPr>
        <w:t>These combinations offer enhanced residual activity and dual-site action targeting ergosterol biosynthesis (DMIs) and mitochondrial respiration (</w:t>
      </w:r>
      <w:proofErr w:type="spellStart"/>
      <w:r w:rsidR="00EB2A85" w:rsidRPr="00EB2A85">
        <w:rPr>
          <w:rFonts w:ascii="Arial" w:eastAsia="Aptos" w:hAnsi="Arial" w:cs="Arial"/>
          <w:kern w:val="2"/>
          <w:highlight w:val="yellow"/>
        </w:rPr>
        <w:t>QoIs</w:t>
      </w:r>
      <w:proofErr w:type="spellEnd"/>
      <w:r w:rsidR="00EB2A85" w:rsidRPr="00EB2A85">
        <w:rPr>
          <w:rFonts w:ascii="Arial" w:eastAsia="Aptos" w:hAnsi="Arial" w:cs="Arial"/>
          <w:kern w:val="2"/>
          <w:highlight w:val="yellow"/>
        </w:rPr>
        <w:t xml:space="preserve"> or SDHIs), resulting in broad-spectrum and effective control even at lower doses.</w:t>
      </w:r>
      <w:r w:rsidR="00EB2A85">
        <w:rPr>
          <w:rFonts w:ascii="Arial" w:eastAsia="Aptos" w:hAnsi="Arial" w:cs="Arial"/>
          <w:kern w:val="2"/>
        </w:rPr>
        <w:t xml:space="preserve"> </w:t>
      </w:r>
      <w:r w:rsidRPr="00062194">
        <w:rPr>
          <w:rFonts w:ascii="Arial" w:eastAsia="Aptos" w:hAnsi="Arial" w:cs="Arial"/>
          <w:kern w:val="2"/>
          <w:lang w:val="en-IN"/>
        </w:rPr>
        <w:t>The</w:t>
      </w:r>
      <w:r w:rsidR="00EB2A85">
        <w:rPr>
          <w:rFonts w:ascii="Arial" w:eastAsia="Aptos" w:hAnsi="Arial" w:cs="Arial"/>
          <w:kern w:val="2"/>
          <w:lang w:val="en-IN"/>
        </w:rPr>
        <w:t>se</w:t>
      </w:r>
      <w:r w:rsidRPr="00062194">
        <w:rPr>
          <w:rFonts w:ascii="Arial" w:eastAsia="Aptos" w:hAnsi="Arial" w:cs="Arial"/>
          <w:kern w:val="2"/>
          <w:lang w:val="en-IN"/>
        </w:rPr>
        <w:t xml:space="preserve"> offer a long-term management of fungal pathogens as they have two different mechanism or mode of actions against the fungus that prevents or delays resistance development. These combinations often provide broad spectrum protection against fungus </w:t>
      </w:r>
      <w:r w:rsidRPr="00062194">
        <w:rPr>
          <w:rFonts w:ascii="Arial" w:eastAsia="Aptos" w:hAnsi="Arial" w:cs="Arial"/>
          <w:kern w:val="2"/>
          <w:lang w:val="en-IN"/>
        </w:rPr>
        <w:fldChar w:fldCharType="begin"/>
      </w:r>
      <w:r w:rsidRPr="00062194">
        <w:rPr>
          <w:rFonts w:ascii="Arial" w:eastAsia="Aptos" w:hAnsi="Arial" w:cs="Arial"/>
          <w:kern w:val="2"/>
          <w:lang w:val="en-IN"/>
        </w:rPr>
        <w:instrText xml:space="preserve"> ADDIN ZOTERO_ITEM CSL_CITATION {"citationID":"lte7kAnd","properties":{"formattedCitation":"[18]","plainCitation":"[18]","noteIndex":0},"citationItems":[{"id":594,"uris":["http://zotero.org/users/local/5ucmndSA/items/J3ZHGRVJ"],"itemData":{"id":594,"type":"article-journal","container-title":"Plant Protection Science","DOI":"10.17221/42/2015-PPS","ISSN":"12122580, 18059341","issue":"4","journalAbbreviation":"Plant Prot. Sci.","license":"https://creativecommons.org/licenses/by-nc/4.0/","page":"170-176","source":"DOI.org (Crossref)","title":"Fungicide resistance: facing the challenge - a review","title-short":"Fungicide resistance","volume":"51","author":[{"family":"Hollomon","given":"Derek W."}],"issued":{"date-parts":[["2015",12,31]]}}}],"schema":"https://github.com/citation-style-language/schema/raw/master/csl-citation.json"} </w:instrText>
      </w:r>
      <w:r w:rsidRPr="00062194">
        <w:rPr>
          <w:rFonts w:ascii="Arial" w:eastAsia="Aptos" w:hAnsi="Arial" w:cs="Arial"/>
          <w:kern w:val="2"/>
          <w:lang w:val="en-IN"/>
        </w:rPr>
        <w:fldChar w:fldCharType="separate"/>
      </w:r>
      <w:r w:rsidRPr="00062194">
        <w:rPr>
          <w:rFonts w:ascii="Arial" w:eastAsia="Aptos" w:hAnsi="Arial" w:cs="Arial"/>
          <w:kern w:val="2"/>
          <w:lang w:val="en-IN"/>
        </w:rPr>
        <w:t>[18]</w:t>
      </w:r>
      <w:r w:rsidRPr="00062194">
        <w:rPr>
          <w:rFonts w:ascii="Arial" w:eastAsia="Aptos" w:hAnsi="Arial" w:cs="Arial"/>
          <w:kern w:val="2"/>
          <w:lang w:val="en-IN"/>
        </w:rPr>
        <w:fldChar w:fldCharType="end"/>
      </w:r>
      <w:r w:rsidRPr="00062194">
        <w:rPr>
          <w:rFonts w:ascii="Arial" w:eastAsia="Aptos" w:hAnsi="Arial" w:cs="Arial"/>
          <w:kern w:val="2"/>
          <w:lang w:val="en-IN"/>
        </w:rPr>
        <w:t xml:space="preserve">. </w:t>
      </w:r>
    </w:p>
    <w:p w14:paraId="64A12B17" w14:textId="1AD295FC"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5FEFD8E" w14:textId="77777777" w:rsidR="00790ADA" w:rsidRPr="00FB3A86" w:rsidRDefault="00790ADA" w:rsidP="00441B6F">
      <w:pPr>
        <w:pStyle w:val="ConcHead"/>
        <w:spacing w:after="0"/>
        <w:jc w:val="both"/>
        <w:rPr>
          <w:rFonts w:ascii="Arial" w:hAnsi="Arial" w:cs="Arial"/>
        </w:rPr>
      </w:pPr>
    </w:p>
    <w:p w14:paraId="4C507858" w14:textId="078DB3E3" w:rsidR="00790ADA" w:rsidRPr="00062194" w:rsidRDefault="00062194" w:rsidP="00062194">
      <w:pPr>
        <w:spacing w:after="160"/>
        <w:jc w:val="both"/>
        <w:rPr>
          <w:rFonts w:ascii="Arial" w:eastAsia="Aptos" w:hAnsi="Arial" w:cs="Arial"/>
          <w:kern w:val="2"/>
          <w:lang w:val="en-IN"/>
        </w:rPr>
      </w:pPr>
      <w:r w:rsidRPr="00062194">
        <w:rPr>
          <w:rFonts w:ascii="Arial" w:eastAsia="Aptos" w:hAnsi="Arial" w:cs="Arial"/>
          <w:kern w:val="2"/>
          <w:lang w:val="en-IN"/>
        </w:rPr>
        <w:t xml:space="preserve">In the current study, among the fungicides tested against </w:t>
      </w:r>
      <w:r w:rsidRPr="00062194">
        <w:rPr>
          <w:rFonts w:ascii="Arial" w:eastAsia="Aptos" w:hAnsi="Arial" w:cs="Arial"/>
          <w:i/>
          <w:iCs/>
          <w:kern w:val="2"/>
          <w:lang w:val="en-IN"/>
        </w:rPr>
        <w:t>Colletotrichum</w:t>
      </w:r>
      <w:r w:rsidR="000A490A">
        <w:rPr>
          <w:rFonts w:ascii="Arial" w:eastAsia="Aptos" w:hAnsi="Arial" w:cs="Arial"/>
          <w:i/>
          <w:iCs/>
          <w:kern w:val="2"/>
          <w:lang w:val="en-IN"/>
        </w:rPr>
        <w:t xml:space="preserve"> </w:t>
      </w:r>
      <w:r w:rsidR="000A490A" w:rsidRPr="00603E1A">
        <w:rPr>
          <w:rFonts w:ascii="Arial" w:eastAsia="Aptos" w:hAnsi="Arial" w:cs="Arial"/>
          <w:kern w:val="2"/>
          <w:lang w:val="en-IN"/>
        </w:rPr>
        <w:t>species</w:t>
      </w:r>
      <w:r w:rsidRPr="00603E1A">
        <w:rPr>
          <w:rFonts w:ascii="Arial" w:eastAsia="Aptos" w:hAnsi="Arial" w:cs="Arial"/>
          <w:kern w:val="2"/>
          <w:lang w:val="en-IN"/>
        </w:rPr>
        <w:t>,</w:t>
      </w:r>
      <w:r w:rsidRPr="00062194">
        <w:rPr>
          <w:rFonts w:ascii="Arial" w:eastAsia="Aptos" w:hAnsi="Arial" w:cs="Arial"/>
          <w:kern w:val="2"/>
          <w:lang w:val="en-IN"/>
        </w:rPr>
        <w:t xml:space="preserve"> Propiconazole 25% EC was found as the most effective among systemic and Carbendazim </w:t>
      </w:r>
      <w:r w:rsidRPr="00062194">
        <w:rPr>
          <w:rFonts w:ascii="Arial" w:eastAsia="Aptos" w:hAnsi="Arial" w:cs="Arial"/>
          <w:kern w:val="2"/>
          <w:lang w:val="en-IN"/>
        </w:rPr>
        <w:lastRenderedPageBreak/>
        <w:t xml:space="preserve">12% + Mancozeb 63% WP, Tebuconazole 50% + </w:t>
      </w:r>
      <w:proofErr w:type="spellStart"/>
      <w:r w:rsidRPr="00062194">
        <w:rPr>
          <w:rFonts w:ascii="Arial" w:eastAsia="Aptos" w:hAnsi="Arial" w:cs="Arial"/>
          <w:kern w:val="2"/>
          <w:lang w:val="en-IN"/>
        </w:rPr>
        <w:t>Trifloxystrobin</w:t>
      </w:r>
      <w:proofErr w:type="spellEnd"/>
      <w:r w:rsidRPr="00062194">
        <w:rPr>
          <w:rFonts w:ascii="Arial" w:eastAsia="Aptos" w:hAnsi="Arial" w:cs="Arial"/>
          <w:kern w:val="2"/>
          <w:lang w:val="en-IN"/>
        </w:rPr>
        <w:t xml:space="preserve"> 25% WG and Tricyclazole 18 % + Mancozeb 62 % WP were found cent per cent effective among combination fungicides at all concentrations. While Propiconazole has exhibited high fungicidal activity, relying exclusively on it for long term management could be problematic. Its targeted mechanism of action, limits the spectrum and increases the likelihood of resistance evolution in pathogen populations. Repeated applications exert severe selection pressure, that will lead potentially to the emergence of resistant fungal strains, through adaptive selection or point mutations. Unlike this, combination fungicides will offer more effective control by targeting multiple biochemical pathways in the pathogen. They are more robust and efficient choice for long-term disease management because of their dual mode of action, which not only enhances disease suppression but also lowers the possibility of resistance development. </w:t>
      </w:r>
    </w:p>
    <w:p w14:paraId="525E0E11" w14:textId="792CC649" w:rsidR="005F62B1" w:rsidRDefault="005F62B1" w:rsidP="00441B6F">
      <w:pPr>
        <w:pStyle w:val="AcknHead"/>
        <w:spacing w:after="0"/>
        <w:jc w:val="both"/>
        <w:rPr>
          <w:rFonts w:ascii="Arial" w:hAnsi="Arial" w:cs="Arial"/>
        </w:rPr>
      </w:pPr>
      <w:r w:rsidRPr="005F62B1">
        <w:rPr>
          <w:rFonts w:ascii="Arial" w:hAnsi="Arial" w:cs="Arial"/>
        </w:rPr>
        <w:t>DISCLAIMER (ARTIFICIAL INTELLIGENCE</w:t>
      </w:r>
      <w:r w:rsidR="00063322">
        <w:rPr>
          <w:rFonts w:ascii="Arial" w:hAnsi="Arial" w:cs="Arial"/>
        </w:rPr>
        <w:t>)</w:t>
      </w:r>
    </w:p>
    <w:p w14:paraId="6B38CD56" w14:textId="77777777" w:rsidR="005F62B1" w:rsidRDefault="005F62B1" w:rsidP="00441B6F">
      <w:pPr>
        <w:pStyle w:val="AcknHead"/>
        <w:spacing w:after="0"/>
        <w:jc w:val="both"/>
        <w:rPr>
          <w:rFonts w:ascii="Arial" w:hAnsi="Arial" w:cs="Arial"/>
        </w:rPr>
      </w:pPr>
    </w:p>
    <w:p w14:paraId="5B658406" w14:textId="0C17597C" w:rsidR="005F62B1" w:rsidRPr="005F62B1" w:rsidRDefault="005F62B1" w:rsidP="00441B6F">
      <w:pPr>
        <w:pStyle w:val="AcknHead"/>
        <w:spacing w:after="0"/>
        <w:jc w:val="both"/>
        <w:rPr>
          <w:rFonts w:ascii="Arial" w:hAnsi="Arial" w:cs="Arial"/>
          <w:b w:val="0"/>
          <w:bCs/>
          <w:sz w:val="20"/>
        </w:rPr>
      </w:pPr>
      <w:r>
        <w:rPr>
          <w:rFonts w:ascii="Arial" w:hAnsi="Arial" w:cs="Arial"/>
          <w:b w:val="0"/>
          <w:bCs/>
          <w:caps w:val="0"/>
          <w:sz w:val="20"/>
        </w:rPr>
        <w:t>A</w:t>
      </w:r>
      <w:r w:rsidRPr="005F62B1">
        <w:rPr>
          <w:rFonts w:ascii="Arial" w:hAnsi="Arial" w:cs="Arial"/>
          <w:b w:val="0"/>
          <w:bCs/>
          <w:caps w:val="0"/>
          <w:sz w:val="20"/>
        </w:rPr>
        <w:t xml:space="preserve">uthor(s) hereby declares that no generative </w:t>
      </w:r>
      <w:r>
        <w:rPr>
          <w:rFonts w:ascii="Arial" w:hAnsi="Arial" w:cs="Arial"/>
          <w:b w:val="0"/>
          <w:bCs/>
          <w:caps w:val="0"/>
          <w:sz w:val="20"/>
        </w:rPr>
        <w:t xml:space="preserve">AI </w:t>
      </w:r>
      <w:r w:rsidRPr="005F62B1">
        <w:rPr>
          <w:rFonts w:ascii="Arial" w:hAnsi="Arial" w:cs="Arial"/>
          <w:b w:val="0"/>
          <w:bCs/>
          <w:caps w:val="0"/>
          <w:sz w:val="20"/>
        </w:rPr>
        <w:t>technologies such as large language models (</w:t>
      </w:r>
      <w:r>
        <w:rPr>
          <w:rFonts w:ascii="Arial" w:hAnsi="Arial" w:cs="Arial"/>
          <w:b w:val="0"/>
          <w:bCs/>
          <w:caps w:val="0"/>
          <w:sz w:val="20"/>
        </w:rPr>
        <w:t>CHATGPT, COPILOT</w:t>
      </w:r>
      <w:r w:rsidRPr="005F62B1">
        <w:rPr>
          <w:rFonts w:ascii="Arial" w:hAnsi="Arial" w:cs="Arial"/>
          <w:b w:val="0"/>
          <w:bCs/>
          <w:caps w:val="0"/>
          <w:sz w:val="20"/>
        </w:rPr>
        <w:t xml:space="preserve">, </w:t>
      </w:r>
      <w:proofErr w:type="spellStart"/>
      <w:r w:rsidRPr="005F62B1">
        <w:rPr>
          <w:rFonts w:ascii="Arial" w:hAnsi="Arial" w:cs="Arial"/>
          <w:b w:val="0"/>
          <w:bCs/>
          <w:caps w:val="0"/>
          <w:sz w:val="20"/>
        </w:rPr>
        <w:t>etc</w:t>
      </w:r>
      <w:proofErr w:type="spellEnd"/>
      <w:r w:rsidRPr="005F62B1">
        <w:rPr>
          <w:rFonts w:ascii="Arial" w:hAnsi="Arial" w:cs="Arial"/>
          <w:b w:val="0"/>
          <w:bCs/>
          <w:caps w:val="0"/>
          <w:sz w:val="20"/>
        </w:rPr>
        <w:t>) and text-to-image generators have been used during writing or editing of this manuscript.</w:t>
      </w:r>
    </w:p>
    <w:p w14:paraId="1E0F7193" w14:textId="77777777" w:rsidR="005F62B1" w:rsidRPr="005F62B1" w:rsidRDefault="005F62B1" w:rsidP="00441B6F">
      <w:pPr>
        <w:pStyle w:val="AcknHead"/>
        <w:spacing w:after="0"/>
        <w:jc w:val="both"/>
        <w:rPr>
          <w:rFonts w:ascii="Arial" w:hAnsi="Arial" w:cs="Arial"/>
          <w:b w:val="0"/>
          <w:bCs/>
          <w:sz w:val="20"/>
        </w:rPr>
      </w:pPr>
    </w:p>
    <w:p w14:paraId="5614C0BC" w14:textId="77777777" w:rsidR="005F62B1" w:rsidRDefault="005F62B1" w:rsidP="00441B6F">
      <w:pPr>
        <w:pStyle w:val="ReferHead"/>
        <w:spacing w:after="0"/>
        <w:jc w:val="both"/>
        <w:rPr>
          <w:rFonts w:ascii="Arial" w:hAnsi="Arial" w:cs="Arial"/>
          <w:b w:val="0"/>
          <w:caps w:val="0"/>
          <w:sz w:val="20"/>
        </w:rPr>
      </w:pPr>
    </w:p>
    <w:p w14:paraId="7F9922DD" w14:textId="3B8AC783" w:rsidR="00B01FCD" w:rsidRDefault="00B01FCD" w:rsidP="00441B6F">
      <w:pPr>
        <w:pStyle w:val="ReferHead"/>
        <w:spacing w:after="0"/>
        <w:jc w:val="both"/>
        <w:rPr>
          <w:rFonts w:ascii="Arial" w:hAnsi="Arial" w:cs="Arial"/>
        </w:rPr>
      </w:pPr>
      <w:r w:rsidRPr="00FB3A86">
        <w:rPr>
          <w:rFonts w:ascii="Arial" w:hAnsi="Arial" w:cs="Arial"/>
        </w:rPr>
        <w:t>References</w:t>
      </w:r>
    </w:p>
    <w:p w14:paraId="5F7C509F" w14:textId="77777777" w:rsidR="005F62B1" w:rsidRDefault="005F62B1" w:rsidP="00441B6F">
      <w:pPr>
        <w:pStyle w:val="Body"/>
        <w:spacing w:after="0"/>
        <w:rPr>
          <w:rFonts w:ascii="Arial" w:hAnsi="Arial" w:cs="Arial"/>
          <w:b/>
        </w:rPr>
      </w:pPr>
    </w:p>
    <w:p w14:paraId="4AAE51DF" w14:textId="63DF3D39" w:rsidR="00C376E2" w:rsidRPr="00C376E2" w:rsidRDefault="00C376E2" w:rsidP="00C376E2">
      <w:pPr>
        <w:pStyle w:val="Bibliography1"/>
        <w:spacing w:line="240" w:lineRule="auto"/>
        <w:jc w:val="both"/>
        <w:rPr>
          <w:rFonts w:ascii="Arial" w:hAnsi="Arial" w:cs="Arial"/>
          <w:sz w:val="20"/>
        </w:rPr>
      </w:pPr>
      <w:r w:rsidRPr="00C376E2">
        <w:rPr>
          <w:rFonts w:ascii="Arial" w:hAnsi="Arial" w:cs="Arial"/>
          <w:sz w:val="20"/>
        </w:rPr>
        <w:fldChar w:fldCharType="begin"/>
      </w:r>
      <w:r w:rsidRPr="00C376E2">
        <w:rPr>
          <w:rFonts w:ascii="Arial" w:hAnsi="Arial" w:cs="Arial"/>
          <w:sz w:val="20"/>
        </w:rPr>
        <w:instrText xml:space="preserve"> ADDIN ZOTERO_BIBL {"uncited":[],"omitted":[],"custom":[]} CSL_BIBLIOGRAPHY </w:instrText>
      </w:r>
      <w:r w:rsidRPr="00C376E2">
        <w:rPr>
          <w:rFonts w:ascii="Arial" w:hAnsi="Arial" w:cs="Arial"/>
          <w:sz w:val="20"/>
        </w:rPr>
        <w:fldChar w:fldCharType="separate"/>
      </w:r>
      <w:r w:rsidRPr="00C376E2">
        <w:rPr>
          <w:rFonts w:ascii="Arial" w:hAnsi="Arial" w:cs="Arial"/>
          <w:sz w:val="20"/>
        </w:rPr>
        <w:t xml:space="preserve">[1]        Pandey, A. K, Basandrai, A. K, Basandrai, D., Boddepalli, V. N., Rathore, A., Adapala, G., et al. (2021). Field-relevant new sources of resistance to anthracnose caused by </w:t>
      </w:r>
      <w:r w:rsidRPr="00C376E2">
        <w:rPr>
          <w:rFonts w:ascii="Arial" w:hAnsi="Arial" w:cs="Arial"/>
          <w:i/>
          <w:iCs/>
          <w:sz w:val="20"/>
        </w:rPr>
        <w:t>Colletotrichum truncatum</w:t>
      </w:r>
      <w:r w:rsidRPr="00C376E2">
        <w:rPr>
          <w:rFonts w:ascii="Arial" w:hAnsi="Arial" w:cs="Arial"/>
          <w:sz w:val="20"/>
        </w:rPr>
        <w:t xml:space="preserve"> in a mungbean mini-core collection. Plant Disease, 105(7), 2001–2010. </w:t>
      </w:r>
    </w:p>
    <w:p w14:paraId="1C87B1B4" w14:textId="77777777"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[2]</w:t>
      </w:r>
      <w:r w:rsidRPr="00C376E2">
        <w:rPr>
          <w:rFonts w:ascii="Arial" w:eastAsia="Aptos" w:hAnsi="Arial" w:cs="Arial"/>
          <w:kern w:val="2"/>
          <w:lang w:val="en-IN"/>
        </w:rPr>
        <w:tab/>
        <w:t>Nair, R. M., Pandey, A. K., War, A. R., Hanumantharao, B., Shwe, T., Alam, A., et al. (2019). Biotic and abiotic constraints in mungbean production—progress in genetic improvement. Frontiers in Plant Science, 10, 1340.</w:t>
      </w:r>
    </w:p>
    <w:p w14:paraId="1CB90A21" w14:textId="77777777"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[3]</w:t>
      </w:r>
      <w:r w:rsidRPr="00C376E2">
        <w:rPr>
          <w:rFonts w:ascii="Arial" w:eastAsia="Aptos" w:hAnsi="Arial" w:cs="Arial"/>
          <w:kern w:val="2"/>
          <w:lang w:val="en-IN"/>
        </w:rPr>
        <w:tab/>
        <w:t>Noble, T. J., Young, A. J., Douglas, C. A., Williams, B., &amp; Mundree, S. (2019). Diagnosis and management of halo blight in Australian mungbeans: A review. Crop &amp; Pasture Science, 70(3), 195-203.</w:t>
      </w:r>
    </w:p>
    <w:p w14:paraId="01C64F43" w14:textId="77777777"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[4]</w:t>
      </w:r>
      <w:r w:rsidRPr="00C376E2">
        <w:rPr>
          <w:rFonts w:ascii="Arial" w:eastAsia="Aptos" w:hAnsi="Arial" w:cs="Arial"/>
          <w:kern w:val="2"/>
          <w:lang w:val="en-IN"/>
        </w:rPr>
        <w:tab/>
        <w:t>Hou, D., Yousaf, L., Xue, Y., Hu, J., Wu, J., Hu, X., et al. (2019). Mung bean (</w:t>
      </w:r>
      <w:r w:rsidRPr="00C376E2">
        <w:rPr>
          <w:rFonts w:ascii="Arial" w:eastAsia="Aptos" w:hAnsi="Arial" w:cs="Arial"/>
          <w:i/>
          <w:iCs/>
          <w:kern w:val="2"/>
          <w:lang w:val="en-IN"/>
        </w:rPr>
        <w:t>Vigna radiata</w:t>
      </w:r>
      <w:r w:rsidRPr="00C376E2">
        <w:rPr>
          <w:rFonts w:ascii="Arial" w:eastAsia="Aptos" w:hAnsi="Arial" w:cs="Arial"/>
          <w:kern w:val="2"/>
          <w:lang w:val="en-IN"/>
        </w:rPr>
        <w:t xml:space="preserve"> L.): Bioactive polyphenols, polysaccharides, peptides, and health benefits. Nutrients,11(6),1238. </w:t>
      </w:r>
    </w:p>
    <w:p w14:paraId="2FDB6474" w14:textId="77777777"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[5]</w:t>
      </w:r>
      <w:r w:rsidRPr="00C376E2">
        <w:rPr>
          <w:rFonts w:ascii="Arial" w:eastAsia="Aptos" w:hAnsi="Arial" w:cs="Arial"/>
          <w:kern w:val="2"/>
          <w:lang w:val="en-IN"/>
        </w:rPr>
        <w:tab/>
        <w:t>Pratap, A., Douglas, C., Prajapati, U., Kumari, G., War, A. R., Tomar, R., et al. (2020). Breeding progress and future challenges: Biotic stresses. In: R. M. Nair, R. Schafleitner &amp; S. H. Lee (Eds.), The mungbean genome (pp. 55–80). Springer International Publishing, Cham.</w:t>
      </w:r>
    </w:p>
    <w:p w14:paraId="0EA988F1" w14:textId="77777777"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[6]</w:t>
      </w:r>
      <w:r w:rsidRPr="00C376E2">
        <w:rPr>
          <w:rFonts w:ascii="Arial" w:eastAsia="Aptos" w:hAnsi="Arial" w:cs="Arial"/>
          <w:kern w:val="2"/>
          <w:lang w:val="en-IN"/>
        </w:rPr>
        <w:tab/>
        <w:t xml:space="preserve">Nandeesha, C. V., Akbari, L. F., Jaiswal, A., Harsha, B. R., Patil, B., Bhaliya, C. M., et al. (2023). Control efficacy and yield response of different fungicides evaluated against anthracnose of green gram. Crop Protection, 174(2), 106432. </w:t>
      </w:r>
    </w:p>
    <w:p w14:paraId="18F74505" w14:textId="77777777"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[7]</w:t>
      </w:r>
      <w:r w:rsidRPr="00C376E2">
        <w:rPr>
          <w:rFonts w:ascii="Arial" w:eastAsia="Aptos" w:hAnsi="Arial" w:cs="Arial"/>
          <w:kern w:val="2"/>
          <w:lang w:val="en-IN"/>
        </w:rPr>
        <w:tab/>
        <w:t>Chaudhari, K. A., &amp; Gohel, N. M. Management of anthracnose disease of mungbean through new fungicidal formulations. (2016). Journal of Pure and Applied Microbiology, 10(1), 691-696.</w:t>
      </w:r>
    </w:p>
    <w:p w14:paraId="611F7E85" w14:textId="1E582C3C"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[8]</w:t>
      </w:r>
      <w:r w:rsidRPr="00C376E2">
        <w:rPr>
          <w:rFonts w:ascii="Arial" w:eastAsia="Aptos" w:hAnsi="Arial" w:cs="Arial"/>
          <w:kern w:val="2"/>
          <w:lang w:val="en-IN"/>
        </w:rPr>
        <w:tab/>
        <w:t>Dhingra, O. D., &amp; Sinclair, J, B. (2017). Basic plant pathology methods (2nd ed.). CRC Press, Boca Raton</w:t>
      </w:r>
      <w:r w:rsidR="00131498">
        <w:rPr>
          <w:rFonts w:ascii="Arial" w:eastAsia="Aptos" w:hAnsi="Arial" w:cs="Arial"/>
          <w:kern w:val="2"/>
          <w:lang w:val="en-IN"/>
        </w:rPr>
        <w:t>.</w:t>
      </w:r>
    </w:p>
    <w:p w14:paraId="1045ACE1" w14:textId="1AA8BC18"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 xml:space="preserve">[9]         Vincent, J. M. (1947).  Distortion of Fungal hyphæ in the presence of certain inhibitors, Nature, 159, 850–850. </w:t>
      </w:r>
    </w:p>
    <w:p w14:paraId="5C05F12E" w14:textId="4AB78010"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lastRenderedPageBreak/>
        <w:t>[10]</w:t>
      </w:r>
      <w:r w:rsidR="00131498">
        <w:rPr>
          <w:rFonts w:ascii="Arial" w:eastAsia="Aptos" w:hAnsi="Arial" w:cs="Arial"/>
          <w:kern w:val="2"/>
          <w:lang w:val="en-IN"/>
        </w:rPr>
        <w:t xml:space="preserve">      </w:t>
      </w:r>
      <w:r w:rsidRPr="00C376E2">
        <w:rPr>
          <w:rFonts w:ascii="Arial" w:eastAsia="Aptos" w:hAnsi="Arial" w:cs="Arial"/>
          <w:kern w:val="2"/>
          <w:lang w:val="en-IN"/>
        </w:rPr>
        <w:t xml:space="preserve">Duncan, D. B. (1955), Multiple range and multiple F tests. Biometrics, 11, 1. </w:t>
      </w:r>
    </w:p>
    <w:p w14:paraId="6B024973" w14:textId="0D0E186A"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[11]</w:t>
      </w:r>
      <w:r w:rsidR="00131498">
        <w:rPr>
          <w:rFonts w:ascii="Arial" w:eastAsia="Aptos" w:hAnsi="Arial" w:cs="Arial"/>
          <w:kern w:val="2"/>
          <w:lang w:val="en-IN"/>
        </w:rPr>
        <w:t xml:space="preserve">      </w:t>
      </w:r>
      <w:r w:rsidRPr="00C376E2">
        <w:rPr>
          <w:rFonts w:ascii="Arial" w:eastAsia="Aptos" w:hAnsi="Arial" w:cs="Arial"/>
          <w:kern w:val="2"/>
          <w:lang w:val="en-IN"/>
        </w:rPr>
        <w:t xml:space="preserve">Patel, K., Yadav, A. L., Kumhar, D. R., Kumar, A., Acharya, V. S., Jakhar, M., et al. (2024). Evaluation of fungicides against anthracnose disease in green gram under </w:t>
      </w:r>
      <w:r w:rsidRPr="00C376E2">
        <w:rPr>
          <w:rFonts w:ascii="Arial" w:eastAsia="Aptos" w:hAnsi="Arial" w:cs="Arial"/>
          <w:i/>
          <w:iCs/>
          <w:kern w:val="2"/>
          <w:lang w:val="en-IN"/>
        </w:rPr>
        <w:t xml:space="preserve">in vitro </w:t>
      </w:r>
      <w:r w:rsidRPr="00C376E2">
        <w:rPr>
          <w:rFonts w:ascii="Arial" w:eastAsia="Aptos" w:hAnsi="Arial" w:cs="Arial"/>
          <w:kern w:val="2"/>
          <w:lang w:val="en-IN"/>
        </w:rPr>
        <w:t>and pot conditions, Agricultural Science Digest. https://doi.org/10.18805/ag.D-6043.</w:t>
      </w:r>
    </w:p>
    <w:p w14:paraId="51C8B584" w14:textId="77777777"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[12]</w:t>
      </w:r>
      <w:r w:rsidRPr="00C376E2">
        <w:rPr>
          <w:rFonts w:ascii="Arial" w:eastAsia="Aptos" w:hAnsi="Arial" w:cs="Arial"/>
          <w:kern w:val="2"/>
          <w:lang w:val="en-IN"/>
        </w:rPr>
        <w:tab/>
        <w:t xml:space="preserve">Purushotham, P., Rakholiya, K. B., &amp; Vanani, K. D. (2023). Effectiveness of fungicides against </w:t>
      </w:r>
      <w:r w:rsidRPr="00C376E2">
        <w:rPr>
          <w:rFonts w:ascii="Arial" w:eastAsia="Aptos" w:hAnsi="Arial" w:cs="Arial"/>
          <w:i/>
          <w:iCs/>
          <w:kern w:val="2"/>
          <w:lang w:val="en-IN"/>
        </w:rPr>
        <w:t>Colletotrichum lindemuthianum</w:t>
      </w:r>
      <w:r w:rsidRPr="00C376E2">
        <w:rPr>
          <w:rFonts w:ascii="Arial" w:eastAsia="Aptos" w:hAnsi="Arial" w:cs="Arial"/>
          <w:kern w:val="2"/>
          <w:lang w:val="en-IN"/>
        </w:rPr>
        <w:t xml:space="preserve"> causing anthracnose of green gram [</w:t>
      </w:r>
      <w:r w:rsidRPr="00C376E2">
        <w:rPr>
          <w:rFonts w:ascii="Arial" w:eastAsia="Aptos" w:hAnsi="Arial" w:cs="Arial"/>
          <w:i/>
          <w:iCs/>
          <w:kern w:val="2"/>
          <w:lang w:val="en-IN"/>
        </w:rPr>
        <w:t>Vigna radiata</w:t>
      </w:r>
      <w:r w:rsidRPr="00C376E2">
        <w:rPr>
          <w:rFonts w:ascii="Arial" w:eastAsia="Aptos" w:hAnsi="Arial" w:cs="Arial"/>
          <w:kern w:val="2"/>
          <w:lang w:val="en-IN"/>
        </w:rPr>
        <w:t xml:space="preserve"> (L.) Wilczek], Legume Research, https://doi.org/10.18805/LR-5137.</w:t>
      </w:r>
    </w:p>
    <w:p w14:paraId="1BE862CB" w14:textId="77777777"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[13]</w:t>
      </w:r>
      <w:r w:rsidRPr="00C376E2">
        <w:rPr>
          <w:rFonts w:ascii="Arial" w:eastAsia="Aptos" w:hAnsi="Arial" w:cs="Arial"/>
          <w:kern w:val="2"/>
          <w:lang w:val="en-IN"/>
        </w:rPr>
        <w:tab/>
        <w:t>Pruthviraj, Ekabote, S. D., Patil, B., Ramesh, A. N., &amp; Onkarappa, S. (2024).</w:t>
      </w:r>
      <w:r w:rsidRPr="00C376E2">
        <w:rPr>
          <w:rFonts w:ascii="Arial" w:eastAsia="Aptos" w:hAnsi="Arial" w:cs="Arial"/>
          <w:i/>
          <w:iCs/>
          <w:kern w:val="2"/>
          <w:lang w:val="en-IN"/>
        </w:rPr>
        <w:t xml:space="preserve"> In vitro</w:t>
      </w:r>
      <w:r w:rsidRPr="00C376E2">
        <w:rPr>
          <w:rFonts w:ascii="Arial" w:eastAsia="Aptos" w:hAnsi="Arial" w:cs="Arial"/>
          <w:kern w:val="2"/>
          <w:lang w:val="en-IN"/>
        </w:rPr>
        <w:t xml:space="preserve"> and </w:t>
      </w:r>
      <w:r w:rsidRPr="00C376E2">
        <w:rPr>
          <w:rFonts w:ascii="Arial" w:eastAsia="Aptos" w:hAnsi="Arial" w:cs="Arial"/>
          <w:i/>
          <w:iCs/>
          <w:kern w:val="2"/>
          <w:lang w:val="en-IN"/>
        </w:rPr>
        <w:t>in vivo</w:t>
      </w:r>
      <w:r w:rsidRPr="00C376E2">
        <w:rPr>
          <w:rFonts w:ascii="Arial" w:eastAsia="Aptos" w:hAnsi="Arial" w:cs="Arial"/>
          <w:kern w:val="2"/>
          <w:lang w:val="en-IN"/>
        </w:rPr>
        <w:t xml:space="preserve"> evaluation of fungicides against anthracnose disease on pomegranate (</w:t>
      </w:r>
      <w:r w:rsidRPr="00C376E2">
        <w:rPr>
          <w:rFonts w:ascii="Arial" w:eastAsia="Aptos" w:hAnsi="Arial" w:cs="Arial"/>
          <w:i/>
          <w:iCs/>
          <w:kern w:val="2"/>
          <w:lang w:val="en-IN"/>
        </w:rPr>
        <w:t>Punica granatum</w:t>
      </w:r>
      <w:r w:rsidRPr="00C376E2">
        <w:rPr>
          <w:rFonts w:ascii="Arial" w:eastAsia="Aptos" w:hAnsi="Arial" w:cs="Arial"/>
          <w:kern w:val="2"/>
          <w:lang w:val="en-IN"/>
        </w:rPr>
        <w:t xml:space="preserve"> L.) caused by </w:t>
      </w:r>
      <w:r w:rsidRPr="00C376E2">
        <w:rPr>
          <w:rFonts w:ascii="Arial" w:eastAsia="Aptos" w:hAnsi="Arial" w:cs="Arial"/>
          <w:i/>
          <w:iCs/>
          <w:kern w:val="2"/>
          <w:lang w:val="en-IN"/>
        </w:rPr>
        <w:t>Colletotrichum gloeosporioides</w:t>
      </w:r>
      <w:r w:rsidRPr="00C376E2">
        <w:rPr>
          <w:rFonts w:ascii="Arial" w:eastAsia="Aptos" w:hAnsi="Arial" w:cs="Arial"/>
          <w:kern w:val="2"/>
          <w:lang w:val="en-IN"/>
        </w:rPr>
        <w:t xml:space="preserve">, Crop Protection, 178(2), 106598. </w:t>
      </w:r>
    </w:p>
    <w:p w14:paraId="3D22D76B" w14:textId="77777777"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[14]</w:t>
      </w:r>
      <w:r w:rsidRPr="00C376E2">
        <w:rPr>
          <w:rFonts w:ascii="Arial" w:eastAsia="Aptos" w:hAnsi="Arial" w:cs="Arial"/>
          <w:kern w:val="2"/>
          <w:lang w:val="en-IN"/>
        </w:rPr>
        <w:tab/>
        <w:t>Dev, D., &amp; Narendrappa, T. (2016).</w:t>
      </w:r>
      <w:r w:rsidRPr="00C376E2">
        <w:rPr>
          <w:rFonts w:ascii="Arial" w:eastAsia="Aptos" w:hAnsi="Arial" w:cs="Arial"/>
          <w:i/>
          <w:iCs/>
          <w:kern w:val="2"/>
          <w:lang w:val="en-IN"/>
        </w:rPr>
        <w:t xml:space="preserve"> In vitro</w:t>
      </w:r>
      <w:r w:rsidRPr="00C376E2">
        <w:rPr>
          <w:rFonts w:ascii="Arial" w:eastAsia="Aptos" w:hAnsi="Arial" w:cs="Arial"/>
          <w:kern w:val="2"/>
          <w:lang w:val="en-IN"/>
        </w:rPr>
        <w:t xml:space="preserve"> evaluation of fungicides against </w:t>
      </w:r>
      <w:r w:rsidRPr="00C376E2">
        <w:rPr>
          <w:rFonts w:ascii="Arial" w:eastAsia="Aptos" w:hAnsi="Arial" w:cs="Arial"/>
          <w:i/>
          <w:iCs/>
          <w:kern w:val="2"/>
          <w:lang w:val="en-IN"/>
        </w:rPr>
        <w:t>Colletotrichum gloeosporioides</w:t>
      </w:r>
      <w:r w:rsidRPr="00C376E2">
        <w:rPr>
          <w:rFonts w:ascii="Arial" w:eastAsia="Aptos" w:hAnsi="Arial" w:cs="Arial"/>
          <w:kern w:val="2"/>
          <w:lang w:val="en-IN"/>
        </w:rPr>
        <w:t xml:space="preserve"> (Penz.) Penz and Sacc. causing anthracnose of pomegranate (</w:t>
      </w:r>
      <w:r w:rsidRPr="00C376E2">
        <w:rPr>
          <w:rFonts w:ascii="Arial" w:eastAsia="Aptos" w:hAnsi="Arial" w:cs="Arial"/>
          <w:i/>
          <w:iCs/>
          <w:kern w:val="2"/>
          <w:lang w:val="en-IN"/>
        </w:rPr>
        <w:t>Punica granatum</w:t>
      </w:r>
      <w:r w:rsidRPr="00C376E2">
        <w:rPr>
          <w:rFonts w:ascii="Arial" w:eastAsia="Aptos" w:hAnsi="Arial" w:cs="Arial"/>
          <w:kern w:val="2"/>
          <w:lang w:val="en-IN"/>
        </w:rPr>
        <w:t xml:space="preserve"> L.), Journal of Applied and Natural Sciences, 8(4), 2268–2272. </w:t>
      </w:r>
    </w:p>
    <w:p w14:paraId="7CAEFD42" w14:textId="77777777"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[15]</w:t>
      </w:r>
      <w:r w:rsidRPr="00C376E2">
        <w:rPr>
          <w:rFonts w:ascii="Arial" w:eastAsia="Aptos" w:hAnsi="Arial" w:cs="Arial"/>
          <w:kern w:val="2"/>
          <w:lang w:val="en-IN"/>
        </w:rPr>
        <w:tab/>
        <w:t xml:space="preserve">Cao, X., Xu, X., Che, H., West, J, S., &amp; Luo, D. (2017). Distribution and fungicide sensitivity of </w:t>
      </w:r>
      <w:r w:rsidRPr="00C376E2">
        <w:rPr>
          <w:rFonts w:ascii="Arial" w:eastAsia="Aptos" w:hAnsi="Arial" w:cs="Arial"/>
          <w:i/>
          <w:iCs/>
          <w:kern w:val="2"/>
          <w:lang w:val="en-IN"/>
        </w:rPr>
        <w:t>Colletotrichum</w:t>
      </w:r>
      <w:r w:rsidRPr="00C376E2">
        <w:rPr>
          <w:rFonts w:ascii="Arial" w:eastAsia="Aptos" w:hAnsi="Arial" w:cs="Arial"/>
          <w:kern w:val="2"/>
          <w:lang w:val="en-IN"/>
        </w:rPr>
        <w:t xml:space="preserve"> species complexes from rubber tree in Hainan, China, Plant Disease, 101(10), 1774–1780. </w:t>
      </w:r>
    </w:p>
    <w:p w14:paraId="6036C190" w14:textId="77777777"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[16]</w:t>
      </w:r>
      <w:r w:rsidRPr="00C376E2">
        <w:rPr>
          <w:rFonts w:ascii="Arial" w:eastAsia="Aptos" w:hAnsi="Arial" w:cs="Arial"/>
          <w:kern w:val="2"/>
          <w:lang w:val="en-IN"/>
        </w:rPr>
        <w:tab/>
        <w:t xml:space="preserve">Chen, S. N., Luo, C. X., Hu, M. J., &amp; Schnabel, G. (2016). Sensitivity of </w:t>
      </w:r>
      <w:r w:rsidRPr="00C376E2">
        <w:rPr>
          <w:rFonts w:ascii="Arial" w:eastAsia="Aptos" w:hAnsi="Arial" w:cs="Arial"/>
          <w:i/>
          <w:iCs/>
          <w:kern w:val="2"/>
          <w:lang w:val="en-IN"/>
        </w:rPr>
        <w:t>Colletotrichum</w:t>
      </w:r>
      <w:r w:rsidRPr="00C376E2">
        <w:rPr>
          <w:rFonts w:ascii="Arial" w:eastAsia="Aptos" w:hAnsi="Arial" w:cs="Arial"/>
          <w:kern w:val="2"/>
          <w:lang w:val="en-IN"/>
        </w:rPr>
        <w:t xml:space="preserve"> species, Including </w:t>
      </w:r>
      <w:r w:rsidRPr="00C376E2">
        <w:rPr>
          <w:rFonts w:ascii="Arial" w:eastAsia="Aptos" w:hAnsi="Arial" w:cs="Arial"/>
          <w:i/>
          <w:iCs/>
          <w:kern w:val="2"/>
          <w:lang w:val="en-IN"/>
        </w:rPr>
        <w:t>C. fioriniae</w:t>
      </w:r>
      <w:r w:rsidRPr="00C376E2">
        <w:rPr>
          <w:rFonts w:ascii="Arial" w:eastAsia="Aptos" w:hAnsi="Arial" w:cs="Arial"/>
          <w:kern w:val="2"/>
          <w:lang w:val="en-IN"/>
        </w:rPr>
        <w:t xml:space="preserve"> and </w:t>
      </w:r>
      <w:r w:rsidRPr="00C376E2">
        <w:rPr>
          <w:rFonts w:ascii="Arial" w:eastAsia="Aptos" w:hAnsi="Arial" w:cs="Arial"/>
          <w:i/>
          <w:iCs/>
          <w:kern w:val="2"/>
          <w:lang w:val="en-IN"/>
        </w:rPr>
        <w:t>C. nymphaeae</w:t>
      </w:r>
      <w:r w:rsidRPr="00C376E2">
        <w:rPr>
          <w:rFonts w:ascii="Arial" w:eastAsia="Aptos" w:hAnsi="Arial" w:cs="Arial"/>
          <w:kern w:val="2"/>
          <w:lang w:val="en-IN"/>
        </w:rPr>
        <w:t xml:space="preserve">, from peach to Demethylation Inhibitor Fungicides, Plant Disease, 100(12), 2434–2441. </w:t>
      </w:r>
    </w:p>
    <w:p w14:paraId="2FACA36E" w14:textId="77777777"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[17]</w:t>
      </w:r>
      <w:r w:rsidRPr="00C376E2">
        <w:rPr>
          <w:rFonts w:ascii="Arial" w:eastAsia="Aptos" w:hAnsi="Arial" w:cs="Arial"/>
          <w:kern w:val="2"/>
          <w:lang w:val="en-IN"/>
        </w:rPr>
        <w:tab/>
        <w:t xml:space="preserve">Wong, F. P., &amp; Midland, S. L., Sensitivity distributions of california populations of </w:t>
      </w:r>
      <w:r w:rsidRPr="00C376E2">
        <w:rPr>
          <w:rFonts w:ascii="Arial" w:eastAsia="Aptos" w:hAnsi="Arial" w:cs="Arial"/>
          <w:i/>
          <w:iCs/>
          <w:kern w:val="2"/>
          <w:lang w:val="en-IN"/>
        </w:rPr>
        <w:t>Colletotrichum cereale</w:t>
      </w:r>
      <w:r w:rsidRPr="00C376E2">
        <w:rPr>
          <w:rFonts w:ascii="Arial" w:eastAsia="Aptos" w:hAnsi="Arial" w:cs="Arial"/>
          <w:kern w:val="2"/>
          <w:lang w:val="en-IN"/>
        </w:rPr>
        <w:t xml:space="preserve"> to the DMI fungicides propiconazole, myclobutanil, tebuconazole, and triadimefon, Plant Disease, 91(12), 1547–1555.</w:t>
      </w:r>
    </w:p>
    <w:p w14:paraId="0D067EF1" w14:textId="77777777"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[18]</w:t>
      </w:r>
      <w:r w:rsidRPr="00C376E2">
        <w:rPr>
          <w:rFonts w:ascii="Arial" w:eastAsia="Aptos" w:hAnsi="Arial" w:cs="Arial"/>
          <w:kern w:val="2"/>
          <w:lang w:val="en-IN"/>
        </w:rPr>
        <w:tab/>
        <w:t xml:space="preserve">Hollomon, D. W. (2015). Fungicide resistance: facing the challenge - A review, Plant Protection Science, 51(4),170–176. </w:t>
      </w:r>
    </w:p>
    <w:p w14:paraId="2F99760C" w14:textId="0C0F6D0F" w:rsidR="005F62B1" w:rsidRPr="00C376E2" w:rsidRDefault="00C376E2" w:rsidP="00C376E2">
      <w:pPr>
        <w:pStyle w:val="Body"/>
        <w:spacing w:after="0"/>
        <w:rPr>
          <w:rFonts w:ascii="Arial" w:hAnsi="Arial" w:cs="Arial"/>
        </w:rPr>
        <w:sectPr w:rsidR="005F62B1" w:rsidRPr="00C376E2" w:rsidSect="00F40656">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r w:rsidRPr="00C376E2">
        <w:rPr>
          <w:rFonts w:ascii="Arial" w:eastAsia="Aptos" w:hAnsi="Arial" w:cs="Arial"/>
          <w:kern w:val="2"/>
          <w:lang w:val="en-IN"/>
        </w:rPr>
        <w:fldChar w:fldCharType="end"/>
      </w:r>
    </w:p>
    <w:p w14:paraId="2D527E51" w14:textId="77777777" w:rsidR="00B01FCD" w:rsidRPr="00FB3A86" w:rsidRDefault="00B01FCD" w:rsidP="00441B6F">
      <w:pPr>
        <w:pStyle w:val="Appendix"/>
        <w:spacing w:after="0"/>
        <w:jc w:val="both"/>
        <w:rPr>
          <w:rFonts w:ascii="Arial" w:hAnsi="Arial" w:cs="Arial"/>
          <w:b w:val="0"/>
        </w:rPr>
      </w:pPr>
    </w:p>
    <w:sectPr w:rsidR="00B01FCD" w:rsidRPr="00FB3A86" w:rsidSect="00F4065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23A9C" w14:textId="77777777" w:rsidR="00913EC2" w:rsidRDefault="00913EC2" w:rsidP="00C37E61">
      <w:r>
        <w:separator/>
      </w:r>
    </w:p>
  </w:endnote>
  <w:endnote w:type="continuationSeparator" w:id="0">
    <w:p w14:paraId="36A41ED7" w14:textId="77777777" w:rsidR="00913EC2" w:rsidRDefault="00913EC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F4391" w14:textId="77777777" w:rsidR="00F40656" w:rsidRDefault="00F406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B453F" w14:textId="77777777" w:rsidR="00F40656" w:rsidRDefault="00F406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388BD" w14:textId="5AF2C9FD" w:rsidR="00754C9A" w:rsidRPr="00F40656" w:rsidRDefault="00754C9A" w:rsidP="00F406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57C8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07E612" w14:textId="77777777" w:rsidR="00913EC2" w:rsidRDefault="00913EC2" w:rsidP="00C37E61">
      <w:r>
        <w:separator/>
      </w:r>
    </w:p>
  </w:footnote>
  <w:footnote w:type="continuationSeparator" w:id="0">
    <w:p w14:paraId="0742421B" w14:textId="77777777" w:rsidR="00913EC2" w:rsidRDefault="00913EC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C131E" w14:textId="7C87B849" w:rsidR="00F40656" w:rsidRDefault="00CD6B41">
    <w:pPr>
      <w:pStyle w:val="Header"/>
    </w:pPr>
    <w:r>
      <w:rPr>
        <w:noProof/>
      </w:rPr>
      <w:pict w14:anchorId="462B0C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97461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287E7" w14:textId="56452703" w:rsidR="00F40656" w:rsidRDefault="00CD6B41">
    <w:pPr>
      <w:pStyle w:val="Header"/>
    </w:pPr>
    <w:r>
      <w:rPr>
        <w:noProof/>
      </w:rPr>
      <w:pict w14:anchorId="079410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97461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FBE04" w14:textId="3B8CA6C0" w:rsidR="00296529" w:rsidRPr="00296529" w:rsidRDefault="00CD6B41" w:rsidP="00296529">
    <w:pPr>
      <w:ind w:left="2160"/>
      <w:jc w:val="center"/>
      <w:rPr>
        <w:rFonts w:ascii="Times New Roman" w:eastAsia="Calibri" w:hAnsi="Times New Roman"/>
        <w:i/>
        <w:sz w:val="18"/>
        <w:szCs w:val="22"/>
      </w:rPr>
    </w:pPr>
    <w:r>
      <w:rPr>
        <w:noProof/>
      </w:rPr>
      <w:pict w14:anchorId="731303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97460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78982A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16653C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DA7DC1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BB35B6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AC6AB0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29CFEB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85945" w14:textId="4D72B798" w:rsidR="00F40656" w:rsidRDefault="00CD6B41">
    <w:pPr>
      <w:pStyle w:val="Header"/>
    </w:pPr>
    <w:r>
      <w:rPr>
        <w:noProof/>
      </w:rPr>
      <w:pict w14:anchorId="26D17B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97461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218DA" w14:textId="7F618330" w:rsidR="00F40656" w:rsidRDefault="00CD6B41">
    <w:pPr>
      <w:pStyle w:val="Header"/>
    </w:pPr>
    <w:r>
      <w:rPr>
        <w:noProof/>
      </w:rPr>
      <w:pict w14:anchorId="13214B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97461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2D32E" w14:textId="5BA6ED08" w:rsidR="00F40656" w:rsidRDefault="00CD6B41">
    <w:pPr>
      <w:pStyle w:val="Header"/>
    </w:pPr>
    <w:r>
      <w:rPr>
        <w:noProof/>
      </w:rPr>
      <w:pict w14:anchorId="671640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97461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U0NTC0NDa2MLa0NDNW0lEKTi0uzszPAykwrAUAGCvlEywAAAA="/>
  </w:docVars>
  <w:rsids>
    <w:rsidRoot w:val="00AA6219"/>
    <w:rsid w:val="00000F8F"/>
    <w:rsid w:val="00005565"/>
    <w:rsid w:val="00020B0F"/>
    <w:rsid w:val="00030174"/>
    <w:rsid w:val="00037BDF"/>
    <w:rsid w:val="0004579C"/>
    <w:rsid w:val="000552B0"/>
    <w:rsid w:val="00062194"/>
    <w:rsid w:val="00063322"/>
    <w:rsid w:val="00085991"/>
    <w:rsid w:val="000A47FA"/>
    <w:rsid w:val="000A490A"/>
    <w:rsid w:val="000A65D3"/>
    <w:rsid w:val="000B1E33"/>
    <w:rsid w:val="000B77BB"/>
    <w:rsid w:val="000C641B"/>
    <w:rsid w:val="000D689F"/>
    <w:rsid w:val="000E7B7B"/>
    <w:rsid w:val="000E7D62"/>
    <w:rsid w:val="00103357"/>
    <w:rsid w:val="00123C9F"/>
    <w:rsid w:val="00126190"/>
    <w:rsid w:val="00130F17"/>
    <w:rsid w:val="00131498"/>
    <w:rsid w:val="001320BF"/>
    <w:rsid w:val="00141F5E"/>
    <w:rsid w:val="00163BC4"/>
    <w:rsid w:val="001727F0"/>
    <w:rsid w:val="00191062"/>
    <w:rsid w:val="00192B72"/>
    <w:rsid w:val="001A29D8"/>
    <w:rsid w:val="001A5CAA"/>
    <w:rsid w:val="001B0427"/>
    <w:rsid w:val="001D3A51"/>
    <w:rsid w:val="001E10D2"/>
    <w:rsid w:val="001E25B4"/>
    <w:rsid w:val="001E2AA5"/>
    <w:rsid w:val="001E44FE"/>
    <w:rsid w:val="00200595"/>
    <w:rsid w:val="00204835"/>
    <w:rsid w:val="00231920"/>
    <w:rsid w:val="0023195C"/>
    <w:rsid w:val="0024282C"/>
    <w:rsid w:val="002460DC"/>
    <w:rsid w:val="00250985"/>
    <w:rsid w:val="00255135"/>
    <w:rsid w:val="002556F6"/>
    <w:rsid w:val="00283105"/>
    <w:rsid w:val="00284C4C"/>
    <w:rsid w:val="00287E68"/>
    <w:rsid w:val="00296529"/>
    <w:rsid w:val="002A6EF2"/>
    <w:rsid w:val="002B27FB"/>
    <w:rsid w:val="002B3FDB"/>
    <w:rsid w:val="002B685A"/>
    <w:rsid w:val="002C57D2"/>
    <w:rsid w:val="002E0D56"/>
    <w:rsid w:val="00315186"/>
    <w:rsid w:val="0033343E"/>
    <w:rsid w:val="00345D05"/>
    <w:rsid w:val="003512C2"/>
    <w:rsid w:val="00371FB6"/>
    <w:rsid w:val="003763C1"/>
    <w:rsid w:val="00376BBE"/>
    <w:rsid w:val="0039224F"/>
    <w:rsid w:val="003A43A4"/>
    <w:rsid w:val="003A7E18"/>
    <w:rsid w:val="003B43FB"/>
    <w:rsid w:val="003C19D7"/>
    <w:rsid w:val="003C4C86"/>
    <w:rsid w:val="003C6258"/>
    <w:rsid w:val="003E2904"/>
    <w:rsid w:val="00401927"/>
    <w:rsid w:val="0041027F"/>
    <w:rsid w:val="00412475"/>
    <w:rsid w:val="00423789"/>
    <w:rsid w:val="00440F43"/>
    <w:rsid w:val="00441B6F"/>
    <w:rsid w:val="00446221"/>
    <w:rsid w:val="00450E62"/>
    <w:rsid w:val="004539DB"/>
    <w:rsid w:val="00471A80"/>
    <w:rsid w:val="004C60F5"/>
    <w:rsid w:val="004D305E"/>
    <w:rsid w:val="004D4277"/>
    <w:rsid w:val="004D55F6"/>
    <w:rsid w:val="00502516"/>
    <w:rsid w:val="00503951"/>
    <w:rsid w:val="00505F06"/>
    <w:rsid w:val="00506828"/>
    <w:rsid w:val="0053056E"/>
    <w:rsid w:val="00536706"/>
    <w:rsid w:val="00553013"/>
    <w:rsid w:val="00554FDA"/>
    <w:rsid w:val="005C784C"/>
    <w:rsid w:val="005D17F6"/>
    <w:rsid w:val="005E5539"/>
    <w:rsid w:val="005F62B1"/>
    <w:rsid w:val="00602BF5"/>
    <w:rsid w:val="00603E1A"/>
    <w:rsid w:val="00617FDD"/>
    <w:rsid w:val="00627ECD"/>
    <w:rsid w:val="006320BC"/>
    <w:rsid w:val="00633614"/>
    <w:rsid w:val="00633F68"/>
    <w:rsid w:val="00636EB2"/>
    <w:rsid w:val="006375B8"/>
    <w:rsid w:val="00662506"/>
    <w:rsid w:val="0066510A"/>
    <w:rsid w:val="00673F9F"/>
    <w:rsid w:val="00686953"/>
    <w:rsid w:val="00687DEA"/>
    <w:rsid w:val="00687E67"/>
    <w:rsid w:val="006967F7"/>
    <w:rsid w:val="006A250C"/>
    <w:rsid w:val="006B21D3"/>
    <w:rsid w:val="006B57D0"/>
    <w:rsid w:val="006D30FF"/>
    <w:rsid w:val="006D6940"/>
    <w:rsid w:val="006F11EC"/>
    <w:rsid w:val="0070082C"/>
    <w:rsid w:val="00735EA0"/>
    <w:rsid w:val="00736431"/>
    <w:rsid w:val="007369E6"/>
    <w:rsid w:val="00746E59"/>
    <w:rsid w:val="00754C9A"/>
    <w:rsid w:val="0075599A"/>
    <w:rsid w:val="00756023"/>
    <w:rsid w:val="00757B79"/>
    <w:rsid w:val="00761D52"/>
    <w:rsid w:val="0077749E"/>
    <w:rsid w:val="00790ADA"/>
    <w:rsid w:val="00796BB1"/>
    <w:rsid w:val="007D2288"/>
    <w:rsid w:val="007E088F"/>
    <w:rsid w:val="007E103B"/>
    <w:rsid w:val="007F367C"/>
    <w:rsid w:val="007F7B32"/>
    <w:rsid w:val="00804BC2"/>
    <w:rsid w:val="008135E5"/>
    <w:rsid w:val="0081431A"/>
    <w:rsid w:val="0083216F"/>
    <w:rsid w:val="00860000"/>
    <w:rsid w:val="00863BD3"/>
    <w:rsid w:val="008641ED"/>
    <w:rsid w:val="00866D66"/>
    <w:rsid w:val="008671C6"/>
    <w:rsid w:val="00875803"/>
    <w:rsid w:val="008B459E"/>
    <w:rsid w:val="008D3B5C"/>
    <w:rsid w:val="008E13AE"/>
    <w:rsid w:val="008E1506"/>
    <w:rsid w:val="008E710C"/>
    <w:rsid w:val="008F69D6"/>
    <w:rsid w:val="00902823"/>
    <w:rsid w:val="00913EC2"/>
    <w:rsid w:val="00915CA6"/>
    <w:rsid w:val="00927834"/>
    <w:rsid w:val="00931AE7"/>
    <w:rsid w:val="00932E22"/>
    <w:rsid w:val="0093500D"/>
    <w:rsid w:val="009500A6"/>
    <w:rsid w:val="00957C18"/>
    <w:rsid w:val="009659BA"/>
    <w:rsid w:val="00983040"/>
    <w:rsid w:val="009B3FB9"/>
    <w:rsid w:val="009C2465"/>
    <w:rsid w:val="009D35A0"/>
    <w:rsid w:val="009D7EB7"/>
    <w:rsid w:val="009E048A"/>
    <w:rsid w:val="009E08E9"/>
    <w:rsid w:val="009E3DB9"/>
    <w:rsid w:val="009E6E35"/>
    <w:rsid w:val="009F0EDA"/>
    <w:rsid w:val="009F4598"/>
    <w:rsid w:val="00A03B96"/>
    <w:rsid w:val="00A05B19"/>
    <w:rsid w:val="00A1134E"/>
    <w:rsid w:val="00A14F6E"/>
    <w:rsid w:val="00A248FE"/>
    <w:rsid w:val="00A24E7E"/>
    <w:rsid w:val="00A258C3"/>
    <w:rsid w:val="00A25F26"/>
    <w:rsid w:val="00A3012C"/>
    <w:rsid w:val="00A347C0"/>
    <w:rsid w:val="00A51431"/>
    <w:rsid w:val="00A539AD"/>
    <w:rsid w:val="00A94063"/>
    <w:rsid w:val="00AA6219"/>
    <w:rsid w:val="00AA74E0"/>
    <w:rsid w:val="00AB703F"/>
    <w:rsid w:val="00AC6BB8"/>
    <w:rsid w:val="00AE008F"/>
    <w:rsid w:val="00AF15F3"/>
    <w:rsid w:val="00B01FCD"/>
    <w:rsid w:val="00B13D4A"/>
    <w:rsid w:val="00B1776C"/>
    <w:rsid w:val="00B46FE7"/>
    <w:rsid w:val="00B52583"/>
    <w:rsid w:val="00B52896"/>
    <w:rsid w:val="00B72E6E"/>
    <w:rsid w:val="00B95236"/>
    <w:rsid w:val="00B96BD9"/>
    <w:rsid w:val="00BA1B01"/>
    <w:rsid w:val="00BA2641"/>
    <w:rsid w:val="00BA303E"/>
    <w:rsid w:val="00BB37AA"/>
    <w:rsid w:val="00BC53A0"/>
    <w:rsid w:val="00BE62AD"/>
    <w:rsid w:val="00BF121F"/>
    <w:rsid w:val="00BF1F80"/>
    <w:rsid w:val="00C04F39"/>
    <w:rsid w:val="00C166EF"/>
    <w:rsid w:val="00C17EB0"/>
    <w:rsid w:val="00C2036A"/>
    <w:rsid w:val="00C27F5F"/>
    <w:rsid w:val="00C30A0F"/>
    <w:rsid w:val="00C376E2"/>
    <w:rsid w:val="00C37E61"/>
    <w:rsid w:val="00C453D2"/>
    <w:rsid w:val="00C70F1B"/>
    <w:rsid w:val="00C71A47"/>
    <w:rsid w:val="00C7464C"/>
    <w:rsid w:val="00C85588"/>
    <w:rsid w:val="00C86774"/>
    <w:rsid w:val="00CD6755"/>
    <w:rsid w:val="00CD6856"/>
    <w:rsid w:val="00CD6B41"/>
    <w:rsid w:val="00CE0089"/>
    <w:rsid w:val="00CE793C"/>
    <w:rsid w:val="00CF193C"/>
    <w:rsid w:val="00D173F1"/>
    <w:rsid w:val="00D46D34"/>
    <w:rsid w:val="00D74CB0"/>
    <w:rsid w:val="00D8295D"/>
    <w:rsid w:val="00DB0C1C"/>
    <w:rsid w:val="00DC2A65"/>
    <w:rsid w:val="00DE15F0"/>
    <w:rsid w:val="00DE5663"/>
    <w:rsid w:val="00DE78AA"/>
    <w:rsid w:val="00DF51A3"/>
    <w:rsid w:val="00E0205C"/>
    <w:rsid w:val="00E053D0"/>
    <w:rsid w:val="00E15994"/>
    <w:rsid w:val="00E3114E"/>
    <w:rsid w:val="00E31A70"/>
    <w:rsid w:val="00E35B02"/>
    <w:rsid w:val="00E52AC7"/>
    <w:rsid w:val="00E66496"/>
    <w:rsid w:val="00E66B35"/>
    <w:rsid w:val="00E66E10"/>
    <w:rsid w:val="00E70278"/>
    <w:rsid w:val="00E769F6"/>
    <w:rsid w:val="00E8407C"/>
    <w:rsid w:val="00E84F3C"/>
    <w:rsid w:val="00EA012C"/>
    <w:rsid w:val="00EB2A85"/>
    <w:rsid w:val="00EC6A55"/>
    <w:rsid w:val="00ED0288"/>
    <w:rsid w:val="00EE52CB"/>
    <w:rsid w:val="00EF581D"/>
    <w:rsid w:val="00EF79C9"/>
    <w:rsid w:val="00EF7FD8"/>
    <w:rsid w:val="00F06F59"/>
    <w:rsid w:val="00F145CA"/>
    <w:rsid w:val="00F17836"/>
    <w:rsid w:val="00F17988"/>
    <w:rsid w:val="00F40656"/>
    <w:rsid w:val="00F4328A"/>
    <w:rsid w:val="00F469F0"/>
    <w:rsid w:val="00F53273"/>
    <w:rsid w:val="00F755E4"/>
    <w:rsid w:val="00F77D02"/>
    <w:rsid w:val="00F87657"/>
    <w:rsid w:val="00FB3A86"/>
    <w:rsid w:val="00FC4838"/>
    <w:rsid w:val="00FD36C8"/>
    <w:rsid w:val="00FE3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E367C4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A490A"/>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39"/>
    <w:rsid w:val="002B3FDB"/>
    <w:rPr>
      <w:rFonts w:ascii="Aptos" w:eastAsia="Aptos" w:hAnsi="Aptos"/>
      <w:kern w:val="2"/>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1">
    <w:name w:val="Bibliography1"/>
    <w:basedOn w:val="Normal"/>
    <w:next w:val="Normal"/>
    <w:uiPriority w:val="37"/>
    <w:unhideWhenUsed/>
    <w:rsid w:val="00C376E2"/>
    <w:pPr>
      <w:spacing w:after="160" w:line="259" w:lineRule="auto"/>
    </w:pPr>
    <w:rPr>
      <w:rFonts w:ascii="Aptos" w:eastAsia="Aptos" w:hAnsi="Aptos"/>
      <w:kern w:val="2"/>
      <w:sz w:val="22"/>
      <w:szCs w:val="2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55932338">
      <w:bodyDiv w:val="1"/>
      <w:marLeft w:val="0"/>
      <w:marRight w:val="0"/>
      <w:marTop w:val="0"/>
      <w:marBottom w:val="0"/>
      <w:divBdr>
        <w:top w:val="none" w:sz="0" w:space="0" w:color="auto"/>
        <w:left w:val="none" w:sz="0" w:space="0" w:color="auto"/>
        <w:bottom w:val="none" w:sz="0" w:space="0" w:color="auto"/>
        <w:right w:val="none" w:sz="0" w:space="0" w:color="auto"/>
      </w:divBdr>
    </w:div>
    <w:div w:id="12820565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20756614">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8452398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4209897">
      <w:bodyDiv w:val="1"/>
      <w:marLeft w:val="0"/>
      <w:marRight w:val="0"/>
      <w:marTop w:val="0"/>
      <w:marBottom w:val="0"/>
      <w:divBdr>
        <w:top w:val="none" w:sz="0" w:space="0" w:color="auto"/>
        <w:left w:val="none" w:sz="0" w:space="0" w:color="auto"/>
        <w:bottom w:val="none" w:sz="0" w:space="0" w:color="auto"/>
        <w:right w:val="none" w:sz="0" w:space="0" w:color="auto"/>
      </w:divBdr>
    </w:div>
    <w:div w:id="717245346">
      <w:bodyDiv w:val="1"/>
      <w:marLeft w:val="0"/>
      <w:marRight w:val="0"/>
      <w:marTop w:val="0"/>
      <w:marBottom w:val="0"/>
      <w:divBdr>
        <w:top w:val="none" w:sz="0" w:space="0" w:color="auto"/>
        <w:left w:val="none" w:sz="0" w:space="0" w:color="auto"/>
        <w:bottom w:val="none" w:sz="0" w:space="0" w:color="auto"/>
        <w:right w:val="none" w:sz="0" w:space="0" w:color="auto"/>
      </w:divBdr>
    </w:div>
    <w:div w:id="95964751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6213135">
      <w:bodyDiv w:val="1"/>
      <w:marLeft w:val="0"/>
      <w:marRight w:val="0"/>
      <w:marTop w:val="0"/>
      <w:marBottom w:val="0"/>
      <w:divBdr>
        <w:top w:val="none" w:sz="0" w:space="0" w:color="auto"/>
        <w:left w:val="none" w:sz="0" w:space="0" w:color="auto"/>
        <w:bottom w:val="none" w:sz="0" w:space="0" w:color="auto"/>
        <w:right w:val="none" w:sz="0" w:space="0" w:color="auto"/>
      </w:divBdr>
    </w:div>
    <w:div w:id="1349866065">
      <w:bodyDiv w:val="1"/>
      <w:marLeft w:val="0"/>
      <w:marRight w:val="0"/>
      <w:marTop w:val="0"/>
      <w:marBottom w:val="0"/>
      <w:divBdr>
        <w:top w:val="none" w:sz="0" w:space="0" w:color="auto"/>
        <w:left w:val="none" w:sz="0" w:space="0" w:color="auto"/>
        <w:bottom w:val="none" w:sz="0" w:space="0" w:color="auto"/>
        <w:right w:val="none" w:sz="0" w:space="0" w:color="auto"/>
      </w:divBdr>
    </w:div>
    <w:div w:id="137889362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1275593">
      <w:bodyDiv w:val="1"/>
      <w:marLeft w:val="0"/>
      <w:marRight w:val="0"/>
      <w:marTop w:val="0"/>
      <w:marBottom w:val="0"/>
      <w:divBdr>
        <w:top w:val="none" w:sz="0" w:space="0" w:color="auto"/>
        <w:left w:val="none" w:sz="0" w:space="0" w:color="auto"/>
        <w:bottom w:val="none" w:sz="0" w:space="0" w:color="auto"/>
        <w:right w:val="none" w:sz="0" w:space="0" w:color="auto"/>
      </w:divBdr>
    </w:div>
    <w:div w:id="1849631817">
      <w:bodyDiv w:val="1"/>
      <w:marLeft w:val="0"/>
      <w:marRight w:val="0"/>
      <w:marTop w:val="0"/>
      <w:marBottom w:val="0"/>
      <w:divBdr>
        <w:top w:val="none" w:sz="0" w:space="0" w:color="auto"/>
        <w:left w:val="none" w:sz="0" w:space="0" w:color="auto"/>
        <w:bottom w:val="none" w:sz="0" w:space="0" w:color="auto"/>
        <w:right w:val="none" w:sz="0" w:space="0" w:color="auto"/>
      </w:divBdr>
    </w:div>
    <w:div w:id="192560756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15905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0"/>
          <a:lstStyle/>
          <a:p>
            <a:pPr>
              <a:defRPr sz="800" b="1" i="0" u="none" strike="noStrike" kern="1200" baseline="0">
                <a:ln>
                  <a:noFill/>
                </a:ln>
                <a:solidFill>
                  <a:schemeClr val="tx1"/>
                </a:solidFill>
                <a:latin typeface="+mn-lt"/>
                <a:ea typeface="+mn-ea"/>
                <a:cs typeface="+mn-cs"/>
              </a:defRPr>
            </a:pPr>
            <a:r>
              <a:rPr lang="en-IN" sz="800">
                <a:ln>
                  <a:noFill/>
                </a:ln>
                <a:latin typeface="Arial" panose="020B0604020202020204" pitchFamily="34" charset="0"/>
                <a:cs typeface="Arial" panose="020B0604020202020204" pitchFamily="34" charset="0"/>
              </a:rPr>
              <a:t>Fungicides </a:t>
            </a:r>
          </a:p>
        </c:rich>
      </c:tx>
      <c:layout>
        <c:manualLayout>
          <c:xMode val="edge"/>
          <c:yMode val="edge"/>
          <c:x val="0.42981573575232923"/>
          <c:y val="0.9508812559420784"/>
        </c:manualLayout>
      </c:layout>
      <c:overlay val="0"/>
      <c:spPr>
        <a:noFill/>
        <a:ln>
          <a:solidFill>
            <a:schemeClr val="bg1">
              <a:alpha val="87000"/>
            </a:schemeClr>
          </a:solidFill>
        </a:ln>
        <a:effectLst/>
      </c:spPr>
      <c:txPr>
        <a:bodyPr rot="0" spcFirstLastPara="1" vertOverflow="ellipsis" vert="horz" wrap="square" anchor="ctr" anchorCtr="0"/>
        <a:lstStyle/>
        <a:p>
          <a:pPr>
            <a:defRPr sz="800" b="1" i="0" u="none" strike="noStrike" kern="1200" baseline="0">
              <a:ln>
                <a:noFill/>
              </a:ln>
              <a:solidFill>
                <a:schemeClr val="tx1"/>
              </a:solidFill>
              <a:latin typeface="+mn-lt"/>
              <a:ea typeface="+mn-ea"/>
              <a:cs typeface="+mn-cs"/>
            </a:defRPr>
          </a:pPr>
          <a:endParaRPr lang="en-US"/>
        </a:p>
      </c:txPr>
    </c:title>
    <c:autoTitleDeleted val="0"/>
    <c:plotArea>
      <c:layout>
        <c:manualLayout>
          <c:layoutTarget val="inner"/>
          <c:xMode val="edge"/>
          <c:yMode val="edge"/>
          <c:x val="0.10229294254884806"/>
          <c:y val="0.16795029527559055"/>
          <c:w val="0.8757772328897484"/>
          <c:h val="0.44355074899174191"/>
        </c:manualLayout>
      </c:layout>
      <c:barChart>
        <c:barDir val="col"/>
        <c:grouping val="clustered"/>
        <c:varyColors val="0"/>
        <c:ser>
          <c:idx val="0"/>
          <c:order val="0"/>
          <c:tx>
            <c:strRef>
              <c:f>Sheet1!$B$1</c:f>
              <c:strCache>
                <c:ptCount val="1"/>
                <c:pt idx="0">
                  <c:v>0.10%</c:v>
                </c:pt>
              </c:strCache>
            </c:strRef>
          </c:tx>
          <c:spPr>
            <a:solidFill>
              <a:srgbClr val="7030A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Sheet1!$A$2:$A$9</c:f>
              <c:strCache>
                <c:ptCount val="8"/>
                <c:pt idx="0">
                  <c:v>Azoxystrobin 23% SC</c:v>
                </c:pt>
                <c:pt idx="1">
                  <c:v>Hexaconazole 5% EC</c:v>
                </c:pt>
                <c:pt idx="2">
                  <c:v>Propiconazole 25% EC</c:v>
                </c:pt>
                <c:pt idx="3">
                  <c:v>Difenoconazole 25% EC</c:v>
                </c:pt>
                <c:pt idx="4">
                  <c:v>Carbendazim 12% + Mancozeb 63% WP</c:v>
                </c:pt>
                <c:pt idx="5">
                  <c:v>Tebuconazole 50% + Trifloxystrobin 25% WG</c:v>
                </c:pt>
                <c:pt idx="6">
                  <c:v>Fluxapyroxad 21.26 % + Pyraclostrobin 21.26 % SC</c:v>
                </c:pt>
                <c:pt idx="7">
                  <c:v>Tricyclazole 18 % + Mancozeb 62 % WP</c:v>
                </c:pt>
              </c:strCache>
            </c:strRef>
          </c:cat>
          <c:val>
            <c:numRef>
              <c:f>Sheet1!$B$2:$B$9</c:f>
              <c:numCache>
                <c:formatCode>General</c:formatCode>
                <c:ptCount val="8"/>
                <c:pt idx="0">
                  <c:v>43.33</c:v>
                </c:pt>
                <c:pt idx="1">
                  <c:v>80.37</c:v>
                </c:pt>
                <c:pt idx="2">
                  <c:v>100</c:v>
                </c:pt>
                <c:pt idx="3">
                  <c:v>84.44</c:v>
                </c:pt>
                <c:pt idx="4">
                  <c:v>100</c:v>
                </c:pt>
                <c:pt idx="5">
                  <c:v>100</c:v>
                </c:pt>
                <c:pt idx="6">
                  <c:v>93.33</c:v>
                </c:pt>
                <c:pt idx="7">
                  <c:v>100</c:v>
                </c:pt>
              </c:numCache>
            </c:numRef>
          </c:val>
          <c:extLst>
            <c:ext xmlns:c16="http://schemas.microsoft.com/office/drawing/2014/chart" uri="{C3380CC4-5D6E-409C-BE32-E72D297353CC}">
              <c16:uniqueId val="{00000000-0DA8-4B95-8AFF-DB96A7CF4AA0}"/>
            </c:ext>
          </c:extLst>
        </c:ser>
        <c:ser>
          <c:idx val="1"/>
          <c:order val="1"/>
          <c:tx>
            <c:strRef>
              <c:f>Sheet1!$C$1</c:f>
              <c:strCache>
                <c:ptCount val="1"/>
                <c:pt idx="0">
                  <c:v>0.15%</c:v>
                </c:pt>
              </c:strCache>
            </c:strRef>
          </c:tx>
          <c:spPr>
            <a:solidFill>
              <a:srgbClr val="FFC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Sheet1!$A$2:$A$9</c:f>
              <c:strCache>
                <c:ptCount val="8"/>
                <c:pt idx="0">
                  <c:v>Azoxystrobin 23% SC</c:v>
                </c:pt>
                <c:pt idx="1">
                  <c:v>Hexaconazole 5% EC</c:v>
                </c:pt>
                <c:pt idx="2">
                  <c:v>Propiconazole 25% EC</c:v>
                </c:pt>
                <c:pt idx="3">
                  <c:v>Difenoconazole 25% EC</c:v>
                </c:pt>
                <c:pt idx="4">
                  <c:v>Carbendazim 12% + Mancozeb 63% WP</c:v>
                </c:pt>
                <c:pt idx="5">
                  <c:v>Tebuconazole 50% + Trifloxystrobin 25% WG</c:v>
                </c:pt>
                <c:pt idx="6">
                  <c:v>Fluxapyroxad 21.26 % + Pyraclostrobin 21.26 % SC</c:v>
                </c:pt>
                <c:pt idx="7">
                  <c:v>Tricyclazole 18 % + Mancozeb 62 % WP</c:v>
                </c:pt>
              </c:strCache>
            </c:strRef>
          </c:cat>
          <c:val>
            <c:numRef>
              <c:f>Sheet1!$C$2:$C$9</c:f>
              <c:numCache>
                <c:formatCode>General</c:formatCode>
                <c:ptCount val="8"/>
                <c:pt idx="0">
                  <c:v>50.74</c:v>
                </c:pt>
                <c:pt idx="1">
                  <c:v>81.48</c:v>
                </c:pt>
                <c:pt idx="2">
                  <c:v>100</c:v>
                </c:pt>
                <c:pt idx="3">
                  <c:v>88.15</c:v>
                </c:pt>
                <c:pt idx="4">
                  <c:v>100</c:v>
                </c:pt>
                <c:pt idx="5">
                  <c:v>100</c:v>
                </c:pt>
                <c:pt idx="6">
                  <c:v>100</c:v>
                </c:pt>
                <c:pt idx="7">
                  <c:v>100</c:v>
                </c:pt>
              </c:numCache>
            </c:numRef>
          </c:val>
          <c:extLst>
            <c:ext xmlns:c16="http://schemas.microsoft.com/office/drawing/2014/chart" uri="{C3380CC4-5D6E-409C-BE32-E72D297353CC}">
              <c16:uniqueId val="{00000001-0DA8-4B95-8AFF-DB96A7CF4AA0}"/>
            </c:ext>
          </c:extLst>
        </c:ser>
        <c:ser>
          <c:idx val="2"/>
          <c:order val="2"/>
          <c:tx>
            <c:strRef>
              <c:f>Sheet1!$D$1</c:f>
              <c:strCache>
                <c:ptCount val="1"/>
                <c:pt idx="0">
                  <c:v>0.20%</c:v>
                </c:pt>
              </c:strCache>
            </c:strRef>
          </c:tx>
          <c:spPr>
            <a:solidFill>
              <a:srgbClr val="00206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Sheet1!$A$2:$A$9</c:f>
              <c:strCache>
                <c:ptCount val="8"/>
                <c:pt idx="0">
                  <c:v>Azoxystrobin 23% SC</c:v>
                </c:pt>
                <c:pt idx="1">
                  <c:v>Hexaconazole 5% EC</c:v>
                </c:pt>
                <c:pt idx="2">
                  <c:v>Propiconazole 25% EC</c:v>
                </c:pt>
                <c:pt idx="3">
                  <c:v>Difenoconazole 25% EC</c:v>
                </c:pt>
                <c:pt idx="4">
                  <c:v>Carbendazim 12% + Mancozeb 63% WP</c:v>
                </c:pt>
                <c:pt idx="5">
                  <c:v>Tebuconazole 50% + Trifloxystrobin 25% WG</c:v>
                </c:pt>
                <c:pt idx="6">
                  <c:v>Fluxapyroxad 21.26 % + Pyraclostrobin 21.26 % SC</c:v>
                </c:pt>
                <c:pt idx="7">
                  <c:v>Tricyclazole 18 % + Mancozeb 62 % WP</c:v>
                </c:pt>
              </c:strCache>
            </c:strRef>
          </c:cat>
          <c:val>
            <c:numRef>
              <c:f>Sheet1!$D$2:$D$9</c:f>
              <c:numCache>
                <c:formatCode>General</c:formatCode>
                <c:ptCount val="8"/>
                <c:pt idx="0">
                  <c:v>55.19</c:v>
                </c:pt>
                <c:pt idx="1">
                  <c:v>83.7</c:v>
                </c:pt>
                <c:pt idx="2">
                  <c:v>100</c:v>
                </c:pt>
                <c:pt idx="3">
                  <c:v>89.26</c:v>
                </c:pt>
                <c:pt idx="4">
                  <c:v>100</c:v>
                </c:pt>
                <c:pt idx="5">
                  <c:v>100</c:v>
                </c:pt>
                <c:pt idx="6">
                  <c:v>100</c:v>
                </c:pt>
                <c:pt idx="7">
                  <c:v>100</c:v>
                </c:pt>
              </c:numCache>
            </c:numRef>
          </c:val>
          <c:extLst>
            <c:ext xmlns:c16="http://schemas.microsoft.com/office/drawing/2014/chart" uri="{C3380CC4-5D6E-409C-BE32-E72D297353CC}">
              <c16:uniqueId val="{00000002-0DA8-4B95-8AFF-DB96A7CF4AA0}"/>
            </c:ext>
          </c:extLst>
        </c:ser>
        <c:dLbls>
          <c:showLegendKey val="0"/>
          <c:showVal val="0"/>
          <c:showCatName val="0"/>
          <c:showSerName val="0"/>
          <c:showPercent val="0"/>
          <c:showBubbleSize val="0"/>
        </c:dLbls>
        <c:gapWidth val="150"/>
        <c:axId val="1067641632"/>
        <c:axId val="1067655552"/>
      </c:barChart>
      <c:catAx>
        <c:axId val="1067641632"/>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0"/>
          <a:lstStyle/>
          <a:p>
            <a:pPr>
              <a:defRPr sz="800" b="0" i="0" u="none" strike="noStrike" kern="1200" baseline="0">
                <a:ln>
                  <a:noFill/>
                </a:ln>
                <a:solidFill>
                  <a:schemeClr val="tx1"/>
                </a:solidFill>
                <a:latin typeface="Arial" panose="020B0604020202020204" pitchFamily="34" charset="0"/>
                <a:ea typeface="+mn-ea"/>
                <a:cs typeface="Arial" panose="020B0604020202020204" pitchFamily="34" charset="0"/>
              </a:defRPr>
            </a:pPr>
            <a:endParaRPr lang="en-US"/>
          </a:p>
        </c:txPr>
        <c:crossAx val="1067655552"/>
        <c:crosses val="autoZero"/>
        <c:auto val="1"/>
        <c:lblAlgn val="ctr"/>
        <c:lblOffset val="100"/>
        <c:noMultiLvlLbl val="0"/>
      </c:catAx>
      <c:valAx>
        <c:axId val="1067655552"/>
        <c:scaling>
          <c:orientation val="minMax"/>
        </c:scaling>
        <c:delete val="0"/>
        <c:axPos val="l"/>
        <c:title>
          <c:tx>
            <c:rich>
              <a:bodyPr rot="-5400000" spcFirstLastPara="1" vertOverflow="ellipsis" vert="horz" wrap="square" anchor="ctr" anchorCtr="1"/>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r>
                  <a:rPr lang="en-IN" sz="600" b="1">
                    <a:latin typeface="Arial" panose="020B0604020202020204" pitchFamily="34" charset="0"/>
                    <a:cs typeface="Arial" panose="020B0604020202020204" pitchFamily="34" charset="0"/>
                  </a:rPr>
                  <a:t>Mean</a:t>
                </a:r>
                <a:r>
                  <a:rPr lang="en-IN" sz="600" b="1" baseline="0">
                    <a:latin typeface="Arial" panose="020B0604020202020204" pitchFamily="34" charset="0"/>
                    <a:cs typeface="Arial" panose="020B0604020202020204" pitchFamily="34" charset="0"/>
                  </a:rPr>
                  <a:t> percent mycelium inhibition</a:t>
                </a:r>
                <a:endParaRPr lang="en-IN" sz="600" b="1">
                  <a:latin typeface="Arial" panose="020B0604020202020204" pitchFamily="34" charset="0"/>
                  <a:cs typeface="Arial" panose="020B0604020202020204" pitchFamily="34" charset="0"/>
                </a:endParaRPr>
              </a:p>
            </c:rich>
          </c:tx>
          <c:layout>
            <c:manualLayout>
              <c:xMode val="edge"/>
              <c:yMode val="edge"/>
              <c:x val="2.1929824561403508E-2"/>
              <c:y val="0.19138779527559055"/>
            </c:manualLayout>
          </c:layout>
          <c:overlay val="0"/>
          <c:spPr>
            <a:noFill/>
            <a:ln>
              <a:noFill/>
            </a:ln>
            <a:effectLst/>
          </c:spPr>
          <c:txPr>
            <a:bodyPr rot="-5400000" spcFirstLastPara="1" vertOverflow="ellipsis" vert="horz" wrap="square" anchor="ctr" anchorCtr="1"/>
            <a:lstStyle/>
            <a:p>
              <a:pPr>
                <a:defRPr sz="6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067641632"/>
        <c:crosses val="autoZero"/>
        <c:crossBetween val="between"/>
      </c:valAx>
      <c:spPr>
        <a:noFill/>
        <a:ln>
          <a:solidFill>
            <a:schemeClr val="tx1"/>
          </a:solidFill>
        </a:ln>
        <a:effectLst/>
      </c:spPr>
    </c:plotArea>
    <c:legend>
      <c:legendPos val="t"/>
      <c:layout>
        <c:manualLayout>
          <c:xMode val="edge"/>
          <c:yMode val="edge"/>
          <c:x val="0.35845804362174022"/>
          <c:y val="7.5447067378742488E-2"/>
          <c:w val="0.28308391275651945"/>
          <c:h val="8.378906708160983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265B8-1688-4BC8-9037-5ABE7CD82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TotalTime>
  <Pages>9</Pages>
  <Words>3094</Words>
  <Characters>53416</Characters>
  <Application>Microsoft Office Word</Application>
  <DocSecurity>0</DocSecurity>
  <Lines>445</Lines>
  <Paragraphs>112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56398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6</cp:revision>
  <cp:lastPrinted>2025-06-09T18:01:00Z</cp:lastPrinted>
  <dcterms:created xsi:type="dcterms:W3CDTF">2025-06-18T21:12:00Z</dcterms:created>
  <dcterms:modified xsi:type="dcterms:W3CDTF">2025-06-23T11:06:00Z</dcterms:modified>
</cp:coreProperties>
</file>