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8E729" w14:textId="77777777" w:rsidR="00754C9A" w:rsidRDefault="00754C9A" w:rsidP="00441B6F">
      <w:pPr>
        <w:pStyle w:val="Title"/>
        <w:spacing w:after="0"/>
        <w:jc w:val="both"/>
        <w:rPr>
          <w:rFonts w:ascii="Arial" w:hAnsi="Arial" w:cs="Arial"/>
        </w:rPr>
      </w:pPr>
    </w:p>
    <w:p w14:paraId="23A7BB57" w14:textId="67E3EEDC" w:rsidR="00183D9E" w:rsidRDefault="00183D9E" w:rsidP="00183D9E">
      <w:pPr>
        <w:pStyle w:val="Author"/>
        <w:rPr>
          <w:rFonts w:ascii="Arial" w:hAnsi="Arial" w:cs="Arial"/>
          <w:bCs/>
          <w:i/>
          <w:iCs/>
          <w:kern w:val="28"/>
          <w:sz w:val="20"/>
          <w:u w:val="single"/>
        </w:rPr>
      </w:pPr>
      <w:r w:rsidRPr="00183D9E">
        <w:rPr>
          <w:rFonts w:ascii="Arial" w:hAnsi="Arial" w:cs="Arial"/>
          <w:bCs/>
          <w:i/>
          <w:iCs/>
          <w:kern w:val="28"/>
          <w:sz w:val="20"/>
          <w:u w:val="single"/>
        </w:rPr>
        <w:t>Original Research Article</w:t>
      </w:r>
    </w:p>
    <w:p w14:paraId="2E4F5ACB" w14:textId="77777777" w:rsidR="003E2BD9" w:rsidRPr="00183D9E" w:rsidRDefault="003E2BD9" w:rsidP="00183D9E">
      <w:pPr>
        <w:pStyle w:val="Author"/>
        <w:rPr>
          <w:rFonts w:ascii="Arial" w:hAnsi="Arial" w:cs="Arial"/>
          <w:bCs/>
          <w:i/>
          <w:iCs/>
          <w:kern w:val="28"/>
          <w:sz w:val="20"/>
          <w:u w:val="single"/>
        </w:rPr>
      </w:pPr>
      <w:bookmarkStart w:id="0" w:name="_GoBack"/>
      <w:bookmarkEnd w:id="0"/>
    </w:p>
    <w:p w14:paraId="33417D61" w14:textId="544D7FF0" w:rsidR="00DC3389" w:rsidRPr="00DC3389" w:rsidRDefault="00DC3389" w:rsidP="00DC3389">
      <w:pPr>
        <w:pStyle w:val="Author"/>
        <w:spacing w:line="240" w:lineRule="auto"/>
        <w:rPr>
          <w:rFonts w:ascii="Arial" w:hAnsi="Arial" w:cs="Arial"/>
          <w:bCs/>
          <w:iCs/>
          <w:kern w:val="28"/>
          <w:sz w:val="36"/>
          <w:lang w:val="en-GB"/>
        </w:rPr>
      </w:pPr>
      <w:r w:rsidRPr="00DC3389">
        <w:rPr>
          <w:rFonts w:ascii="Arial" w:hAnsi="Arial" w:cs="Arial"/>
          <w:bCs/>
          <w:iCs/>
          <w:kern w:val="28"/>
          <w:sz w:val="36"/>
          <w:lang w:val="en-GB"/>
        </w:rPr>
        <w:t>Detection of Plasmid-Mediated Extended-Spectrum β-Lactamase genes</w:t>
      </w:r>
      <w:r w:rsidR="00E6775C">
        <w:rPr>
          <w:rFonts w:ascii="Arial" w:hAnsi="Arial" w:cs="Arial"/>
          <w:bCs/>
          <w:iCs/>
          <w:kern w:val="28"/>
          <w:sz w:val="36"/>
          <w:lang w:val="en-GB"/>
        </w:rPr>
        <w:t xml:space="preserve"> (</w:t>
      </w:r>
      <w:proofErr w:type="spellStart"/>
      <w:r w:rsidR="00E6775C" w:rsidRPr="00E6775C">
        <w:rPr>
          <w:rFonts w:ascii="Arial" w:hAnsi="Arial" w:cs="Arial"/>
          <w:i/>
          <w:iCs/>
          <w:sz w:val="36"/>
          <w:szCs w:val="28"/>
        </w:rPr>
        <w:t>bla</w:t>
      </w:r>
      <w:proofErr w:type="spellEnd"/>
      <w:r w:rsidR="00E6775C">
        <w:rPr>
          <w:rFonts w:ascii="Arial" w:hAnsi="Arial" w:cs="Arial"/>
          <w:i/>
          <w:iCs/>
          <w:sz w:val="36"/>
          <w:szCs w:val="28"/>
        </w:rPr>
        <w:t xml:space="preserve"> </w:t>
      </w:r>
      <w:r w:rsidR="00E6775C" w:rsidRPr="00E6775C">
        <w:rPr>
          <w:rFonts w:ascii="Arial" w:hAnsi="Arial" w:cs="Arial"/>
          <w:sz w:val="36"/>
          <w:szCs w:val="28"/>
          <w:vertAlign w:val="subscript"/>
        </w:rPr>
        <w:t>CTX-M</w:t>
      </w:r>
      <w:r w:rsidR="00E6775C" w:rsidRPr="00E6775C">
        <w:rPr>
          <w:rFonts w:ascii="Arial" w:hAnsi="Arial" w:cs="Arial"/>
          <w:sz w:val="36"/>
          <w:szCs w:val="28"/>
        </w:rPr>
        <w:t>)</w:t>
      </w:r>
      <w:r w:rsidRPr="00DC3389">
        <w:rPr>
          <w:rFonts w:ascii="Arial" w:hAnsi="Arial" w:cs="Arial"/>
          <w:bCs/>
          <w:iCs/>
          <w:kern w:val="28"/>
          <w:sz w:val="36"/>
          <w:lang w:val="en-GB"/>
        </w:rPr>
        <w:t xml:space="preserve"> in Enterobacteriaceae Isolated from the Oral Cavity of Patients in a Dental Clinic in Abidjan (Côte d’Ivoire)</w:t>
      </w:r>
    </w:p>
    <w:p w14:paraId="28BDEFD5" w14:textId="77777777" w:rsidR="00A258C3" w:rsidRPr="00790ADA" w:rsidRDefault="00A258C3" w:rsidP="00441B6F">
      <w:pPr>
        <w:pStyle w:val="Author"/>
        <w:spacing w:line="240" w:lineRule="auto"/>
        <w:jc w:val="both"/>
        <w:rPr>
          <w:rFonts w:ascii="Arial" w:hAnsi="Arial" w:cs="Arial"/>
          <w:sz w:val="36"/>
        </w:rPr>
      </w:pPr>
    </w:p>
    <w:p w14:paraId="313200F3" w14:textId="77777777" w:rsidR="00C37776" w:rsidRPr="00DC3389" w:rsidRDefault="00C37776" w:rsidP="00DC3389">
      <w:pPr>
        <w:pStyle w:val="Affiliation"/>
        <w:rPr>
          <w:rFonts w:ascii="Arial" w:hAnsi="Arial" w:cs="Arial"/>
          <w:i/>
        </w:rPr>
      </w:pPr>
    </w:p>
    <w:p w14:paraId="5F8B8885" w14:textId="77777777" w:rsidR="002C57D2" w:rsidRPr="00FB3A86" w:rsidRDefault="002C57D2" w:rsidP="00441B6F">
      <w:pPr>
        <w:pStyle w:val="Affiliation"/>
        <w:spacing w:after="0" w:line="240" w:lineRule="auto"/>
        <w:jc w:val="both"/>
        <w:rPr>
          <w:rFonts w:ascii="Arial" w:hAnsi="Arial" w:cs="Arial"/>
        </w:rPr>
      </w:pPr>
    </w:p>
    <w:p w14:paraId="07014789" w14:textId="2D615CF3" w:rsidR="00B01FCD" w:rsidRPr="00FB3A86" w:rsidRDefault="00DC3389" w:rsidP="00441B6F">
      <w:pPr>
        <w:pStyle w:val="Copyright"/>
        <w:spacing w:after="0" w:line="240" w:lineRule="auto"/>
        <w:jc w:val="both"/>
        <w:rPr>
          <w:rFonts w:ascii="Arial" w:hAnsi="Arial" w:cs="Arial"/>
        </w:rPr>
        <w:sectPr w:rsidR="00B01FCD" w:rsidRPr="00FB3A86" w:rsidSect="00384BEB">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195DD60" wp14:editId="18E53CFC">
                <wp:extent cx="5303520" cy="635"/>
                <wp:effectExtent l="13335" t="13335" r="17145" b="15240"/>
                <wp:docPr id="12840868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205005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72217DA" w14:textId="2D7C71A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1F9F22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0C975DE" w14:textId="77777777" w:rsidTr="001E44FE">
        <w:tc>
          <w:tcPr>
            <w:tcW w:w="9576" w:type="dxa"/>
            <w:shd w:val="clear" w:color="auto" w:fill="F2F2F2"/>
          </w:tcPr>
          <w:p w14:paraId="3046A296" w14:textId="78260971" w:rsidR="00E3114E" w:rsidRPr="006A0FC6" w:rsidRDefault="00E3114E" w:rsidP="00441B6F">
            <w:pPr>
              <w:pStyle w:val="Body"/>
              <w:spacing w:after="0"/>
              <w:rPr>
                <w:rFonts w:ascii="Arial" w:eastAsia="Calibri" w:hAnsi="Arial" w:cs="Arial"/>
                <w:szCs w:val="22"/>
              </w:rPr>
            </w:pPr>
          </w:p>
          <w:p w14:paraId="4CE3C922" w14:textId="77777777" w:rsidR="000D4D18" w:rsidRPr="00F9209D" w:rsidRDefault="000D4D18" w:rsidP="000D4D18">
            <w:pPr>
              <w:pStyle w:val="Body"/>
              <w:spacing w:after="0"/>
              <w:rPr>
                <w:rFonts w:ascii="Arial" w:eastAsia="Calibri" w:hAnsi="Arial" w:cs="Arial"/>
                <w:b/>
                <w:szCs w:val="22"/>
              </w:rPr>
            </w:pPr>
            <w:r w:rsidRPr="00F9209D">
              <w:rPr>
                <w:rFonts w:ascii="Arial" w:eastAsia="Calibri" w:hAnsi="Arial" w:cs="Arial"/>
                <w:b/>
                <w:szCs w:val="22"/>
              </w:rPr>
              <w:t xml:space="preserve">Background: </w:t>
            </w:r>
            <w:r w:rsidRPr="00F9209D">
              <w:rPr>
                <w:rFonts w:ascii="Arial" w:eastAsia="Calibri" w:hAnsi="Arial" w:cs="Arial"/>
                <w:szCs w:val="22"/>
              </w:rPr>
              <w:t>The oral cavity represents one of the most complex and densely colonized environments of the human body, harboring a diverse microbiota including bacterial and fungal communities. Antimicrobial resistance has emerged as a pressing global health concern, with particularly severe implications for low-resource settings</w:t>
            </w:r>
          </w:p>
          <w:p w14:paraId="59A7ED00" w14:textId="77777777" w:rsidR="000D4D18" w:rsidRDefault="000D4D18" w:rsidP="000D4D18">
            <w:pPr>
              <w:pStyle w:val="Body"/>
              <w:spacing w:after="0"/>
              <w:rPr>
                <w:rFonts w:ascii="Arial" w:eastAsia="Calibri" w:hAnsi="Arial" w:cs="Arial"/>
                <w:szCs w:val="22"/>
              </w:rPr>
            </w:pPr>
            <w:r w:rsidRPr="00F9209D">
              <w:rPr>
                <w:rFonts w:ascii="Arial" w:eastAsia="Calibri" w:hAnsi="Arial" w:cs="Arial"/>
                <w:b/>
                <w:szCs w:val="22"/>
              </w:rPr>
              <w:t>Aims</w:t>
            </w:r>
            <w:proofErr w:type="gramStart"/>
            <w:r w:rsidRPr="00F9209D">
              <w:rPr>
                <w:rFonts w:ascii="Arial" w:eastAsia="Calibri" w:hAnsi="Arial" w:cs="Arial"/>
                <w:b/>
                <w:szCs w:val="22"/>
              </w:rPr>
              <w:t xml:space="preserve">: </w:t>
            </w:r>
            <w:r w:rsidRPr="00F9209D">
              <w:rPr>
                <w:rFonts w:ascii="Arial" w:eastAsia="Calibri" w:hAnsi="Arial" w:cs="Arial"/>
                <w:szCs w:val="22"/>
              </w:rPr>
              <w:t>.</w:t>
            </w:r>
            <w:proofErr w:type="gramEnd"/>
            <w:r w:rsidRPr="00F9209D">
              <w:rPr>
                <w:rFonts w:ascii="Arial" w:eastAsia="Calibri" w:hAnsi="Arial" w:cs="Arial"/>
                <w:szCs w:val="22"/>
              </w:rPr>
              <w:t xml:space="preserve"> This study aimed to assess the antibiotic resistance profiles of extended-spectrum β-lactamase (ESBL)-producing Enterobacteriaceae strains isolated from the oral cavity.</w:t>
            </w:r>
          </w:p>
          <w:p w14:paraId="159CD4A7" w14:textId="56F38257" w:rsidR="00BA148F" w:rsidRDefault="00BA1B01" w:rsidP="00441B6F">
            <w:pPr>
              <w:pStyle w:val="Body"/>
              <w:spacing w:after="0"/>
              <w:rPr>
                <w:rFonts w:ascii="Arial" w:eastAsia="Calibri" w:hAnsi="Arial" w:cs="Arial"/>
                <w:i/>
                <w:i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A148F" w:rsidRPr="00BA148F">
              <w:rPr>
                <w:rFonts w:ascii="Arial" w:eastAsia="Calibri" w:hAnsi="Arial" w:cs="Arial"/>
                <w:szCs w:val="22"/>
              </w:rPr>
              <w:t xml:space="preserve">samples were collected from patients presenting with dental disorders for the isolation and characterisation of ESBL-producing Enterobacteriaceae from the oral cavity. Plasmid DNA was extracted using the phenol-chloroform method, and conventional PCR was employed to detect the presence of plasmid-borne resistance genes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w:t>
            </w:r>
            <w:proofErr w:type="gramStart"/>
            <w:r w:rsidR="00BA148F" w:rsidRPr="00BA148F">
              <w:rPr>
                <w:rFonts w:ascii="Arial" w:eastAsia="Calibri" w:hAnsi="Arial" w:cs="Arial"/>
                <w:i/>
                <w:iCs/>
                <w:szCs w:val="22"/>
              </w:rPr>
              <w:t>2</w:t>
            </w:r>
            <w:r w:rsidR="00BA148F">
              <w:rPr>
                <w:rFonts w:ascii="Arial" w:eastAsia="Calibri" w:hAnsi="Arial" w:cs="Arial"/>
                <w:i/>
                <w:iCs/>
                <w:szCs w:val="22"/>
              </w:rPr>
              <w:t xml:space="preserve"> </w:t>
            </w:r>
            <w:r w:rsidR="00BA148F" w:rsidRPr="00BA148F">
              <w:rPr>
                <w:rFonts w:ascii="Arial" w:eastAsia="Calibri" w:hAnsi="Arial" w:cs="Arial"/>
                <w:szCs w:val="22"/>
              </w:rPr>
              <w:t>,</w:t>
            </w:r>
            <w:proofErr w:type="gramEnd"/>
            <w:r w:rsidR="00BA148F" w:rsidRPr="00BA148F">
              <w:rPr>
                <w:rFonts w:ascii="Arial" w:eastAsia="Calibri" w:hAnsi="Arial" w:cs="Arial"/>
                <w:szCs w:val="22"/>
              </w:rPr>
              <w:t xml:space="preserve">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CTX-M-8</w:t>
            </w:r>
            <w:r w:rsidR="00BA148F">
              <w:rPr>
                <w:rFonts w:ascii="Arial" w:eastAsia="Calibri" w:hAnsi="Arial" w:cs="Arial"/>
                <w:i/>
                <w:iCs/>
                <w:szCs w:val="22"/>
              </w:rPr>
              <w:t xml:space="preserve"> </w:t>
            </w:r>
            <w:r w:rsidR="00BA148F" w:rsidRPr="00BA148F">
              <w:rPr>
                <w:rFonts w:ascii="Arial" w:eastAsia="Calibri" w:hAnsi="Arial" w:cs="Arial"/>
                <w:szCs w:val="22"/>
              </w:rPr>
              <w:t xml:space="preserve">, and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CTX-M-9</w:t>
            </w:r>
          </w:p>
          <w:p w14:paraId="79BA89EF" w14:textId="518D7D72"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F3157">
              <w:rPr>
                <w:rFonts w:ascii="Arial" w:eastAsia="Calibri" w:hAnsi="Arial" w:cs="Arial"/>
                <w:szCs w:val="22"/>
              </w:rPr>
              <w:t>F</w:t>
            </w:r>
            <w:r w:rsidR="00BA148F" w:rsidRPr="00BA148F">
              <w:rPr>
                <w:rFonts w:ascii="Arial" w:eastAsia="Calibri" w:hAnsi="Arial" w:cs="Arial"/>
                <w:szCs w:val="22"/>
              </w:rPr>
              <w:t xml:space="preserve">our Enterobacteriaceae strains were successfully isolated and </w:t>
            </w:r>
            <w:r w:rsidR="002F3157" w:rsidRPr="00BA148F">
              <w:rPr>
                <w:rFonts w:ascii="Arial" w:eastAsia="Calibri" w:hAnsi="Arial" w:cs="Arial"/>
                <w:szCs w:val="22"/>
              </w:rPr>
              <w:t>characterized</w:t>
            </w:r>
            <w:r w:rsidR="00BA148F" w:rsidRPr="00BA148F">
              <w:rPr>
                <w:rFonts w:ascii="Arial" w:eastAsia="Calibri" w:hAnsi="Arial" w:cs="Arial"/>
                <w:szCs w:val="22"/>
              </w:rPr>
              <w:t>, corresponding to an isolation rate of 5.40%</w:t>
            </w:r>
            <w:r w:rsidR="002F3157">
              <w:rPr>
                <w:rFonts w:ascii="Arial" w:eastAsia="Calibri" w:hAnsi="Arial" w:cs="Arial"/>
                <w:szCs w:val="22"/>
              </w:rPr>
              <w:t xml:space="preserve"> (4/74)</w:t>
            </w:r>
            <w:r w:rsidR="00BA148F" w:rsidRPr="00BA148F">
              <w:rPr>
                <w:rFonts w:ascii="Arial" w:eastAsia="Calibri" w:hAnsi="Arial" w:cs="Arial"/>
                <w:szCs w:val="22"/>
              </w:rPr>
              <w:t xml:space="preserve">. Among these, 60% </w:t>
            </w:r>
            <w:r w:rsidR="002F3157" w:rsidRPr="00BA148F">
              <w:rPr>
                <w:rFonts w:ascii="Arial" w:eastAsia="Calibri" w:hAnsi="Arial" w:cs="Arial"/>
                <w:szCs w:val="22"/>
              </w:rPr>
              <w:t>harbored</w:t>
            </w:r>
            <w:r w:rsidR="00BA148F" w:rsidRPr="00BA148F">
              <w:rPr>
                <w:rFonts w:ascii="Arial" w:eastAsia="Calibri" w:hAnsi="Arial" w:cs="Arial"/>
                <w:szCs w:val="22"/>
              </w:rPr>
              <w:t xml:space="preserve"> the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CTX-M-2</w:t>
            </w:r>
            <w:r w:rsidR="00BA148F" w:rsidRPr="00BA148F">
              <w:rPr>
                <w:rFonts w:ascii="Arial" w:eastAsia="Calibri" w:hAnsi="Arial" w:cs="Arial"/>
                <w:szCs w:val="22"/>
              </w:rPr>
              <w:t xml:space="preserve"> and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CTX-M-8</w:t>
            </w:r>
            <w:r w:rsidR="00BA148F">
              <w:rPr>
                <w:rFonts w:ascii="Arial" w:eastAsia="Calibri" w:hAnsi="Arial" w:cs="Arial"/>
                <w:i/>
                <w:iCs/>
                <w:szCs w:val="22"/>
              </w:rPr>
              <w:t xml:space="preserve"> </w:t>
            </w:r>
            <w:r w:rsidR="00BA148F" w:rsidRPr="00BA148F">
              <w:rPr>
                <w:rFonts w:ascii="Arial" w:eastAsia="Calibri" w:hAnsi="Arial" w:cs="Arial"/>
                <w:szCs w:val="22"/>
              </w:rPr>
              <w:t xml:space="preserve">resistance genes. The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CTX-M-9</w:t>
            </w:r>
            <w:r w:rsidR="00BA148F" w:rsidRPr="00BA148F">
              <w:rPr>
                <w:rFonts w:ascii="Arial" w:eastAsia="Calibri" w:hAnsi="Arial" w:cs="Arial"/>
                <w:szCs w:val="22"/>
              </w:rPr>
              <w:t xml:space="preserve"> gene was not detected in any of the isolates</w:t>
            </w:r>
            <w:r w:rsidR="002F3157">
              <w:rPr>
                <w:rFonts w:ascii="Arial" w:eastAsia="Calibri" w:hAnsi="Arial" w:cs="Arial"/>
                <w:szCs w:val="22"/>
              </w:rPr>
              <w:t>.</w:t>
            </w:r>
          </w:p>
          <w:p w14:paraId="044A943B" w14:textId="7545BE9D"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A0FC6" w:rsidRPr="006A0FC6">
              <w:rPr>
                <w:rFonts w:ascii="Arial" w:eastAsia="Calibri" w:hAnsi="Arial" w:cs="Arial"/>
                <w:szCs w:val="22"/>
              </w:rPr>
              <w:t>Although uncommon in the oral cavity, the emergence of Enterobacteriaceae in this niche may represent a potential public health concern. The presence of ESBL-producing strains could contribute to therapeutic failures or limited treatment options, particularly if antibiotic prescribing guidelines are not adequately followed by healthcare professionals.</w:t>
            </w:r>
          </w:p>
          <w:p w14:paraId="3C255F65" w14:textId="3C125901" w:rsidR="00505F06" w:rsidRPr="00BA1B01" w:rsidRDefault="00505F06" w:rsidP="00441B6F">
            <w:pPr>
              <w:pStyle w:val="Body"/>
              <w:spacing w:after="0"/>
              <w:rPr>
                <w:rFonts w:ascii="Arial" w:eastAsia="Calibri" w:hAnsi="Arial" w:cs="Arial"/>
                <w:szCs w:val="22"/>
              </w:rPr>
            </w:pPr>
          </w:p>
        </w:tc>
      </w:tr>
    </w:tbl>
    <w:p w14:paraId="4BBB86C3" w14:textId="77777777" w:rsidR="00636EB2" w:rsidRDefault="00636EB2" w:rsidP="00441B6F">
      <w:pPr>
        <w:pStyle w:val="Body"/>
        <w:spacing w:after="0"/>
        <w:rPr>
          <w:rFonts w:ascii="Arial" w:hAnsi="Arial" w:cs="Arial"/>
          <w:i/>
        </w:rPr>
      </w:pPr>
    </w:p>
    <w:p w14:paraId="742DBAC2" w14:textId="4CFCA2E2" w:rsidR="00A24E7E" w:rsidRDefault="00A24E7E" w:rsidP="00441B6F">
      <w:pPr>
        <w:pStyle w:val="Body"/>
        <w:spacing w:after="0"/>
        <w:rPr>
          <w:rFonts w:ascii="Arial" w:hAnsi="Arial" w:cs="Arial"/>
          <w:i/>
        </w:rPr>
      </w:pPr>
      <w:r>
        <w:rPr>
          <w:rFonts w:ascii="Arial" w:hAnsi="Arial" w:cs="Arial"/>
          <w:i/>
        </w:rPr>
        <w:t xml:space="preserve">Keywords: </w:t>
      </w:r>
      <w:r w:rsidR="006A0FC6" w:rsidRPr="00F9209D">
        <w:rPr>
          <w:rFonts w:ascii="Arial" w:hAnsi="Arial" w:cs="Arial"/>
          <w:i/>
        </w:rPr>
        <w:t xml:space="preserve">Antibiotic resistance, </w:t>
      </w:r>
      <w:r w:rsidR="00327CBA" w:rsidRPr="00F9209D">
        <w:rPr>
          <w:rFonts w:ascii="Arial" w:hAnsi="Arial" w:cs="Arial"/>
          <w:i/>
        </w:rPr>
        <w:t xml:space="preserve">ESBL-producing </w:t>
      </w:r>
      <w:proofErr w:type="spellStart"/>
      <w:proofErr w:type="gramStart"/>
      <w:r w:rsidR="00327CBA" w:rsidRPr="00F9209D">
        <w:rPr>
          <w:rFonts w:ascii="Arial" w:hAnsi="Arial" w:cs="Arial"/>
          <w:i/>
        </w:rPr>
        <w:t>Enterobacteriaceae,</w:t>
      </w:r>
      <w:r w:rsidR="006A0FC6" w:rsidRPr="00F9209D">
        <w:rPr>
          <w:rFonts w:ascii="Arial" w:hAnsi="Arial" w:cs="Arial"/>
          <w:i/>
        </w:rPr>
        <w:t>Oral</w:t>
      </w:r>
      <w:proofErr w:type="spellEnd"/>
      <w:proofErr w:type="gramEnd"/>
      <w:r w:rsidR="006A0FC6" w:rsidRPr="00F9209D">
        <w:rPr>
          <w:rFonts w:ascii="Arial" w:hAnsi="Arial" w:cs="Arial"/>
          <w:i/>
        </w:rPr>
        <w:t xml:space="preserve"> cavity, Resistance </w:t>
      </w:r>
      <w:r w:rsidR="00A67816" w:rsidRPr="00F9209D">
        <w:rPr>
          <w:rFonts w:ascii="Arial" w:hAnsi="Arial" w:cs="Arial"/>
          <w:i/>
        </w:rPr>
        <w:t>genes</w:t>
      </w:r>
    </w:p>
    <w:p w14:paraId="1981BD81" w14:textId="77777777" w:rsidR="00505F06" w:rsidRPr="00A24E7E" w:rsidRDefault="00505F06" w:rsidP="00441B6F">
      <w:pPr>
        <w:pStyle w:val="Body"/>
        <w:spacing w:after="0"/>
        <w:rPr>
          <w:rFonts w:ascii="Arial" w:hAnsi="Arial" w:cs="Arial"/>
          <w:i/>
        </w:rPr>
      </w:pPr>
    </w:p>
    <w:p w14:paraId="214FC8CB" w14:textId="1CF55D7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547CF6" w14:textId="2D65CC86" w:rsidR="00B95236" w:rsidRDefault="00B95236" w:rsidP="00441B6F">
      <w:pPr>
        <w:pStyle w:val="Body"/>
        <w:spacing w:after="0"/>
        <w:rPr>
          <w:rFonts w:ascii="Arial" w:hAnsi="Arial" w:cs="Arial"/>
        </w:rPr>
      </w:pPr>
    </w:p>
    <w:p w14:paraId="6B85890E" w14:textId="5B0F9705" w:rsidR="00D20F6C" w:rsidRDefault="00D20F6C" w:rsidP="00441B6F">
      <w:pPr>
        <w:pStyle w:val="Body"/>
        <w:spacing w:after="0"/>
        <w:rPr>
          <w:rFonts w:ascii="Arial" w:hAnsi="Arial" w:cs="Arial"/>
        </w:rPr>
      </w:pPr>
      <w:r w:rsidRPr="00D20F6C">
        <w:rPr>
          <w:rFonts w:ascii="Arial" w:hAnsi="Arial" w:cs="Arial"/>
        </w:rPr>
        <w:t>From birth, humans are exposed to a diverse array of microorganisms</w:t>
      </w:r>
      <w:r>
        <w:rPr>
          <w:rFonts w:ascii="Arial" w:hAnsi="Arial" w:cs="Arial"/>
        </w:rPr>
        <w:t xml:space="preserve"> </w:t>
      </w:r>
      <w:r w:rsidRPr="00D20F6C">
        <w:rPr>
          <w:rFonts w:ascii="Arial" w:hAnsi="Arial" w:cs="Arial"/>
        </w:rPr>
        <w:t>including bacteria, archaea, viruses, and fungi</w:t>
      </w:r>
      <w:r>
        <w:rPr>
          <w:rFonts w:ascii="Arial" w:hAnsi="Arial" w:cs="Arial"/>
        </w:rPr>
        <w:t xml:space="preserve"> </w:t>
      </w:r>
      <w:r w:rsidRPr="00D20F6C">
        <w:rPr>
          <w:rFonts w:ascii="Arial" w:hAnsi="Arial" w:cs="Arial"/>
        </w:rPr>
        <w:t xml:space="preserve">which colonize various anatomical sites such as the skin, gastrointestinal tract, respiratory system, oral cavity, and urogenital tract. This complex microbial community, known as the microbiota, establishes a symbiotic relationship with the host, contributing to a dynamic state of equilibrium referred to as homeostasis </w:t>
      </w:r>
      <w:r w:rsidR="00927467">
        <w:rPr>
          <w:rFonts w:ascii="Arial" w:hAnsi="Arial" w:cs="Arial"/>
        </w:rPr>
        <w:fldChar w:fldCharType="begin"/>
      </w:r>
      <w:r w:rsidR="00927467">
        <w:rPr>
          <w:rFonts w:ascii="Arial" w:hAnsi="Arial" w:cs="Arial"/>
        </w:rPr>
        <w:instrText xml:space="preserve"> ADDIN ZOTERO_ITEM CSL_CITATION {"citationID":"JBNIodHJ","properties":{"formattedCitation":"(Dor\\uc0\\u233{} et al., 2017; Lepage, 2017)","plainCitation":"(Doré et al., 2017; Lepage, 2017)","noteIndex":0},"citationItems":[{"id":325,"uris":["http://zotero.org/users/local/OIj6EcLj/items/8KYWPH4M"],"itemData":{"id":325,"type":"article-journal","container-title":"Therapies","issue":"1","note":"publisher: Elsevier","page":"1–19","source":"Google Scholar","title":"Microbiote intestinal: qu’en attendre au plan physiologique et thérapeutique?","title-short":"Microbiote intestinal","volume":"72","author":[{"family":"Doré","given":"Joël"},{"family":"Multon","given":"Marie-Christine"},{"family":"Béhier","given":"Jehan-Michel"},{"family":"Affagard","given":"Hervé"},{"family":"Andremont","given":"Antoine"},{"family":"Barthélémy","given":"Philippe"},{"family":"Batista","given":"Rui"},{"family":"Bonneville","given":"Marc"},{"family":"Bonny","given":"Christophe"},{"family":"Boyaval","given":"Gwendoline"}],"issued":{"date-parts":[["2017"]]}}},{"id":324,"uris":["http://zotero.org/users/local/OIj6EcLj/items/RHFBKIEV"],"itemData":{"id":324,"type":"article-journal","container-title":"Revue des Maladies Respiratoires","issue":"10","note":"publisher: Elsevier","page":"1085–1090","source":"Google Scholar","title":"Le microbiome digestif humain: Interactions avec l’hôte et dysfonctions","title-short":"Le microbiome digestif humain","volume":"34","author":[{"family":"Lepage","given":"Patricia"}],"issued":{"date-parts":[["2017"]]}}}],"schema":"https://github.com/citation-style-language/schema/raw/master/csl-citation.json"} </w:instrText>
      </w:r>
      <w:r w:rsidR="00927467">
        <w:rPr>
          <w:rFonts w:ascii="Arial" w:hAnsi="Arial" w:cs="Arial"/>
        </w:rPr>
        <w:fldChar w:fldCharType="separate"/>
      </w:r>
      <w:r w:rsidR="00927467" w:rsidRPr="00927467">
        <w:rPr>
          <w:rFonts w:ascii="Arial" w:hAnsi="Arial" w:cs="Arial"/>
          <w:szCs w:val="24"/>
        </w:rPr>
        <w:t>(Doré et al., 2017; Lepage, 2017)</w:t>
      </w:r>
      <w:r w:rsidR="00927467">
        <w:rPr>
          <w:rFonts w:ascii="Arial" w:hAnsi="Arial" w:cs="Arial"/>
        </w:rPr>
        <w:fldChar w:fldCharType="end"/>
      </w:r>
      <w:r w:rsidRPr="00D20F6C">
        <w:rPr>
          <w:rFonts w:ascii="Arial" w:hAnsi="Arial" w:cs="Arial"/>
        </w:rPr>
        <w:t xml:space="preserve">. </w:t>
      </w:r>
      <w:r w:rsidRPr="001F44F0">
        <w:rPr>
          <w:rFonts w:ascii="Arial" w:hAnsi="Arial" w:cs="Arial"/>
          <w:lang w:val="en-GB"/>
        </w:rPr>
        <w:t>Studies have shown that this host–microbiota interaction plays a fundamental role in maintaining immune function, metabolic balance, and protection against pathogens</w:t>
      </w:r>
      <w:r w:rsidR="00927467">
        <w:rPr>
          <w:rFonts w:ascii="Arial" w:hAnsi="Arial" w:cs="Arial"/>
          <w:lang w:val="en-GB"/>
        </w:rPr>
        <w:t xml:space="preserve"> </w:t>
      </w:r>
      <w:r w:rsidR="00927467">
        <w:rPr>
          <w:rFonts w:ascii="Arial" w:hAnsi="Arial" w:cs="Arial"/>
          <w:lang w:val="en-GB"/>
        </w:rPr>
        <w:fldChar w:fldCharType="begin"/>
      </w:r>
      <w:r w:rsidR="00927467">
        <w:rPr>
          <w:rFonts w:ascii="Arial" w:hAnsi="Arial" w:cs="Arial"/>
          <w:lang w:val="en-GB"/>
        </w:rPr>
        <w:instrText xml:space="preserve"> ADDIN ZOTERO_ITEM CSL_CITATION {"citationID":"PraR6X9q","properties":{"formattedCitation":"(Burcelin, 2017; Candela et al., 2008; Lozupone et al., 2012)","plainCitation":"(Burcelin, 2017; Candela et al., 2008; Lozupone et al., 2012)","noteIndex":0},"citationItems":[{"id":373,"uris":["http://zotero.org/users/local/OIj6EcLj/items/RVMFMTWI"],"itemData":{"id":373,"type":"article-journal","abstract":"Cette revue se propose de discuter le rôle joué par un dialogue entre le microbiote et le système immunitaire intestinaux dans le développement de la maladie métabolique, comme l’obésité et le diabète. À partir des aspects physiologique et pathologique et des données publiées les plus récentes, cette revue examine comment la théorie hologénomique de l’évolution peut expliquer la progression de la maladie métabolique. La notion ¡d’infection métabolique¿ pour expliquer ¡l’inflammation métabolique¿ est discutée. Le processus de translocation bactérienne et la dégradation de la défense immunitaire intestinale contre les commensaux seront considérés dans ce cadre. Finalement cette revue pose les bases d’une médecine personnalisée. Un nombre croissant de publications démontre l’importance de ce champ de recherche. Il en ressort que la notion de commensal en tant que ¡soi¿ ou ¡non soi¿ doit être reé´valuée à la lumière des données récentes. De plus, les informations acquises démontrent le rôle majeur des chaînes courtes d’acides gras, des acides biliaires secondaires, des lipopolysaccharides (LPS), des peptidoglycanes, des dérivés de l’indole, et d’autres molécules ayant un rapport avec les bactéries, sur l’adaptation des cellules impliquées dans la protection de l’intestin contre ses commensaux, une fonction qui apparaît maintenant centrale dans l’incidence de la maladie métabolique. La littérature démontre que l’initiation des maladies métaboliques et de certaines co-morbidités spécifiques peut s’expliquer par un dialogue entre le microbiote et le système immunitaire intestinal. On peut donc maintenant considérer cette voie de recherche comme une source putative de biomarqueurs et de cibles thérapeutiques pour personnaliser le traitement de la maladie métabolique et de ses co-morbidités. Le microbiote intestinal est considéré comme un régulateur majeur de la maladie métabolique. Cela réconcilie la notion d’inflammation métabolique et le développement épidémique de la maladie. En plus des données montrant qu’un microbiote spécifique caractérise les patients affectés d’obésité, de diabète de type 2, ou de stéatose hépatique, les mécanismes responsables de la maladie pourraient être liés à la translocation du microbiote de l’intestin vers les tissus, qui induirait l’inflammation. Les mécanismes régulant ce processus sont basés sur les échanges entre le microbiote et le système immunitaire de l’hôte. La théorie hologénomique de l’évolution étaye ce concept et implique que les stratégies thérapeutiques destinées à contrôler la glycémie devraient prendre en compte aussi bien le microbiote intestinal que le système immunitaire de l’hôte. Cette revue discute les données les plus récentes sur l’impact bidirectionnel du dialogue entre le microbiote et le système immunitaire de l’hôte pour le contrôle de la maladie métabolique, de l’hyperglycémie et de l’obésité. Pour éviter des redondances avec la littérature, nous pointerons notre attention sur le système immunitaire intestinal, et nous identifierons les indications pour la mise au point de nouvelles stratégies thérapeutiques, qui pourraient être fondées sur le contrôle de la translocation de bactéries intestinales vers les tissus. Ces stratégies devraient contrer le rôle joué par la dysbiose du microbiote dans le développement de l’inflammation métabolique. Les données récentes obtenues chez les rongeurs nous permettent de conclure qu’une détérioration du système immunitaire intestinal caractérise le développement de la maladie métabolique et peut en être la cause. La compréhension fine des mécanismes moléculaires impliqués pourrait permettre le développement d’une première ligne de traitement pour la maladie métabolique et ses co-morbidités.","container-title":"Biologie Aujourd'hui","DOI":"10.1051/jbio/2017008","ISSN":"2105-0678, 2105-0686","issue":"1","journalAbbreviation":"Biologie Aujourd'hui","language":"fr","license":"© Société de Biologie, 2017","note":"number: 1\npublisher: EDP Sciences","page":"1-18","source":"www.biologie-journal.org","title":"Microbiote intestinal et dialogue immunitaire au cours de la maladie métabolique","volume":"211","author":[{"family":"Burcelin","given":"Rémy"}],"issued":{"date-parts":[["2017"]]}}},{"id":328,"uris":["http://zotero.org/users/local/OIj6EcLj/items/5FBWFTR6"],"itemData":{"id":328,"type":"article-journal","container-title":"International journal of food microbiology","issue":"3","note":"publisher: Elsevier","page":"286–292","source":"Google Scholar","title":"Interaction of probiotic Lactobacillus and Bifidobacterium strains with human intestinal epithelial cells: adhesion properties, competition against enteropathogens and modulation of IL-8 production","title-short":"Interaction of probiotic Lactobacillus and Bifidobacterium strains with human intestinal epithelial cells","volume":"125","author":[{"family":"Candela","given":"Marco"},{"family":"Perna","given":"Federico"},{"family":"Carnevali","given":"P."},{"family":"Vitali","given":"Beatrice"},{"family":"Ciati","given":"R."},{"family":"Gionchetti","given":"Paolo"},{"family":"Rizzello","given":"Fernando"},{"family":"Campieri","given":"Massimo"},{"family":"Brigidi","given":"Patrizia"}],"issued":{"date-parts":[["2008"]]}}},{"id":326,"uris":["http://zotero.org/users/local/OIj6EcLj/items/BK5KL35M"],"itemData":{"id":326,"type":"article-journal","container-title":"Nature","issue":"7415","note":"publisher: Nature Publishing Group UK London","page":"220–230","source":"Google Scholar","title":"Diversity, stability and resilience of the human gut microbiota","volume":"489","author":[{"family":"Lozupone","given":"Catherine A."},{"family":"Stombaugh","given":"Jesse I."},{"family":"Gordon","given":"Jeffrey I."},{"family":"Jansson","given":"Janet K."},{"family":"Knight","given":"Rob"}],"issued":{"date-parts":[["2012"]]}}}],"schema":"https://github.com/citation-style-language/schema/raw/master/csl-citation.json"} </w:instrText>
      </w:r>
      <w:r w:rsidR="00927467">
        <w:rPr>
          <w:rFonts w:ascii="Arial" w:hAnsi="Arial" w:cs="Arial"/>
          <w:lang w:val="en-GB"/>
        </w:rPr>
        <w:fldChar w:fldCharType="separate"/>
      </w:r>
      <w:r w:rsidR="00927467" w:rsidRPr="00927467">
        <w:rPr>
          <w:rFonts w:ascii="Arial" w:hAnsi="Arial" w:cs="Arial"/>
        </w:rPr>
        <w:t>(Burcelin, 2017; Candela et al., 2008; Lozupone et al., 2012)</w:t>
      </w:r>
      <w:r w:rsidR="00927467">
        <w:rPr>
          <w:rFonts w:ascii="Arial" w:hAnsi="Arial" w:cs="Arial"/>
          <w:lang w:val="en-GB"/>
        </w:rPr>
        <w:fldChar w:fldCharType="end"/>
      </w:r>
      <w:r w:rsidR="00927467">
        <w:rPr>
          <w:rFonts w:ascii="Arial" w:hAnsi="Arial" w:cs="Arial"/>
          <w:lang w:val="en-GB"/>
        </w:rPr>
        <w:t>.</w:t>
      </w:r>
    </w:p>
    <w:p w14:paraId="064AB9C5" w14:textId="77777777" w:rsidR="00505F06" w:rsidRDefault="00505F06" w:rsidP="00441B6F">
      <w:pPr>
        <w:pStyle w:val="Body"/>
        <w:spacing w:after="0"/>
        <w:rPr>
          <w:rFonts w:ascii="Arial" w:hAnsi="Arial" w:cs="Arial"/>
        </w:rPr>
      </w:pPr>
    </w:p>
    <w:p w14:paraId="685F6E91" w14:textId="07926505" w:rsidR="00AE4FE3" w:rsidRPr="001F44F0" w:rsidRDefault="006A0FC6" w:rsidP="006A0FC6">
      <w:pPr>
        <w:pStyle w:val="Body"/>
        <w:rPr>
          <w:rFonts w:ascii="Arial" w:hAnsi="Arial" w:cs="Arial"/>
          <w:lang w:val="nb-NO"/>
        </w:rPr>
      </w:pPr>
      <w:r w:rsidRPr="006A0FC6">
        <w:rPr>
          <w:rFonts w:ascii="Arial" w:hAnsi="Arial" w:cs="Arial"/>
          <w:lang w:val="en-GB"/>
        </w:rPr>
        <w:lastRenderedPageBreak/>
        <w:t>The oral cavity, due to its anatomical position and physiological function, is one of the most septic sites in the human body. It harbours a dense and diverse microbial and fungal flora, with over 500 different species identified to date</w:t>
      </w:r>
      <w:r w:rsidR="001F44F0">
        <w:rPr>
          <w:rFonts w:ascii="Arial" w:hAnsi="Arial" w:cs="Arial"/>
          <w:lang w:val="en-GB"/>
        </w:rPr>
        <w:t xml:space="preserve"> </w:t>
      </w:r>
      <w:r w:rsidR="001F44F0">
        <w:rPr>
          <w:rFonts w:ascii="Arial" w:hAnsi="Arial" w:cs="Arial"/>
          <w:lang w:val="en-GB"/>
        </w:rPr>
        <w:fldChar w:fldCharType="begin"/>
      </w:r>
      <w:r w:rsidR="001F44F0">
        <w:rPr>
          <w:rFonts w:ascii="Arial" w:hAnsi="Arial" w:cs="Arial"/>
          <w:lang w:val="en-GB"/>
        </w:rPr>
        <w:instrText xml:space="preserve"> ADDIN ZOTERO_ITEM CSL_CITATION {"citationID":"NvHwVsHc","properties":{"formattedCitation":"(Moore &amp; Moore, 1994)","plainCitation":"(Moore &amp; Moore, 1994)","noteIndex":0},"citationItems":[{"id":330,"uris":["http://zotero.org/users/local/OIj6EcLj/items/XFM9CWT4"],"itemData":{"id":330,"type":"article-journal","container-title":"Periodontology 2000","DOI":"10.1111/j.1600-0757.1994.tb00019.x","ISSN":"1600-0757","issue":"1","language":"en","note":"_eprint: https://onlinelibrary.wiley.com/doi/pdf/10.1111/j.1600-0757.1994.tb00019.x","page":"66-77","source":"Wiley Online Library","title":"The bacteria of periodontal diseases","volume":"5","author":[{"family":"Moore","given":"W. E. C."},{"family":"Moore","given":"Lillian V. H."}],"issued":{"date-parts":[["1994"]]}}}],"schema":"https://github.com/citation-style-language/schema/raw/master/csl-citation.json"} </w:instrText>
      </w:r>
      <w:r w:rsidR="001F44F0">
        <w:rPr>
          <w:rFonts w:ascii="Arial" w:hAnsi="Arial" w:cs="Arial"/>
          <w:lang w:val="en-GB"/>
        </w:rPr>
        <w:fldChar w:fldCharType="separate"/>
      </w:r>
      <w:r w:rsidR="001F44F0" w:rsidRPr="001F44F0">
        <w:rPr>
          <w:rFonts w:ascii="Arial" w:hAnsi="Arial" w:cs="Arial"/>
        </w:rPr>
        <w:t>(Moore &amp; Moore, 1994)</w:t>
      </w:r>
      <w:r w:rsidR="001F44F0">
        <w:rPr>
          <w:rFonts w:ascii="Arial" w:hAnsi="Arial" w:cs="Arial"/>
          <w:lang w:val="en-GB"/>
        </w:rPr>
        <w:fldChar w:fldCharType="end"/>
      </w:r>
      <w:r w:rsidRPr="00485BBF">
        <w:rPr>
          <w:rFonts w:ascii="Arial" w:hAnsi="Arial" w:cs="Arial"/>
          <w:lang w:val="en-GB"/>
        </w:rPr>
        <w:t>.</w:t>
      </w:r>
      <w:r w:rsidRPr="006A0FC6">
        <w:rPr>
          <w:rFonts w:ascii="Arial" w:hAnsi="Arial" w:cs="Arial"/>
          <w:lang w:val="en-GB"/>
        </w:rPr>
        <w:t xml:space="preserve"> </w:t>
      </w:r>
      <w:r w:rsidR="00BC2F25" w:rsidRPr="00BC2F25">
        <w:rPr>
          <w:rFonts w:ascii="Arial" w:hAnsi="Arial" w:cs="Arial"/>
        </w:rPr>
        <w:t>Oral diseases, predominantly of infectious origin, primarily encompass dental caries and severe periodontal disorders. Among these, untreated dental caries represents the most widespread health condition worldwide, affecting approximately 2.5 billion individuals (Hamers et al., 2023).</w:t>
      </w:r>
      <w:commentRangeStart w:id="1"/>
      <w:commentRangeEnd w:id="1"/>
    </w:p>
    <w:p w14:paraId="6CA16F43" w14:textId="0AF5E74E" w:rsidR="00AE4FE3" w:rsidRPr="006A0FC6" w:rsidRDefault="006A0FC6" w:rsidP="006A0FC6">
      <w:pPr>
        <w:pStyle w:val="Body"/>
        <w:rPr>
          <w:rFonts w:ascii="Arial" w:hAnsi="Arial" w:cs="Arial"/>
          <w:lang w:val="en-GB"/>
        </w:rPr>
      </w:pPr>
      <w:r w:rsidRPr="00AE4FE3">
        <w:rPr>
          <w:rFonts w:ascii="Arial" w:hAnsi="Arial" w:cs="Arial"/>
          <w:lang w:val="en-GB"/>
        </w:rPr>
        <w:t xml:space="preserve">Antibiotics are widely used for the treatment and prevention of bacterial infections. </w:t>
      </w:r>
      <w:r w:rsidRPr="006A0FC6">
        <w:rPr>
          <w:rFonts w:ascii="Arial" w:hAnsi="Arial" w:cs="Arial"/>
          <w:lang w:val="en-GB"/>
        </w:rPr>
        <w:t xml:space="preserve">However, antibiotic resistance arises when bacteria evolve in response to exposure to these drugs, resulting in infections that are increasingly difficult to treat in both humans and animals. </w:t>
      </w:r>
      <w:r w:rsidR="00AE4FE3">
        <w:rPr>
          <w:rFonts w:ascii="Arial" w:hAnsi="Arial" w:cs="Arial"/>
          <w:lang w:val="en-GB"/>
        </w:rPr>
        <w:t xml:space="preserve"> </w:t>
      </w:r>
      <w:r w:rsidR="00AE4FE3" w:rsidRPr="00AE4FE3">
        <w:rPr>
          <w:rFonts w:ascii="Arial" w:hAnsi="Arial" w:cs="Arial"/>
        </w:rPr>
        <w:t xml:space="preserve">Antimicrobial resistance (AMR) poses a significant threat to global health, particularly in low-resource settings, where access to effective treatment options is </w:t>
      </w:r>
      <w:r w:rsidR="001F44F0" w:rsidRPr="00AE4FE3">
        <w:rPr>
          <w:rFonts w:ascii="Arial" w:hAnsi="Arial" w:cs="Arial"/>
        </w:rPr>
        <w:t>limited</w:t>
      </w:r>
      <w:r w:rsidR="001F44F0">
        <w:rPr>
          <w:rFonts w:ascii="Arial" w:hAnsi="Arial" w:cs="Arial"/>
        </w:rPr>
        <w:t xml:space="preserve"> </w:t>
      </w:r>
      <w:r w:rsidR="001F44F0">
        <w:rPr>
          <w:rFonts w:ascii="Arial" w:hAnsi="Arial" w:cs="Arial"/>
        </w:rPr>
        <w:fldChar w:fldCharType="begin"/>
      </w:r>
      <w:r w:rsidR="001F44F0">
        <w:rPr>
          <w:rFonts w:ascii="Arial" w:hAnsi="Arial" w:cs="Arial"/>
        </w:rPr>
        <w:instrText xml:space="preserve"> ADDIN ZOTERO_ITEM CSL_CITATION {"citationID":"yWok2ktv","properties":{"formattedCitation":"(O\\uc0\\u8217{}Neill, 2016; Ventola, 2015)","plainCitation":"(O’Neill, 2016; Ventola, 2015)","noteIndex":0},"citationItems":[{"id":375,"uris":["http://zotero.org/users/local/OIj6EcLj/items/TV3B5IFJ"],"itemData":{"id":375,"type":"report","abstract":"Concerned about the rising levels of drug resistance whereby microbes evolve to become immune to a known drugs, the UK Prime Minister asked economist Jim O’Neill to analyse this global problem of antimicrobial resistance (AMR) and propose concrete actions to tackle it internationally. In July 2014, the UK Government commissioned the Review on Antimicrobial Resistance in collaboration with the Wellcome Trust.","archive_location":"United Kingdom","genre":"Report","language":"en","publisher":"Government of the United Kingdom","source":"apo.org.au","title":"Tackling drug-resistant infections globally: final report and recommendations","title-short":"Tackling drug-resistant infections globally","URL":"https://apo.org.au/node/63983","author":[{"family":"O'Neill","given":"Jim"}],"accessed":{"date-parts":[["2025",5,29]]},"issued":{"date-parts":[["2016",5,19]]}}},{"id":334,"uris":["http://zotero.org/users/local/OIj6EcLj/items/JTH5Q8K4"],"itemData":{"id":334,"type":"article-journal","abstract":"Decades after the first patients were treated with antibiotics, bacterial infections have again become a threat because of the rapid emergence of resistant bacteria—a crisis attributed to abuse of these medications and a lack of new drug development.","container-title":"Pharmacy and Therapeutics","ISSN":"1052-1372","issue":"4","journalAbbreviation":"P T","note":"PMID: 25859123\nPMCID: PMC4378521","page":"277-283","source":"PubMed Central","title":"The Antibiotic Resistance Crisis","volume":"40","author":[{"family":"Ventola","given":"C. Lee"}],"issued":{"date-parts":[["2015",4]]}}}],"schema":"https://github.com/citation-style-language/schema/raw/master/csl-citation.json"} </w:instrText>
      </w:r>
      <w:r w:rsidR="001F44F0">
        <w:rPr>
          <w:rFonts w:ascii="Arial" w:hAnsi="Arial" w:cs="Arial"/>
        </w:rPr>
        <w:fldChar w:fldCharType="separate"/>
      </w:r>
      <w:r w:rsidR="001F44F0" w:rsidRPr="001F44F0">
        <w:rPr>
          <w:rFonts w:ascii="Arial" w:hAnsi="Arial" w:cs="Arial"/>
          <w:szCs w:val="24"/>
        </w:rPr>
        <w:t>(O’Neill, 2016; Ventola, 2015)</w:t>
      </w:r>
      <w:r w:rsidR="001F44F0">
        <w:rPr>
          <w:rFonts w:ascii="Arial" w:hAnsi="Arial" w:cs="Arial"/>
        </w:rPr>
        <w:fldChar w:fldCharType="end"/>
      </w:r>
    </w:p>
    <w:p w14:paraId="1F1B85AA" w14:textId="4721B575" w:rsidR="00EF6FEC" w:rsidRDefault="00EF6FEC" w:rsidP="006A0FC6">
      <w:pPr>
        <w:pStyle w:val="Body"/>
        <w:rPr>
          <w:rFonts w:ascii="Arial" w:hAnsi="Arial" w:cs="Arial"/>
        </w:rPr>
      </w:pPr>
      <w:r w:rsidRPr="00EF6FEC">
        <w:rPr>
          <w:rFonts w:ascii="Arial" w:hAnsi="Arial" w:cs="Arial"/>
        </w:rPr>
        <w:t xml:space="preserve">In many African countries, antimicrobial use is poorly regulated, with self-medication and over-the-counter antibiotic sales contributing significantly to the rise of resistant infections </w:t>
      </w:r>
      <w:r w:rsidR="001F44F0">
        <w:rPr>
          <w:rFonts w:ascii="Arial" w:hAnsi="Arial" w:cs="Arial"/>
        </w:rPr>
        <w:fldChar w:fldCharType="begin"/>
      </w:r>
      <w:r w:rsidR="00D05030">
        <w:rPr>
          <w:rFonts w:ascii="Arial" w:hAnsi="Arial" w:cs="Arial"/>
        </w:rPr>
        <w:instrText xml:space="preserve"> ADDIN ZOTERO_ITEM CSL_CITATION {"citationID":"sJJ8WzYU","properties":{"formattedCitation":"(Ayukekbong et al., 2017; Essack et al., 2017)","plainCitation":"(Ayukekbong et al., 2017; Essack et al., 2017)","noteIndex":0},"citationItems":[{"id":336,"uris":["http://zotero.org/users/local/OIj6EcLj/items/QW46DHUX"],"itemData":{"id":336,"type":"article-journal","container-title":"Antimicrobial Resistance &amp; Infection Control","DOI":"10.1186/s13756-017-0208-x","ISSN":"2047-2994","issue":"1","journalAbbreviation":"Antimicrob Resist Infect Control","language":"en","page":"47","source":"DOI.org (Crossref)","title":"The threat of antimicrobial resistance in developing countries: causes and control strategies","title-short":"The threat of antimicrobial resistance in developing countries","volume":"6","author":[{"family":"Ayukekbong","given":"James A."},{"family":"Ntemgwa","given":"Michel"},{"family":"Atabe","given":"Andrew N."}],"issued":{"date-parts":[["2017",12]]}}},{"id":339,"uris":["http://zotero.org/users/local/OIj6EcLj/items/T4T7KK9A"],"itemData":{"id":339,"type":"article-journal","abstract":"The high burden of communicable diseases in African countries engenders extensive antimicrobial use and subsequent resistance with substantial health, financial and societal implications. A desktop analysis to ascertain whether countries in the WHO African region have implemented the WHO Policy Package to combat antimicrobial resistance (AMR) revealed that just two countries (4.3%) have national AMR plans in place, 14.9% (7) have overarching national infection prevention and control (IPC) policies, 93.6% (44) have essential medicines lists and 91.5% (43) have national medicines policies and treatment gui</w:instrText>
      </w:r>
      <w:r w:rsidR="00D05030" w:rsidRPr="00D05030">
        <w:rPr>
          <w:rFonts w:ascii="Arial" w:hAnsi="Arial" w:cs="Arial"/>
          <w:lang w:val="fr-FR"/>
        </w:rPr>
        <w:instrText>delines intimating rational use. None c</w:instrText>
      </w:r>
      <w:r w:rsidR="00D05030" w:rsidRPr="00D05030">
        <w:rPr>
          <w:rFonts w:ascii="Arial" w:hAnsi="Arial" w:cs="Arial"/>
          <w:lang w:val="en-GB"/>
        </w:rPr>
        <w:instrText xml:space="preserve">urrently have representative national surveillance systems nor do any incentivize research and development into new medicines and diagnostics. A regional situational analysis to identify scalable good practices within African, resource-constrained country contexts under the auspices of WHO-AFRO is a necessary initial step towards the development of national and regional action plans in concert with incremental progress towards achieving the objectives of the policy package and global action plan. While it is clearly the responsibility of governments to develop, resource and implement plans, regular reporting to and/or monitoring and evaluation by an overarching body such as WHO-AFRO will ensure persistent incremental progress within continuous quality and accountability improvement paradigms.","container-title":"Journal of Public Health","DOI":"10.1093/pubmed/fdw015","ISSN":"1741-3842","issue":"1","journalAbbreviation":"Journal of Public Health","page":"8-13","source":"Silverchair","title":"Antimicrobial resistance in the WHO African region: current status and roadmap for action","title-short":"Antimicrobial resistance in the WHO African region","volume":"39","author":[{"family":"Essack","given":"S.Y."},{"family":"Desta","given":"A.T."},{"family":"Abotsi","given":"R.E."},{"family":"Agoba","given":"E.E."}],"issued":{"date-parts":[["2017",3,1]]}}}],"schema":"https://github.com/citation-style-language/schema/raw/master/csl-citation.json"} </w:instrText>
      </w:r>
      <w:r w:rsidR="001F44F0">
        <w:rPr>
          <w:rFonts w:ascii="Arial" w:hAnsi="Arial" w:cs="Arial"/>
        </w:rPr>
        <w:fldChar w:fldCharType="separate"/>
      </w:r>
      <w:r w:rsidR="00D05030" w:rsidRPr="00D05030">
        <w:rPr>
          <w:rFonts w:ascii="Arial" w:hAnsi="Arial" w:cs="Arial"/>
          <w:lang w:val="en-GB"/>
        </w:rPr>
        <w:t>(Ayukekbong et al., 2017; Essack et al., 2017)</w:t>
      </w:r>
      <w:r w:rsidR="001F44F0">
        <w:rPr>
          <w:rFonts w:ascii="Arial" w:hAnsi="Arial" w:cs="Arial"/>
        </w:rPr>
        <w:fldChar w:fldCharType="end"/>
      </w:r>
      <w:r w:rsidRPr="00D05030">
        <w:rPr>
          <w:rFonts w:ascii="Arial" w:hAnsi="Arial" w:cs="Arial"/>
          <w:lang w:val="en-GB"/>
        </w:rPr>
        <w:t xml:space="preserve">. </w:t>
      </w:r>
      <w:r w:rsidRPr="00EF6FEC">
        <w:rPr>
          <w:rFonts w:ascii="Arial" w:hAnsi="Arial" w:cs="Arial"/>
        </w:rPr>
        <w:t>In Côte d’Ivoire, a clinical study in maxillofacial surgery highlighted pain, swelling, and suppuration as the main symptoms among infected patients</w:t>
      </w:r>
      <w:r w:rsidR="00D05030">
        <w:rPr>
          <w:rFonts w:ascii="Arial" w:hAnsi="Arial" w:cs="Arial"/>
        </w:rPr>
        <w:t xml:space="preserve"> </w:t>
      </w:r>
      <w:r w:rsidR="00D05030">
        <w:rPr>
          <w:rFonts w:ascii="Arial" w:hAnsi="Arial" w:cs="Arial"/>
        </w:rPr>
        <w:fldChar w:fldCharType="begin"/>
      </w:r>
      <w:r w:rsidR="00D05030">
        <w:rPr>
          <w:rFonts w:ascii="Arial" w:hAnsi="Arial" w:cs="Arial"/>
        </w:rPr>
        <w:instrText xml:space="preserve"> ADDIN ZOTERO_ITEM CSL_CITATION {"citationID":"UVcxDBt5","properties":{"formattedCitation":"(ANZOUAN-KACOU et al., 2022)","plainCitation":"(ANZOUAN-KACOU et al., 2022)","noteIndex":0},"citationItems":[{"id":342,"uris":["http://zotero.org/users/local/OIj6EcLj/items/MJHH6HQM"],"itemData":{"id":342,"type":"article-journal","container-title":"Rev Col Odonto-Stomatol Afr Chir Maxillo-Fac","issue":"3","page":"20–5","source":"Google Scholar","title":"Cellulites cervico-faciales de l’enfant: aspects épidémiologiques, cliniques et thérapeutiques au CHU de Treichville (Abidjan)","title-short":"Cellulites cervico-faciales de l’enfant","volume":"29","author":[{"family":"ANZOUAN-KACOU","given":"ERMA"},{"family":"YAPO","given":"A."},{"family":"BEHIBRO","given":"R."},{"family":"SEGUY","given":"F."},{"family":"LATE","given":"S."},{"family":"KONAN","given":"E."}],"issued":{"date-parts":[["2022"]]}}}],"schema":"https://github.com/citation-style-language/schema/raw/master/csl-citation.json"} </w:instrText>
      </w:r>
      <w:r w:rsidR="00D05030">
        <w:rPr>
          <w:rFonts w:ascii="Arial" w:hAnsi="Arial" w:cs="Arial"/>
        </w:rPr>
        <w:fldChar w:fldCharType="separate"/>
      </w:r>
      <w:r w:rsidR="00D05030" w:rsidRPr="00D05030">
        <w:rPr>
          <w:rFonts w:ascii="Arial" w:hAnsi="Arial" w:cs="Arial"/>
        </w:rPr>
        <w:t>(ANZOUAN-KACOU et al., 2022)</w:t>
      </w:r>
      <w:r w:rsidR="00D05030">
        <w:rPr>
          <w:rFonts w:ascii="Arial" w:hAnsi="Arial" w:cs="Arial"/>
        </w:rPr>
        <w:fldChar w:fldCharType="end"/>
      </w:r>
      <w:r w:rsidRPr="00EF6FEC">
        <w:rPr>
          <w:rFonts w:ascii="Arial" w:hAnsi="Arial" w:cs="Arial"/>
        </w:rPr>
        <w:t>, with socio-economic factors such as low purchasing power and access to informal pharmaceutical markets exacerbating the spread of resistance</w:t>
      </w:r>
      <w:r w:rsidR="00FC3660">
        <w:rPr>
          <w:rFonts w:ascii="Arial" w:hAnsi="Arial" w:cs="Arial"/>
        </w:rPr>
        <w:t xml:space="preserve"> </w:t>
      </w:r>
      <w:r w:rsidR="00D05030">
        <w:rPr>
          <w:rFonts w:ascii="Arial" w:hAnsi="Arial" w:cs="Arial"/>
        </w:rPr>
        <w:fldChar w:fldCharType="begin"/>
      </w:r>
      <w:r w:rsidR="00D05030">
        <w:rPr>
          <w:rFonts w:ascii="Arial" w:hAnsi="Arial" w:cs="Arial"/>
        </w:rPr>
        <w:instrText xml:space="preserve"> ADDIN ZOTERO_ITEM CSL_CITATION {"citationID":"aqNoHbN8","properties":{"formattedCitation":"(Okeke et al., 2005)","plainCitation":"(Okeke et al., 2005)","noteIndex":0},"citationItems":[{"id":344,"uris":["http://zotero.org/users/local/OIj6EcLj/items/Q7N7KN72"],"itemData":{"id":344,"type":"article-journal","container-title":"The Lancet Infectious Diseases","DOI":"10.1016/S1473-3099(05)70189-4","ISSN":"1473-3099, 1474-4457","issue":"8","journalAbbreviation":"The Lancet Infectious Diseases","language":"English","note":"publisher: Elsevier\nPMID: 16048717","page":"481-493","source":"www.thelancet.com","title":"Antimicrobial resistance in developing countries. Part I: recent trends and current status","title-short":"Antimicrobial resistance in developing countries. Part I","volume":"5","author":[{"family":"Okeke","given":"Iruka N."},{"family":"Laxminarayan","given":"Ramanan"},{"family":"Bhutta","given":"Zulfiqar A."},{"family":"Duse","given":"Adriano G."},{"family":"Jenkins","given":"Philip"},{"family":"O'Brien","given":"Thomas F."},{"family":"Pablos-Mendez","given":"Ariel"},{"family":"Klugman","given":"Keith P."}],"issued":{"date-parts":[["2005",8,1]]}}}],"schema":"https://github.com/citation-style-language/schema/raw/master/csl-citation.json"} </w:instrText>
      </w:r>
      <w:r w:rsidR="00D05030">
        <w:rPr>
          <w:rFonts w:ascii="Arial" w:hAnsi="Arial" w:cs="Arial"/>
        </w:rPr>
        <w:fldChar w:fldCharType="separate"/>
      </w:r>
      <w:r w:rsidR="00D05030" w:rsidRPr="00D05030">
        <w:rPr>
          <w:rFonts w:ascii="Arial" w:hAnsi="Arial" w:cs="Arial"/>
        </w:rPr>
        <w:t>(Okeke et al., 2005)</w:t>
      </w:r>
      <w:r w:rsidR="00D05030">
        <w:rPr>
          <w:rFonts w:ascii="Arial" w:hAnsi="Arial" w:cs="Arial"/>
        </w:rPr>
        <w:fldChar w:fldCharType="end"/>
      </w:r>
      <w:r w:rsidRPr="00485BBF">
        <w:rPr>
          <w:rFonts w:ascii="Arial" w:hAnsi="Arial" w:cs="Arial"/>
        </w:rPr>
        <w:t>.</w:t>
      </w:r>
    </w:p>
    <w:p w14:paraId="7F1ACC35" w14:textId="3554AD35" w:rsidR="006A0FC6" w:rsidRPr="00FC3660" w:rsidRDefault="006A0FC6" w:rsidP="006A0FC6">
      <w:pPr>
        <w:pStyle w:val="Body"/>
        <w:rPr>
          <w:rFonts w:ascii="Arial" w:hAnsi="Arial" w:cs="Arial"/>
          <w:lang w:val="fr-FR"/>
        </w:rPr>
      </w:pPr>
      <w:r w:rsidRPr="006A0FC6">
        <w:rPr>
          <w:rFonts w:ascii="Arial" w:hAnsi="Arial" w:cs="Arial"/>
          <w:lang w:val="en-GB"/>
        </w:rPr>
        <w:t xml:space="preserve">Over the past two decades, infections caused by multidrug-resistant Gram-negative bacteria have emerged as a major public health concern in developing countries </w:t>
      </w:r>
      <w:r w:rsidR="00FC3660">
        <w:rPr>
          <w:rFonts w:ascii="Arial" w:hAnsi="Arial" w:cs="Arial"/>
          <w:lang w:val="en-GB"/>
        </w:rPr>
        <w:fldChar w:fldCharType="begin"/>
      </w:r>
      <w:r w:rsidR="00FC3660">
        <w:rPr>
          <w:rFonts w:ascii="Arial" w:hAnsi="Arial" w:cs="Arial"/>
          <w:lang w:val="en-GB"/>
        </w:rPr>
        <w:instrText xml:space="preserve"> ADDIN ZOTERO_ITEM CSL_CITATION {"citationID":"zy2kkYKL","properties":{"formattedCitation":"(Shakibaie et al., 2012)","plainCitation":"(Shakibaie et al., 2012)","noteIndex":0},"citationItems":[{"id":346,"uris":["http://zotero.org/users/local/OIj6EcLj/items/3PQH3ZL7"],"itemData":{"id":346,"type":"article-journal","abstract":"The global increase in multidrug resistance of Acinetobacter spp. has created widespread problems in the treatment of patients in intensive care units (ICUs) of hospitals. To assess the sensitivity of Acinetobacter isolates to antibiotics routinely used in ICUs, we investigated antibiotic resistance patterns and extended-spectrum β-lactamase (ESBL) production among Acinetobacter spp. isolated from the ICU of a university hospital in Kerman, Iran.","container-title":"Antimicrobial Resistance and Infection Control","DOI":"10.1186/2047-2994-1-1","ISSN":"2047-2994","issue":"1","journalAbbreviation":"Antimicrob Resist Infect Control","language":"en","page":"1","source":"Springer Link","title":"Antibiotic resistance patterns and extended-spectrum β-lactamase production among Acinetobacter spp. isolated from an intensive care Unit of a hospital in Kerman, Iran","volume":"1","author":[{"family":"Shakibaie","given":"Mohammad Reza"},{"family":"Adeli","given":"Saied"},{"family":"Salehi","given":"Mohammad Hosain"}],"issued":{"date-parts":[["2012",10,13]]}}}],"schema":"https://github.com/citation-style-language/schema/raw/master/csl-citation.json"} </w:instrText>
      </w:r>
      <w:r w:rsidR="00FC3660">
        <w:rPr>
          <w:rFonts w:ascii="Arial" w:hAnsi="Arial" w:cs="Arial"/>
          <w:lang w:val="en-GB"/>
        </w:rPr>
        <w:fldChar w:fldCharType="separate"/>
      </w:r>
      <w:r w:rsidR="00FC3660" w:rsidRPr="00FC3660">
        <w:rPr>
          <w:rFonts w:ascii="Arial" w:hAnsi="Arial" w:cs="Arial"/>
        </w:rPr>
        <w:t>(Shakibaie et al., 2012)</w:t>
      </w:r>
      <w:r w:rsidR="00FC3660">
        <w:rPr>
          <w:rFonts w:ascii="Arial" w:hAnsi="Arial" w:cs="Arial"/>
          <w:lang w:val="en-GB"/>
        </w:rPr>
        <w:fldChar w:fldCharType="end"/>
      </w:r>
      <w:r w:rsidRPr="00485BBF">
        <w:rPr>
          <w:rFonts w:ascii="Arial" w:hAnsi="Arial" w:cs="Arial"/>
          <w:lang w:val="en-GB"/>
        </w:rPr>
        <w:t>. In Côte d’Ivoire, the rising resistance of bacteria to antibiotics</w:t>
      </w:r>
      <w:r w:rsidR="00FC3660">
        <w:rPr>
          <w:rFonts w:ascii="Arial" w:hAnsi="Arial" w:cs="Arial"/>
          <w:lang w:val="en-GB"/>
        </w:rPr>
        <w:t xml:space="preserve"> </w:t>
      </w:r>
      <w:r w:rsidRPr="00485BBF">
        <w:rPr>
          <w:rFonts w:ascii="Arial" w:hAnsi="Arial" w:cs="Arial"/>
          <w:lang w:val="en-GB"/>
        </w:rPr>
        <w:t>particularly the emergence of extended-spectrum beta-lactamase (ESBL)</w:t>
      </w:r>
      <w:r w:rsidR="00FC3660">
        <w:rPr>
          <w:rFonts w:ascii="Arial" w:hAnsi="Arial" w:cs="Arial"/>
          <w:lang w:val="en-GB"/>
        </w:rPr>
        <w:t xml:space="preserve"> </w:t>
      </w:r>
      <w:r w:rsidRPr="00485BBF">
        <w:rPr>
          <w:rFonts w:ascii="Arial" w:hAnsi="Arial" w:cs="Arial"/>
          <w:lang w:val="en-GB"/>
        </w:rPr>
        <w:t>producing Enterobacteriaceae</w:t>
      </w:r>
      <w:r w:rsidR="00FC3660">
        <w:rPr>
          <w:rFonts w:ascii="Arial" w:hAnsi="Arial" w:cs="Arial"/>
          <w:lang w:val="en-GB"/>
        </w:rPr>
        <w:t xml:space="preserve"> </w:t>
      </w:r>
      <w:r w:rsidRPr="00485BBF">
        <w:rPr>
          <w:rFonts w:ascii="Arial" w:hAnsi="Arial" w:cs="Arial"/>
          <w:lang w:val="en-GB"/>
        </w:rPr>
        <w:t xml:space="preserve">represents a significant healthcare challenge </w:t>
      </w:r>
      <w:r w:rsidR="00FC3660">
        <w:rPr>
          <w:rFonts w:ascii="Arial" w:hAnsi="Arial" w:cs="Arial"/>
          <w:lang w:val="en-GB"/>
        </w:rPr>
        <w:fldChar w:fldCharType="begin"/>
      </w:r>
      <w:r w:rsidR="00927467">
        <w:rPr>
          <w:rFonts w:ascii="Arial" w:hAnsi="Arial" w:cs="Arial"/>
          <w:lang w:val="en-GB"/>
        </w:rPr>
        <w:instrText xml:space="preserve"> ADDIN ZOTERO_ITEM CSL_CITATION {"citationID":"T0uUkD3o","properties":{"formattedCitation":"(Akoua-Koffi et al., 2004; Baguy et al., 2014; N. K. Guessennd et al., 2013)","plainCitation":"(Akoua-Koffi et al., 2004; Baguy et al., 2014; N. K. Guessennd et al., 2013)","noteIndex":0},"citationItems":[{"id":378,"uris":["http://zotero.org/users/local/OIj6EcLj/items/QAHMGGZK"],"itemData":{"id":378,"type":"article-journal","abstract":"Résumé\nObjectif. – Déterminer la prévalence des souches de Staphylococcus aureus résistant à la méticilline (SARM) isolées d’infections à Abidjan ainsi que leur profil de résistance aux autres antibiotiques. Matériel et méthodes. – Trois cent quarante souches de S. aureus isolées à partir de divers produits biologiques de malades hospitalisés ont été étudiées. La détection de la méticillino-résistance par la méthode de diffusion en milieu gélosé utilisant l’oxacilline a été réalisée. Les souches de SARM détectées ont été confirmées par un criblage en gélose Mueller-Hinton contenant 6 μg/ml d’oxacilline. La résistance aux autres familles d’antibiotiques a été étudiée par l’antibiogramme en milieu gélosé. Résultats. – Vingt-cinq pour cent de souches analysées étaient résistantes à la méticilline (souches SARM). Ces SARM ont été isolées principalement d’hémoculture (14,2 %), de secrétions purulentes (4 %) et d’urines (1,9 %) qui provenaient des services de néonatalogie (13 %), de chirurgie (5,4 %) et de réanimation (3,4 %). Une proportion variable des souches de SARM exprimaient une résistance à d’autres familles d’antibiotiques : aminosides (phénotype KTG) 77,6 %, rifampicine 8,8 %, fluoroquinolones 34,1 % et vancomycine 5,9 %. Conclusion. – La circulation de SARM multirésistants chez les patients hospitalisés notamment en néonatalogie impose une surveillance de l’évolution de cette résistance. Les facteurs de risque et les marqueurs associés à l’infection par les SARM méritent d’être déterminés.\nObjective. – The authors had for aim to determine the prevalence of methicillin-resistant Staphylococcus aureus (MRSA) strains on infections in Abidjan as well as their susceptibility to other antibiotics. Methods. – Three hundred and forty strains of S. aureus from various samples of hospitalized patients were studied. Methicillin-resistance was assessed using oxacillin disk diffusion in agar. The MRSA, once detected, were confirmed by screening in Mueller-Hinton agar containing oxacillin at 6 μg/ml. The susceptibility to other antibiotics was analyzed using an antibiogram in agar medium. Results. – Twenty-five percent of strains were resistant to methicillin (MRSA strains). Those MRSA were identified mainly in blood culture (14.2%), pus (4%) and urine (1.9%). Samples were collected in neonatal unit (13%), surgical units (5.4%) and intensive care unit (3.4%). A variable proportion of MRSA expressed resistance to other families of antibiotics: aminoglycosides 77.6%, rifampicin 8.8%, fluoroquinolones 34.1% and vancomycin 5.9%. Conclusion. – Circulation of multidrug resistant MRSA in hospital, especially in neonatal unit, should lead to surveillance. Risk factors and other associated markers need to be identified.","container-title":"Médecine et Maladies Infectieuses","DOI":"10.1016/j.medmal.2003.12.001","ISSN":"0399-077X","issue":"3","journalAbbreviation":"Médecine et Maladies Infectieuses","page":"132-136","source":"ScienceDirect","title":"La méticillino-résistance de &lt;i&gt;Staphylococcus aureus&lt;/i&gt; isolés à Abidjan (1998–2001) : un nouveau problème en milieu hospitalier","title-short":"La méticillino-résistance de &lt;i&gt;Staphylococcus aureus&lt;/i&gt; isolés à Abidjan (1998–2001)","volume":"34","author":[{"family":"Akoua-Koffi","given":"C"},{"family":"Guessennd","given":"N"},{"family":"Gbonon","given":"V"},{"family":"Faye-Ketté","given":"H"},{"family":"Dosso","given":"M"}],"issued":{"date-parts":[["2004",3,1]]}}},{"id":352,"uris":["http://zotero.org/users/local/OIj6EcLj/items/C7QZDLX4"],"itemData":{"id":352,"type":"article-journal","container-title":"AMC","pa</w:instrText>
      </w:r>
      <w:r w:rsidR="00927467" w:rsidRPr="00927467">
        <w:rPr>
          <w:rFonts w:ascii="Arial" w:hAnsi="Arial" w:cs="Arial"/>
          <w:lang w:val="fr-FR"/>
        </w:rPr>
        <w:instrText xml:space="preserve">ge":"16","source":"Google Scholar","title":"First report of qnr genes in multidrugs resistant (ESBL) enterobacteria isolated from different ecosystems in Abidjan, Ivory Coast","volume":"21","author":[{"family":"Baguy","given":"Ouattara Mohamed"},{"family":"Nathalie","given":"Guessennd Kouadio"},{"family":"David","given":"Coulibaly N’Golo"},{"family":"Daniel","given":"Saraka N’Guessan"},{"family":"Julien","given":"Coulibaly Kalpy"},{"family":"Rose","given":"Koffi-Nevry"},{"family":"Djénéba","given":"Ouattara Gnoh"},{"family":"Valérie","given":"Gbonon"},{"family":"Bertin","given":"Tiekoura Konan"},{"family":"Mireille","given":"Dosso"}],"issued":{"date-parts":[["2014"]]}}},{"id":350,"uris":["http://zotero.org/users/local/OIj6EcLj/items/WLVM869A"],"itemData":{"id":350,"type":"article-journal","container-title":"Journal of Applied Biosciences","page":"5456–5464","source":"Google Scholar","title":"Étude des bactéries multirésistantes des effluents hospitaliers d’un centre hospitalier et universitaire (CHU) de la ville d’Abidjan (Côte d’Ivoire).","volume":"69","author":[{"family":"Guessennd","given":"N. K."},{"family":"Ouattara","given":"M. B."},{"family":"Ouattara","given":"N. D."},{"family":"Nevry","given":"R. K."},{"family":"Gbanon","given":"V."},{"family":"Tiekoura","given":"K. B."},{"family":"Dosso","given":"M."},{"family":"Ger","given":"B. M. R."}],"issued":{"date-parts":[["2013"]]}}}],"schema":"https://github.com/citation-style-language/schema/raw/master/csl-citation.json"} </w:instrText>
      </w:r>
      <w:r w:rsidR="00FC3660">
        <w:rPr>
          <w:rFonts w:ascii="Arial" w:hAnsi="Arial" w:cs="Arial"/>
          <w:lang w:val="en-GB"/>
        </w:rPr>
        <w:fldChar w:fldCharType="separate"/>
      </w:r>
      <w:r w:rsidR="00927467" w:rsidRPr="00927467">
        <w:rPr>
          <w:rFonts w:ascii="Arial" w:hAnsi="Arial" w:cs="Arial"/>
          <w:lang w:val="fr-FR"/>
        </w:rPr>
        <w:t>(Akoua-Koffi et al., 2004; Baguy et al., 2014; N. K. Guessennd et al., 2013)</w:t>
      </w:r>
      <w:r w:rsidR="00FC3660">
        <w:rPr>
          <w:rFonts w:ascii="Arial" w:hAnsi="Arial" w:cs="Arial"/>
          <w:lang w:val="en-GB"/>
        </w:rPr>
        <w:fldChar w:fldCharType="end"/>
      </w:r>
    </w:p>
    <w:p w14:paraId="42190BF5" w14:textId="18E1F51B" w:rsidR="006A0FC6" w:rsidRPr="00927467" w:rsidRDefault="006A0FC6" w:rsidP="006A0FC6">
      <w:pPr>
        <w:pStyle w:val="Body"/>
        <w:rPr>
          <w:rFonts w:ascii="Arial" w:hAnsi="Arial" w:cs="Arial"/>
          <w:lang w:val="fr-FR"/>
        </w:rPr>
      </w:pPr>
      <w:proofErr w:type="spellStart"/>
      <w:r w:rsidRPr="00927467">
        <w:rPr>
          <w:rFonts w:ascii="Arial" w:hAnsi="Arial" w:cs="Arial"/>
          <w:lang w:val="fr-FR"/>
        </w:rPr>
        <w:t>Several</w:t>
      </w:r>
      <w:proofErr w:type="spellEnd"/>
      <w:r w:rsidRPr="00927467">
        <w:rPr>
          <w:rFonts w:ascii="Arial" w:hAnsi="Arial" w:cs="Arial"/>
          <w:lang w:val="fr-FR"/>
        </w:rPr>
        <w:t xml:space="preserve"> </w:t>
      </w:r>
      <w:proofErr w:type="spellStart"/>
      <w:r w:rsidRPr="00927467">
        <w:rPr>
          <w:rFonts w:ascii="Arial" w:hAnsi="Arial" w:cs="Arial"/>
          <w:lang w:val="fr-FR"/>
        </w:rPr>
        <w:t>studi</w:t>
      </w:r>
      <w:proofErr w:type="spellEnd"/>
      <w:r w:rsidRPr="00927467">
        <w:rPr>
          <w:rFonts w:ascii="Arial" w:hAnsi="Arial" w:cs="Arial"/>
          <w:lang w:val="en-GB"/>
        </w:rPr>
        <w:t xml:space="preserve">es have documented the presence and dissemination </w:t>
      </w:r>
      <w:r w:rsidRPr="006A0FC6">
        <w:rPr>
          <w:rFonts w:ascii="Arial" w:hAnsi="Arial" w:cs="Arial"/>
          <w:lang w:val="en-GB"/>
        </w:rPr>
        <w:t xml:space="preserve">of ESBL-producing strains in human-derived Enterobacteriaceae </w:t>
      </w:r>
      <w:r w:rsidR="00927467">
        <w:rPr>
          <w:rFonts w:ascii="Arial" w:hAnsi="Arial" w:cs="Arial"/>
          <w:lang w:val="en-GB"/>
        </w:rPr>
        <w:fldChar w:fldCharType="begin"/>
      </w:r>
      <w:r w:rsidR="00927467">
        <w:rPr>
          <w:rFonts w:ascii="Arial" w:hAnsi="Arial" w:cs="Arial"/>
          <w:lang w:val="en-GB"/>
        </w:rPr>
        <w:instrText xml:space="preserve"> ADDIN ZOTERO_ITEM CSL_CITATION {"citationID":"UkxR1zb7","properties":{"formattedCitation":"(Ibrahim et al., 2023; Soma et al., 2024)","plainCitation":"(Ibrahim et al., 2023; Soma et al., 2024)","noteIndex":0},"citationItems":[{"id":380,"uris":["http://zotero.org/users/local/OIj6EcLj/items/M2BBGDVA"],"itemData":{"id":380,"type":"article-journal","container-title":"Antibiotics","issue":"1","note":"publisher: MDPI","page":"169","source":"Google Scholar","title":"Multidrug-resistant ESBL-producing E. coli in clinical samples from the UK","volume":"12","author":[{"family":"Ibrahim","given":"Delveen R."},{"family":"Dodd","given":"Christine ER"},{"family":"Stekel","given":"Dov J."},{"family":"Meshioye","given":"Remilekun T."},{"family":"Diggle","given":"Mathew"},{"family":"Lister","given":"Michelle"},{"family":"Hobman","given":"Jon L."}],"issued":{"date-parts":[["2023"]]}}},{"id":348,"uris":["http://zotero.org/users/local/OIj6EcLj/items/XZ8NZ8N5"],"itemData":{"id":348,"type":"article-journal","abstract":"Extended-spectrum beta-lactamase (ESBL)-producing and multidrug-resistant Enterobacterales pose a major threat to both human and animal health. This study assessed the prevalence of ESBL-producing Escherichia coli (ESBL-Ec) and Klebsiella spp. (ESBL-K) on cattle farms in Ouagadougou, Burkina Faso, using a One Health approach. From May 2021 to September 2022, cattle faeces, farmers’ stools, their drinking water and farm soil samples were collected from semi-intensive and traditional farms. An ESBL-selective medium was used to obtain resistant isolates, which were further characterised using biochemical tests. Antimicrobial susceptibility testing was performed using the Kirby–Bauer disc diffusion method. ESBL-Ec and/or ESBL-K were detected in 188 of 322 samples (58.0%). The prevalence of ESBL-Ec isolates was 42.2% (136/322) and that of ESBL-K isolates was 24.5% (79/322). Notably, 156 of the 188 ESBL isolates (83.0%) exhibited multidrug resistance. The highest resistance rates were observed against tetracycline and cotrimoxazole. Importantly, no isolates showed resistance to meropenem, which was used to test for carbapenem resistance. This study highlights the presence of ESBL-Ec and ESBL-K among the humans, animals and environment of the cattle farms. Good hygiene and biosafety practices are essential to limit the potential spread of multidrug-resistant bacteria between different interfaces on farms.","container-title":"Microbiology Research","DOI":"10.3390/microbiolres15040153","ISSN":"2036-7481","issue":"4","language":"en","license":"http://creativecommons.org/licenses/by/3.0/","note":"number: 4\npublisher: Multidisciplinary Digital Publishing Institute","page":"2286-2297","source":"www.mdpi.com","title":"Extended-Spectrum Beta-Lactamase-Producing and Multidrug-Resistant Escherichia coli and Klebsiella spp. from the Human–Animal–Environment Interface on Cattle Farms in Burkina Faso","volume":"15","author":[{"family":"Soma","given":"Djifahamaï"},{"family":"Bonkoungou","given":"Isidore Juste Ouindgueta"},{"family":"Garba","given":"Zakaria"},{"family":"Diarra","given":"Fatimata Bintou Josiane"},{"family":"Somda","given":"Namwin Siourimè"},{"family":"Nikiema","given":"Marguerite Edith Malatala"},{"family":"Bako","given":"Evariste"},{"family":"Sore","given":"Souleymane"},{"family":"Sawadogo","given":"Natéwindé"},{"family":"Barro","given":"Nicolas"},{"family":"Haukka","given":"Kaisa"}],"issued":{"date-parts":[["2024",12]]}}}],"schema":"https://github.com/citation-style-language/schema/raw/master/csl-citation.json"} </w:instrText>
      </w:r>
      <w:r w:rsidR="00927467">
        <w:rPr>
          <w:rFonts w:ascii="Arial" w:hAnsi="Arial" w:cs="Arial"/>
          <w:lang w:val="en-GB"/>
        </w:rPr>
        <w:fldChar w:fldCharType="separate"/>
      </w:r>
      <w:r w:rsidR="00927467" w:rsidRPr="00927467">
        <w:rPr>
          <w:rFonts w:ascii="Arial" w:hAnsi="Arial" w:cs="Arial"/>
        </w:rPr>
        <w:t>(Ibrahim et al., 2023; Soma et al., 2024)</w:t>
      </w:r>
      <w:r w:rsidR="00927467">
        <w:rPr>
          <w:rFonts w:ascii="Arial" w:hAnsi="Arial" w:cs="Arial"/>
          <w:lang w:val="en-GB"/>
        </w:rPr>
        <w:fldChar w:fldCharType="end"/>
      </w:r>
      <w:r w:rsidRPr="00FE6DDA">
        <w:rPr>
          <w:rFonts w:ascii="Arial" w:hAnsi="Arial" w:cs="Arial"/>
          <w:lang w:val="en-GB"/>
        </w:rPr>
        <w:t>,</w:t>
      </w:r>
      <w:r w:rsidRPr="006A0FC6">
        <w:rPr>
          <w:rFonts w:ascii="Arial" w:hAnsi="Arial" w:cs="Arial"/>
          <w:lang w:val="en-GB"/>
        </w:rPr>
        <w:t xml:space="preserve"> as well as in isolates of animal and environmental origin</w:t>
      </w:r>
      <w:r w:rsidRPr="002F3157">
        <w:rPr>
          <w:rFonts w:ascii="Arial" w:hAnsi="Arial" w:cs="Arial"/>
          <w:lang w:val="en-GB"/>
        </w:rPr>
        <w:t>. Enzymes of the TEM, SHV, and CTX-M families have notably been identified in human strains</w:t>
      </w:r>
      <w:r w:rsidR="00927467">
        <w:rPr>
          <w:rFonts w:ascii="Arial" w:hAnsi="Arial" w:cs="Arial"/>
          <w:lang w:val="en-GB"/>
        </w:rPr>
        <w:fldChar w:fldCharType="begin"/>
      </w:r>
      <w:r w:rsidR="00927467">
        <w:rPr>
          <w:rFonts w:ascii="Arial" w:hAnsi="Arial" w:cs="Arial"/>
          <w:lang w:val="en-GB"/>
        </w:rPr>
        <w:instrText xml:space="preserve"> ADDIN ZOTERO_ITEM CSL_CITATION {"citationID":"UfH1nta7","properties":{"formattedCitation":"(N. Guessennd et al., 2008; Toty et al., 2016)","plainCitation":"(N. Guessennd et al., 2008; Toty et al., 2016)","noteIndex":0},"citationItems":[{"id":355,"uris":["http://zotero.org/users/local/OIj6EcLj/items/VQ26BFGZ"],"itemData":{"id":355,"type":"article-journal","abstract":"Résumé\nL’objectif de l’étude était de montrer l’émergence des gènes qnr chez les entérobactéries productrices de bêta-lactamases à spectre élargi à Abidjan entre 2005 et 2006. Au total, 151 souches d’entérobactéries productrices de bêta-lactamases à spectre élargi ont été étudiées : 64 Escherichia coli, 66 Klebsiella pneumoniae, sept Klebsiella oxytoca et 14 Enterobacter spp. provenant de produits biologiques divers et de patients hospitalisés et externes. Les techniques de diffusion de disques, de double synergie, de E-test ont été utilisées pour l’antibiogramme, la détection des bêta-lactamases à spectre élargi et la concentration minimale inhibitrice. Les gènes blaSHV, TEM, CTXM groupe 1, 2, 8, 9 et AmpC ont été déterminés par PCR et caractérisés par séquençage. Une prévalence globale de 27,2 % (41/151) et des taux de 9,9, 14,6, 2,7 % pour les gènes qnr A, B, A et S ont été observés. La répartition était de 42,9 % chez Enterobacter spp, 31,2 % chez Escherichia coli, 20,5 % chez Klebsiella ; 30 souches exprimaient au moins deux gènes bla ; quatre souches étaient associées aux AmpC. Les souches étaient résistantes au cotrimoxazole (97,6 %), au céfépime (73,2 %), à la céfoxitine (56,1 %), à l’imipénème (0 %) et 43,9 % à tous les aminosides. Cette haute prévalence de gènes qnr associés à plusieurs types de gènes bla à caractère épidémique, le haut niveau de résistance aux antibiotiques font craindre un risque élevé de la transmission de bactéries multirésistantes et interpellent les autorités pour une politique de surveillance de la résistance.\nThe aim of the study was to show the emergence of the qnr genes in extended spectrum beta-lactamases producing enterobacteria in Abidjan between 2005 and 2006. The whole of 151 strains of extended spectrum beta-lactamases producing enterobacteria were studied: 64 Escherichia coli, 66 Klebsiella pneumoniae, seven Klebsiella oxytoca and 14 Enterobacter spp. isolated from various biological products and from in- and out-patients. The techniques of disks diffusion, double-disk synergy, E-test were respectively used for the antimicrobial susceptibility test, the detection of extended spectrum beta-lactamases and the minimal inhibiting concentration. The bla genesSHV, TEM, CTXM groups 1, 2, 8, 9, and AmpC were determined by PCR and characterized by sequencing. A global prevalence of 27,2 % (41/151) and rates of 9,9, 14,6, 2,7 % for the qnr genes A, B, A and S were observed. The distribution was 42,9 % for Enterobacter spp, 31,2 % for Escherichia coli, 20,5 % for Klebsiella; 30 strains expressed at least two bla genes; four strains were associated with AmpC. The strains were resistant to the cotrimoxazole (97,6 %), to the céfépime (73,2 %), to the céfoxitine (56,1 %), to the imipénème (0 %) and 43,9 % to all the aminosides. This high qnr gene prevalence associated with several types of bla genes in epidemic matter, the high level of resistance to antibiotics make fear a high risk of the transmission of multi-resistants bacteria and challenge the authorities for a resistance monitoring policy.","collection-title":"Numéro spécial Bactériologie - Infectiologie - Virologie. 1re partie","container-title":"Pathologie Biologie","DOI":"10.1016/j.patbio.2008.07.025","ISSN":"0369-8114","issue":"7","journalAbbreviation":"Pathologie Biologie","page":"439-446","source":"ScienceDirect","title":"Résistance aux quinolones de type qnr chez les entérobactéries productrices de bêta-lactamases à spectre élargi à Abidjan en Côte d’Ivoire","volume":"56","author":[{"family":"Guessennd","given":"N."},{"family":"Bremont","given":"S."},{"family":"Gbonon","given":"V."},{"family":"Kacou-NDouba","given":"A."},{"family":"Ekaza","given":"E."},{"family":"Lambert","given":"T."},{"family":"Dosso","given":"M."},{"family":"Courvalin","given":"P."}],"issued":{"date-parts":[["2008",11,1]]}}},{"id":382,"uris":["http://zotero.org/users/local/OIj6EcLj/items/DSSBGHYC"],"itemData":{"id":382,"type":"article-journal","abstract":"The aim of this study was to detect and identify blaTEM, blaSHV and blaOXA genes in Abidjan and Bouaké. A total of 73 strains of Enterobacteriaceae from Abidjan and Bouaké and resistant to at least two third generation cephalosporins have been taken into account. Maldi-Tof and Vitek-2, double-disc synergy method were used for identification, determination of minimum inhibitory concentrations (MIC) and the ESBL detection. The blaTEM, blaSHV and blaOXA genes were determined by PCR and the β-lactamases identified by sequencing. The overall prevalence of 56.2% was observed with rates of 65.8% for K. pneumoniae, 24.4% for E. coli, 7.3% for E. cloacae, 2.4% M. morganii and 0% in </w:instrText>
      </w:r>
      <w:r w:rsidR="00927467" w:rsidRPr="00927467">
        <w:rPr>
          <w:rFonts w:ascii="Arial" w:hAnsi="Arial" w:cs="Arial"/>
          <w:lang w:val="fr-FR"/>
        </w:rPr>
        <w:instrText xml:space="preserve">P. mirabilis. The blaTEM, blaSHV, blaOXA genes were detected at respective rates of 90.2%, 87.8% and 12.2%. The identification revealed the presence of TEM-1, TEM-116, SHV-11, SHV-12, SHV-75 and OXA-1. The strains were resistant to ceftazidime and cefotaxime (100%), to cefepime (95%) and susceptible to ertapenem and meropenem (100%). Our study showed an increase in the prevalence of TEM and OXA ESBLs and the first detection of TEM-116 and SHV-75 in Côte d’Ivoire.","container-title":"International Journal of Current Microbiology and Applied Sciences","DOI":"10.20546/ijcmas.2016.505.001","ISSN":"2319-7706","issue":"5","journalAbbreviation":"Int.J.Curr.Microbiol.App.Sci.","note":"publisher: Excellent Publishers","page":"1-9","source":"www.ijcmas.com","title":"First Detection of TEM-116 and SHV-75 Producing Enterobacteria Isolated from Two Ivorian eaching Hospitals: Case of Abidjan and Bouake","title-short":"First Detection of TEM-116 and SHV-75 Producing Enterobacteria Isolated from Two Ivorian eaching Hospitals","volume":"5","author":[{"family":"Toty","given":"A. A."},{"family":"Guessennd","given":"N."},{"family":"Akoua-Koffi","given":"C."},{"family":"Otokore","given":"D. A."},{"family":"Meex","given":"C."},{"family":"Mbengue","given":"G. V."},{"family":"Djaman","given":"A. J."},{"family":"Dosso","given":"M."},{"family":"Galleni","given":"M."}],"issued":{"date-parts":[["2016",5,10]]}}}],"schema":"https://github.com/citation-style-language/schema/raw/master/csl-citation.json"} </w:instrText>
      </w:r>
      <w:r w:rsidR="00927467">
        <w:rPr>
          <w:rFonts w:ascii="Arial" w:hAnsi="Arial" w:cs="Arial"/>
          <w:lang w:val="en-GB"/>
        </w:rPr>
        <w:fldChar w:fldCharType="separate"/>
      </w:r>
      <w:r w:rsidR="00927467" w:rsidRPr="00927467">
        <w:rPr>
          <w:rFonts w:ascii="Arial" w:hAnsi="Arial" w:cs="Arial"/>
          <w:lang w:val="fr-FR"/>
        </w:rPr>
        <w:t>(N. Guessennd et al., 2008; Toty et al., 2016)</w:t>
      </w:r>
      <w:r w:rsidR="00927467">
        <w:rPr>
          <w:rFonts w:ascii="Arial" w:hAnsi="Arial" w:cs="Arial"/>
          <w:lang w:val="en-GB"/>
        </w:rPr>
        <w:fldChar w:fldCharType="end"/>
      </w:r>
      <w:r w:rsidRPr="00927467">
        <w:rPr>
          <w:rFonts w:ascii="Arial" w:hAnsi="Arial" w:cs="Arial"/>
          <w:lang w:val="fr-FR"/>
        </w:rPr>
        <w:t>.</w:t>
      </w:r>
    </w:p>
    <w:p w14:paraId="588F612C" w14:textId="227D94F2" w:rsidR="006A0FC6" w:rsidRPr="006A0FC6" w:rsidRDefault="00EF0479" w:rsidP="006A0FC6">
      <w:pPr>
        <w:pStyle w:val="Body"/>
        <w:rPr>
          <w:rFonts w:ascii="Arial" w:hAnsi="Arial" w:cs="Arial"/>
          <w:lang w:val="en-GB"/>
        </w:rPr>
      </w:pPr>
      <w:r w:rsidRPr="003F2529">
        <w:rPr>
          <w:rFonts w:ascii="Arial" w:hAnsi="Arial" w:cs="Arial"/>
          <w:lang w:val="en-GB"/>
        </w:rPr>
        <w:t>This study seeks to investigate whether Enterobacteriaceae isolated from the oral cavity harbour plasmid-encoded ESBL genes, to identify the types of ESBLs produced, and to characterise the genetic determinants involved</w:t>
      </w:r>
      <w:r>
        <w:rPr>
          <w:rFonts w:ascii="Arial" w:hAnsi="Arial" w:cs="Arial"/>
          <w:lang w:val="en-GB"/>
        </w:rPr>
        <w:t>.</w:t>
      </w:r>
    </w:p>
    <w:p w14:paraId="5F88D443" w14:textId="77777777" w:rsidR="00790ADA" w:rsidRPr="006A0FC6" w:rsidRDefault="00790ADA" w:rsidP="00441B6F">
      <w:pPr>
        <w:pStyle w:val="Body"/>
        <w:spacing w:after="0"/>
        <w:rPr>
          <w:rFonts w:ascii="Arial" w:hAnsi="Arial" w:cs="Arial"/>
          <w:lang w:val="en-GB"/>
        </w:rPr>
      </w:pPr>
    </w:p>
    <w:p w14:paraId="1F43FA2A" w14:textId="6FB5102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DE0DF59" w14:textId="77777777" w:rsidR="00790ADA" w:rsidRPr="00FB3A86" w:rsidRDefault="00790ADA" w:rsidP="00441B6F">
      <w:pPr>
        <w:pStyle w:val="AbstHead"/>
        <w:spacing w:after="0"/>
        <w:jc w:val="both"/>
        <w:rPr>
          <w:rFonts w:ascii="Arial" w:hAnsi="Arial" w:cs="Arial"/>
        </w:rPr>
      </w:pPr>
    </w:p>
    <w:p w14:paraId="0530F961" w14:textId="51DB02F1" w:rsidR="00EF0479" w:rsidRPr="00EF0479" w:rsidRDefault="00EF0479" w:rsidP="00EF0479">
      <w:pPr>
        <w:pStyle w:val="Body"/>
        <w:spacing w:after="0"/>
        <w:rPr>
          <w:rFonts w:ascii="Arial" w:hAnsi="Arial" w:cs="Arial"/>
          <w:b/>
          <w:bCs/>
          <w:sz w:val="22"/>
          <w:szCs w:val="22"/>
          <w:lang w:val="en-GB"/>
        </w:rPr>
      </w:pPr>
      <w:r w:rsidRPr="00EF0479">
        <w:rPr>
          <w:rFonts w:ascii="Arial" w:hAnsi="Arial" w:cs="Arial"/>
          <w:b/>
          <w:bCs/>
          <w:sz w:val="22"/>
          <w:szCs w:val="22"/>
          <w:lang w:val="en-GB"/>
        </w:rPr>
        <w:t>2.1 Study Design and Setting</w:t>
      </w:r>
    </w:p>
    <w:p w14:paraId="486325B9" w14:textId="77777777" w:rsidR="002C2A24" w:rsidRDefault="00EF0479" w:rsidP="002C2A24">
      <w:pPr>
        <w:pStyle w:val="Body"/>
        <w:spacing w:after="0"/>
        <w:rPr>
          <w:rFonts w:ascii="Arial" w:hAnsi="Arial" w:cs="Arial"/>
        </w:rPr>
      </w:pPr>
      <w:r w:rsidRPr="003F2529">
        <w:rPr>
          <w:rFonts w:ascii="Arial" w:hAnsi="Arial" w:cs="Arial"/>
          <w:lang w:val="en-GB"/>
        </w:rPr>
        <w:t>This was a prospective, descriptive study conducted from August to October 2023 at the Private Catholic Hospital “Saints-</w:t>
      </w:r>
      <w:proofErr w:type="spellStart"/>
      <w:r w:rsidRPr="003F2529">
        <w:rPr>
          <w:rFonts w:ascii="Arial" w:hAnsi="Arial" w:cs="Arial"/>
          <w:lang w:val="en-GB"/>
        </w:rPr>
        <w:t>Cœurs</w:t>
      </w:r>
      <w:proofErr w:type="spellEnd"/>
      <w:r w:rsidRPr="003F2529">
        <w:rPr>
          <w:rFonts w:ascii="Arial" w:hAnsi="Arial" w:cs="Arial"/>
          <w:lang w:val="en-GB"/>
        </w:rPr>
        <w:t xml:space="preserve">” in </w:t>
      </w:r>
      <w:proofErr w:type="spellStart"/>
      <w:r w:rsidRPr="003F2529">
        <w:rPr>
          <w:rFonts w:ascii="Arial" w:hAnsi="Arial" w:cs="Arial"/>
          <w:lang w:val="en-GB"/>
        </w:rPr>
        <w:t>Abobo-Té</w:t>
      </w:r>
      <w:proofErr w:type="spellEnd"/>
      <w:r w:rsidRPr="003F2529">
        <w:rPr>
          <w:rFonts w:ascii="Arial" w:hAnsi="Arial" w:cs="Arial"/>
          <w:lang w:val="en-GB"/>
        </w:rPr>
        <w:t xml:space="preserve">, Abidjan. The investigation focused on the epidemiological, clinical, and bacteriological aspects of oral and dental infections. Patients were recruited from the dental surgery department of the hospital. All biological samples were processed at the </w:t>
      </w:r>
      <w:proofErr w:type="spellStart"/>
      <w:r w:rsidRPr="003F2529">
        <w:rPr>
          <w:rFonts w:ascii="Arial" w:hAnsi="Arial" w:cs="Arial"/>
          <w:lang w:val="en-GB"/>
        </w:rPr>
        <w:t>Institut</w:t>
      </w:r>
      <w:proofErr w:type="spellEnd"/>
      <w:r w:rsidRPr="003F2529">
        <w:rPr>
          <w:rFonts w:ascii="Arial" w:hAnsi="Arial" w:cs="Arial"/>
          <w:lang w:val="en-GB"/>
        </w:rPr>
        <w:t xml:space="preserve"> Pasteur of Côte d’Ivoire, specifically at the Clinical Bacteriology Unit in </w:t>
      </w:r>
      <w:proofErr w:type="spellStart"/>
      <w:r w:rsidRPr="003F2529">
        <w:rPr>
          <w:rFonts w:ascii="Arial" w:hAnsi="Arial" w:cs="Arial"/>
          <w:lang w:val="en-GB"/>
        </w:rPr>
        <w:t>Cocody</w:t>
      </w:r>
      <w:proofErr w:type="spellEnd"/>
      <w:r w:rsidRPr="003F2529">
        <w:rPr>
          <w:rFonts w:ascii="Arial" w:hAnsi="Arial" w:cs="Arial"/>
          <w:lang w:val="en-GB"/>
        </w:rPr>
        <w:t xml:space="preserve"> and the Molecular Biology Platform in </w:t>
      </w:r>
      <w:proofErr w:type="spellStart"/>
      <w:r w:rsidRPr="003F2529">
        <w:rPr>
          <w:rFonts w:ascii="Arial" w:hAnsi="Arial" w:cs="Arial"/>
          <w:lang w:val="en-GB"/>
        </w:rPr>
        <w:t>Adiopodoumé</w:t>
      </w:r>
      <w:proofErr w:type="spellEnd"/>
      <w:r w:rsidRPr="003F2529">
        <w:rPr>
          <w:rFonts w:ascii="Arial" w:hAnsi="Arial" w:cs="Arial"/>
          <w:lang w:val="en-GB"/>
        </w:rPr>
        <w:t>.</w:t>
      </w:r>
      <w:r w:rsidRPr="00EF0479">
        <w:rPr>
          <w:rFonts w:ascii="Arial" w:hAnsi="Arial" w:cs="Arial"/>
        </w:rPr>
        <w:t xml:space="preserve"> </w:t>
      </w:r>
    </w:p>
    <w:p w14:paraId="26023603" w14:textId="77777777" w:rsidR="002C2A24" w:rsidRDefault="002C2A24" w:rsidP="002C2A24">
      <w:pPr>
        <w:pStyle w:val="Body"/>
        <w:spacing w:after="0"/>
        <w:rPr>
          <w:rFonts w:ascii="Arial" w:hAnsi="Arial" w:cs="Arial"/>
        </w:rPr>
      </w:pPr>
    </w:p>
    <w:p w14:paraId="71561511" w14:textId="63B78003" w:rsidR="002C2A24" w:rsidRPr="00A632F1" w:rsidRDefault="002C2A24" w:rsidP="002C2A24">
      <w:pPr>
        <w:pStyle w:val="Body"/>
        <w:spacing w:after="0"/>
        <w:rPr>
          <w:rFonts w:ascii="Arial" w:hAnsi="Arial" w:cs="Arial"/>
          <w:b/>
          <w:bCs/>
          <w:lang w:val="en-GB"/>
        </w:rPr>
      </w:pPr>
      <w:r w:rsidRPr="002C2A24">
        <w:rPr>
          <w:rFonts w:ascii="Arial" w:hAnsi="Arial" w:cs="Arial"/>
          <w:b/>
          <w:bCs/>
          <w:sz w:val="22"/>
          <w:szCs w:val="22"/>
        </w:rPr>
        <w:t xml:space="preserve">2.2 </w:t>
      </w:r>
      <w:r w:rsidRPr="00A632F1">
        <w:rPr>
          <w:rFonts w:ascii="Arial" w:hAnsi="Arial" w:cs="Arial"/>
          <w:b/>
          <w:bCs/>
          <w:sz w:val="22"/>
          <w:szCs w:val="22"/>
          <w:lang w:val="en-GB"/>
        </w:rPr>
        <w:t>Sample Collection Procedures</w:t>
      </w:r>
    </w:p>
    <w:p w14:paraId="777125E9" w14:textId="58CDB15E" w:rsidR="00EF4FD3" w:rsidRDefault="007972EC" w:rsidP="002C2A24">
      <w:pPr>
        <w:pStyle w:val="Body"/>
        <w:spacing w:after="0"/>
        <w:rPr>
          <w:rFonts w:ascii="Arial" w:hAnsi="Arial" w:cs="Arial"/>
        </w:rPr>
      </w:pPr>
      <w:r w:rsidRPr="00BA145B">
        <w:rPr>
          <w:rFonts w:ascii="Arial" w:hAnsi="Arial" w:cs="Arial"/>
        </w:rPr>
        <w:t>A total of 74 samples were collected from patients with clinically evident oral infections. Specimens were obtained either by syringe aspiration from closed purulent collections or using sterile swabs after wound cleansing with diluted antiseptic soap followed by rinsing with sterile water. All eligible cases identified during the study period were consecutively enrolled.</w:t>
      </w:r>
    </w:p>
    <w:p w14:paraId="48BAEA1D" w14:textId="77777777" w:rsidR="007972EC" w:rsidRDefault="007972EC" w:rsidP="002C2A24">
      <w:pPr>
        <w:pStyle w:val="Body"/>
        <w:spacing w:after="0"/>
        <w:rPr>
          <w:rFonts w:ascii="Arial" w:hAnsi="Arial" w:cs="Arial"/>
          <w:b/>
          <w:bCs/>
          <w:lang w:val="en-GB"/>
        </w:rPr>
      </w:pPr>
    </w:p>
    <w:p w14:paraId="4F278581" w14:textId="7646066B" w:rsidR="002C2A24" w:rsidRDefault="002C2A24" w:rsidP="002C2A24">
      <w:pPr>
        <w:pStyle w:val="Body"/>
        <w:spacing w:after="0"/>
        <w:rPr>
          <w:rFonts w:ascii="Arial" w:hAnsi="Arial" w:cs="Arial"/>
          <w:b/>
          <w:bCs/>
          <w:sz w:val="22"/>
          <w:szCs w:val="22"/>
          <w:lang w:val="en-GB"/>
        </w:rPr>
      </w:pPr>
      <w:r w:rsidRPr="002C2A24">
        <w:rPr>
          <w:rFonts w:ascii="Arial" w:hAnsi="Arial" w:cs="Arial"/>
          <w:b/>
          <w:bCs/>
          <w:sz w:val="22"/>
          <w:szCs w:val="22"/>
          <w:lang w:val="en-GB"/>
        </w:rPr>
        <w:t>2.3 Bacteriological Analyses</w:t>
      </w:r>
    </w:p>
    <w:p w14:paraId="1E628AB1" w14:textId="77777777" w:rsidR="003C4C75" w:rsidRPr="002C2A24" w:rsidRDefault="003C4C75" w:rsidP="002C2A24">
      <w:pPr>
        <w:pStyle w:val="Body"/>
        <w:spacing w:after="0"/>
        <w:rPr>
          <w:rFonts w:ascii="Arial" w:hAnsi="Arial" w:cs="Arial"/>
          <w:b/>
          <w:bCs/>
          <w:sz w:val="22"/>
          <w:szCs w:val="22"/>
          <w:lang w:val="en-GB"/>
        </w:rPr>
      </w:pPr>
    </w:p>
    <w:p w14:paraId="54A7350E" w14:textId="4B9EFFED" w:rsidR="002C2A24" w:rsidRPr="002C2A24" w:rsidRDefault="002C2A24" w:rsidP="002C2A24">
      <w:pPr>
        <w:pStyle w:val="Body"/>
        <w:spacing w:after="0"/>
        <w:ind w:left="720"/>
        <w:rPr>
          <w:rFonts w:ascii="Arial" w:hAnsi="Arial" w:cs="Arial"/>
          <w:b/>
          <w:bCs/>
          <w:lang w:val="en-GB"/>
        </w:rPr>
      </w:pPr>
      <w:r w:rsidRPr="00191582">
        <w:rPr>
          <w:rFonts w:ascii="Arial" w:hAnsi="Arial" w:cs="Arial"/>
          <w:b/>
          <w:bCs/>
          <w:lang w:val="en-GB"/>
        </w:rPr>
        <w:t>2</w:t>
      </w:r>
      <w:r w:rsidRPr="002C2A24">
        <w:rPr>
          <w:rFonts w:ascii="Arial" w:hAnsi="Arial" w:cs="Arial"/>
          <w:b/>
          <w:bCs/>
          <w:lang w:val="en-GB"/>
        </w:rPr>
        <w:t>.3.1</w:t>
      </w:r>
      <w:r w:rsidRPr="00191582">
        <w:rPr>
          <w:rFonts w:ascii="Arial" w:hAnsi="Arial" w:cs="Arial"/>
          <w:b/>
          <w:bCs/>
          <w:lang w:val="en-GB"/>
        </w:rPr>
        <w:t xml:space="preserve"> </w:t>
      </w:r>
      <w:r w:rsidRPr="002C2A24">
        <w:rPr>
          <w:rFonts w:ascii="Arial" w:hAnsi="Arial" w:cs="Arial"/>
          <w:b/>
          <w:bCs/>
          <w:lang w:val="en-GB"/>
        </w:rPr>
        <w:t>Isolation and Purification of Colonies</w:t>
      </w:r>
    </w:p>
    <w:p w14:paraId="2DAB3DF7" w14:textId="77777777" w:rsidR="002C2A24" w:rsidRPr="002C2A24" w:rsidRDefault="002C2A24" w:rsidP="002C2A24">
      <w:pPr>
        <w:pStyle w:val="Body"/>
        <w:spacing w:after="0"/>
        <w:rPr>
          <w:rFonts w:ascii="Arial" w:hAnsi="Arial" w:cs="Arial"/>
          <w:lang w:val="en-GB"/>
        </w:rPr>
      </w:pPr>
      <w:bookmarkStart w:id="2" w:name="_Hlk198599845"/>
      <w:r w:rsidRPr="002C2A24">
        <w:rPr>
          <w:rFonts w:ascii="Arial" w:hAnsi="Arial" w:cs="Arial"/>
          <w:lang w:val="en-GB"/>
        </w:rPr>
        <w:t>Upon reception, samples were promptly cultured to prevent contamination. The swab was streaked over MacConkey agar, a selective medium for Enterobacteriaceae.</w:t>
      </w:r>
    </w:p>
    <w:bookmarkEnd w:id="2"/>
    <w:p w14:paraId="2E44B84E" w14:textId="77777777" w:rsidR="002C2A24" w:rsidRDefault="002C2A24" w:rsidP="002C2A24">
      <w:pPr>
        <w:pStyle w:val="Body"/>
        <w:spacing w:after="0"/>
        <w:rPr>
          <w:rFonts w:ascii="Arial" w:hAnsi="Arial" w:cs="Arial"/>
          <w:lang w:val="en-GB"/>
        </w:rPr>
      </w:pPr>
      <w:r w:rsidRPr="002C2A24">
        <w:rPr>
          <w:rFonts w:ascii="Arial" w:hAnsi="Arial" w:cs="Arial"/>
          <w:lang w:val="en-GB"/>
        </w:rPr>
        <w:t xml:space="preserve">After 24 hours of incubation, colonies were </w:t>
      </w:r>
      <w:proofErr w:type="spellStart"/>
      <w:r w:rsidRPr="002C2A24">
        <w:rPr>
          <w:rFonts w:ascii="Arial" w:hAnsi="Arial" w:cs="Arial"/>
          <w:lang w:val="en-GB"/>
        </w:rPr>
        <w:t>subcultured</w:t>
      </w:r>
      <w:proofErr w:type="spellEnd"/>
      <w:r w:rsidRPr="002C2A24">
        <w:rPr>
          <w:rFonts w:ascii="Arial" w:hAnsi="Arial" w:cs="Arial"/>
          <w:lang w:val="en-GB"/>
        </w:rPr>
        <w:t xml:space="preserve"> on fresh MacConkey agar to obtain pure isolates.</w:t>
      </w:r>
    </w:p>
    <w:p w14:paraId="267A8FB5" w14:textId="77777777" w:rsidR="003C4C75" w:rsidRPr="002C2A24" w:rsidRDefault="003C4C75" w:rsidP="002C2A24">
      <w:pPr>
        <w:pStyle w:val="Body"/>
        <w:spacing w:after="0"/>
        <w:rPr>
          <w:rFonts w:ascii="Arial" w:hAnsi="Arial" w:cs="Arial"/>
          <w:lang w:val="en-GB"/>
        </w:rPr>
      </w:pPr>
    </w:p>
    <w:p w14:paraId="1D5F6267" w14:textId="3164AFCD" w:rsidR="002C2A24" w:rsidRPr="00EF4FD3" w:rsidRDefault="002C2A24" w:rsidP="002C2A24">
      <w:pPr>
        <w:pStyle w:val="Body"/>
        <w:spacing w:after="0"/>
        <w:ind w:left="720"/>
        <w:rPr>
          <w:rFonts w:ascii="Arial" w:hAnsi="Arial" w:cs="Arial"/>
          <w:b/>
          <w:bCs/>
          <w:lang w:val="en-GB"/>
        </w:rPr>
      </w:pPr>
      <w:r w:rsidRPr="00EF4FD3">
        <w:rPr>
          <w:rFonts w:ascii="Arial" w:hAnsi="Arial" w:cs="Arial"/>
          <w:b/>
          <w:bCs/>
          <w:lang w:val="en-GB"/>
        </w:rPr>
        <w:t xml:space="preserve">2.3.2 Strain Identification </w:t>
      </w:r>
    </w:p>
    <w:p w14:paraId="6F4EC9A1" w14:textId="473E7B4F" w:rsidR="002C2A24" w:rsidRPr="002C2A24" w:rsidRDefault="002C2A24" w:rsidP="002C2A24">
      <w:pPr>
        <w:pStyle w:val="Body"/>
        <w:spacing w:after="0"/>
        <w:rPr>
          <w:rFonts w:ascii="Arial" w:hAnsi="Arial" w:cs="Arial"/>
          <w:lang w:val="en-GB"/>
        </w:rPr>
      </w:pPr>
      <w:r w:rsidRPr="002C2A24">
        <w:rPr>
          <w:rFonts w:ascii="Arial" w:hAnsi="Arial" w:cs="Arial"/>
          <w:lang w:val="en-GB"/>
        </w:rPr>
        <w:t>Identification was conducted using the API 20E system</w:t>
      </w:r>
      <w:r w:rsidR="008050FB">
        <w:rPr>
          <w:rFonts w:ascii="Arial" w:hAnsi="Arial" w:cs="Arial"/>
          <w:lang w:val="en-GB"/>
        </w:rPr>
        <w:t xml:space="preserve"> </w:t>
      </w:r>
      <w:r w:rsidRPr="002C2A24">
        <w:rPr>
          <w:rFonts w:ascii="Arial" w:hAnsi="Arial" w:cs="Arial"/>
          <w:lang w:val="en-GB"/>
        </w:rPr>
        <w:t>(bioMérieux), designed for Enterobacteriaceae</w:t>
      </w:r>
      <w:r w:rsidR="00EF4FD3">
        <w:rPr>
          <w:rFonts w:ascii="Arial" w:hAnsi="Arial" w:cs="Arial"/>
          <w:lang w:val="en-GB"/>
        </w:rPr>
        <w:t>.</w:t>
      </w:r>
    </w:p>
    <w:p w14:paraId="5D26B2BA" w14:textId="77777777" w:rsidR="00EF0479" w:rsidRPr="002C2A24" w:rsidRDefault="00EF0479" w:rsidP="00EF0479">
      <w:pPr>
        <w:pStyle w:val="Body"/>
        <w:spacing w:after="0"/>
        <w:rPr>
          <w:rFonts w:ascii="Arial" w:hAnsi="Arial" w:cs="Arial"/>
          <w:lang w:val="en-GB"/>
        </w:rPr>
      </w:pPr>
    </w:p>
    <w:p w14:paraId="44F8A3B7" w14:textId="41F2C1AD" w:rsidR="002C2A24" w:rsidRPr="002C2A24" w:rsidRDefault="00191582" w:rsidP="002C2A24">
      <w:pPr>
        <w:pStyle w:val="Body"/>
        <w:rPr>
          <w:rFonts w:ascii="Arial" w:hAnsi="Arial" w:cs="Arial"/>
          <w:b/>
          <w:bCs/>
          <w:sz w:val="22"/>
          <w:szCs w:val="22"/>
          <w:lang w:val="en-GB"/>
        </w:rPr>
      </w:pPr>
      <w:r>
        <w:rPr>
          <w:rFonts w:ascii="Arial" w:hAnsi="Arial" w:cs="Arial"/>
          <w:b/>
          <w:bCs/>
          <w:sz w:val="22"/>
          <w:szCs w:val="22"/>
          <w:lang w:val="en-GB"/>
        </w:rPr>
        <w:t xml:space="preserve">2.4 </w:t>
      </w:r>
      <w:r w:rsidR="002C2A24" w:rsidRPr="002C2A24">
        <w:rPr>
          <w:rFonts w:ascii="Arial" w:hAnsi="Arial" w:cs="Arial"/>
          <w:b/>
          <w:bCs/>
          <w:sz w:val="22"/>
          <w:szCs w:val="22"/>
          <w:lang w:val="en-GB"/>
        </w:rPr>
        <w:t>Plasmid DNA Extraction Using Phenol-Chloroform Method</w:t>
      </w:r>
    </w:p>
    <w:p w14:paraId="10198438" w14:textId="6BB531A5" w:rsidR="002C2A24" w:rsidRPr="002C2A24" w:rsidRDefault="00E44BCD" w:rsidP="002C2A24">
      <w:pPr>
        <w:pStyle w:val="Body"/>
        <w:rPr>
          <w:rFonts w:ascii="Arial" w:hAnsi="Arial" w:cs="Arial"/>
          <w:lang w:val="en-GB"/>
        </w:rPr>
      </w:pPr>
      <w:r w:rsidRPr="00E44BCD">
        <w:rPr>
          <w:rFonts w:ascii="Arial" w:hAnsi="Arial" w:cs="Arial"/>
          <w:lang w:val="en-GB"/>
        </w:rPr>
        <w:t xml:space="preserve">Genomic DNA was extracted using a modified phenol–chloroform protocol. Briefly, 500 µL of the biological sample was incubated at 95 °C for 10 minutes to initiate cell disruption. Lysis was performed by adding 1 mL of lysis buffer and 50 µL of </w:t>
      </w:r>
      <w:r w:rsidRPr="00E44BCD">
        <w:rPr>
          <w:rFonts w:ascii="Arial" w:hAnsi="Arial" w:cs="Arial"/>
          <w:lang w:val="en-GB"/>
        </w:rPr>
        <w:lastRenderedPageBreak/>
        <w:t>proteinase K, followed by incubation at 55 °C for 1 hour and then 97 °C for 10 minutes. After centrifugation (14,000 rpm, 6 min), the supernatant was transferred to a new tube.</w:t>
      </w:r>
      <w:r>
        <w:rPr>
          <w:rFonts w:ascii="Arial" w:hAnsi="Arial" w:cs="Arial"/>
          <w:lang w:val="en-GB"/>
        </w:rPr>
        <w:t xml:space="preserve"> </w:t>
      </w:r>
      <w:r w:rsidRPr="00E44BCD">
        <w:rPr>
          <w:rFonts w:ascii="Arial" w:hAnsi="Arial" w:cs="Arial"/>
          <w:lang w:val="en-GB"/>
        </w:rPr>
        <w:t xml:space="preserve">To remove proteins, 250 µL of phenol: </w:t>
      </w:r>
      <w:proofErr w:type="spellStart"/>
      <w:proofErr w:type="gramStart"/>
      <w:r w:rsidRPr="00E44BCD">
        <w:rPr>
          <w:rFonts w:ascii="Arial" w:hAnsi="Arial" w:cs="Arial"/>
          <w:lang w:val="en-GB"/>
        </w:rPr>
        <w:t>chloroform:isoamyl</w:t>
      </w:r>
      <w:proofErr w:type="spellEnd"/>
      <w:proofErr w:type="gramEnd"/>
      <w:r w:rsidRPr="00E44BCD">
        <w:rPr>
          <w:rFonts w:ascii="Arial" w:hAnsi="Arial" w:cs="Arial"/>
          <w:lang w:val="en-GB"/>
        </w:rPr>
        <w:t xml:space="preserve"> alcohol (25:24:1) was added. The aqueous phase was then recovered and extracted once more using 250 µL of chloroform: isoamyl alcohol (24:1). DNA was precipitated by mixing the aqueous phase with 200 µL of absolute ethanol and 15 µL of 3 M sodium acetate, followed by incubation at −80 °C for 10 minutes. The DNA pellet was washed with 70% ethanol, centrifuged, and air-dried before being resuspended in 100 µL of elution buffer and incubated at 37 °C for 2 hours.</w:t>
      </w:r>
      <w:r>
        <w:rPr>
          <w:rFonts w:ascii="Arial" w:hAnsi="Arial" w:cs="Arial"/>
          <w:lang w:val="en-GB"/>
        </w:rPr>
        <w:t xml:space="preserve"> </w:t>
      </w:r>
      <w:r w:rsidRPr="00E44BCD">
        <w:rPr>
          <w:rFonts w:ascii="Arial" w:hAnsi="Arial" w:cs="Arial"/>
          <w:lang w:val="en-GB"/>
        </w:rPr>
        <w:t xml:space="preserve">DNA integrity was verified by 1% agarose gel electrophoresis, while purity and concentration were assessed using a </w:t>
      </w:r>
      <w:proofErr w:type="spellStart"/>
      <w:r w:rsidRPr="00E44BCD">
        <w:rPr>
          <w:rFonts w:ascii="Arial" w:hAnsi="Arial" w:cs="Arial"/>
          <w:lang w:val="en-GB"/>
        </w:rPr>
        <w:t>NanoDrop</w:t>
      </w:r>
      <w:proofErr w:type="spellEnd"/>
      <w:r w:rsidRPr="00E44BCD">
        <w:rPr>
          <w:rFonts w:ascii="Arial" w:hAnsi="Arial" w:cs="Arial"/>
          <w:lang w:val="en-GB"/>
        </w:rPr>
        <w:t>™ One spectrophotometer. A 260/280 ratio of ~1.8 was considered indicative of pure DNA, whereas lower or higher values suggested protein or RNA contamination, respectively</w:t>
      </w:r>
      <w:r w:rsidR="00235975">
        <w:rPr>
          <w:rFonts w:ascii="Arial" w:hAnsi="Arial" w:cs="Arial"/>
          <w:lang w:val="en-GB"/>
        </w:rPr>
        <w:t xml:space="preserve"> </w:t>
      </w:r>
      <w:r w:rsidR="00235975">
        <w:rPr>
          <w:rFonts w:ascii="Arial" w:hAnsi="Arial" w:cs="Arial"/>
          <w:lang w:val="en-GB"/>
        </w:rPr>
        <w:fldChar w:fldCharType="begin"/>
      </w:r>
      <w:r w:rsidR="00235975">
        <w:rPr>
          <w:rFonts w:ascii="Arial" w:hAnsi="Arial" w:cs="Arial"/>
          <w:lang w:val="en-GB"/>
        </w:rPr>
        <w:instrText xml:space="preserve"> ADDIN ZOTERO_ITEM CSL_CITATION {"citationID":"n7PLCFe5","properties":{"formattedCitation":"(Green &amp; Sambrook, 2017; Sambrook &amp; Russell, 2001)","plainCitation":"(Green &amp; Sambrook, 2017; Sambrook &amp; Russell, 2001)","noteIndex":0},"citationItems":[{"id":359,"uris":["http://zotero.org/users/local/OIj6EcLj/items/8CJJIVIK"],"itemData":{"id":359,"type":"article-journal","container-title":"Cold Spring Harbor Protocols","issue":"4","note":"publisher: Cold Spring Harbor Laboratory Press","page":"pdb–prot093450","source":"Google Scholar","title":"Isolation of high-molecular-weight DNA using organic solvents","volume":"2017","author":[{"family":"Green","given":"Michael R."},{"family":"Sambrook","given":"Joseph"}],"issued":{"date-parts":[["2017"]]}}},{"id":357,"uris":["http://zotero.org/users/local/OIj6EcLj/items/4LFS7HUW"],"itemData":{"id":357,"type":"article-journal","container-title":"Molecular Cloning, A Laboratory Manual,(3rd Ed.) Cold Spring Harbor Laboratory Press, New York","page":"5–14","source":"Google Scholar","title":"Detection of DNA in agarose gels","author":[{"family":"Sambrook","given":"Joseph"},{"family":"Russell","given":"David W."}],"issued":{"date-parts":[["2001"]]}}}],"schema":"https://github.com/citation-style-language/schema/raw/master/csl-citation.json"} </w:instrText>
      </w:r>
      <w:r w:rsidR="00235975">
        <w:rPr>
          <w:rFonts w:ascii="Arial" w:hAnsi="Arial" w:cs="Arial"/>
          <w:lang w:val="en-GB"/>
        </w:rPr>
        <w:fldChar w:fldCharType="separate"/>
      </w:r>
      <w:r w:rsidR="00235975" w:rsidRPr="00235975">
        <w:rPr>
          <w:rFonts w:ascii="Arial" w:hAnsi="Arial" w:cs="Arial"/>
        </w:rPr>
        <w:t>(Green &amp; Sambrook, 2017; Sambrook &amp; Russell, 2001)</w:t>
      </w:r>
      <w:r w:rsidR="00235975">
        <w:rPr>
          <w:rFonts w:ascii="Arial" w:hAnsi="Arial" w:cs="Arial"/>
          <w:lang w:val="en-GB"/>
        </w:rPr>
        <w:fldChar w:fldCharType="end"/>
      </w:r>
      <w:r w:rsidRPr="00E44BCD">
        <w:rPr>
          <w:rFonts w:ascii="Arial" w:hAnsi="Arial" w:cs="Arial"/>
          <w:lang w:val="en-GB"/>
        </w:rPr>
        <w:t>.</w:t>
      </w:r>
    </w:p>
    <w:p w14:paraId="3DF20F0B" w14:textId="2BBC679C" w:rsidR="002C2A24" w:rsidRPr="002C2A24" w:rsidRDefault="002C2A24" w:rsidP="00191582">
      <w:pPr>
        <w:pStyle w:val="Body"/>
        <w:numPr>
          <w:ilvl w:val="1"/>
          <w:numId w:val="32"/>
        </w:numPr>
        <w:rPr>
          <w:rFonts w:ascii="Arial" w:hAnsi="Arial" w:cs="Arial"/>
          <w:b/>
          <w:bCs/>
          <w:sz w:val="22"/>
          <w:szCs w:val="22"/>
          <w:lang w:val="en-GB"/>
        </w:rPr>
      </w:pPr>
      <w:r w:rsidRPr="002C2A24">
        <w:rPr>
          <w:rFonts w:ascii="Arial" w:hAnsi="Arial" w:cs="Arial"/>
          <w:b/>
          <w:bCs/>
          <w:sz w:val="22"/>
          <w:szCs w:val="22"/>
          <w:lang w:val="en-GB"/>
        </w:rPr>
        <w:t>PCR Amplification of ESBL-Encoding Genes</w:t>
      </w:r>
    </w:p>
    <w:p w14:paraId="1FB0A6CB" w14:textId="742D2F39" w:rsidR="004E4F60" w:rsidRDefault="002C2A24" w:rsidP="00DB471F">
      <w:pPr>
        <w:pStyle w:val="Body"/>
        <w:rPr>
          <w:rFonts w:ascii="Arial" w:hAnsi="Arial" w:cs="Arial"/>
          <w:lang w:val="en-GB"/>
        </w:rPr>
      </w:pPr>
      <w:r w:rsidRPr="002C2A24">
        <w:rPr>
          <w:rFonts w:ascii="Arial" w:hAnsi="Arial" w:cs="Arial"/>
          <w:lang w:val="en-GB"/>
        </w:rPr>
        <w:t>Detection of extended-spectrum beta-lactamase (ESBL) genes</w:t>
      </w:r>
      <w:r w:rsidR="00DB471F">
        <w:rPr>
          <w:rFonts w:ascii="Arial" w:hAnsi="Arial" w:cs="Arial"/>
          <w:lang w:val="en-GB"/>
        </w:rPr>
        <w:t xml:space="preserve"> (</w:t>
      </w:r>
      <w:proofErr w:type="spellStart"/>
      <w:r w:rsidR="00DB471F" w:rsidRPr="00DB471F">
        <w:rPr>
          <w:rFonts w:ascii="Arial" w:hAnsi="Arial" w:cs="Arial"/>
          <w:i/>
          <w:iCs/>
        </w:rPr>
        <w:t>bla</w:t>
      </w:r>
      <w:r w:rsidR="00DB471F" w:rsidRPr="00DB471F">
        <w:rPr>
          <w:rFonts w:ascii="Arial" w:hAnsi="Arial" w:cs="Arial"/>
          <w:vertAlign w:val="subscript"/>
        </w:rPr>
        <w:t>CTX</w:t>
      </w:r>
      <w:proofErr w:type="spellEnd"/>
      <w:r w:rsidR="00DB471F" w:rsidRPr="00DB471F">
        <w:rPr>
          <w:rFonts w:ascii="Arial" w:hAnsi="Arial" w:cs="Arial"/>
          <w:vertAlign w:val="subscript"/>
        </w:rPr>
        <w:t>-M</w:t>
      </w:r>
      <w:r w:rsidR="00DB471F" w:rsidRPr="00DB471F">
        <w:rPr>
          <w:rFonts w:ascii="Arial" w:hAnsi="Arial" w:cs="Arial"/>
        </w:rPr>
        <w:t>)</w:t>
      </w:r>
      <w:r w:rsidRPr="002C2A24">
        <w:rPr>
          <w:rFonts w:ascii="Arial" w:hAnsi="Arial" w:cs="Arial"/>
          <w:lang w:val="en-GB"/>
        </w:rPr>
        <w:t xml:space="preserve"> was performed using conventional PCR</w:t>
      </w:r>
      <w:r w:rsidR="00DB471F">
        <w:rPr>
          <w:rFonts w:ascii="Arial" w:hAnsi="Arial" w:cs="Arial"/>
          <w:lang w:val="en-GB"/>
        </w:rPr>
        <w:t xml:space="preserve"> (Table</w:t>
      </w:r>
      <w:r w:rsidRPr="002C2A24">
        <w:rPr>
          <w:rFonts w:ascii="Arial" w:hAnsi="Arial" w:cs="Arial"/>
          <w:lang w:val="en-GB"/>
        </w:rPr>
        <w:t>.</w:t>
      </w:r>
      <w:r w:rsidR="004E4F60">
        <w:rPr>
          <w:rFonts w:ascii="Arial" w:hAnsi="Arial" w:cs="Arial"/>
          <w:lang w:val="en-GB"/>
        </w:rPr>
        <w:t>1).</w:t>
      </w:r>
      <w:r w:rsidRPr="002C2A24">
        <w:rPr>
          <w:rFonts w:ascii="Arial" w:hAnsi="Arial" w:cs="Arial"/>
          <w:lang w:val="en-GB"/>
        </w:rPr>
        <w:t xml:space="preserve"> The reaction mix included: 4 µL of 5X </w:t>
      </w:r>
      <w:proofErr w:type="spellStart"/>
      <w:r w:rsidRPr="002C2A24">
        <w:rPr>
          <w:rFonts w:ascii="Arial" w:hAnsi="Arial" w:cs="Arial"/>
          <w:lang w:val="en-GB"/>
        </w:rPr>
        <w:t>FirePol</w:t>
      </w:r>
      <w:proofErr w:type="spellEnd"/>
      <w:r w:rsidRPr="002C2A24">
        <w:rPr>
          <w:rFonts w:ascii="Arial" w:hAnsi="Arial" w:cs="Arial"/>
          <w:lang w:val="en-GB"/>
        </w:rPr>
        <w:t xml:space="preserve"> Master Mix (Solis </w:t>
      </w:r>
      <w:proofErr w:type="spellStart"/>
      <w:r w:rsidRPr="002C2A24">
        <w:rPr>
          <w:rFonts w:ascii="Arial" w:hAnsi="Arial" w:cs="Arial"/>
          <w:lang w:val="en-GB"/>
        </w:rPr>
        <w:t>Biodyne</w:t>
      </w:r>
      <w:proofErr w:type="spellEnd"/>
      <w:r w:rsidRPr="002C2A24">
        <w:rPr>
          <w:rFonts w:ascii="Arial" w:hAnsi="Arial" w:cs="Arial"/>
          <w:lang w:val="en-GB"/>
        </w:rPr>
        <w:t>), 7 µL of nuclease-free water, 2 µL of each primer, and 5 µL of extracted DNA, totalling 20 µL. Amplification was carried out in an Eppendorf thermocycler. The PCR programme was as follows:</w:t>
      </w:r>
      <w:r w:rsidR="00191582" w:rsidRPr="00191582">
        <w:rPr>
          <w:rFonts w:ascii="Arial" w:hAnsi="Arial" w:cs="Arial"/>
          <w:lang w:val="en-GB"/>
        </w:rPr>
        <w:t xml:space="preserve"> </w:t>
      </w:r>
      <w:r w:rsidRPr="002C2A24">
        <w:rPr>
          <w:rFonts w:ascii="Arial" w:hAnsi="Arial" w:cs="Arial"/>
          <w:lang w:val="en-GB"/>
        </w:rPr>
        <w:t>Initial denaturation</w:t>
      </w:r>
      <w:r w:rsidR="00191582">
        <w:rPr>
          <w:rFonts w:ascii="Arial" w:hAnsi="Arial" w:cs="Arial"/>
          <w:lang w:val="en-GB"/>
        </w:rPr>
        <w:t xml:space="preserve"> at</w:t>
      </w:r>
      <w:r w:rsidRPr="002C2A24">
        <w:rPr>
          <w:rFonts w:ascii="Arial" w:hAnsi="Arial" w:cs="Arial"/>
          <w:lang w:val="en-GB"/>
        </w:rPr>
        <w:t xml:space="preserve"> 94°C for 5 minutes</w:t>
      </w:r>
      <w:r w:rsidR="00191582">
        <w:rPr>
          <w:rFonts w:ascii="Arial" w:hAnsi="Arial" w:cs="Arial"/>
          <w:lang w:val="en-GB"/>
        </w:rPr>
        <w:t>, d</w:t>
      </w:r>
      <w:r w:rsidRPr="002C2A24">
        <w:rPr>
          <w:rFonts w:ascii="Arial" w:hAnsi="Arial" w:cs="Arial"/>
          <w:lang w:val="en-GB"/>
        </w:rPr>
        <w:t>enaturation</w:t>
      </w:r>
      <w:r w:rsidR="00191582">
        <w:rPr>
          <w:rFonts w:ascii="Arial" w:hAnsi="Arial" w:cs="Arial"/>
          <w:lang w:val="en-GB"/>
        </w:rPr>
        <w:t xml:space="preserve"> at </w:t>
      </w:r>
      <w:r w:rsidRPr="002C2A24">
        <w:rPr>
          <w:rFonts w:ascii="Arial" w:hAnsi="Arial" w:cs="Arial"/>
          <w:lang w:val="en-GB"/>
        </w:rPr>
        <w:t>94°C for 30 seconds (×35 cycles)</w:t>
      </w:r>
      <w:r w:rsidR="00DB471F">
        <w:rPr>
          <w:rFonts w:ascii="Arial" w:hAnsi="Arial" w:cs="Arial"/>
          <w:lang w:val="en-GB"/>
        </w:rPr>
        <w:t xml:space="preserve">, </w:t>
      </w:r>
      <w:r w:rsidRPr="002C2A24">
        <w:rPr>
          <w:rFonts w:ascii="Arial" w:hAnsi="Arial" w:cs="Arial"/>
          <w:lang w:val="en-GB"/>
        </w:rPr>
        <w:t>Annealing</w:t>
      </w:r>
      <w:r w:rsidR="00DB471F">
        <w:rPr>
          <w:rFonts w:ascii="Arial" w:hAnsi="Arial" w:cs="Arial"/>
          <w:lang w:val="en-GB"/>
        </w:rPr>
        <w:t xml:space="preserve"> at </w:t>
      </w:r>
      <w:r w:rsidR="00DB471F" w:rsidRPr="002C2A24">
        <w:rPr>
          <w:rFonts w:ascii="Arial" w:hAnsi="Arial" w:cs="Arial"/>
          <w:lang w:val="en-GB"/>
        </w:rPr>
        <w:t>55</w:t>
      </w:r>
      <w:r w:rsidRPr="002C2A24">
        <w:rPr>
          <w:rFonts w:ascii="Arial" w:hAnsi="Arial" w:cs="Arial"/>
          <w:lang w:val="en-GB"/>
        </w:rPr>
        <w:t>°C for 60 seconds</w:t>
      </w:r>
      <w:r w:rsidR="00DB471F">
        <w:rPr>
          <w:rFonts w:ascii="Arial" w:hAnsi="Arial" w:cs="Arial"/>
          <w:lang w:val="en-GB"/>
        </w:rPr>
        <w:t>, e</w:t>
      </w:r>
      <w:r w:rsidRPr="002C2A24">
        <w:rPr>
          <w:rFonts w:ascii="Arial" w:hAnsi="Arial" w:cs="Arial"/>
          <w:lang w:val="en-GB"/>
        </w:rPr>
        <w:t>xtension</w:t>
      </w:r>
      <w:r w:rsidR="00DB471F">
        <w:rPr>
          <w:rFonts w:ascii="Arial" w:hAnsi="Arial" w:cs="Arial"/>
          <w:lang w:val="en-GB"/>
        </w:rPr>
        <w:t xml:space="preserve"> at </w:t>
      </w:r>
      <w:r w:rsidRPr="002C2A24">
        <w:rPr>
          <w:rFonts w:ascii="Arial" w:hAnsi="Arial" w:cs="Arial"/>
          <w:lang w:val="en-GB"/>
        </w:rPr>
        <w:t>72°C for 60 seconds</w:t>
      </w:r>
      <w:r w:rsidR="00DB471F">
        <w:rPr>
          <w:rFonts w:ascii="Arial" w:hAnsi="Arial" w:cs="Arial"/>
          <w:lang w:val="en-GB"/>
        </w:rPr>
        <w:t xml:space="preserve"> and f</w:t>
      </w:r>
      <w:r w:rsidRPr="002C2A24">
        <w:rPr>
          <w:rFonts w:ascii="Arial" w:hAnsi="Arial" w:cs="Arial"/>
          <w:lang w:val="en-GB"/>
        </w:rPr>
        <w:t>inal extension: 72°C for 10 minutes</w:t>
      </w:r>
      <w:r w:rsidR="00DB471F">
        <w:rPr>
          <w:rFonts w:ascii="Arial" w:hAnsi="Arial" w:cs="Arial"/>
          <w:lang w:val="en-GB"/>
        </w:rPr>
        <w:t xml:space="preserve">. </w:t>
      </w:r>
      <w:r w:rsidRPr="002C2A24">
        <w:rPr>
          <w:rFonts w:ascii="Arial" w:hAnsi="Arial" w:cs="Arial"/>
          <w:lang w:val="en-GB"/>
        </w:rPr>
        <w:t>The total PCR run lasted 92 minutes. Amplified products were separated on 1.5% agarose gels for 40 minutes and visualised using a Gel Doc imaging system (BIO-RAD)</w:t>
      </w:r>
    </w:p>
    <w:p w14:paraId="0AE6B072" w14:textId="25D09859" w:rsidR="004E4F60" w:rsidRDefault="004E4F60" w:rsidP="00DB471F">
      <w:pPr>
        <w:pStyle w:val="Body"/>
        <w:rPr>
          <w:rFonts w:ascii="Arial" w:hAnsi="Arial" w:cs="Arial"/>
          <w:lang w:val="en-GB"/>
        </w:rPr>
      </w:pPr>
      <w:r>
        <w:rPr>
          <w:rFonts w:ascii="Arial" w:hAnsi="Arial"/>
          <w:b/>
        </w:rPr>
        <w:t xml:space="preserve">Table 1. </w:t>
      </w:r>
      <w:r w:rsidR="0013404C">
        <w:rPr>
          <w:rFonts w:ascii="Arial" w:hAnsi="Arial"/>
          <w:b/>
        </w:rPr>
        <w:t>Sequence of ESBL genes primers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61"/>
        <w:gridCol w:w="1430"/>
        <w:gridCol w:w="4072"/>
        <w:gridCol w:w="1183"/>
        <w:gridCol w:w="2454"/>
      </w:tblGrid>
      <w:tr w:rsidR="00FE7595" w:rsidRPr="00FE7595" w14:paraId="651BDA2B" w14:textId="77777777" w:rsidTr="001B4382">
        <w:trPr>
          <w:tblHeader/>
          <w:tblCellSpacing w:w="15" w:type="dxa"/>
        </w:trPr>
        <w:tc>
          <w:tcPr>
            <w:tcW w:w="747" w:type="pct"/>
            <w:tcBorders>
              <w:top w:val="single" w:sz="12" w:space="0" w:color="auto"/>
              <w:bottom w:val="single" w:sz="12" w:space="0" w:color="auto"/>
            </w:tcBorders>
            <w:vAlign w:val="center"/>
            <w:hideMark/>
          </w:tcPr>
          <w:p w14:paraId="2AD9D708" w14:textId="77777777" w:rsidR="00FE7595" w:rsidRPr="00FE7595" w:rsidRDefault="00FE7595" w:rsidP="004E4F60">
            <w:pPr>
              <w:pStyle w:val="Body"/>
              <w:spacing w:after="0"/>
              <w:rPr>
                <w:rFonts w:ascii="Arial" w:hAnsi="Arial" w:cs="Arial"/>
                <w:b/>
                <w:bCs/>
                <w:lang w:val="fr-FR"/>
              </w:rPr>
            </w:pPr>
            <w:r w:rsidRPr="00FE7595">
              <w:rPr>
                <w:rFonts w:ascii="Arial" w:hAnsi="Arial" w:cs="Arial"/>
                <w:b/>
                <w:bCs/>
                <w:lang w:val="fr-FR"/>
              </w:rPr>
              <w:t xml:space="preserve">Target </w:t>
            </w:r>
            <w:proofErr w:type="spellStart"/>
            <w:r w:rsidRPr="00FE7595">
              <w:rPr>
                <w:rFonts w:ascii="Arial" w:hAnsi="Arial" w:cs="Arial"/>
                <w:b/>
                <w:bCs/>
                <w:lang w:val="fr-FR"/>
              </w:rPr>
              <w:t>gene</w:t>
            </w:r>
            <w:proofErr w:type="spellEnd"/>
          </w:p>
        </w:tc>
        <w:tc>
          <w:tcPr>
            <w:tcW w:w="646" w:type="pct"/>
            <w:tcBorders>
              <w:top w:val="single" w:sz="12" w:space="0" w:color="auto"/>
              <w:bottom w:val="single" w:sz="12" w:space="0" w:color="auto"/>
            </w:tcBorders>
            <w:vAlign w:val="center"/>
            <w:hideMark/>
          </w:tcPr>
          <w:p w14:paraId="021B28CC" w14:textId="77777777" w:rsidR="00FE7595" w:rsidRPr="00FE7595" w:rsidRDefault="00FE7595" w:rsidP="004E4F60">
            <w:pPr>
              <w:pStyle w:val="Body"/>
              <w:spacing w:after="0"/>
              <w:rPr>
                <w:rFonts w:ascii="Arial" w:hAnsi="Arial" w:cs="Arial"/>
                <w:b/>
                <w:bCs/>
                <w:lang w:val="fr-FR"/>
              </w:rPr>
            </w:pPr>
            <w:proofErr w:type="spellStart"/>
            <w:r w:rsidRPr="00FE7595">
              <w:rPr>
                <w:rFonts w:ascii="Arial" w:hAnsi="Arial" w:cs="Arial"/>
                <w:b/>
                <w:bCs/>
                <w:lang w:val="fr-FR"/>
              </w:rPr>
              <w:t>Primers</w:t>
            </w:r>
            <w:proofErr w:type="spellEnd"/>
          </w:p>
        </w:tc>
        <w:tc>
          <w:tcPr>
            <w:tcW w:w="1867" w:type="pct"/>
            <w:tcBorders>
              <w:top w:val="single" w:sz="12" w:space="0" w:color="auto"/>
              <w:bottom w:val="single" w:sz="12" w:space="0" w:color="auto"/>
            </w:tcBorders>
            <w:vAlign w:val="center"/>
            <w:hideMark/>
          </w:tcPr>
          <w:p w14:paraId="66F8DA3F" w14:textId="77777777" w:rsidR="00FE7595" w:rsidRPr="00FE7595" w:rsidRDefault="00FE7595" w:rsidP="004E4F60">
            <w:pPr>
              <w:pStyle w:val="Body"/>
              <w:spacing w:after="0"/>
              <w:rPr>
                <w:rFonts w:ascii="Arial" w:hAnsi="Arial" w:cs="Arial"/>
                <w:b/>
                <w:bCs/>
                <w:lang w:val="fr-FR"/>
              </w:rPr>
            </w:pPr>
            <w:proofErr w:type="spellStart"/>
            <w:r w:rsidRPr="00FE7595">
              <w:rPr>
                <w:rFonts w:ascii="Arial" w:hAnsi="Arial" w:cs="Arial"/>
                <w:b/>
                <w:bCs/>
                <w:lang w:val="fr-FR"/>
              </w:rPr>
              <w:t>Sequence</w:t>
            </w:r>
            <w:proofErr w:type="spellEnd"/>
            <w:r w:rsidRPr="00FE7595">
              <w:rPr>
                <w:rFonts w:ascii="Arial" w:hAnsi="Arial" w:cs="Arial"/>
                <w:b/>
                <w:bCs/>
                <w:lang w:val="fr-FR"/>
              </w:rPr>
              <w:t xml:space="preserve"> (5′–3′)</w:t>
            </w:r>
          </w:p>
        </w:tc>
        <w:tc>
          <w:tcPr>
            <w:tcW w:w="533" w:type="pct"/>
            <w:tcBorders>
              <w:top w:val="single" w:sz="12" w:space="0" w:color="auto"/>
              <w:bottom w:val="single" w:sz="12" w:space="0" w:color="auto"/>
            </w:tcBorders>
            <w:vAlign w:val="center"/>
            <w:hideMark/>
          </w:tcPr>
          <w:p w14:paraId="6DBC1119" w14:textId="77777777" w:rsidR="004E4F60" w:rsidRDefault="00FE7595" w:rsidP="004E4F60">
            <w:pPr>
              <w:pStyle w:val="Body"/>
              <w:spacing w:after="0"/>
              <w:rPr>
                <w:rFonts w:ascii="Arial" w:hAnsi="Arial" w:cs="Arial"/>
                <w:b/>
                <w:bCs/>
                <w:lang w:val="fr-FR"/>
              </w:rPr>
            </w:pPr>
            <w:r w:rsidRPr="00FE7595">
              <w:rPr>
                <w:rFonts w:ascii="Arial" w:hAnsi="Arial" w:cs="Arial"/>
                <w:b/>
                <w:bCs/>
                <w:lang w:val="fr-FR"/>
              </w:rPr>
              <w:t xml:space="preserve">Amplicon </w:t>
            </w:r>
          </w:p>
          <w:p w14:paraId="73D98F4F" w14:textId="45E87963" w:rsidR="00FE7595" w:rsidRPr="00FE7595" w:rsidRDefault="00D028BF" w:rsidP="004E4F60">
            <w:pPr>
              <w:pStyle w:val="Body"/>
              <w:spacing w:after="0"/>
              <w:rPr>
                <w:rFonts w:ascii="Arial" w:hAnsi="Arial" w:cs="Arial"/>
                <w:b/>
                <w:bCs/>
                <w:lang w:val="fr-FR"/>
              </w:rPr>
            </w:pPr>
            <w:r w:rsidRPr="00FE7595">
              <w:rPr>
                <w:rFonts w:ascii="Arial" w:hAnsi="Arial" w:cs="Arial"/>
                <w:b/>
                <w:bCs/>
                <w:lang w:val="fr-FR"/>
              </w:rPr>
              <w:t>Size</w:t>
            </w:r>
            <w:r w:rsidR="00FE7595" w:rsidRPr="00FE7595">
              <w:rPr>
                <w:rFonts w:ascii="Arial" w:hAnsi="Arial" w:cs="Arial"/>
                <w:b/>
                <w:bCs/>
                <w:lang w:val="fr-FR"/>
              </w:rPr>
              <w:t xml:space="preserve"> (</w:t>
            </w:r>
            <w:proofErr w:type="spellStart"/>
            <w:r w:rsidR="00FE7595" w:rsidRPr="00FE7595">
              <w:rPr>
                <w:rFonts w:ascii="Arial" w:hAnsi="Arial" w:cs="Arial"/>
                <w:b/>
                <w:bCs/>
                <w:lang w:val="fr-FR"/>
              </w:rPr>
              <w:t>bp</w:t>
            </w:r>
            <w:proofErr w:type="spellEnd"/>
            <w:r w:rsidR="00FE7595" w:rsidRPr="00FE7595">
              <w:rPr>
                <w:rFonts w:ascii="Arial" w:hAnsi="Arial" w:cs="Arial"/>
                <w:b/>
                <w:bCs/>
                <w:lang w:val="fr-FR"/>
              </w:rPr>
              <w:t>)</w:t>
            </w:r>
          </w:p>
        </w:tc>
        <w:tc>
          <w:tcPr>
            <w:tcW w:w="1112" w:type="pct"/>
            <w:tcBorders>
              <w:top w:val="single" w:sz="12" w:space="0" w:color="auto"/>
              <w:bottom w:val="single" w:sz="12" w:space="0" w:color="auto"/>
            </w:tcBorders>
            <w:vAlign w:val="center"/>
            <w:hideMark/>
          </w:tcPr>
          <w:p w14:paraId="7C5BB42B" w14:textId="77777777" w:rsidR="00FE7595" w:rsidRPr="00FE7595" w:rsidRDefault="00FE7595" w:rsidP="004E4F60">
            <w:pPr>
              <w:pStyle w:val="Body"/>
              <w:spacing w:after="0"/>
              <w:rPr>
                <w:rFonts w:ascii="Arial" w:hAnsi="Arial" w:cs="Arial"/>
                <w:b/>
                <w:bCs/>
                <w:lang w:val="fr-FR"/>
              </w:rPr>
            </w:pPr>
            <w:proofErr w:type="spellStart"/>
            <w:r w:rsidRPr="00FE7595">
              <w:rPr>
                <w:rFonts w:ascii="Arial" w:hAnsi="Arial" w:cs="Arial"/>
                <w:b/>
                <w:bCs/>
                <w:lang w:val="fr-FR"/>
              </w:rPr>
              <w:t>References</w:t>
            </w:r>
            <w:proofErr w:type="spellEnd"/>
          </w:p>
        </w:tc>
      </w:tr>
      <w:tr w:rsidR="00FE7595" w:rsidRPr="00235975" w14:paraId="0EFF25B8" w14:textId="77777777" w:rsidTr="001B4382">
        <w:trPr>
          <w:tblCellSpacing w:w="15" w:type="dxa"/>
        </w:trPr>
        <w:tc>
          <w:tcPr>
            <w:tcW w:w="747" w:type="pct"/>
            <w:vAlign w:val="center"/>
            <w:hideMark/>
          </w:tcPr>
          <w:p w14:paraId="788D89E5" w14:textId="77777777" w:rsidR="00FE7595" w:rsidRPr="00FE7595" w:rsidRDefault="00FE7595" w:rsidP="004E4F60">
            <w:pPr>
              <w:pStyle w:val="Body"/>
              <w:spacing w:after="0"/>
              <w:rPr>
                <w:rFonts w:ascii="Arial" w:hAnsi="Arial" w:cs="Arial"/>
                <w:lang w:val="fr-FR"/>
              </w:rPr>
            </w:pPr>
            <w:proofErr w:type="gramStart"/>
            <w:r w:rsidRPr="00FE7595">
              <w:rPr>
                <w:rFonts w:ascii="Arial" w:hAnsi="Arial" w:cs="Arial"/>
                <w:i/>
                <w:iCs/>
                <w:lang w:val="fr-FR"/>
              </w:rPr>
              <w:t>blaCTX</w:t>
            </w:r>
            <w:proofErr w:type="gramEnd"/>
            <w:r w:rsidRPr="00FE7595">
              <w:rPr>
                <w:rFonts w:ascii="Arial" w:hAnsi="Arial" w:cs="Arial"/>
                <w:i/>
                <w:iCs/>
                <w:lang w:val="fr-FR"/>
              </w:rPr>
              <w:t>-M-2</w:t>
            </w:r>
          </w:p>
        </w:tc>
        <w:tc>
          <w:tcPr>
            <w:tcW w:w="646" w:type="pct"/>
            <w:vAlign w:val="center"/>
            <w:hideMark/>
          </w:tcPr>
          <w:p w14:paraId="68F01412"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CTX-M2-F / CTX-M2-R</w:t>
            </w:r>
          </w:p>
        </w:tc>
        <w:tc>
          <w:tcPr>
            <w:tcW w:w="1867" w:type="pct"/>
            <w:vAlign w:val="center"/>
            <w:hideMark/>
          </w:tcPr>
          <w:p w14:paraId="53FDA916" w14:textId="77777777" w:rsidR="00FE7595" w:rsidRDefault="00FE7595" w:rsidP="004E4F60">
            <w:pPr>
              <w:pStyle w:val="Body"/>
              <w:spacing w:after="0"/>
              <w:rPr>
                <w:rFonts w:ascii="Arial" w:hAnsi="Arial" w:cs="Arial"/>
                <w:lang w:val="fr-FR"/>
              </w:rPr>
            </w:pPr>
            <w:proofErr w:type="gramStart"/>
            <w:r w:rsidRPr="00FE7595">
              <w:rPr>
                <w:rFonts w:ascii="Arial" w:hAnsi="Arial" w:cs="Arial"/>
                <w:lang w:val="fr-FR"/>
              </w:rPr>
              <w:t>F:</w:t>
            </w:r>
            <w:proofErr w:type="gramEnd"/>
            <w:r w:rsidRPr="00FE7595">
              <w:rPr>
                <w:rFonts w:ascii="Arial" w:hAnsi="Arial" w:cs="Arial"/>
                <w:lang w:val="fr-FR"/>
              </w:rPr>
              <w:t xml:space="preserve"> ATGATGACTCAGAGCATTCG </w:t>
            </w:r>
          </w:p>
          <w:p w14:paraId="5D3ED65F" w14:textId="2F686BD5" w:rsidR="00FE7595" w:rsidRPr="00FE7595" w:rsidRDefault="00FE7595" w:rsidP="004E4F60">
            <w:pPr>
              <w:pStyle w:val="Body"/>
              <w:spacing w:after="0"/>
              <w:rPr>
                <w:rFonts w:ascii="Arial" w:hAnsi="Arial" w:cs="Arial"/>
                <w:lang w:val="fr-FR"/>
              </w:rPr>
            </w:pPr>
            <w:proofErr w:type="gramStart"/>
            <w:r w:rsidRPr="00FE7595">
              <w:rPr>
                <w:rFonts w:ascii="Arial" w:hAnsi="Arial" w:cs="Arial"/>
                <w:lang w:val="fr-FR"/>
              </w:rPr>
              <w:t>R:</w:t>
            </w:r>
            <w:proofErr w:type="gramEnd"/>
            <w:r w:rsidRPr="00FE7595">
              <w:rPr>
                <w:rFonts w:ascii="Arial" w:hAnsi="Arial" w:cs="Arial"/>
                <w:lang w:val="fr-FR"/>
              </w:rPr>
              <w:t xml:space="preserve"> TTATTGCATCAGAAACCGTG</w:t>
            </w:r>
          </w:p>
        </w:tc>
        <w:tc>
          <w:tcPr>
            <w:tcW w:w="533" w:type="pct"/>
            <w:vAlign w:val="center"/>
            <w:hideMark/>
          </w:tcPr>
          <w:p w14:paraId="4EB2E090"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884</w:t>
            </w:r>
          </w:p>
        </w:tc>
        <w:tc>
          <w:tcPr>
            <w:tcW w:w="1112" w:type="pct"/>
            <w:vAlign w:val="center"/>
            <w:hideMark/>
          </w:tcPr>
          <w:p w14:paraId="3F5DDD4A" w14:textId="3F540ED4" w:rsidR="00FE7595" w:rsidRPr="00FE6DDA" w:rsidRDefault="00235975" w:rsidP="004E4F60">
            <w:pPr>
              <w:pStyle w:val="Body"/>
              <w:spacing w:after="0"/>
              <w:rPr>
                <w:rFonts w:ascii="Arial" w:hAnsi="Arial" w:cs="Arial"/>
                <w:lang w:val="fr-FR"/>
              </w:rPr>
            </w:pPr>
            <w:r>
              <w:rPr>
                <w:rFonts w:ascii="Arial" w:hAnsi="Arial" w:cs="Arial"/>
                <w:b/>
                <w:bCs/>
                <w:lang w:val="fr-FR"/>
              </w:rPr>
              <w:fldChar w:fldCharType="begin"/>
            </w:r>
            <w:r>
              <w:rPr>
                <w:rFonts w:ascii="Arial" w:hAnsi="Arial" w:cs="Arial"/>
                <w:b/>
                <w:bCs/>
                <w:lang w:val="fr-FR"/>
              </w:rPr>
              <w:instrText xml:space="preserve"> ADDIN ZOTERO_ITEM CSL_CITATION {"citationID":"oOMrDVIS","properties":{"formattedCitation":"(Bauernfeind et al., 1996)","plainCitation":"(Bauernfeind et al., 1996)","noteIndex":0},"citationItems":[{"id":386,"uris":["http://zotero.org/users/local/OIj6EcLj/items/V94FPH3E"],"itemData":{"id":386,"type":"article-journal","abstract":"Amino acid sequences determined either by protein sequencing or by DNA sequencing are identical for cefotaximases CTX-M-1 and MEN-1, whereas CTX-M-2 is 84% identical to CTX-M-1/MEN-1. Both beta-lactamases are distantly related to other plasmidic class A enzymes (homology to TEM-1 is 38.1% for CTX-M-1/MEN-1 and 36.5% for CTX-M-2); the closest relationship was with the chromosomal beta-lactamase of Klebsiella oxytoca E23004 (homologies of 74.5% for CTX-M-1/MEN-1 and 77.9% for CTX-M-2). The cefotaximases CTX-M-1/MEN-1 and CTX-M-2 represent two members of a new subgroup of plasmidic class A beta-lactamases.","container-title":"Antimicrobial Agents and Chemotherapy","DOI":"10.1128/AAC.40.2.509","ISSN":"0066-4804","issue":"2","journalAbbreviation":"Antimicrob Agents Chemother","language":"eng","note":"PMID: 8834913\nPMCID: PMC163149","page":"509-513","source":"PubMed","title":"Sequences of beta-lactamase genes encoding CTX-M-1 (MEN-1) and CTX-M-2 and relationship of their amino acid sequences with those of other beta-lactamases","volume":"40","author":[{"family":"Bauernfeind","given":"A."},{"family":"Stemplinger","given":"I."},{"family":"Jungwirth","given":"R."},{"family":"Ernst","given":"S."},{"family":"Casellas","given":"J. M."}],"issued":{"date-parts":[["1996",2]]}}}],"schema":"https://github.com/citation-style-language/schema/raw/master/csl-citation.json"} </w:instrText>
            </w:r>
            <w:r>
              <w:rPr>
                <w:rFonts w:ascii="Arial" w:hAnsi="Arial" w:cs="Arial"/>
                <w:b/>
                <w:bCs/>
                <w:lang w:val="fr-FR"/>
              </w:rPr>
              <w:fldChar w:fldCharType="separate"/>
            </w:r>
            <w:r w:rsidRPr="00235975">
              <w:rPr>
                <w:rFonts w:ascii="Arial" w:hAnsi="Arial" w:cs="Arial"/>
                <w:lang w:val="fr-FR"/>
              </w:rPr>
              <w:t>(Bauernfeind et al., 1996)</w:t>
            </w:r>
            <w:r>
              <w:rPr>
                <w:rFonts w:ascii="Arial" w:hAnsi="Arial" w:cs="Arial"/>
                <w:b/>
                <w:bCs/>
                <w:lang w:val="fr-FR"/>
              </w:rPr>
              <w:fldChar w:fldCharType="end"/>
            </w:r>
          </w:p>
        </w:tc>
      </w:tr>
      <w:tr w:rsidR="00FE7595" w:rsidRPr="005802E4" w14:paraId="12B7327B" w14:textId="77777777" w:rsidTr="001B4382">
        <w:trPr>
          <w:tblCellSpacing w:w="15" w:type="dxa"/>
        </w:trPr>
        <w:tc>
          <w:tcPr>
            <w:tcW w:w="747" w:type="pct"/>
            <w:vAlign w:val="center"/>
            <w:hideMark/>
          </w:tcPr>
          <w:p w14:paraId="6D56C268" w14:textId="77777777" w:rsidR="00FE7595" w:rsidRPr="00FE7595" w:rsidRDefault="00FE7595" w:rsidP="004E4F60">
            <w:pPr>
              <w:pStyle w:val="Body"/>
              <w:spacing w:after="0"/>
              <w:rPr>
                <w:rFonts w:ascii="Arial" w:hAnsi="Arial" w:cs="Arial"/>
                <w:lang w:val="fr-FR"/>
              </w:rPr>
            </w:pPr>
            <w:proofErr w:type="gramStart"/>
            <w:r w:rsidRPr="00FE7595">
              <w:rPr>
                <w:rFonts w:ascii="Arial" w:hAnsi="Arial" w:cs="Arial"/>
                <w:i/>
                <w:iCs/>
                <w:lang w:val="fr-FR"/>
              </w:rPr>
              <w:t>blaCTX</w:t>
            </w:r>
            <w:proofErr w:type="gramEnd"/>
            <w:r w:rsidRPr="00FE7595">
              <w:rPr>
                <w:rFonts w:ascii="Arial" w:hAnsi="Arial" w:cs="Arial"/>
                <w:i/>
                <w:iCs/>
                <w:lang w:val="fr-FR"/>
              </w:rPr>
              <w:t>-M-8</w:t>
            </w:r>
          </w:p>
        </w:tc>
        <w:tc>
          <w:tcPr>
            <w:tcW w:w="646" w:type="pct"/>
            <w:vAlign w:val="center"/>
            <w:hideMark/>
          </w:tcPr>
          <w:p w14:paraId="346D0352"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CTX-M8-F / CTX-M8-R</w:t>
            </w:r>
          </w:p>
        </w:tc>
        <w:tc>
          <w:tcPr>
            <w:tcW w:w="1867" w:type="pct"/>
            <w:vAlign w:val="center"/>
            <w:hideMark/>
          </w:tcPr>
          <w:p w14:paraId="36442BF7" w14:textId="77777777" w:rsidR="00FE7595" w:rsidRDefault="00FE7595" w:rsidP="004E4F60">
            <w:pPr>
              <w:pStyle w:val="Body"/>
              <w:spacing w:after="0"/>
              <w:rPr>
                <w:rFonts w:ascii="Arial" w:hAnsi="Arial" w:cs="Arial"/>
                <w:lang w:val="fr-FR"/>
              </w:rPr>
            </w:pPr>
            <w:proofErr w:type="gramStart"/>
            <w:r w:rsidRPr="00FE7595">
              <w:rPr>
                <w:rFonts w:ascii="Arial" w:hAnsi="Arial" w:cs="Arial"/>
                <w:lang w:val="fr-FR"/>
              </w:rPr>
              <w:t>F:</w:t>
            </w:r>
            <w:proofErr w:type="gramEnd"/>
            <w:r w:rsidRPr="00FE7595">
              <w:rPr>
                <w:rFonts w:ascii="Arial" w:hAnsi="Arial" w:cs="Arial"/>
                <w:lang w:val="fr-FR"/>
              </w:rPr>
              <w:t xml:space="preserve"> ATGATGAGACATCGCGTTAAG </w:t>
            </w:r>
          </w:p>
          <w:p w14:paraId="55253E39" w14:textId="218E078A" w:rsidR="00FE7595" w:rsidRPr="00FE7595" w:rsidRDefault="00FE7595" w:rsidP="004E4F60">
            <w:pPr>
              <w:pStyle w:val="Body"/>
              <w:spacing w:after="0"/>
              <w:rPr>
                <w:rFonts w:ascii="Arial" w:hAnsi="Arial" w:cs="Arial"/>
                <w:lang w:val="fr-FR"/>
              </w:rPr>
            </w:pPr>
            <w:proofErr w:type="gramStart"/>
            <w:r w:rsidRPr="00FE7595">
              <w:rPr>
                <w:rFonts w:ascii="Arial" w:hAnsi="Arial" w:cs="Arial"/>
                <w:lang w:val="fr-FR"/>
              </w:rPr>
              <w:t>R:CGTGGACGATTTTTCCGCGGCAG</w:t>
            </w:r>
            <w:proofErr w:type="gramEnd"/>
          </w:p>
        </w:tc>
        <w:tc>
          <w:tcPr>
            <w:tcW w:w="533" w:type="pct"/>
            <w:vAlign w:val="center"/>
            <w:hideMark/>
          </w:tcPr>
          <w:p w14:paraId="10D0FDF5"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864</w:t>
            </w:r>
          </w:p>
        </w:tc>
        <w:tc>
          <w:tcPr>
            <w:tcW w:w="1112" w:type="pct"/>
            <w:vAlign w:val="center"/>
            <w:hideMark/>
          </w:tcPr>
          <w:p w14:paraId="3CAB4D09" w14:textId="1FA6C6F8" w:rsidR="00FE7595" w:rsidRPr="00FE6DDA" w:rsidRDefault="005802E4" w:rsidP="004E4F60">
            <w:pPr>
              <w:pStyle w:val="Body"/>
              <w:spacing w:after="0"/>
              <w:rPr>
                <w:rFonts w:ascii="Arial" w:hAnsi="Arial" w:cs="Arial"/>
                <w:lang w:val="fr-FR"/>
              </w:rPr>
            </w:pPr>
            <w:r>
              <w:rPr>
                <w:rFonts w:ascii="Arial" w:hAnsi="Arial" w:cs="Arial"/>
                <w:b/>
                <w:bCs/>
                <w:lang w:val="fr-FR"/>
              </w:rPr>
              <w:fldChar w:fldCharType="begin"/>
            </w:r>
            <w:r>
              <w:rPr>
                <w:rFonts w:ascii="Arial" w:hAnsi="Arial" w:cs="Arial"/>
                <w:b/>
                <w:bCs/>
                <w:lang w:val="fr-FR"/>
              </w:rPr>
              <w:instrText xml:space="preserve"> ADDIN ZOTERO_ITEM CSL_CITATION {"citationID":"UriDKzYS","properties":{"formattedCitation":"(Chmelnitsky et al., 2005)","plainCitation":"(Chmelnitsky et al., 2005)","noteIndex":0},"citationItems":[{"id":389,"uris":["http://zotero.org/users/local/OIj6EcLj/items/77FEC5NJ"],"itemData":{"id":389,"type":"article-journal","abstract":"The rate of occurrence of the extended-spectrum beta-lactamase (ESBL)-producing phenotype among Escherichia coli isolates in Tel Aviv is 12% (). The aim of this study was to understand the molecular epidemiology of E. coli ESBL producers and to identify the ESBL genes carried by them. We studied 20 single-patient ESBL-producing E. coli clinical isolates. They comprised 11 distinct nonrelated pulsed-field gel electrophoresis (PFGE) genotypes: six isolates belonged to the same PFGE clone, four other clones included two isolates each, and six unrelated clones included only one isolate. All isolates produced various beta-lactamases with pIs ranging from 5.2 to 8.2, varying within similar PFGE clones. The most prevalent ESBL gene was blaCTX-M; 16 isolates carried blaCTX-M-2 and three carried a new ESBL gene designated blaCTX-M-39. Three strains carried blaSHV (two blaSHV-12 and one blaSHV-5), and two strains carried inhibitor-resistant ESBL genes, blaTEM-33 and blaTEM-30; 18 strains carried blaTEM-1 and eight strains carried blaOXA-2. Plasmid mapping and Southern blot analysis with a CTX-M-2 probe demonstrated that blaCTX-M-2 is plasmid borne. The wide dissemination of ESBLs among E. coli isolates in our institution is partly related to clonal spread, but more notably to various plasmid-associated ESBL genes, occurring in multiple clones, wherein the CTX-M gene family appears almost uniformly. We report here a new CTX-M gene, designated blaCTX-M-39, which revealed 99% homology with blaCTX-M-26, with a substitution of arginine for glutamine at position 225.","container-title":"Antimicrobial Agents and Chemotherapy","DOI":"10.1128/AAC.49.11.4745-4750.2005","ISSN":"0066-4804","issue":"11","journalAbbreviation":"Antimicrob Agents Chemother","note":"PMID: 16251320\nPMCID: PMC1280129","page":"4745-4750","source":"PubMed Central","title":"CTX-M-2 and a New CTX-M-39 Enzyme Are the Major Extended-Spectrum Beta-Lactamases in Multiple Escherichia coli Clones Isolated in Tel Aviv, Israel","volume":"49","author":[{"family":"Chmelnitsky","given":"Inna"},{"family":"Carmeli","given":"Yehuda"},{"family":"Leavitt","given":"Azita"},{"family":"Schwaber","given":"Mitchell J."},{"family":"Navon-Venezia","given":"Shiri"}],"issued":{"date-parts":[["2005",11]]}}}],"schema":"https://github.com/citation-style-language/schema/raw/master/csl-citation.json"} </w:instrText>
            </w:r>
            <w:r>
              <w:rPr>
                <w:rFonts w:ascii="Arial" w:hAnsi="Arial" w:cs="Arial"/>
                <w:b/>
                <w:bCs/>
                <w:lang w:val="fr-FR"/>
              </w:rPr>
              <w:fldChar w:fldCharType="separate"/>
            </w:r>
            <w:r w:rsidRPr="005802E4">
              <w:rPr>
                <w:rFonts w:ascii="Arial" w:hAnsi="Arial" w:cs="Arial"/>
                <w:lang w:val="fr-FR"/>
              </w:rPr>
              <w:t>(Chmelnitsky et al., 2005)</w:t>
            </w:r>
            <w:r>
              <w:rPr>
                <w:rFonts w:ascii="Arial" w:hAnsi="Arial" w:cs="Arial"/>
                <w:b/>
                <w:bCs/>
                <w:lang w:val="fr-FR"/>
              </w:rPr>
              <w:fldChar w:fldCharType="end"/>
            </w:r>
          </w:p>
        </w:tc>
      </w:tr>
      <w:tr w:rsidR="00FE7595" w:rsidRPr="005802E4" w14:paraId="6BFCE42E" w14:textId="77777777" w:rsidTr="001B4382">
        <w:trPr>
          <w:tblCellSpacing w:w="15" w:type="dxa"/>
        </w:trPr>
        <w:tc>
          <w:tcPr>
            <w:tcW w:w="747" w:type="pct"/>
            <w:tcBorders>
              <w:bottom w:val="single" w:sz="12" w:space="0" w:color="auto"/>
            </w:tcBorders>
            <w:vAlign w:val="center"/>
            <w:hideMark/>
          </w:tcPr>
          <w:p w14:paraId="191854DB" w14:textId="77777777" w:rsidR="00FE7595" w:rsidRPr="00FE7595" w:rsidRDefault="00FE7595" w:rsidP="004E4F60">
            <w:pPr>
              <w:pStyle w:val="Body"/>
              <w:spacing w:after="0"/>
              <w:rPr>
                <w:rFonts w:ascii="Arial" w:hAnsi="Arial" w:cs="Arial"/>
                <w:lang w:val="fr-FR"/>
              </w:rPr>
            </w:pPr>
            <w:proofErr w:type="gramStart"/>
            <w:r w:rsidRPr="00FE7595">
              <w:rPr>
                <w:rFonts w:ascii="Arial" w:hAnsi="Arial" w:cs="Arial"/>
                <w:i/>
                <w:iCs/>
                <w:lang w:val="fr-FR"/>
              </w:rPr>
              <w:t>blaCTX</w:t>
            </w:r>
            <w:proofErr w:type="gramEnd"/>
            <w:r w:rsidRPr="00FE7595">
              <w:rPr>
                <w:rFonts w:ascii="Arial" w:hAnsi="Arial" w:cs="Arial"/>
                <w:i/>
                <w:iCs/>
                <w:lang w:val="fr-FR"/>
              </w:rPr>
              <w:t>-M-9</w:t>
            </w:r>
          </w:p>
        </w:tc>
        <w:tc>
          <w:tcPr>
            <w:tcW w:w="646" w:type="pct"/>
            <w:tcBorders>
              <w:bottom w:val="single" w:sz="12" w:space="0" w:color="auto"/>
            </w:tcBorders>
            <w:vAlign w:val="center"/>
            <w:hideMark/>
          </w:tcPr>
          <w:p w14:paraId="557C0390"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CTX-M9-F / CTX-M9-R</w:t>
            </w:r>
          </w:p>
        </w:tc>
        <w:tc>
          <w:tcPr>
            <w:tcW w:w="1867" w:type="pct"/>
            <w:tcBorders>
              <w:bottom w:val="single" w:sz="12" w:space="0" w:color="auto"/>
            </w:tcBorders>
            <w:vAlign w:val="center"/>
            <w:hideMark/>
          </w:tcPr>
          <w:p w14:paraId="1E4B54DB" w14:textId="77777777" w:rsidR="00FE7595" w:rsidRDefault="00FE7595" w:rsidP="004E4F60">
            <w:pPr>
              <w:pStyle w:val="Body"/>
              <w:spacing w:after="0"/>
              <w:rPr>
                <w:rFonts w:ascii="Arial" w:hAnsi="Arial" w:cs="Arial"/>
                <w:lang w:val="fr-FR"/>
              </w:rPr>
            </w:pPr>
            <w:proofErr w:type="gramStart"/>
            <w:r w:rsidRPr="00FE7595">
              <w:rPr>
                <w:rFonts w:ascii="Arial" w:hAnsi="Arial" w:cs="Arial"/>
                <w:lang w:val="fr-FR"/>
              </w:rPr>
              <w:t>F:ATGGTGACAAAGAGAGTGCA</w:t>
            </w:r>
            <w:proofErr w:type="gramEnd"/>
            <w:r w:rsidRPr="00FE7595">
              <w:rPr>
                <w:rFonts w:ascii="Arial" w:hAnsi="Arial" w:cs="Arial"/>
                <w:lang w:val="fr-FR"/>
              </w:rPr>
              <w:t xml:space="preserve"> </w:t>
            </w:r>
            <w:r>
              <w:rPr>
                <w:rFonts w:ascii="Arial" w:hAnsi="Arial" w:cs="Arial"/>
                <w:lang w:val="fr-FR"/>
              </w:rPr>
              <w:t xml:space="preserve">     </w:t>
            </w:r>
          </w:p>
          <w:p w14:paraId="11A19963" w14:textId="396622A1" w:rsidR="00FE7595" w:rsidRPr="00FE7595" w:rsidRDefault="00FE7595" w:rsidP="004E4F60">
            <w:pPr>
              <w:pStyle w:val="Body"/>
              <w:spacing w:after="0"/>
              <w:rPr>
                <w:rFonts w:ascii="Arial" w:hAnsi="Arial" w:cs="Arial"/>
                <w:lang w:val="fr-FR"/>
              </w:rPr>
            </w:pPr>
            <w:proofErr w:type="gramStart"/>
            <w:r w:rsidRPr="00FE7595">
              <w:rPr>
                <w:rFonts w:ascii="Arial" w:hAnsi="Arial" w:cs="Arial"/>
                <w:lang w:val="fr-FR"/>
              </w:rPr>
              <w:t>R:</w:t>
            </w:r>
            <w:proofErr w:type="gramEnd"/>
            <w:r w:rsidRPr="00FE7595">
              <w:rPr>
                <w:rFonts w:ascii="Arial" w:hAnsi="Arial" w:cs="Arial"/>
                <w:lang w:val="fr-FR"/>
              </w:rPr>
              <w:t xml:space="preserve"> CCCTTCGGCGATGATTCTC</w:t>
            </w:r>
          </w:p>
        </w:tc>
        <w:tc>
          <w:tcPr>
            <w:tcW w:w="533" w:type="pct"/>
            <w:tcBorders>
              <w:bottom w:val="single" w:sz="12" w:space="0" w:color="auto"/>
            </w:tcBorders>
            <w:vAlign w:val="center"/>
            <w:hideMark/>
          </w:tcPr>
          <w:p w14:paraId="7F8617EB"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651</w:t>
            </w:r>
          </w:p>
        </w:tc>
        <w:tc>
          <w:tcPr>
            <w:tcW w:w="1112" w:type="pct"/>
            <w:tcBorders>
              <w:bottom w:val="single" w:sz="12" w:space="0" w:color="000000"/>
            </w:tcBorders>
            <w:vAlign w:val="center"/>
            <w:hideMark/>
          </w:tcPr>
          <w:p w14:paraId="565091F9" w14:textId="17329522" w:rsidR="00FE7595" w:rsidRPr="00FE6DDA" w:rsidRDefault="005802E4" w:rsidP="004E4F60">
            <w:pPr>
              <w:pStyle w:val="Body"/>
              <w:spacing w:after="0"/>
              <w:rPr>
                <w:rFonts w:ascii="Arial" w:hAnsi="Arial" w:cs="Arial"/>
                <w:lang w:val="fr-FR"/>
              </w:rPr>
            </w:pPr>
            <w:r>
              <w:rPr>
                <w:rFonts w:ascii="Arial" w:hAnsi="Arial" w:cs="Arial"/>
                <w:b/>
                <w:bCs/>
                <w:lang w:val="fr-FR"/>
              </w:rPr>
              <w:fldChar w:fldCharType="begin"/>
            </w:r>
            <w:r>
              <w:rPr>
                <w:rFonts w:ascii="Arial" w:hAnsi="Arial" w:cs="Arial"/>
                <w:b/>
                <w:bCs/>
                <w:lang w:val="fr-FR"/>
              </w:rPr>
              <w:instrText xml:space="preserve"> ADDIN ZOTERO_ITEM CSL_CITATION {"citationID":"w6aGc9n7","properties":{"formattedCitation":"(Eckert et al., 2004)","plainCitation":"(Eckert et al., 2004)","noteIndex":0},"citationItems":[{"id":392,"uris":["http://zotero.org/users/local/OIj6EcLj/items/JXI78KAA"],"itemData":{"id":392,"type":"article-journal","abstract":"We analyzed 19 clinical isolates of the family Enterobacteriaceae (16 Escherichia coli isolates and 3 Klebsiella pneumoniae isolates) collected from four different hospitals in Paris, France, from 2000 to 2002. These strains had a particular extended-spectrum cephalosporin resistance profile characterized by a higher level of resistance to cefotaxime and aztreonam than to ceftazidime. The bla(CTX-M) genes encoding these beta-lactamases were involved in this resistance, with a predominance of bla(CTX-M-15). Ten of the 19 isolates produced both TEM-1- and CTX-M-type enzymes. One strain (E. coli TN13) expressed CMY-2, TEM-1, and CTX-M-14. bla(CTX-M) genes were found on large plasmids. In 15 cases the same insertion sequence, ISEcp1, was located upstream of the 5' end of the bla(CTX-M) gene. In one case we identified an insertion sequence designated IS26. Examination of the other three bla(CTX-M) genes by cloning, sequencing, and PCR analysis revealed the presence of a complex sul1-type integron that includes open reading frame ORF513, which carries the bla gene and the surrounding DNA. Five isolates had the same plasmid DNA fingerprint, suggesting clonal dissemination of CTX-M-15-producing strains in the Paris area.","container-title":"Antimicrobial Agents and Chemotherapy","DOI":"10.1128/AAC.48.4.1249-1255.2004","ISSN":"0066-4804","issue":"4","journalAbbreviation":"Antimicrob Agents Chemother","language":"eng","note":"PMID: 15047527\nPMCID: PMC375249","page":"1249-1255","source":"PubMed","title":"Dissemination of CTX-M-type beta-lactamases among clinical isolates of Enterobacteriaceae in Paris, France","volume":"48","author":[{"family":"Eckert","given":"C."},{"family":"Gautier","given":"V."},{"family":"Saladin-Allard","given":"M."},{"family":"Hidri","given":"N."},{"family":"Verdet","given":"C."},{"family":"Ould-Hocine","given":"Z."},{"family":"Barnaud","given":"G."},{"family":"Delisle","given":"F."},{"family":"Rossier","given":"A."},{"family":"Lambert","given":"T."},{"family":"Philippon","given":"A."},{"family":"Arlet","given":"G."}],"issued":{"date-parts":[["2004",4]]}}}],"schema":"https://github.com/citation-style-language/schema/raw/master/csl-citation.json"} </w:instrText>
            </w:r>
            <w:r>
              <w:rPr>
                <w:rFonts w:ascii="Arial" w:hAnsi="Arial" w:cs="Arial"/>
                <w:b/>
                <w:bCs/>
                <w:lang w:val="fr-FR"/>
              </w:rPr>
              <w:fldChar w:fldCharType="separate"/>
            </w:r>
            <w:r w:rsidRPr="005802E4">
              <w:rPr>
                <w:rFonts w:ascii="Arial" w:hAnsi="Arial" w:cs="Arial"/>
                <w:lang w:val="fr-FR"/>
              </w:rPr>
              <w:t>(Eckert et al., 2004)</w:t>
            </w:r>
            <w:r>
              <w:rPr>
                <w:rFonts w:ascii="Arial" w:hAnsi="Arial" w:cs="Arial"/>
                <w:b/>
                <w:bCs/>
                <w:lang w:val="fr-FR"/>
              </w:rPr>
              <w:fldChar w:fldCharType="end"/>
            </w:r>
          </w:p>
        </w:tc>
      </w:tr>
    </w:tbl>
    <w:p w14:paraId="3F75A1E7" w14:textId="77777777" w:rsidR="00790ADA" w:rsidRPr="005802E4" w:rsidRDefault="00790ADA" w:rsidP="00441B6F">
      <w:pPr>
        <w:pStyle w:val="Body"/>
        <w:spacing w:after="0"/>
        <w:rPr>
          <w:rFonts w:ascii="Arial" w:hAnsi="Arial" w:cs="Arial"/>
          <w:lang w:val="fr-FR"/>
        </w:rPr>
      </w:pPr>
    </w:p>
    <w:p w14:paraId="388DFE60" w14:textId="12EC317A" w:rsidR="00AF3826" w:rsidRPr="005D58E0" w:rsidRDefault="00AF3826" w:rsidP="00AF3826">
      <w:pPr>
        <w:pStyle w:val="22Heading3"/>
        <w:numPr>
          <w:ilvl w:val="1"/>
          <w:numId w:val="32"/>
        </w:numPr>
        <w:rPr>
          <w:rFonts w:ascii="Arial" w:hAnsi="Arial" w:cs="Arial"/>
          <w:sz w:val="22"/>
          <w:szCs w:val="24"/>
        </w:rPr>
      </w:pPr>
      <w:r w:rsidRPr="005D58E0">
        <w:rPr>
          <w:rFonts w:ascii="Arial" w:hAnsi="Arial" w:cs="Arial"/>
          <w:sz w:val="22"/>
          <w:szCs w:val="24"/>
        </w:rPr>
        <w:t>Statistical Analysis</w:t>
      </w:r>
    </w:p>
    <w:p w14:paraId="66F25FF2" w14:textId="6863F163" w:rsidR="00AF3826" w:rsidRPr="005D58E0" w:rsidRDefault="005D58E0" w:rsidP="00441B6F">
      <w:pPr>
        <w:pStyle w:val="Head1"/>
        <w:spacing w:after="0"/>
        <w:jc w:val="both"/>
        <w:rPr>
          <w:rFonts w:ascii="Arial" w:hAnsi="Arial" w:cs="Arial"/>
        </w:rPr>
      </w:pPr>
      <w:r w:rsidRPr="00F9209D">
        <w:rPr>
          <w:rFonts w:ascii="Arial" w:eastAsia="Malgun Gothic" w:hAnsi="Arial" w:cs="Arial"/>
          <w:b w:val="0"/>
          <w:bCs/>
          <w:caps w:val="0"/>
          <w:sz w:val="20"/>
          <w:szCs w:val="22"/>
          <w:lang w:eastAsia="x-none"/>
        </w:rPr>
        <w:t>Patients’ sociodemographic and clinical characteristics were recorded using a structured questionnaire. The data were first entered into Microsoft Excel and then transferred to Epi Info version 7.2.3.1 for statistical analysis. Categorical data were presented as percentages.</w:t>
      </w:r>
    </w:p>
    <w:p w14:paraId="50B3741F" w14:textId="77777777" w:rsidR="00AF3826" w:rsidRDefault="00AF3826" w:rsidP="00441B6F">
      <w:pPr>
        <w:pStyle w:val="Head1"/>
        <w:spacing w:after="0"/>
        <w:jc w:val="both"/>
        <w:rPr>
          <w:rFonts w:ascii="Arial" w:hAnsi="Arial" w:cs="Arial"/>
        </w:rPr>
      </w:pPr>
    </w:p>
    <w:p w14:paraId="0C0A0E32" w14:textId="1CBB18CF" w:rsidR="00FE7595"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A098C2" w14:textId="77777777" w:rsidR="00790ADA" w:rsidRPr="00FB3A86" w:rsidRDefault="00790ADA" w:rsidP="00441B6F">
      <w:pPr>
        <w:pStyle w:val="Head1"/>
        <w:spacing w:after="0"/>
        <w:jc w:val="both"/>
        <w:rPr>
          <w:rFonts w:ascii="Arial" w:hAnsi="Arial" w:cs="Arial"/>
        </w:rPr>
      </w:pPr>
    </w:p>
    <w:p w14:paraId="1BFC8B24" w14:textId="692077CC" w:rsidR="0096635C" w:rsidRPr="0096635C" w:rsidRDefault="00FE7595" w:rsidP="0096635C">
      <w:pPr>
        <w:pStyle w:val="Body"/>
        <w:spacing w:after="0"/>
        <w:rPr>
          <w:rFonts w:ascii="Arial" w:hAnsi="Arial" w:cs="Arial"/>
          <w:b/>
          <w:bCs/>
          <w:sz w:val="22"/>
          <w:szCs w:val="22"/>
          <w:lang w:val="en-GB"/>
        </w:rPr>
      </w:pPr>
      <w:r w:rsidRPr="005D7002">
        <w:rPr>
          <w:rFonts w:ascii="Arial" w:hAnsi="Arial" w:cs="Arial"/>
          <w:b/>
          <w:bCs/>
          <w:sz w:val="22"/>
          <w:szCs w:val="22"/>
          <w:lang w:val="en-GB"/>
        </w:rPr>
        <w:t>3</w:t>
      </w:r>
      <w:r w:rsidRPr="00FE7595">
        <w:rPr>
          <w:rFonts w:ascii="Arial" w:hAnsi="Arial" w:cs="Arial"/>
          <w:b/>
          <w:bCs/>
          <w:sz w:val="22"/>
          <w:szCs w:val="22"/>
          <w:lang w:val="en-GB"/>
        </w:rPr>
        <w:t>.1 Results</w:t>
      </w:r>
    </w:p>
    <w:p w14:paraId="05B88DA1" w14:textId="2DC3D186" w:rsidR="00FE7595" w:rsidRPr="00FE7595" w:rsidRDefault="00FE7595" w:rsidP="00FE7595">
      <w:pPr>
        <w:pStyle w:val="Body"/>
        <w:spacing w:after="0"/>
        <w:rPr>
          <w:rFonts w:ascii="Arial" w:hAnsi="Arial" w:cs="Arial"/>
          <w:b/>
          <w:bCs/>
          <w:lang w:val="en-GB"/>
        </w:rPr>
      </w:pPr>
      <w:r>
        <w:rPr>
          <w:rFonts w:ascii="Arial" w:hAnsi="Arial" w:cs="Arial"/>
          <w:b/>
          <w:bCs/>
          <w:lang w:val="en-GB"/>
        </w:rPr>
        <w:t>3</w:t>
      </w:r>
      <w:r w:rsidRPr="00FE7595">
        <w:rPr>
          <w:rFonts w:ascii="Arial" w:hAnsi="Arial" w:cs="Arial"/>
          <w:b/>
          <w:bCs/>
          <w:lang w:val="en-GB"/>
        </w:rPr>
        <w:t>.1.1 Epidemiological</w:t>
      </w:r>
      <w:r>
        <w:rPr>
          <w:rFonts w:ascii="Arial" w:hAnsi="Arial" w:cs="Arial"/>
          <w:b/>
          <w:bCs/>
          <w:lang w:val="en-GB"/>
        </w:rPr>
        <w:t xml:space="preserve"> and clinical profile of patients</w:t>
      </w:r>
    </w:p>
    <w:p w14:paraId="560D264F" w14:textId="0854CC7C" w:rsidR="00FE7595" w:rsidRDefault="00FE7595" w:rsidP="00FE7595">
      <w:pPr>
        <w:pStyle w:val="Body"/>
        <w:spacing w:after="0"/>
        <w:rPr>
          <w:rFonts w:ascii="Arial" w:hAnsi="Arial" w:cs="Arial"/>
          <w:lang w:val="en-GB"/>
        </w:rPr>
      </w:pPr>
      <w:r w:rsidRPr="00FE7595">
        <w:rPr>
          <w:rFonts w:ascii="Arial" w:hAnsi="Arial" w:cs="Arial"/>
          <w:lang w:val="en-GB"/>
        </w:rPr>
        <w:t>Among the 74 patients presenting with oral and dental infections included in the study, 30 were male and 44 were female, yielding a sex ratio of 0.68.</w:t>
      </w:r>
      <w:r w:rsidR="00BA145B">
        <w:rPr>
          <w:rFonts w:ascii="Arial" w:hAnsi="Arial" w:cs="Arial"/>
          <w:lang w:val="en-GB"/>
        </w:rPr>
        <w:t xml:space="preserve"> </w:t>
      </w:r>
      <w:r w:rsidRPr="00FE7595">
        <w:rPr>
          <w:rFonts w:ascii="Arial" w:hAnsi="Arial" w:cs="Arial"/>
          <w:lang w:val="en-GB"/>
        </w:rPr>
        <w:t xml:space="preserve">Participants ranged in age from 4 to 48 years (Table </w:t>
      </w:r>
      <w:r w:rsidR="008050FB">
        <w:rPr>
          <w:rFonts w:ascii="Arial" w:hAnsi="Arial" w:cs="Arial"/>
          <w:lang w:val="en-GB"/>
        </w:rPr>
        <w:t>2</w:t>
      </w:r>
      <w:r w:rsidRPr="00FE7595">
        <w:rPr>
          <w:rFonts w:ascii="Arial" w:hAnsi="Arial" w:cs="Arial"/>
          <w:lang w:val="en-GB"/>
        </w:rPr>
        <w:t>).</w:t>
      </w:r>
      <w:r>
        <w:rPr>
          <w:rFonts w:ascii="Arial" w:hAnsi="Arial" w:cs="Arial"/>
          <w:lang w:val="en-GB"/>
        </w:rPr>
        <w:t xml:space="preserve"> </w:t>
      </w:r>
      <w:r w:rsidRPr="00FE7595">
        <w:rPr>
          <w:rFonts w:ascii="Arial" w:hAnsi="Arial" w:cs="Arial"/>
          <w:lang w:val="en-GB"/>
        </w:rPr>
        <w:t>Pain was the most common reason for consultation (100%), followed by swelling (4.05%), suppuration (4.05%), and fever (1.35%).</w:t>
      </w:r>
      <w:r w:rsidRPr="00FE7595">
        <w:rPr>
          <w:rFonts w:ascii="Arial" w:hAnsi="Arial" w:cs="Arial"/>
          <w:lang w:val="en-GB"/>
        </w:rPr>
        <w:br/>
        <w:t>Periodontitis was the most frequently observed condition, accounting for 67.56% of cases.</w:t>
      </w:r>
    </w:p>
    <w:p w14:paraId="0EBEFAF4" w14:textId="77777777" w:rsidR="0068654C" w:rsidRDefault="0068654C" w:rsidP="00FE7595">
      <w:pPr>
        <w:pStyle w:val="Body"/>
        <w:spacing w:after="0"/>
        <w:rPr>
          <w:rFonts w:ascii="Arial" w:hAnsi="Arial" w:cs="Arial"/>
          <w:lang w:val="en-GB"/>
        </w:rPr>
      </w:pPr>
    </w:p>
    <w:p w14:paraId="0A30C5F7" w14:textId="75F8B94B" w:rsidR="00E32EB6" w:rsidRPr="00E32EB6" w:rsidRDefault="00E32EB6" w:rsidP="00E32EB6">
      <w:pPr>
        <w:tabs>
          <w:tab w:val="left" w:pos="1080"/>
        </w:tabs>
        <w:jc w:val="both"/>
        <w:rPr>
          <w:rFonts w:ascii="Arial" w:hAnsi="Arial"/>
          <w:b/>
        </w:rPr>
      </w:pPr>
      <w:r>
        <w:rPr>
          <w:rFonts w:ascii="Arial" w:hAnsi="Arial"/>
          <w:b/>
        </w:rPr>
        <w:t xml:space="preserve">Table 2.  Patients epidemiological </w:t>
      </w:r>
      <w:r w:rsidR="0093463A">
        <w:rPr>
          <w:rFonts w:ascii="Arial" w:hAnsi="Arial"/>
          <w:b/>
        </w:rPr>
        <w:t>and clinical</w:t>
      </w:r>
      <w:r>
        <w:rPr>
          <w:rFonts w:ascii="Arial" w:hAnsi="Arial"/>
          <w:b/>
        </w:rPr>
        <w:t xml:space="preserve"> characteristic</w:t>
      </w:r>
    </w:p>
    <w:p w14:paraId="57D9326B" w14:textId="77777777" w:rsidR="0068654C" w:rsidRDefault="0068654C" w:rsidP="00FE7595">
      <w:pPr>
        <w:pStyle w:val="Body"/>
        <w:spacing w:after="0"/>
        <w:rPr>
          <w:rFonts w:ascii="Arial" w:hAnsi="Arial" w:cs="Arial"/>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2010"/>
        <w:gridCol w:w="1793"/>
      </w:tblGrid>
      <w:tr w:rsidR="0068654C" w:rsidRPr="0068654C" w14:paraId="0DA4C538" w14:textId="77777777" w:rsidTr="00E32EB6">
        <w:trPr>
          <w:jc w:val="center"/>
        </w:trPr>
        <w:tc>
          <w:tcPr>
            <w:tcW w:w="2268" w:type="dxa"/>
            <w:tcBorders>
              <w:top w:val="single" w:sz="12" w:space="0" w:color="000000"/>
              <w:bottom w:val="single" w:sz="12" w:space="0" w:color="000000"/>
            </w:tcBorders>
          </w:tcPr>
          <w:p w14:paraId="144F4668" w14:textId="77777777" w:rsidR="0068654C" w:rsidRPr="0068654C" w:rsidRDefault="0068654C" w:rsidP="00E32EB6">
            <w:pPr>
              <w:spacing w:line="276" w:lineRule="auto"/>
              <w:rPr>
                <w:rFonts w:ascii="Arial" w:hAnsi="Arial" w:cs="Arial"/>
                <w:b/>
                <w:bCs/>
                <w:sz w:val="20"/>
                <w:szCs w:val="20"/>
              </w:rPr>
            </w:pPr>
            <w:bookmarkStart w:id="3" w:name="_Hlk198742165"/>
            <w:r w:rsidRPr="0068654C">
              <w:rPr>
                <w:rFonts w:ascii="Arial" w:hAnsi="Arial" w:cs="Arial"/>
                <w:b/>
                <w:bCs/>
                <w:sz w:val="20"/>
                <w:szCs w:val="20"/>
              </w:rPr>
              <w:t>Variable</w:t>
            </w:r>
          </w:p>
        </w:tc>
        <w:tc>
          <w:tcPr>
            <w:tcW w:w="2127" w:type="dxa"/>
            <w:tcBorders>
              <w:top w:val="single" w:sz="12" w:space="0" w:color="000000"/>
              <w:bottom w:val="single" w:sz="12" w:space="0" w:color="000000"/>
            </w:tcBorders>
          </w:tcPr>
          <w:p w14:paraId="404CCAF7" w14:textId="77777777" w:rsidR="0068654C" w:rsidRPr="0068654C" w:rsidRDefault="0068654C" w:rsidP="00E32EB6">
            <w:pPr>
              <w:spacing w:line="276" w:lineRule="auto"/>
              <w:rPr>
                <w:rFonts w:ascii="Arial" w:hAnsi="Arial" w:cs="Arial"/>
                <w:b/>
                <w:bCs/>
                <w:sz w:val="20"/>
                <w:szCs w:val="20"/>
              </w:rPr>
            </w:pPr>
            <w:r w:rsidRPr="0068654C">
              <w:rPr>
                <w:rFonts w:ascii="Arial" w:hAnsi="Arial" w:cs="Arial"/>
                <w:b/>
                <w:bCs/>
                <w:sz w:val="20"/>
                <w:szCs w:val="20"/>
              </w:rPr>
              <w:t>Category</w:t>
            </w:r>
          </w:p>
        </w:tc>
        <w:tc>
          <w:tcPr>
            <w:tcW w:w="2010" w:type="dxa"/>
            <w:tcBorders>
              <w:top w:val="single" w:sz="12" w:space="0" w:color="000000"/>
              <w:bottom w:val="single" w:sz="12" w:space="0" w:color="000000"/>
            </w:tcBorders>
          </w:tcPr>
          <w:p w14:paraId="5D132EA2" w14:textId="77777777" w:rsidR="0068654C" w:rsidRPr="0068654C" w:rsidRDefault="0068654C" w:rsidP="00E32EB6">
            <w:pPr>
              <w:spacing w:line="276" w:lineRule="auto"/>
              <w:jc w:val="center"/>
              <w:rPr>
                <w:rFonts w:ascii="Arial" w:hAnsi="Arial" w:cs="Arial"/>
                <w:b/>
                <w:bCs/>
                <w:sz w:val="20"/>
                <w:szCs w:val="20"/>
              </w:rPr>
            </w:pPr>
            <w:r w:rsidRPr="0068654C">
              <w:rPr>
                <w:rFonts w:ascii="Arial" w:hAnsi="Arial" w:cs="Arial"/>
                <w:b/>
                <w:bCs/>
                <w:sz w:val="20"/>
                <w:szCs w:val="20"/>
              </w:rPr>
              <w:t>Frequency (n)</w:t>
            </w:r>
          </w:p>
        </w:tc>
        <w:tc>
          <w:tcPr>
            <w:tcW w:w="1793" w:type="dxa"/>
            <w:tcBorders>
              <w:top w:val="single" w:sz="12" w:space="0" w:color="000000"/>
              <w:bottom w:val="single" w:sz="12" w:space="0" w:color="000000"/>
            </w:tcBorders>
          </w:tcPr>
          <w:p w14:paraId="43F0F2F0" w14:textId="77777777" w:rsidR="0068654C" w:rsidRPr="0068654C" w:rsidRDefault="0068654C" w:rsidP="00E32EB6">
            <w:pPr>
              <w:spacing w:line="276" w:lineRule="auto"/>
              <w:jc w:val="center"/>
              <w:rPr>
                <w:rFonts w:ascii="Arial" w:hAnsi="Arial" w:cs="Arial"/>
                <w:b/>
                <w:bCs/>
                <w:sz w:val="20"/>
                <w:szCs w:val="20"/>
              </w:rPr>
            </w:pPr>
            <w:r w:rsidRPr="0068654C">
              <w:rPr>
                <w:rFonts w:ascii="Arial" w:hAnsi="Arial" w:cs="Arial"/>
                <w:b/>
                <w:bCs/>
                <w:sz w:val="20"/>
                <w:szCs w:val="20"/>
              </w:rPr>
              <w:t>Percentage (%)</w:t>
            </w:r>
          </w:p>
        </w:tc>
      </w:tr>
      <w:tr w:rsidR="0068654C" w:rsidRPr="0068654C" w14:paraId="544BC9C3" w14:textId="77777777" w:rsidTr="00E32EB6">
        <w:trPr>
          <w:jc w:val="center"/>
        </w:trPr>
        <w:tc>
          <w:tcPr>
            <w:tcW w:w="2268" w:type="dxa"/>
            <w:vMerge w:val="restart"/>
            <w:tcBorders>
              <w:top w:val="single" w:sz="12" w:space="0" w:color="000000"/>
            </w:tcBorders>
            <w:vAlign w:val="center"/>
          </w:tcPr>
          <w:p w14:paraId="052EBBA1"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Age</w:t>
            </w:r>
          </w:p>
        </w:tc>
        <w:tc>
          <w:tcPr>
            <w:tcW w:w="2127" w:type="dxa"/>
            <w:tcBorders>
              <w:top w:val="single" w:sz="12" w:space="0" w:color="000000"/>
            </w:tcBorders>
          </w:tcPr>
          <w:p w14:paraId="6CE0D17F"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0 -15</w:t>
            </w:r>
          </w:p>
        </w:tc>
        <w:tc>
          <w:tcPr>
            <w:tcW w:w="2010" w:type="dxa"/>
            <w:tcBorders>
              <w:top w:val="single" w:sz="12" w:space="0" w:color="000000"/>
            </w:tcBorders>
          </w:tcPr>
          <w:p w14:paraId="07D1F651"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w:t>
            </w:r>
          </w:p>
        </w:tc>
        <w:tc>
          <w:tcPr>
            <w:tcW w:w="1793" w:type="dxa"/>
            <w:tcBorders>
              <w:top w:val="single" w:sz="12" w:space="0" w:color="000000"/>
            </w:tcBorders>
          </w:tcPr>
          <w:p w14:paraId="1CE33A99"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4,05</w:t>
            </w:r>
          </w:p>
        </w:tc>
      </w:tr>
      <w:tr w:rsidR="0068654C" w:rsidRPr="0068654C" w14:paraId="332AEE8B" w14:textId="77777777" w:rsidTr="00E32EB6">
        <w:trPr>
          <w:jc w:val="center"/>
        </w:trPr>
        <w:tc>
          <w:tcPr>
            <w:tcW w:w="2268" w:type="dxa"/>
            <w:vMerge/>
          </w:tcPr>
          <w:p w14:paraId="7A8810EF" w14:textId="77777777" w:rsidR="0068654C" w:rsidRPr="0068654C" w:rsidRDefault="0068654C" w:rsidP="00E32EB6">
            <w:pPr>
              <w:spacing w:line="276" w:lineRule="auto"/>
              <w:rPr>
                <w:rFonts w:ascii="Arial" w:hAnsi="Arial" w:cs="Arial"/>
                <w:sz w:val="20"/>
                <w:szCs w:val="20"/>
              </w:rPr>
            </w:pPr>
          </w:p>
        </w:tc>
        <w:tc>
          <w:tcPr>
            <w:tcW w:w="2127" w:type="dxa"/>
          </w:tcPr>
          <w:p w14:paraId="50FE8B85"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16-31</w:t>
            </w:r>
          </w:p>
        </w:tc>
        <w:tc>
          <w:tcPr>
            <w:tcW w:w="2010" w:type="dxa"/>
          </w:tcPr>
          <w:p w14:paraId="503B6055"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45</w:t>
            </w:r>
          </w:p>
        </w:tc>
        <w:tc>
          <w:tcPr>
            <w:tcW w:w="1793" w:type="dxa"/>
          </w:tcPr>
          <w:p w14:paraId="10EB6FC1"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60,81</w:t>
            </w:r>
          </w:p>
        </w:tc>
      </w:tr>
      <w:tr w:rsidR="0068654C" w:rsidRPr="0068654C" w14:paraId="3A5551DA" w14:textId="77777777" w:rsidTr="00E32EB6">
        <w:trPr>
          <w:jc w:val="center"/>
        </w:trPr>
        <w:tc>
          <w:tcPr>
            <w:tcW w:w="2268" w:type="dxa"/>
            <w:vMerge/>
          </w:tcPr>
          <w:p w14:paraId="110E2384" w14:textId="77777777" w:rsidR="0068654C" w:rsidRPr="0068654C" w:rsidRDefault="0068654C" w:rsidP="00E32EB6">
            <w:pPr>
              <w:spacing w:line="276" w:lineRule="auto"/>
              <w:rPr>
                <w:rFonts w:ascii="Arial" w:hAnsi="Arial" w:cs="Arial"/>
                <w:sz w:val="20"/>
                <w:szCs w:val="20"/>
              </w:rPr>
            </w:pPr>
          </w:p>
        </w:tc>
        <w:tc>
          <w:tcPr>
            <w:tcW w:w="2127" w:type="dxa"/>
          </w:tcPr>
          <w:p w14:paraId="66752A56"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32-47</w:t>
            </w:r>
          </w:p>
        </w:tc>
        <w:tc>
          <w:tcPr>
            <w:tcW w:w="2010" w:type="dxa"/>
          </w:tcPr>
          <w:p w14:paraId="37E6059A"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25</w:t>
            </w:r>
          </w:p>
        </w:tc>
        <w:tc>
          <w:tcPr>
            <w:tcW w:w="1793" w:type="dxa"/>
          </w:tcPr>
          <w:p w14:paraId="0E71AF0E"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33,78</w:t>
            </w:r>
          </w:p>
        </w:tc>
      </w:tr>
      <w:tr w:rsidR="0068654C" w:rsidRPr="0068654C" w14:paraId="2FE90D17" w14:textId="77777777" w:rsidTr="00E32EB6">
        <w:trPr>
          <w:jc w:val="center"/>
        </w:trPr>
        <w:tc>
          <w:tcPr>
            <w:tcW w:w="2268" w:type="dxa"/>
            <w:vMerge/>
            <w:tcBorders>
              <w:bottom w:val="single" w:sz="12" w:space="0" w:color="000000"/>
            </w:tcBorders>
          </w:tcPr>
          <w:p w14:paraId="7631E0A6" w14:textId="77777777" w:rsidR="0068654C" w:rsidRPr="0068654C" w:rsidRDefault="0068654C" w:rsidP="00E32EB6">
            <w:pPr>
              <w:spacing w:line="276" w:lineRule="auto"/>
              <w:rPr>
                <w:rFonts w:ascii="Arial" w:hAnsi="Arial" w:cs="Arial"/>
                <w:sz w:val="20"/>
                <w:szCs w:val="20"/>
              </w:rPr>
            </w:pPr>
          </w:p>
        </w:tc>
        <w:tc>
          <w:tcPr>
            <w:tcW w:w="2127" w:type="dxa"/>
            <w:tcBorders>
              <w:bottom w:val="single" w:sz="12" w:space="0" w:color="000000"/>
            </w:tcBorders>
          </w:tcPr>
          <w:p w14:paraId="728432F1"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&gt;48</w:t>
            </w:r>
          </w:p>
        </w:tc>
        <w:tc>
          <w:tcPr>
            <w:tcW w:w="2010" w:type="dxa"/>
            <w:tcBorders>
              <w:bottom w:val="single" w:sz="12" w:space="0" w:color="000000"/>
            </w:tcBorders>
          </w:tcPr>
          <w:p w14:paraId="54A34475"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1</w:t>
            </w:r>
          </w:p>
        </w:tc>
        <w:tc>
          <w:tcPr>
            <w:tcW w:w="1793" w:type="dxa"/>
            <w:tcBorders>
              <w:bottom w:val="single" w:sz="12" w:space="0" w:color="000000"/>
            </w:tcBorders>
          </w:tcPr>
          <w:p w14:paraId="16860E8E"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1,35</w:t>
            </w:r>
          </w:p>
        </w:tc>
      </w:tr>
      <w:tr w:rsidR="0068654C" w:rsidRPr="0068654C" w14:paraId="0C5CA6EE" w14:textId="77777777" w:rsidTr="00E32EB6">
        <w:trPr>
          <w:jc w:val="center"/>
        </w:trPr>
        <w:tc>
          <w:tcPr>
            <w:tcW w:w="2268" w:type="dxa"/>
            <w:vMerge w:val="restart"/>
            <w:tcBorders>
              <w:top w:val="single" w:sz="12" w:space="0" w:color="000000"/>
            </w:tcBorders>
            <w:vAlign w:val="center"/>
          </w:tcPr>
          <w:p w14:paraId="1AA80B57"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Sex</w:t>
            </w:r>
          </w:p>
        </w:tc>
        <w:tc>
          <w:tcPr>
            <w:tcW w:w="2127" w:type="dxa"/>
            <w:tcBorders>
              <w:top w:val="single" w:sz="12" w:space="0" w:color="000000"/>
            </w:tcBorders>
          </w:tcPr>
          <w:p w14:paraId="3BC7D63B"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Male</w:t>
            </w:r>
          </w:p>
        </w:tc>
        <w:tc>
          <w:tcPr>
            <w:tcW w:w="2010" w:type="dxa"/>
            <w:tcBorders>
              <w:top w:val="single" w:sz="12" w:space="0" w:color="000000"/>
            </w:tcBorders>
          </w:tcPr>
          <w:p w14:paraId="7C72762A"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30</w:t>
            </w:r>
          </w:p>
        </w:tc>
        <w:tc>
          <w:tcPr>
            <w:tcW w:w="1793" w:type="dxa"/>
            <w:tcBorders>
              <w:top w:val="single" w:sz="12" w:space="0" w:color="000000"/>
            </w:tcBorders>
          </w:tcPr>
          <w:p w14:paraId="4E2C1634"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40 ,54</w:t>
            </w:r>
          </w:p>
        </w:tc>
      </w:tr>
      <w:tr w:rsidR="0068654C" w:rsidRPr="0068654C" w14:paraId="431892E3" w14:textId="77777777" w:rsidTr="00E32EB6">
        <w:trPr>
          <w:jc w:val="center"/>
        </w:trPr>
        <w:tc>
          <w:tcPr>
            <w:tcW w:w="2268" w:type="dxa"/>
            <w:vMerge/>
            <w:tcBorders>
              <w:bottom w:val="single" w:sz="12" w:space="0" w:color="000000"/>
            </w:tcBorders>
          </w:tcPr>
          <w:p w14:paraId="597CAA5D" w14:textId="77777777" w:rsidR="0068654C" w:rsidRPr="0068654C" w:rsidRDefault="0068654C" w:rsidP="00E32EB6">
            <w:pPr>
              <w:spacing w:line="276" w:lineRule="auto"/>
              <w:rPr>
                <w:rFonts w:ascii="Arial" w:hAnsi="Arial" w:cs="Arial"/>
                <w:sz w:val="20"/>
                <w:szCs w:val="20"/>
              </w:rPr>
            </w:pPr>
          </w:p>
        </w:tc>
        <w:tc>
          <w:tcPr>
            <w:tcW w:w="2127" w:type="dxa"/>
            <w:tcBorders>
              <w:bottom w:val="single" w:sz="12" w:space="0" w:color="000000"/>
            </w:tcBorders>
          </w:tcPr>
          <w:p w14:paraId="1EA08A94"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Female</w:t>
            </w:r>
          </w:p>
        </w:tc>
        <w:tc>
          <w:tcPr>
            <w:tcW w:w="2010" w:type="dxa"/>
            <w:tcBorders>
              <w:bottom w:val="single" w:sz="12" w:space="0" w:color="000000"/>
            </w:tcBorders>
          </w:tcPr>
          <w:p w14:paraId="0FF10C9C"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44</w:t>
            </w:r>
          </w:p>
        </w:tc>
        <w:tc>
          <w:tcPr>
            <w:tcW w:w="1793" w:type="dxa"/>
            <w:tcBorders>
              <w:bottom w:val="single" w:sz="12" w:space="0" w:color="000000"/>
            </w:tcBorders>
          </w:tcPr>
          <w:p w14:paraId="2D7D8308"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59,46</w:t>
            </w:r>
          </w:p>
        </w:tc>
      </w:tr>
      <w:tr w:rsidR="0068654C" w:rsidRPr="0068654C" w14:paraId="3C5D02E1" w14:textId="77777777" w:rsidTr="00E32EB6">
        <w:trPr>
          <w:jc w:val="center"/>
        </w:trPr>
        <w:tc>
          <w:tcPr>
            <w:tcW w:w="2268" w:type="dxa"/>
            <w:vMerge w:val="restart"/>
            <w:tcBorders>
              <w:top w:val="single" w:sz="12" w:space="0" w:color="000000"/>
            </w:tcBorders>
            <w:vAlign w:val="center"/>
          </w:tcPr>
          <w:p w14:paraId="20C7E529"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Dental pathology</w:t>
            </w:r>
          </w:p>
        </w:tc>
        <w:tc>
          <w:tcPr>
            <w:tcW w:w="2127" w:type="dxa"/>
            <w:tcBorders>
              <w:top w:val="single" w:sz="12" w:space="0" w:color="000000"/>
            </w:tcBorders>
          </w:tcPr>
          <w:p w14:paraId="2FAF0F71" w14:textId="77777777" w:rsidR="0068654C" w:rsidRPr="0068654C" w:rsidRDefault="0068654C" w:rsidP="00E32EB6">
            <w:pPr>
              <w:spacing w:line="276" w:lineRule="auto"/>
              <w:rPr>
                <w:rFonts w:ascii="Arial" w:hAnsi="Arial" w:cs="Arial"/>
                <w:bCs/>
                <w:sz w:val="20"/>
                <w:szCs w:val="20"/>
              </w:rPr>
            </w:pPr>
            <w:r w:rsidRPr="0068654C">
              <w:rPr>
                <w:rFonts w:ascii="Arial" w:hAnsi="Arial" w:cs="Arial"/>
                <w:bCs/>
                <w:sz w:val="20"/>
                <w:szCs w:val="20"/>
              </w:rPr>
              <w:t>Cellulitis</w:t>
            </w:r>
          </w:p>
        </w:tc>
        <w:tc>
          <w:tcPr>
            <w:tcW w:w="2010" w:type="dxa"/>
            <w:tcBorders>
              <w:top w:val="single" w:sz="12" w:space="0" w:color="000000"/>
            </w:tcBorders>
          </w:tcPr>
          <w:p w14:paraId="69F028B5"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w:t>
            </w:r>
          </w:p>
        </w:tc>
        <w:tc>
          <w:tcPr>
            <w:tcW w:w="1793" w:type="dxa"/>
            <w:tcBorders>
              <w:top w:val="single" w:sz="12" w:space="0" w:color="000000"/>
            </w:tcBorders>
          </w:tcPr>
          <w:p w14:paraId="3D568C9C"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4,05</w:t>
            </w:r>
          </w:p>
        </w:tc>
      </w:tr>
      <w:tr w:rsidR="0068654C" w:rsidRPr="0068654C" w14:paraId="1379468A" w14:textId="77777777" w:rsidTr="00E32EB6">
        <w:trPr>
          <w:jc w:val="center"/>
        </w:trPr>
        <w:tc>
          <w:tcPr>
            <w:tcW w:w="2268" w:type="dxa"/>
            <w:vMerge/>
          </w:tcPr>
          <w:p w14:paraId="57445325" w14:textId="77777777" w:rsidR="0068654C" w:rsidRPr="0068654C" w:rsidRDefault="0068654C" w:rsidP="00E32EB6">
            <w:pPr>
              <w:spacing w:line="276" w:lineRule="auto"/>
              <w:rPr>
                <w:rFonts w:ascii="Arial" w:hAnsi="Arial" w:cs="Arial"/>
                <w:sz w:val="20"/>
                <w:szCs w:val="20"/>
              </w:rPr>
            </w:pPr>
          </w:p>
        </w:tc>
        <w:tc>
          <w:tcPr>
            <w:tcW w:w="2127" w:type="dxa"/>
          </w:tcPr>
          <w:p w14:paraId="7336915F" w14:textId="77777777" w:rsidR="0068654C" w:rsidRPr="0068654C" w:rsidRDefault="0068654C" w:rsidP="00E32EB6">
            <w:pPr>
              <w:spacing w:line="276" w:lineRule="auto"/>
              <w:rPr>
                <w:rFonts w:ascii="Arial" w:hAnsi="Arial" w:cs="Arial"/>
                <w:bCs/>
                <w:sz w:val="20"/>
                <w:szCs w:val="20"/>
              </w:rPr>
            </w:pPr>
            <w:r w:rsidRPr="0068654C">
              <w:rPr>
                <w:rFonts w:ascii="Arial" w:hAnsi="Arial" w:cs="Arial"/>
                <w:bCs/>
                <w:sz w:val="20"/>
                <w:szCs w:val="20"/>
              </w:rPr>
              <w:t>Periodontal abscess</w:t>
            </w:r>
          </w:p>
        </w:tc>
        <w:tc>
          <w:tcPr>
            <w:tcW w:w="2010" w:type="dxa"/>
          </w:tcPr>
          <w:p w14:paraId="0F73EF0A"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50</w:t>
            </w:r>
          </w:p>
        </w:tc>
        <w:tc>
          <w:tcPr>
            <w:tcW w:w="1793" w:type="dxa"/>
          </w:tcPr>
          <w:p w14:paraId="6DA5FA1E"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67,56</w:t>
            </w:r>
          </w:p>
        </w:tc>
      </w:tr>
      <w:tr w:rsidR="0068654C" w:rsidRPr="0068654C" w14:paraId="62D8D6E0" w14:textId="77777777" w:rsidTr="00E32EB6">
        <w:trPr>
          <w:jc w:val="center"/>
        </w:trPr>
        <w:tc>
          <w:tcPr>
            <w:tcW w:w="2268" w:type="dxa"/>
            <w:vMerge/>
            <w:tcBorders>
              <w:bottom w:val="single" w:sz="12" w:space="0" w:color="000000"/>
            </w:tcBorders>
          </w:tcPr>
          <w:p w14:paraId="2E93D681" w14:textId="77777777" w:rsidR="0068654C" w:rsidRPr="0068654C" w:rsidRDefault="0068654C" w:rsidP="00E32EB6">
            <w:pPr>
              <w:spacing w:line="276" w:lineRule="auto"/>
              <w:rPr>
                <w:rFonts w:ascii="Arial" w:hAnsi="Arial" w:cs="Arial"/>
                <w:sz w:val="20"/>
                <w:szCs w:val="20"/>
              </w:rPr>
            </w:pPr>
          </w:p>
        </w:tc>
        <w:tc>
          <w:tcPr>
            <w:tcW w:w="2127" w:type="dxa"/>
            <w:tcBorders>
              <w:bottom w:val="single" w:sz="12" w:space="0" w:color="000000"/>
            </w:tcBorders>
          </w:tcPr>
          <w:p w14:paraId="7898D971" w14:textId="77777777" w:rsidR="0068654C" w:rsidRPr="0068654C" w:rsidRDefault="0068654C" w:rsidP="00E32EB6">
            <w:pPr>
              <w:spacing w:line="276" w:lineRule="auto"/>
              <w:rPr>
                <w:rFonts w:ascii="Arial" w:hAnsi="Arial" w:cs="Arial"/>
                <w:bCs/>
                <w:sz w:val="20"/>
                <w:szCs w:val="20"/>
              </w:rPr>
            </w:pPr>
            <w:r w:rsidRPr="0068654C">
              <w:rPr>
                <w:rFonts w:ascii="Arial" w:hAnsi="Arial" w:cs="Arial"/>
                <w:bCs/>
                <w:sz w:val="20"/>
                <w:szCs w:val="20"/>
              </w:rPr>
              <w:t>Gingivitis</w:t>
            </w:r>
          </w:p>
        </w:tc>
        <w:tc>
          <w:tcPr>
            <w:tcW w:w="2010" w:type="dxa"/>
            <w:tcBorders>
              <w:bottom w:val="single" w:sz="12" w:space="0" w:color="000000"/>
            </w:tcBorders>
          </w:tcPr>
          <w:p w14:paraId="1ADAC84D"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21</w:t>
            </w:r>
          </w:p>
        </w:tc>
        <w:tc>
          <w:tcPr>
            <w:tcW w:w="1793" w:type="dxa"/>
            <w:tcBorders>
              <w:bottom w:val="single" w:sz="12" w:space="0" w:color="000000"/>
            </w:tcBorders>
          </w:tcPr>
          <w:p w14:paraId="5642FC60"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28,37</w:t>
            </w:r>
          </w:p>
        </w:tc>
      </w:tr>
      <w:bookmarkEnd w:id="3"/>
    </w:tbl>
    <w:p w14:paraId="23B78690" w14:textId="77777777" w:rsidR="0068654C" w:rsidRDefault="0068654C" w:rsidP="00FE7595">
      <w:pPr>
        <w:pStyle w:val="Body"/>
        <w:spacing w:after="0"/>
        <w:rPr>
          <w:rFonts w:ascii="Arial" w:hAnsi="Arial" w:cs="Arial"/>
          <w:lang w:val="en-GB"/>
        </w:rPr>
      </w:pPr>
    </w:p>
    <w:p w14:paraId="566C437B" w14:textId="77777777" w:rsidR="0096635C" w:rsidRPr="00FE7595" w:rsidRDefault="0096635C" w:rsidP="00FE7595">
      <w:pPr>
        <w:pStyle w:val="Body"/>
        <w:spacing w:after="0"/>
        <w:rPr>
          <w:rFonts w:ascii="Arial" w:hAnsi="Arial" w:cs="Arial"/>
          <w:lang w:val="en-GB"/>
        </w:rPr>
      </w:pPr>
    </w:p>
    <w:p w14:paraId="51838E46" w14:textId="18AC0E4E" w:rsidR="00FE7595" w:rsidRPr="00FE7595" w:rsidRDefault="00FE7595" w:rsidP="00FE7595">
      <w:pPr>
        <w:pStyle w:val="Body"/>
        <w:spacing w:after="0"/>
        <w:rPr>
          <w:rFonts w:ascii="Arial" w:hAnsi="Arial" w:cs="Arial"/>
          <w:b/>
          <w:bCs/>
          <w:lang w:val="en-GB"/>
        </w:rPr>
      </w:pPr>
      <w:r>
        <w:rPr>
          <w:rFonts w:ascii="Arial" w:hAnsi="Arial" w:cs="Arial"/>
          <w:b/>
          <w:bCs/>
          <w:lang w:val="en-GB"/>
        </w:rPr>
        <w:t>3</w:t>
      </w:r>
      <w:r w:rsidRPr="00FE7595">
        <w:rPr>
          <w:rFonts w:ascii="Arial" w:hAnsi="Arial" w:cs="Arial"/>
          <w:b/>
          <w:bCs/>
          <w:lang w:val="en-GB"/>
        </w:rPr>
        <w:t>.1.</w:t>
      </w:r>
      <w:r>
        <w:rPr>
          <w:rFonts w:ascii="Arial" w:hAnsi="Arial" w:cs="Arial"/>
          <w:b/>
          <w:bCs/>
          <w:lang w:val="en-GB"/>
        </w:rPr>
        <w:t>2</w:t>
      </w:r>
      <w:r w:rsidRPr="00FE7595">
        <w:rPr>
          <w:rFonts w:ascii="Arial" w:hAnsi="Arial" w:cs="Arial"/>
          <w:b/>
          <w:bCs/>
          <w:lang w:val="en-GB"/>
        </w:rPr>
        <w:t xml:space="preserve"> Microbiological Data</w:t>
      </w:r>
    </w:p>
    <w:p w14:paraId="52C4940F" w14:textId="4887DA2B" w:rsidR="0013404C" w:rsidRDefault="0013404C" w:rsidP="0013404C">
      <w:pPr>
        <w:pStyle w:val="Body"/>
        <w:spacing w:after="0"/>
        <w:rPr>
          <w:rFonts w:ascii="Arial" w:hAnsi="Arial" w:cs="Arial"/>
          <w:lang w:val="en-GB"/>
        </w:rPr>
      </w:pPr>
      <w:r>
        <w:rPr>
          <w:rFonts w:ascii="Arial" w:hAnsi="Arial" w:cs="Arial"/>
          <w:lang w:val="en-GB"/>
        </w:rPr>
        <w:t>Four</w:t>
      </w:r>
      <w:r w:rsidRPr="00FE7595">
        <w:rPr>
          <w:rFonts w:ascii="Arial" w:hAnsi="Arial" w:cs="Arial"/>
          <w:lang w:val="en-GB"/>
        </w:rPr>
        <w:t xml:space="preserve"> samples tested positive, corresponding to a positivity rate of</w:t>
      </w:r>
      <w:r w:rsidR="00D028BF">
        <w:rPr>
          <w:rFonts w:ascii="Arial" w:hAnsi="Arial" w:cs="Arial"/>
          <w:lang w:val="en-GB"/>
        </w:rPr>
        <w:t xml:space="preserve"> </w:t>
      </w:r>
      <w:r w:rsidRPr="00FE7595">
        <w:rPr>
          <w:rFonts w:ascii="Arial" w:hAnsi="Arial" w:cs="Arial"/>
          <w:lang w:val="en-GB"/>
        </w:rPr>
        <w:t>5.40% for Enterobacteriaceae specifically isolated from the oral cavity (Table VII).</w:t>
      </w:r>
      <w:r>
        <w:rPr>
          <w:rFonts w:ascii="Arial" w:hAnsi="Arial" w:cs="Arial"/>
          <w:lang w:val="en-GB"/>
        </w:rPr>
        <w:t xml:space="preserve"> </w:t>
      </w:r>
      <w:r w:rsidRPr="00FE7595">
        <w:rPr>
          <w:rFonts w:ascii="Arial" w:hAnsi="Arial" w:cs="Arial"/>
          <w:lang w:val="en-GB"/>
        </w:rPr>
        <w:t>The main</w:t>
      </w:r>
      <w:r>
        <w:rPr>
          <w:rFonts w:ascii="Arial" w:hAnsi="Arial" w:cs="Arial"/>
          <w:lang w:val="en-GB"/>
        </w:rPr>
        <w:t xml:space="preserve"> </w:t>
      </w:r>
      <w:r w:rsidRPr="00FE7595">
        <w:rPr>
          <w:rFonts w:ascii="Arial" w:hAnsi="Arial" w:cs="Arial"/>
          <w:lang w:val="en-GB"/>
        </w:rPr>
        <w:t>species identified were</w:t>
      </w:r>
      <w:r>
        <w:rPr>
          <w:rFonts w:ascii="Arial" w:hAnsi="Arial" w:cs="Arial"/>
          <w:lang w:val="en-GB"/>
        </w:rPr>
        <w:t xml:space="preserve"> </w:t>
      </w:r>
      <w:r w:rsidRPr="00FE7595">
        <w:rPr>
          <w:rFonts w:ascii="Arial" w:hAnsi="Arial" w:cs="Arial"/>
          <w:i/>
          <w:iCs/>
          <w:lang w:val="en-GB"/>
        </w:rPr>
        <w:t xml:space="preserve">Klebsiella </w:t>
      </w:r>
      <w:proofErr w:type="spellStart"/>
      <w:r w:rsidRPr="00FE7595">
        <w:rPr>
          <w:rFonts w:ascii="Arial" w:hAnsi="Arial" w:cs="Arial"/>
          <w:i/>
          <w:iCs/>
          <w:lang w:val="en-GB"/>
        </w:rPr>
        <w:t>oxytoca</w:t>
      </w:r>
      <w:proofErr w:type="spellEnd"/>
      <w:r w:rsidRPr="00FE7595">
        <w:rPr>
          <w:rFonts w:ascii="Arial" w:hAnsi="Arial" w:cs="Arial"/>
          <w:lang w:val="en-GB"/>
        </w:rPr>
        <w:t xml:space="preserve">, </w:t>
      </w:r>
      <w:r w:rsidRPr="00FE7595">
        <w:rPr>
          <w:rFonts w:ascii="Arial" w:hAnsi="Arial" w:cs="Arial"/>
          <w:i/>
          <w:iCs/>
          <w:lang w:val="en-GB"/>
        </w:rPr>
        <w:t>Enterobacter aerogenes</w:t>
      </w:r>
      <w:r w:rsidRPr="00FE7595">
        <w:rPr>
          <w:rFonts w:ascii="Arial" w:hAnsi="Arial" w:cs="Arial"/>
          <w:lang w:val="en-GB"/>
        </w:rPr>
        <w:t xml:space="preserve">, </w:t>
      </w:r>
      <w:r w:rsidRPr="00FE7595">
        <w:rPr>
          <w:rFonts w:ascii="Arial" w:hAnsi="Arial" w:cs="Arial"/>
          <w:i/>
          <w:iCs/>
          <w:lang w:val="en-GB"/>
        </w:rPr>
        <w:t>Enterobacter cloacae</w:t>
      </w:r>
      <w:r w:rsidRPr="00FE7595">
        <w:rPr>
          <w:rFonts w:ascii="Arial" w:hAnsi="Arial" w:cs="Arial"/>
          <w:lang w:val="en-GB"/>
        </w:rPr>
        <w:t xml:space="preserve">, and </w:t>
      </w:r>
      <w:r w:rsidRPr="00FE7595">
        <w:rPr>
          <w:rFonts w:ascii="Arial" w:hAnsi="Arial" w:cs="Arial"/>
          <w:i/>
          <w:iCs/>
          <w:lang w:val="en-GB"/>
        </w:rPr>
        <w:t>Klebsiella pneumoniae</w:t>
      </w:r>
      <w:r w:rsidRPr="00FE7595">
        <w:rPr>
          <w:rFonts w:ascii="Arial" w:hAnsi="Arial" w:cs="Arial"/>
          <w:lang w:val="en-GB"/>
        </w:rPr>
        <w:t>.</w:t>
      </w:r>
      <w:r>
        <w:rPr>
          <w:rFonts w:ascii="Arial" w:hAnsi="Arial" w:cs="Arial"/>
          <w:lang w:val="en-GB"/>
        </w:rPr>
        <w:t xml:space="preserve"> </w:t>
      </w:r>
      <w:r w:rsidRPr="00FE7595">
        <w:rPr>
          <w:rFonts w:ascii="Arial" w:hAnsi="Arial" w:cs="Arial"/>
          <w:lang w:val="en-GB"/>
        </w:rPr>
        <w:t>These isolates were primarily associated with cellulitis (40%) and periodontal abscesses (40%). The most frequently affected teeth were the first mandibular molars.</w:t>
      </w:r>
    </w:p>
    <w:p w14:paraId="6440E62A" w14:textId="77777777" w:rsidR="0068654C" w:rsidRDefault="0068654C" w:rsidP="0013404C">
      <w:pPr>
        <w:pStyle w:val="Body"/>
        <w:spacing w:after="0"/>
        <w:rPr>
          <w:rFonts w:ascii="Arial" w:hAnsi="Arial" w:cs="Arial"/>
          <w:lang w:val="en-GB"/>
        </w:rPr>
      </w:pPr>
    </w:p>
    <w:p w14:paraId="0C22B44A" w14:textId="77777777" w:rsidR="005D7002" w:rsidRPr="00FE7595" w:rsidRDefault="005D7002" w:rsidP="00FE7595">
      <w:pPr>
        <w:pStyle w:val="Body"/>
        <w:spacing w:after="0"/>
        <w:rPr>
          <w:rFonts w:ascii="Arial" w:hAnsi="Arial" w:cs="Arial"/>
          <w:lang w:val="en-GB"/>
        </w:rPr>
      </w:pPr>
    </w:p>
    <w:p w14:paraId="7B37A643" w14:textId="77777777" w:rsidR="00FE7595" w:rsidRDefault="00FE7595" w:rsidP="00FE7595">
      <w:pPr>
        <w:pStyle w:val="Body"/>
        <w:spacing w:after="0"/>
        <w:rPr>
          <w:rFonts w:ascii="Arial" w:hAnsi="Arial" w:cs="Arial"/>
          <w:b/>
          <w:bCs/>
          <w:lang w:val="en-GB"/>
        </w:rPr>
      </w:pPr>
      <w:r w:rsidRPr="00FE7595">
        <w:rPr>
          <w:rFonts w:ascii="Arial" w:hAnsi="Arial" w:cs="Arial"/>
          <w:b/>
          <w:bCs/>
          <w:lang w:val="en-GB"/>
        </w:rPr>
        <w:t>III.1.4 Molecular Data</w:t>
      </w:r>
    </w:p>
    <w:p w14:paraId="6F658AC3" w14:textId="77777777" w:rsidR="0096635C" w:rsidRPr="00FE7595" w:rsidRDefault="0096635C" w:rsidP="00FE7595">
      <w:pPr>
        <w:pStyle w:val="Body"/>
        <w:spacing w:after="0"/>
        <w:rPr>
          <w:rFonts w:ascii="Arial" w:hAnsi="Arial" w:cs="Arial"/>
          <w:b/>
          <w:bCs/>
          <w:lang w:val="en-GB"/>
        </w:rPr>
      </w:pPr>
    </w:p>
    <w:p w14:paraId="20F24EE1" w14:textId="5E61549E" w:rsidR="00FE7595" w:rsidRDefault="00FE7595" w:rsidP="00FE7595">
      <w:pPr>
        <w:pStyle w:val="Body"/>
        <w:spacing w:after="0"/>
        <w:rPr>
          <w:rFonts w:ascii="Arial" w:hAnsi="Arial" w:cs="Arial"/>
          <w:lang w:val="en-GB"/>
        </w:rPr>
      </w:pPr>
      <w:r w:rsidRPr="00FE7595">
        <w:rPr>
          <w:rFonts w:ascii="Arial" w:hAnsi="Arial" w:cs="Arial"/>
          <w:lang w:val="en-GB"/>
        </w:rPr>
        <w:t>Following DNA extraction, optical density measurements using a spectrophotometer were recorded, revealing that 80% of the extracted DNA was of acceptable purity.</w:t>
      </w:r>
      <w:r w:rsidR="00BA145B">
        <w:rPr>
          <w:rFonts w:ascii="Arial" w:hAnsi="Arial" w:cs="Arial"/>
          <w:lang w:val="en-GB"/>
        </w:rPr>
        <w:t xml:space="preserve"> </w:t>
      </w:r>
      <w:r w:rsidRPr="00FE7595">
        <w:rPr>
          <w:rFonts w:ascii="Arial" w:hAnsi="Arial" w:cs="Arial"/>
          <w:lang w:val="en-GB"/>
        </w:rPr>
        <w:t>Prior to PCR, electrophoresis confirmed the presence of extracted DNA.</w:t>
      </w:r>
      <w:r w:rsidRPr="00FE7595">
        <w:rPr>
          <w:rFonts w:ascii="Arial" w:hAnsi="Arial" w:cs="Arial"/>
          <w:lang w:val="en-GB"/>
        </w:rPr>
        <w:br/>
      </w:r>
      <w:r w:rsidR="005D7002" w:rsidRPr="00FE7595">
        <w:rPr>
          <w:rFonts w:ascii="Arial" w:hAnsi="Arial" w:cs="Arial"/>
          <w:lang w:val="en-GB"/>
        </w:rPr>
        <w:t>post-PCR</w:t>
      </w:r>
      <w:r w:rsidRPr="00FE7595">
        <w:rPr>
          <w:rFonts w:ascii="Arial" w:hAnsi="Arial" w:cs="Arial"/>
          <w:lang w:val="en-GB"/>
        </w:rPr>
        <w:t xml:space="preserve"> agarose gel electrophoresis enabled the detection of resistance genes in Enterobacteriaceae </w:t>
      </w:r>
      <w:r w:rsidR="00714607" w:rsidRPr="00FE7595">
        <w:rPr>
          <w:rFonts w:ascii="Arial" w:hAnsi="Arial" w:cs="Arial"/>
          <w:lang w:val="en-GB"/>
        </w:rPr>
        <w:t>isolates,</w:t>
      </w:r>
      <w:r w:rsidRPr="00FE7595">
        <w:rPr>
          <w:rFonts w:ascii="Arial" w:hAnsi="Arial" w:cs="Arial"/>
          <w:lang w:val="en-GB"/>
        </w:rPr>
        <w:t xml:space="preserve"> and electrophoretic profiles were visualised (Figures </w:t>
      </w:r>
      <w:r w:rsidR="00FE6DDA">
        <w:rPr>
          <w:rFonts w:ascii="Arial" w:hAnsi="Arial" w:cs="Arial"/>
          <w:lang w:val="en-GB"/>
        </w:rPr>
        <w:t>1</w:t>
      </w:r>
      <w:r w:rsidRPr="00FE7595">
        <w:rPr>
          <w:rFonts w:ascii="Arial" w:hAnsi="Arial" w:cs="Arial"/>
          <w:lang w:val="en-GB"/>
        </w:rPr>
        <w:t xml:space="preserve"> and </w:t>
      </w:r>
      <w:r w:rsidR="00FE6DDA">
        <w:rPr>
          <w:rFonts w:ascii="Arial" w:hAnsi="Arial" w:cs="Arial"/>
          <w:lang w:val="en-GB"/>
        </w:rPr>
        <w:t>2</w:t>
      </w:r>
      <w:r w:rsidRPr="00FE7595">
        <w:rPr>
          <w:rFonts w:ascii="Arial" w:hAnsi="Arial" w:cs="Arial"/>
          <w:lang w:val="en-GB"/>
        </w:rPr>
        <w:t>).</w:t>
      </w:r>
    </w:p>
    <w:p w14:paraId="76E80A48" w14:textId="7DA0E4A6" w:rsidR="00FE6DDA" w:rsidRPr="00FE7595" w:rsidRDefault="002F3157" w:rsidP="00FE7595">
      <w:pPr>
        <w:pStyle w:val="Body"/>
        <w:spacing w:after="0"/>
        <w:rPr>
          <w:rFonts w:ascii="Arial" w:hAnsi="Arial" w:cs="Arial"/>
          <w:lang w:val="en-GB"/>
        </w:rPr>
      </w:pPr>
      <w:r w:rsidRPr="002F3157">
        <w:rPr>
          <w:rFonts w:ascii="Arial" w:hAnsi="Arial" w:cs="Arial"/>
          <w:lang w:val="en-GB"/>
        </w:rPr>
        <w:t>The genes (</w:t>
      </w:r>
      <w:proofErr w:type="spellStart"/>
      <w:r w:rsidRPr="002F3157">
        <w:rPr>
          <w:rFonts w:ascii="Arial" w:hAnsi="Arial" w:cs="Arial"/>
          <w:i/>
          <w:iCs/>
          <w:lang w:val="en-GB"/>
        </w:rPr>
        <w:t>Bla</w:t>
      </w:r>
      <w:proofErr w:type="spellEnd"/>
      <w:r w:rsidRPr="002F3157">
        <w:rPr>
          <w:rFonts w:ascii="Arial" w:hAnsi="Arial" w:cs="Arial"/>
          <w:i/>
          <w:iCs/>
          <w:lang w:val="en-GB"/>
        </w:rPr>
        <w:t xml:space="preserve"> CTX-M-2 and </w:t>
      </w:r>
      <w:proofErr w:type="spellStart"/>
      <w:r w:rsidRPr="002F3157">
        <w:rPr>
          <w:rFonts w:ascii="Arial" w:hAnsi="Arial" w:cs="Arial"/>
          <w:i/>
          <w:iCs/>
          <w:lang w:val="en-GB"/>
        </w:rPr>
        <w:t>Bla</w:t>
      </w:r>
      <w:proofErr w:type="spellEnd"/>
      <w:r w:rsidRPr="002F3157">
        <w:rPr>
          <w:rFonts w:ascii="Arial" w:hAnsi="Arial" w:cs="Arial"/>
          <w:i/>
          <w:iCs/>
          <w:lang w:val="en-GB"/>
        </w:rPr>
        <w:t xml:space="preserve"> CTX-M-8</w:t>
      </w:r>
      <w:r w:rsidRPr="002F3157">
        <w:rPr>
          <w:rFonts w:ascii="Arial" w:hAnsi="Arial" w:cs="Arial"/>
          <w:lang w:val="en-GB"/>
        </w:rPr>
        <w:t xml:space="preserve">) were amplified in all the enterobacteria strains isolated; however, the </w:t>
      </w:r>
      <w:proofErr w:type="spellStart"/>
      <w:r w:rsidRPr="002F3157">
        <w:rPr>
          <w:rFonts w:ascii="Arial" w:hAnsi="Arial" w:cs="Arial"/>
          <w:i/>
          <w:iCs/>
          <w:lang w:val="en-GB"/>
        </w:rPr>
        <w:t>Bla</w:t>
      </w:r>
      <w:proofErr w:type="spellEnd"/>
      <w:r w:rsidRPr="002F3157">
        <w:rPr>
          <w:rFonts w:ascii="Arial" w:hAnsi="Arial" w:cs="Arial"/>
          <w:i/>
          <w:iCs/>
          <w:lang w:val="en-GB"/>
        </w:rPr>
        <w:t xml:space="preserve"> CTX</w:t>
      </w:r>
      <w:r>
        <w:rPr>
          <w:rFonts w:ascii="Arial" w:hAnsi="Arial" w:cs="Arial"/>
          <w:i/>
          <w:iCs/>
          <w:lang w:val="en-GB"/>
        </w:rPr>
        <w:t>-</w:t>
      </w:r>
      <w:r w:rsidRPr="002F3157">
        <w:rPr>
          <w:rFonts w:ascii="Arial" w:hAnsi="Arial" w:cs="Arial"/>
          <w:i/>
          <w:iCs/>
          <w:lang w:val="en-GB"/>
        </w:rPr>
        <w:t>M</w:t>
      </w:r>
      <w:r>
        <w:rPr>
          <w:rFonts w:ascii="Arial" w:hAnsi="Arial" w:cs="Arial"/>
          <w:i/>
          <w:iCs/>
          <w:lang w:val="en-GB"/>
        </w:rPr>
        <w:t>-</w:t>
      </w:r>
      <w:r w:rsidRPr="002F3157">
        <w:rPr>
          <w:rFonts w:ascii="Arial" w:hAnsi="Arial" w:cs="Arial"/>
          <w:i/>
          <w:iCs/>
          <w:lang w:val="en-GB"/>
        </w:rPr>
        <w:t>9</w:t>
      </w:r>
      <w:r w:rsidRPr="002F3157">
        <w:rPr>
          <w:rFonts w:ascii="Arial" w:hAnsi="Arial" w:cs="Arial"/>
          <w:lang w:val="en-GB"/>
        </w:rPr>
        <w:t xml:space="preserve"> gene was not amplified in any of the strains</w:t>
      </w:r>
      <w:r>
        <w:rPr>
          <w:rFonts w:ascii="Arial" w:hAnsi="Arial" w:cs="Arial"/>
          <w:lang w:val="en-GB"/>
        </w:rPr>
        <w:t xml:space="preserve"> (Table 3)</w:t>
      </w:r>
      <w:r w:rsidRPr="002F3157">
        <w:rPr>
          <w:rFonts w:ascii="Arial" w:hAnsi="Arial" w:cs="Arial"/>
          <w:lang w:val="en-GB"/>
        </w:rPr>
        <w:t>.</w:t>
      </w:r>
    </w:p>
    <w:p w14:paraId="2466AB86" w14:textId="77777777" w:rsidR="00714607" w:rsidRDefault="00714607" w:rsidP="00441B6F">
      <w:pPr>
        <w:pStyle w:val="Body"/>
        <w:spacing w:after="0"/>
        <w:rPr>
          <w:rFonts w:ascii="Arial" w:hAnsi="Arial" w:cs="Arial"/>
          <w:noProof/>
        </w:rPr>
      </w:pPr>
    </w:p>
    <w:p w14:paraId="6EAEF1F4" w14:textId="77777777" w:rsidR="00714607" w:rsidRDefault="00714607" w:rsidP="00441B6F">
      <w:pPr>
        <w:pStyle w:val="Body"/>
        <w:spacing w:after="0"/>
        <w:rPr>
          <w:rFonts w:ascii="Arial" w:hAnsi="Arial" w:cs="Arial"/>
          <w:noProof/>
        </w:rPr>
      </w:pPr>
    </w:p>
    <w:p w14:paraId="40821AE5" w14:textId="17F009A6" w:rsidR="00902823" w:rsidRDefault="00714607" w:rsidP="00441B6F">
      <w:pPr>
        <w:pStyle w:val="Body"/>
        <w:spacing w:after="0"/>
        <w:rPr>
          <w:rFonts w:ascii="Arial" w:hAnsi="Arial" w:cs="Arial"/>
        </w:rPr>
      </w:pPr>
      <w:r>
        <w:rPr>
          <w:rFonts w:ascii="Arial" w:hAnsi="Arial" w:cs="Arial"/>
          <w:noProof/>
        </w:rPr>
        <w:drawing>
          <wp:anchor distT="0" distB="0" distL="114300" distR="114300" simplePos="0" relativeHeight="251661312" behindDoc="1" locked="0" layoutInCell="1" allowOverlap="1" wp14:anchorId="35A35A92" wp14:editId="4224E259">
            <wp:simplePos x="0" y="0"/>
            <wp:positionH relativeFrom="margin">
              <wp:posOffset>49530</wp:posOffset>
            </wp:positionH>
            <wp:positionV relativeFrom="paragraph">
              <wp:posOffset>160020</wp:posOffset>
            </wp:positionV>
            <wp:extent cx="5044440" cy="2331720"/>
            <wp:effectExtent l="0" t="0" r="3810" b="0"/>
            <wp:wrapTight wrapText="bothSides">
              <wp:wrapPolygon edited="0">
                <wp:start x="0" y="0"/>
                <wp:lineTo x="0" y="21353"/>
                <wp:lineTo x="21535" y="21353"/>
                <wp:lineTo x="21535" y="0"/>
                <wp:lineTo x="0" y="0"/>
              </wp:wrapPolygon>
            </wp:wrapTight>
            <wp:docPr id="6936172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1724" name="Image 69361724"/>
                    <pic:cNvPicPr/>
                  </pic:nvPicPr>
                  <pic:blipFill rotWithShape="1">
                    <a:blip r:embed="rId12">
                      <a:extLst>
                        <a:ext uri="{28A0092B-C50C-407E-A947-70E740481C1C}">
                          <a14:useLocalDpi xmlns:a14="http://schemas.microsoft.com/office/drawing/2010/main" val="0"/>
                        </a:ext>
                      </a:extLst>
                    </a:blip>
                    <a:srcRect t="3585" r="3217" b="4980"/>
                    <a:stretch/>
                  </pic:blipFill>
                  <pic:spPr bwMode="auto">
                    <a:xfrm>
                      <a:off x="0" y="0"/>
                      <a:ext cx="5044440" cy="233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3BD3">
        <w:rPr>
          <w:rFonts w:ascii="Arial" w:hAnsi="Arial" w:cs="Arial"/>
        </w:rPr>
        <w:t>.</w:t>
      </w:r>
    </w:p>
    <w:p w14:paraId="5C6F979C" w14:textId="2BDCD540" w:rsidR="00E6775C" w:rsidRDefault="00E6775C" w:rsidP="00441B6F">
      <w:pPr>
        <w:pStyle w:val="Body"/>
        <w:spacing w:after="0"/>
        <w:rPr>
          <w:rFonts w:ascii="Arial" w:hAnsi="Arial" w:cs="Arial"/>
        </w:rPr>
      </w:pPr>
    </w:p>
    <w:p w14:paraId="0B7B7C90" w14:textId="77777777" w:rsidR="001B4382" w:rsidRDefault="001B4382" w:rsidP="00714607">
      <w:pPr>
        <w:autoSpaceDE w:val="0"/>
        <w:autoSpaceDN w:val="0"/>
        <w:adjustRightInd w:val="0"/>
        <w:jc w:val="both"/>
        <w:rPr>
          <w:rFonts w:ascii="Arial" w:hAnsi="Arial" w:cs="Arial"/>
          <w:b/>
          <w:bCs/>
          <w:szCs w:val="22"/>
        </w:rPr>
      </w:pPr>
    </w:p>
    <w:p w14:paraId="3F0D0D8F" w14:textId="77777777" w:rsidR="001B4382" w:rsidRDefault="001B4382" w:rsidP="00714607">
      <w:pPr>
        <w:autoSpaceDE w:val="0"/>
        <w:autoSpaceDN w:val="0"/>
        <w:adjustRightInd w:val="0"/>
        <w:jc w:val="both"/>
        <w:rPr>
          <w:rFonts w:ascii="Arial" w:hAnsi="Arial" w:cs="Arial"/>
          <w:b/>
          <w:bCs/>
          <w:szCs w:val="22"/>
        </w:rPr>
      </w:pPr>
    </w:p>
    <w:p w14:paraId="3FBCB001" w14:textId="77777777" w:rsidR="001B4382" w:rsidRDefault="001B4382" w:rsidP="00714607">
      <w:pPr>
        <w:autoSpaceDE w:val="0"/>
        <w:autoSpaceDN w:val="0"/>
        <w:adjustRightInd w:val="0"/>
        <w:jc w:val="both"/>
        <w:rPr>
          <w:rFonts w:ascii="Arial" w:hAnsi="Arial" w:cs="Arial"/>
          <w:b/>
          <w:bCs/>
          <w:szCs w:val="22"/>
        </w:rPr>
      </w:pPr>
    </w:p>
    <w:p w14:paraId="6D33423A" w14:textId="77777777" w:rsidR="001B4382" w:rsidRDefault="001B4382" w:rsidP="00714607">
      <w:pPr>
        <w:autoSpaceDE w:val="0"/>
        <w:autoSpaceDN w:val="0"/>
        <w:adjustRightInd w:val="0"/>
        <w:jc w:val="both"/>
        <w:rPr>
          <w:rFonts w:ascii="Arial" w:hAnsi="Arial" w:cs="Arial"/>
          <w:b/>
          <w:bCs/>
          <w:szCs w:val="22"/>
        </w:rPr>
      </w:pPr>
    </w:p>
    <w:p w14:paraId="0E0DA4D6" w14:textId="77777777" w:rsidR="001B4382" w:rsidRDefault="001B4382" w:rsidP="00714607">
      <w:pPr>
        <w:autoSpaceDE w:val="0"/>
        <w:autoSpaceDN w:val="0"/>
        <w:adjustRightInd w:val="0"/>
        <w:jc w:val="both"/>
        <w:rPr>
          <w:rFonts w:ascii="Arial" w:hAnsi="Arial" w:cs="Arial"/>
          <w:b/>
          <w:bCs/>
          <w:szCs w:val="22"/>
        </w:rPr>
      </w:pPr>
    </w:p>
    <w:p w14:paraId="31F0AC93" w14:textId="77777777" w:rsidR="001B4382" w:rsidRDefault="001B4382" w:rsidP="00714607">
      <w:pPr>
        <w:autoSpaceDE w:val="0"/>
        <w:autoSpaceDN w:val="0"/>
        <w:adjustRightInd w:val="0"/>
        <w:jc w:val="both"/>
        <w:rPr>
          <w:rFonts w:ascii="Arial" w:hAnsi="Arial" w:cs="Arial"/>
          <w:b/>
          <w:bCs/>
          <w:szCs w:val="22"/>
        </w:rPr>
      </w:pPr>
    </w:p>
    <w:p w14:paraId="19530BD0" w14:textId="77777777" w:rsidR="001B4382" w:rsidRDefault="001B4382" w:rsidP="00714607">
      <w:pPr>
        <w:autoSpaceDE w:val="0"/>
        <w:autoSpaceDN w:val="0"/>
        <w:adjustRightInd w:val="0"/>
        <w:jc w:val="both"/>
        <w:rPr>
          <w:rFonts w:ascii="Arial" w:hAnsi="Arial" w:cs="Arial"/>
          <w:b/>
          <w:bCs/>
          <w:szCs w:val="22"/>
        </w:rPr>
      </w:pPr>
    </w:p>
    <w:p w14:paraId="210A2FA7" w14:textId="77777777" w:rsidR="001B4382" w:rsidRDefault="001B4382" w:rsidP="00714607">
      <w:pPr>
        <w:autoSpaceDE w:val="0"/>
        <w:autoSpaceDN w:val="0"/>
        <w:adjustRightInd w:val="0"/>
        <w:jc w:val="both"/>
        <w:rPr>
          <w:rFonts w:ascii="Arial" w:hAnsi="Arial" w:cs="Arial"/>
          <w:b/>
          <w:bCs/>
          <w:szCs w:val="22"/>
        </w:rPr>
      </w:pPr>
    </w:p>
    <w:p w14:paraId="44688390" w14:textId="77777777" w:rsidR="001B4382" w:rsidRDefault="001B4382" w:rsidP="00714607">
      <w:pPr>
        <w:autoSpaceDE w:val="0"/>
        <w:autoSpaceDN w:val="0"/>
        <w:adjustRightInd w:val="0"/>
        <w:jc w:val="both"/>
        <w:rPr>
          <w:rFonts w:ascii="Arial" w:hAnsi="Arial" w:cs="Arial"/>
          <w:b/>
          <w:bCs/>
          <w:szCs w:val="22"/>
        </w:rPr>
      </w:pPr>
    </w:p>
    <w:p w14:paraId="7C3E8A0B" w14:textId="77777777" w:rsidR="001B4382" w:rsidRDefault="001B4382" w:rsidP="00714607">
      <w:pPr>
        <w:autoSpaceDE w:val="0"/>
        <w:autoSpaceDN w:val="0"/>
        <w:adjustRightInd w:val="0"/>
        <w:jc w:val="both"/>
        <w:rPr>
          <w:rFonts w:ascii="Arial" w:hAnsi="Arial" w:cs="Arial"/>
          <w:b/>
          <w:bCs/>
          <w:szCs w:val="22"/>
        </w:rPr>
      </w:pPr>
    </w:p>
    <w:p w14:paraId="18ABEB5D" w14:textId="77777777" w:rsidR="001B4382" w:rsidRDefault="001B4382" w:rsidP="00714607">
      <w:pPr>
        <w:autoSpaceDE w:val="0"/>
        <w:autoSpaceDN w:val="0"/>
        <w:adjustRightInd w:val="0"/>
        <w:jc w:val="both"/>
        <w:rPr>
          <w:rFonts w:ascii="Arial" w:hAnsi="Arial" w:cs="Arial"/>
          <w:b/>
          <w:bCs/>
          <w:szCs w:val="22"/>
        </w:rPr>
      </w:pPr>
    </w:p>
    <w:p w14:paraId="7FAC5892" w14:textId="77777777" w:rsidR="001B4382" w:rsidRDefault="001B4382" w:rsidP="00714607">
      <w:pPr>
        <w:autoSpaceDE w:val="0"/>
        <w:autoSpaceDN w:val="0"/>
        <w:adjustRightInd w:val="0"/>
        <w:jc w:val="both"/>
        <w:rPr>
          <w:rFonts w:ascii="Arial" w:hAnsi="Arial" w:cs="Arial"/>
          <w:b/>
          <w:bCs/>
          <w:szCs w:val="22"/>
        </w:rPr>
      </w:pPr>
    </w:p>
    <w:p w14:paraId="2F9683CB" w14:textId="77777777" w:rsidR="001B4382" w:rsidRDefault="001B4382" w:rsidP="00714607">
      <w:pPr>
        <w:autoSpaceDE w:val="0"/>
        <w:autoSpaceDN w:val="0"/>
        <w:adjustRightInd w:val="0"/>
        <w:jc w:val="both"/>
        <w:rPr>
          <w:rFonts w:ascii="Arial" w:hAnsi="Arial" w:cs="Arial"/>
          <w:b/>
          <w:bCs/>
          <w:szCs w:val="22"/>
        </w:rPr>
      </w:pPr>
    </w:p>
    <w:p w14:paraId="00993F0F" w14:textId="77777777" w:rsidR="001B4382" w:rsidRDefault="001B4382" w:rsidP="00714607">
      <w:pPr>
        <w:autoSpaceDE w:val="0"/>
        <w:autoSpaceDN w:val="0"/>
        <w:adjustRightInd w:val="0"/>
        <w:jc w:val="both"/>
        <w:rPr>
          <w:rFonts w:ascii="Arial" w:hAnsi="Arial" w:cs="Arial"/>
          <w:b/>
          <w:bCs/>
          <w:szCs w:val="22"/>
        </w:rPr>
      </w:pPr>
    </w:p>
    <w:p w14:paraId="27DFBE22" w14:textId="77777777" w:rsidR="001B4382" w:rsidRDefault="001B4382" w:rsidP="00714607">
      <w:pPr>
        <w:autoSpaceDE w:val="0"/>
        <w:autoSpaceDN w:val="0"/>
        <w:adjustRightInd w:val="0"/>
        <w:jc w:val="both"/>
        <w:rPr>
          <w:rFonts w:ascii="Arial" w:hAnsi="Arial" w:cs="Arial"/>
          <w:b/>
          <w:bCs/>
          <w:szCs w:val="22"/>
        </w:rPr>
      </w:pPr>
    </w:p>
    <w:p w14:paraId="0289FD2B" w14:textId="77777777" w:rsidR="001B4382" w:rsidRDefault="001B4382" w:rsidP="00714607">
      <w:pPr>
        <w:autoSpaceDE w:val="0"/>
        <w:autoSpaceDN w:val="0"/>
        <w:adjustRightInd w:val="0"/>
        <w:jc w:val="both"/>
        <w:rPr>
          <w:rFonts w:ascii="Arial" w:hAnsi="Arial" w:cs="Arial"/>
          <w:b/>
          <w:bCs/>
          <w:szCs w:val="22"/>
        </w:rPr>
      </w:pPr>
    </w:p>
    <w:p w14:paraId="5B4427B9" w14:textId="2339FC1F" w:rsidR="00714607" w:rsidRPr="008247A6" w:rsidRDefault="00714607" w:rsidP="00714607">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422373">
        <w:rPr>
          <w:rFonts w:ascii="Arial" w:hAnsi="Arial" w:cs="Arial"/>
          <w:b/>
          <w:bCs/>
        </w:rPr>
        <w:t xml:space="preserve"> </w:t>
      </w:r>
      <w:r w:rsidRPr="00422373">
        <w:rPr>
          <w:rFonts w:ascii="Arial" w:hAnsi="Arial" w:cs="Arial"/>
          <w:b/>
          <w:bCs/>
          <w:szCs w:val="22"/>
        </w:rPr>
        <w:t>E</w:t>
      </w:r>
      <w:r>
        <w:rPr>
          <w:rFonts w:ascii="Arial" w:hAnsi="Arial" w:cs="Arial"/>
          <w:b/>
          <w:bCs/>
          <w:szCs w:val="22"/>
        </w:rPr>
        <w:t>lectrophoretic profile of CTXM 8 genes</w:t>
      </w:r>
    </w:p>
    <w:p w14:paraId="73F85740" w14:textId="4165AE07" w:rsidR="00E6775C" w:rsidRDefault="00714607" w:rsidP="00714607">
      <w:pPr>
        <w:pStyle w:val="Body"/>
        <w:spacing w:after="0"/>
        <w:rPr>
          <w:rFonts w:ascii="Arial" w:hAnsi="Arial" w:cs="Arial"/>
        </w:rPr>
      </w:pPr>
      <w:r w:rsidRPr="00422373">
        <w:rPr>
          <w:rFonts w:ascii="Arial" w:hAnsi="Arial" w:cs="Arial"/>
          <w:i/>
          <w:sz w:val="18"/>
        </w:rPr>
        <w:t>M</w:t>
      </w:r>
      <w:r>
        <w:rPr>
          <w:rFonts w:ascii="Arial" w:hAnsi="Arial" w:cs="Arial"/>
          <w:i/>
          <w:sz w:val="18"/>
        </w:rPr>
        <w:t xml:space="preserve">: </w:t>
      </w:r>
      <w:r w:rsidRPr="00422373">
        <w:rPr>
          <w:rFonts w:ascii="Arial" w:hAnsi="Arial" w:cs="Arial"/>
          <w:i/>
          <w:sz w:val="18"/>
        </w:rPr>
        <w:t>Molecular weight marke</w:t>
      </w:r>
      <w:r>
        <w:rPr>
          <w:rFonts w:ascii="Arial" w:hAnsi="Arial" w:cs="Arial"/>
          <w:i/>
          <w:sz w:val="18"/>
        </w:rPr>
        <w:t>r; Samples (1, 2): Klebsiella</w:t>
      </w:r>
      <w:r w:rsidR="00E44BCD">
        <w:rPr>
          <w:rFonts w:ascii="Arial" w:hAnsi="Arial" w:cs="Arial"/>
          <w:i/>
          <w:sz w:val="18"/>
        </w:rPr>
        <w:t xml:space="preserve"> oxytoca;</w:t>
      </w:r>
      <w:r>
        <w:rPr>
          <w:rFonts w:ascii="Arial" w:hAnsi="Arial" w:cs="Arial"/>
          <w:i/>
          <w:sz w:val="18"/>
        </w:rPr>
        <w:t xml:space="preserve"> Samples (3,4,5): </w:t>
      </w:r>
      <w:r w:rsidRPr="00422373">
        <w:rPr>
          <w:rFonts w:ascii="Arial" w:hAnsi="Arial" w:cs="Arial"/>
          <w:i/>
          <w:sz w:val="18"/>
        </w:rPr>
        <w:t xml:space="preserve">Enterobacter </w:t>
      </w:r>
      <w:proofErr w:type="gramStart"/>
      <w:r w:rsidRPr="00422373">
        <w:rPr>
          <w:rFonts w:ascii="Arial" w:hAnsi="Arial" w:cs="Arial"/>
          <w:i/>
          <w:sz w:val="18"/>
        </w:rPr>
        <w:t xml:space="preserve">aerogenes </w:t>
      </w:r>
      <w:r>
        <w:rPr>
          <w:rFonts w:ascii="Arial" w:hAnsi="Arial" w:cs="Arial"/>
          <w:i/>
          <w:sz w:val="18"/>
        </w:rPr>
        <w:t>;</w:t>
      </w:r>
      <w:proofErr w:type="gramEnd"/>
      <w:r w:rsidRPr="00422373">
        <w:rPr>
          <w:rFonts w:ascii="Arial" w:hAnsi="Arial" w:cs="Arial"/>
          <w:i/>
          <w:sz w:val="18"/>
        </w:rPr>
        <w:t xml:space="preserve"> Samples (</w:t>
      </w:r>
      <w:r>
        <w:rPr>
          <w:rFonts w:ascii="Arial" w:hAnsi="Arial" w:cs="Arial"/>
          <w:i/>
          <w:sz w:val="18"/>
        </w:rPr>
        <w:t>6,7,8,</w:t>
      </w:r>
      <w:r w:rsidRPr="00422373">
        <w:rPr>
          <w:rFonts w:ascii="Arial" w:hAnsi="Arial" w:cs="Arial"/>
          <w:i/>
          <w:sz w:val="18"/>
        </w:rPr>
        <w:t>) :Klebsiella pneumoniae</w:t>
      </w:r>
      <w:r>
        <w:rPr>
          <w:rFonts w:ascii="Arial" w:hAnsi="Arial" w:cs="Arial"/>
          <w:i/>
          <w:sz w:val="18"/>
        </w:rPr>
        <w:t>, samples (9,10,11) Enterobacter cloacae</w:t>
      </w:r>
    </w:p>
    <w:p w14:paraId="58CC8EAA" w14:textId="4C7106A7" w:rsidR="00E6775C" w:rsidRDefault="00E6775C" w:rsidP="00E6775C">
      <w:pPr>
        <w:pStyle w:val="Body"/>
        <w:tabs>
          <w:tab w:val="right" w:pos="8208"/>
        </w:tabs>
        <w:spacing w:after="0"/>
        <w:rPr>
          <w:rFonts w:ascii="Arial" w:hAnsi="Arial" w:cs="Arial"/>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53369D9" wp14:editId="27190478">
                <wp:simplePos x="0" y="0"/>
                <wp:positionH relativeFrom="column">
                  <wp:posOffset>784860</wp:posOffset>
                </wp:positionH>
                <wp:positionV relativeFrom="paragraph">
                  <wp:posOffset>64135</wp:posOffset>
                </wp:positionV>
                <wp:extent cx="4000500" cy="31432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0005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79829" w14:textId="432FB141" w:rsidR="00E6775C" w:rsidRPr="00E8596D" w:rsidRDefault="00E6775C" w:rsidP="00E6775C">
                            <w:pPr>
                              <w:rPr>
                                <w:b/>
                                <w:color w:val="FFFFFF" w:themeColor="background1"/>
                              </w:rPr>
                            </w:pPr>
                            <w:r w:rsidRPr="00E8596D">
                              <w:rPr>
                                <w:b/>
                                <w:color w:val="FFFFFF" w:themeColor="background1"/>
                              </w:rPr>
                              <w:t xml:space="preserve">M      </w:t>
                            </w:r>
                            <w:r>
                              <w:rPr>
                                <w:b/>
                                <w:color w:val="FFFFFF" w:themeColor="background1"/>
                              </w:rPr>
                              <w:t xml:space="preserve"> </w:t>
                            </w:r>
                            <w:r w:rsidRPr="00E8596D">
                              <w:rPr>
                                <w:b/>
                                <w:color w:val="FFFFFF" w:themeColor="background1"/>
                              </w:rPr>
                              <w:t xml:space="preserve">1      </w:t>
                            </w:r>
                            <w:r>
                              <w:rPr>
                                <w:b/>
                                <w:color w:val="FFFFFF" w:themeColor="background1"/>
                              </w:rPr>
                              <w:t xml:space="preserve">2       </w:t>
                            </w:r>
                            <w:r w:rsidRPr="00E8596D">
                              <w:rPr>
                                <w:b/>
                                <w:color w:val="FFFFFF" w:themeColor="background1"/>
                              </w:rPr>
                              <w:t xml:space="preserve"> </w:t>
                            </w:r>
                            <w:r>
                              <w:rPr>
                                <w:b/>
                                <w:color w:val="FFFFFF" w:themeColor="background1"/>
                              </w:rPr>
                              <w:t xml:space="preserve"> </w:t>
                            </w:r>
                            <w:r w:rsidRPr="00E8596D">
                              <w:rPr>
                                <w:b/>
                                <w:color w:val="FFFFFF" w:themeColor="background1"/>
                              </w:rPr>
                              <w:t xml:space="preserve">3     </w:t>
                            </w:r>
                            <w:r>
                              <w:rPr>
                                <w:b/>
                                <w:color w:val="FFFFFF" w:themeColor="background1"/>
                              </w:rPr>
                              <w:t xml:space="preserve"> </w:t>
                            </w:r>
                            <w:r w:rsidRPr="00E8596D">
                              <w:rPr>
                                <w:b/>
                                <w:color w:val="FFFFFF" w:themeColor="background1"/>
                              </w:rPr>
                              <w:t xml:space="preserve"> 4      </w:t>
                            </w:r>
                            <w:r>
                              <w:rPr>
                                <w:b/>
                                <w:color w:val="FFFFFF" w:themeColor="background1"/>
                              </w:rPr>
                              <w:t xml:space="preserve"> </w:t>
                            </w:r>
                            <w:r w:rsidRPr="00E8596D">
                              <w:rPr>
                                <w:b/>
                                <w:color w:val="FFFFFF" w:themeColor="background1"/>
                              </w:rPr>
                              <w:t xml:space="preserve"> 5    </w:t>
                            </w:r>
                            <w:r>
                              <w:rPr>
                                <w:b/>
                                <w:color w:val="FFFFFF" w:themeColor="background1"/>
                              </w:rPr>
                              <w:t xml:space="preserve">  6      </w:t>
                            </w:r>
                            <w:r w:rsidRPr="00E8596D">
                              <w:rPr>
                                <w:b/>
                                <w:color w:val="FFFFFF" w:themeColor="background1"/>
                              </w:rPr>
                              <w:t xml:space="preserve">   7      8   </w:t>
                            </w:r>
                            <w:r>
                              <w:rPr>
                                <w:b/>
                                <w:color w:val="FFFFFF" w:themeColor="background1"/>
                              </w:rPr>
                              <w:t xml:space="preserve">     9</w:t>
                            </w:r>
                            <w:r w:rsidR="007076BB">
                              <w:rPr>
                                <w:b/>
                                <w:color w:val="FFFFFF" w:themeColor="background1"/>
                              </w:rPr>
                              <w:t xml:space="preserve"> </w:t>
                            </w:r>
                            <w:r>
                              <w:rPr>
                                <w:b/>
                                <w:color w:val="FFFFFF" w:themeColor="background1"/>
                              </w:rPr>
                              <w:t xml:space="preserve">     </w:t>
                            </w:r>
                            <w:r w:rsidRPr="00E8596D">
                              <w:rPr>
                                <w:b/>
                                <w:color w:val="FFFFFF" w:themeColor="background1"/>
                              </w:rPr>
                              <w:t xml:space="preserve">10 </w:t>
                            </w:r>
                            <w:r>
                              <w:rPr>
                                <w:b/>
                                <w:color w:val="FFFFFF" w:themeColor="background1"/>
                              </w:rPr>
                              <w:t xml:space="preserve">  </w:t>
                            </w:r>
                            <w:r w:rsidRPr="00E8596D">
                              <w:rPr>
                                <w:b/>
                                <w:color w:val="FFFFFF" w:themeColor="background1"/>
                              </w:rPr>
                              <w:t xml:space="preserve"> </w:t>
                            </w:r>
                            <w:r w:rsidR="007076BB">
                              <w:rPr>
                                <w:b/>
                                <w:color w:val="FFFFFF" w:themeColor="background1"/>
                              </w:rPr>
                              <w:t xml:space="preserve">  </w:t>
                            </w:r>
                            <w:r w:rsidRPr="00E8596D">
                              <w:rPr>
                                <w:b/>
                                <w:color w:val="FFFFFF" w:themeColor="background1"/>
                              </w:rPr>
                              <w:t>11</w:t>
                            </w:r>
                            <w:r>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369D9" id="_x0000_t202" coordsize="21600,21600" o:spt="202" path="m,l,21600r21600,l21600,xe">
                <v:stroke joinstyle="miter"/>
                <v:path gradientshapeok="t" o:connecttype="rect"/>
              </v:shapetype>
              <v:shape id="Zone de texte 6" o:spid="_x0000_s1026" type="#_x0000_t202" style="position:absolute;left:0;text-align:left;margin-left:61.8pt;margin-top:5.05pt;width:31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" filled="f" stroked="f" strokeweight=".5pt">
                <v:textbox>
                  <w:txbxContent>
                    <w:p w14:paraId="6E679829" w14:textId="432FB141" w:rsidR="00E6775C" w:rsidRPr="00E8596D" w:rsidRDefault="00E6775C" w:rsidP="00E6775C">
                      <w:pPr>
                        <w:rPr>
                          <w:b/>
                          <w:color w:val="FFFFFF" w:themeColor="background1"/>
                        </w:rPr>
                      </w:pPr>
                      <w:r w:rsidRPr="00E8596D">
                        <w:rPr>
                          <w:b/>
                          <w:color w:val="FFFFFF" w:themeColor="background1"/>
                        </w:rPr>
                        <w:t xml:space="preserve">M      </w:t>
                      </w:r>
                      <w:r>
                        <w:rPr>
                          <w:b/>
                          <w:color w:val="FFFFFF" w:themeColor="background1"/>
                        </w:rPr>
                        <w:t xml:space="preserve"> </w:t>
                      </w:r>
                      <w:r w:rsidRPr="00E8596D">
                        <w:rPr>
                          <w:b/>
                          <w:color w:val="FFFFFF" w:themeColor="background1"/>
                        </w:rPr>
                        <w:t xml:space="preserve">1      </w:t>
                      </w:r>
                      <w:r>
                        <w:rPr>
                          <w:b/>
                          <w:color w:val="FFFFFF" w:themeColor="background1"/>
                        </w:rPr>
                        <w:t xml:space="preserve">2       </w:t>
                      </w:r>
                      <w:r w:rsidRPr="00E8596D">
                        <w:rPr>
                          <w:b/>
                          <w:color w:val="FFFFFF" w:themeColor="background1"/>
                        </w:rPr>
                        <w:t xml:space="preserve"> </w:t>
                      </w:r>
                      <w:r>
                        <w:rPr>
                          <w:b/>
                          <w:color w:val="FFFFFF" w:themeColor="background1"/>
                        </w:rPr>
                        <w:t xml:space="preserve"> </w:t>
                      </w:r>
                      <w:r w:rsidRPr="00E8596D">
                        <w:rPr>
                          <w:b/>
                          <w:color w:val="FFFFFF" w:themeColor="background1"/>
                        </w:rPr>
                        <w:t xml:space="preserve">3     </w:t>
                      </w:r>
                      <w:r>
                        <w:rPr>
                          <w:b/>
                          <w:color w:val="FFFFFF" w:themeColor="background1"/>
                        </w:rPr>
                        <w:t xml:space="preserve"> </w:t>
                      </w:r>
                      <w:r w:rsidRPr="00E8596D">
                        <w:rPr>
                          <w:b/>
                          <w:color w:val="FFFFFF" w:themeColor="background1"/>
                        </w:rPr>
                        <w:t xml:space="preserve"> 4      </w:t>
                      </w:r>
                      <w:r>
                        <w:rPr>
                          <w:b/>
                          <w:color w:val="FFFFFF" w:themeColor="background1"/>
                        </w:rPr>
                        <w:t xml:space="preserve"> </w:t>
                      </w:r>
                      <w:r w:rsidRPr="00E8596D">
                        <w:rPr>
                          <w:b/>
                          <w:color w:val="FFFFFF" w:themeColor="background1"/>
                        </w:rPr>
                        <w:t xml:space="preserve"> 5    </w:t>
                      </w:r>
                      <w:r>
                        <w:rPr>
                          <w:b/>
                          <w:color w:val="FFFFFF" w:themeColor="background1"/>
                        </w:rPr>
                        <w:t xml:space="preserve">  6      </w:t>
                      </w:r>
                      <w:r w:rsidRPr="00E8596D">
                        <w:rPr>
                          <w:b/>
                          <w:color w:val="FFFFFF" w:themeColor="background1"/>
                        </w:rPr>
                        <w:t xml:space="preserve">   7      8   </w:t>
                      </w:r>
                      <w:r>
                        <w:rPr>
                          <w:b/>
                          <w:color w:val="FFFFFF" w:themeColor="background1"/>
                        </w:rPr>
                        <w:t xml:space="preserve">     9</w:t>
                      </w:r>
                      <w:r w:rsidR="007076BB">
                        <w:rPr>
                          <w:b/>
                          <w:color w:val="FFFFFF" w:themeColor="background1"/>
                        </w:rPr>
                        <w:t xml:space="preserve"> </w:t>
                      </w:r>
                      <w:r>
                        <w:rPr>
                          <w:b/>
                          <w:color w:val="FFFFFF" w:themeColor="background1"/>
                        </w:rPr>
                        <w:t xml:space="preserve">     </w:t>
                      </w:r>
                      <w:r w:rsidRPr="00E8596D">
                        <w:rPr>
                          <w:b/>
                          <w:color w:val="FFFFFF" w:themeColor="background1"/>
                        </w:rPr>
                        <w:t xml:space="preserve">10 </w:t>
                      </w:r>
                      <w:r>
                        <w:rPr>
                          <w:b/>
                          <w:color w:val="FFFFFF" w:themeColor="background1"/>
                        </w:rPr>
                        <w:t xml:space="preserve">  </w:t>
                      </w:r>
                      <w:r w:rsidRPr="00E8596D">
                        <w:rPr>
                          <w:b/>
                          <w:color w:val="FFFFFF" w:themeColor="background1"/>
                        </w:rPr>
                        <w:t xml:space="preserve"> </w:t>
                      </w:r>
                      <w:r w:rsidR="007076BB">
                        <w:rPr>
                          <w:b/>
                          <w:color w:val="FFFFFF" w:themeColor="background1"/>
                        </w:rPr>
                        <w:t xml:space="preserve">  </w:t>
                      </w:r>
                      <w:r w:rsidRPr="00E8596D">
                        <w:rPr>
                          <w:b/>
                          <w:color w:val="FFFFFF" w:themeColor="background1"/>
                        </w:rPr>
                        <w:t>11</w:t>
                      </w:r>
                      <w:r>
                        <w:rPr>
                          <w:b/>
                          <w:color w:val="FFFFFF" w:themeColor="background1"/>
                        </w:rPr>
                        <w:t xml:space="preserve">                      </w:t>
                      </w:r>
                    </w:p>
                  </w:txbxContent>
                </v:textbox>
              </v:shape>
            </w:pict>
          </mc:Fallback>
        </mc:AlternateContent>
      </w:r>
      <w:r>
        <w:rPr>
          <w:rFonts w:ascii="Arial" w:hAnsi="Arial" w:cs="Arial"/>
        </w:rPr>
        <w:tab/>
      </w:r>
    </w:p>
    <w:p w14:paraId="70B03475" w14:textId="54D0586E" w:rsidR="00E6775C" w:rsidRDefault="00E6775C" w:rsidP="00441B6F">
      <w:pPr>
        <w:pStyle w:val="Body"/>
        <w:spacing w:after="0"/>
        <w:rPr>
          <w:rFonts w:ascii="Arial" w:hAnsi="Arial" w:cs="Arial"/>
        </w:rPr>
      </w:pPr>
    </w:p>
    <w:p w14:paraId="681E1755" w14:textId="52577F97" w:rsidR="00E6775C" w:rsidRDefault="00E6775C" w:rsidP="00441B6F">
      <w:pPr>
        <w:pStyle w:val="Body"/>
        <w:spacing w:after="0"/>
        <w:rPr>
          <w:rFonts w:ascii="Arial" w:hAnsi="Arial" w:cs="Arial"/>
        </w:rPr>
      </w:pPr>
    </w:p>
    <w:p w14:paraId="41565316" w14:textId="39AD9641" w:rsidR="00E6775C" w:rsidRDefault="0094010F" w:rsidP="00441B6F">
      <w:pPr>
        <w:pStyle w:val="Body"/>
        <w:spacing w:after="0"/>
        <w:rPr>
          <w:rFonts w:ascii="Arial" w:hAnsi="Arial" w:cs="Arial"/>
        </w:rPr>
      </w:pPr>
      <w:r>
        <w:rPr>
          <w:rFonts w:ascii="Arial" w:hAnsi="Arial" w:cs="Arial"/>
          <w:noProof/>
        </w:rPr>
        <w:lastRenderedPageBreak/>
        <w:drawing>
          <wp:inline distT="0" distB="0" distL="0" distR="0" wp14:anchorId="5369FF33" wp14:editId="0077A1E3">
            <wp:extent cx="5212080" cy="3611880"/>
            <wp:effectExtent l="0" t="0" r="7620" b="7620"/>
            <wp:docPr id="21207510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51014" name="Image 2120751014"/>
                    <pic:cNvPicPr/>
                  </pic:nvPicPr>
                  <pic:blipFill>
                    <a:blip r:embed="rId13">
                      <a:extLst>
                        <a:ext uri="{28A0092B-C50C-407E-A947-70E740481C1C}">
                          <a14:useLocalDpi xmlns:a14="http://schemas.microsoft.com/office/drawing/2010/main" val="0"/>
                        </a:ext>
                      </a:extLst>
                    </a:blip>
                    <a:stretch>
                      <a:fillRect/>
                    </a:stretch>
                  </pic:blipFill>
                  <pic:spPr>
                    <a:xfrm>
                      <a:off x="0" y="0"/>
                      <a:ext cx="5212080" cy="3611880"/>
                    </a:xfrm>
                    <a:prstGeom prst="rect">
                      <a:avLst/>
                    </a:prstGeom>
                  </pic:spPr>
                </pic:pic>
              </a:graphicData>
            </a:graphic>
          </wp:inline>
        </w:drawing>
      </w:r>
    </w:p>
    <w:p w14:paraId="11F29315" w14:textId="3CEF6A95" w:rsidR="00E6775C" w:rsidRDefault="00E6775C" w:rsidP="00441B6F">
      <w:pPr>
        <w:pStyle w:val="Body"/>
        <w:spacing w:after="0"/>
        <w:rPr>
          <w:rFonts w:ascii="Arial" w:hAnsi="Arial" w:cs="Arial"/>
        </w:rPr>
      </w:pPr>
    </w:p>
    <w:p w14:paraId="038134FE" w14:textId="728C0770" w:rsidR="0094010F" w:rsidRDefault="0094010F" w:rsidP="0094010F">
      <w:pPr>
        <w:pStyle w:val="Body"/>
        <w:rPr>
          <w:rFonts w:ascii="Arial" w:hAnsi="Arial" w:cs="Arial"/>
        </w:rPr>
      </w:pPr>
      <w:r w:rsidRPr="00B17898">
        <w:rPr>
          <w:rFonts w:ascii="Arial" w:hAnsi="Arial" w:cs="Arial"/>
          <w:b/>
          <w:bCs/>
        </w:rPr>
        <w:t>Fig.</w:t>
      </w:r>
      <w:r>
        <w:rPr>
          <w:rFonts w:ascii="Arial" w:hAnsi="Arial" w:cs="Arial"/>
          <w:b/>
          <w:bCs/>
        </w:rPr>
        <w:t xml:space="preserve"> 2</w:t>
      </w:r>
      <w:r w:rsidRPr="00B17898">
        <w:rPr>
          <w:rFonts w:ascii="Arial" w:hAnsi="Arial" w:cs="Arial"/>
          <w:b/>
          <w:bCs/>
        </w:rPr>
        <w:t>. Electrophoretic profile of CTXM 2</w:t>
      </w:r>
      <w:r>
        <w:rPr>
          <w:rFonts w:ascii="Arial" w:hAnsi="Arial" w:cs="Arial"/>
          <w:b/>
          <w:bCs/>
        </w:rPr>
        <w:t xml:space="preserve"> genes</w:t>
      </w:r>
    </w:p>
    <w:p w14:paraId="0EDA9DB6" w14:textId="08A6A324" w:rsidR="0094010F" w:rsidRDefault="0094010F" w:rsidP="0094010F">
      <w:pPr>
        <w:pStyle w:val="Body"/>
        <w:jc w:val="left"/>
        <w:rPr>
          <w:rFonts w:ascii="Arial" w:hAnsi="Arial" w:cs="Arial"/>
          <w:i/>
          <w:sz w:val="18"/>
          <w:szCs w:val="18"/>
        </w:rPr>
      </w:pPr>
      <w:r w:rsidRPr="00B17898">
        <w:rPr>
          <w:rFonts w:ascii="Arial" w:hAnsi="Arial" w:cs="Arial"/>
          <w:i/>
          <w:sz w:val="18"/>
          <w:szCs w:val="18"/>
        </w:rPr>
        <w:t>M: Molecular weight marker</w:t>
      </w:r>
      <w:r>
        <w:rPr>
          <w:rFonts w:ascii="Arial" w:hAnsi="Arial" w:cs="Arial"/>
          <w:i/>
          <w:sz w:val="18"/>
          <w:szCs w:val="18"/>
        </w:rPr>
        <w:t xml:space="preserve">; Samples (1, 2) </w:t>
      </w:r>
      <w:r>
        <w:rPr>
          <w:rFonts w:ascii="Arial" w:hAnsi="Arial" w:cs="Arial"/>
          <w:sz w:val="18"/>
          <w:szCs w:val="18"/>
        </w:rPr>
        <w:t>P</w:t>
      </w:r>
      <w:r w:rsidRPr="000816A7">
        <w:rPr>
          <w:rFonts w:ascii="Arial" w:hAnsi="Arial" w:cs="Arial"/>
          <w:sz w:val="18"/>
          <w:szCs w:val="18"/>
        </w:rPr>
        <w:t>seudomonas</w:t>
      </w:r>
      <w:r>
        <w:rPr>
          <w:rFonts w:ascii="Arial" w:hAnsi="Arial" w:cs="Arial"/>
          <w:i/>
          <w:sz w:val="18"/>
          <w:szCs w:val="18"/>
        </w:rPr>
        <w:t xml:space="preserve"> </w:t>
      </w:r>
      <w:r w:rsidR="00E44BCD">
        <w:rPr>
          <w:rFonts w:ascii="Arial" w:hAnsi="Arial" w:cs="Arial"/>
          <w:i/>
          <w:sz w:val="18"/>
          <w:szCs w:val="18"/>
        </w:rPr>
        <w:t>aeruginosa;</w:t>
      </w:r>
      <w:r>
        <w:rPr>
          <w:rFonts w:ascii="Arial" w:hAnsi="Arial" w:cs="Arial"/>
          <w:i/>
          <w:sz w:val="18"/>
          <w:szCs w:val="18"/>
        </w:rPr>
        <w:t xml:space="preserve"> Samples (3, 4, 5,</w:t>
      </w:r>
      <w:r w:rsidR="00E44BCD" w:rsidRPr="00B17898">
        <w:rPr>
          <w:rFonts w:ascii="Arial" w:hAnsi="Arial" w:cs="Arial"/>
          <w:i/>
          <w:sz w:val="18"/>
          <w:szCs w:val="18"/>
        </w:rPr>
        <w:t>6</w:t>
      </w:r>
      <w:r w:rsidR="00E44BCD">
        <w:rPr>
          <w:rFonts w:ascii="Arial" w:hAnsi="Arial" w:cs="Arial"/>
          <w:i/>
          <w:sz w:val="18"/>
          <w:szCs w:val="18"/>
        </w:rPr>
        <w:t>)</w:t>
      </w:r>
      <w:r>
        <w:rPr>
          <w:rFonts w:ascii="Arial" w:hAnsi="Arial" w:cs="Arial"/>
          <w:i/>
          <w:sz w:val="18"/>
          <w:szCs w:val="18"/>
        </w:rPr>
        <w:t xml:space="preserve">: </w:t>
      </w:r>
      <w:r w:rsidRPr="000816A7">
        <w:rPr>
          <w:rFonts w:ascii="Arial" w:hAnsi="Arial" w:cs="Arial"/>
          <w:sz w:val="18"/>
          <w:szCs w:val="18"/>
        </w:rPr>
        <w:t>K</w:t>
      </w:r>
      <w:r>
        <w:rPr>
          <w:rFonts w:ascii="Arial" w:hAnsi="Arial" w:cs="Arial"/>
          <w:sz w:val="18"/>
          <w:szCs w:val="18"/>
        </w:rPr>
        <w:t>lebsiella</w:t>
      </w:r>
      <w:r>
        <w:rPr>
          <w:rFonts w:ascii="Arial" w:hAnsi="Arial" w:cs="Arial"/>
          <w:i/>
          <w:sz w:val="18"/>
          <w:szCs w:val="18"/>
        </w:rPr>
        <w:t xml:space="preserve">. </w:t>
      </w:r>
      <w:r w:rsidR="00E44BCD">
        <w:rPr>
          <w:rFonts w:ascii="Arial" w:hAnsi="Arial" w:cs="Arial"/>
          <w:i/>
          <w:sz w:val="18"/>
          <w:szCs w:val="18"/>
        </w:rPr>
        <w:t>ox</w:t>
      </w:r>
      <w:r w:rsidR="00E44BCD" w:rsidRPr="000816A7">
        <w:rPr>
          <w:rFonts w:ascii="Arial" w:hAnsi="Arial" w:cs="Arial"/>
          <w:i/>
          <w:sz w:val="18"/>
          <w:szCs w:val="18"/>
        </w:rPr>
        <w:t>ytoca</w:t>
      </w:r>
      <w:r w:rsidR="00E44BCD">
        <w:rPr>
          <w:rFonts w:ascii="Arial" w:hAnsi="Arial" w:cs="Arial"/>
          <w:i/>
          <w:sz w:val="18"/>
          <w:szCs w:val="18"/>
        </w:rPr>
        <w:t>;</w:t>
      </w:r>
      <w:r w:rsidR="00E44BCD" w:rsidRPr="00B17898">
        <w:rPr>
          <w:rFonts w:ascii="Arial" w:hAnsi="Arial" w:cs="Arial"/>
          <w:i/>
          <w:sz w:val="18"/>
          <w:szCs w:val="18"/>
        </w:rPr>
        <w:t xml:space="preserve"> </w:t>
      </w:r>
      <w:r w:rsidR="00E44BCD">
        <w:rPr>
          <w:rFonts w:ascii="Arial" w:hAnsi="Arial" w:cs="Arial"/>
          <w:i/>
          <w:sz w:val="18"/>
          <w:szCs w:val="18"/>
        </w:rPr>
        <w:t>Samples</w:t>
      </w:r>
      <w:r>
        <w:rPr>
          <w:rFonts w:ascii="Arial" w:hAnsi="Arial" w:cs="Arial"/>
          <w:i/>
          <w:sz w:val="18"/>
          <w:szCs w:val="18"/>
        </w:rPr>
        <w:t xml:space="preserve"> 7: </w:t>
      </w:r>
      <w:r w:rsidRPr="00EC0296">
        <w:rPr>
          <w:rFonts w:ascii="Arial" w:hAnsi="Arial" w:cs="Arial"/>
          <w:sz w:val="18"/>
          <w:szCs w:val="18"/>
        </w:rPr>
        <w:t>Enterobacter</w:t>
      </w:r>
      <w:r>
        <w:rPr>
          <w:rFonts w:ascii="Arial" w:hAnsi="Arial" w:cs="Arial"/>
          <w:i/>
          <w:sz w:val="18"/>
          <w:szCs w:val="18"/>
        </w:rPr>
        <w:t xml:space="preserve"> </w:t>
      </w:r>
      <w:r w:rsidR="00E44BCD">
        <w:rPr>
          <w:rFonts w:ascii="Arial" w:hAnsi="Arial" w:cs="Arial"/>
          <w:i/>
          <w:sz w:val="18"/>
          <w:szCs w:val="18"/>
        </w:rPr>
        <w:t>aerogenes</w:t>
      </w:r>
      <w:r w:rsidR="00E44BCD" w:rsidRPr="00B17898">
        <w:rPr>
          <w:rFonts w:ascii="Arial" w:hAnsi="Arial" w:cs="Arial"/>
          <w:i/>
          <w:sz w:val="18"/>
          <w:szCs w:val="18"/>
        </w:rPr>
        <w:t>;</w:t>
      </w:r>
      <w:r>
        <w:rPr>
          <w:rFonts w:ascii="Arial" w:hAnsi="Arial" w:cs="Arial"/>
          <w:i/>
          <w:sz w:val="18"/>
          <w:szCs w:val="18"/>
        </w:rPr>
        <w:t xml:space="preserve"> Samples (</w:t>
      </w:r>
      <w:r w:rsidRPr="00B17898">
        <w:rPr>
          <w:rFonts w:ascii="Arial" w:hAnsi="Arial" w:cs="Arial"/>
          <w:i/>
          <w:sz w:val="18"/>
          <w:szCs w:val="18"/>
        </w:rPr>
        <w:t>8, 9</w:t>
      </w:r>
      <w:r w:rsidR="00E44BCD">
        <w:rPr>
          <w:rFonts w:ascii="Arial" w:hAnsi="Arial" w:cs="Arial"/>
          <w:i/>
          <w:sz w:val="18"/>
          <w:szCs w:val="18"/>
        </w:rPr>
        <w:t>): Klebsiella</w:t>
      </w:r>
      <w:r>
        <w:rPr>
          <w:rFonts w:ascii="Arial" w:hAnsi="Arial" w:cs="Arial"/>
          <w:i/>
          <w:sz w:val="18"/>
          <w:szCs w:val="18"/>
        </w:rPr>
        <w:t xml:space="preserve"> pneumoniae</w:t>
      </w:r>
      <w:r w:rsidR="00E44BCD">
        <w:rPr>
          <w:rFonts w:ascii="Arial" w:hAnsi="Arial" w:cs="Arial"/>
          <w:i/>
          <w:sz w:val="18"/>
          <w:szCs w:val="18"/>
        </w:rPr>
        <w:t>;</w:t>
      </w:r>
      <w:r w:rsidRPr="00B17898">
        <w:rPr>
          <w:rFonts w:ascii="Arial" w:hAnsi="Arial" w:cs="Arial"/>
          <w:i/>
          <w:sz w:val="18"/>
          <w:szCs w:val="18"/>
        </w:rPr>
        <w:t xml:space="preserve"> </w:t>
      </w:r>
      <w:proofErr w:type="gramStart"/>
      <w:r w:rsidRPr="00B17898">
        <w:rPr>
          <w:rFonts w:ascii="Arial" w:hAnsi="Arial" w:cs="Arial"/>
          <w:i/>
          <w:sz w:val="18"/>
          <w:szCs w:val="18"/>
        </w:rPr>
        <w:t>CN :</w:t>
      </w:r>
      <w:proofErr w:type="gramEnd"/>
      <w:r w:rsidRPr="00B17898">
        <w:rPr>
          <w:rFonts w:ascii="Arial" w:hAnsi="Arial" w:cs="Arial"/>
          <w:i/>
          <w:sz w:val="18"/>
          <w:szCs w:val="18"/>
        </w:rPr>
        <w:t xml:space="preserve"> Negative Control</w:t>
      </w:r>
    </w:p>
    <w:p w14:paraId="26CFC070" w14:textId="520E3E6F" w:rsidR="001F4F29" w:rsidRPr="001F4F29" w:rsidRDefault="001F4F29" w:rsidP="001F4F29">
      <w:pPr>
        <w:tabs>
          <w:tab w:val="left" w:pos="1080"/>
        </w:tabs>
        <w:jc w:val="both"/>
        <w:rPr>
          <w:rFonts w:ascii="Arial" w:hAnsi="Arial"/>
          <w:b/>
          <w:lang w:val="en-GB"/>
        </w:rPr>
      </w:pPr>
      <w:r>
        <w:rPr>
          <w:rFonts w:ascii="Arial" w:hAnsi="Arial"/>
          <w:b/>
        </w:rPr>
        <w:t xml:space="preserve">Table 3.  </w:t>
      </w:r>
      <w:r>
        <w:rPr>
          <w:rFonts w:ascii="Arial" w:hAnsi="Arial"/>
          <w:b/>
          <w:lang w:val="en-GB"/>
        </w:rPr>
        <w:t>E</w:t>
      </w:r>
      <w:r w:rsidRPr="001F4F29">
        <w:rPr>
          <w:rFonts w:ascii="Arial" w:hAnsi="Arial"/>
          <w:b/>
          <w:lang w:val="en-GB"/>
        </w:rPr>
        <w:t>nterobacterial strains amplified genes</w:t>
      </w:r>
    </w:p>
    <w:p w14:paraId="400982EE" w14:textId="77777777" w:rsidR="001F4F29" w:rsidRPr="001F4F29" w:rsidRDefault="001F4F29" w:rsidP="001F4F29">
      <w:pPr>
        <w:pStyle w:val="Sub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1701"/>
        <w:gridCol w:w="1829"/>
      </w:tblGrid>
      <w:tr w:rsidR="00A03192" w:rsidRPr="00A03192" w14:paraId="64CF99C5" w14:textId="02B6BB61" w:rsidTr="00A03192">
        <w:trPr>
          <w:trHeight w:val="267"/>
        </w:trPr>
        <w:tc>
          <w:tcPr>
            <w:tcW w:w="2977" w:type="dxa"/>
            <w:tcBorders>
              <w:top w:val="single" w:sz="12" w:space="0" w:color="000000"/>
              <w:bottom w:val="single" w:sz="12" w:space="0" w:color="000000"/>
            </w:tcBorders>
            <w:shd w:val="clear" w:color="auto" w:fill="auto"/>
          </w:tcPr>
          <w:p w14:paraId="472CAD69" w14:textId="7F19336A" w:rsidR="00A03192" w:rsidRPr="00A03192" w:rsidRDefault="00A03192" w:rsidP="001F4F29">
            <w:pPr>
              <w:spacing w:line="276" w:lineRule="auto"/>
              <w:rPr>
                <w:rFonts w:ascii="Arial" w:hAnsi="Arial" w:cs="Arial"/>
                <w:b/>
                <w:bCs/>
                <w:sz w:val="20"/>
                <w:szCs w:val="20"/>
              </w:rPr>
            </w:pPr>
            <w:r w:rsidRPr="00A03192">
              <w:rPr>
                <w:rFonts w:ascii="Arial" w:hAnsi="Arial" w:cs="Arial"/>
                <w:b/>
                <w:bCs/>
                <w:sz w:val="20"/>
                <w:szCs w:val="20"/>
              </w:rPr>
              <w:t>Enterobacteria strains</w:t>
            </w:r>
            <w:r>
              <w:rPr>
                <w:rFonts w:ascii="Arial" w:hAnsi="Arial" w:cs="Arial"/>
                <w:b/>
                <w:bCs/>
                <w:sz w:val="20"/>
                <w:szCs w:val="20"/>
              </w:rPr>
              <w:t xml:space="preserve"> (n=4)</w:t>
            </w:r>
          </w:p>
        </w:tc>
        <w:tc>
          <w:tcPr>
            <w:tcW w:w="1701" w:type="dxa"/>
            <w:tcBorders>
              <w:top w:val="single" w:sz="12" w:space="0" w:color="000000"/>
              <w:bottom w:val="single" w:sz="12" w:space="0" w:color="000000"/>
            </w:tcBorders>
            <w:shd w:val="clear" w:color="auto" w:fill="auto"/>
          </w:tcPr>
          <w:p w14:paraId="18057EB9" w14:textId="436ED4BF" w:rsidR="00A03192" w:rsidRPr="00A03192" w:rsidRDefault="00A03192" w:rsidP="001F4F29">
            <w:pPr>
              <w:spacing w:line="276" w:lineRule="auto"/>
              <w:rPr>
                <w:rFonts w:ascii="Arial" w:hAnsi="Arial" w:cs="Arial"/>
                <w:b/>
                <w:bCs/>
                <w:sz w:val="20"/>
                <w:szCs w:val="20"/>
                <w:lang w:val="es-ES"/>
              </w:rPr>
            </w:pPr>
            <w:r w:rsidRPr="00A03192">
              <w:rPr>
                <w:rFonts w:ascii="Arial" w:hAnsi="Arial" w:cs="Arial"/>
                <w:b/>
                <w:bCs/>
                <w:sz w:val="20"/>
                <w:szCs w:val="20"/>
                <w:lang w:val="es-ES"/>
              </w:rPr>
              <w:t xml:space="preserve">gene </w:t>
            </w:r>
            <w:r w:rsidRPr="00A03192">
              <w:rPr>
                <w:rFonts w:ascii="Arial" w:hAnsi="Arial" w:cs="Arial"/>
                <w:b/>
                <w:bCs/>
                <w:i/>
                <w:iCs/>
                <w:sz w:val="20"/>
                <w:szCs w:val="20"/>
                <w:lang w:val="es-ES"/>
              </w:rPr>
              <w:t xml:space="preserve">bla </w:t>
            </w:r>
            <w:r w:rsidRPr="00A03192">
              <w:rPr>
                <w:rFonts w:ascii="Arial" w:hAnsi="Arial" w:cs="Arial"/>
                <w:b/>
                <w:bCs/>
                <w:sz w:val="20"/>
                <w:szCs w:val="20"/>
                <w:vertAlign w:val="subscript"/>
                <w:lang w:val="es-ES"/>
              </w:rPr>
              <w:t>CTX-M2</w:t>
            </w:r>
          </w:p>
        </w:tc>
        <w:tc>
          <w:tcPr>
            <w:tcW w:w="1701" w:type="dxa"/>
            <w:tcBorders>
              <w:top w:val="single" w:sz="12" w:space="0" w:color="000000"/>
              <w:bottom w:val="single" w:sz="12" w:space="0" w:color="000000"/>
            </w:tcBorders>
            <w:shd w:val="clear" w:color="auto" w:fill="auto"/>
          </w:tcPr>
          <w:p w14:paraId="25DB3010" w14:textId="177B260F" w:rsidR="00A03192" w:rsidRPr="00A03192" w:rsidRDefault="00A03192" w:rsidP="001F4F29">
            <w:pPr>
              <w:spacing w:line="276" w:lineRule="auto"/>
              <w:rPr>
                <w:rFonts w:ascii="Arial" w:hAnsi="Arial" w:cs="Arial"/>
                <w:b/>
                <w:bCs/>
                <w:sz w:val="20"/>
                <w:szCs w:val="20"/>
              </w:rPr>
            </w:pPr>
            <w:r w:rsidRPr="00A03192">
              <w:rPr>
                <w:rFonts w:ascii="Arial" w:hAnsi="Arial" w:cs="Arial"/>
                <w:b/>
                <w:bCs/>
                <w:sz w:val="20"/>
                <w:szCs w:val="20"/>
                <w:lang w:val="es-ES"/>
              </w:rPr>
              <w:t xml:space="preserve">gene </w:t>
            </w:r>
            <w:r w:rsidRPr="00A03192">
              <w:rPr>
                <w:rFonts w:ascii="Arial" w:hAnsi="Arial" w:cs="Arial"/>
                <w:b/>
                <w:bCs/>
                <w:i/>
                <w:iCs/>
                <w:sz w:val="20"/>
                <w:szCs w:val="20"/>
                <w:lang w:val="es-ES"/>
              </w:rPr>
              <w:t xml:space="preserve">bla </w:t>
            </w:r>
            <w:r w:rsidRPr="00A03192">
              <w:rPr>
                <w:rFonts w:ascii="Arial" w:hAnsi="Arial" w:cs="Arial"/>
                <w:b/>
                <w:bCs/>
                <w:sz w:val="20"/>
                <w:szCs w:val="20"/>
                <w:vertAlign w:val="subscript"/>
                <w:lang w:val="es-ES"/>
              </w:rPr>
              <w:t>CTX-M</w:t>
            </w:r>
            <w:r>
              <w:rPr>
                <w:rFonts w:ascii="Arial" w:hAnsi="Arial" w:cs="Arial"/>
                <w:b/>
                <w:bCs/>
                <w:sz w:val="20"/>
                <w:szCs w:val="20"/>
                <w:vertAlign w:val="subscript"/>
                <w:lang w:val="es-ES"/>
              </w:rPr>
              <w:t>8</w:t>
            </w:r>
          </w:p>
        </w:tc>
        <w:tc>
          <w:tcPr>
            <w:tcW w:w="1829" w:type="dxa"/>
            <w:tcBorders>
              <w:top w:val="single" w:sz="12" w:space="0" w:color="000000"/>
              <w:bottom w:val="single" w:sz="12" w:space="0" w:color="000000"/>
            </w:tcBorders>
          </w:tcPr>
          <w:p w14:paraId="373F2126" w14:textId="7070A333" w:rsidR="00A03192" w:rsidRPr="00A03192" w:rsidRDefault="00A03192" w:rsidP="001F4F29">
            <w:pPr>
              <w:spacing w:line="276" w:lineRule="auto"/>
              <w:rPr>
                <w:rFonts w:ascii="Arial" w:hAnsi="Arial" w:cs="Arial"/>
                <w:b/>
                <w:bCs/>
              </w:rPr>
            </w:pPr>
            <w:r w:rsidRPr="00A03192">
              <w:rPr>
                <w:rFonts w:ascii="Arial" w:hAnsi="Arial" w:cs="Arial"/>
                <w:b/>
                <w:bCs/>
                <w:sz w:val="20"/>
                <w:szCs w:val="20"/>
                <w:lang w:val="es-ES"/>
              </w:rPr>
              <w:t xml:space="preserve">gene </w:t>
            </w:r>
            <w:r w:rsidRPr="00A03192">
              <w:rPr>
                <w:rFonts w:ascii="Arial" w:hAnsi="Arial" w:cs="Arial"/>
                <w:b/>
                <w:bCs/>
                <w:i/>
                <w:iCs/>
                <w:sz w:val="20"/>
                <w:szCs w:val="20"/>
                <w:lang w:val="es-ES"/>
              </w:rPr>
              <w:t xml:space="preserve">bla </w:t>
            </w:r>
            <w:r w:rsidRPr="00A03192">
              <w:rPr>
                <w:rFonts w:ascii="Arial" w:hAnsi="Arial" w:cs="Arial"/>
                <w:b/>
                <w:bCs/>
                <w:sz w:val="20"/>
                <w:szCs w:val="20"/>
                <w:vertAlign w:val="subscript"/>
                <w:lang w:val="es-ES"/>
              </w:rPr>
              <w:t>CTX-M</w:t>
            </w:r>
            <w:r>
              <w:rPr>
                <w:rFonts w:ascii="Arial" w:hAnsi="Arial" w:cs="Arial"/>
                <w:b/>
                <w:bCs/>
                <w:sz w:val="20"/>
                <w:szCs w:val="20"/>
                <w:vertAlign w:val="subscript"/>
                <w:lang w:val="es-ES"/>
              </w:rPr>
              <w:t>9</w:t>
            </w:r>
          </w:p>
        </w:tc>
      </w:tr>
      <w:tr w:rsidR="00A03192" w:rsidRPr="00A03192" w14:paraId="5E793F4A" w14:textId="0BE78F65" w:rsidTr="00A03192">
        <w:trPr>
          <w:trHeight w:val="252"/>
        </w:trPr>
        <w:tc>
          <w:tcPr>
            <w:tcW w:w="2977" w:type="dxa"/>
            <w:tcBorders>
              <w:top w:val="single" w:sz="12" w:space="0" w:color="000000"/>
            </w:tcBorders>
            <w:shd w:val="clear" w:color="auto" w:fill="auto"/>
          </w:tcPr>
          <w:p w14:paraId="0B4B111B" w14:textId="63FF200A" w:rsidR="00A03192" w:rsidRPr="002A1FE6" w:rsidRDefault="00A03192" w:rsidP="001F4F29">
            <w:pPr>
              <w:spacing w:line="276" w:lineRule="auto"/>
              <w:rPr>
                <w:rFonts w:ascii="Arial" w:hAnsi="Arial" w:cs="Arial"/>
                <w:i/>
                <w:iCs/>
                <w:sz w:val="20"/>
                <w:szCs w:val="20"/>
              </w:rPr>
            </w:pPr>
            <w:r w:rsidRPr="002A1FE6">
              <w:rPr>
                <w:rFonts w:ascii="Arial" w:hAnsi="Arial" w:cs="Arial"/>
                <w:i/>
                <w:iCs/>
                <w:sz w:val="20"/>
                <w:szCs w:val="20"/>
              </w:rPr>
              <w:t>Klebsiella oxytoca (n=1)</w:t>
            </w:r>
          </w:p>
        </w:tc>
        <w:tc>
          <w:tcPr>
            <w:tcW w:w="1701" w:type="dxa"/>
            <w:tcBorders>
              <w:top w:val="single" w:sz="12" w:space="0" w:color="000000"/>
            </w:tcBorders>
          </w:tcPr>
          <w:p w14:paraId="59DBF9EC" w14:textId="71680A76"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Borders>
              <w:top w:val="single" w:sz="12" w:space="0" w:color="000000"/>
            </w:tcBorders>
          </w:tcPr>
          <w:p w14:paraId="670FA6A7" w14:textId="3CD62C3B"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Borders>
              <w:top w:val="single" w:sz="12" w:space="0" w:color="000000"/>
            </w:tcBorders>
          </w:tcPr>
          <w:p w14:paraId="4D74BEFA" w14:textId="25DAD8C3"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r w:rsidR="00A03192" w:rsidRPr="00A03192" w14:paraId="10F8E75C" w14:textId="12CF59E2" w:rsidTr="00A03192">
        <w:trPr>
          <w:trHeight w:val="267"/>
        </w:trPr>
        <w:tc>
          <w:tcPr>
            <w:tcW w:w="2977" w:type="dxa"/>
            <w:shd w:val="clear" w:color="auto" w:fill="auto"/>
          </w:tcPr>
          <w:p w14:paraId="6C7DE5ED" w14:textId="12DAFFCD" w:rsidR="00A03192" w:rsidRPr="002A1FE6" w:rsidRDefault="00A03192" w:rsidP="001F4F29">
            <w:pPr>
              <w:spacing w:line="276" w:lineRule="auto"/>
              <w:rPr>
                <w:rFonts w:ascii="Arial" w:hAnsi="Arial" w:cs="Arial"/>
                <w:i/>
                <w:iCs/>
                <w:sz w:val="20"/>
                <w:szCs w:val="20"/>
              </w:rPr>
            </w:pPr>
            <w:r w:rsidRPr="002A1FE6">
              <w:rPr>
                <w:rFonts w:ascii="Arial" w:hAnsi="Arial" w:cs="Arial"/>
                <w:i/>
                <w:iCs/>
                <w:sz w:val="20"/>
                <w:szCs w:val="20"/>
              </w:rPr>
              <w:t xml:space="preserve">Enterobacter </w:t>
            </w:r>
            <w:r w:rsidR="001F4F29" w:rsidRPr="002A1FE6">
              <w:rPr>
                <w:rFonts w:ascii="Arial" w:hAnsi="Arial" w:cs="Arial"/>
                <w:i/>
                <w:iCs/>
                <w:sz w:val="20"/>
                <w:szCs w:val="20"/>
              </w:rPr>
              <w:t>aerogenes (</w:t>
            </w:r>
            <w:r w:rsidRPr="002A1FE6">
              <w:rPr>
                <w:rFonts w:ascii="Arial" w:hAnsi="Arial" w:cs="Arial"/>
                <w:i/>
                <w:iCs/>
                <w:sz w:val="20"/>
                <w:szCs w:val="20"/>
              </w:rPr>
              <w:t>n=1)</w:t>
            </w:r>
          </w:p>
        </w:tc>
        <w:tc>
          <w:tcPr>
            <w:tcW w:w="1701" w:type="dxa"/>
          </w:tcPr>
          <w:p w14:paraId="34EAB274" w14:textId="082626E6"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Pr>
          <w:p w14:paraId="2ACCE1A3" w14:textId="406BC6EE"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Pr>
          <w:p w14:paraId="37B7FD82" w14:textId="7A3DEA98"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r w:rsidR="00A03192" w:rsidRPr="00A03192" w14:paraId="1A6009CE" w14:textId="288525DE" w:rsidTr="001F4F29">
        <w:trPr>
          <w:trHeight w:val="252"/>
        </w:trPr>
        <w:tc>
          <w:tcPr>
            <w:tcW w:w="2977" w:type="dxa"/>
            <w:shd w:val="clear" w:color="auto" w:fill="auto"/>
          </w:tcPr>
          <w:p w14:paraId="37D0704A" w14:textId="26C1AFEC" w:rsidR="00A03192" w:rsidRPr="002A1FE6" w:rsidRDefault="00A03192" w:rsidP="001F4F29">
            <w:pPr>
              <w:spacing w:line="276" w:lineRule="auto"/>
              <w:rPr>
                <w:rFonts w:ascii="Arial" w:hAnsi="Arial" w:cs="Arial"/>
                <w:i/>
                <w:iCs/>
                <w:sz w:val="20"/>
                <w:szCs w:val="20"/>
              </w:rPr>
            </w:pPr>
            <w:r w:rsidRPr="002A1FE6">
              <w:rPr>
                <w:rFonts w:ascii="Arial" w:hAnsi="Arial" w:cs="Arial"/>
                <w:i/>
                <w:iCs/>
                <w:sz w:val="20"/>
                <w:szCs w:val="20"/>
              </w:rPr>
              <w:t xml:space="preserve">Klebsiella </w:t>
            </w:r>
            <w:r w:rsidR="001F4F29" w:rsidRPr="002A1FE6">
              <w:rPr>
                <w:rFonts w:ascii="Arial" w:hAnsi="Arial" w:cs="Arial"/>
                <w:i/>
                <w:iCs/>
                <w:sz w:val="20"/>
                <w:szCs w:val="20"/>
              </w:rPr>
              <w:t>pneumoniae (</w:t>
            </w:r>
            <w:r w:rsidRPr="002A1FE6">
              <w:rPr>
                <w:rFonts w:ascii="Arial" w:hAnsi="Arial" w:cs="Arial"/>
                <w:i/>
                <w:iCs/>
                <w:sz w:val="20"/>
                <w:szCs w:val="20"/>
              </w:rPr>
              <w:t>n=1)</w:t>
            </w:r>
          </w:p>
        </w:tc>
        <w:tc>
          <w:tcPr>
            <w:tcW w:w="1701" w:type="dxa"/>
          </w:tcPr>
          <w:p w14:paraId="5270A5BE" w14:textId="6882B7D2"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Pr>
          <w:p w14:paraId="46934237" w14:textId="7DBF485C"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Pr>
          <w:p w14:paraId="170A6D9F" w14:textId="71649133"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r w:rsidR="00A03192" w:rsidRPr="00A03192" w14:paraId="5DFA1467" w14:textId="061C3A8B" w:rsidTr="001F4F29">
        <w:trPr>
          <w:trHeight w:val="267"/>
        </w:trPr>
        <w:tc>
          <w:tcPr>
            <w:tcW w:w="2977" w:type="dxa"/>
            <w:tcBorders>
              <w:bottom w:val="single" w:sz="12" w:space="0" w:color="000000"/>
            </w:tcBorders>
            <w:shd w:val="clear" w:color="auto" w:fill="auto"/>
          </w:tcPr>
          <w:p w14:paraId="7164E4CC" w14:textId="109E9DC6" w:rsidR="00A03192" w:rsidRPr="002A1FE6" w:rsidRDefault="00A67816" w:rsidP="001F4F29">
            <w:pPr>
              <w:spacing w:line="276" w:lineRule="auto"/>
              <w:rPr>
                <w:rFonts w:ascii="Arial" w:hAnsi="Arial" w:cs="Arial"/>
                <w:i/>
                <w:iCs/>
                <w:sz w:val="20"/>
                <w:szCs w:val="20"/>
              </w:rPr>
            </w:pPr>
            <w:r w:rsidRPr="002A1FE6">
              <w:rPr>
                <w:rFonts w:ascii="Arial" w:hAnsi="Arial" w:cs="Arial"/>
                <w:i/>
                <w:iCs/>
                <w:sz w:val="20"/>
                <w:szCs w:val="20"/>
              </w:rPr>
              <w:t>Enterobacter</w:t>
            </w:r>
            <w:r w:rsidR="00A03192" w:rsidRPr="002A1FE6">
              <w:rPr>
                <w:rFonts w:ascii="Arial" w:hAnsi="Arial" w:cs="Arial"/>
                <w:i/>
                <w:iCs/>
                <w:sz w:val="20"/>
                <w:szCs w:val="20"/>
              </w:rPr>
              <w:t xml:space="preserve"> </w:t>
            </w:r>
            <w:r w:rsidR="001F4F29" w:rsidRPr="002A1FE6">
              <w:rPr>
                <w:rFonts w:ascii="Arial" w:hAnsi="Arial" w:cs="Arial"/>
                <w:i/>
                <w:iCs/>
                <w:sz w:val="20"/>
                <w:szCs w:val="20"/>
              </w:rPr>
              <w:t>cloacae (</w:t>
            </w:r>
            <w:r w:rsidR="00A03192" w:rsidRPr="002A1FE6">
              <w:rPr>
                <w:rFonts w:ascii="Arial" w:hAnsi="Arial" w:cs="Arial"/>
                <w:i/>
                <w:iCs/>
                <w:sz w:val="20"/>
                <w:szCs w:val="20"/>
              </w:rPr>
              <w:t>n=1)</w:t>
            </w:r>
          </w:p>
        </w:tc>
        <w:tc>
          <w:tcPr>
            <w:tcW w:w="1701" w:type="dxa"/>
            <w:tcBorders>
              <w:bottom w:val="single" w:sz="12" w:space="0" w:color="000000"/>
            </w:tcBorders>
          </w:tcPr>
          <w:p w14:paraId="46AA5275" w14:textId="2C8C1DAE"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Borders>
              <w:bottom w:val="single" w:sz="12" w:space="0" w:color="000000"/>
            </w:tcBorders>
          </w:tcPr>
          <w:p w14:paraId="0F2A1F29" w14:textId="19079922"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Borders>
              <w:bottom w:val="single" w:sz="12" w:space="0" w:color="000000"/>
            </w:tcBorders>
          </w:tcPr>
          <w:p w14:paraId="03FE8871" w14:textId="06221A2A"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bl>
    <w:p w14:paraId="726D4D22" w14:textId="52E1B5F1" w:rsidR="00E6775C" w:rsidRDefault="00E6775C" w:rsidP="00441B6F">
      <w:pPr>
        <w:pStyle w:val="Body"/>
        <w:spacing w:after="0"/>
        <w:rPr>
          <w:rFonts w:ascii="Arial" w:hAnsi="Arial" w:cs="Arial"/>
        </w:rPr>
      </w:pPr>
    </w:p>
    <w:p w14:paraId="4E9C3514" w14:textId="77777777" w:rsidR="00863BD3" w:rsidRPr="00FB3A86" w:rsidRDefault="00863BD3" w:rsidP="00441B6F">
      <w:pPr>
        <w:pStyle w:val="Body"/>
        <w:spacing w:after="0"/>
        <w:rPr>
          <w:rFonts w:ascii="Arial" w:hAnsi="Arial" w:cs="Arial"/>
        </w:rPr>
      </w:pPr>
    </w:p>
    <w:p w14:paraId="3E33C4CC" w14:textId="0E91C6B4" w:rsidR="00E053D0" w:rsidRDefault="00E6775C" w:rsidP="00441B6F">
      <w:pPr>
        <w:pStyle w:val="Body"/>
        <w:spacing w:after="0"/>
        <w:rPr>
          <w:rFonts w:ascii="Arial" w:hAnsi="Arial" w:cs="Arial"/>
          <w:b/>
          <w:bCs/>
          <w:sz w:val="24"/>
          <w:szCs w:val="24"/>
        </w:rPr>
      </w:pPr>
      <w:r w:rsidRPr="005D7002">
        <w:rPr>
          <w:rFonts w:ascii="Arial" w:hAnsi="Arial" w:cs="Arial"/>
          <w:b/>
          <w:bCs/>
          <w:sz w:val="24"/>
          <w:szCs w:val="24"/>
        </w:rPr>
        <w:t>3.2 Discussion</w:t>
      </w:r>
    </w:p>
    <w:p w14:paraId="260C28DB" w14:textId="5F464971" w:rsidR="0078182D" w:rsidRDefault="0078182D" w:rsidP="0078182D">
      <w:pPr>
        <w:pStyle w:val="Body"/>
        <w:spacing w:after="0"/>
        <w:rPr>
          <w:rFonts w:ascii="Arial" w:hAnsi="Arial" w:cs="Arial"/>
          <w:lang w:val="en-GB"/>
        </w:rPr>
      </w:pPr>
    </w:p>
    <w:p w14:paraId="630C81B7" w14:textId="5ADE1B4D" w:rsidR="00781A13" w:rsidRPr="00781A13" w:rsidRDefault="00781A13" w:rsidP="00781A13">
      <w:pPr>
        <w:pStyle w:val="Body"/>
        <w:rPr>
          <w:rFonts w:ascii="Arial" w:hAnsi="Arial" w:cs="Arial"/>
          <w:lang w:val="en-GB"/>
        </w:rPr>
      </w:pPr>
      <w:r w:rsidRPr="00781A13">
        <w:rPr>
          <w:rFonts w:ascii="Arial" w:hAnsi="Arial" w:cs="Arial"/>
          <w:lang w:val="en-GB"/>
        </w:rPr>
        <w:t xml:space="preserve">This study presents several limitations that should be acknowledged. Firstly, the relatively small sample </w:t>
      </w:r>
      <w:r w:rsidRPr="00BA145B">
        <w:rPr>
          <w:rFonts w:ascii="Arial" w:hAnsi="Arial" w:cs="Arial"/>
          <w:lang w:val="en-GB"/>
        </w:rPr>
        <w:t>size and</w:t>
      </w:r>
      <w:r w:rsidRPr="00781A13">
        <w:rPr>
          <w:rFonts w:ascii="Arial" w:hAnsi="Arial" w:cs="Arial"/>
          <w:lang w:val="en-GB"/>
        </w:rPr>
        <w:t xml:space="preserve"> the low number of Enterobacteriaceae </w:t>
      </w:r>
      <w:r w:rsidRPr="00BA145B">
        <w:rPr>
          <w:rFonts w:ascii="Arial" w:hAnsi="Arial" w:cs="Arial"/>
          <w:lang w:val="en-GB"/>
        </w:rPr>
        <w:t>isolates may</w:t>
      </w:r>
      <w:r w:rsidRPr="00781A13">
        <w:rPr>
          <w:rFonts w:ascii="Arial" w:hAnsi="Arial" w:cs="Arial"/>
          <w:lang w:val="en-GB"/>
        </w:rPr>
        <w:t xml:space="preserve"> limit the generalisability of the findings and preclude robust statistical analysis. The low prevalence of ESBL-producing strains in the oral cavity restricts broader epidemiological conclusions regarding their dissemination in the population.</w:t>
      </w:r>
      <w:r w:rsidRPr="00BA145B">
        <w:rPr>
          <w:rFonts w:ascii="Arial" w:hAnsi="Arial" w:cs="Arial"/>
          <w:lang w:val="en-GB"/>
        </w:rPr>
        <w:t xml:space="preserve"> </w:t>
      </w:r>
      <w:r w:rsidRPr="00781A13">
        <w:rPr>
          <w:rFonts w:ascii="Arial" w:hAnsi="Arial" w:cs="Arial"/>
          <w:lang w:val="en-GB"/>
        </w:rPr>
        <w:t xml:space="preserve">Secondly, only three </w:t>
      </w:r>
      <w:proofErr w:type="spellStart"/>
      <w:r w:rsidRPr="00781A13">
        <w:rPr>
          <w:rFonts w:ascii="Arial" w:hAnsi="Arial" w:cs="Arial"/>
          <w:lang w:val="en-GB"/>
        </w:rPr>
        <w:t>blaCTX</w:t>
      </w:r>
      <w:proofErr w:type="spellEnd"/>
      <w:r w:rsidRPr="00781A13">
        <w:rPr>
          <w:rFonts w:ascii="Arial" w:hAnsi="Arial" w:cs="Arial"/>
          <w:lang w:val="en-GB"/>
        </w:rPr>
        <w:t xml:space="preserve">-M gene groups (CTX-M-2, CTX-M-8, and CTX-M-9) were targeted by PCR, which may have led to an underestimation of the full diversity of ESBL genes present. </w:t>
      </w:r>
      <w:r w:rsidR="005802E4" w:rsidRPr="005802E4">
        <w:rPr>
          <w:rFonts w:ascii="Arial" w:hAnsi="Arial" w:cs="Arial"/>
          <w:lang w:val="en-GB"/>
        </w:rPr>
        <w:t>Expanded molecular screening, whole-genome sequencing and the inclusion of a larger, more diverse sample population are needed to comprehensively assess the oral reservoir of antimicrobial resistance in Côte d'Ivoire</w:t>
      </w:r>
      <w:r w:rsidRPr="00781A13">
        <w:rPr>
          <w:rFonts w:ascii="Arial" w:hAnsi="Arial" w:cs="Arial"/>
          <w:lang w:val="en-GB"/>
        </w:rPr>
        <w:t>.</w:t>
      </w:r>
    </w:p>
    <w:p w14:paraId="595C3BD5" w14:textId="53D3E4C1" w:rsidR="00952688" w:rsidRPr="00952688" w:rsidRDefault="00952688" w:rsidP="00952688">
      <w:pPr>
        <w:pStyle w:val="Body"/>
        <w:rPr>
          <w:rFonts w:ascii="Arial" w:hAnsi="Arial" w:cs="Arial"/>
          <w:lang w:val="en-GB"/>
        </w:rPr>
      </w:pPr>
      <w:r w:rsidRPr="00781A13">
        <w:rPr>
          <w:rFonts w:ascii="Arial" w:hAnsi="Arial" w:cs="Arial"/>
          <w:lang w:val="en-GB"/>
        </w:rPr>
        <w:t xml:space="preserve">Several epidemiological studies have highlighted a higher prevalence of dental infections among females, although findings across regions and studies remain variable. For example, </w:t>
      </w:r>
      <w:r w:rsidR="005802E4">
        <w:rPr>
          <w:rFonts w:ascii="Arial" w:hAnsi="Arial" w:cs="Arial"/>
          <w:lang w:val="en-GB"/>
        </w:rPr>
        <w:fldChar w:fldCharType="begin"/>
      </w:r>
      <w:r w:rsidR="005F41A2">
        <w:rPr>
          <w:rFonts w:ascii="Arial" w:hAnsi="Arial" w:cs="Arial"/>
          <w:lang w:val="en-GB"/>
        </w:rPr>
        <w:instrText xml:space="preserve"> ADDIN ZOTERO_ITEM CSL_CITATION {"citationID":"wSj2sYVS","properties":{"formattedCitation":"(Ba et al., 2018)","plainCitation":"(Ba et al., 2018)","noteIndex":0},"citationItems":[{"id":395,"uris":["http://zotero.org/users/local/OIj6EcLj/items/BGTS7N7B"],"itemData":{"id":395,"type":"article-journal","container-title":"African Journal of Dentistry &amp; Implantology","issue":"11","source":"Google Scholar","title":"CONTRIBUTION À L’ÉTUDE DES MALADIES PARODONTALES EN OMNI PRATIQUE: À PROPOS DE 153 CAS","title-short":"CONTRIBUTION À L’ÉTUDE DES MALADIES PARODONTALES EN OMNI PRATIQUE","URL":"https://revues.imist.ma/index.php/AJDI/article/view/15775","author":[{"family":"Ba","given":"Mamadou"},{"family":"Diawara","given":"Ousseynou"},{"family":"Niang","given":"Amsala"},{"family":"Koita","given":"H."},{"family":"Touré","given":"A."},{"family":"Kassambara","given":"A."},{"family":"Guèye","given":"S."},{"family":"Coulibaly","given":"A."},{"family":"Traore","given":"H."},{"family":"Diallo","given":"B."}],"accessed":{"date-parts":[["2025",5,30]]},"issued":{"date-parts":[["2018"]]}}}],"schema":"https://github.com/citation-style-language/schema/raw/master/csl-citation.json"} </w:instrText>
      </w:r>
      <w:r w:rsidR="005802E4">
        <w:rPr>
          <w:rFonts w:ascii="Arial" w:hAnsi="Arial" w:cs="Arial"/>
          <w:lang w:val="en-GB"/>
        </w:rPr>
        <w:fldChar w:fldCharType="separate"/>
      </w:r>
      <w:r w:rsidR="005F41A2" w:rsidRPr="005F41A2">
        <w:rPr>
          <w:rFonts w:ascii="Arial" w:hAnsi="Arial" w:cs="Arial"/>
        </w:rPr>
        <w:t>(Ba et al., 2018)</w:t>
      </w:r>
      <w:r w:rsidR="005802E4">
        <w:rPr>
          <w:rFonts w:ascii="Arial" w:hAnsi="Arial" w:cs="Arial"/>
          <w:lang w:val="en-GB"/>
        </w:rPr>
        <w:fldChar w:fldCharType="end"/>
      </w:r>
      <w:r w:rsidRPr="00781A13">
        <w:rPr>
          <w:rFonts w:ascii="Arial" w:hAnsi="Arial" w:cs="Arial"/>
          <w:lang w:val="en-GB"/>
        </w:rPr>
        <w:t xml:space="preserve"> reported a female predominance in oral infections, whereas </w:t>
      </w:r>
      <w:r w:rsidR="00F37A7A">
        <w:rPr>
          <w:rFonts w:ascii="Arial" w:hAnsi="Arial" w:cs="Arial"/>
          <w:lang w:val="en-GB"/>
        </w:rPr>
        <w:fldChar w:fldCharType="begin"/>
      </w:r>
      <w:r w:rsidR="00F37A7A">
        <w:rPr>
          <w:rFonts w:ascii="Arial" w:hAnsi="Arial" w:cs="Arial"/>
          <w:lang w:val="en-GB"/>
        </w:rPr>
        <w:instrText xml:space="preserve"> ADDIN ZOTERO_ITEM CSL_CITATION {"citationID":"EqCSE4V6","properties":{"formattedCitation":"(Akpata, 2004)","plainCitation":"(Akpata, 2004)","noteIndex":0},"citationItems":[{"id":396,"uris":["http://zotero.org/users/local/OIj6EcLj/items/IUNGLY4W"],"itemData":{"id":396,"type":"article-journal","abstract":"Most oral health surveys in Nigeria have been sporadic and based on convenience samples. Periodontal disease with deep pocketing occurs in Nigerians at an early age, the prevalence being 15-58% in those aged above 15 years. Caries experience has been reported to vary between very low and low in most studies, but is moderate in some urban communities. Although mean DMFT is below 4 in most communities, the restorative index is extremely low, most carious teeth remaining unrestored. The higher caries prevalence in second than first permanent molars that has been reported is most likely due to a change from traditional to Western-type diet. Other oral health problems include malocclusion, truamatised teeth, dental fluorosis, and oral tumours. The scanty oral health services available in the country are mainly in urban areas. There is, therefore, a need to develop sustainable strategies for national preventive and therapeutic oral health services in Nigeria.","container-title":"International Dental Journal","DOI":"10.1111/j.1875-595x.2004.tb00012.x","ISSN":"0020-6539","issue":"6 Suppl 1","journalAbbreviation":"Int Dent J","language":"eng","note":"PMID: 15631097","page":"361-366","source":"PubMed","title":"Oral health in Nigeria","volume":"54","author":[{"family":"Akpata","given":"E. S."}],"issued":{"date-parts":[["2004",12]]}}}],"schema":"https://github.com/citation-style-language/schema/raw/master/csl-citation.json"} </w:instrText>
      </w:r>
      <w:r w:rsidR="00F37A7A">
        <w:rPr>
          <w:rFonts w:ascii="Arial" w:hAnsi="Arial" w:cs="Arial"/>
          <w:lang w:val="en-GB"/>
        </w:rPr>
        <w:fldChar w:fldCharType="separate"/>
      </w:r>
      <w:r w:rsidR="00F37A7A" w:rsidRPr="00F37A7A">
        <w:rPr>
          <w:rFonts w:ascii="Arial" w:hAnsi="Arial" w:cs="Arial"/>
        </w:rPr>
        <w:t>(Akpata, 2004)</w:t>
      </w:r>
      <w:r w:rsidR="00F37A7A">
        <w:rPr>
          <w:rFonts w:ascii="Arial" w:hAnsi="Arial" w:cs="Arial"/>
          <w:lang w:val="en-GB"/>
        </w:rPr>
        <w:fldChar w:fldCharType="end"/>
      </w:r>
      <w:r w:rsidRPr="00781A13">
        <w:rPr>
          <w:rFonts w:ascii="Arial" w:hAnsi="Arial" w:cs="Arial"/>
          <w:lang w:val="en-GB"/>
        </w:rPr>
        <w:t xml:space="preserve"> observed no significant gender disparity in </w:t>
      </w:r>
      <w:proofErr w:type="spellStart"/>
      <w:r w:rsidRPr="00781A13">
        <w:rPr>
          <w:rFonts w:ascii="Arial" w:hAnsi="Arial" w:cs="Arial"/>
          <w:lang w:val="en-GB"/>
        </w:rPr>
        <w:t>stomatological</w:t>
      </w:r>
      <w:proofErr w:type="spellEnd"/>
      <w:r w:rsidRPr="00781A13">
        <w:rPr>
          <w:rFonts w:ascii="Arial" w:hAnsi="Arial" w:cs="Arial"/>
          <w:lang w:val="en-GB"/>
        </w:rPr>
        <w:t xml:space="preserve"> infection rates. Similar trends have been reported across sub-Saharan Africa, where women often show a higher burden of dental disease</w:t>
      </w:r>
      <w:r w:rsidR="00871ED8">
        <w:rPr>
          <w:rFonts w:ascii="Arial" w:hAnsi="Arial" w:cs="Arial"/>
          <w:lang w:val="en-GB"/>
        </w:rPr>
        <w:t xml:space="preserve"> </w:t>
      </w:r>
      <w:r w:rsidR="00871ED8">
        <w:rPr>
          <w:rFonts w:ascii="Arial" w:hAnsi="Arial" w:cs="Arial"/>
          <w:lang w:val="en-GB"/>
        </w:rPr>
        <w:fldChar w:fldCharType="begin"/>
      </w:r>
      <w:r w:rsidR="00871ED8">
        <w:rPr>
          <w:rFonts w:ascii="Arial" w:hAnsi="Arial" w:cs="Arial"/>
          <w:lang w:val="en-GB"/>
        </w:rPr>
        <w:instrText xml:space="preserve"> ADDIN ZOTERO_ITEM CSL_CITATION {"citationID":"2C7uhwms","properties":{"formattedCitation":"(Kutesa et al., 2015)","plainCitation":"(Kutesa et al., 2015)","noteIndex":0},"citationItems":[{"id":405,"uris":["http://zotero.org/users/local/OIj6EcLj/items/7GRMBZGL"],"itemData":{"id":405,"type":"article-journal","abstract":"OBJECTIVE: The aim was to determine the prevalence and factors associated with dental caries among adults and children in seven districts of Uganda.\nMETHODS: Participants aged 11-13 (n=1230) and 35-44 years (n=648) were randomly selected from urban and rural areas of Gulu, Soroti, Jinja, Masaka, Kabale, Kabarole and Hoima districts. They were examined by 4 trained and calibrated dentists for dental caries using Decayed, Missing and Filled teeth index as described by World Health Organisation.\nRESULTS: Overall mean DMFT score was 0.73 for children and 4.71 for adults. Generally, there was a higher mean DMFT score in the rural (2.19) compared to urban areas (1.97). In all the districts, except Hoima, there was a higher mean DMFT score of children in rural compared to urban. In adults, similar trend was mainly registered in Masaka, Hoima and Gulu districts. Most participants (79.9%, n=1309) occasionally ate sugared snacks. Overall, 95% (n=1795) of the participants cleaned their teeth with plastic tooth brushes (71.7%) and chewing sticks (8.3%).\nCONCLUSION: Although the severity of dental caries was low, the disease was widespread in the study population. A high proportion of participants reported consumption of sugared snacks and drinks, which calls for oral health education.","container-title":"African Health Sciences","DOI":"10.4314/ahs.v15i4.33","ISSN":"1729-0503","issue":"4","journalAbbreviation":"Afr Health Sci","language":"eng","note":"PMID: 26958035\nPMCID: PMC4765403","page":"1302-1307","source":"PubMed","title":"Prevalence and factors associated with dental caries among children and adults in selected districts in Uganda","volume":"15","author":[{"family":"Kutesa","given":"Annet"},{"family":"Kasangaki","given":"Arabat"},{"family":"Nkamba","given":"Moses"},{"family":"Muwazi","given":"Louis"},{"family":"Okullo","given":"Isaac"},{"family":"Rwenyonyi","given":"Charles Mugisha"}],"issued":{"date-parts":[["2015",12]]}}}],"schema":"https://github.com/citation-style-language/schema/raw/master/csl-citation.json"} </w:instrText>
      </w:r>
      <w:r w:rsidR="00871ED8">
        <w:rPr>
          <w:rFonts w:ascii="Arial" w:hAnsi="Arial" w:cs="Arial"/>
          <w:lang w:val="en-GB"/>
        </w:rPr>
        <w:fldChar w:fldCharType="separate"/>
      </w:r>
      <w:r w:rsidR="00871ED8" w:rsidRPr="00871ED8">
        <w:rPr>
          <w:rFonts w:ascii="Arial" w:hAnsi="Arial" w:cs="Arial"/>
        </w:rPr>
        <w:t>(Kutesa et al., 2015)</w:t>
      </w:r>
      <w:r w:rsidR="00871ED8">
        <w:rPr>
          <w:rFonts w:ascii="Arial" w:hAnsi="Arial" w:cs="Arial"/>
          <w:lang w:val="en-GB"/>
        </w:rPr>
        <w:fldChar w:fldCharType="end"/>
      </w:r>
      <w:r w:rsidRPr="00781A13">
        <w:rPr>
          <w:rFonts w:ascii="Arial" w:hAnsi="Arial" w:cs="Arial"/>
          <w:lang w:val="en-GB"/>
        </w:rPr>
        <w:t xml:space="preserve">. </w:t>
      </w:r>
      <w:r w:rsidRPr="00952688">
        <w:rPr>
          <w:rFonts w:ascii="Arial" w:hAnsi="Arial" w:cs="Arial"/>
          <w:lang w:val="en-GB"/>
        </w:rPr>
        <w:t xml:space="preserve">The increased susceptibility among women may be partially explained by hormonal fluctuations associated with menstruation, pregnancy, and menopause, which can modulate periodontal tissue vascularisation and inflammatory responses, increasing vulnerability to oral infections </w:t>
      </w:r>
      <w:r w:rsidR="00871ED8">
        <w:rPr>
          <w:rFonts w:ascii="Arial" w:hAnsi="Arial" w:cs="Arial"/>
          <w:lang w:val="en-GB"/>
        </w:rPr>
        <w:fldChar w:fldCharType="begin"/>
      </w:r>
      <w:r w:rsidR="00871ED8">
        <w:rPr>
          <w:rFonts w:ascii="Arial" w:hAnsi="Arial" w:cs="Arial"/>
          <w:lang w:val="en-GB"/>
        </w:rPr>
        <w:instrText xml:space="preserve"> ADDIN ZOTERO_ITEM CSL_CITATION {"citationID":"su6w1Gyr","properties":{"formattedCitation":"(G\\uc0\\u252{}rsoy et al., 2008; Tilakaratne et al., 2000)","plainCitation":"(Gürsoy et al., 2008; Tilakaratne et al., 2000)","noteIndex":0},"citationItems":[{"id":400,"uris":["http://zotero.org/users/local/OIj6EcLj/items/JQL96SDI"],"itemData":{"id":400,"type":"article-journal","abstract":"BACKGROUND AND AIM: Pregnancy has been presented to increase susceptibility to gingival inflammation. It is unclear whether pregnancy gingivitis exposes or proceeds to periodontitis. We examined longitudinally the severity of periodontal changes during pregnancy and post-partum, and compared the findings with an age-matched group of non-pregnant women.\nMATERIAL AND METHODS: Thirty generally healthy, non-smoking women at an early phase of their pregnancy and 24 non-pregnant women as controls were recruited. The pregnant group was examined three times during pregnancy and twice during post-partum, and the non-pregnant group three times, once per subsequent month. At each visit, visible plaque index (VPI), bleeding on probing (BOP), probing pocket depth (PPD), and clinical attachment level (CAL) were measured from six sites per tooth.\nRESULTS: In the pregnant group, BOP and PPD increased simultaneously without relation to plaque between the first and second trimesters, and thereafter decreased during subsequent visits. No changes were detected in CAL during the study period. In the non-pregnant group, BOP stayed invariable during the follow-up and correlated with the amount of plaque. Neither periodontal pocket formation nor significant changes in attachment levels were observed.\nCONCLUSION: Based on this study, changes in clinical parameters during pregnancy are reversible, indicating that pregnancy gingivitis does not predispose or proceed to periodontitis.","container-title":"Journal of Clinical Periodontology","DOI":"10.1111/j.1600-051X.2008.01236.x","ISSN":"1600-051X","issue":"7","journalAbbreviation":"J Clin Periodontol","language":"eng","note":"PMID: 18430046","page":"576-583","source":"PubMed","title":"Clinical changes in periodontium during pregnancy and post-partum","volume":"35","author":[{"family":"Gürsoy","given":"Mervi"},{"family":"Pajukanta","given":"Riitta"},{"family":"Sorsa","given":"Timo"},{"family":"Könönen","given":"Eija"}],"issued":{"date-parts":[["2008",7]]}}},{"id":416,"uris":["http://zotero.org/users/local/OIj6EcLj/items/WKRRRKCP"],"itemData":{"id":416,"type":"article-journal","abstract":"OBJECTIVES: The aim of this investigation was to study the effects of pregnancy on the periodontium, in a rural population of Sri-Lankan women.\nMETHODS: The study group consisted of 47 pregnant women and 47 non-pregnant women who served as matched controls. All subjects were examined for plaque (plaque index: PLI), gingival condition (gingival index: GI) and loss of periodontal attachment (LA) levels, 4 x during the study, at 3-monthly intervals.\nRESULTS: Despite similar scores for plaque levels in both pregnant and non-pregnant women, the GI of pregnant women was significantly increased, during the 1st and 2nd trimesters compared to the controls (p&lt;0.01, 2-way ANOVA). During the 3rd trimester, GI was further increased (p&lt;0.001), but dropped at 3 months post-partum. Values for LA did not show significant differences from that of controls, during any of the stages of pregnancy.\nCONCLUSIONS: The results of this study show that pregnancy had an effect only on the gingivae and not on periodontal attachment levels. The effects of oestrogen and progesterone could give rise to a more florid response to the irritant effects of plaque, resulting in severe gingivitis.","container-title":"Journal of Clinical Periodontology","DOI":"10.1034/j.1600-051x.2000.027010787.x","ISSN":"0303-6979","issue":"10","journalAbbreviation":"J Clin Periodontol","language":"eng","note":"PMID: 11034128","page":"787-792","source":"PubMed","title":"Periodontal disease status during pregnancy and 3 months post-partum, in a rural population of Sri-Lankan women","volume":"27","author":[{"family":"Tilakaratne","given":"A."},{"family":"Soory","given":"M."},{"family":"Ranasinghe","given":"A. W."},{"family":"Corea","given":"S. M."},{"family":"Ekanayake","given":"S. L."},{"family":"Silva","given":"M.","non-dropping-particle":"de"}],"issued":{"date-parts":[["2000",10]]}}}],"schema":"https://github.com/citation-style-language/schema/raw/master/csl-citation.json"} </w:instrText>
      </w:r>
      <w:r w:rsidR="00871ED8">
        <w:rPr>
          <w:rFonts w:ascii="Arial" w:hAnsi="Arial" w:cs="Arial"/>
          <w:lang w:val="en-GB"/>
        </w:rPr>
        <w:fldChar w:fldCharType="separate"/>
      </w:r>
      <w:r w:rsidR="00871ED8" w:rsidRPr="00871ED8">
        <w:rPr>
          <w:rFonts w:ascii="Arial" w:hAnsi="Arial" w:cs="Arial"/>
          <w:szCs w:val="24"/>
        </w:rPr>
        <w:t>(Gürsoy et al., 2008; Tilakaratne et al., 2000)</w:t>
      </w:r>
      <w:r w:rsidR="00871ED8">
        <w:rPr>
          <w:rFonts w:ascii="Arial" w:hAnsi="Arial" w:cs="Arial"/>
          <w:lang w:val="en-GB"/>
        </w:rPr>
        <w:fldChar w:fldCharType="end"/>
      </w:r>
      <w:r w:rsidRPr="00952688">
        <w:rPr>
          <w:rFonts w:ascii="Arial" w:hAnsi="Arial" w:cs="Arial"/>
          <w:lang w:val="en-GB"/>
        </w:rPr>
        <w:t xml:space="preserve">. Furthermore, in many </w:t>
      </w:r>
      <w:r w:rsidRPr="00952688">
        <w:rPr>
          <w:rFonts w:ascii="Arial" w:hAnsi="Arial" w:cs="Arial"/>
          <w:lang w:val="en-GB"/>
        </w:rPr>
        <w:lastRenderedPageBreak/>
        <w:t xml:space="preserve">low-resource African settings, women often face socio-economic disadvantages that limit their access to preventive care, nutritious diets, and effective oral hygiene practices </w:t>
      </w:r>
      <w:r w:rsidR="00871ED8">
        <w:rPr>
          <w:rFonts w:ascii="Arial" w:hAnsi="Arial" w:cs="Arial"/>
          <w:lang w:val="en-GB"/>
        </w:rPr>
        <w:fldChar w:fldCharType="begin"/>
      </w:r>
      <w:r w:rsidR="00871ED8">
        <w:rPr>
          <w:rFonts w:ascii="Arial" w:hAnsi="Arial" w:cs="Arial"/>
          <w:lang w:val="en-GB"/>
        </w:rPr>
        <w:instrText xml:space="preserve"> ADDIN ZOTERO_ITEM CSL_CITATION {"citationID":"zCD0rPLb","properties":{"formattedCitation":"(Ayo-Yusuf, 2008)","plainCitation":"(Ayo-Yusuf, 2008)","noteIndex":0},"citationItems":[{"id":408,"uris":["http://zotero.org/users/local/OIj6EcLj/items/I3AJ9VBP"],"itemData":{"id":408,"type":"article-journal","source":"Google Scholar","title":"Oral health promotion and tobacco use prevention in South Africa: towards an integrated educational approach","title-short":"Oral health promotion and tobacco use prevention in South Africa","URL":"https://cris.maastrichtuniversity.nl/files/1273177/guid-0b9f0e35-c3f5-4dc6-863b-5ac4252bd3ba-ASSET2.0.pdf","author":[{"family":"Ayo-Yusuf","given":"Olalekan Abdulwahab"}],"accessed":{"date-parts":[["2025",5,30]]},"issued":{"date-parts":[["2008"]]}}}],"schema":"https://github.com/citation-style-language/schema/raw/master/csl-citation.json"} </w:instrText>
      </w:r>
      <w:r w:rsidR="00871ED8">
        <w:rPr>
          <w:rFonts w:ascii="Arial" w:hAnsi="Arial" w:cs="Arial"/>
          <w:lang w:val="en-GB"/>
        </w:rPr>
        <w:fldChar w:fldCharType="separate"/>
      </w:r>
      <w:r w:rsidR="00871ED8" w:rsidRPr="00871ED8">
        <w:rPr>
          <w:rFonts w:ascii="Arial" w:hAnsi="Arial" w:cs="Arial"/>
        </w:rPr>
        <w:t>(Ayo-Yusuf, 2008)</w:t>
      </w:r>
      <w:r w:rsidR="00871ED8">
        <w:rPr>
          <w:rFonts w:ascii="Arial" w:hAnsi="Arial" w:cs="Arial"/>
          <w:lang w:val="en-GB"/>
        </w:rPr>
        <w:fldChar w:fldCharType="end"/>
      </w:r>
      <w:r w:rsidRPr="00952688">
        <w:rPr>
          <w:rFonts w:ascii="Arial" w:hAnsi="Arial" w:cs="Arial"/>
          <w:lang w:val="en-GB"/>
        </w:rPr>
        <w:t>.</w:t>
      </w:r>
    </w:p>
    <w:p w14:paraId="42704BAC" w14:textId="4570F03A" w:rsidR="00952688" w:rsidRPr="00952688" w:rsidRDefault="00952688" w:rsidP="00952688">
      <w:pPr>
        <w:pStyle w:val="Body"/>
        <w:spacing w:after="0"/>
        <w:rPr>
          <w:rFonts w:ascii="Arial" w:hAnsi="Arial" w:cs="Arial"/>
          <w:lang w:val="en-GB"/>
        </w:rPr>
      </w:pPr>
      <w:r w:rsidRPr="00952688">
        <w:rPr>
          <w:rFonts w:ascii="Arial" w:hAnsi="Arial" w:cs="Arial"/>
          <w:lang w:val="en-GB"/>
        </w:rPr>
        <w:t xml:space="preserve">Age has also been identified as a contributing factor in dental infection patterns. In our study, infection rates were higher among adults aged 35–60 years. This age group often accumulates risk due to prolonged exposure to cariogenic factors and limited access to regular dental care. Severe infections such as periapical abscesses, advanced periodontitis, or facial cellulitis frequently result from untreated carious lesions, a scenario commonly observed in adult populations </w:t>
      </w:r>
      <w:r w:rsidR="00871ED8">
        <w:rPr>
          <w:rFonts w:ascii="Arial" w:hAnsi="Arial" w:cs="Arial"/>
          <w:lang w:val="en-GB"/>
        </w:rPr>
        <w:fldChar w:fldCharType="begin"/>
      </w:r>
      <w:r w:rsidR="00871ED8">
        <w:rPr>
          <w:rFonts w:ascii="Arial" w:hAnsi="Arial" w:cs="Arial"/>
          <w:lang w:val="en-GB"/>
        </w:rPr>
        <w:instrText xml:space="preserve"> ADDIN ZOTERO_ITEM CSL_CITATION {"citationID":"cjk7wP1D","properties":{"formattedCitation":"(Kikwilu et al., 2008)","plainCitation":"(Kikwilu et al., 2008)","noteIndex":0},"citationItems":[{"id":402,"uris":["http://zotero.org/users/local/OIj6EcLj/items/HXGLH5QQ"],"itemData":{"id":402,"type":"article-journal","abstract":"BACKGROUND: Oral pain has been the major cause of the attendances in the dental clinics in Tanzania. Some patients postpone seeing the dentist for as long as two to five days. This study determines the prevalence of oral pain and barriers to use of emergency oral care in Tanzania.\nMETHODS: Questionnaire data were collected from 1,759 adult respondents aged 18 years and above. The study area covered six urban and eight rural study clusters, which had been selected using the WHO Pathfinder methodology. Chi-square tests and logistic regression analyses were performed to identify associations.\nRESULTS: Forty two percent of the respondents had utilized the oral health care facilities sometimes in their lifetime. About 59% of the respondents revealed that they had suffered from oral pain and/or discomfort within the twelve months that preceded the study, but only 26.5% of these had sought treatment from oral health care facilities. The reasons for not seeking emergency care were: lack of money to pay for treatment (27.9%); self medication (17.6%); respondents thinking that pain would disappear with time (15.7%); and lack of money to pay for transport to the dental clinic (15.0%). Older adults were more likely to report that they had experienced oral pain during the last 12 months than the younger adults (OR = 1.57, CI 1.07-1.57, P &lt; 0.001). Respondents from rural areas were more likely report dental clinics far from home (OR = 5.31, CI = 2.09-13.54, P &lt; 0.001); self medication at home (OR = 3.65, CI = 2.25-5.94, P &lt; 0.001); and being treated by traditional healer (OR = 5.31, CI = 2.25-12.49, P &lt; 0.001) as reasons for not seeking emergency care from the oral health care facilities than their counterparts from urban areas.\nCONCLUSION: Oral pain and discomfort were prevalent among adult Tanzanians. Only a quarter of those who experienced oral pain or discomfort sought emergency oral care from oral health care facilities. Self medication was used as an alternative to using oral care facilities mainly by rural residents. Establishing oral care facilities in rural areas is recommended.","container-title":"BMC oral health","DOI":"10.1186/1472-6831-8-28","ISSN":"1472-6831","journalAbbreviation":"BMC Oral Health","language":"eng","note":"PMID: 18822180\nPMCID: PMC2564914","page":"28","source":"PubMed","title":"Prevalence of oral pain and barriers to use of emergency oral care facilities among adult Tanzanians","volume":"8","author":[{"family":"Kikwilu","given":"Emil Namakuka"},{"family":"Masalu","given":"Joyce Rose"},{"family":"Kahabuka","given":"Febronia Kokulengya"},{"family":"Senkoro","given":"Ahadieli Raphael"}],"issued":{"date-parts":[["2008",9,29]]}}}],"schema":"https://github.com/citation-style-language/schema/raw/master/csl-citation.json"} </w:instrText>
      </w:r>
      <w:r w:rsidR="00871ED8">
        <w:rPr>
          <w:rFonts w:ascii="Arial" w:hAnsi="Arial" w:cs="Arial"/>
          <w:lang w:val="en-GB"/>
        </w:rPr>
        <w:fldChar w:fldCharType="separate"/>
      </w:r>
      <w:r w:rsidR="00871ED8" w:rsidRPr="00871ED8">
        <w:rPr>
          <w:rFonts w:ascii="Arial" w:hAnsi="Arial" w:cs="Arial"/>
        </w:rPr>
        <w:t>(Kikwilu et al., 2008)</w:t>
      </w:r>
      <w:r w:rsidR="00871ED8">
        <w:rPr>
          <w:rFonts w:ascii="Arial" w:hAnsi="Arial" w:cs="Arial"/>
          <w:lang w:val="en-GB"/>
        </w:rPr>
        <w:fldChar w:fldCharType="end"/>
      </w:r>
      <w:r w:rsidRPr="00952688">
        <w:rPr>
          <w:rFonts w:ascii="Arial" w:hAnsi="Arial" w:cs="Arial"/>
          <w:lang w:val="en-GB"/>
        </w:rPr>
        <w:t>.</w:t>
      </w:r>
    </w:p>
    <w:p w14:paraId="6913D189" w14:textId="0EF02CE4" w:rsidR="00952688" w:rsidRPr="00952688" w:rsidRDefault="00952688" w:rsidP="00952688">
      <w:pPr>
        <w:pStyle w:val="Body"/>
        <w:spacing w:after="0"/>
        <w:rPr>
          <w:rFonts w:ascii="Arial" w:hAnsi="Arial" w:cs="Arial"/>
          <w:lang w:val="en-GB"/>
        </w:rPr>
      </w:pPr>
      <w:r w:rsidRPr="00952688">
        <w:rPr>
          <w:rFonts w:ascii="Arial" w:hAnsi="Arial" w:cs="Arial"/>
          <w:lang w:val="en-GB"/>
        </w:rPr>
        <w:t>Additionally, self-medication and reliance on traditional remedies are widespread in African contexts, especially among young adults, contributing to delayed consultations and progression to advanced infectious complications</w:t>
      </w:r>
      <w:r w:rsidR="00871ED8">
        <w:rPr>
          <w:rFonts w:ascii="Arial" w:hAnsi="Arial" w:cs="Arial"/>
          <w:lang w:val="en-GB"/>
        </w:rPr>
        <w:fldChar w:fldCharType="begin"/>
      </w:r>
      <w:r w:rsidR="00871ED8">
        <w:rPr>
          <w:rFonts w:ascii="Arial" w:hAnsi="Arial" w:cs="Arial"/>
          <w:lang w:val="en-GB"/>
        </w:rPr>
        <w:instrText xml:space="preserve"> ADDIN ZOTERO_ITEM CSL_CITATION {"citationID":"3JXJdTFm","properties":{"formattedCitation":"(Kabor\\uc0\\u233{} et al., 2016)","plainCitation":"(Kaboré et al., 2016)","noteIndex":0},"citationItems":[{"id":369,"uris":["http://zotero.org/users/local/OIj6EcLj/items/TSH8GYJH"],"itemData":{"id":369,"type":"article-journal","container-title":"Médecine Buccale Chirurgie Buccale","issue":"4","note":"publisher: EDP Sciences","page":"277–284","source":"Google Scholar","title":"Automédication au cours des affections bucco-dentaires à Ouagadougou, Burkina Faso","volume":"22","author":[{"family":"Kaboré","given":"Wendpoulomdé AD"},{"family":"Ouédraogo","given":"Carole DW"},{"family":"Konaté","given":"Ali"},{"family":"Traoré","given":"Rasmata G."},{"family":"Chevalier","given":"Valérie"},{"family":"Boisramé","given":"Sylvie"},{"family":"Barro","given":"Nicolas"},{"family":"Sangaré","given":"Lassana"}],"issued":{"date-parts":[["2016"]]}}}],"schema":"https://github.com/citation-style-language/schema/raw/master/csl-citation.json"} </w:instrText>
      </w:r>
      <w:r w:rsidR="00871ED8">
        <w:rPr>
          <w:rFonts w:ascii="Arial" w:hAnsi="Arial" w:cs="Arial"/>
          <w:lang w:val="en-GB"/>
        </w:rPr>
        <w:fldChar w:fldCharType="separate"/>
      </w:r>
      <w:r w:rsidR="00871ED8" w:rsidRPr="00871ED8">
        <w:rPr>
          <w:rFonts w:ascii="Arial" w:hAnsi="Arial" w:cs="Arial"/>
          <w:szCs w:val="24"/>
        </w:rPr>
        <w:t>(Kaboré et al., 2016)</w:t>
      </w:r>
      <w:r w:rsidR="00871ED8">
        <w:rPr>
          <w:rFonts w:ascii="Arial" w:hAnsi="Arial" w:cs="Arial"/>
          <w:lang w:val="en-GB"/>
        </w:rPr>
        <w:fldChar w:fldCharType="end"/>
      </w:r>
      <w:r w:rsidRPr="00952688">
        <w:rPr>
          <w:rFonts w:ascii="Arial" w:hAnsi="Arial" w:cs="Arial"/>
          <w:lang w:val="en-GB"/>
        </w:rPr>
        <w:t>. These patterns underscore the need for targeted public health strategies addressing both gender-specific vulnerabilities and age-related risk accumulations in the prevention and management of oral infections.</w:t>
      </w:r>
    </w:p>
    <w:p w14:paraId="6ABB99B1" w14:textId="35FF730C" w:rsidR="0078182D" w:rsidRPr="00781A13" w:rsidRDefault="0078182D" w:rsidP="0078182D">
      <w:pPr>
        <w:pStyle w:val="Body"/>
        <w:spacing w:after="0"/>
        <w:rPr>
          <w:rFonts w:ascii="Arial" w:hAnsi="Arial" w:cs="Arial"/>
          <w:lang w:val="en-GB"/>
        </w:rPr>
      </w:pPr>
      <w:r w:rsidRPr="00781A13">
        <w:rPr>
          <w:rFonts w:ascii="Arial" w:hAnsi="Arial" w:cs="Arial"/>
          <w:lang w:val="en-GB"/>
        </w:rPr>
        <w:t xml:space="preserve">Limited financial means and unemployment may impede access to oral hygiene resources and dental care. </w:t>
      </w:r>
      <w:r w:rsidR="009007DF">
        <w:rPr>
          <w:rFonts w:ascii="Arial" w:hAnsi="Arial" w:cs="Arial"/>
          <w:lang w:val="en-GB"/>
        </w:rPr>
        <w:fldChar w:fldCharType="begin"/>
      </w:r>
      <w:r w:rsidR="009007DF">
        <w:rPr>
          <w:rFonts w:ascii="Arial" w:hAnsi="Arial" w:cs="Arial"/>
          <w:lang w:val="en-GB"/>
        </w:rPr>
        <w:instrText xml:space="preserve"> ADDIN ZOTERO_ITEM CSL_CITATION {"citationID":"KkCmtU7a","properties":{"formattedCitation":"(Sotunde et al., s.\\uc0\\u160{}d.)","plainCitation":"(Sotunde et al., s. d.)","noteIndex":0},"citationItems":[{"id":418,"uris":["http://zotero.org/users/local/OIj6EcLj/items/NXM3IMXD"],"itemData":{"id":418,"type":"article-journal","abstract":"Background\nDental caries is one of the most prevalent oral diseases affecting children and adult populations worldwide. The distribution and severity of dental caries vary in different parts of the world and within the same region or country. However, few studies have focused on the burden of caries among Nigerian adults. Therefore, this study aimed to determine the severity and pattern of dental caries among the adult population in the Kano metropolis.\n\nMethodology\nThis was a cross-sectional study in which adults were interviewed using an interviewer-administered semi-structured questionnaire. Examiners used the criteria set by the World Health Organization (WHO) for assessing Decayed, Missing, and Filled Teeth (DMFT). Field examinations were carried out under artificial light with a wooden spatula, dental mirror, and a Community Periodontal Index of Treatment Needs (CPITN) probe.\n\nResults\nRespondents’ mean (±standard deviation (SD) age was 41.2 (±12.78) years. The mean DMFT for the population was 3.58 (±3.53). One-in-three respondents (33.3%) had very low DMFT while one in five (20.0%) had very high DMFT. Severe dental caries as indicated by very high DMFT were more prevalent among women (22.2%), respondents with informal education (61.5%), and those who had a family history of dental caries (28.4%).\n\nConclusion\nThe severity of dental caries among the adult population in the Kano metropolis was low. Interventions should be focused on women, those with informal education and positive family history.","container-title":"Nigerian Medical Journal : Journal of the Nigeria Medical Association","ISSN":"0300-1652","issue":"2","journalAbbreviation":"Niger Med J","note":"PMID: 38898970\nPMCID: PMC11185813","page":"220-226","source":"PubMed Central","title":"Pattern and Severity of Dental Caries among Adults in an Urban Population in Northwest Nigeria","volume":"64","author":[{"family":"Sotunde","given":"Olawale A"},{"family":"Iliyasu","given":"Zubairu"},{"family":"Idon","given":"Paul I"},{"family":"Ikusika","given":"Oluwafeyisayo F"},{"family":"Ibrahim","given":"Usman M"},{"family":"Soyoye","given":"Olabimpe A"},{"family":"Alalade","given":"Olusegun"},{"family":"Igweagu","given":"Chibuzor E"}]}}],"schema":"https://github.com/citation-style-language/schema/raw/master/csl-citation.json"} </w:instrText>
      </w:r>
      <w:r w:rsidR="009007DF">
        <w:rPr>
          <w:rFonts w:ascii="Arial" w:hAnsi="Arial" w:cs="Arial"/>
          <w:lang w:val="en-GB"/>
        </w:rPr>
        <w:fldChar w:fldCharType="separate"/>
      </w:r>
      <w:r w:rsidR="009007DF" w:rsidRPr="009007DF">
        <w:rPr>
          <w:rFonts w:ascii="Arial" w:hAnsi="Arial" w:cs="Arial"/>
          <w:szCs w:val="24"/>
        </w:rPr>
        <w:t xml:space="preserve">(Sotunde et al., </w:t>
      </w:r>
      <w:r w:rsidR="009007DF">
        <w:rPr>
          <w:rFonts w:ascii="Arial" w:hAnsi="Arial" w:cs="Arial"/>
          <w:szCs w:val="24"/>
        </w:rPr>
        <w:t>2023)</w:t>
      </w:r>
      <w:r w:rsidR="009007DF">
        <w:rPr>
          <w:rFonts w:ascii="Arial" w:hAnsi="Arial" w:cs="Arial"/>
          <w:lang w:val="en-GB"/>
        </w:rPr>
        <w:fldChar w:fldCharType="end"/>
      </w:r>
      <w:r w:rsidR="009007DF">
        <w:rPr>
          <w:rFonts w:ascii="Arial" w:hAnsi="Arial" w:cs="Arial"/>
          <w:lang w:val="en-GB"/>
        </w:rPr>
        <w:t xml:space="preserve"> </w:t>
      </w:r>
      <w:r w:rsidRPr="00781A13">
        <w:rPr>
          <w:rFonts w:ascii="Arial" w:hAnsi="Arial" w:cs="Arial"/>
          <w:lang w:val="en-GB"/>
        </w:rPr>
        <w:t>previously associated low socioeconomic status with increased incidence of oral infections, reinforcing our findings where 40.54% of patients were unemployed.</w:t>
      </w:r>
      <w:r w:rsidR="00952688" w:rsidRPr="00781A13">
        <w:rPr>
          <w:rFonts w:ascii="Arial" w:hAnsi="Arial" w:cs="Arial"/>
          <w:lang w:val="en-GB"/>
        </w:rPr>
        <w:t xml:space="preserve"> </w:t>
      </w:r>
      <w:r w:rsidRPr="00781A13">
        <w:rPr>
          <w:rFonts w:ascii="Arial" w:hAnsi="Arial" w:cs="Arial"/>
          <w:lang w:val="en-GB"/>
        </w:rPr>
        <w:t>Pain was the most commonly reported symptom (100%), followed by swelling and suppuration</w:t>
      </w:r>
      <w:r w:rsidR="009007DF">
        <w:rPr>
          <w:rFonts w:ascii="Arial" w:hAnsi="Arial" w:cs="Arial"/>
          <w:lang w:val="en-GB"/>
        </w:rPr>
        <w:t xml:space="preserve"> </w:t>
      </w:r>
      <w:r w:rsidRPr="00781A13">
        <w:rPr>
          <w:rFonts w:ascii="Arial" w:hAnsi="Arial" w:cs="Arial"/>
          <w:lang w:val="en-GB"/>
        </w:rPr>
        <w:t xml:space="preserve">findings echoed in </w:t>
      </w:r>
      <w:r w:rsidR="009007DF">
        <w:rPr>
          <w:rFonts w:ascii="Arial" w:hAnsi="Arial" w:cs="Arial"/>
          <w:lang w:val="en-GB"/>
        </w:rPr>
        <w:fldChar w:fldCharType="begin"/>
      </w:r>
      <w:r w:rsidR="009007DF">
        <w:rPr>
          <w:rFonts w:ascii="Arial" w:hAnsi="Arial" w:cs="Arial"/>
          <w:lang w:val="en-GB"/>
        </w:rPr>
        <w:instrText xml:space="preserve"> ADDIN ZOTERO_ITEM CSL_CITATION {"citationID":"llPFo1pt","properties":{"formattedCitation":"(Kikwilu et al., 2008)","plainCitation":"(Kikwilu et al., 2008)","noteIndex":0},"citationItems":[{"id":402,"uris":["http://zotero.org/users/local/OIj6EcLj/items/HXGLH5QQ"],"itemData":{"id":402,"type":"article-journal","abstract":"BACKGROUND: Oral pain has been the major cause of the attendances in the dental clinics in Tanzania. Some patients postpone seeing the dentist for as long as two to five days. This study determines the prevalence of oral pain and barriers to use of emergency oral care in Tanzania.\nMETHODS: Questionnaire data were collected from 1,759 adult respondents aged 18 years and above. The study area covered six urban and eight rural study clusters, which had been selected using the WHO Pathfinder methodology. Chi-square tests and logistic regression analyses were performed to identify associations.\nRESULTS: Forty two percent of the respondents had utilized the oral health care facilities sometimes in their lifetime. About 59% of the respondents revealed that they had suffered from oral pain and/or discomfort within the twelve months that preceded the study, but only 26.5% of these had sought treatment from oral health care facilities. The reasons for not seeking emergency care were: lack of money to pay for treatment (27.9%); self medication (17.6%); respondents thinking that pain would disappear with time (15.7%); and lack of money to pay for transport to the dental clinic (15.0%). Older adults were more likely to report that they had experienced oral pain during the last 12 months than the younger adults (OR = 1.57, CI 1.07-1.57, P &lt; 0.001). Respondents from rural areas were more likely report dental clinics far from home (OR = 5.31, CI = 2.09-13.54, P &lt; 0.001); self medication at home (OR = 3.65, CI = 2.25-5.94, P &lt; 0.001); and being treated by traditional healer (OR = 5.31, CI = 2.25-12.49, P &lt; 0.001) as reasons for not seeking emergency care from the oral health care facilities than their counterparts from urban areas.\nCONCLUSION: Oral pain and discomfort were prevalent among adult Tanzanians. Only a quarter of those who experienced oral pain or discomfort sought emergency oral care from oral health care facilities. Self medication was used as an alternative to using oral care facilities mainly by rural residents. Establishing oral care facilities in rural areas is recommended.","container-title":"BMC oral health","DOI":"10.1186/1472-6831-8-28","ISSN":"1472-6831","journalAbbreviation":"BMC Oral Health","language":"eng","note":"PMID: 18822180\nPMCID: PMC2564914","page":"28","source":"PubMed","title":"Prevalence of oral pain and barriers to use of emergency oral care facilities among adult Tanzanians","volume":"8","author":[{"family":"Kikwilu","given":"Emil Namakuka"},{"family":"Masalu","given":"Joyce Rose"},{"family":"Kahabuka","given":"Febronia Kokulengya"},{"family":"Senkoro","given":"Ahadieli Raphael"}],"issued":{"date-parts":[["2008",9,29]]}}}],"schema":"https://github.com/citation-style-language/schema/raw/master/csl-citation.json"} </w:instrText>
      </w:r>
      <w:r w:rsidR="009007DF">
        <w:rPr>
          <w:rFonts w:ascii="Arial" w:hAnsi="Arial" w:cs="Arial"/>
          <w:lang w:val="en-GB"/>
        </w:rPr>
        <w:fldChar w:fldCharType="separate"/>
      </w:r>
      <w:r w:rsidR="009007DF" w:rsidRPr="009007DF">
        <w:rPr>
          <w:rFonts w:ascii="Arial" w:hAnsi="Arial" w:cs="Arial"/>
        </w:rPr>
        <w:t>(Kikwilu et al., 2008)</w:t>
      </w:r>
      <w:r w:rsidR="009007DF">
        <w:rPr>
          <w:rFonts w:ascii="Arial" w:hAnsi="Arial" w:cs="Arial"/>
          <w:lang w:val="en-GB"/>
        </w:rPr>
        <w:fldChar w:fldCharType="end"/>
      </w:r>
      <w:r w:rsidR="009007DF">
        <w:rPr>
          <w:rFonts w:ascii="Arial" w:hAnsi="Arial" w:cs="Arial"/>
          <w:lang w:val="en-GB"/>
        </w:rPr>
        <w:t xml:space="preserve"> </w:t>
      </w:r>
      <w:r w:rsidRPr="00781A13">
        <w:rPr>
          <w:rFonts w:ascii="Arial" w:hAnsi="Arial" w:cs="Arial"/>
          <w:lang w:val="en-GB"/>
        </w:rPr>
        <w:t xml:space="preserve">study on </w:t>
      </w:r>
      <w:proofErr w:type="spellStart"/>
      <w:r w:rsidR="009007DF">
        <w:rPr>
          <w:rFonts w:ascii="Arial" w:hAnsi="Arial" w:cs="Arial"/>
          <w:lang w:val="en-GB"/>
        </w:rPr>
        <w:t>periondontal</w:t>
      </w:r>
      <w:proofErr w:type="spellEnd"/>
      <w:r w:rsidRPr="00781A13">
        <w:rPr>
          <w:rFonts w:ascii="Arial" w:hAnsi="Arial" w:cs="Arial"/>
          <w:lang w:val="en-GB"/>
        </w:rPr>
        <w:t xml:space="preserve"> infections in </w:t>
      </w:r>
      <w:r w:rsidR="009007DF">
        <w:rPr>
          <w:rFonts w:ascii="Arial" w:hAnsi="Arial" w:cs="Arial"/>
          <w:lang w:val="en-GB"/>
        </w:rPr>
        <w:t>Tanzania</w:t>
      </w:r>
      <w:r w:rsidRPr="00781A13">
        <w:rPr>
          <w:rFonts w:ascii="Arial" w:hAnsi="Arial" w:cs="Arial"/>
          <w:lang w:val="en-GB"/>
        </w:rPr>
        <w:t>. Self-medication was reported in 75% of our patients, aligning with stud</w:t>
      </w:r>
      <w:r w:rsidR="00825CC4">
        <w:rPr>
          <w:rFonts w:ascii="Arial" w:hAnsi="Arial" w:cs="Arial"/>
          <w:lang w:val="en-GB"/>
        </w:rPr>
        <w:t>ies</w:t>
      </w:r>
      <w:r w:rsidRPr="00781A13">
        <w:rPr>
          <w:rFonts w:ascii="Arial" w:hAnsi="Arial" w:cs="Arial"/>
          <w:lang w:val="en-GB"/>
        </w:rPr>
        <w:t xml:space="preserve"> by</w:t>
      </w:r>
      <w:r w:rsidR="00825CC4">
        <w:rPr>
          <w:rFonts w:ascii="Arial" w:hAnsi="Arial" w:cs="Arial"/>
          <w:lang w:val="en-GB"/>
        </w:rPr>
        <w:fldChar w:fldCharType="begin"/>
      </w:r>
      <w:r w:rsidR="00825CC4">
        <w:rPr>
          <w:rFonts w:ascii="Arial" w:hAnsi="Arial" w:cs="Arial"/>
          <w:lang w:val="en-GB"/>
        </w:rPr>
        <w:instrText xml:space="preserve"> ADDIN ZOTERO_ITEM CSL_CITATION {"citationID":"jj1SdOhP","properties":{"formattedCitation":"(Jerez-Roig et al., 2014)","plainCitation":"(Jerez-Roig et al., 2014)","noteIndex":0},"citationItems":[{"id":420,"uris":["http://zotero.org/users/local/OIj6EcLj/items/3CRA969M"],"itemData":{"id":420,"type":"article-journal","container-title":"Drugs &amp; Aging","DOI":"10.1007/s40266-014-0217-x","ISSN":"1170-229X, 1179-1969","issue":"12","journalAbbreviation":"Drugs Aging","language":"en","page":"883-896","source":"DOI.org (Crossref)","title":"Prevalence of Self-Medication and Associated Factors in an Elderly Population: A Systematic Review","title-short":"Prevalence of Self-Medication and Associated Factors in an Elderly Population","volume":"31","author":[{"family":"Jerez-Roig","given":"Javier"},{"family":"Medeiros","given":"Lucas F. B."},{"family":"Silva","given":"Victor A. B."},{"family":"Bezerra","given":"Camila L. P. A. M."},{"family":"Cavalcante","given":"Leandro A. R."},{"family":"Piuvezam","given":"Grasiela"},{"family":"Souza","given":"Dyego L. B."}],"issued":{"date-parts":[["2014",12]]}}}],"schema":"https://github.com/citation-style-language/schema/raw/master/csl-citation.json"} </w:instrText>
      </w:r>
      <w:r w:rsidR="00825CC4">
        <w:rPr>
          <w:rFonts w:ascii="Arial" w:hAnsi="Arial" w:cs="Arial"/>
          <w:lang w:val="en-GB"/>
        </w:rPr>
        <w:fldChar w:fldCharType="separate"/>
      </w:r>
      <w:r w:rsidR="00825CC4" w:rsidRPr="00825CC4">
        <w:rPr>
          <w:rFonts w:ascii="Arial" w:hAnsi="Arial" w:cs="Arial"/>
        </w:rPr>
        <w:t>(Jerez-Roig et al., 2014)</w:t>
      </w:r>
      <w:r w:rsidR="00825CC4">
        <w:rPr>
          <w:rFonts w:ascii="Arial" w:hAnsi="Arial" w:cs="Arial"/>
          <w:lang w:val="en-GB"/>
        </w:rPr>
        <w:fldChar w:fldCharType="end"/>
      </w:r>
      <w:r w:rsidR="00825CC4">
        <w:rPr>
          <w:rFonts w:ascii="Arial" w:hAnsi="Arial" w:cs="Arial"/>
          <w:lang w:val="en-GB"/>
        </w:rPr>
        <w:t xml:space="preserve"> </w:t>
      </w:r>
      <w:r w:rsidRPr="00781A13">
        <w:rPr>
          <w:rFonts w:ascii="Arial" w:hAnsi="Arial" w:cs="Arial"/>
          <w:lang w:val="en-GB"/>
        </w:rPr>
        <w:t>, which documented high rates of non-prescribed drug use. By contrast, stud</w:t>
      </w:r>
      <w:r w:rsidR="00825CC4">
        <w:rPr>
          <w:rFonts w:ascii="Arial" w:hAnsi="Arial" w:cs="Arial"/>
          <w:lang w:val="en-GB"/>
        </w:rPr>
        <w:t>y</w:t>
      </w:r>
      <w:r w:rsidRPr="00781A13">
        <w:rPr>
          <w:rFonts w:ascii="Arial" w:hAnsi="Arial" w:cs="Arial"/>
          <w:lang w:val="en-GB"/>
        </w:rPr>
        <w:t xml:space="preserve"> in Burkina Faso </w:t>
      </w:r>
      <w:r w:rsidR="00825CC4">
        <w:rPr>
          <w:rFonts w:ascii="Arial" w:hAnsi="Arial" w:cs="Arial"/>
          <w:lang w:val="en-GB"/>
        </w:rPr>
        <w:fldChar w:fldCharType="begin"/>
      </w:r>
      <w:r w:rsidR="00825CC4">
        <w:rPr>
          <w:rFonts w:ascii="Arial" w:hAnsi="Arial" w:cs="Arial"/>
          <w:lang w:val="en-GB"/>
        </w:rPr>
        <w:instrText xml:space="preserve"> ADDIN ZOTERO_ITEM CSL_CITATION {"citationID":"eEW5u7Sj","properties":{"formattedCitation":"(Kabor\\uc0\\u233{} et al., 2016)","plainCitation":"(Kaboré et al., 2016)","noteIndex":0},"citationItems":[{"id":369,"uris":["http://zotero.org/users/local/OIj6EcLj/items/TSH8GYJH"],"itemData":{"id":369,"type":"article-journal","container-title":"Médecine Buccale Chirurgie Buccale","issue":"4","note":"publisher: EDP Sciences","page":"277–284","source":"Google Scholar","title":"Automédication au cours des affections bucco-dentaires à Ouagadougou, Burkina Faso","volume":"22","author":[{"family":"Kaboré","given":"Wendpoulomdé AD"},{"family":"Ouédraogo","given":"Carole DW"},{"family":"Konaté","given":"Ali"},{"family":"Traoré","given":"Rasmata G."},{"family":"Chevalier","given":"Valérie"},{"family":"Boisramé","given":"Sylvie"},{"family":"Barro","given":"Nicolas"},{"family":"Sangaré","given":"Lassana"}],"issued":{"date-parts":[["2016"]]}}}],"schema":"https://github.com/citation-style-language/schema/raw/master/csl-citation.json"} </w:instrText>
      </w:r>
      <w:r w:rsidR="00825CC4">
        <w:rPr>
          <w:rFonts w:ascii="Arial" w:hAnsi="Arial" w:cs="Arial"/>
          <w:lang w:val="en-GB"/>
        </w:rPr>
        <w:fldChar w:fldCharType="separate"/>
      </w:r>
      <w:r w:rsidR="00825CC4" w:rsidRPr="00825CC4">
        <w:rPr>
          <w:rFonts w:ascii="Arial" w:hAnsi="Arial" w:cs="Arial"/>
          <w:szCs w:val="24"/>
        </w:rPr>
        <w:t>(Kaboré et al., 2016)</w:t>
      </w:r>
      <w:r w:rsidR="00825CC4">
        <w:rPr>
          <w:rFonts w:ascii="Arial" w:hAnsi="Arial" w:cs="Arial"/>
          <w:lang w:val="en-GB"/>
        </w:rPr>
        <w:fldChar w:fldCharType="end"/>
      </w:r>
      <w:r w:rsidRPr="00781A13">
        <w:rPr>
          <w:rFonts w:ascii="Arial" w:hAnsi="Arial" w:cs="Arial"/>
          <w:lang w:val="en-GB"/>
        </w:rPr>
        <w:t xml:space="preserve">  recorded lower frequencies (30.4), indicating geographic and cultural variation in self-care behaviours.</w:t>
      </w:r>
      <w:r w:rsidR="00952688" w:rsidRPr="00781A13">
        <w:rPr>
          <w:rFonts w:ascii="Arial" w:hAnsi="Arial" w:cs="Arial"/>
          <w:lang w:val="en-GB"/>
        </w:rPr>
        <w:t xml:space="preserve">  </w:t>
      </w:r>
      <w:r w:rsidRPr="00781A13">
        <w:rPr>
          <w:rFonts w:ascii="Arial" w:hAnsi="Arial" w:cs="Arial"/>
          <w:lang w:val="en-GB"/>
        </w:rPr>
        <w:t xml:space="preserve">Enterobacteriaceae were isolated in 5.4% of oral samples, a finding close to that of </w:t>
      </w:r>
      <w:r w:rsidR="00825CC4">
        <w:rPr>
          <w:rFonts w:ascii="Arial" w:hAnsi="Arial" w:cs="Arial"/>
          <w:lang w:val="en-GB"/>
        </w:rPr>
        <w:fldChar w:fldCharType="begin"/>
      </w:r>
      <w:r w:rsidR="00E2225E">
        <w:rPr>
          <w:rFonts w:ascii="Arial" w:hAnsi="Arial" w:cs="Arial"/>
          <w:lang w:val="en-GB"/>
        </w:rPr>
        <w:instrText xml:space="preserve"> ADDIN ZOTERO_ITEM CSL_CITATION {"citationID":"IK2d3ksX","properties":{"formattedCitation":"(Kabor\\uc0\\u233{} et al., 2016)","plainCitation":"(Kaboré et al., 2016)","noteIndex":0},"citationItems":[{"id":369,"uris":["http://zotero.org/users/local/OIj6EcLj/items/TSH8GYJH"],"itemData":{"id":369,"type":"article-journal","container-title":"Médecine Buccale Chirurgie Buccale","issue":"4","note":"publisher: EDP Sciences","page":"277–284","source":"Google Scholar","title":"Automédication au cours des affections bucco-dentaires à Ouagadougou, Burkina Faso","volume":"22","author":[{"family":"Kaboré","given":"Wendpoulomdé AD"},{"family":"Ouédraogo","given":"Carole DW"},{"family":"Konaté","given":"Ali"},{"family":"Traoré","given":"Rasmata G."},{"family":"Chevalier","given":"Valérie"},{"family":"Boisramé","given":"Sylvie"},{"family":"Barro","given":"Nicolas"},{"family":"Sangaré","given":"Lassana"}],"issued":{"date-parts":[["2016"]]}}}],"schema":"https://github.com/citation-style-language/schema/raw/master/csl-citation.json"} </w:instrText>
      </w:r>
      <w:r w:rsidR="00825CC4">
        <w:rPr>
          <w:rFonts w:ascii="Arial" w:hAnsi="Arial" w:cs="Arial"/>
          <w:lang w:val="en-GB"/>
        </w:rPr>
        <w:fldChar w:fldCharType="separate"/>
      </w:r>
      <w:r w:rsidR="00E2225E" w:rsidRPr="00E2225E">
        <w:rPr>
          <w:rFonts w:ascii="Arial" w:hAnsi="Arial" w:cs="Arial"/>
          <w:szCs w:val="24"/>
        </w:rPr>
        <w:t>(Kaboré et al., 2016)</w:t>
      </w:r>
      <w:r w:rsidR="00825CC4">
        <w:rPr>
          <w:rFonts w:ascii="Arial" w:hAnsi="Arial" w:cs="Arial"/>
          <w:lang w:val="en-GB"/>
        </w:rPr>
        <w:fldChar w:fldCharType="end"/>
      </w:r>
      <w:r w:rsidRPr="00781A13">
        <w:rPr>
          <w:rFonts w:ascii="Arial" w:hAnsi="Arial" w:cs="Arial"/>
          <w:lang w:val="en-GB"/>
        </w:rPr>
        <w:t xml:space="preserve"> in Burkina Faso (3.2%). While infrequent, the detection of these bacteria in the oral cavity supports the concept of microbial imbalance due to ecological and behavioural factors such as poor hygiene, reflux, or traditional medicine use</w:t>
      </w:r>
      <w:r w:rsidR="00E2225E">
        <w:rPr>
          <w:rFonts w:ascii="Arial" w:hAnsi="Arial" w:cs="Arial"/>
          <w:lang w:val="en-GB"/>
        </w:rPr>
        <w:t xml:space="preserve"> </w:t>
      </w:r>
      <w:r w:rsidR="00E2225E">
        <w:rPr>
          <w:rFonts w:ascii="Arial" w:hAnsi="Arial" w:cs="Arial"/>
          <w:lang w:val="en-GB"/>
        </w:rPr>
        <w:fldChar w:fldCharType="begin"/>
      </w:r>
      <w:r w:rsidR="00E2225E">
        <w:rPr>
          <w:rFonts w:ascii="Arial" w:hAnsi="Arial" w:cs="Arial"/>
          <w:lang w:val="en-GB"/>
        </w:rPr>
        <w:instrText xml:space="preserve"> ADDIN ZOTERO_ITEM CSL_CITATION {"citationID":"zIRB7PiZ","properties":{"formattedCitation":"(LE\\uc0\\u195{}O-VASCONCELOS et al., 2015)","plainCitation":"(LEÃO-VASCONCELOS et al., 2015)","noteIndex":0},"citationItems":[{"id":429,"uris":["http://zotero.org/users/local/OIj6EcLj/items/CMWURDGW"],"itemData":{"id":429,"type":"article-journal","container-title":"Revista do Instituto de Medicina Tropical de São Paulo","issue":"2","note":"publisher: SciELO Brasil","page":"121–127","source":"Google Scholar","title":"Enterobacteriaceae isolates from the oral cavity of workers in a Brazilian oncology hospital","volume":"57","author":[{"family":"LEÃO-VASCONCELOS","given":"Lara Stefânia Netto de Oliveira"},{"family":"Lima","given":"Ana Beatriz Mori"},{"family":"Costa","given":"Dayane de Melo"},{"family":"Rocha-Vilefort","given":"Larissa Oliveira"},{"family":"OLIVEIRA","given":"Ana Claúdia Alves","dropping-particle":"de"},{"family":"Goncalves","given":"Nadia Ferreira"},{"family":"Vieira","given":"José Daniel Gonçalves"},{"family":"Prado-Palos","given":"Marinesia Aparecida"}],"issued":{"date-parts":[["2015"]]}}}],"schema":"https://github.com/citation-style-language/schema/raw/master/csl-citation.json"} </w:instrText>
      </w:r>
      <w:r w:rsidR="00E2225E">
        <w:rPr>
          <w:rFonts w:ascii="Arial" w:hAnsi="Arial" w:cs="Arial"/>
          <w:lang w:val="en-GB"/>
        </w:rPr>
        <w:fldChar w:fldCharType="separate"/>
      </w:r>
      <w:r w:rsidR="00E2225E" w:rsidRPr="00E2225E">
        <w:rPr>
          <w:rFonts w:ascii="Arial" w:hAnsi="Arial" w:cs="Arial"/>
          <w:szCs w:val="24"/>
        </w:rPr>
        <w:t>(LEÃO-VASCONCELOS et al., 2015)</w:t>
      </w:r>
      <w:r w:rsidR="00E2225E">
        <w:rPr>
          <w:rFonts w:ascii="Arial" w:hAnsi="Arial" w:cs="Arial"/>
          <w:lang w:val="en-GB"/>
        </w:rPr>
        <w:fldChar w:fldCharType="end"/>
      </w:r>
      <w:r w:rsidRPr="00781A13">
        <w:rPr>
          <w:rFonts w:ascii="Arial" w:hAnsi="Arial" w:cs="Arial"/>
          <w:lang w:val="en-GB"/>
        </w:rPr>
        <w:t>.</w:t>
      </w:r>
    </w:p>
    <w:p w14:paraId="5FD32E46" w14:textId="77777777" w:rsidR="0078182D" w:rsidRPr="00781A13" w:rsidRDefault="0078182D" w:rsidP="0078182D">
      <w:pPr>
        <w:pStyle w:val="Body"/>
        <w:spacing w:after="0"/>
        <w:rPr>
          <w:rFonts w:ascii="Arial" w:hAnsi="Arial" w:cs="Arial"/>
          <w:lang w:val="en-GB"/>
        </w:rPr>
      </w:pPr>
    </w:p>
    <w:p w14:paraId="39210F20" w14:textId="1BE15A96" w:rsidR="0039342E" w:rsidRDefault="00024782" w:rsidP="00E6775C">
      <w:pPr>
        <w:pStyle w:val="Body"/>
        <w:spacing w:after="0"/>
        <w:rPr>
          <w:rFonts w:ascii="Arial" w:hAnsi="Arial" w:cs="Arial"/>
          <w:lang w:val="en-GB"/>
        </w:rPr>
      </w:pPr>
      <w:r w:rsidRPr="00781A13">
        <w:rPr>
          <w:rFonts w:ascii="Arial" w:hAnsi="Arial" w:cs="Arial"/>
        </w:rPr>
        <w:t xml:space="preserve">The presence of ESBL-producing Enterobacteriaceae in the oral cavity, as demonstrated by 60% of isolates </w:t>
      </w:r>
      <w:proofErr w:type="spellStart"/>
      <w:r w:rsidRPr="00781A13">
        <w:rPr>
          <w:rFonts w:ascii="Arial" w:hAnsi="Arial" w:cs="Arial"/>
        </w:rPr>
        <w:t>harbouring</w:t>
      </w:r>
      <w:proofErr w:type="spellEnd"/>
      <w:r w:rsidRPr="00781A13">
        <w:rPr>
          <w:rFonts w:ascii="Arial" w:hAnsi="Arial" w:cs="Arial"/>
        </w:rPr>
        <w:t xml:space="preserve"> either </w:t>
      </w:r>
      <w:r w:rsidRPr="00781A13">
        <w:rPr>
          <w:rFonts w:ascii="Arial" w:hAnsi="Arial" w:cs="Arial"/>
          <w:i/>
          <w:iCs/>
        </w:rPr>
        <w:t>blaCTX-M-2</w:t>
      </w:r>
      <w:r w:rsidRPr="00781A13">
        <w:rPr>
          <w:rFonts w:ascii="Arial" w:hAnsi="Arial" w:cs="Arial"/>
        </w:rPr>
        <w:t xml:space="preserve"> or </w:t>
      </w:r>
      <w:r w:rsidRPr="00781A13">
        <w:rPr>
          <w:rFonts w:ascii="Arial" w:hAnsi="Arial" w:cs="Arial"/>
          <w:i/>
          <w:iCs/>
        </w:rPr>
        <w:t>blaCTX-M-8</w:t>
      </w:r>
      <w:r w:rsidRPr="00781A13">
        <w:rPr>
          <w:rFonts w:ascii="Arial" w:hAnsi="Arial" w:cs="Arial"/>
        </w:rPr>
        <w:t xml:space="preserve">, highlights the oral environment as a potential reservoir of antimicrobial resistance. Similar findings have been reported in </w:t>
      </w:r>
      <w:r w:rsidR="005A6933">
        <w:rPr>
          <w:rFonts w:ascii="Arial" w:hAnsi="Arial" w:cs="Arial"/>
        </w:rPr>
        <w:t>several</w:t>
      </w:r>
      <w:r w:rsidRPr="00781A13">
        <w:rPr>
          <w:rFonts w:ascii="Arial" w:hAnsi="Arial" w:cs="Arial"/>
        </w:rPr>
        <w:t xml:space="preserve"> other regions </w:t>
      </w:r>
      <w:r w:rsidR="00E2225E">
        <w:rPr>
          <w:rFonts w:ascii="Arial" w:hAnsi="Arial" w:cs="Arial"/>
        </w:rPr>
        <w:fldChar w:fldCharType="begin"/>
      </w:r>
      <w:r w:rsidR="005A6933">
        <w:rPr>
          <w:rFonts w:ascii="Arial" w:hAnsi="Arial" w:cs="Arial"/>
        </w:rPr>
        <w:instrText xml:space="preserve"> ADDIN ZOTERO_ITEM CSL_CITATION {"citationID":"QkN4i5D1","properties":{"formattedCitation":"(Kitamoto et al., 2020; LE\\uc0\\u195{}O-VASCONCELOS et al., 2015)","plainCitation":"(Kitamoto et al., 2020; LEÃO-VASCONCELOS et al., 2015)","noteIndex":0},"citationItems":[{"id":432,"uris":["http://zotero.org/users/local/OIj6EcLj/items/2VSQMMB4"],"itemData":{"id":432,"type":"article-journal","abstract":"More than 100 trillion symbiotic microorganisms constitutively colonize throughout the human body, including the oral cavity, the skin, and the gastrointestinal tract. The oral cavity harbors one of the most diverse and abundant microbial communities within the human body, second to the community that resides in the gastrointestinal tract, and is composed of &gt;770 bacterial species. Advances in sequencing technologies help define the precise microbial landscape in our bodies. Environmental and functional differences render the composition of resident microbiota largely distinct between the mouth and the gut and lead to the development of unique microbial ecosystems in the 2 mucosal sites. However, it is apparent that there may be a microbial connection between these 2 mucosal sites in the context of disease pathogenesis. Accumulating evidence indicates that resident oral bacteria can translocate to the gastrointestinal tract through hematogenous and enteral routes. The dissemination of oral microbes to the gut may exacerbate various gastrointestinal diseases, including irritable bowel syndrome, inflammatory bowel disease, and colorectal cancer. However, the precise role that oral microbes play in the extraoral organs, including the gut, remains elusive. Here, we review the recent findings on the dissemination of oral bacteria to the gastrointestinal tract and their possible contribution to the pathogenesis of gastrointestinal diseases. Although little is known about the mechanisms of ectopic colonization of the gut by oral bacteria, we also discuss the potential factors that allow the oral bacteria to colonize the gut.","container-title":"Journal of Dental Research","DOI":"10.1177/0022034520924633","ISSN":"0022-0345","issue":"9","journalAbbreviation":"J Dent Res","language":"EN","note":"publisher: SAGE Publications Inc","page":"1021-1029","source":"SAGE Journals","title":"The Bacterial Connection between the Oral Cavity and the Gut Diseases","volume":"99","author":[{"family":"Kitamoto","given":"S."},{"family":"Nagao-Kitamoto","given":"H."},{"family":"Hein","given":"R."},{"family":"Schmidt","given":"T.M."},{"family":"Kamada","given":"N."}],"issued":{"date-parts":[["2020",8,1]]}}},{"id":429,"uris":["http://zotero.org/users/local/OIj6EcLj/items/CMWURDGW"],"itemData":{"id":429,"type":"article-journal","container-title":"Revista do Instituto de Medicina Tropical de São Paulo","issue":"2","note":"publisher: SciELO Brasil","page":"121–127","source":"Google Scholar","title":"Enterobacteriaceae isolates from the oral cavity of workers in a Brazilian oncology hospital","volume":"57","author":[{"family":"LEÃO-VASCONCELOS","given":"Lara Stefânia Netto de Oliveira"},{"family":"Lima","given":"Ana Beatriz Mori"},{"family":"Costa","given":"Dayane de Melo"},{"family":"Rocha-Vilefort","given":"Larissa Oliveira"},{"family":"OLIVEIRA","given":"Ana Claúdia Alves","dropping-particle":"de"},{"family":"Goncalves","given":"Nadia Ferreira"},{"family":"Vieira","given":"José Daniel Gonçalves"},{"family":"Prado-Palos","given":"Marinesia Aparecida"}],"issued":{"date-parts":[["2015"]]}}}],"schema":"https://github.com/citation-style-language/schema/raw/master/csl-citation.json"} </w:instrText>
      </w:r>
      <w:r w:rsidR="00E2225E">
        <w:rPr>
          <w:rFonts w:ascii="Arial" w:hAnsi="Arial" w:cs="Arial"/>
        </w:rPr>
        <w:fldChar w:fldCharType="separate"/>
      </w:r>
      <w:r w:rsidR="005A6933" w:rsidRPr="005A6933">
        <w:rPr>
          <w:rFonts w:ascii="Arial" w:hAnsi="Arial" w:cs="Arial"/>
          <w:szCs w:val="24"/>
        </w:rPr>
        <w:t>(Kitamoto et al., 2020; LEÃO-VASCONCELOS et al., 2015)</w:t>
      </w:r>
      <w:r w:rsidR="00E2225E">
        <w:rPr>
          <w:rFonts w:ascii="Arial" w:hAnsi="Arial" w:cs="Arial"/>
        </w:rPr>
        <w:fldChar w:fldCharType="end"/>
      </w:r>
      <w:r w:rsidRPr="00781A13">
        <w:rPr>
          <w:rFonts w:ascii="Arial" w:hAnsi="Arial" w:cs="Arial"/>
        </w:rPr>
        <w:t xml:space="preserve">. These genes, commonly located on plasmids, encode resistance to third-generation cephalosporins and are capable of horizontal transmission </w:t>
      </w:r>
      <w:r w:rsidR="005A6933">
        <w:rPr>
          <w:rFonts w:ascii="Arial" w:hAnsi="Arial" w:cs="Arial"/>
        </w:rPr>
        <w:fldChar w:fldCharType="begin"/>
      </w:r>
      <w:r w:rsidR="005A6933">
        <w:rPr>
          <w:rFonts w:ascii="Arial" w:hAnsi="Arial" w:cs="Arial"/>
        </w:rPr>
        <w:instrText xml:space="preserve"> ADDIN ZOTERO_ITEM CSL_CITATION {"citationID":"KeBB7OkG","properties":{"formattedCitation":"(Eckert et al., 2004; R\\uc0\\u244{}\\uc0\\u231{}as &amp; Siqueira, 2013)","plainCitation":"(Eckert et al., 2004; Rôças &amp; Siqueira, 2013)","noteIndex":0},"citationItems":[{"id":392,"uris":["http://zotero.org/users/local/OIj6EcLj/items/JXI78KAA"],"itemData":{"id":392,"type":"article-journal","abstract":"We analyzed 19 clinical isolates of the family Enterobacteriaceae (16 Escherichia coli isolates and 3 Klebsiella pneumoniae isolates) collected from four different hospitals in Paris, France, from 2000 to 2002. These strains had a particular extended-spectrum cephalosporin resistance profile characterized by a higher level of resistance to cefotaxime and aztreonam than to ceftazidime. The bla(CTX-M) genes encoding these beta-lactamases were involved in this resistance, with a predominance of bla(CTX-M-15). Ten of the 19 isolates produced both TEM-1- and CTX-M-type enzymes. One strain (E. coli TN13) expressed CMY-2, TEM-1, and CTX-M-14. bla(CTX-M) genes were found on large plasmids. In 15 cases the same insertion sequence, ISEcp1, was located upstream of the 5' end of the bla(CTX-M) gene. In one case we identified an insertion sequence designated IS26. Examination of the other three bla(CTX-M) genes by cloning, sequencing, and PCR analysis revealed the presence of a complex sul1-type integron that includes open reading frame ORF513, which carries the bla gene and the surrounding DNA. Five isolates had the same plasmid DNA fingerprint, suggesting clonal dissemination of CTX-M-15-producing strains in the Paris area.","container-title":"Antimicrobial Agents and Chemotherapy","DOI":"10.1128/AAC.48.4.1249-1255.2004","ISSN":"0066-4804","issue":"4","journalAbbreviation":"Antimicrob Agents Chemother","language":"eng","note":"PMID: 15047527\nPMCID: PMC375249","page":"1249-1255","source":"PubMed","title":"Dissemination of CTX-M-type beta-lactamases among clinical isolates of Enterobacteriaceae in Paris, France","volume":"48","author":[{"family":"Eckert","given":"C."},{"family":"Gautier","given":"V."},{"family":"Saladin-Allard","given":"M."},{"family":"Hidri","given":"N."},{"family":"Verdet","given":"C."},{"family":"Ould-Hocine","given":"Z."},{"family":"Barnaud","given":"G."},{"family":"Delisle","given":"F."},{"family":"Rossier","given":"A."},{"family":"Lambert","given":"T."},{"family":"Philippon","given":"A."},{"family":"Arlet","given":"G."}],"issued":{"date-parts":[["2004",4]]}}},{"id":436,"uris":["http://zotero.org/users/local/OIj6EcLj/items/6H4TNKLR"],"itemData":{"id":436,"type":"article-journal","abstract":"Objective\nThe purpose of this study was twofold: survey samples from acute and chronic endodontic infections for the presence of genes encoding resistance to beta-lactams, tetracycline and erythromycin, and evaluate the ability of treatment to eliminate these genes from root canals.\nDesign\nDNA extracts from samples of abscess aspirates (n=25) and root canals of teeth with asymptomatic apical periodontitis (n=24) were used as template for direct detection of the genes blaTEM, cfxA, tetM, tetQ, tetW, and ermC using real-time polymerase chain reaction (PCR). Bacterial presence was determined using PCR with universal bacterial primers. Root canals of the asymptomatic cases were also sampled and evaluated after chemomechanical procedures using NiTi instruments with 2.5% NaOCl irrigation.\nResults\nAll abscess and initial root canal samples were positive for bacteria. At least one of the target resistance genes was found in 36% of the abscess samples and 67% of the asymptomatic cases. The most prevalent genes in abscesses were blaTEM (24%) and ermC (24%), while tetM (42%) and tetW (29%) prevailed in asymptomatic cases. The blaTEM gene was significantly associated with acute cases (p=0.02). Conversely, tetM was significantly more prevalent in asymptomatic cases (p=0.008). Treatment eliminated resistance genes from most cases.\nConclusions\nAcute and chronic endodontic infections harboured resistance genes for 3 classes of widely used antibiotics. In most cases, treatment was effective in eliminating these genes, but there were a few cases in which they persisted. The implications of persistence are unknown. Direct detection of resistance genes in abscesses may be a potential method for rapid diagnosis and establishment of proactive antimicrobial therapy.","container-title":"Archives of Oral Biology","DOI":"10.1016/j.archoralbio.2013.03.010","ISSN":"0003-9969","issue":"9","journalAbbreviation":"Archives of Oral Biology","page":"1123-1128","source":"ScienceDirect","title":"Detection of antibiotic resistance genes in samples from acute and chronic endodontic infections and after treatment","volume":"58","author":[{"family":"Rôças","given":"Isabela N."},{"family":"Siqueira","given":"José F."}],"issued":{"date-parts":[["2013",9,1]]}}}],"schema":"https://github.com/citation-style-language/schema/raw/master/csl-citation.json"} </w:instrText>
      </w:r>
      <w:r w:rsidR="005A6933">
        <w:rPr>
          <w:rFonts w:ascii="Arial" w:hAnsi="Arial" w:cs="Arial"/>
        </w:rPr>
        <w:fldChar w:fldCharType="separate"/>
      </w:r>
      <w:r w:rsidR="005A6933" w:rsidRPr="005A6933">
        <w:rPr>
          <w:rFonts w:ascii="Arial" w:hAnsi="Arial" w:cs="Arial"/>
          <w:szCs w:val="24"/>
        </w:rPr>
        <w:t>(Eckert et al., 2004; Rôças &amp; Siqueira, 2013)</w:t>
      </w:r>
      <w:r w:rsidR="005A6933">
        <w:rPr>
          <w:rFonts w:ascii="Arial" w:hAnsi="Arial" w:cs="Arial"/>
        </w:rPr>
        <w:fldChar w:fldCharType="end"/>
      </w:r>
      <w:r w:rsidRPr="00781A13">
        <w:rPr>
          <w:rFonts w:ascii="Arial" w:hAnsi="Arial" w:cs="Arial"/>
        </w:rPr>
        <w:t xml:space="preserve">. While these resistant strains are typically investigated in urinary tract and other systemic infections </w:t>
      </w:r>
      <w:r w:rsidR="005A6933">
        <w:rPr>
          <w:rFonts w:ascii="Arial" w:hAnsi="Arial" w:cs="Arial"/>
        </w:rPr>
        <w:fldChar w:fldCharType="begin"/>
      </w:r>
      <w:r w:rsidR="005A6933">
        <w:rPr>
          <w:rFonts w:ascii="Arial" w:hAnsi="Arial" w:cs="Arial"/>
        </w:rPr>
        <w:instrText xml:space="preserve"> ADDIN ZOTERO_ITEM CSL_CITATION {"citationID":"mM5uhkqi","properties":{"formattedCitation":"(Helmy &amp; Wasfi, 2014)","plainCitation":"(Helmy &amp; Wasfi, 2014)","noteIndex":0},"citationItems":[{"id":438,"uris":["http://zotero.org/users/local/OIj6EcLj/items/WF5DG7XZ"],"itemData":{"id":438,"type":"article-journal","abstract":"The incidence of resistance by Enterobacteriaceae to β-lactam/β-lactamase inhibitors combination is increasing in Egypt. Three phenotypic techniques, comprising AmpC disk diffusion and inhibition dependent methods using phenylboronic acid (PBA) and cloxacillin, were compared to PCR based method for detection of plasmid mediated AmpC β-lactamase in common urinary tract isolates. A total of 143 isolates, including E. coli, Klebsiella pneumonia, and Proteus mirabilis, were collected from urinary tract infections cases in Egyptian hospitals. Plasmid encoded AmpC genes were detected by PCR in 88.46% of cefoxitin resistant isolates. The most prevalent AmpC gene family was CIT including CMY-2, CMY-4, and two CMY-2 variants. The second prevalent gene was DHA-1 which was detected in E. coli and Klebsiella pneumonia. The genes EBC, FOX, and MOX were also detected but in small percentage. Some isolates were identified as having more than one pAmpC gene. The overall sensitivity and specificity of phenotypic tests for detection of AmpC β-lactamase showed that AmpC disk diffusion and inhibition dependent method by cloxacillin were the most sensitive and the most specific disk tests. PCR remains the gold standard for detection of AmpC β-lactamases. This study represents the first report of CMY-2 variants of CMY-42 and CMY-102 β-lactamase-producing E. coli, Klebsiella pneumonia, and Proteus mirabilis isolates in Egypt.","container-title":"BioMed Research International","DOI":"10.1155/2014/171548","ISSN":"2314-6141","issue":"1","language":"en","license":"Copyright © 2014 Mai M. Helmy and Reham Wasfi.","note":"_eprint: https://onlinelibrary.wiley.com/doi/pdf/10.1155/2014/171548","page":"171548","source":"Wiley Online Library","title":"Phenotypic and Molecular Characterization of Plasmid Mediated AmpC β-Lactamases among Escherichia coli, Klebsiella spp., and Proteus mirabilis Isolated from Urinary Tract Infections in Egyptian Hospitals","volume":"2014","author":[{"family":"Helmy","given":"Mai M."},{"family":"Wasfi","given":"Reham"}],"issued":{"date-parts":[["2014"]]}}}],"schema":"https://github.com/citation-style-language/schema/raw/master/csl-citation.json"} </w:instrText>
      </w:r>
      <w:r w:rsidR="005A6933">
        <w:rPr>
          <w:rFonts w:ascii="Arial" w:hAnsi="Arial" w:cs="Arial"/>
        </w:rPr>
        <w:fldChar w:fldCharType="separate"/>
      </w:r>
      <w:r w:rsidR="005A6933" w:rsidRPr="005A6933">
        <w:rPr>
          <w:rFonts w:ascii="Arial" w:hAnsi="Arial" w:cs="Arial"/>
        </w:rPr>
        <w:t>(Helmy &amp; Wasfi, 2014)</w:t>
      </w:r>
      <w:r w:rsidR="005A6933">
        <w:rPr>
          <w:rFonts w:ascii="Arial" w:hAnsi="Arial" w:cs="Arial"/>
        </w:rPr>
        <w:fldChar w:fldCharType="end"/>
      </w:r>
      <w:r w:rsidRPr="00781A13">
        <w:rPr>
          <w:rFonts w:ascii="Arial" w:hAnsi="Arial" w:cs="Arial"/>
        </w:rPr>
        <w:t xml:space="preserve">, their identification in the oral microbiome raises concerns about silent dissemination. In light of the growing global threat posed by ESBL- and </w:t>
      </w:r>
      <w:proofErr w:type="spellStart"/>
      <w:r w:rsidRPr="00781A13">
        <w:rPr>
          <w:rFonts w:ascii="Arial" w:hAnsi="Arial" w:cs="Arial"/>
        </w:rPr>
        <w:t>carbapenemase</w:t>
      </w:r>
      <w:proofErr w:type="spellEnd"/>
      <w:r w:rsidRPr="00781A13">
        <w:rPr>
          <w:rFonts w:ascii="Arial" w:hAnsi="Arial" w:cs="Arial"/>
        </w:rPr>
        <w:t xml:space="preserve">-producing pathogens, the </w:t>
      </w:r>
      <w:r w:rsidR="005A6933">
        <w:rPr>
          <w:rFonts w:ascii="Arial" w:hAnsi="Arial" w:cs="Arial"/>
        </w:rPr>
        <w:fldChar w:fldCharType="begin"/>
      </w:r>
      <w:r w:rsidR="005A6933">
        <w:rPr>
          <w:rFonts w:ascii="Arial" w:hAnsi="Arial" w:cs="Arial"/>
        </w:rPr>
        <w:instrText xml:space="preserve"> ADDIN ZOTERO_ITEM CSL_CITATION {"citationID":"eWBPpDv7","properties":{"formattedCitation":"(Essack et al., 2017)","plainCitation":"(Essack et al., 2017)","noteIndex":0},"citationItems":[{"id":339,"uris":["http://zotero.org/users/local/OIj6EcLj/items/T4T7KK9A"],"itemData":{"id":339,"type":"article-journal","abstract":"The high burden of communicable diseases in African countries engenders extensive antimicrobial use and subsequent resistance with substantial health, financial and societal implications. A desktop analysis to ascertain whether countries in the WHO African region have implemented the WHO Policy Package to combat antimicrobial resistance (AMR) revealed that just two countries (4.3%) have national AMR plans in place, 14.9% (7) have overarching national infection prevention and control (IPC) policies, 93.6% (44) have essential medicines lists and 91.5% (43) have national medicines policies and treatment guidelines intimating rational use. None currently have representative national surveillance systems nor do any incentivize research and development into new medicines and diagnostics. A regional situational analysis to identify scalable good practices within African, resource-constrained country contexts under the auspices of WHO-AFRO is a necessary initial step towards the development of national and regional action plans in concert with incremental progress towards achieving the objectives of the policy package and global action plan. While it is clearly the responsibility of governments to develop, resource and implement plans, regular reporting to and/or monitoring and evaluation by an overarching body such as WHO-AFRO will ensure persistent incremental progress within continuous quality and accountability improvement paradigms.","container-title":"Journal of Public Health","DOI":"10.1093/pubmed/fdw015","ISSN":"1741-3842","issue":"1","journalAbbreviation":"Journal of Public Health","page":"8-13","source":"Silverchair","title":"Antimicrobial resistance in the WHO African region: current status and roadmap for action","title-short":"Antimicrobial resistance in the WHO African region","volume":"39","author":[{"family":"Essack","given":"S.Y."},{"family":"Desta","given":"A.T."},{"family":"Abotsi","given":"R.E."},{"family":"Agoba","given":"E.E."}],"issued":{"date-parts":[["2017",3,1]]}}}],"schema":"https://github.com/citation-style-language/schema/raw/master/csl-citation.json"} </w:instrText>
      </w:r>
      <w:r w:rsidR="005A6933">
        <w:rPr>
          <w:rFonts w:ascii="Arial" w:hAnsi="Arial" w:cs="Arial"/>
        </w:rPr>
        <w:fldChar w:fldCharType="separate"/>
      </w:r>
      <w:r w:rsidR="005A6933" w:rsidRPr="005A6933">
        <w:rPr>
          <w:rFonts w:ascii="Arial" w:hAnsi="Arial" w:cs="Arial"/>
        </w:rPr>
        <w:t>(Essack et al., 2017)</w:t>
      </w:r>
      <w:r w:rsidR="005A6933">
        <w:rPr>
          <w:rFonts w:ascii="Arial" w:hAnsi="Arial" w:cs="Arial"/>
        </w:rPr>
        <w:fldChar w:fldCharType="end"/>
      </w:r>
      <w:r w:rsidRPr="00781A13">
        <w:rPr>
          <w:rFonts w:ascii="Arial" w:hAnsi="Arial" w:cs="Arial"/>
        </w:rPr>
        <w:t xml:space="preserve"> recommends enhanced gene-level surveillance and the use of rapid diagnostic tools to support antimicrobial stewardship and containment strategies.</w:t>
      </w:r>
    </w:p>
    <w:p w14:paraId="4F44960C" w14:textId="77777777" w:rsidR="00E6775C" w:rsidRPr="00E6775C" w:rsidRDefault="00E6775C" w:rsidP="00441B6F">
      <w:pPr>
        <w:pStyle w:val="Body"/>
        <w:spacing w:after="0"/>
        <w:rPr>
          <w:rFonts w:ascii="Arial" w:hAnsi="Arial" w:cs="Arial"/>
          <w:lang w:val="en-GB"/>
        </w:rPr>
      </w:pPr>
    </w:p>
    <w:p w14:paraId="6311AB30" w14:textId="77777777" w:rsidR="00790ADA" w:rsidRPr="00FB3A86" w:rsidRDefault="00790ADA" w:rsidP="00441B6F">
      <w:pPr>
        <w:pStyle w:val="Body"/>
        <w:spacing w:after="0"/>
        <w:rPr>
          <w:rFonts w:ascii="Arial" w:hAnsi="Arial" w:cs="Arial"/>
        </w:rPr>
      </w:pPr>
    </w:p>
    <w:p w14:paraId="37E12B8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509544" w14:textId="77777777" w:rsidR="00790ADA" w:rsidRPr="00FB3A86" w:rsidRDefault="00790ADA" w:rsidP="00441B6F">
      <w:pPr>
        <w:pStyle w:val="ConcHead"/>
        <w:spacing w:after="0"/>
        <w:jc w:val="both"/>
        <w:rPr>
          <w:rFonts w:ascii="Arial" w:hAnsi="Arial" w:cs="Arial"/>
        </w:rPr>
      </w:pPr>
    </w:p>
    <w:p w14:paraId="6B0E5F20" w14:textId="5983132D" w:rsidR="005D7002" w:rsidRDefault="005D7002" w:rsidP="00441B6F">
      <w:pPr>
        <w:pStyle w:val="AcknHead"/>
        <w:spacing w:after="0"/>
        <w:jc w:val="both"/>
        <w:rPr>
          <w:rFonts w:ascii="Arial" w:hAnsi="Arial" w:cs="Arial"/>
          <w:b w:val="0"/>
          <w:i/>
          <w:iCs/>
          <w:caps w:val="0"/>
          <w:sz w:val="20"/>
        </w:rPr>
      </w:pPr>
      <w:r w:rsidRPr="005D7002">
        <w:rPr>
          <w:rFonts w:ascii="Arial" w:hAnsi="Arial" w:cs="Arial"/>
          <w:b w:val="0"/>
          <w:caps w:val="0"/>
          <w:sz w:val="20"/>
        </w:rPr>
        <w:t xml:space="preserve">The primary objective of this study was to detect resistance genes in extended-spectrum β-lactamase (ESBL)-producing Enterobacteriaceae isolated from the oral cavity. Through this investigation, the prevalence of such isolates within the oral microbiota was established. Although infrequent, these bacteria represent a significant public health concern due to their potential to cause serious oral infections and contribute to antimicrobial resistance. A notable observation was the widespread practice of self-medication among patients, including the use of unregulated ‘street medicines’, often driven by limited access to healthcare services and financial constraints. Furthermore, molecular characterisation of the isolates revealed the presence of plasmid-mediated resistance genes, particularly </w:t>
      </w:r>
      <w:r w:rsidRPr="005D7002">
        <w:rPr>
          <w:rFonts w:ascii="Arial" w:hAnsi="Arial" w:cs="Arial"/>
          <w:b w:val="0"/>
          <w:i/>
          <w:iCs/>
          <w:caps w:val="0"/>
          <w:sz w:val="20"/>
        </w:rPr>
        <w:t>blaCTX-M-2</w:t>
      </w:r>
      <w:r w:rsidRPr="005D7002">
        <w:rPr>
          <w:rFonts w:ascii="Arial" w:hAnsi="Arial" w:cs="Arial"/>
          <w:b w:val="0"/>
          <w:caps w:val="0"/>
          <w:sz w:val="20"/>
        </w:rPr>
        <w:t xml:space="preserve"> and </w:t>
      </w:r>
      <w:r w:rsidRPr="005D7002">
        <w:rPr>
          <w:rFonts w:ascii="Arial" w:hAnsi="Arial" w:cs="Arial"/>
          <w:b w:val="0"/>
          <w:i/>
          <w:iCs/>
          <w:caps w:val="0"/>
          <w:sz w:val="20"/>
        </w:rPr>
        <w:t>blaCTX-M-8</w:t>
      </w:r>
      <w:r w:rsidR="0039342E">
        <w:rPr>
          <w:rFonts w:ascii="Arial" w:hAnsi="Arial" w:cs="Arial"/>
          <w:b w:val="0"/>
          <w:i/>
          <w:iCs/>
          <w:caps w:val="0"/>
          <w:sz w:val="20"/>
        </w:rPr>
        <w:t>.</w:t>
      </w:r>
    </w:p>
    <w:p w14:paraId="7B26BB42" w14:textId="77777777" w:rsidR="005D7002" w:rsidRDefault="005D7002" w:rsidP="00441B6F">
      <w:pPr>
        <w:pStyle w:val="AcknHead"/>
        <w:spacing w:after="0"/>
        <w:jc w:val="both"/>
        <w:rPr>
          <w:rFonts w:ascii="Arial" w:hAnsi="Arial" w:cs="Arial"/>
          <w:b w:val="0"/>
          <w:i/>
          <w:iCs/>
          <w:caps w:val="0"/>
          <w:sz w:val="20"/>
        </w:rPr>
      </w:pPr>
    </w:p>
    <w:p w14:paraId="3249634F" w14:textId="6D6EB943"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4473A059" w14:textId="77777777" w:rsidR="002B685A" w:rsidRPr="002B685A" w:rsidRDefault="002B685A" w:rsidP="00441B6F">
      <w:pPr>
        <w:pStyle w:val="ReferHead"/>
        <w:spacing w:after="0"/>
        <w:jc w:val="both"/>
        <w:rPr>
          <w:rFonts w:ascii="Arial" w:hAnsi="Arial" w:cs="Arial"/>
          <w:bCs/>
        </w:rPr>
      </w:pPr>
    </w:p>
    <w:p w14:paraId="7B221886" w14:textId="77777777" w:rsidR="001A29D8" w:rsidRDefault="001A29D8" w:rsidP="00441B6F">
      <w:pPr>
        <w:pStyle w:val="ReferHead"/>
        <w:spacing w:after="0"/>
        <w:jc w:val="both"/>
        <w:rPr>
          <w:rFonts w:ascii="Arial" w:hAnsi="Arial" w:cs="Arial"/>
          <w:b w:val="0"/>
          <w:caps w:val="0"/>
          <w:sz w:val="20"/>
        </w:rPr>
      </w:pPr>
    </w:p>
    <w:p w14:paraId="6613C504" w14:textId="1F81E777" w:rsidR="001A29D8" w:rsidRPr="00F469F0" w:rsidRDefault="001A29D8" w:rsidP="00441B6F">
      <w:pPr>
        <w:pStyle w:val="ReferHead"/>
        <w:spacing w:after="0"/>
        <w:jc w:val="both"/>
        <w:rPr>
          <w:rFonts w:ascii="Arial" w:hAnsi="Arial" w:cs="Arial"/>
          <w:b w:val="0"/>
          <w:caps w:val="0"/>
          <w:sz w:val="20"/>
          <w:u w:val="single"/>
        </w:rPr>
      </w:pPr>
      <w:r w:rsidRPr="00D54C2B">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F7A04E5" w14:textId="77777777" w:rsidR="001A29D8" w:rsidRDefault="001A29D8" w:rsidP="00441B6F">
      <w:pPr>
        <w:pStyle w:val="ReferHead"/>
        <w:spacing w:after="0"/>
        <w:jc w:val="both"/>
        <w:rPr>
          <w:rFonts w:ascii="Arial" w:hAnsi="Arial" w:cs="Arial"/>
          <w:b w:val="0"/>
          <w:caps w:val="0"/>
          <w:sz w:val="20"/>
        </w:rPr>
      </w:pPr>
    </w:p>
    <w:p w14:paraId="271A81E3" w14:textId="77777777" w:rsidR="005C784C" w:rsidRDefault="005C784C" w:rsidP="00441B6F">
      <w:pPr>
        <w:pStyle w:val="ReferHead"/>
        <w:spacing w:after="0"/>
        <w:jc w:val="both"/>
        <w:rPr>
          <w:rFonts w:ascii="Arial" w:hAnsi="Arial" w:cs="Arial"/>
          <w:b w:val="0"/>
          <w:caps w:val="0"/>
          <w:sz w:val="20"/>
        </w:rPr>
      </w:pPr>
    </w:p>
    <w:p w14:paraId="3EF599E3" w14:textId="612BC4BD"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6F1D6AAF" w14:textId="77777777" w:rsidR="005C784C" w:rsidRPr="002B685A" w:rsidRDefault="005C784C" w:rsidP="00441B6F">
      <w:pPr>
        <w:pStyle w:val="ReferHead"/>
        <w:spacing w:after="0"/>
        <w:jc w:val="both"/>
        <w:rPr>
          <w:rFonts w:ascii="Arial" w:hAnsi="Arial" w:cs="Arial"/>
          <w:bCs/>
        </w:rPr>
      </w:pPr>
    </w:p>
    <w:p w14:paraId="03FB3DA5" w14:textId="49E7E0FD" w:rsidR="00D54C2B" w:rsidRDefault="00D54C2B" w:rsidP="00D54C2B">
      <w:pPr>
        <w:autoSpaceDE w:val="0"/>
        <w:autoSpaceDN w:val="0"/>
        <w:adjustRightInd w:val="0"/>
        <w:jc w:val="both"/>
        <w:rPr>
          <w:rFonts w:ascii="Arial" w:eastAsia="Malgun Gothic" w:hAnsi="Arial" w:cs="Arial"/>
          <w:szCs w:val="22"/>
          <w:lang w:val="en-GB" w:eastAsia="x-none"/>
        </w:rPr>
      </w:pPr>
      <w:bookmarkStart w:id="4" w:name="OLE_LINK9"/>
      <w:r w:rsidRPr="00D54C2B">
        <w:rPr>
          <w:rFonts w:ascii="Arial" w:eastAsia="Malgun Gothic" w:hAnsi="Arial" w:cs="Arial"/>
          <w:szCs w:val="22"/>
          <w:lang w:val="en-GB" w:eastAsia="x-none"/>
        </w:rPr>
        <w:t>The study received formal approval from the Pasteur Institute of Côte d'Ivoire. Patient anonymity and the confidentiality of all collected data were strictly maintained throughout the research process, in accordance with ethical standards for biomedical research involving human participants.</w:t>
      </w:r>
      <w:bookmarkEnd w:id="4"/>
      <w:r w:rsidRPr="00D54C2B">
        <w:rPr>
          <w:rFonts w:ascii="Arial" w:eastAsia="Malgun Gothic" w:hAnsi="Arial" w:cs="Arial"/>
          <w:szCs w:val="22"/>
          <w:lang w:val="en-GB" w:eastAsia="x-none"/>
        </w:rPr>
        <w:t xml:space="preserve"> Each participant was informed about the study's objectives, data collection procedures, potential benefits, and associated risks. Informed consent was obtained from all participants prior to inclusion in the study.</w:t>
      </w:r>
    </w:p>
    <w:p w14:paraId="5FAF28B1" w14:textId="5DB905E3" w:rsidR="007904B2" w:rsidRDefault="007904B2" w:rsidP="00D54C2B">
      <w:pPr>
        <w:autoSpaceDE w:val="0"/>
        <w:autoSpaceDN w:val="0"/>
        <w:adjustRightInd w:val="0"/>
        <w:jc w:val="both"/>
        <w:rPr>
          <w:rFonts w:ascii="Arial" w:eastAsia="Malgun Gothic" w:hAnsi="Arial" w:cs="Arial"/>
          <w:szCs w:val="22"/>
          <w:lang w:val="en-GB" w:eastAsia="x-none"/>
        </w:rPr>
      </w:pPr>
    </w:p>
    <w:p w14:paraId="479E4D94" w14:textId="10D32002" w:rsidR="007904B2" w:rsidRPr="00F9209D" w:rsidRDefault="007904B2" w:rsidP="007904B2">
      <w:pPr>
        <w:rPr>
          <w:rFonts w:ascii="Arial" w:hAnsi="Arial" w:cs="Arial"/>
          <w:b/>
          <w:bCs/>
          <w:sz w:val="22"/>
          <w:szCs w:val="22"/>
        </w:rPr>
      </w:pPr>
      <w:r w:rsidRPr="00F9209D">
        <w:rPr>
          <w:rFonts w:ascii="Arial" w:hAnsi="Arial" w:cs="Arial"/>
          <w:b/>
          <w:bCs/>
          <w:sz w:val="22"/>
          <w:szCs w:val="22"/>
        </w:rPr>
        <w:t>Disclaimer (Artificial intelligence)</w:t>
      </w:r>
    </w:p>
    <w:p w14:paraId="1F131031" w14:textId="77777777" w:rsidR="007904B2" w:rsidRPr="00394842" w:rsidRDefault="007904B2" w:rsidP="007904B2">
      <w:pPr>
        <w:rPr>
          <w:highlight w:val="yellow"/>
        </w:rPr>
      </w:pPr>
    </w:p>
    <w:p w14:paraId="3960F115" w14:textId="77777777" w:rsidR="007904B2" w:rsidRPr="00F9209D" w:rsidRDefault="007904B2" w:rsidP="007904B2">
      <w:r w:rsidRPr="00F9209D">
        <w:t xml:space="preserve">Author(s) hereby declare that NO generative AI technologies such as Large Language Models (ChatGPT, COPILOT, etc.) and text-to-image generators have been used during the writing or editing of this manuscript. </w:t>
      </w:r>
    </w:p>
    <w:p w14:paraId="570D7ED4" w14:textId="77777777" w:rsidR="007904B2" w:rsidRPr="00394842" w:rsidRDefault="007904B2" w:rsidP="007904B2">
      <w:pPr>
        <w:rPr>
          <w:highlight w:val="yellow"/>
        </w:rPr>
      </w:pPr>
    </w:p>
    <w:p w14:paraId="1E23AB69" w14:textId="77777777" w:rsidR="007904B2" w:rsidRPr="00D54C2B" w:rsidRDefault="007904B2" w:rsidP="00D54C2B">
      <w:pPr>
        <w:autoSpaceDE w:val="0"/>
        <w:autoSpaceDN w:val="0"/>
        <w:adjustRightInd w:val="0"/>
        <w:jc w:val="both"/>
        <w:rPr>
          <w:rFonts w:ascii="Arial" w:eastAsia="Malgun Gothic" w:hAnsi="Arial" w:cs="Arial"/>
          <w:szCs w:val="22"/>
          <w:lang w:val="en-GB" w:eastAsia="x-none"/>
        </w:rPr>
      </w:pPr>
    </w:p>
    <w:p w14:paraId="18C689EC" w14:textId="77777777" w:rsidR="00860000" w:rsidRPr="00D54C2B" w:rsidRDefault="00860000" w:rsidP="00441B6F">
      <w:pPr>
        <w:pStyle w:val="ReferHead"/>
        <w:spacing w:after="0"/>
        <w:jc w:val="both"/>
        <w:rPr>
          <w:rFonts w:ascii="Arial" w:hAnsi="Arial" w:cs="Arial"/>
          <w:lang w:val="en-GB"/>
        </w:rPr>
      </w:pPr>
    </w:p>
    <w:p w14:paraId="13A5EC9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CCFA15" w14:textId="77777777" w:rsidR="004F3024" w:rsidRDefault="004F3024" w:rsidP="000D689F">
      <w:pPr>
        <w:pStyle w:val="Body"/>
        <w:spacing w:after="0"/>
        <w:rPr>
          <w:b/>
          <w:iCs/>
          <w:lang w:val="en-GB"/>
        </w:rPr>
      </w:pPr>
    </w:p>
    <w:bookmarkStart w:id="5" w:name="_Hlk199510278"/>
    <w:p w14:paraId="57639D4F" w14:textId="77777777" w:rsidR="005A6933" w:rsidRPr="005A6933" w:rsidRDefault="005A6933" w:rsidP="005A6933">
      <w:pPr>
        <w:pStyle w:val="Bibliography"/>
        <w:rPr>
          <w:rFonts w:cs="Helvetica"/>
          <w:lang w:val="fr-FR"/>
        </w:rPr>
      </w:pPr>
      <w:r>
        <w:rPr>
          <w:lang w:val="en-GB"/>
        </w:rPr>
        <w:fldChar w:fldCharType="begin"/>
      </w:r>
      <w:r w:rsidRPr="005A6933">
        <w:rPr>
          <w:lang w:val="fr-FR"/>
        </w:rPr>
        <w:instrText xml:space="preserve"> ADDIN ZOTERO_BIBL {"uncited":[],"omitted":[],"custom":[]} CSL_BIBLIOGRAPHY </w:instrText>
      </w:r>
      <w:r>
        <w:rPr>
          <w:lang w:val="en-GB"/>
        </w:rPr>
        <w:fldChar w:fldCharType="separate"/>
      </w:r>
      <w:bookmarkStart w:id="6" w:name="_Hlk199463575"/>
      <w:r w:rsidRPr="005A6933">
        <w:rPr>
          <w:rFonts w:cs="Helvetica"/>
          <w:lang w:val="fr-FR"/>
        </w:rPr>
        <w:t xml:space="preserve">Akoua-Koffi, C., Guessennd, N., Gbonon, V., Faye-Ketté, H., &amp; Dosso, M. (2004). La méticillino-résistance de </w:t>
      </w:r>
      <w:r w:rsidRPr="005A6933">
        <w:rPr>
          <w:rFonts w:cs="Helvetica"/>
          <w:i/>
          <w:iCs/>
          <w:lang w:val="fr-FR"/>
        </w:rPr>
        <w:t>Staphylococcus aureus</w:t>
      </w:r>
      <w:r w:rsidRPr="005A6933">
        <w:rPr>
          <w:rFonts w:cs="Helvetica"/>
          <w:lang w:val="fr-FR"/>
        </w:rPr>
        <w:t xml:space="preserve"> isolés à Abidjan (1998–2001) : Un nouveau problème en milieu hospitalier. </w:t>
      </w:r>
      <w:r w:rsidRPr="005A6933">
        <w:rPr>
          <w:rFonts w:cs="Helvetica"/>
          <w:i/>
          <w:iCs/>
          <w:lang w:val="fr-FR"/>
        </w:rPr>
        <w:t>Médecine et Maladies Infectieuses</w:t>
      </w:r>
      <w:r w:rsidRPr="005A6933">
        <w:rPr>
          <w:rFonts w:cs="Helvetica"/>
          <w:lang w:val="fr-FR"/>
        </w:rPr>
        <w:t xml:space="preserve">, </w:t>
      </w:r>
      <w:r w:rsidRPr="005A6933">
        <w:rPr>
          <w:rFonts w:cs="Helvetica"/>
          <w:i/>
          <w:iCs/>
          <w:lang w:val="fr-FR"/>
        </w:rPr>
        <w:t>34</w:t>
      </w:r>
      <w:r w:rsidRPr="005A6933">
        <w:rPr>
          <w:rFonts w:cs="Helvetica"/>
          <w:lang w:val="fr-FR"/>
        </w:rPr>
        <w:t>(3), 132</w:t>
      </w:r>
      <w:r w:rsidRPr="005A6933">
        <w:rPr>
          <w:rFonts w:ascii="Cambria Math" w:hAnsi="Cambria Math" w:cs="Cambria Math"/>
          <w:lang w:val="fr-FR"/>
        </w:rPr>
        <w:t>‑</w:t>
      </w:r>
      <w:r w:rsidRPr="005A6933">
        <w:rPr>
          <w:rFonts w:cs="Helvetica"/>
          <w:lang w:val="fr-FR"/>
        </w:rPr>
        <w:t>136. https://doi.org/10.1016/j.medmal.2003.12.001</w:t>
      </w:r>
    </w:p>
    <w:p w14:paraId="2396C946" w14:textId="77777777" w:rsidR="005A6933" w:rsidRPr="005A6933" w:rsidRDefault="005A6933" w:rsidP="005A6933">
      <w:pPr>
        <w:pStyle w:val="Bibliography"/>
        <w:rPr>
          <w:rFonts w:cs="Helvetica"/>
        </w:rPr>
      </w:pPr>
      <w:r w:rsidRPr="005A6933">
        <w:rPr>
          <w:rFonts w:cs="Helvetica"/>
          <w:lang w:val="fr-FR"/>
        </w:rPr>
        <w:t xml:space="preserve">Akpata, E. S. (2004). </w:t>
      </w:r>
      <w:r w:rsidRPr="005A6933">
        <w:rPr>
          <w:rFonts w:cs="Helvetica"/>
        </w:rPr>
        <w:t xml:space="preserve">Oral health in Nigeria. </w:t>
      </w:r>
      <w:r w:rsidRPr="005A6933">
        <w:rPr>
          <w:rFonts w:cs="Helvetica"/>
          <w:i/>
          <w:iCs/>
        </w:rPr>
        <w:t>International Dental Journal</w:t>
      </w:r>
      <w:r w:rsidRPr="005A6933">
        <w:rPr>
          <w:rFonts w:cs="Helvetica"/>
        </w:rPr>
        <w:t xml:space="preserve">, </w:t>
      </w:r>
      <w:r w:rsidRPr="005A6933">
        <w:rPr>
          <w:rFonts w:cs="Helvetica"/>
          <w:i/>
          <w:iCs/>
        </w:rPr>
        <w:t>54</w:t>
      </w:r>
      <w:r w:rsidRPr="005A6933">
        <w:rPr>
          <w:rFonts w:cs="Helvetica"/>
        </w:rPr>
        <w:t>(6 Suppl 1), 361</w:t>
      </w:r>
      <w:r w:rsidRPr="005A6933">
        <w:rPr>
          <w:rFonts w:ascii="Cambria Math" w:hAnsi="Cambria Math" w:cs="Cambria Math"/>
        </w:rPr>
        <w:t>‑</w:t>
      </w:r>
      <w:r w:rsidRPr="005A6933">
        <w:rPr>
          <w:rFonts w:cs="Helvetica"/>
        </w:rPr>
        <w:t>366. https://doi.org/10.1111/j.1875-595x.2004.tb00012.x</w:t>
      </w:r>
    </w:p>
    <w:p w14:paraId="6AB459A5" w14:textId="77777777" w:rsidR="005A6933" w:rsidRPr="005A6933" w:rsidRDefault="005A6933" w:rsidP="005A6933">
      <w:pPr>
        <w:pStyle w:val="Bibliography"/>
        <w:rPr>
          <w:rFonts w:cs="Helvetica"/>
        </w:rPr>
      </w:pPr>
      <w:r w:rsidRPr="005A6933">
        <w:rPr>
          <w:rFonts w:cs="Helvetica"/>
          <w:lang w:val="es-ES"/>
        </w:rPr>
        <w:t xml:space="preserve">ANZOUAN-KACOU, E., YAPO, A., BEHIBRO, R., SEGUY, F., LATE, S., &amp; KONAN, E. (2022). </w:t>
      </w:r>
      <w:r w:rsidRPr="005A6933">
        <w:rPr>
          <w:rFonts w:cs="Helvetica"/>
          <w:lang w:val="fr-FR"/>
        </w:rPr>
        <w:t xml:space="preserve">Cellulites cervico-faciales de l’enfant : Aspects épidémiologiques, cliniques et thérapeutiques au CHU de Treichville (Abidjan). </w:t>
      </w:r>
      <w:r w:rsidRPr="005A6933">
        <w:rPr>
          <w:rFonts w:cs="Helvetica"/>
          <w:i/>
          <w:iCs/>
        </w:rPr>
        <w:t>Rev Col Odonto-Stomatol Afr Chir Maxillo-Fac</w:t>
      </w:r>
      <w:r w:rsidRPr="005A6933">
        <w:rPr>
          <w:rFonts w:cs="Helvetica"/>
        </w:rPr>
        <w:t xml:space="preserve">, </w:t>
      </w:r>
      <w:r w:rsidRPr="005A6933">
        <w:rPr>
          <w:rFonts w:cs="Helvetica"/>
          <w:i/>
          <w:iCs/>
        </w:rPr>
        <w:t>29</w:t>
      </w:r>
      <w:r w:rsidRPr="005A6933">
        <w:rPr>
          <w:rFonts w:cs="Helvetica"/>
        </w:rPr>
        <w:t>(3), 20</w:t>
      </w:r>
      <w:r w:rsidRPr="005A6933">
        <w:rPr>
          <w:rFonts w:ascii="Cambria Math" w:hAnsi="Cambria Math" w:cs="Cambria Math"/>
        </w:rPr>
        <w:t>‑</w:t>
      </w:r>
      <w:r w:rsidRPr="005A6933">
        <w:rPr>
          <w:rFonts w:cs="Helvetica"/>
        </w:rPr>
        <w:t>25.</w:t>
      </w:r>
    </w:p>
    <w:p w14:paraId="23DFF944" w14:textId="77777777" w:rsidR="005A6933" w:rsidRPr="005A6933" w:rsidRDefault="005A6933" w:rsidP="005A6933">
      <w:pPr>
        <w:pStyle w:val="Bibliography"/>
        <w:rPr>
          <w:rFonts w:cs="Helvetica"/>
        </w:rPr>
      </w:pPr>
      <w:r w:rsidRPr="005A6933">
        <w:rPr>
          <w:rFonts w:cs="Helvetica"/>
        </w:rPr>
        <w:t xml:space="preserve">Ayo-Yusuf, O. A. (2008). </w:t>
      </w:r>
      <w:r w:rsidRPr="005A6933">
        <w:rPr>
          <w:rFonts w:cs="Helvetica"/>
          <w:i/>
          <w:iCs/>
        </w:rPr>
        <w:t>Oral health promotion and tobacco use prevention in South Africa : Towards an integrated educational approach</w:t>
      </w:r>
      <w:r w:rsidRPr="005A6933">
        <w:rPr>
          <w:rFonts w:cs="Helvetica"/>
        </w:rPr>
        <w:t>. https://cris.maastrichtuniversity.nl/files/1273177/guid-0b9f0e35-c3f5-4dc6-863b-5ac4252bd3ba-ASSET2.0.pdf</w:t>
      </w:r>
    </w:p>
    <w:p w14:paraId="626A75E0" w14:textId="77777777" w:rsidR="005A6933" w:rsidRPr="005A6933" w:rsidRDefault="005A6933" w:rsidP="005A6933">
      <w:pPr>
        <w:pStyle w:val="Bibliography"/>
        <w:rPr>
          <w:rFonts w:cs="Helvetica"/>
        </w:rPr>
      </w:pPr>
      <w:r w:rsidRPr="005A6933">
        <w:rPr>
          <w:rFonts w:cs="Helvetica"/>
          <w:lang w:val="es-ES"/>
        </w:rPr>
        <w:t xml:space="preserve">Ayukekbong, J. A., Ntemgwa, M., &amp; Atabe, A. N. (2017). </w:t>
      </w:r>
      <w:r w:rsidRPr="005A6933">
        <w:rPr>
          <w:rFonts w:cs="Helvetica"/>
        </w:rPr>
        <w:t xml:space="preserve">The threat of antimicrobial resistance in developing countries : Causes and control strategies. </w:t>
      </w:r>
      <w:r w:rsidRPr="005A6933">
        <w:rPr>
          <w:rFonts w:cs="Helvetica"/>
          <w:i/>
          <w:iCs/>
        </w:rPr>
        <w:t>Antimicrobial Resistance &amp; Infection Control</w:t>
      </w:r>
      <w:r w:rsidRPr="005A6933">
        <w:rPr>
          <w:rFonts w:cs="Helvetica"/>
        </w:rPr>
        <w:t xml:space="preserve">, </w:t>
      </w:r>
      <w:r w:rsidRPr="005A6933">
        <w:rPr>
          <w:rFonts w:cs="Helvetica"/>
          <w:i/>
          <w:iCs/>
        </w:rPr>
        <w:t>6</w:t>
      </w:r>
      <w:r w:rsidRPr="005A6933">
        <w:rPr>
          <w:rFonts w:cs="Helvetica"/>
        </w:rPr>
        <w:t>(1), 47. https://doi.org/10.1186/s13756-017-0208-x</w:t>
      </w:r>
    </w:p>
    <w:p w14:paraId="2938F9DA" w14:textId="77777777" w:rsidR="005A6933" w:rsidRPr="005A6933" w:rsidRDefault="005A6933" w:rsidP="005A6933">
      <w:pPr>
        <w:pStyle w:val="Bibliography"/>
        <w:rPr>
          <w:rFonts w:cs="Helvetica"/>
        </w:rPr>
      </w:pPr>
      <w:r w:rsidRPr="005A6933">
        <w:rPr>
          <w:rFonts w:cs="Helvetica"/>
        </w:rPr>
        <w:t xml:space="preserve">Ba, M., Diawara, O., Niang, A., Koita, H., Touré, A., Kassambara, A., Guèye, S., Coulibaly, A., Traore, H., &amp; Diallo, B. (2018). </w:t>
      </w:r>
      <w:r w:rsidRPr="005A6933">
        <w:rPr>
          <w:rFonts w:cs="Helvetica"/>
          <w:lang w:val="fr-FR"/>
        </w:rPr>
        <w:t xml:space="preserve">CONTRIBUTION À L’ÉTUDE DES MALADIES PARODONTALES EN OMNI PRATIQUE : À PROPOS DE 153 CAS. </w:t>
      </w:r>
      <w:r w:rsidRPr="005A6933">
        <w:rPr>
          <w:rFonts w:cs="Helvetica"/>
          <w:i/>
          <w:iCs/>
        </w:rPr>
        <w:t>African Journal of Dentistry &amp; Implantology</w:t>
      </w:r>
      <w:r w:rsidRPr="005A6933">
        <w:rPr>
          <w:rFonts w:cs="Helvetica"/>
        </w:rPr>
        <w:t xml:space="preserve">, </w:t>
      </w:r>
      <w:r w:rsidRPr="005A6933">
        <w:rPr>
          <w:rFonts w:cs="Helvetica"/>
          <w:i/>
          <w:iCs/>
        </w:rPr>
        <w:t>11</w:t>
      </w:r>
      <w:r w:rsidRPr="005A6933">
        <w:rPr>
          <w:rFonts w:cs="Helvetica"/>
        </w:rPr>
        <w:t>. https://revues.imist.ma/index.php/AJDI/article/view/15775</w:t>
      </w:r>
    </w:p>
    <w:p w14:paraId="09D5F41E" w14:textId="77777777" w:rsidR="005A6933" w:rsidRPr="005A6933" w:rsidRDefault="005A6933" w:rsidP="005A6933">
      <w:pPr>
        <w:pStyle w:val="Bibliography"/>
        <w:rPr>
          <w:rFonts w:cs="Helvetica"/>
        </w:rPr>
      </w:pPr>
      <w:r w:rsidRPr="005A6933">
        <w:rPr>
          <w:rFonts w:cs="Helvetica"/>
          <w:lang w:val="fr-FR"/>
        </w:rPr>
        <w:t xml:space="preserve">Baguy, O. M., Nathalie, G. K., David, C. N., Daniel, S. N., Julien, C. K., Rose, K.-N., Djénéba, O. G., Valérie, G., Bertin, T. K., &amp; Mireille, D. (2014). </w:t>
      </w:r>
      <w:r w:rsidRPr="005A6933">
        <w:rPr>
          <w:rFonts w:cs="Helvetica"/>
        </w:rPr>
        <w:t xml:space="preserve">First report of qnr genes in multidrugs resistant (ESBL) enterobacteria isolated from different ecosystems in Abidjan, Ivory Coast. </w:t>
      </w:r>
      <w:r w:rsidRPr="005A6933">
        <w:rPr>
          <w:rFonts w:cs="Helvetica"/>
          <w:i/>
          <w:iCs/>
        </w:rPr>
        <w:t>AMC</w:t>
      </w:r>
      <w:r w:rsidRPr="005A6933">
        <w:rPr>
          <w:rFonts w:cs="Helvetica"/>
        </w:rPr>
        <w:t xml:space="preserve">, </w:t>
      </w:r>
      <w:r w:rsidRPr="005A6933">
        <w:rPr>
          <w:rFonts w:cs="Helvetica"/>
          <w:i/>
          <w:iCs/>
        </w:rPr>
        <w:t>21</w:t>
      </w:r>
      <w:r w:rsidRPr="005A6933">
        <w:rPr>
          <w:rFonts w:cs="Helvetica"/>
        </w:rPr>
        <w:t>, 16.</w:t>
      </w:r>
    </w:p>
    <w:p w14:paraId="7002E728" w14:textId="77777777" w:rsidR="005A6933" w:rsidRPr="005A6933" w:rsidRDefault="005A6933" w:rsidP="005A6933">
      <w:pPr>
        <w:pStyle w:val="Bibliography"/>
        <w:rPr>
          <w:rFonts w:cs="Helvetica"/>
        </w:rPr>
      </w:pPr>
      <w:r w:rsidRPr="005A6933">
        <w:rPr>
          <w:rFonts w:cs="Helvetica"/>
        </w:rPr>
        <w:t xml:space="preserve">Bauernfeind, A., Stemplinger, I., Jungwirth, R., Ernst, S., &amp; Casellas, J. M. (1996). Sequences of beta-lactamase genes encoding CTX-M-1 (MEN-1) and CTX-M-2 and relationship of their amino acid sequences with those of other beta-lactamases. </w:t>
      </w:r>
      <w:r w:rsidRPr="005A6933">
        <w:rPr>
          <w:rFonts w:cs="Helvetica"/>
          <w:i/>
          <w:iCs/>
        </w:rPr>
        <w:t>Antimicrobial Agents and Chemotherapy</w:t>
      </w:r>
      <w:r w:rsidRPr="005A6933">
        <w:rPr>
          <w:rFonts w:cs="Helvetica"/>
        </w:rPr>
        <w:t xml:space="preserve">, </w:t>
      </w:r>
      <w:r w:rsidRPr="005A6933">
        <w:rPr>
          <w:rFonts w:cs="Helvetica"/>
          <w:i/>
          <w:iCs/>
        </w:rPr>
        <w:t>40</w:t>
      </w:r>
      <w:r w:rsidRPr="005A6933">
        <w:rPr>
          <w:rFonts w:cs="Helvetica"/>
        </w:rPr>
        <w:t>(2), 509</w:t>
      </w:r>
      <w:r w:rsidRPr="005A6933">
        <w:rPr>
          <w:rFonts w:ascii="Cambria Math" w:hAnsi="Cambria Math" w:cs="Cambria Math"/>
        </w:rPr>
        <w:t>‑</w:t>
      </w:r>
      <w:r w:rsidRPr="005A6933">
        <w:rPr>
          <w:rFonts w:cs="Helvetica"/>
        </w:rPr>
        <w:t>513. https://doi.org/10.1128/AAC.40.2.509</w:t>
      </w:r>
    </w:p>
    <w:p w14:paraId="3A6AD594" w14:textId="77777777" w:rsidR="005A6933" w:rsidRPr="005A6933" w:rsidRDefault="005A6933" w:rsidP="005A6933">
      <w:pPr>
        <w:pStyle w:val="Bibliography"/>
        <w:rPr>
          <w:rFonts w:cs="Helvetica"/>
          <w:lang w:val="fr-FR"/>
        </w:rPr>
      </w:pPr>
      <w:r w:rsidRPr="005A6933">
        <w:rPr>
          <w:rFonts w:cs="Helvetica"/>
        </w:rPr>
        <w:lastRenderedPageBreak/>
        <w:t xml:space="preserve">Burcelin, R. (2017). </w:t>
      </w:r>
      <w:r w:rsidRPr="005A6933">
        <w:rPr>
          <w:rFonts w:cs="Helvetica"/>
          <w:lang w:val="fr-FR"/>
        </w:rPr>
        <w:t xml:space="preserve">Microbiote intestinal et dialogue immunitaire au cours de la maladie métabolique. </w:t>
      </w:r>
      <w:r w:rsidRPr="005A6933">
        <w:rPr>
          <w:rFonts w:cs="Helvetica"/>
          <w:i/>
          <w:iCs/>
          <w:lang w:val="fr-FR"/>
        </w:rPr>
        <w:t>Biologie Aujourd’hui</w:t>
      </w:r>
      <w:r w:rsidRPr="005A6933">
        <w:rPr>
          <w:rFonts w:cs="Helvetica"/>
          <w:lang w:val="fr-FR"/>
        </w:rPr>
        <w:t xml:space="preserve">, </w:t>
      </w:r>
      <w:r w:rsidRPr="005A6933">
        <w:rPr>
          <w:rFonts w:cs="Helvetica"/>
          <w:i/>
          <w:iCs/>
          <w:lang w:val="fr-FR"/>
        </w:rPr>
        <w:t>211</w:t>
      </w:r>
      <w:r w:rsidRPr="005A6933">
        <w:rPr>
          <w:rFonts w:cs="Helvetica"/>
          <w:lang w:val="fr-FR"/>
        </w:rPr>
        <w:t>(1), Article 1. https://doi.org/10.1051/jbio/2017008</w:t>
      </w:r>
    </w:p>
    <w:p w14:paraId="2F9065E9" w14:textId="77777777" w:rsidR="005A6933" w:rsidRPr="005A6933" w:rsidRDefault="005A6933" w:rsidP="005A6933">
      <w:pPr>
        <w:pStyle w:val="Bibliography"/>
        <w:rPr>
          <w:rFonts w:cs="Helvetica"/>
        </w:rPr>
      </w:pPr>
      <w:r w:rsidRPr="005A6933">
        <w:rPr>
          <w:rFonts w:cs="Helvetica"/>
          <w:lang w:val="fr-FR"/>
        </w:rPr>
        <w:t xml:space="preserve">Candela, M., Perna, F., Carnevali, P., Vitali, B., Ciati, R., Gionchetti, P., Rizzello, F., Campieri, M., &amp; Brigidi, P. (2008). </w:t>
      </w:r>
      <w:r w:rsidRPr="005A6933">
        <w:rPr>
          <w:rFonts w:cs="Helvetica"/>
        </w:rPr>
        <w:t xml:space="preserve">Interaction of probiotic Lactobacillus and Bifidobacterium strains with human intestinal epithelial cells : Adhesion properties, competition against enteropathogens and modulation of IL-8 production. </w:t>
      </w:r>
      <w:r w:rsidRPr="005A6933">
        <w:rPr>
          <w:rFonts w:cs="Helvetica"/>
          <w:i/>
          <w:iCs/>
        </w:rPr>
        <w:t>International journal of food microbiology</w:t>
      </w:r>
      <w:r w:rsidRPr="005A6933">
        <w:rPr>
          <w:rFonts w:cs="Helvetica"/>
        </w:rPr>
        <w:t xml:space="preserve">, </w:t>
      </w:r>
      <w:r w:rsidRPr="005A6933">
        <w:rPr>
          <w:rFonts w:cs="Helvetica"/>
          <w:i/>
          <w:iCs/>
        </w:rPr>
        <w:t>125</w:t>
      </w:r>
      <w:r w:rsidRPr="005A6933">
        <w:rPr>
          <w:rFonts w:cs="Helvetica"/>
        </w:rPr>
        <w:t>(3), 286</w:t>
      </w:r>
      <w:r w:rsidRPr="005A6933">
        <w:rPr>
          <w:rFonts w:ascii="Cambria Math" w:hAnsi="Cambria Math" w:cs="Cambria Math"/>
        </w:rPr>
        <w:t>‑</w:t>
      </w:r>
      <w:r w:rsidRPr="005A6933">
        <w:rPr>
          <w:rFonts w:cs="Helvetica"/>
        </w:rPr>
        <w:t>292.</w:t>
      </w:r>
    </w:p>
    <w:p w14:paraId="51A258A3" w14:textId="77777777" w:rsidR="005A6933" w:rsidRPr="005A6933" w:rsidRDefault="005A6933" w:rsidP="005A6933">
      <w:pPr>
        <w:pStyle w:val="Bibliography"/>
        <w:rPr>
          <w:rFonts w:cs="Helvetica"/>
        </w:rPr>
      </w:pPr>
      <w:r w:rsidRPr="005A6933">
        <w:rPr>
          <w:rFonts w:cs="Helvetica"/>
        </w:rPr>
        <w:t xml:space="preserve">Chmelnitsky, I., Carmeli, Y., Leavitt, A., Schwaber, M. J., &amp; Navon-Venezia, S. (2005). CTX-M-2 and a New CTX-M-39 Enzyme Are the Major Extended-Spectrum Beta-Lactamases in Multiple Escherichia coli Clones Isolated in Tel Aviv, Israel. </w:t>
      </w:r>
      <w:r w:rsidRPr="005A6933">
        <w:rPr>
          <w:rFonts w:cs="Helvetica"/>
          <w:i/>
          <w:iCs/>
        </w:rPr>
        <w:t>Antimicrobial Agents and Chemotherapy</w:t>
      </w:r>
      <w:r w:rsidRPr="005A6933">
        <w:rPr>
          <w:rFonts w:cs="Helvetica"/>
        </w:rPr>
        <w:t xml:space="preserve">, </w:t>
      </w:r>
      <w:r w:rsidRPr="005A6933">
        <w:rPr>
          <w:rFonts w:cs="Helvetica"/>
          <w:i/>
          <w:iCs/>
        </w:rPr>
        <w:t>49</w:t>
      </w:r>
      <w:r w:rsidRPr="005A6933">
        <w:rPr>
          <w:rFonts w:cs="Helvetica"/>
        </w:rPr>
        <w:t>(11), 4745</w:t>
      </w:r>
      <w:r w:rsidRPr="005A6933">
        <w:rPr>
          <w:rFonts w:ascii="Cambria Math" w:hAnsi="Cambria Math" w:cs="Cambria Math"/>
        </w:rPr>
        <w:t>‑</w:t>
      </w:r>
      <w:r w:rsidRPr="005A6933">
        <w:rPr>
          <w:rFonts w:cs="Helvetica"/>
        </w:rPr>
        <w:t>4750. https://doi.org/10.1128/AAC.49.11.4745-4750.2005</w:t>
      </w:r>
    </w:p>
    <w:p w14:paraId="5C2F3982" w14:textId="77777777" w:rsidR="005A6933" w:rsidRPr="005A6933" w:rsidRDefault="005A6933" w:rsidP="005A6933">
      <w:pPr>
        <w:pStyle w:val="Bibliography"/>
        <w:rPr>
          <w:rFonts w:cs="Helvetica"/>
          <w:lang w:val="fr-FR"/>
        </w:rPr>
      </w:pPr>
      <w:r w:rsidRPr="005A6933">
        <w:rPr>
          <w:rFonts w:cs="Helvetica"/>
        </w:rPr>
        <w:t xml:space="preserve">Doré, J., Multon, M.-C., Béhier, J.-M., Affagard, H., Andremont, A., Barthélémy, P., Batista, R., Bonneville, M., Bonny, C., &amp; Boyaval, G. (2017). </w:t>
      </w:r>
      <w:r w:rsidRPr="005A6933">
        <w:rPr>
          <w:rFonts w:cs="Helvetica"/>
          <w:lang w:val="fr-FR"/>
        </w:rPr>
        <w:t xml:space="preserve">Microbiote intestinal : Qu’en attendre au plan physiologique et thérapeutique? </w:t>
      </w:r>
      <w:r w:rsidRPr="005A6933">
        <w:rPr>
          <w:rFonts w:cs="Helvetica"/>
          <w:i/>
          <w:iCs/>
          <w:lang w:val="fr-FR"/>
        </w:rPr>
        <w:t>Therapies</w:t>
      </w:r>
      <w:r w:rsidRPr="005A6933">
        <w:rPr>
          <w:rFonts w:cs="Helvetica"/>
          <w:lang w:val="fr-FR"/>
        </w:rPr>
        <w:t xml:space="preserve">, </w:t>
      </w:r>
      <w:r w:rsidRPr="005A6933">
        <w:rPr>
          <w:rFonts w:cs="Helvetica"/>
          <w:i/>
          <w:iCs/>
          <w:lang w:val="fr-FR"/>
        </w:rPr>
        <w:t>72</w:t>
      </w:r>
      <w:r w:rsidRPr="005A6933">
        <w:rPr>
          <w:rFonts w:cs="Helvetica"/>
          <w:lang w:val="fr-FR"/>
        </w:rPr>
        <w:t>(1), 1</w:t>
      </w:r>
      <w:r w:rsidRPr="005A6933">
        <w:rPr>
          <w:rFonts w:ascii="Cambria Math" w:hAnsi="Cambria Math" w:cs="Cambria Math"/>
          <w:lang w:val="fr-FR"/>
        </w:rPr>
        <w:t>‑</w:t>
      </w:r>
      <w:r w:rsidRPr="005A6933">
        <w:rPr>
          <w:rFonts w:cs="Helvetica"/>
          <w:lang w:val="fr-FR"/>
        </w:rPr>
        <w:t>19.</w:t>
      </w:r>
    </w:p>
    <w:p w14:paraId="1ABE1755" w14:textId="77777777" w:rsidR="005A6933" w:rsidRPr="005A6933" w:rsidRDefault="005A6933" w:rsidP="005A6933">
      <w:pPr>
        <w:pStyle w:val="Bibliography"/>
        <w:rPr>
          <w:rFonts w:cs="Helvetica"/>
        </w:rPr>
      </w:pPr>
      <w:r w:rsidRPr="005A6933">
        <w:rPr>
          <w:rFonts w:cs="Helvetica"/>
          <w:lang w:val="fr-FR"/>
        </w:rPr>
        <w:t xml:space="preserve">Eckert, C., Gautier, V., Saladin-Allard, M., Hidri, N., Verdet, C., Ould-Hocine, Z., Barnaud, G., Delisle, F., Rossier, A., Lambert, T., Philippon, A., &amp; Arlet, G. (2004). </w:t>
      </w:r>
      <w:r w:rsidRPr="005A6933">
        <w:rPr>
          <w:rFonts w:cs="Helvetica"/>
        </w:rPr>
        <w:t xml:space="preserve">Dissemination of CTX-M-type beta-lactamases among clinical isolates of Enterobacteriaceae in Paris, France. </w:t>
      </w:r>
      <w:r w:rsidRPr="005A6933">
        <w:rPr>
          <w:rFonts w:cs="Helvetica"/>
          <w:i/>
          <w:iCs/>
        </w:rPr>
        <w:t>Antimicrobial Agents and Chemotherapy</w:t>
      </w:r>
      <w:r w:rsidRPr="005A6933">
        <w:rPr>
          <w:rFonts w:cs="Helvetica"/>
        </w:rPr>
        <w:t xml:space="preserve">, </w:t>
      </w:r>
      <w:r w:rsidRPr="005A6933">
        <w:rPr>
          <w:rFonts w:cs="Helvetica"/>
          <w:i/>
          <w:iCs/>
        </w:rPr>
        <w:t>48</w:t>
      </w:r>
      <w:r w:rsidRPr="005A6933">
        <w:rPr>
          <w:rFonts w:cs="Helvetica"/>
        </w:rPr>
        <w:t>(4), 1249</w:t>
      </w:r>
      <w:r w:rsidRPr="005A6933">
        <w:rPr>
          <w:rFonts w:ascii="Cambria Math" w:hAnsi="Cambria Math" w:cs="Cambria Math"/>
        </w:rPr>
        <w:t>‑</w:t>
      </w:r>
      <w:r w:rsidRPr="005A6933">
        <w:rPr>
          <w:rFonts w:cs="Helvetica"/>
        </w:rPr>
        <w:t>1255. https://doi.org/10.1128/AAC.48.4.1249-1255.2004</w:t>
      </w:r>
    </w:p>
    <w:p w14:paraId="0991C8F6" w14:textId="77777777" w:rsidR="005A6933" w:rsidRPr="005A6933" w:rsidRDefault="005A6933" w:rsidP="005A6933">
      <w:pPr>
        <w:pStyle w:val="Bibliography"/>
        <w:rPr>
          <w:rFonts w:cs="Helvetica"/>
        </w:rPr>
      </w:pPr>
      <w:r w:rsidRPr="005A6933">
        <w:rPr>
          <w:rFonts w:cs="Helvetica"/>
        </w:rPr>
        <w:t xml:space="preserve">Essack, S. Y., Desta, A. T., Abotsi, R. E., &amp; Agoba, E. E. (2017). Antimicrobial resistance in the WHO African region : Current status and roadmap for action. </w:t>
      </w:r>
      <w:r w:rsidRPr="005A6933">
        <w:rPr>
          <w:rFonts w:cs="Helvetica"/>
          <w:i/>
          <w:iCs/>
        </w:rPr>
        <w:t>Journal of Public Health</w:t>
      </w:r>
      <w:r w:rsidRPr="005A6933">
        <w:rPr>
          <w:rFonts w:cs="Helvetica"/>
        </w:rPr>
        <w:t xml:space="preserve">, </w:t>
      </w:r>
      <w:r w:rsidRPr="005A6933">
        <w:rPr>
          <w:rFonts w:cs="Helvetica"/>
          <w:i/>
          <w:iCs/>
        </w:rPr>
        <w:t>39</w:t>
      </w:r>
      <w:r w:rsidRPr="005A6933">
        <w:rPr>
          <w:rFonts w:cs="Helvetica"/>
        </w:rPr>
        <w:t>(1), 8</w:t>
      </w:r>
      <w:r w:rsidRPr="005A6933">
        <w:rPr>
          <w:rFonts w:ascii="Cambria Math" w:hAnsi="Cambria Math" w:cs="Cambria Math"/>
        </w:rPr>
        <w:t>‑</w:t>
      </w:r>
      <w:r w:rsidRPr="005A6933">
        <w:rPr>
          <w:rFonts w:cs="Helvetica"/>
        </w:rPr>
        <w:t>13. https://doi.org/10.1093/pubmed/fdw015</w:t>
      </w:r>
    </w:p>
    <w:p w14:paraId="38D737DF" w14:textId="77777777" w:rsidR="005A6933" w:rsidRPr="005A6933" w:rsidRDefault="005A6933" w:rsidP="005A6933">
      <w:pPr>
        <w:pStyle w:val="Bibliography"/>
        <w:rPr>
          <w:rFonts w:cs="Helvetica"/>
        </w:rPr>
      </w:pPr>
      <w:r w:rsidRPr="005A6933">
        <w:rPr>
          <w:rFonts w:cs="Helvetica"/>
        </w:rPr>
        <w:t xml:space="preserve">Green, M. R., &amp; Sambrook, J. (2017). Isolation of high-molecular-weight DNA using organic solvents. </w:t>
      </w:r>
      <w:r w:rsidRPr="005A6933">
        <w:rPr>
          <w:rFonts w:cs="Helvetica"/>
          <w:i/>
          <w:iCs/>
        </w:rPr>
        <w:t>Cold Spring Harbor Protocols</w:t>
      </w:r>
      <w:r w:rsidRPr="005A6933">
        <w:rPr>
          <w:rFonts w:cs="Helvetica"/>
        </w:rPr>
        <w:t xml:space="preserve">, </w:t>
      </w:r>
      <w:r w:rsidRPr="005A6933">
        <w:rPr>
          <w:rFonts w:cs="Helvetica"/>
          <w:i/>
          <w:iCs/>
        </w:rPr>
        <w:t>2017</w:t>
      </w:r>
      <w:r w:rsidRPr="005A6933">
        <w:rPr>
          <w:rFonts w:cs="Helvetica"/>
        </w:rPr>
        <w:t>(4), pdb-prot093450.</w:t>
      </w:r>
    </w:p>
    <w:p w14:paraId="338729D3" w14:textId="77777777" w:rsidR="005A6933" w:rsidRPr="005A6933" w:rsidRDefault="005A6933" w:rsidP="005A6933">
      <w:pPr>
        <w:pStyle w:val="Bibliography"/>
        <w:rPr>
          <w:rFonts w:cs="Helvetica"/>
          <w:lang w:val="fr-FR"/>
        </w:rPr>
      </w:pPr>
      <w:r w:rsidRPr="005A6933">
        <w:rPr>
          <w:rFonts w:cs="Helvetica"/>
        </w:rPr>
        <w:t xml:space="preserve">Guessennd, N., Bremont, S., Gbonon, V., Kacou-NDouba, A., Ekaza, E., Lambert, T., Dosso, M., &amp; Courvalin, P. (2008). </w:t>
      </w:r>
      <w:r w:rsidRPr="005A6933">
        <w:rPr>
          <w:rFonts w:cs="Helvetica"/>
          <w:lang w:val="fr-FR"/>
        </w:rPr>
        <w:t xml:space="preserve">Résistance aux quinolones de type qnr chez les entérobactéries productrices de bêta-lactamases à spectre élargi à Abidjan en Côte d’Ivoire. </w:t>
      </w:r>
      <w:r w:rsidRPr="005A6933">
        <w:rPr>
          <w:rFonts w:cs="Helvetica"/>
          <w:i/>
          <w:iCs/>
          <w:lang w:val="fr-FR"/>
        </w:rPr>
        <w:t>Pathologie Biologie</w:t>
      </w:r>
      <w:r w:rsidRPr="005A6933">
        <w:rPr>
          <w:rFonts w:cs="Helvetica"/>
          <w:lang w:val="fr-FR"/>
        </w:rPr>
        <w:t xml:space="preserve">, </w:t>
      </w:r>
      <w:r w:rsidRPr="005A6933">
        <w:rPr>
          <w:rFonts w:cs="Helvetica"/>
          <w:i/>
          <w:iCs/>
          <w:lang w:val="fr-FR"/>
        </w:rPr>
        <w:t>56</w:t>
      </w:r>
      <w:r w:rsidRPr="005A6933">
        <w:rPr>
          <w:rFonts w:cs="Helvetica"/>
          <w:lang w:val="fr-FR"/>
        </w:rPr>
        <w:t>(7), 439</w:t>
      </w:r>
      <w:r w:rsidRPr="005A6933">
        <w:rPr>
          <w:rFonts w:ascii="Cambria Math" w:hAnsi="Cambria Math" w:cs="Cambria Math"/>
          <w:lang w:val="fr-FR"/>
        </w:rPr>
        <w:t>‑</w:t>
      </w:r>
      <w:r w:rsidRPr="005A6933">
        <w:rPr>
          <w:rFonts w:cs="Helvetica"/>
          <w:lang w:val="fr-FR"/>
        </w:rPr>
        <w:t>446. https://doi.org/10.1016/j.patbio.2008.07.025</w:t>
      </w:r>
    </w:p>
    <w:p w14:paraId="635C45E3" w14:textId="77777777" w:rsidR="005A6933" w:rsidRPr="005A6933" w:rsidRDefault="005A6933" w:rsidP="005A6933">
      <w:pPr>
        <w:pStyle w:val="Bibliography"/>
        <w:rPr>
          <w:rFonts w:cs="Helvetica"/>
        </w:rPr>
      </w:pPr>
      <w:r w:rsidRPr="005A6933">
        <w:rPr>
          <w:rFonts w:cs="Helvetica"/>
          <w:lang w:val="fr-FR"/>
        </w:rPr>
        <w:t xml:space="preserve">Guessennd, N. K., Ouattara, M. B., Ouattara, N. D., Nevry, R. K., Gbanon, V., Tiekoura, K. B., Dosso, M., &amp; Ger, B. M. R. (2013). Étude des bactéries multirésistantes des effluents hospitaliers d’un centre hospitalier et universitaire (CHU) de la ville d’Abidjan (Côte d’Ivoire). </w:t>
      </w:r>
      <w:r w:rsidRPr="005A6933">
        <w:rPr>
          <w:rFonts w:cs="Helvetica"/>
          <w:i/>
          <w:iCs/>
        </w:rPr>
        <w:t>Journal of Applied Biosciences</w:t>
      </w:r>
      <w:r w:rsidRPr="005A6933">
        <w:rPr>
          <w:rFonts w:cs="Helvetica"/>
        </w:rPr>
        <w:t xml:space="preserve">, </w:t>
      </w:r>
      <w:r w:rsidRPr="005A6933">
        <w:rPr>
          <w:rFonts w:cs="Helvetica"/>
          <w:i/>
          <w:iCs/>
        </w:rPr>
        <w:t>69</w:t>
      </w:r>
      <w:r w:rsidRPr="005A6933">
        <w:rPr>
          <w:rFonts w:cs="Helvetica"/>
        </w:rPr>
        <w:t>, 5456</w:t>
      </w:r>
      <w:r w:rsidRPr="005A6933">
        <w:rPr>
          <w:rFonts w:ascii="Cambria Math" w:hAnsi="Cambria Math" w:cs="Cambria Math"/>
        </w:rPr>
        <w:t>‑</w:t>
      </w:r>
      <w:r w:rsidRPr="005A6933">
        <w:rPr>
          <w:rFonts w:cs="Helvetica"/>
        </w:rPr>
        <w:t>5464.</w:t>
      </w:r>
    </w:p>
    <w:p w14:paraId="65F2052E" w14:textId="77777777" w:rsidR="005A6933" w:rsidRPr="005A6933" w:rsidRDefault="005A6933" w:rsidP="005A6933">
      <w:pPr>
        <w:pStyle w:val="Bibliography"/>
        <w:rPr>
          <w:rFonts w:cs="Helvetica"/>
          <w:lang w:val="es-ES"/>
        </w:rPr>
      </w:pPr>
      <w:r w:rsidRPr="005A6933">
        <w:rPr>
          <w:rFonts w:cs="Helvetica"/>
        </w:rPr>
        <w:t xml:space="preserve">Gürsoy, M., Pajukanta, R., Sorsa, T., &amp; Könönen, E. (2008). Clinical changes in periodontium during pregnancy and post-partum. </w:t>
      </w:r>
      <w:r w:rsidRPr="005A6933">
        <w:rPr>
          <w:rFonts w:cs="Helvetica"/>
          <w:i/>
          <w:iCs/>
          <w:lang w:val="es-ES"/>
        </w:rPr>
        <w:t>Journal of Clinical Periodontology</w:t>
      </w:r>
      <w:r w:rsidRPr="005A6933">
        <w:rPr>
          <w:rFonts w:cs="Helvetica"/>
          <w:lang w:val="es-ES"/>
        </w:rPr>
        <w:t xml:space="preserve">, </w:t>
      </w:r>
      <w:r w:rsidRPr="005A6933">
        <w:rPr>
          <w:rFonts w:cs="Helvetica"/>
          <w:i/>
          <w:iCs/>
          <w:lang w:val="es-ES"/>
        </w:rPr>
        <w:t>35</w:t>
      </w:r>
      <w:r w:rsidRPr="005A6933">
        <w:rPr>
          <w:rFonts w:cs="Helvetica"/>
          <w:lang w:val="es-ES"/>
        </w:rPr>
        <w:t>(7), 576</w:t>
      </w:r>
      <w:r w:rsidRPr="005A6933">
        <w:rPr>
          <w:rFonts w:ascii="Cambria Math" w:hAnsi="Cambria Math" w:cs="Cambria Math"/>
          <w:lang w:val="es-ES"/>
        </w:rPr>
        <w:t>‑</w:t>
      </w:r>
      <w:r w:rsidRPr="005A6933">
        <w:rPr>
          <w:rFonts w:cs="Helvetica"/>
          <w:lang w:val="es-ES"/>
        </w:rPr>
        <w:t>583. https://doi.org/10.1111/j.1600-051X.2008.01236.x</w:t>
      </w:r>
    </w:p>
    <w:p w14:paraId="10BDAF3F" w14:textId="77777777" w:rsidR="005A6933" w:rsidRPr="005A6933" w:rsidRDefault="005A6933" w:rsidP="005A6933">
      <w:pPr>
        <w:pStyle w:val="Bibliography"/>
        <w:rPr>
          <w:rFonts w:cs="Helvetica"/>
        </w:rPr>
      </w:pPr>
      <w:r w:rsidRPr="005A6933">
        <w:rPr>
          <w:rFonts w:cs="Helvetica"/>
          <w:lang w:val="es-ES"/>
        </w:rPr>
        <w:lastRenderedPageBreak/>
        <w:t xml:space="preserve">Hamers, R. L., Dobreva, Z., Cassini, A., Tamara, A., Lazarus, G., Asadinia, K. S., Burzo, S., Olaru, I. D., Dona, D., Emdin, F., Van Weezenbeek, K., &amp; Bertagnolio, S. (2023). </w:t>
      </w:r>
      <w:r w:rsidRPr="005A6933">
        <w:rPr>
          <w:rFonts w:cs="Helvetica"/>
        </w:rPr>
        <w:t xml:space="preserve">Global knowledge gaps on antimicrobial resistance in the human health sector : A scoping review. </w:t>
      </w:r>
      <w:r w:rsidRPr="005A6933">
        <w:rPr>
          <w:rFonts w:cs="Helvetica"/>
          <w:i/>
          <w:iCs/>
        </w:rPr>
        <w:t>International Journal of Infectious Diseases</w:t>
      </w:r>
      <w:r w:rsidRPr="005A6933">
        <w:rPr>
          <w:rFonts w:cs="Helvetica"/>
        </w:rPr>
        <w:t xml:space="preserve">, </w:t>
      </w:r>
      <w:r w:rsidRPr="005A6933">
        <w:rPr>
          <w:rFonts w:cs="Helvetica"/>
          <w:i/>
          <w:iCs/>
        </w:rPr>
        <w:t>134</w:t>
      </w:r>
      <w:r w:rsidRPr="005A6933">
        <w:rPr>
          <w:rFonts w:cs="Helvetica"/>
        </w:rPr>
        <w:t>, 142</w:t>
      </w:r>
      <w:r w:rsidRPr="005A6933">
        <w:rPr>
          <w:rFonts w:ascii="Cambria Math" w:hAnsi="Cambria Math" w:cs="Cambria Math"/>
        </w:rPr>
        <w:t>‑</w:t>
      </w:r>
      <w:r w:rsidRPr="005A6933">
        <w:rPr>
          <w:rFonts w:cs="Helvetica"/>
        </w:rPr>
        <w:t>149. https://doi.org/10.1016/j.ijid.2023.06.004</w:t>
      </w:r>
    </w:p>
    <w:p w14:paraId="57F8CF30" w14:textId="77777777" w:rsidR="005A6933" w:rsidRPr="005A6933" w:rsidRDefault="005A6933" w:rsidP="005A6933">
      <w:pPr>
        <w:pStyle w:val="Bibliography"/>
        <w:rPr>
          <w:rFonts w:cs="Helvetica"/>
        </w:rPr>
      </w:pPr>
      <w:r w:rsidRPr="005A6933">
        <w:rPr>
          <w:rFonts w:cs="Helvetica"/>
        </w:rPr>
        <w:t xml:space="preserve">Helmy, M. M., &amp; Wasfi, R. (2014). Phenotypic and Molecular Characterization of Plasmid Mediated AmpC β-Lactamases among Escherichia coli, Klebsiella spp., and Proteus mirabilis Isolated from Urinary Tract Infections in Egyptian Hospitals. </w:t>
      </w:r>
      <w:r w:rsidRPr="005A6933">
        <w:rPr>
          <w:rFonts w:cs="Helvetica"/>
          <w:i/>
          <w:iCs/>
        </w:rPr>
        <w:t>BioMed Research International</w:t>
      </w:r>
      <w:r w:rsidRPr="005A6933">
        <w:rPr>
          <w:rFonts w:cs="Helvetica"/>
        </w:rPr>
        <w:t xml:space="preserve">, </w:t>
      </w:r>
      <w:r w:rsidRPr="005A6933">
        <w:rPr>
          <w:rFonts w:cs="Helvetica"/>
          <w:i/>
          <w:iCs/>
        </w:rPr>
        <w:t>2014</w:t>
      </w:r>
      <w:r w:rsidRPr="005A6933">
        <w:rPr>
          <w:rFonts w:cs="Helvetica"/>
        </w:rPr>
        <w:t>(1), 171548. https://doi.org/10.1155/2014/171548</w:t>
      </w:r>
    </w:p>
    <w:p w14:paraId="7F315354" w14:textId="77777777" w:rsidR="005A6933" w:rsidRPr="005A6933" w:rsidRDefault="005A6933" w:rsidP="005A6933">
      <w:pPr>
        <w:pStyle w:val="Bibliography"/>
        <w:rPr>
          <w:rFonts w:cs="Helvetica"/>
          <w:lang w:val="es-ES"/>
        </w:rPr>
      </w:pPr>
      <w:r w:rsidRPr="005A6933">
        <w:rPr>
          <w:rFonts w:cs="Helvetica"/>
        </w:rPr>
        <w:t xml:space="preserve">Ibrahim, D. R., Dodd, C. E., Stekel, D. J., Meshioye, R. T., Diggle, M., Lister, M., &amp; Hobman, J. L. (2023). Multidrug-resistant ESBL-producing E. coli in clinical samples from the UK. </w:t>
      </w:r>
      <w:r w:rsidRPr="005A6933">
        <w:rPr>
          <w:rFonts w:cs="Helvetica"/>
          <w:i/>
          <w:iCs/>
          <w:lang w:val="es-ES"/>
        </w:rPr>
        <w:t>Antibiotics</w:t>
      </w:r>
      <w:r w:rsidRPr="005A6933">
        <w:rPr>
          <w:rFonts w:cs="Helvetica"/>
          <w:lang w:val="es-ES"/>
        </w:rPr>
        <w:t xml:space="preserve">, </w:t>
      </w:r>
      <w:r w:rsidRPr="005A6933">
        <w:rPr>
          <w:rFonts w:cs="Helvetica"/>
          <w:i/>
          <w:iCs/>
          <w:lang w:val="es-ES"/>
        </w:rPr>
        <w:t>12</w:t>
      </w:r>
      <w:r w:rsidRPr="005A6933">
        <w:rPr>
          <w:rFonts w:cs="Helvetica"/>
          <w:lang w:val="es-ES"/>
        </w:rPr>
        <w:t>(1), 169.</w:t>
      </w:r>
    </w:p>
    <w:p w14:paraId="2256B720" w14:textId="77777777" w:rsidR="005A6933" w:rsidRPr="005A6933" w:rsidRDefault="005A6933" w:rsidP="005A6933">
      <w:pPr>
        <w:pStyle w:val="Bibliography"/>
        <w:rPr>
          <w:rFonts w:cs="Helvetica"/>
          <w:lang w:val="fr-FR"/>
        </w:rPr>
      </w:pPr>
      <w:r w:rsidRPr="005A6933">
        <w:rPr>
          <w:rFonts w:cs="Helvetica"/>
          <w:lang w:val="es-ES"/>
        </w:rPr>
        <w:t xml:space="preserve">Jerez-Roig, J., Medeiros, L. F. B., Silva, V. A. B., Bezerra, C. L. P. A. M., Cavalcante, L. A. R., Piuvezam, G., &amp; Souza, D. L. B. (2014). </w:t>
      </w:r>
      <w:r w:rsidRPr="005A6933">
        <w:rPr>
          <w:rFonts w:cs="Helvetica"/>
        </w:rPr>
        <w:t xml:space="preserve">Prevalence of Self-Medication and Associated Factors in an Elderly Population : A Systematic Review. </w:t>
      </w:r>
      <w:r w:rsidRPr="005A6933">
        <w:rPr>
          <w:rFonts w:cs="Helvetica"/>
          <w:i/>
          <w:iCs/>
          <w:lang w:val="fr-FR"/>
        </w:rPr>
        <w:t>Drugs &amp; Aging</w:t>
      </w:r>
      <w:r w:rsidRPr="005A6933">
        <w:rPr>
          <w:rFonts w:cs="Helvetica"/>
          <w:lang w:val="fr-FR"/>
        </w:rPr>
        <w:t xml:space="preserve">, </w:t>
      </w:r>
      <w:r w:rsidRPr="005A6933">
        <w:rPr>
          <w:rFonts w:cs="Helvetica"/>
          <w:i/>
          <w:iCs/>
          <w:lang w:val="fr-FR"/>
        </w:rPr>
        <w:t>31</w:t>
      </w:r>
      <w:r w:rsidRPr="005A6933">
        <w:rPr>
          <w:rFonts w:cs="Helvetica"/>
          <w:lang w:val="fr-FR"/>
        </w:rPr>
        <w:t>(12), 883</w:t>
      </w:r>
      <w:r w:rsidRPr="005A6933">
        <w:rPr>
          <w:rFonts w:ascii="Cambria Math" w:hAnsi="Cambria Math" w:cs="Cambria Math"/>
          <w:lang w:val="fr-FR"/>
        </w:rPr>
        <w:t>‑</w:t>
      </w:r>
      <w:r w:rsidRPr="005A6933">
        <w:rPr>
          <w:rFonts w:cs="Helvetica"/>
          <w:lang w:val="fr-FR"/>
        </w:rPr>
        <w:t>896. https://doi.org/10.1007/s40266-014-0217-x</w:t>
      </w:r>
    </w:p>
    <w:p w14:paraId="73BC18F8" w14:textId="77777777" w:rsidR="005A6933" w:rsidRPr="005A6933" w:rsidRDefault="005A6933" w:rsidP="005A6933">
      <w:pPr>
        <w:pStyle w:val="Bibliography"/>
        <w:rPr>
          <w:rFonts w:cs="Helvetica"/>
          <w:lang w:val="fr-FR"/>
        </w:rPr>
      </w:pPr>
      <w:r w:rsidRPr="005A6933">
        <w:rPr>
          <w:rFonts w:cs="Helvetica"/>
          <w:lang w:val="fr-FR"/>
        </w:rPr>
        <w:t xml:space="preserve">Kaboré, W. A., Ouédraogo, C. D., Konaté, A., Traoré, R. G., Chevalier, V., Boisramé, S., Barro, N., &amp; Sangaré, L. (2016). Automédication au cours des affections bucco-dentaires à Ouagadougou, Burkina Faso. </w:t>
      </w:r>
      <w:r w:rsidRPr="005A6933">
        <w:rPr>
          <w:rFonts w:cs="Helvetica"/>
          <w:i/>
          <w:iCs/>
          <w:lang w:val="fr-FR"/>
        </w:rPr>
        <w:t>Médecine Buccale Chirurgie Buccale</w:t>
      </w:r>
      <w:r w:rsidRPr="005A6933">
        <w:rPr>
          <w:rFonts w:cs="Helvetica"/>
          <w:lang w:val="fr-FR"/>
        </w:rPr>
        <w:t xml:space="preserve">, </w:t>
      </w:r>
      <w:r w:rsidRPr="005A6933">
        <w:rPr>
          <w:rFonts w:cs="Helvetica"/>
          <w:i/>
          <w:iCs/>
          <w:lang w:val="fr-FR"/>
        </w:rPr>
        <w:t>22</w:t>
      </w:r>
      <w:r w:rsidRPr="005A6933">
        <w:rPr>
          <w:rFonts w:cs="Helvetica"/>
          <w:lang w:val="fr-FR"/>
        </w:rPr>
        <w:t>(4), 277</w:t>
      </w:r>
      <w:r w:rsidRPr="005A6933">
        <w:rPr>
          <w:rFonts w:ascii="Cambria Math" w:hAnsi="Cambria Math" w:cs="Cambria Math"/>
          <w:lang w:val="fr-FR"/>
        </w:rPr>
        <w:t>‑</w:t>
      </w:r>
      <w:r w:rsidRPr="005A6933">
        <w:rPr>
          <w:rFonts w:cs="Helvetica"/>
          <w:lang w:val="fr-FR"/>
        </w:rPr>
        <w:t>284.</w:t>
      </w:r>
    </w:p>
    <w:p w14:paraId="1216D3D7" w14:textId="77777777" w:rsidR="005A6933" w:rsidRPr="005A6933" w:rsidRDefault="005A6933" w:rsidP="005A6933">
      <w:pPr>
        <w:pStyle w:val="Bibliography"/>
        <w:rPr>
          <w:rFonts w:cs="Helvetica"/>
        </w:rPr>
      </w:pPr>
      <w:r w:rsidRPr="005A6933">
        <w:rPr>
          <w:rFonts w:cs="Helvetica"/>
          <w:lang w:val="fr-FR"/>
        </w:rPr>
        <w:t xml:space="preserve">Kikwilu, E. N., Masalu, J. R., Kahabuka, F. K., &amp; Senkoro, A. R. (2008). </w:t>
      </w:r>
      <w:r w:rsidRPr="005A6933">
        <w:rPr>
          <w:rFonts w:cs="Helvetica"/>
        </w:rPr>
        <w:t xml:space="preserve">Prevalence of oral pain and barriers to use of emergency oral care facilities among adult Tanzanians. </w:t>
      </w:r>
      <w:r w:rsidRPr="005A6933">
        <w:rPr>
          <w:rFonts w:cs="Helvetica"/>
          <w:i/>
          <w:iCs/>
        </w:rPr>
        <w:t>BMC Oral Health</w:t>
      </w:r>
      <w:r w:rsidRPr="005A6933">
        <w:rPr>
          <w:rFonts w:cs="Helvetica"/>
        </w:rPr>
        <w:t xml:space="preserve">, </w:t>
      </w:r>
      <w:r w:rsidRPr="005A6933">
        <w:rPr>
          <w:rFonts w:cs="Helvetica"/>
          <w:i/>
          <w:iCs/>
        </w:rPr>
        <w:t>8</w:t>
      </w:r>
      <w:r w:rsidRPr="005A6933">
        <w:rPr>
          <w:rFonts w:cs="Helvetica"/>
        </w:rPr>
        <w:t>, 28. https://doi.org/10.1186/1472-6831-8-28</w:t>
      </w:r>
    </w:p>
    <w:p w14:paraId="10C98865" w14:textId="77777777" w:rsidR="005A6933" w:rsidRPr="005A6933" w:rsidRDefault="005A6933" w:rsidP="005A6933">
      <w:pPr>
        <w:pStyle w:val="Bibliography"/>
        <w:rPr>
          <w:rFonts w:cs="Helvetica"/>
        </w:rPr>
      </w:pPr>
      <w:r w:rsidRPr="005A6933">
        <w:rPr>
          <w:rFonts w:cs="Helvetica"/>
        </w:rPr>
        <w:t xml:space="preserve">Kitamoto, S., Nagao-Kitamoto, H., Hein, R., Schmidt, T. M., &amp; Kamada, N. (2020). The Bacterial Connection between the Oral Cavity and the Gut Diseases. </w:t>
      </w:r>
      <w:r w:rsidRPr="005A6933">
        <w:rPr>
          <w:rFonts w:cs="Helvetica"/>
          <w:i/>
          <w:iCs/>
        </w:rPr>
        <w:t>Journal of Dental Research</w:t>
      </w:r>
      <w:r w:rsidRPr="005A6933">
        <w:rPr>
          <w:rFonts w:cs="Helvetica"/>
        </w:rPr>
        <w:t xml:space="preserve">, </w:t>
      </w:r>
      <w:r w:rsidRPr="005A6933">
        <w:rPr>
          <w:rFonts w:cs="Helvetica"/>
          <w:i/>
          <w:iCs/>
        </w:rPr>
        <w:t>99</w:t>
      </w:r>
      <w:r w:rsidRPr="005A6933">
        <w:rPr>
          <w:rFonts w:cs="Helvetica"/>
        </w:rPr>
        <w:t>(9), 1021</w:t>
      </w:r>
      <w:r w:rsidRPr="005A6933">
        <w:rPr>
          <w:rFonts w:ascii="Cambria Math" w:hAnsi="Cambria Math" w:cs="Cambria Math"/>
        </w:rPr>
        <w:t>‑</w:t>
      </w:r>
      <w:r w:rsidRPr="005A6933">
        <w:rPr>
          <w:rFonts w:cs="Helvetica"/>
        </w:rPr>
        <w:t>1029. https://doi.org/10.1177/0022034520924633</w:t>
      </w:r>
    </w:p>
    <w:p w14:paraId="1E824164" w14:textId="77777777" w:rsidR="005A6933" w:rsidRPr="005A6933" w:rsidRDefault="005A6933" w:rsidP="005A6933">
      <w:pPr>
        <w:pStyle w:val="Bibliography"/>
        <w:rPr>
          <w:rFonts w:cs="Helvetica"/>
          <w:lang w:val="es-ES"/>
        </w:rPr>
      </w:pPr>
      <w:r w:rsidRPr="005A6933">
        <w:rPr>
          <w:rFonts w:cs="Helvetica"/>
        </w:rPr>
        <w:t xml:space="preserve">Kutesa, A., Kasangaki, A., Nkamba, M., Muwazi, L., Okullo, I., &amp; Rwenyonyi, C. M. (2015). Prevalence and factors associated with dental caries among children and adults in selected districts in Uganda. </w:t>
      </w:r>
      <w:r w:rsidRPr="005A6933">
        <w:rPr>
          <w:rFonts w:cs="Helvetica"/>
          <w:i/>
          <w:iCs/>
          <w:lang w:val="es-ES"/>
        </w:rPr>
        <w:t>African Health Sciences</w:t>
      </w:r>
      <w:r w:rsidRPr="005A6933">
        <w:rPr>
          <w:rFonts w:cs="Helvetica"/>
          <w:lang w:val="es-ES"/>
        </w:rPr>
        <w:t xml:space="preserve">, </w:t>
      </w:r>
      <w:r w:rsidRPr="005A6933">
        <w:rPr>
          <w:rFonts w:cs="Helvetica"/>
          <w:i/>
          <w:iCs/>
          <w:lang w:val="es-ES"/>
        </w:rPr>
        <w:t>15</w:t>
      </w:r>
      <w:r w:rsidRPr="005A6933">
        <w:rPr>
          <w:rFonts w:cs="Helvetica"/>
          <w:lang w:val="es-ES"/>
        </w:rPr>
        <w:t>(4), 1302</w:t>
      </w:r>
      <w:r w:rsidRPr="005A6933">
        <w:rPr>
          <w:rFonts w:ascii="Cambria Math" w:hAnsi="Cambria Math" w:cs="Cambria Math"/>
          <w:lang w:val="es-ES"/>
        </w:rPr>
        <w:t>‑</w:t>
      </w:r>
      <w:r w:rsidRPr="005A6933">
        <w:rPr>
          <w:rFonts w:cs="Helvetica"/>
          <w:lang w:val="es-ES"/>
        </w:rPr>
        <w:t>1307. https://doi.org/10.4314/ahs.v15i4.33</w:t>
      </w:r>
    </w:p>
    <w:p w14:paraId="061363BC" w14:textId="77777777" w:rsidR="005A6933" w:rsidRPr="005A6933" w:rsidRDefault="005A6933" w:rsidP="005A6933">
      <w:pPr>
        <w:pStyle w:val="Bibliography"/>
        <w:rPr>
          <w:rFonts w:cs="Helvetica"/>
          <w:lang w:val="es-ES"/>
        </w:rPr>
      </w:pPr>
      <w:r w:rsidRPr="005A6933">
        <w:rPr>
          <w:rFonts w:cs="Helvetica"/>
          <w:lang w:val="es-ES"/>
        </w:rPr>
        <w:t xml:space="preserve">LEÃO-VASCONCELOS, L. S. N. de O., Lima, A. B. M., Costa, D. de M., Rocha-Vilefort, L. O., OLIVEIRA, A. C. A. de, Goncalves, N. F., Vieira, J. D. G., &amp; Prado-Palos, M. A. (2015). </w:t>
      </w:r>
      <w:r w:rsidRPr="005A6933">
        <w:rPr>
          <w:rFonts w:cs="Helvetica"/>
        </w:rPr>
        <w:t xml:space="preserve">Enterobacteriaceae isolates from the oral cavity of workers in a Brazilian oncology hospital. </w:t>
      </w:r>
      <w:r w:rsidRPr="005A6933">
        <w:rPr>
          <w:rFonts w:cs="Helvetica"/>
          <w:i/>
          <w:iCs/>
          <w:lang w:val="es-ES"/>
        </w:rPr>
        <w:t>Revista do Instituto de Medicina Tropical de São Paulo</w:t>
      </w:r>
      <w:r w:rsidRPr="005A6933">
        <w:rPr>
          <w:rFonts w:cs="Helvetica"/>
          <w:lang w:val="es-ES"/>
        </w:rPr>
        <w:t xml:space="preserve">, </w:t>
      </w:r>
      <w:r w:rsidRPr="005A6933">
        <w:rPr>
          <w:rFonts w:cs="Helvetica"/>
          <w:i/>
          <w:iCs/>
          <w:lang w:val="es-ES"/>
        </w:rPr>
        <w:t>57</w:t>
      </w:r>
      <w:r w:rsidRPr="005A6933">
        <w:rPr>
          <w:rFonts w:cs="Helvetica"/>
          <w:lang w:val="es-ES"/>
        </w:rPr>
        <w:t>(2), 121</w:t>
      </w:r>
      <w:r w:rsidRPr="005A6933">
        <w:rPr>
          <w:rFonts w:ascii="Cambria Math" w:hAnsi="Cambria Math" w:cs="Cambria Math"/>
          <w:lang w:val="es-ES"/>
        </w:rPr>
        <w:t>‑</w:t>
      </w:r>
      <w:r w:rsidRPr="005A6933">
        <w:rPr>
          <w:rFonts w:cs="Helvetica"/>
          <w:lang w:val="es-ES"/>
        </w:rPr>
        <w:t>127.</w:t>
      </w:r>
    </w:p>
    <w:p w14:paraId="30E5E4EF" w14:textId="77777777" w:rsidR="005A6933" w:rsidRPr="005A6933" w:rsidRDefault="005A6933" w:rsidP="005A6933">
      <w:pPr>
        <w:pStyle w:val="Bibliography"/>
        <w:rPr>
          <w:rFonts w:cs="Helvetica"/>
          <w:lang w:val="fr-FR"/>
        </w:rPr>
      </w:pPr>
      <w:r w:rsidRPr="005A6933">
        <w:rPr>
          <w:rFonts w:cs="Helvetica"/>
          <w:lang w:val="es-ES"/>
        </w:rPr>
        <w:t xml:space="preserve">Lepage, P. (2017). </w:t>
      </w:r>
      <w:r w:rsidRPr="005A6933">
        <w:rPr>
          <w:rFonts w:cs="Helvetica"/>
          <w:lang w:val="fr-FR"/>
        </w:rPr>
        <w:t xml:space="preserve">Le microbiome digestif humain : Interactions avec l’hôte et dysfonctions. </w:t>
      </w:r>
      <w:r w:rsidRPr="005A6933">
        <w:rPr>
          <w:rFonts w:cs="Helvetica"/>
          <w:i/>
          <w:iCs/>
          <w:lang w:val="fr-FR"/>
        </w:rPr>
        <w:t>Revue des Maladies Respiratoires</w:t>
      </w:r>
      <w:r w:rsidRPr="005A6933">
        <w:rPr>
          <w:rFonts w:cs="Helvetica"/>
          <w:lang w:val="fr-FR"/>
        </w:rPr>
        <w:t xml:space="preserve">, </w:t>
      </w:r>
      <w:r w:rsidRPr="005A6933">
        <w:rPr>
          <w:rFonts w:cs="Helvetica"/>
          <w:i/>
          <w:iCs/>
          <w:lang w:val="fr-FR"/>
        </w:rPr>
        <w:t>34</w:t>
      </w:r>
      <w:r w:rsidRPr="005A6933">
        <w:rPr>
          <w:rFonts w:cs="Helvetica"/>
          <w:lang w:val="fr-FR"/>
        </w:rPr>
        <w:t>(10), 1085</w:t>
      </w:r>
      <w:r w:rsidRPr="005A6933">
        <w:rPr>
          <w:rFonts w:ascii="Cambria Math" w:hAnsi="Cambria Math" w:cs="Cambria Math"/>
          <w:lang w:val="fr-FR"/>
        </w:rPr>
        <w:t>‑</w:t>
      </w:r>
      <w:r w:rsidRPr="005A6933">
        <w:rPr>
          <w:rFonts w:cs="Helvetica"/>
          <w:lang w:val="fr-FR"/>
        </w:rPr>
        <w:t>1090.</w:t>
      </w:r>
    </w:p>
    <w:bookmarkEnd w:id="6"/>
    <w:p w14:paraId="7E8C8328" w14:textId="77777777" w:rsidR="005A6933" w:rsidRPr="005A6933" w:rsidRDefault="005A6933" w:rsidP="005A6933">
      <w:pPr>
        <w:pStyle w:val="Bibliography"/>
        <w:rPr>
          <w:rFonts w:cs="Helvetica"/>
        </w:rPr>
      </w:pPr>
      <w:r w:rsidRPr="005A6933">
        <w:rPr>
          <w:rFonts w:cs="Helvetica"/>
          <w:lang w:val="fr-FR"/>
        </w:rPr>
        <w:lastRenderedPageBreak/>
        <w:t xml:space="preserve">Lozupone, C. A., Stombaugh, J. I., Gordon, J. I., Jansson, J. K., &amp; Knight, R. (2012). </w:t>
      </w:r>
      <w:r w:rsidRPr="005A6933">
        <w:rPr>
          <w:rFonts w:cs="Helvetica"/>
        </w:rPr>
        <w:t xml:space="preserve">Diversity, stability and resilience of the human gut microbiota. </w:t>
      </w:r>
      <w:r w:rsidRPr="005A6933">
        <w:rPr>
          <w:rFonts w:cs="Helvetica"/>
          <w:i/>
          <w:iCs/>
        </w:rPr>
        <w:t>Nature</w:t>
      </w:r>
      <w:r w:rsidRPr="005A6933">
        <w:rPr>
          <w:rFonts w:cs="Helvetica"/>
        </w:rPr>
        <w:t xml:space="preserve">, </w:t>
      </w:r>
      <w:r w:rsidRPr="005A6933">
        <w:rPr>
          <w:rFonts w:cs="Helvetica"/>
          <w:i/>
          <w:iCs/>
        </w:rPr>
        <w:t>489</w:t>
      </w:r>
      <w:r w:rsidRPr="005A6933">
        <w:rPr>
          <w:rFonts w:cs="Helvetica"/>
        </w:rPr>
        <w:t>(7415), 220</w:t>
      </w:r>
      <w:r w:rsidRPr="005A6933">
        <w:rPr>
          <w:rFonts w:ascii="Cambria Math" w:hAnsi="Cambria Math" w:cs="Cambria Math"/>
        </w:rPr>
        <w:t>‑</w:t>
      </w:r>
      <w:r w:rsidRPr="005A6933">
        <w:rPr>
          <w:rFonts w:cs="Helvetica"/>
        </w:rPr>
        <w:t>230.</w:t>
      </w:r>
    </w:p>
    <w:p w14:paraId="6F9089AB" w14:textId="77777777" w:rsidR="005A6933" w:rsidRPr="005A6933" w:rsidRDefault="005A6933" w:rsidP="005A6933">
      <w:pPr>
        <w:pStyle w:val="Bibliography"/>
        <w:rPr>
          <w:rFonts w:cs="Helvetica"/>
          <w:lang w:val="es-ES"/>
        </w:rPr>
      </w:pPr>
      <w:r w:rsidRPr="005A6933">
        <w:rPr>
          <w:rFonts w:cs="Helvetica"/>
        </w:rPr>
        <w:t xml:space="preserve">Moore, W. E. C., &amp; Moore, L. V. H. (1994). The bacteria of periodontal diseases. </w:t>
      </w:r>
      <w:r w:rsidRPr="005A6933">
        <w:rPr>
          <w:rFonts w:cs="Helvetica"/>
          <w:i/>
          <w:iCs/>
          <w:lang w:val="es-ES"/>
        </w:rPr>
        <w:t>Periodontology 2000</w:t>
      </w:r>
      <w:r w:rsidRPr="005A6933">
        <w:rPr>
          <w:rFonts w:cs="Helvetica"/>
          <w:lang w:val="es-ES"/>
        </w:rPr>
        <w:t xml:space="preserve">, </w:t>
      </w:r>
      <w:r w:rsidRPr="005A6933">
        <w:rPr>
          <w:rFonts w:cs="Helvetica"/>
          <w:i/>
          <w:iCs/>
          <w:lang w:val="es-ES"/>
        </w:rPr>
        <w:t>5</w:t>
      </w:r>
      <w:r w:rsidRPr="005A6933">
        <w:rPr>
          <w:rFonts w:cs="Helvetica"/>
          <w:lang w:val="es-ES"/>
        </w:rPr>
        <w:t>(1), 66</w:t>
      </w:r>
      <w:r w:rsidRPr="005A6933">
        <w:rPr>
          <w:rFonts w:ascii="Cambria Math" w:hAnsi="Cambria Math" w:cs="Cambria Math"/>
          <w:lang w:val="es-ES"/>
        </w:rPr>
        <w:t>‑</w:t>
      </w:r>
      <w:r w:rsidRPr="005A6933">
        <w:rPr>
          <w:rFonts w:cs="Helvetica"/>
          <w:lang w:val="es-ES"/>
        </w:rPr>
        <w:t>77. https://doi.org/10.1111/j.1600-0757.1994.tb00019.x</w:t>
      </w:r>
    </w:p>
    <w:p w14:paraId="16FE53F1" w14:textId="77777777" w:rsidR="005A6933" w:rsidRPr="005A6933" w:rsidRDefault="005A6933" w:rsidP="005A6933">
      <w:pPr>
        <w:pStyle w:val="Bibliography"/>
        <w:rPr>
          <w:rFonts w:cs="Helvetica"/>
        </w:rPr>
      </w:pPr>
      <w:r w:rsidRPr="005A6933">
        <w:rPr>
          <w:rFonts w:cs="Helvetica"/>
          <w:lang w:val="es-ES"/>
        </w:rPr>
        <w:t xml:space="preserve">Okeke, I. N., Laxminarayan, R., Bhutta, Z. A., Duse, A. G., Jenkins, P., O’Brien, T. F., Pablos-Mendez, A., &amp; Klugman, K. P. (2005). </w:t>
      </w:r>
      <w:r w:rsidRPr="005A6933">
        <w:rPr>
          <w:rFonts w:cs="Helvetica"/>
        </w:rPr>
        <w:t xml:space="preserve">Antimicrobial resistance in developing countries. Part I : Recent trends and current status. </w:t>
      </w:r>
      <w:r w:rsidRPr="005A6933">
        <w:rPr>
          <w:rFonts w:cs="Helvetica"/>
          <w:i/>
          <w:iCs/>
        </w:rPr>
        <w:t>The Lancet Infectious Diseases</w:t>
      </w:r>
      <w:r w:rsidRPr="005A6933">
        <w:rPr>
          <w:rFonts w:cs="Helvetica"/>
        </w:rPr>
        <w:t xml:space="preserve">, </w:t>
      </w:r>
      <w:r w:rsidRPr="005A6933">
        <w:rPr>
          <w:rFonts w:cs="Helvetica"/>
          <w:i/>
          <w:iCs/>
        </w:rPr>
        <w:t>5</w:t>
      </w:r>
      <w:r w:rsidRPr="005A6933">
        <w:rPr>
          <w:rFonts w:cs="Helvetica"/>
        </w:rPr>
        <w:t>(8), 481</w:t>
      </w:r>
      <w:r w:rsidRPr="005A6933">
        <w:rPr>
          <w:rFonts w:ascii="Cambria Math" w:hAnsi="Cambria Math" w:cs="Cambria Math"/>
        </w:rPr>
        <w:t>‑</w:t>
      </w:r>
      <w:r w:rsidRPr="005A6933">
        <w:rPr>
          <w:rFonts w:cs="Helvetica"/>
        </w:rPr>
        <w:t>493. https://doi.org/10.1016/S1473-3099(05)70189-4</w:t>
      </w:r>
    </w:p>
    <w:p w14:paraId="35E710E7" w14:textId="77777777" w:rsidR="005A6933" w:rsidRPr="005A6933" w:rsidRDefault="005A6933" w:rsidP="005A6933">
      <w:pPr>
        <w:pStyle w:val="Bibliography"/>
        <w:rPr>
          <w:rFonts w:cs="Helvetica"/>
        </w:rPr>
      </w:pPr>
      <w:r w:rsidRPr="005A6933">
        <w:rPr>
          <w:rFonts w:cs="Helvetica"/>
        </w:rPr>
        <w:t xml:space="preserve">O’Neill, J. (2016). </w:t>
      </w:r>
      <w:r w:rsidRPr="005A6933">
        <w:rPr>
          <w:rFonts w:cs="Helvetica"/>
          <w:i/>
          <w:iCs/>
        </w:rPr>
        <w:t>Tackling drug-resistant infections globally : Final report and recommendations</w:t>
      </w:r>
      <w:r w:rsidRPr="005A6933">
        <w:rPr>
          <w:rFonts w:cs="Helvetica"/>
        </w:rPr>
        <w:t xml:space="preserve"> (United Kingdom) [Report]. Government of the United Kingdom. https://apo.org.au/node/63983</w:t>
      </w:r>
    </w:p>
    <w:p w14:paraId="7C804B46" w14:textId="77777777" w:rsidR="005A6933" w:rsidRPr="005A6933" w:rsidRDefault="005A6933" w:rsidP="005A6933">
      <w:pPr>
        <w:pStyle w:val="Bibliography"/>
        <w:rPr>
          <w:rFonts w:cs="Helvetica"/>
        </w:rPr>
      </w:pPr>
      <w:r w:rsidRPr="005A6933">
        <w:rPr>
          <w:rFonts w:cs="Helvetica"/>
          <w:lang w:val="fr-FR"/>
        </w:rPr>
        <w:t xml:space="preserve">Rôças, I. N., &amp; Siqueira, J. F. (2013). </w:t>
      </w:r>
      <w:r w:rsidRPr="005A6933">
        <w:rPr>
          <w:rFonts w:cs="Helvetica"/>
        </w:rPr>
        <w:t xml:space="preserve">Detection of antibiotic resistance genes in samples from acute and chronic endodontic infections and after treatment. </w:t>
      </w:r>
      <w:r w:rsidRPr="005A6933">
        <w:rPr>
          <w:rFonts w:cs="Helvetica"/>
          <w:i/>
          <w:iCs/>
        </w:rPr>
        <w:t>Archives of Oral Biology</w:t>
      </w:r>
      <w:r w:rsidRPr="005A6933">
        <w:rPr>
          <w:rFonts w:cs="Helvetica"/>
        </w:rPr>
        <w:t xml:space="preserve">, </w:t>
      </w:r>
      <w:r w:rsidRPr="005A6933">
        <w:rPr>
          <w:rFonts w:cs="Helvetica"/>
          <w:i/>
          <w:iCs/>
        </w:rPr>
        <w:t>58</w:t>
      </w:r>
      <w:r w:rsidRPr="005A6933">
        <w:rPr>
          <w:rFonts w:cs="Helvetica"/>
        </w:rPr>
        <w:t>(9), 1123</w:t>
      </w:r>
      <w:r w:rsidRPr="005A6933">
        <w:rPr>
          <w:rFonts w:ascii="Cambria Math" w:hAnsi="Cambria Math" w:cs="Cambria Math"/>
        </w:rPr>
        <w:t>‑</w:t>
      </w:r>
      <w:r w:rsidRPr="005A6933">
        <w:rPr>
          <w:rFonts w:cs="Helvetica"/>
        </w:rPr>
        <w:t>1128. https://doi.org/10.1016/j.archoralbio.2013.03.010</w:t>
      </w:r>
    </w:p>
    <w:p w14:paraId="60D4C912" w14:textId="77777777" w:rsidR="005A6933" w:rsidRPr="005A6933" w:rsidRDefault="005A6933" w:rsidP="005A6933">
      <w:pPr>
        <w:pStyle w:val="Bibliography"/>
        <w:rPr>
          <w:rFonts w:cs="Helvetica"/>
        </w:rPr>
      </w:pPr>
      <w:r w:rsidRPr="005A6933">
        <w:rPr>
          <w:rFonts w:cs="Helvetica"/>
        </w:rPr>
        <w:t xml:space="preserve">Sambrook, J., &amp; Russell, D. W. (2001). Detection of DNA in agarose gels. </w:t>
      </w:r>
      <w:r w:rsidRPr="005A6933">
        <w:rPr>
          <w:rFonts w:cs="Helvetica"/>
          <w:i/>
          <w:iCs/>
        </w:rPr>
        <w:t>Molecular Cloning, A Laboratory Manual,(3rd Ed.) Cold Spring Harbor Laboratory Press, New York</w:t>
      </w:r>
      <w:r w:rsidRPr="005A6933">
        <w:rPr>
          <w:rFonts w:cs="Helvetica"/>
        </w:rPr>
        <w:t>, 5</w:t>
      </w:r>
      <w:r w:rsidRPr="005A6933">
        <w:rPr>
          <w:rFonts w:ascii="Cambria Math" w:hAnsi="Cambria Math" w:cs="Cambria Math"/>
        </w:rPr>
        <w:t>‑</w:t>
      </w:r>
      <w:r w:rsidRPr="005A6933">
        <w:rPr>
          <w:rFonts w:cs="Helvetica"/>
        </w:rPr>
        <w:t>14.</w:t>
      </w:r>
    </w:p>
    <w:p w14:paraId="5E328F21" w14:textId="77777777" w:rsidR="005A6933" w:rsidRPr="005A6933" w:rsidRDefault="005A6933" w:rsidP="005A6933">
      <w:pPr>
        <w:pStyle w:val="Bibliography"/>
        <w:rPr>
          <w:rFonts w:cs="Helvetica"/>
        </w:rPr>
      </w:pPr>
      <w:r w:rsidRPr="005A6933">
        <w:rPr>
          <w:rFonts w:cs="Helvetica"/>
        </w:rPr>
        <w:t xml:space="preserve">Shakibaie, M. R., Adeli, S., &amp; Salehi, M. H. (2012). Antibiotic resistance patterns and extended-spectrum β-lactamase production among Acinetobacter spp. Isolated from an intensive care Unit of a hospital in Kerman, Iran. </w:t>
      </w:r>
      <w:r w:rsidRPr="005A6933">
        <w:rPr>
          <w:rFonts w:cs="Helvetica"/>
          <w:i/>
          <w:iCs/>
        </w:rPr>
        <w:t>Antimicrobial Resistance and Infection Control</w:t>
      </w:r>
      <w:r w:rsidRPr="005A6933">
        <w:rPr>
          <w:rFonts w:cs="Helvetica"/>
        </w:rPr>
        <w:t xml:space="preserve">, </w:t>
      </w:r>
      <w:r w:rsidRPr="005A6933">
        <w:rPr>
          <w:rFonts w:cs="Helvetica"/>
          <w:i/>
          <w:iCs/>
        </w:rPr>
        <w:t>1</w:t>
      </w:r>
      <w:r w:rsidRPr="005A6933">
        <w:rPr>
          <w:rFonts w:cs="Helvetica"/>
        </w:rPr>
        <w:t>(1), 1. https://doi.org/10.1186/2047-2994-1-1</w:t>
      </w:r>
    </w:p>
    <w:p w14:paraId="54A9CBCA" w14:textId="77777777" w:rsidR="005A6933" w:rsidRPr="005A6933" w:rsidRDefault="005A6933" w:rsidP="005A6933">
      <w:pPr>
        <w:pStyle w:val="Bibliography"/>
        <w:rPr>
          <w:rFonts w:cs="Helvetica"/>
        </w:rPr>
      </w:pPr>
      <w:r w:rsidRPr="005A6933">
        <w:rPr>
          <w:rFonts w:cs="Helvetica"/>
        </w:rPr>
        <w:t xml:space="preserve">Soma, D., Bonkoungou, I. J. O., Garba, Z., Diarra, F. B. J., Somda, N. S., Nikiema, M. E. M., Bako, E., Sore, S., Sawadogo, N., Barro, N., &amp; Haukka, K. (2024). Extended-Spectrum Beta-Lactamase-Producing and Multidrug-Resistant Escherichia coli and Klebsiella spp. From the Human–Animal–Environment Interface on Cattle Farms in Burkina Faso. </w:t>
      </w:r>
      <w:r w:rsidRPr="005A6933">
        <w:rPr>
          <w:rFonts w:cs="Helvetica"/>
          <w:i/>
          <w:iCs/>
        </w:rPr>
        <w:t>Microbiology Research</w:t>
      </w:r>
      <w:r w:rsidRPr="005A6933">
        <w:rPr>
          <w:rFonts w:cs="Helvetica"/>
        </w:rPr>
        <w:t xml:space="preserve">, </w:t>
      </w:r>
      <w:r w:rsidRPr="005A6933">
        <w:rPr>
          <w:rFonts w:cs="Helvetica"/>
          <w:i/>
          <w:iCs/>
        </w:rPr>
        <w:t>15</w:t>
      </w:r>
      <w:r w:rsidRPr="005A6933">
        <w:rPr>
          <w:rFonts w:cs="Helvetica"/>
        </w:rPr>
        <w:t>(4), Article 4. https://doi.org/10.3390/microbiolres15040153</w:t>
      </w:r>
    </w:p>
    <w:p w14:paraId="10FBE651" w14:textId="77777777" w:rsidR="005A6933" w:rsidRPr="005A6933" w:rsidRDefault="005A6933" w:rsidP="005A6933">
      <w:pPr>
        <w:pStyle w:val="Bibliography"/>
        <w:rPr>
          <w:rFonts w:cs="Helvetica"/>
        </w:rPr>
      </w:pPr>
      <w:r w:rsidRPr="005A6933">
        <w:rPr>
          <w:rFonts w:cs="Helvetica"/>
        </w:rPr>
        <w:t xml:space="preserve">Sotunde, O. A., Iliyasu, Z., Idon, P. I., Ikusika, O. F., Ibrahim, U. M., Soyoye, O. A., Alalade, O., &amp; Igweagu, C. E. (s. d.). Pattern and Severity of Dental Caries among Adults in an Urban Population in Northwest Nigeria. </w:t>
      </w:r>
      <w:r w:rsidRPr="005A6933">
        <w:rPr>
          <w:rFonts w:cs="Helvetica"/>
          <w:i/>
          <w:iCs/>
        </w:rPr>
        <w:t>Nigerian Medical Journal : Journal of the Nigeria Medical Association</w:t>
      </w:r>
      <w:r w:rsidRPr="005A6933">
        <w:rPr>
          <w:rFonts w:cs="Helvetica"/>
        </w:rPr>
        <w:t xml:space="preserve">, </w:t>
      </w:r>
      <w:r w:rsidRPr="005A6933">
        <w:rPr>
          <w:rFonts w:cs="Helvetica"/>
          <w:i/>
          <w:iCs/>
        </w:rPr>
        <w:t>64</w:t>
      </w:r>
      <w:r w:rsidRPr="005A6933">
        <w:rPr>
          <w:rFonts w:cs="Helvetica"/>
        </w:rPr>
        <w:t>(2), 220</w:t>
      </w:r>
      <w:r w:rsidRPr="005A6933">
        <w:rPr>
          <w:rFonts w:ascii="Cambria Math" w:hAnsi="Cambria Math" w:cs="Cambria Math"/>
        </w:rPr>
        <w:t>‑</w:t>
      </w:r>
      <w:r w:rsidRPr="005A6933">
        <w:rPr>
          <w:rFonts w:cs="Helvetica"/>
        </w:rPr>
        <w:t>226.</w:t>
      </w:r>
    </w:p>
    <w:p w14:paraId="2ABF746A" w14:textId="77777777" w:rsidR="005A6933" w:rsidRPr="005A6933" w:rsidRDefault="005A6933" w:rsidP="005A6933">
      <w:pPr>
        <w:pStyle w:val="Bibliography"/>
        <w:rPr>
          <w:rFonts w:cs="Helvetica"/>
        </w:rPr>
      </w:pPr>
      <w:r w:rsidRPr="005A6933">
        <w:rPr>
          <w:rFonts w:cs="Helvetica"/>
        </w:rPr>
        <w:t xml:space="preserve">Tilakaratne, A., Soory, M., Ranasinghe, A. W., Corea, S. M., Ekanayake, S. L., &amp; de Silva, M. (2000). Periodontal disease status during pregnancy and 3 months post-partum, in a rural population of Sri-Lankan women. </w:t>
      </w:r>
      <w:r w:rsidRPr="005A6933">
        <w:rPr>
          <w:rFonts w:cs="Helvetica"/>
          <w:i/>
          <w:iCs/>
        </w:rPr>
        <w:t>Journal of Clinical Periodontology</w:t>
      </w:r>
      <w:r w:rsidRPr="005A6933">
        <w:rPr>
          <w:rFonts w:cs="Helvetica"/>
        </w:rPr>
        <w:t xml:space="preserve">, </w:t>
      </w:r>
      <w:r w:rsidRPr="005A6933">
        <w:rPr>
          <w:rFonts w:cs="Helvetica"/>
          <w:i/>
          <w:iCs/>
        </w:rPr>
        <w:t>27</w:t>
      </w:r>
      <w:r w:rsidRPr="005A6933">
        <w:rPr>
          <w:rFonts w:cs="Helvetica"/>
        </w:rPr>
        <w:t>(10), 787</w:t>
      </w:r>
      <w:r w:rsidRPr="005A6933">
        <w:rPr>
          <w:rFonts w:ascii="Cambria Math" w:hAnsi="Cambria Math" w:cs="Cambria Math"/>
        </w:rPr>
        <w:t>‑</w:t>
      </w:r>
      <w:r w:rsidRPr="005A6933">
        <w:rPr>
          <w:rFonts w:cs="Helvetica"/>
        </w:rPr>
        <w:t>792. https://doi.org/10.1034/j.1600-051x.2000.027010787.x</w:t>
      </w:r>
    </w:p>
    <w:p w14:paraId="0DE1C8D3" w14:textId="77777777" w:rsidR="005A6933" w:rsidRPr="005A6933" w:rsidRDefault="005A6933" w:rsidP="005A6933">
      <w:pPr>
        <w:pStyle w:val="Bibliography"/>
        <w:rPr>
          <w:rFonts w:cs="Helvetica"/>
        </w:rPr>
      </w:pPr>
      <w:r w:rsidRPr="005A6933">
        <w:rPr>
          <w:rFonts w:cs="Helvetica"/>
        </w:rPr>
        <w:t xml:space="preserve">Toty, A. A., Guessennd, N., Akoua-Koffi, C., Otokore, D. A., Meex, C., Mbengue, G. V., Djaman, A. J., Dosso, M., &amp; Galleni, M. (2016). First Detection of TEM-116 and SHV-75 Producing Enterobacteria Isolated from Two Ivorian </w:t>
      </w:r>
      <w:r w:rsidRPr="005A6933">
        <w:rPr>
          <w:rFonts w:cs="Helvetica"/>
        </w:rPr>
        <w:lastRenderedPageBreak/>
        <w:t xml:space="preserve">eaching Hospitals : Case of Abidjan and Bouake. </w:t>
      </w:r>
      <w:r w:rsidRPr="005A6933">
        <w:rPr>
          <w:rFonts w:cs="Helvetica"/>
          <w:i/>
          <w:iCs/>
        </w:rPr>
        <w:t>International Journal of Current Microbiology and Applied Sciences</w:t>
      </w:r>
      <w:r w:rsidRPr="005A6933">
        <w:rPr>
          <w:rFonts w:cs="Helvetica"/>
        </w:rPr>
        <w:t xml:space="preserve">, </w:t>
      </w:r>
      <w:r w:rsidRPr="005A6933">
        <w:rPr>
          <w:rFonts w:cs="Helvetica"/>
          <w:i/>
          <w:iCs/>
        </w:rPr>
        <w:t>5</w:t>
      </w:r>
      <w:r w:rsidRPr="005A6933">
        <w:rPr>
          <w:rFonts w:cs="Helvetica"/>
        </w:rPr>
        <w:t>(5), 1</w:t>
      </w:r>
      <w:r w:rsidRPr="005A6933">
        <w:rPr>
          <w:rFonts w:ascii="Cambria Math" w:hAnsi="Cambria Math" w:cs="Cambria Math"/>
        </w:rPr>
        <w:t>‑</w:t>
      </w:r>
      <w:r w:rsidRPr="005A6933">
        <w:rPr>
          <w:rFonts w:cs="Helvetica"/>
        </w:rPr>
        <w:t>9. https://doi.org/10.20546/ijcmas.2016.505.001</w:t>
      </w:r>
    </w:p>
    <w:p w14:paraId="29E1F09D" w14:textId="77777777" w:rsidR="005A6933" w:rsidRPr="005A6933" w:rsidRDefault="005A6933" w:rsidP="005A6933">
      <w:pPr>
        <w:pStyle w:val="Bibliography"/>
        <w:rPr>
          <w:rFonts w:cs="Helvetica"/>
        </w:rPr>
      </w:pPr>
      <w:r w:rsidRPr="005A6933">
        <w:rPr>
          <w:rFonts w:cs="Helvetica"/>
        </w:rPr>
        <w:t xml:space="preserve">Ventola, C. L. (2015). The Antibiotic Resistance Crisis. </w:t>
      </w:r>
      <w:r w:rsidRPr="005A6933">
        <w:rPr>
          <w:rFonts w:cs="Helvetica"/>
          <w:i/>
          <w:iCs/>
        </w:rPr>
        <w:t>Pharmacy and Therapeutics</w:t>
      </w:r>
      <w:r w:rsidRPr="005A6933">
        <w:rPr>
          <w:rFonts w:cs="Helvetica"/>
        </w:rPr>
        <w:t xml:space="preserve">, </w:t>
      </w:r>
      <w:r w:rsidRPr="005A6933">
        <w:rPr>
          <w:rFonts w:cs="Helvetica"/>
          <w:i/>
          <w:iCs/>
        </w:rPr>
        <w:t>40</w:t>
      </w:r>
      <w:r w:rsidRPr="005A6933">
        <w:rPr>
          <w:rFonts w:cs="Helvetica"/>
        </w:rPr>
        <w:t>(4), 277</w:t>
      </w:r>
      <w:r w:rsidRPr="005A6933">
        <w:rPr>
          <w:rFonts w:ascii="Cambria Math" w:hAnsi="Cambria Math" w:cs="Cambria Math"/>
        </w:rPr>
        <w:t>‑</w:t>
      </w:r>
      <w:r w:rsidRPr="005A6933">
        <w:rPr>
          <w:rFonts w:cs="Helvetica"/>
        </w:rPr>
        <w:t>283.</w:t>
      </w:r>
    </w:p>
    <w:p w14:paraId="15B143F8" w14:textId="7D3CF3B9" w:rsidR="005A6933" w:rsidRPr="00FB3A86" w:rsidRDefault="005A6933" w:rsidP="005A6933">
      <w:pPr>
        <w:pStyle w:val="Body"/>
        <w:rPr>
          <w:rFonts w:ascii="Arial" w:hAnsi="Arial" w:cs="Arial"/>
          <w:b/>
        </w:rPr>
      </w:pPr>
      <w:r>
        <w:rPr>
          <w:lang w:val="en-GB"/>
        </w:rPr>
        <w:fldChar w:fldCharType="end"/>
      </w:r>
    </w:p>
    <w:bookmarkEnd w:id="5"/>
    <w:p w14:paraId="43781A4D" w14:textId="3B311BA8" w:rsidR="00B01FCD" w:rsidRPr="00FB3A86" w:rsidRDefault="00B01FCD" w:rsidP="009A04C0">
      <w:pPr>
        <w:pStyle w:val="Body"/>
        <w:spacing w:after="0"/>
        <w:rPr>
          <w:rFonts w:ascii="Arial" w:hAnsi="Arial" w:cs="Arial"/>
          <w:b/>
        </w:rPr>
      </w:pPr>
    </w:p>
    <w:sectPr w:rsidR="00B01FCD" w:rsidRPr="00FB3A86" w:rsidSect="00384BEB">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F0DAD3" w16cex:dateUtc="2025-05-28T14:19:00Z"/>
  <w16cex:commentExtensible w16cex:durableId="02FC814A" w16cex:dateUtc="2025-05-29T17:29:00Z"/>
  <w16cex:commentExtensible w16cex:durableId="13B05807" w16cex:dateUtc="2025-05-29T17:28:00Z"/>
  <w16cex:commentExtensible w16cex:durableId="65F287C3" w16cex:dateUtc="2025-05-29T17:28:00Z"/>
  <w16cex:commentExtensible w16cex:durableId="58BD3953" w16cex:dateUtc="2025-05-29T17:27:00Z"/>
  <w16cex:commentExtensible w16cex:durableId="2A086856" w16cex:dateUtc="2025-05-29T17:30:00Z"/>
  <w16cex:commentExtensible w16cex:durableId="712A33F3" w16cex:dateUtc="2025-05-29T17:22:00Z"/>
  <w16cex:commentExtensible w16cex:durableId="0BF521A7" w16cex:dateUtc="2025-05-29T17:23:00Z"/>
  <w16cex:commentExtensible w16cex:durableId="55DBCC84" w16cex:dateUtc="2025-05-30T0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303F7" w14:textId="77777777" w:rsidR="007A4351" w:rsidRDefault="007A4351" w:rsidP="00C37E61">
      <w:r>
        <w:separator/>
      </w:r>
    </w:p>
  </w:endnote>
  <w:endnote w:type="continuationSeparator" w:id="0">
    <w:p w14:paraId="1D18B844" w14:textId="77777777" w:rsidR="007A4351" w:rsidRDefault="007A43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6655" w14:textId="77777777" w:rsidR="009E048A" w:rsidRDefault="009E048A">
    <w:pPr>
      <w:pStyle w:val="Footer"/>
      <w:rPr>
        <w:rFonts w:ascii="Arial" w:hAnsi="Arial" w:cs="Arial"/>
        <w:sz w:val="16"/>
      </w:rPr>
    </w:pPr>
  </w:p>
  <w:p w14:paraId="585A81A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2CB50B" w14:textId="77777777" w:rsidR="009E048A" w:rsidRDefault="009E048A">
    <w:pPr>
      <w:pStyle w:val="Footer"/>
      <w:rPr>
        <w:rFonts w:ascii="Arial" w:hAnsi="Arial" w:cs="Arial"/>
        <w:sz w:val="16"/>
      </w:rPr>
    </w:pPr>
  </w:p>
  <w:p w14:paraId="052A248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183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C7047" w14:textId="77777777" w:rsidR="007A4351" w:rsidRDefault="007A4351" w:rsidP="00C37E61">
      <w:r>
        <w:separator/>
      </w:r>
    </w:p>
  </w:footnote>
  <w:footnote w:type="continuationSeparator" w:id="0">
    <w:p w14:paraId="54F28D75" w14:textId="77777777" w:rsidR="007A4351" w:rsidRDefault="007A435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9B4F" w14:textId="0D360524" w:rsidR="001629EC" w:rsidRDefault="007A4351">
    <w:pPr>
      <w:pStyle w:val="Header"/>
    </w:pPr>
    <w:r>
      <w:rPr>
        <w:noProof/>
      </w:rPr>
      <w:pict w14:anchorId="5CD90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6E54" w14:textId="3717D57A" w:rsidR="001629EC" w:rsidRDefault="007A4351">
    <w:pPr>
      <w:pStyle w:val="Header"/>
    </w:pPr>
    <w:r>
      <w:rPr>
        <w:noProof/>
      </w:rPr>
      <w:pict w14:anchorId="1E68D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817F" w14:textId="1462C0BB" w:rsidR="00296529" w:rsidRPr="00296529" w:rsidRDefault="007A4351" w:rsidP="00296529">
    <w:pPr>
      <w:ind w:left="2160"/>
      <w:jc w:val="center"/>
      <w:rPr>
        <w:rFonts w:ascii="Times New Roman" w:eastAsia="Calibri" w:hAnsi="Times New Roman"/>
        <w:i/>
        <w:sz w:val="18"/>
        <w:szCs w:val="22"/>
      </w:rPr>
    </w:pPr>
    <w:r>
      <w:rPr>
        <w:noProof/>
      </w:rPr>
      <w:pict w14:anchorId="6FC28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0DB4F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E31FD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48A3D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C14B5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732A5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12C93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4538" w14:textId="20603E8E" w:rsidR="001629EC" w:rsidRDefault="007A4351">
    <w:pPr>
      <w:pStyle w:val="Header"/>
    </w:pPr>
    <w:r>
      <w:rPr>
        <w:noProof/>
      </w:rPr>
      <w:pict w14:anchorId="4221A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BA6B" w14:textId="174C7AF3" w:rsidR="001629EC" w:rsidRDefault="007A4351">
    <w:pPr>
      <w:pStyle w:val="Header"/>
    </w:pPr>
    <w:r>
      <w:rPr>
        <w:noProof/>
      </w:rPr>
      <w:pict w14:anchorId="3B8C7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DD49" w14:textId="23B374A5" w:rsidR="001629EC" w:rsidRDefault="007A4351">
    <w:pPr>
      <w:pStyle w:val="Header"/>
    </w:pPr>
    <w:r>
      <w:rPr>
        <w:noProof/>
      </w:rPr>
      <w:pict w14:anchorId="6EE6B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FA0F0F"/>
    <w:multiLevelType w:val="multilevel"/>
    <w:tmpl w:val="D0A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715BC"/>
    <w:multiLevelType w:val="multilevel"/>
    <w:tmpl w:val="0526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9172D7E"/>
    <w:multiLevelType w:val="multilevel"/>
    <w:tmpl w:val="CEE4AB6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2"/>
  </w:num>
  <w:num w:numId="31">
    <w:abstractNumId w:val="7"/>
  </w:num>
  <w:num w:numId="32">
    <w:abstractNumId w:val="1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4782"/>
    <w:rsid w:val="00030174"/>
    <w:rsid w:val="0004579C"/>
    <w:rsid w:val="000A47FA"/>
    <w:rsid w:val="000A65D3"/>
    <w:rsid w:val="000B1E33"/>
    <w:rsid w:val="000D4D18"/>
    <w:rsid w:val="000D689F"/>
    <w:rsid w:val="000E7B7B"/>
    <w:rsid w:val="000E7D62"/>
    <w:rsid w:val="00103357"/>
    <w:rsid w:val="00110B79"/>
    <w:rsid w:val="00123C9F"/>
    <w:rsid w:val="00126190"/>
    <w:rsid w:val="00130F17"/>
    <w:rsid w:val="001320BF"/>
    <w:rsid w:val="0013404C"/>
    <w:rsid w:val="00161286"/>
    <w:rsid w:val="001629EC"/>
    <w:rsid w:val="00163BC4"/>
    <w:rsid w:val="00175083"/>
    <w:rsid w:val="00183D9E"/>
    <w:rsid w:val="00191062"/>
    <w:rsid w:val="00191582"/>
    <w:rsid w:val="00192B72"/>
    <w:rsid w:val="001A29D8"/>
    <w:rsid w:val="001A5CAA"/>
    <w:rsid w:val="001B0427"/>
    <w:rsid w:val="001B4382"/>
    <w:rsid w:val="001D3A51"/>
    <w:rsid w:val="001E10D2"/>
    <w:rsid w:val="001E25B4"/>
    <w:rsid w:val="001E44FE"/>
    <w:rsid w:val="001F44F0"/>
    <w:rsid w:val="001F4F29"/>
    <w:rsid w:val="00200595"/>
    <w:rsid w:val="00204835"/>
    <w:rsid w:val="00224842"/>
    <w:rsid w:val="00231920"/>
    <w:rsid w:val="0023195C"/>
    <w:rsid w:val="00235975"/>
    <w:rsid w:val="00237101"/>
    <w:rsid w:val="0024282C"/>
    <w:rsid w:val="002460DC"/>
    <w:rsid w:val="00250985"/>
    <w:rsid w:val="002556F6"/>
    <w:rsid w:val="00283105"/>
    <w:rsid w:val="00284C4C"/>
    <w:rsid w:val="00287E68"/>
    <w:rsid w:val="0029371B"/>
    <w:rsid w:val="00296529"/>
    <w:rsid w:val="002A1FE6"/>
    <w:rsid w:val="002B27FB"/>
    <w:rsid w:val="002B55A0"/>
    <w:rsid w:val="002B685A"/>
    <w:rsid w:val="002C0CFA"/>
    <w:rsid w:val="002C2A24"/>
    <w:rsid w:val="002C4F02"/>
    <w:rsid w:val="002C57D2"/>
    <w:rsid w:val="002E0D56"/>
    <w:rsid w:val="002E3D43"/>
    <w:rsid w:val="002F1230"/>
    <w:rsid w:val="002F3157"/>
    <w:rsid w:val="00315186"/>
    <w:rsid w:val="00327CBA"/>
    <w:rsid w:val="0033343E"/>
    <w:rsid w:val="003512C2"/>
    <w:rsid w:val="00371FB6"/>
    <w:rsid w:val="003763C1"/>
    <w:rsid w:val="00376BBE"/>
    <w:rsid w:val="003837FF"/>
    <w:rsid w:val="00384BEB"/>
    <w:rsid w:val="0039224F"/>
    <w:rsid w:val="0039342E"/>
    <w:rsid w:val="003A2FCF"/>
    <w:rsid w:val="003A43A4"/>
    <w:rsid w:val="003A7E18"/>
    <w:rsid w:val="003C4C75"/>
    <w:rsid w:val="003C4C86"/>
    <w:rsid w:val="003C6258"/>
    <w:rsid w:val="003C731E"/>
    <w:rsid w:val="003E2904"/>
    <w:rsid w:val="003E2BD9"/>
    <w:rsid w:val="00401927"/>
    <w:rsid w:val="0041027F"/>
    <w:rsid w:val="00412475"/>
    <w:rsid w:val="00423789"/>
    <w:rsid w:val="00440F43"/>
    <w:rsid w:val="00441B6F"/>
    <w:rsid w:val="00446221"/>
    <w:rsid w:val="00450E62"/>
    <w:rsid w:val="004539DB"/>
    <w:rsid w:val="00453E45"/>
    <w:rsid w:val="00471A80"/>
    <w:rsid w:val="00485BBF"/>
    <w:rsid w:val="004D305E"/>
    <w:rsid w:val="004D4277"/>
    <w:rsid w:val="004E4F60"/>
    <w:rsid w:val="004F3024"/>
    <w:rsid w:val="004F66CD"/>
    <w:rsid w:val="00502516"/>
    <w:rsid w:val="00505F06"/>
    <w:rsid w:val="00506828"/>
    <w:rsid w:val="0053056E"/>
    <w:rsid w:val="005515C3"/>
    <w:rsid w:val="00554FDA"/>
    <w:rsid w:val="005554E1"/>
    <w:rsid w:val="005802E4"/>
    <w:rsid w:val="005A6933"/>
    <w:rsid w:val="005B51A9"/>
    <w:rsid w:val="005C784C"/>
    <w:rsid w:val="005D17F6"/>
    <w:rsid w:val="005D58E0"/>
    <w:rsid w:val="005D7002"/>
    <w:rsid w:val="005D7D39"/>
    <w:rsid w:val="005E5539"/>
    <w:rsid w:val="005F274E"/>
    <w:rsid w:val="005F41A2"/>
    <w:rsid w:val="005F4AB8"/>
    <w:rsid w:val="00602BF5"/>
    <w:rsid w:val="00617FDD"/>
    <w:rsid w:val="00633614"/>
    <w:rsid w:val="00633F68"/>
    <w:rsid w:val="00636EB2"/>
    <w:rsid w:val="006375B8"/>
    <w:rsid w:val="0066510A"/>
    <w:rsid w:val="00673B49"/>
    <w:rsid w:val="00673F9F"/>
    <w:rsid w:val="0068654C"/>
    <w:rsid w:val="00686953"/>
    <w:rsid w:val="00687DEA"/>
    <w:rsid w:val="00687E67"/>
    <w:rsid w:val="006967F7"/>
    <w:rsid w:val="006A0FC6"/>
    <w:rsid w:val="006A250C"/>
    <w:rsid w:val="006B21D3"/>
    <w:rsid w:val="006B57D0"/>
    <w:rsid w:val="006C1D4B"/>
    <w:rsid w:val="006D30FF"/>
    <w:rsid w:val="006D6940"/>
    <w:rsid w:val="006E51A0"/>
    <w:rsid w:val="006F11EC"/>
    <w:rsid w:val="0070082C"/>
    <w:rsid w:val="007076BB"/>
    <w:rsid w:val="00714607"/>
    <w:rsid w:val="007369E6"/>
    <w:rsid w:val="00746E59"/>
    <w:rsid w:val="00754C9A"/>
    <w:rsid w:val="0075599A"/>
    <w:rsid w:val="00761D52"/>
    <w:rsid w:val="0077749E"/>
    <w:rsid w:val="0078182D"/>
    <w:rsid w:val="00781A13"/>
    <w:rsid w:val="007904B2"/>
    <w:rsid w:val="00790ADA"/>
    <w:rsid w:val="007972EC"/>
    <w:rsid w:val="007A4351"/>
    <w:rsid w:val="007D2288"/>
    <w:rsid w:val="007E088F"/>
    <w:rsid w:val="007F7B32"/>
    <w:rsid w:val="00804BC2"/>
    <w:rsid w:val="008050FB"/>
    <w:rsid w:val="0081431A"/>
    <w:rsid w:val="00825CC4"/>
    <w:rsid w:val="0083216F"/>
    <w:rsid w:val="00860000"/>
    <w:rsid w:val="00863BD3"/>
    <w:rsid w:val="008641ED"/>
    <w:rsid w:val="00866D66"/>
    <w:rsid w:val="008671C6"/>
    <w:rsid w:val="00871ED8"/>
    <w:rsid w:val="00875803"/>
    <w:rsid w:val="008B459E"/>
    <w:rsid w:val="008C3430"/>
    <w:rsid w:val="008E13AE"/>
    <w:rsid w:val="008E1506"/>
    <w:rsid w:val="008E710C"/>
    <w:rsid w:val="008F69D6"/>
    <w:rsid w:val="009007DF"/>
    <w:rsid w:val="00902823"/>
    <w:rsid w:val="00913397"/>
    <w:rsid w:val="00915CA6"/>
    <w:rsid w:val="00927467"/>
    <w:rsid w:val="00927834"/>
    <w:rsid w:val="0093463A"/>
    <w:rsid w:val="0094010F"/>
    <w:rsid w:val="009500A6"/>
    <w:rsid w:val="00952688"/>
    <w:rsid w:val="00957C18"/>
    <w:rsid w:val="009659BA"/>
    <w:rsid w:val="0096635C"/>
    <w:rsid w:val="00975B56"/>
    <w:rsid w:val="00983040"/>
    <w:rsid w:val="009A04C0"/>
    <w:rsid w:val="009B3FB9"/>
    <w:rsid w:val="009C2465"/>
    <w:rsid w:val="009D35A0"/>
    <w:rsid w:val="009D785C"/>
    <w:rsid w:val="009D7EB7"/>
    <w:rsid w:val="009E048A"/>
    <w:rsid w:val="009E08E9"/>
    <w:rsid w:val="009E3DB9"/>
    <w:rsid w:val="009E3E66"/>
    <w:rsid w:val="009E6E35"/>
    <w:rsid w:val="009F0EDA"/>
    <w:rsid w:val="009F206B"/>
    <w:rsid w:val="009F61C0"/>
    <w:rsid w:val="00A03192"/>
    <w:rsid w:val="00A03B96"/>
    <w:rsid w:val="00A05B19"/>
    <w:rsid w:val="00A1134E"/>
    <w:rsid w:val="00A24E7E"/>
    <w:rsid w:val="00A258C3"/>
    <w:rsid w:val="00A347C0"/>
    <w:rsid w:val="00A35DA7"/>
    <w:rsid w:val="00A51431"/>
    <w:rsid w:val="00A539AD"/>
    <w:rsid w:val="00A67816"/>
    <w:rsid w:val="00A94063"/>
    <w:rsid w:val="00AA6219"/>
    <w:rsid w:val="00AA74E0"/>
    <w:rsid w:val="00AB703F"/>
    <w:rsid w:val="00AC6BB8"/>
    <w:rsid w:val="00AE008F"/>
    <w:rsid w:val="00AE4FE3"/>
    <w:rsid w:val="00AF3826"/>
    <w:rsid w:val="00B01FCD"/>
    <w:rsid w:val="00B1776C"/>
    <w:rsid w:val="00B45ABD"/>
    <w:rsid w:val="00B52583"/>
    <w:rsid w:val="00B52896"/>
    <w:rsid w:val="00B546B3"/>
    <w:rsid w:val="00B95236"/>
    <w:rsid w:val="00B96BD9"/>
    <w:rsid w:val="00BA145B"/>
    <w:rsid w:val="00BA148F"/>
    <w:rsid w:val="00BA1B01"/>
    <w:rsid w:val="00BA2641"/>
    <w:rsid w:val="00BB37AA"/>
    <w:rsid w:val="00BC2F25"/>
    <w:rsid w:val="00BC53A0"/>
    <w:rsid w:val="00BE62AD"/>
    <w:rsid w:val="00BF121F"/>
    <w:rsid w:val="00BF1F80"/>
    <w:rsid w:val="00C166EF"/>
    <w:rsid w:val="00C17EB0"/>
    <w:rsid w:val="00C27F5F"/>
    <w:rsid w:val="00C30A0F"/>
    <w:rsid w:val="00C37776"/>
    <w:rsid w:val="00C37E61"/>
    <w:rsid w:val="00C70F1B"/>
    <w:rsid w:val="00C71A47"/>
    <w:rsid w:val="00C73AAF"/>
    <w:rsid w:val="00C7464C"/>
    <w:rsid w:val="00C85588"/>
    <w:rsid w:val="00CD6755"/>
    <w:rsid w:val="00CD6856"/>
    <w:rsid w:val="00CE0089"/>
    <w:rsid w:val="00CE793C"/>
    <w:rsid w:val="00CF193C"/>
    <w:rsid w:val="00D028BF"/>
    <w:rsid w:val="00D05030"/>
    <w:rsid w:val="00D173F1"/>
    <w:rsid w:val="00D20F6C"/>
    <w:rsid w:val="00D54C2B"/>
    <w:rsid w:val="00D74CB0"/>
    <w:rsid w:val="00D8295D"/>
    <w:rsid w:val="00DB471F"/>
    <w:rsid w:val="00DC2A65"/>
    <w:rsid w:val="00DC3389"/>
    <w:rsid w:val="00DD6E14"/>
    <w:rsid w:val="00DE15F0"/>
    <w:rsid w:val="00DE5663"/>
    <w:rsid w:val="00DE78AA"/>
    <w:rsid w:val="00E053D0"/>
    <w:rsid w:val="00E15994"/>
    <w:rsid w:val="00E2225E"/>
    <w:rsid w:val="00E3114E"/>
    <w:rsid w:val="00E31A70"/>
    <w:rsid w:val="00E32EB6"/>
    <w:rsid w:val="00E35B02"/>
    <w:rsid w:val="00E44BCD"/>
    <w:rsid w:val="00E66496"/>
    <w:rsid w:val="00E66B35"/>
    <w:rsid w:val="00E66E10"/>
    <w:rsid w:val="00E6775C"/>
    <w:rsid w:val="00E769F6"/>
    <w:rsid w:val="00E8407C"/>
    <w:rsid w:val="00E84F3C"/>
    <w:rsid w:val="00EA012C"/>
    <w:rsid w:val="00EC6897"/>
    <w:rsid w:val="00EC6A55"/>
    <w:rsid w:val="00ED0288"/>
    <w:rsid w:val="00EE52CB"/>
    <w:rsid w:val="00EF0479"/>
    <w:rsid w:val="00EF4FD3"/>
    <w:rsid w:val="00EF581D"/>
    <w:rsid w:val="00EF6FEC"/>
    <w:rsid w:val="00EF7FD8"/>
    <w:rsid w:val="00F03F68"/>
    <w:rsid w:val="00F06F59"/>
    <w:rsid w:val="00F17988"/>
    <w:rsid w:val="00F33713"/>
    <w:rsid w:val="00F37A7A"/>
    <w:rsid w:val="00F469F0"/>
    <w:rsid w:val="00F53273"/>
    <w:rsid w:val="00F755E4"/>
    <w:rsid w:val="00F77D02"/>
    <w:rsid w:val="00F9209D"/>
    <w:rsid w:val="00FB3A86"/>
    <w:rsid w:val="00FB7345"/>
    <w:rsid w:val="00FC3660"/>
    <w:rsid w:val="00FD36C8"/>
    <w:rsid w:val="00FE6DDA"/>
    <w:rsid w:val="00FE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C2B82C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DB471F"/>
    <w:rPr>
      <w:b/>
      <w:bCs/>
    </w:rPr>
  </w:style>
  <w:style w:type="paragraph" w:styleId="Subtitle">
    <w:name w:val="Subtitle"/>
    <w:basedOn w:val="Normal"/>
    <w:next w:val="Normal"/>
    <w:link w:val="SubtitleChar"/>
    <w:qFormat/>
    <w:rsid w:val="009663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6635C"/>
    <w:rPr>
      <w:rFonts w:asciiTheme="minorHAnsi" w:eastAsiaTheme="minorEastAsia" w:hAnsiTheme="minorHAnsi" w:cstheme="minorBidi"/>
      <w:color w:val="5A5A5A" w:themeColor="text1" w:themeTint="A5"/>
      <w:spacing w:val="15"/>
      <w:sz w:val="22"/>
      <w:szCs w:val="22"/>
    </w:rPr>
  </w:style>
  <w:style w:type="paragraph" w:customStyle="1" w:styleId="22Heading3">
    <w:name w:val="22 Heading 3"/>
    <w:basedOn w:val="Normal"/>
    <w:qFormat/>
    <w:rsid w:val="00AF3826"/>
    <w:pPr>
      <w:autoSpaceDE w:val="0"/>
      <w:autoSpaceDN w:val="0"/>
      <w:adjustRightInd w:val="0"/>
      <w:spacing w:before="200" w:after="80" w:line="220" w:lineRule="exact"/>
      <w:jc w:val="both"/>
    </w:pPr>
    <w:rPr>
      <w:rFonts w:ascii="Times New Roman" w:eastAsia="Malgun Gothic" w:hAnsi="Times New Roman"/>
      <w:b/>
      <w:szCs w:val="22"/>
      <w:lang w:val="en-GB" w:eastAsia="x-none"/>
    </w:rPr>
  </w:style>
  <w:style w:type="paragraph" w:styleId="NormalWeb">
    <w:name w:val="Normal (Web)"/>
    <w:basedOn w:val="Normal"/>
    <w:semiHidden/>
    <w:unhideWhenUsed/>
    <w:rsid w:val="00952688"/>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BA145B"/>
    <w:rPr>
      <w:rFonts w:ascii="Helvetica" w:hAnsi="Helvetica"/>
      <w:b/>
      <w:bCs/>
      <w:lang w:val="en-US" w:eastAsia="en-US"/>
    </w:rPr>
  </w:style>
  <w:style w:type="character" w:customStyle="1" w:styleId="CommentSubjectChar">
    <w:name w:val="Comment Subject Char"/>
    <w:basedOn w:val="CommentTextChar"/>
    <w:link w:val="CommentSubject"/>
    <w:semiHidden/>
    <w:rsid w:val="00BA145B"/>
    <w:rPr>
      <w:rFonts w:ascii="Helvetica" w:hAnsi="Helvetica"/>
      <w:b/>
      <w:bCs/>
      <w:lang w:val="nb-NO" w:eastAsia="nb-NO"/>
    </w:rPr>
  </w:style>
  <w:style w:type="paragraph" w:styleId="Bibliography">
    <w:name w:val="Bibliography"/>
    <w:basedOn w:val="Normal"/>
    <w:next w:val="Normal"/>
    <w:uiPriority w:val="37"/>
    <w:unhideWhenUsed/>
    <w:rsid w:val="005A6933"/>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140989">
      <w:bodyDiv w:val="1"/>
      <w:marLeft w:val="0"/>
      <w:marRight w:val="0"/>
      <w:marTop w:val="0"/>
      <w:marBottom w:val="0"/>
      <w:divBdr>
        <w:top w:val="none" w:sz="0" w:space="0" w:color="auto"/>
        <w:left w:val="none" w:sz="0" w:space="0" w:color="auto"/>
        <w:bottom w:val="none" w:sz="0" w:space="0" w:color="auto"/>
        <w:right w:val="none" w:sz="0" w:space="0" w:color="auto"/>
      </w:divBdr>
    </w:div>
    <w:div w:id="10145931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37645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75584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714999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7546216">
      <w:bodyDiv w:val="1"/>
      <w:marLeft w:val="0"/>
      <w:marRight w:val="0"/>
      <w:marTop w:val="0"/>
      <w:marBottom w:val="0"/>
      <w:divBdr>
        <w:top w:val="none" w:sz="0" w:space="0" w:color="auto"/>
        <w:left w:val="none" w:sz="0" w:space="0" w:color="auto"/>
        <w:bottom w:val="none" w:sz="0" w:space="0" w:color="auto"/>
        <w:right w:val="none" w:sz="0" w:space="0" w:color="auto"/>
      </w:divBdr>
    </w:div>
    <w:div w:id="1348949466">
      <w:bodyDiv w:val="1"/>
      <w:marLeft w:val="0"/>
      <w:marRight w:val="0"/>
      <w:marTop w:val="0"/>
      <w:marBottom w:val="0"/>
      <w:divBdr>
        <w:top w:val="none" w:sz="0" w:space="0" w:color="auto"/>
        <w:left w:val="none" w:sz="0" w:space="0" w:color="auto"/>
        <w:bottom w:val="none" w:sz="0" w:space="0" w:color="auto"/>
        <w:right w:val="none" w:sz="0" w:space="0" w:color="auto"/>
      </w:divBdr>
    </w:div>
    <w:div w:id="1356929023">
      <w:bodyDiv w:val="1"/>
      <w:marLeft w:val="0"/>
      <w:marRight w:val="0"/>
      <w:marTop w:val="0"/>
      <w:marBottom w:val="0"/>
      <w:divBdr>
        <w:top w:val="none" w:sz="0" w:space="0" w:color="auto"/>
        <w:left w:val="none" w:sz="0" w:space="0" w:color="auto"/>
        <w:bottom w:val="none" w:sz="0" w:space="0" w:color="auto"/>
        <w:right w:val="none" w:sz="0" w:space="0" w:color="auto"/>
      </w:divBdr>
    </w:div>
    <w:div w:id="1523863161">
      <w:bodyDiv w:val="1"/>
      <w:marLeft w:val="0"/>
      <w:marRight w:val="0"/>
      <w:marTop w:val="0"/>
      <w:marBottom w:val="0"/>
      <w:divBdr>
        <w:top w:val="none" w:sz="0" w:space="0" w:color="auto"/>
        <w:left w:val="none" w:sz="0" w:space="0" w:color="auto"/>
        <w:bottom w:val="none" w:sz="0" w:space="0" w:color="auto"/>
        <w:right w:val="none" w:sz="0" w:space="0" w:color="auto"/>
      </w:divBdr>
    </w:div>
    <w:div w:id="1533805156">
      <w:bodyDiv w:val="1"/>
      <w:marLeft w:val="0"/>
      <w:marRight w:val="0"/>
      <w:marTop w:val="0"/>
      <w:marBottom w:val="0"/>
      <w:divBdr>
        <w:top w:val="none" w:sz="0" w:space="0" w:color="auto"/>
        <w:left w:val="none" w:sz="0" w:space="0" w:color="auto"/>
        <w:bottom w:val="none" w:sz="0" w:space="0" w:color="auto"/>
        <w:right w:val="none" w:sz="0" w:space="0" w:color="auto"/>
      </w:divBdr>
      <w:divsChild>
        <w:div w:id="1296837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74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7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2347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093846">
      <w:bodyDiv w:val="1"/>
      <w:marLeft w:val="0"/>
      <w:marRight w:val="0"/>
      <w:marTop w:val="0"/>
      <w:marBottom w:val="0"/>
      <w:divBdr>
        <w:top w:val="none" w:sz="0" w:space="0" w:color="auto"/>
        <w:left w:val="none" w:sz="0" w:space="0" w:color="auto"/>
        <w:bottom w:val="none" w:sz="0" w:space="0" w:color="auto"/>
        <w:right w:val="none" w:sz="0" w:space="0" w:color="auto"/>
      </w:divBdr>
    </w:div>
    <w:div w:id="1549413362">
      <w:bodyDiv w:val="1"/>
      <w:marLeft w:val="0"/>
      <w:marRight w:val="0"/>
      <w:marTop w:val="0"/>
      <w:marBottom w:val="0"/>
      <w:divBdr>
        <w:top w:val="none" w:sz="0" w:space="0" w:color="auto"/>
        <w:left w:val="none" w:sz="0" w:space="0" w:color="auto"/>
        <w:bottom w:val="none" w:sz="0" w:space="0" w:color="auto"/>
        <w:right w:val="none" w:sz="0" w:space="0" w:color="auto"/>
      </w:divBdr>
    </w:div>
    <w:div w:id="16388786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3939669">
      <w:bodyDiv w:val="1"/>
      <w:marLeft w:val="0"/>
      <w:marRight w:val="0"/>
      <w:marTop w:val="0"/>
      <w:marBottom w:val="0"/>
      <w:divBdr>
        <w:top w:val="none" w:sz="0" w:space="0" w:color="auto"/>
        <w:left w:val="none" w:sz="0" w:space="0" w:color="auto"/>
        <w:bottom w:val="none" w:sz="0" w:space="0" w:color="auto"/>
        <w:right w:val="none" w:sz="0" w:space="0" w:color="auto"/>
      </w:divBdr>
      <w:divsChild>
        <w:div w:id="13815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184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9139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317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323290">
      <w:bodyDiv w:val="1"/>
      <w:marLeft w:val="0"/>
      <w:marRight w:val="0"/>
      <w:marTop w:val="0"/>
      <w:marBottom w:val="0"/>
      <w:divBdr>
        <w:top w:val="none" w:sz="0" w:space="0" w:color="auto"/>
        <w:left w:val="none" w:sz="0" w:space="0" w:color="auto"/>
        <w:bottom w:val="none" w:sz="0" w:space="0" w:color="auto"/>
        <w:right w:val="none" w:sz="0" w:space="0" w:color="auto"/>
      </w:divBdr>
    </w:div>
    <w:div w:id="184735981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94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56F4-6E23-448C-BA45-A16BD02C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11</Pages>
  <Words>16505</Words>
  <Characters>94082</Characters>
  <Application>Microsoft Office Word</Application>
  <DocSecurity>0</DocSecurity>
  <Lines>784</Lines>
  <Paragraphs>220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110367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9</cp:revision>
  <cp:lastPrinted>1999-07-06T11:00:00Z</cp:lastPrinted>
  <dcterms:created xsi:type="dcterms:W3CDTF">2025-05-30T13:23:00Z</dcterms:created>
  <dcterms:modified xsi:type="dcterms:W3CDTF">2025-05-31T06:48:00Z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id="zoZ37kXp"/&gt;&lt;style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