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A460B" w14:textId="77777777" w:rsidR="005F0DC4" w:rsidRDefault="007F0E9E">
      <w:pPr>
        <w:pStyle w:val="Title"/>
        <w:spacing w:after="0"/>
        <w:jc w:val="both"/>
        <w:rPr>
          <w:rFonts w:ascii="Arial" w:hAnsi="Arial" w:cs="Arial"/>
        </w:rPr>
      </w:pPr>
      <w:r>
        <w:rPr>
          <w:rFonts w:ascii="Arial" w:hAnsi="Arial" w:cs="Arial"/>
          <w:bCs/>
          <w:i/>
          <w:iCs/>
          <w:u w:val="single"/>
        </w:rPr>
        <w:t>Original Research Article</w:t>
      </w:r>
    </w:p>
    <w:p w14:paraId="79C1485E" w14:textId="77777777" w:rsidR="002D1D0E" w:rsidRPr="002D1D0E" w:rsidRDefault="002D1D0E" w:rsidP="002D1D0E">
      <w:pPr>
        <w:pStyle w:val="Author"/>
        <w:spacing w:line="240" w:lineRule="auto"/>
        <w:rPr>
          <w:rFonts w:ascii="Arial" w:hAnsi="Arial" w:cs="Arial"/>
          <w:bCs/>
          <w:iCs/>
          <w:kern w:val="28"/>
          <w:sz w:val="36"/>
        </w:rPr>
      </w:pPr>
      <w:r w:rsidRPr="002D1D0E">
        <w:rPr>
          <w:rFonts w:ascii="Arial" w:hAnsi="Arial" w:cs="Arial"/>
          <w:bCs/>
          <w:iCs/>
          <w:kern w:val="28"/>
          <w:sz w:val="36"/>
        </w:rPr>
        <w:t>Effect of sources of nutrients, corm priming with coconut water and eco-friendly floral</w:t>
      </w:r>
    </w:p>
    <w:p w14:paraId="07023E5B" w14:textId="77777777" w:rsidR="002D1D0E" w:rsidRPr="002D1D0E" w:rsidRDefault="002D1D0E" w:rsidP="002D1D0E">
      <w:pPr>
        <w:pStyle w:val="Author"/>
        <w:spacing w:line="240" w:lineRule="auto"/>
        <w:rPr>
          <w:rFonts w:ascii="Arial" w:hAnsi="Arial" w:cs="Arial"/>
          <w:bCs/>
          <w:iCs/>
          <w:kern w:val="28"/>
          <w:sz w:val="36"/>
        </w:rPr>
      </w:pPr>
      <w:r w:rsidRPr="002D1D0E">
        <w:rPr>
          <w:rFonts w:ascii="Arial" w:hAnsi="Arial" w:cs="Arial"/>
          <w:bCs/>
          <w:iCs/>
          <w:kern w:val="28"/>
          <w:sz w:val="36"/>
        </w:rPr>
        <w:t>preservatives on postharvest quality of gladiolus (</w:t>
      </w:r>
      <w:r w:rsidRPr="002D1D0E">
        <w:rPr>
          <w:rFonts w:ascii="Arial" w:hAnsi="Arial" w:cs="Arial"/>
          <w:bCs/>
          <w:i/>
          <w:kern w:val="28"/>
          <w:sz w:val="36"/>
        </w:rPr>
        <w:t xml:space="preserve">Gladiolus </w:t>
      </w:r>
      <w:proofErr w:type="spellStart"/>
      <w:r w:rsidRPr="002D1D0E">
        <w:rPr>
          <w:rFonts w:ascii="Arial" w:hAnsi="Arial" w:cs="Arial"/>
          <w:bCs/>
          <w:i/>
          <w:kern w:val="28"/>
          <w:sz w:val="36"/>
        </w:rPr>
        <w:t>hybridus</w:t>
      </w:r>
      <w:proofErr w:type="spellEnd"/>
      <w:r w:rsidRPr="002D1D0E">
        <w:rPr>
          <w:rFonts w:ascii="Arial" w:hAnsi="Arial" w:cs="Arial"/>
          <w:bCs/>
          <w:iCs/>
          <w:kern w:val="28"/>
          <w:sz w:val="36"/>
        </w:rPr>
        <w:t xml:space="preserve"> </w:t>
      </w:r>
      <w:proofErr w:type="spellStart"/>
      <w:r w:rsidRPr="002D1D0E">
        <w:rPr>
          <w:rFonts w:ascii="Arial" w:hAnsi="Arial" w:cs="Arial"/>
          <w:bCs/>
          <w:iCs/>
          <w:kern w:val="28"/>
          <w:sz w:val="36"/>
        </w:rPr>
        <w:t>Hort</w:t>
      </w:r>
      <w:proofErr w:type="spellEnd"/>
      <w:r w:rsidRPr="002D1D0E">
        <w:rPr>
          <w:rFonts w:ascii="Arial" w:hAnsi="Arial" w:cs="Arial"/>
          <w:bCs/>
          <w:iCs/>
          <w:kern w:val="28"/>
          <w:sz w:val="36"/>
        </w:rPr>
        <w:t xml:space="preserve">) cv. </w:t>
      </w:r>
      <w:proofErr w:type="spellStart"/>
      <w:r w:rsidRPr="002D1D0E">
        <w:rPr>
          <w:rFonts w:ascii="Arial" w:hAnsi="Arial" w:cs="Arial"/>
          <w:bCs/>
          <w:iCs/>
          <w:kern w:val="28"/>
          <w:sz w:val="36"/>
        </w:rPr>
        <w:t>Pusa</w:t>
      </w:r>
      <w:proofErr w:type="spellEnd"/>
    </w:p>
    <w:p w14:paraId="207A9993" w14:textId="7C1ED470" w:rsidR="005F0DC4" w:rsidRDefault="002D1D0E" w:rsidP="002D1D0E">
      <w:pPr>
        <w:pStyle w:val="Author"/>
        <w:spacing w:line="240" w:lineRule="auto"/>
        <w:rPr>
          <w:rFonts w:ascii="Arial" w:hAnsi="Arial" w:cs="Arial"/>
          <w:b w:val="0"/>
          <w:bCs/>
          <w:vertAlign w:val="superscript"/>
          <w:lang w:val="en-IN"/>
        </w:rPr>
      </w:pPr>
      <w:r w:rsidRPr="002D1D0E">
        <w:rPr>
          <w:rFonts w:ascii="Arial" w:hAnsi="Arial" w:cs="Arial"/>
          <w:bCs/>
          <w:iCs/>
          <w:kern w:val="28"/>
          <w:sz w:val="36"/>
        </w:rPr>
        <w:t>Chandni</w:t>
      </w:r>
    </w:p>
    <w:p w14:paraId="40A726A2" w14:textId="77777777" w:rsidR="005F0DC4" w:rsidRDefault="005F0DC4">
      <w:pPr>
        <w:pStyle w:val="Affiliation"/>
        <w:spacing w:after="0" w:line="240" w:lineRule="auto"/>
        <w:jc w:val="both"/>
        <w:rPr>
          <w:rFonts w:ascii="Arial" w:hAnsi="Arial" w:cs="Arial"/>
        </w:rPr>
      </w:pPr>
    </w:p>
    <w:p w14:paraId="00D3D547" w14:textId="77777777" w:rsidR="005F0DC4" w:rsidRDefault="005F0DC4">
      <w:pPr>
        <w:pStyle w:val="Copyright"/>
        <w:spacing w:after="0" w:line="240" w:lineRule="auto"/>
        <w:jc w:val="both"/>
        <w:rPr>
          <w:rFonts w:ascii="Arial" w:hAnsi="Arial" w:cs="Arial"/>
        </w:rPr>
        <w:sectPr w:rsidR="005F0DC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59A9A3F6" w14:textId="77777777" w:rsidR="005F0DC4" w:rsidRDefault="007F0E9E">
      <w:pPr>
        <w:pStyle w:val="AbstHead"/>
        <w:spacing w:after="0"/>
        <w:jc w:val="both"/>
        <w:rPr>
          <w:rFonts w:ascii="Arial" w:hAnsi="Arial" w:cs="Arial"/>
        </w:rPr>
      </w:pPr>
      <w:r>
        <w:rPr>
          <w:rFonts w:ascii="Arial" w:hAnsi="Arial" w:cs="Arial"/>
        </w:rPr>
        <w:t xml:space="preserve">ABSTRACT </w:t>
      </w:r>
    </w:p>
    <w:p w14:paraId="5C0403C9" w14:textId="77777777" w:rsidR="005F0DC4" w:rsidRDefault="005F0DC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F0DC4" w14:paraId="08E60310" w14:textId="77777777">
        <w:tc>
          <w:tcPr>
            <w:tcW w:w="9576" w:type="dxa"/>
            <w:shd w:val="clear" w:color="auto" w:fill="F2F2F2"/>
          </w:tcPr>
          <w:p w14:paraId="2CCE7EDF" w14:textId="39D67AB3" w:rsidR="005F0DC4" w:rsidRDefault="007F0E9E">
            <w:pPr>
              <w:pStyle w:val="NormalWeb"/>
              <w:spacing w:line="360" w:lineRule="auto"/>
              <w:jc w:val="both"/>
              <w:rPr>
                <w:rFonts w:ascii="Arial" w:hAnsi="Arial" w:cs="Arial"/>
              </w:rPr>
            </w:pPr>
            <w:r>
              <w:rPr>
                <w:rFonts w:ascii="Arial" w:hAnsi="Arial" w:cs="Arial"/>
                <w:sz w:val="22"/>
                <w:szCs w:val="22"/>
              </w:rPr>
              <w:t xml:space="preserve">The impact of nutrition sources in Gladiolus cv. </w:t>
            </w:r>
            <w:proofErr w:type="spellStart"/>
            <w:r>
              <w:rPr>
                <w:rFonts w:ascii="Arial" w:hAnsi="Arial" w:cs="Arial"/>
                <w:sz w:val="22"/>
                <w:szCs w:val="22"/>
              </w:rPr>
              <w:t>Pusa</w:t>
            </w:r>
            <w:proofErr w:type="spellEnd"/>
            <w:r>
              <w:rPr>
                <w:rFonts w:ascii="Arial" w:hAnsi="Arial" w:cs="Arial"/>
                <w:sz w:val="22"/>
                <w:szCs w:val="22"/>
              </w:rPr>
              <w:t xml:space="preserve"> Chandni: a field trial experiment using randomized block design was used to study growth and flowering parameters. A total of seven treatments containing control, RDF</w:t>
            </w:r>
            <w:r w:rsidR="00F1530B">
              <w:rPr>
                <w:rFonts w:ascii="Arial" w:hAnsi="Arial" w:cs="Arial"/>
                <w:sz w:val="22"/>
                <w:szCs w:val="22"/>
              </w:rPr>
              <w:t xml:space="preserve"> </w:t>
            </w:r>
            <w:r>
              <w:rPr>
                <w:rFonts w:ascii="Arial" w:hAnsi="Arial" w:cs="Arial"/>
                <w:sz w:val="22"/>
                <w:szCs w:val="22"/>
              </w:rPr>
              <w:t>and corm priming and foliar application of coconut water were taken for study. Among the treatments, treatment T</w:t>
            </w:r>
            <w:r>
              <w:rPr>
                <w:rFonts w:ascii="Arial" w:hAnsi="Arial" w:cs="Arial"/>
                <w:sz w:val="22"/>
                <w:szCs w:val="22"/>
                <w:vertAlign w:val="subscript"/>
              </w:rPr>
              <w:t>5</w:t>
            </w:r>
            <w:r>
              <w:rPr>
                <w:rFonts w:ascii="Arial" w:hAnsi="Arial" w:cs="Arial"/>
                <w:sz w:val="22"/>
                <w:szCs w:val="22"/>
              </w:rPr>
              <w:t xml:space="preserve">-75% RDF + corm priming with 50% coconut water for 12 </w:t>
            </w:r>
            <w:proofErr w:type="spellStart"/>
            <w:r>
              <w:rPr>
                <w:rFonts w:ascii="Arial" w:hAnsi="Arial" w:cs="Arial"/>
                <w:sz w:val="22"/>
                <w:szCs w:val="22"/>
              </w:rPr>
              <w:t>hrs</w:t>
            </w:r>
            <w:proofErr w:type="spellEnd"/>
            <w:r>
              <w:rPr>
                <w:rFonts w:ascii="Arial" w:hAnsi="Arial" w:cs="Arial"/>
                <w:sz w:val="22"/>
                <w:szCs w:val="22"/>
              </w:rPr>
              <w:t xml:space="preserve"> + two sprays of 25% coconut water on plants at 15-day and 30-day stages resulted in maximum plant height (63.25±3.16 a), leaf width (2.65±0.05 a), number of spikes/plant (1.34±0.05 a), number of </w:t>
            </w:r>
            <w:r>
              <w:rPr>
                <w:rFonts w:ascii="Arial" w:hAnsi="Arial" w:cs="Arial"/>
                <w:color w:val="C00000"/>
                <w:sz w:val="22"/>
                <w:szCs w:val="22"/>
              </w:rPr>
              <w:t>flowers</w:t>
            </w:r>
            <w:r>
              <w:rPr>
                <w:rFonts w:ascii="Arial" w:hAnsi="Arial" w:cs="Arial"/>
                <w:sz w:val="22"/>
                <w:szCs w:val="22"/>
              </w:rPr>
              <w:t>/spike (14.20±0.70 a)</w:t>
            </w:r>
            <w:r w:rsidR="00F1530B">
              <w:rPr>
                <w:rFonts w:ascii="Arial" w:hAnsi="Arial" w:cs="Arial"/>
                <w:sz w:val="22"/>
                <w:szCs w:val="22"/>
              </w:rPr>
              <w:t xml:space="preserve"> </w:t>
            </w:r>
            <w:r>
              <w:rPr>
                <w:rFonts w:ascii="Arial" w:hAnsi="Arial" w:cs="Arial"/>
                <w:sz w:val="22"/>
                <w:szCs w:val="22"/>
              </w:rPr>
              <w:t>and spike length (64.85±0.73 a), while these parameters were at a minimum in the control. In regards to the postharvest characteristics of gladiolus flowers, a total of five treatments containing distilled water, coconut water, and sucrose were studied</w:t>
            </w:r>
            <w:r w:rsidR="00F1530B">
              <w:rPr>
                <w:rFonts w:ascii="Arial" w:hAnsi="Arial" w:cs="Arial"/>
                <w:sz w:val="22"/>
                <w:szCs w:val="22"/>
              </w:rPr>
              <w:t xml:space="preserve"> </w:t>
            </w:r>
            <w:r>
              <w:rPr>
                <w:rFonts w:ascii="Arial" w:hAnsi="Arial" w:cs="Arial"/>
                <w:sz w:val="22"/>
                <w:szCs w:val="22"/>
              </w:rPr>
              <w:t>and the treatment containing 50% coconut water + 50 % distilled water + 2% sucrose had the maximum vase life (10.67±0.15 a), florets opening % (81.33±0.12 a), maximum florets open at one time (5.33 ± 0.12 a) and minimum physiological weight loss % (18.68±0.03 e ), while spikes were held in holding solution T</w:t>
            </w:r>
            <w:r>
              <w:rPr>
                <w:rFonts w:ascii="Arial" w:hAnsi="Arial" w:cs="Arial"/>
                <w:sz w:val="22"/>
                <w:szCs w:val="22"/>
                <w:vertAlign w:val="subscript"/>
              </w:rPr>
              <w:t>3</w:t>
            </w:r>
            <w:r>
              <w:rPr>
                <w:rFonts w:ascii="Arial" w:hAnsi="Arial" w:cs="Arial"/>
                <w:sz w:val="22"/>
                <w:szCs w:val="22"/>
              </w:rPr>
              <w:t>-75% coconut water + 25% distilled water. 4% sucrose showed the maximum size of the floret (</w:t>
            </w:r>
            <w:r>
              <w:rPr>
                <w:rFonts w:ascii="Arial" w:hAnsi="Arial" w:cs="Arial"/>
                <w:color w:val="000000"/>
                <w:sz w:val="22"/>
                <w:szCs w:val="22"/>
              </w:rPr>
              <w:t>9.28±0.16 a)</w:t>
            </w:r>
            <w:r>
              <w:rPr>
                <w:rFonts w:ascii="Arial" w:hAnsi="Arial" w:cs="Arial"/>
                <w:sz w:val="22"/>
                <w:szCs w:val="22"/>
              </w:rPr>
              <w:t>.</w:t>
            </w:r>
          </w:p>
        </w:tc>
      </w:tr>
    </w:tbl>
    <w:p w14:paraId="7B102C50" w14:textId="77777777" w:rsidR="005F0DC4" w:rsidRDefault="005F0DC4">
      <w:pPr>
        <w:pStyle w:val="Body"/>
        <w:spacing w:after="0"/>
        <w:rPr>
          <w:rFonts w:ascii="Arial" w:hAnsi="Arial" w:cs="Arial"/>
          <w:i/>
        </w:rPr>
      </w:pPr>
    </w:p>
    <w:p w14:paraId="3680FF69" w14:textId="4BAA9134" w:rsidR="005F0DC4" w:rsidRDefault="007F0E9E">
      <w:pPr>
        <w:pStyle w:val="Body"/>
        <w:spacing w:after="0"/>
        <w:rPr>
          <w:rFonts w:ascii="Arial" w:hAnsi="Arial" w:cs="Arial"/>
          <w:i/>
        </w:rPr>
      </w:pPr>
      <w:r>
        <w:rPr>
          <w:rFonts w:ascii="Arial" w:hAnsi="Arial" w:cs="Arial"/>
          <w:i/>
        </w:rPr>
        <w:t xml:space="preserve">Keywords: </w:t>
      </w:r>
      <w:r w:rsidR="00F1530B" w:rsidRPr="00F1530B">
        <w:rPr>
          <w:rFonts w:ascii="Arial" w:hAnsi="Arial" w:cs="Arial"/>
          <w:i/>
        </w:rPr>
        <w:t>Gladiolus hybridus</w:t>
      </w:r>
      <w:r w:rsidR="00F1530B">
        <w:rPr>
          <w:rFonts w:ascii="Arial" w:hAnsi="Arial" w:cs="Arial"/>
          <w:i/>
        </w:rPr>
        <w:t xml:space="preserve">, </w:t>
      </w:r>
      <w:r w:rsidR="00F1530B">
        <w:rPr>
          <w:rFonts w:ascii="Times New Roman" w:eastAsia="ArialMT" w:hAnsi="Times New Roman"/>
          <w:sz w:val="24"/>
          <w:szCs w:val="24"/>
        </w:rPr>
        <w:t>c</w:t>
      </w:r>
      <w:r w:rsidR="00F1530B" w:rsidRPr="00F1530B">
        <w:rPr>
          <w:rFonts w:ascii="Times New Roman" w:eastAsia="ArialMT" w:hAnsi="Times New Roman"/>
          <w:sz w:val="24"/>
          <w:szCs w:val="24"/>
        </w:rPr>
        <w:t>orm priming</w:t>
      </w:r>
      <w:r>
        <w:rPr>
          <w:rFonts w:ascii="Times New Roman" w:eastAsia="ArialMT" w:hAnsi="Times New Roman"/>
          <w:sz w:val="24"/>
          <w:szCs w:val="24"/>
        </w:rPr>
        <w:t xml:space="preserve">, </w:t>
      </w:r>
      <w:r w:rsidR="00F1530B">
        <w:rPr>
          <w:rFonts w:ascii="Times New Roman" w:eastAsia="ArialMT" w:hAnsi="Times New Roman"/>
          <w:sz w:val="24"/>
          <w:szCs w:val="24"/>
        </w:rPr>
        <w:t>e</w:t>
      </w:r>
      <w:r w:rsidR="000E0753" w:rsidRPr="000E0753">
        <w:rPr>
          <w:rFonts w:ascii="Times New Roman" w:eastAsia="ArialMT" w:hAnsi="Times New Roman"/>
          <w:sz w:val="24"/>
          <w:szCs w:val="24"/>
        </w:rPr>
        <w:t>co-friendly floral preservatives</w:t>
      </w:r>
      <w:r>
        <w:rPr>
          <w:rFonts w:ascii="Times New Roman" w:eastAsia="ArialMT" w:hAnsi="Times New Roman"/>
          <w:sz w:val="24"/>
          <w:szCs w:val="24"/>
        </w:rPr>
        <w:t>,</w:t>
      </w:r>
      <w:r w:rsidR="00F1530B">
        <w:rPr>
          <w:rFonts w:ascii="Times New Roman" w:eastAsia="ArialMT" w:hAnsi="Times New Roman"/>
          <w:sz w:val="24"/>
          <w:szCs w:val="24"/>
        </w:rPr>
        <w:t xml:space="preserve"> </w:t>
      </w:r>
      <w:r>
        <w:rPr>
          <w:rFonts w:ascii="Times New Roman" w:eastAsia="ArialMT" w:hAnsi="Times New Roman"/>
          <w:sz w:val="24"/>
          <w:szCs w:val="24"/>
        </w:rPr>
        <w:t xml:space="preserve">coconut water, </w:t>
      </w:r>
      <w:r w:rsidR="00F1530B">
        <w:rPr>
          <w:rFonts w:ascii="Times New Roman" w:eastAsia="ArialMT" w:hAnsi="Times New Roman"/>
          <w:sz w:val="24"/>
          <w:szCs w:val="24"/>
        </w:rPr>
        <w:t>p</w:t>
      </w:r>
      <w:r w:rsidR="00F1530B" w:rsidRPr="00F1530B">
        <w:rPr>
          <w:rFonts w:ascii="Times New Roman" w:eastAsia="ArialMT" w:hAnsi="Times New Roman"/>
          <w:sz w:val="24"/>
          <w:szCs w:val="24"/>
        </w:rPr>
        <w:t>ostharvest quality</w:t>
      </w:r>
    </w:p>
    <w:p w14:paraId="716DCE86" w14:textId="77777777" w:rsidR="005F0DC4" w:rsidRDefault="005F0DC4">
      <w:pPr>
        <w:pStyle w:val="Body"/>
        <w:spacing w:after="0"/>
        <w:rPr>
          <w:rFonts w:ascii="Arial" w:hAnsi="Arial" w:cs="Arial"/>
          <w:i/>
          <w:sz w:val="18"/>
        </w:rPr>
      </w:pPr>
    </w:p>
    <w:p w14:paraId="1C98D95A" w14:textId="77777777" w:rsidR="005F0DC4" w:rsidRDefault="005F0DC4">
      <w:pPr>
        <w:pStyle w:val="Body"/>
        <w:spacing w:after="0"/>
        <w:rPr>
          <w:rFonts w:ascii="Arial" w:hAnsi="Arial" w:cs="Arial"/>
          <w:i/>
        </w:rPr>
      </w:pPr>
    </w:p>
    <w:p w14:paraId="2ED7101D" w14:textId="77777777" w:rsidR="005F0DC4" w:rsidRDefault="007F0E9E">
      <w:pPr>
        <w:pStyle w:val="AbstHead"/>
        <w:spacing w:after="0"/>
        <w:jc w:val="both"/>
        <w:rPr>
          <w:rFonts w:ascii="Arial" w:hAnsi="Arial" w:cs="Arial"/>
        </w:rPr>
      </w:pPr>
      <w:r>
        <w:rPr>
          <w:rFonts w:ascii="Arial" w:hAnsi="Arial" w:cs="Arial"/>
        </w:rPr>
        <w:t xml:space="preserve">1. INTRODUCTION </w:t>
      </w:r>
    </w:p>
    <w:p w14:paraId="0B91E7C7" w14:textId="77777777" w:rsidR="005F0DC4" w:rsidRDefault="005F0DC4">
      <w:pPr>
        <w:pStyle w:val="AbstHead"/>
        <w:spacing w:after="0"/>
        <w:jc w:val="both"/>
        <w:rPr>
          <w:rFonts w:ascii="Arial" w:hAnsi="Arial" w:cs="Arial"/>
        </w:rPr>
      </w:pPr>
    </w:p>
    <w:p w14:paraId="50DBF491" w14:textId="51DF7A2C" w:rsidR="005F0DC4" w:rsidRDefault="007F0E9E">
      <w:pPr>
        <w:spacing w:line="360" w:lineRule="auto"/>
        <w:jc w:val="both"/>
        <w:rPr>
          <w:rFonts w:ascii="Arial" w:hAnsi="Arial" w:cs="Arial"/>
          <w:sz w:val="22"/>
          <w:szCs w:val="22"/>
        </w:rPr>
      </w:pPr>
      <w:r>
        <w:rPr>
          <w:rFonts w:ascii="Arial" w:hAnsi="Arial" w:cs="Arial"/>
          <w:sz w:val="22"/>
          <w:szCs w:val="22"/>
        </w:rPr>
        <w:t xml:space="preserve">Gladiolus, also known as </w:t>
      </w:r>
      <w:r>
        <w:rPr>
          <w:rFonts w:ascii="Arial" w:hAnsi="Arial" w:cs="Arial"/>
          <w:i/>
          <w:sz w:val="22"/>
          <w:szCs w:val="22"/>
        </w:rPr>
        <w:t>Gladiolus hybridus</w:t>
      </w:r>
      <w:r>
        <w:rPr>
          <w:rFonts w:ascii="Arial" w:hAnsi="Arial" w:cs="Arial"/>
          <w:sz w:val="22"/>
          <w:szCs w:val="22"/>
        </w:rPr>
        <w:t xml:space="preserve"> Hort., is referred to as the "Queen of the bulbous flowers." It is a highly popular bulbous cut flower crop that is in greater </w:t>
      </w:r>
      <w:r>
        <w:rPr>
          <w:rFonts w:ascii="Arial" w:hAnsi="Arial" w:cs="Arial"/>
          <w:sz w:val="22"/>
          <w:szCs w:val="22"/>
        </w:rPr>
        <w:lastRenderedPageBreak/>
        <w:t>demand both domestically and internationally since it can be used in floral arrangements, bouquets</w:t>
      </w:r>
      <w:r w:rsidR="00F1530B">
        <w:rPr>
          <w:rFonts w:ascii="Arial" w:hAnsi="Arial" w:cs="Arial"/>
          <w:sz w:val="22"/>
          <w:szCs w:val="22"/>
        </w:rPr>
        <w:t xml:space="preserve"> </w:t>
      </w:r>
      <w:r>
        <w:rPr>
          <w:rFonts w:ascii="Arial" w:hAnsi="Arial" w:cs="Arial"/>
          <w:sz w:val="22"/>
          <w:szCs w:val="22"/>
        </w:rPr>
        <w:t xml:space="preserve">and interior decorating </w:t>
      </w:r>
      <w:r>
        <w:rPr>
          <w:rFonts w:ascii="Arial" w:hAnsi="Arial" w:cs="Arial"/>
          <w:color w:val="00B0F0"/>
          <w:sz w:val="22"/>
          <w:szCs w:val="22"/>
        </w:rPr>
        <w:t>(Kumar, 2014).</w:t>
      </w:r>
      <w:r>
        <w:rPr>
          <w:rFonts w:ascii="Arial" w:hAnsi="Arial" w:cs="Arial"/>
          <w:sz w:val="22"/>
          <w:szCs w:val="22"/>
        </w:rPr>
        <w:t xml:space="preserve"> It is a popular decorative bulbous plant because of its stunning inflorescence with brilliantly </w:t>
      </w:r>
      <w:r w:rsidR="00F82D22">
        <w:rPr>
          <w:rFonts w:ascii="Arial" w:hAnsi="Arial" w:cs="Arial"/>
          <w:sz w:val="22"/>
          <w:szCs w:val="22"/>
        </w:rPr>
        <w:t>colored</w:t>
      </w:r>
      <w:r>
        <w:rPr>
          <w:rFonts w:ascii="Arial" w:hAnsi="Arial" w:cs="Arial"/>
          <w:sz w:val="22"/>
          <w:szCs w:val="22"/>
        </w:rPr>
        <w:t xml:space="preserve"> florets, extended</w:t>
      </w:r>
      <w:r w:rsidR="000E0753">
        <w:rPr>
          <w:rFonts w:ascii="Arial" w:hAnsi="Arial" w:cs="Arial"/>
          <w:sz w:val="22"/>
          <w:szCs w:val="22"/>
        </w:rPr>
        <w:t xml:space="preserve"> </w:t>
      </w:r>
      <w:r w:rsidR="00F1530B" w:rsidRPr="007F1F5D">
        <w:rPr>
          <w:rFonts w:ascii="Arial" w:hAnsi="Arial" w:cs="Arial"/>
          <w:sz w:val="22"/>
          <w:szCs w:val="22"/>
        </w:rPr>
        <w:t>v</w:t>
      </w:r>
      <w:r w:rsidR="000E0753" w:rsidRPr="007F1F5D">
        <w:rPr>
          <w:rFonts w:ascii="Arial" w:hAnsi="Arial" w:cs="Arial"/>
          <w:sz w:val="22"/>
          <w:szCs w:val="22"/>
        </w:rPr>
        <w:t>ase life</w:t>
      </w:r>
      <w:r w:rsidR="00F82D22" w:rsidRPr="007F1F5D">
        <w:rPr>
          <w:rFonts w:ascii="Arial" w:hAnsi="Arial" w:cs="Arial"/>
          <w:sz w:val="22"/>
          <w:szCs w:val="22"/>
        </w:rPr>
        <w:t xml:space="preserve"> </w:t>
      </w:r>
      <w:r w:rsidRPr="007F1F5D">
        <w:rPr>
          <w:rFonts w:ascii="Arial" w:hAnsi="Arial" w:cs="Arial"/>
          <w:sz w:val="22"/>
          <w:szCs w:val="22"/>
        </w:rPr>
        <w:t xml:space="preserve">and </w:t>
      </w:r>
      <w:r w:rsidRPr="007F1F5D">
        <w:rPr>
          <w:rFonts w:ascii="Arial" w:hAnsi="Arial" w:cs="Arial"/>
          <w:color w:val="C00000"/>
          <w:sz w:val="22"/>
          <w:szCs w:val="22"/>
        </w:rPr>
        <w:t xml:space="preserve">variable shapes and sizes </w:t>
      </w:r>
      <w:r w:rsidR="000E0753" w:rsidRPr="007F1F5D">
        <w:rPr>
          <w:rFonts w:ascii="Arial" w:hAnsi="Arial" w:cs="Arial"/>
          <w:sz w:val="22"/>
          <w:szCs w:val="22"/>
        </w:rPr>
        <w:t>florets</w:t>
      </w:r>
      <w:r>
        <w:rPr>
          <w:rFonts w:ascii="Arial" w:hAnsi="Arial" w:cs="Arial"/>
          <w:sz w:val="22"/>
          <w:szCs w:val="22"/>
        </w:rPr>
        <w:t xml:space="preserve">. Depending on the kind and ambient conditions of the space, it may be kept in vases for eight to ten days. Flower crops require a larger quantity of organic and inorganic fertilizer in a balanced proportion to achieve optimal bloom output since they are more sensitive to fertilizers and can deplete large amount of nutrients from native soils </w:t>
      </w:r>
      <w:r>
        <w:rPr>
          <w:rFonts w:ascii="Arial" w:hAnsi="Arial" w:cs="Arial"/>
          <w:color w:val="00B0F0"/>
          <w:sz w:val="22"/>
          <w:szCs w:val="22"/>
        </w:rPr>
        <w:t>(Singh et al., 2013).</w:t>
      </w:r>
      <w:r>
        <w:rPr>
          <w:rFonts w:ascii="Arial" w:hAnsi="Arial" w:cs="Arial"/>
          <w:sz w:val="22"/>
          <w:szCs w:val="22"/>
        </w:rPr>
        <w:t xml:space="preserve"> The quality, growth, corm, and </w:t>
      </w:r>
      <w:proofErr w:type="spellStart"/>
      <w:r>
        <w:rPr>
          <w:rFonts w:ascii="Arial" w:hAnsi="Arial" w:cs="Arial"/>
          <w:sz w:val="22"/>
          <w:szCs w:val="22"/>
        </w:rPr>
        <w:t>cormel</w:t>
      </w:r>
      <w:proofErr w:type="spellEnd"/>
      <w:r>
        <w:rPr>
          <w:rFonts w:ascii="Arial" w:hAnsi="Arial" w:cs="Arial"/>
          <w:sz w:val="22"/>
          <w:szCs w:val="22"/>
        </w:rPr>
        <w:t xml:space="preserve"> output of gladiolus and other crops are significantly influenced by fertilizer requirements </w:t>
      </w:r>
      <w:r>
        <w:rPr>
          <w:rFonts w:ascii="Arial" w:hAnsi="Arial" w:cs="Arial"/>
          <w:color w:val="00B0F0"/>
          <w:sz w:val="22"/>
          <w:szCs w:val="22"/>
        </w:rPr>
        <w:t>(</w:t>
      </w:r>
      <w:proofErr w:type="spellStart"/>
      <w:r>
        <w:rPr>
          <w:rFonts w:ascii="Arial" w:hAnsi="Arial" w:cs="Arial"/>
          <w:color w:val="00B0F0"/>
          <w:sz w:val="22"/>
          <w:szCs w:val="22"/>
        </w:rPr>
        <w:t>Afify</w:t>
      </w:r>
      <w:proofErr w:type="spellEnd"/>
      <w:r>
        <w:rPr>
          <w:rFonts w:ascii="Arial" w:hAnsi="Arial" w:cs="Arial"/>
          <w:color w:val="00B0F0"/>
          <w:sz w:val="22"/>
          <w:szCs w:val="22"/>
        </w:rPr>
        <w:t>, 1983).</w:t>
      </w:r>
      <w:r>
        <w:rPr>
          <w:rFonts w:ascii="Arial" w:hAnsi="Arial" w:cs="Arial"/>
          <w:sz w:val="22"/>
          <w:szCs w:val="22"/>
        </w:rPr>
        <w:t xml:space="preserve"> Furthermore, farmers are dishonestly utilizing chemical fertilizers, which are expensive and endanger the health of the soil, in an attempt to produce more blooms. Therefore, it is necessary to create a sustainable production system that uses alternative nutrient sources to reduce the use of chemical fertilizers (</w:t>
      </w:r>
      <w:r>
        <w:rPr>
          <w:rFonts w:ascii="Arial" w:hAnsi="Arial" w:cs="Arial"/>
          <w:color w:val="00B0F0"/>
          <w:sz w:val="22"/>
          <w:szCs w:val="22"/>
        </w:rPr>
        <w:t>Chaudhary et al., 2013; Singh et al., 2015; Kumar et al., 2018).</w:t>
      </w:r>
      <w:r>
        <w:rPr>
          <w:rFonts w:ascii="Arial" w:hAnsi="Arial" w:cs="Arial"/>
          <w:sz w:val="22"/>
          <w:szCs w:val="22"/>
        </w:rPr>
        <w:t xml:space="preserve"> According to </w:t>
      </w:r>
      <w:proofErr w:type="spellStart"/>
      <w:r>
        <w:rPr>
          <w:rFonts w:ascii="Arial" w:hAnsi="Arial" w:cs="Arial"/>
          <w:color w:val="00B0F0"/>
          <w:sz w:val="22"/>
          <w:szCs w:val="22"/>
        </w:rPr>
        <w:t>Winarto</w:t>
      </w:r>
      <w:proofErr w:type="spellEnd"/>
      <w:r>
        <w:rPr>
          <w:rFonts w:ascii="Arial" w:hAnsi="Arial" w:cs="Arial"/>
          <w:color w:val="00B0F0"/>
          <w:sz w:val="22"/>
          <w:szCs w:val="22"/>
        </w:rPr>
        <w:t xml:space="preserve"> and Da Silva (2015),</w:t>
      </w:r>
      <w:r>
        <w:rPr>
          <w:rFonts w:ascii="Arial" w:hAnsi="Arial" w:cs="Arial"/>
          <w:sz w:val="22"/>
          <w:szCs w:val="22"/>
        </w:rPr>
        <w:t xml:space="preserve"> coconut water is a significant plant product that promotes crop development. According to the findings of earlier research, it contains potassium, sugar, protein, and minerals including calcium (Ca), sodium (Na), magnesium (Mg), iron (Fe), cuprum (Cu), and sulfur (S). In addition to its mineral content, coconut water is a source of plant growth regulators (PGR), including gibberellins and </w:t>
      </w:r>
      <w:proofErr w:type="spellStart"/>
      <w:r>
        <w:rPr>
          <w:rFonts w:ascii="Arial" w:hAnsi="Arial" w:cs="Arial"/>
          <w:sz w:val="22"/>
          <w:szCs w:val="22"/>
        </w:rPr>
        <w:t>cytokinins</w:t>
      </w:r>
      <w:proofErr w:type="spellEnd"/>
      <w:r>
        <w:rPr>
          <w:rFonts w:ascii="Arial" w:hAnsi="Arial" w:cs="Arial"/>
          <w:sz w:val="22"/>
          <w:szCs w:val="22"/>
        </w:rPr>
        <w:t xml:space="preserve"> (</w:t>
      </w:r>
      <w:proofErr w:type="spellStart"/>
      <w:r>
        <w:rPr>
          <w:rFonts w:ascii="Arial" w:hAnsi="Arial" w:cs="Arial"/>
          <w:color w:val="00B0F0"/>
          <w:sz w:val="22"/>
          <w:szCs w:val="22"/>
        </w:rPr>
        <w:t>Tiwery</w:t>
      </w:r>
      <w:proofErr w:type="spellEnd"/>
      <w:r>
        <w:rPr>
          <w:rFonts w:ascii="Arial" w:hAnsi="Arial" w:cs="Arial"/>
          <w:color w:val="00B0F0"/>
          <w:sz w:val="22"/>
          <w:szCs w:val="22"/>
        </w:rPr>
        <w:t xml:space="preserve">, 2014; </w:t>
      </w:r>
      <w:proofErr w:type="spellStart"/>
      <w:r>
        <w:rPr>
          <w:rFonts w:ascii="Arial" w:hAnsi="Arial" w:cs="Arial"/>
          <w:color w:val="00B0F0"/>
          <w:sz w:val="22"/>
          <w:szCs w:val="22"/>
        </w:rPr>
        <w:t>Ulfa</w:t>
      </w:r>
      <w:proofErr w:type="spellEnd"/>
      <w:r>
        <w:rPr>
          <w:rFonts w:ascii="Arial" w:hAnsi="Arial" w:cs="Arial"/>
          <w:color w:val="00B0F0"/>
          <w:sz w:val="22"/>
          <w:szCs w:val="22"/>
        </w:rPr>
        <w:t xml:space="preserve"> et al., 2022).</w:t>
      </w:r>
      <w:r>
        <w:rPr>
          <w:rFonts w:ascii="Arial" w:hAnsi="Arial" w:cs="Arial"/>
          <w:sz w:val="22"/>
          <w:szCs w:val="22"/>
        </w:rPr>
        <w:t xml:space="preserve"> As a natural supply of sugar and PGR, including auxin (IAA and ABA), gibberellins, and zeatin (cytokines), the water content of coconuts may be used. These nutrients are inexpensive, easy for plants to access, and ecologically benign (</w:t>
      </w:r>
      <w:proofErr w:type="spellStart"/>
      <w:r>
        <w:rPr>
          <w:rFonts w:ascii="Arial" w:hAnsi="Arial" w:cs="Arial"/>
          <w:color w:val="00B0F0"/>
          <w:sz w:val="22"/>
          <w:szCs w:val="22"/>
        </w:rPr>
        <w:t>Prades</w:t>
      </w:r>
      <w:proofErr w:type="spellEnd"/>
      <w:r>
        <w:rPr>
          <w:rFonts w:ascii="Arial" w:hAnsi="Arial" w:cs="Arial"/>
          <w:color w:val="00B0F0"/>
          <w:sz w:val="22"/>
          <w:szCs w:val="22"/>
        </w:rPr>
        <w:t xml:space="preserve"> et al., 2012; Tan et al., 2014; </w:t>
      </w:r>
      <w:proofErr w:type="spellStart"/>
      <w:r>
        <w:rPr>
          <w:rFonts w:ascii="Arial" w:hAnsi="Arial" w:cs="Arial"/>
          <w:color w:val="00B0F0"/>
          <w:sz w:val="22"/>
          <w:szCs w:val="22"/>
        </w:rPr>
        <w:t>Lazim</w:t>
      </w:r>
      <w:proofErr w:type="spellEnd"/>
      <w:r>
        <w:rPr>
          <w:rFonts w:ascii="Arial" w:hAnsi="Arial" w:cs="Arial"/>
          <w:color w:val="00B0F0"/>
          <w:sz w:val="22"/>
          <w:szCs w:val="22"/>
        </w:rPr>
        <w:t xml:space="preserve"> et al., 2015; </w:t>
      </w:r>
      <w:proofErr w:type="spellStart"/>
      <w:r>
        <w:rPr>
          <w:rFonts w:ascii="Arial" w:hAnsi="Arial" w:cs="Arial"/>
          <w:color w:val="00B0F0"/>
          <w:sz w:val="22"/>
          <w:szCs w:val="22"/>
        </w:rPr>
        <w:t>Mintah</w:t>
      </w:r>
      <w:proofErr w:type="spellEnd"/>
      <w:r>
        <w:rPr>
          <w:rFonts w:ascii="Arial" w:hAnsi="Arial" w:cs="Arial"/>
          <w:color w:val="00B0F0"/>
          <w:sz w:val="22"/>
          <w:szCs w:val="22"/>
        </w:rPr>
        <w:t xml:space="preserve"> et al., 2018).</w:t>
      </w:r>
      <w:r>
        <w:rPr>
          <w:rFonts w:ascii="Arial" w:hAnsi="Arial" w:cs="Arial"/>
          <w:sz w:val="22"/>
          <w:szCs w:val="22"/>
        </w:rPr>
        <w:t xml:space="preserve">  Furthermore, seed priming stimulates the metabolic processes that take place during the early stages of germination and it is frequently observed that the primed seeds emerge quickly as seedlings. This results in vigorous growth and improved performance under challenging conditions </w:t>
      </w:r>
      <w:r>
        <w:rPr>
          <w:rFonts w:ascii="Arial" w:hAnsi="Arial" w:cs="Arial"/>
          <w:color w:val="00B0F0"/>
          <w:sz w:val="22"/>
          <w:szCs w:val="22"/>
        </w:rPr>
        <w:t>(Diya et al., 2024),</w:t>
      </w:r>
      <w:r>
        <w:rPr>
          <w:rFonts w:ascii="Arial" w:hAnsi="Arial" w:cs="Arial"/>
          <w:sz w:val="22"/>
          <w:szCs w:val="22"/>
        </w:rPr>
        <w:t xml:space="preserve"> as well as improved plant biochemical properties and metabolic processes like DNA repair and protein synthesis </w:t>
      </w:r>
      <w:r>
        <w:rPr>
          <w:rFonts w:ascii="Arial" w:hAnsi="Arial" w:cs="Arial"/>
          <w:color w:val="00B0F0"/>
          <w:sz w:val="22"/>
          <w:szCs w:val="22"/>
        </w:rPr>
        <w:t>(</w:t>
      </w:r>
      <w:proofErr w:type="spellStart"/>
      <w:r>
        <w:rPr>
          <w:rFonts w:ascii="Arial" w:hAnsi="Arial" w:cs="Arial"/>
          <w:color w:val="00B0F0"/>
          <w:sz w:val="22"/>
          <w:szCs w:val="22"/>
        </w:rPr>
        <w:t>Jisha</w:t>
      </w:r>
      <w:proofErr w:type="spellEnd"/>
      <w:r>
        <w:rPr>
          <w:rFonts w:ascii="Arial" w:hAnsi="Arial" w:cs="Arial"/>
          <w:color w:val="00B0F0"/>
          <w:sz w:val="22"/>
          <w:szCs w:val="22"/>
        </w:rPr>
        <w:t xml:space="preserve"> et al., 2013; </w:t>
      </w:r>
      <w:proofErr w:type="spellStart"/>
      <w:r>
        <w:rPr>
          <w:rFonts w:ascii="Arial" w:hAnsi="Arial" w:cs="Arial"/>
          <w:color w:val="00B0F0"/>
          <w:sz w:val="22"/>
          <w:szCs w:val="22"/>
        </w:rPr>
        <w:t>Paparella</w:t>
      </w:r>
      <w:proofErr w:type="spellEnd"/>
      <w:r>
        <w:rPr>
          <w:rFonts w:ascii="Arial" w:hAnsi="Arial" w:cs="Arial"/>
          <w:color w:val="00B0F0"/>
          <w:sz w:val="22"/>
          <w:szCs w:val="22"/>
        </w:rPr>
        <w:t xml:space="preserve"> et al., 2015; Diya et al., 2024)</w:t>
      </w:r>
      <w:r>
        <w:rPr>
          <w:rFonts w:ascii="Arial" w:hAnsi="Arial" w:cs="Arial"/>
          <w:sz w:val="22"/>
          <w:szCs w:val="22"/>
        </w:rPr>
        <w:t xml:space="preserve">.  Osmotic potential and solution composition have an impact on seed priming </w:t>
      </w:r>
      <w:r>
        <w:rPr>
          <w:rFonts w:ascii="Arial" w:hAnsi="Arial" w:cs="Arial"/>
          <w:color w:val="00B0F0"/>
          <w:sz w:val="22"/>
          <w:szCs w:val="22"/>
        </w:rPr>
        <w:t>(</w:t>
      </w:r>
      <w:proofErr w:type="spellStart"/>
      <w:r>
        <w:rPr>
          <w:rFonts w:ascii="Arial" w:hAnsi="Arial" w:cs="Arial"/>
          <w:color w:val="00B0F0"/>
          <w:sz w:val="22"/>
          <w:szCs w:val="22"/>
        </w:rPr>
        <w:t>Chinnusamy</w:t>
      </w:r>
      <w:proofErr w:type="spellEnd"/>
      <w:r>
        <w:rPr>
          <w:rFonts w:ascii="Arial" w:hAnsi="Arial" w:cs="Arial"/>
          <w:color w:val="00B0F0"/>
          <w:sz w:val="22"/>
          <w:szCs w:val="22"/>
        </w:rPr>
        <w:t xml:space="preserve"> et al., 2005).</w:t>
      </w:r>
      <w:r>
        <w:rPr>
          <w:rFonts w:ascii="Arial" w:hAnsi="Arial" w:cs="Arial"/>
          <w:sz w:val="22"/>
          <w:szCs w:val="22"/>
        </w:rPr>
        <w:t xml:space="preserve"> Coconut water, a liquid and multifunctional organic substance, was used to stimulate the corms </w:t>
      </w:r>
      <w:r>
        <w:rPr>
          <w:rFonts w:ascii="Arial" w:hAnsi="Arial" w:cs="Arial"/>
          <w:sz w:val="22"/>
          <w:szCs w:val="22"/>
        </w:rPr>
        <w:lastRenderedPageBreak/>
        <w:t xml:space="preserve">in our study </w:t>
      </w:r>
      <w:r>
        <w:rPr>
          <w:rFonts w:ascii="Arial" w:hAnsi="Arial" w:cs="Arial"/>
          <w:color w:val="00B0F0"/>
          <w:sz w:val="22"/>
          <w:szCs w:val="22"/>
        </w:rPr>
        <w:t>(Jean et al., 2009).</w:t>
      </w:r>
      <w:r>
        <w:rPr>
          <w:rFonts w:ascii="Arial" w:hAnsi="Arial" w:cs="Arial"/>
          <w:sz w:val="22"/>
          <w:szCs w:val="22"/>
        </w:rPr>
        <w:t xml:space="preserve"> It contains vitamins, minerals, carbohydrates, and amino acids </w:t>
      </w:r>
      <w:r>
        <w:rPr>
          <w:rFonts w:ascii="Arial" w:hAnsi="Arial" w:cs="Arial"/>
          <w:color w:val="00B0F0"/>
          <w:sz w:val="22"/>
          <w:szCs w:val="22"/>
        </w:rPr>
        <w:t>(</w:t>
      </w:r>
      <w:proofErr w:type="spellStart"/>
      <w:r>
        <w:rPr>
          <w:rFonts w:ascii="Arial" w:hAnsi="Arial" w:cs="Arial"/>
          <w:color w:val="00B0F0"/>
          <w:sz w:val="22"/>
          <w:szCs w:val="22"/>
        </w:rPr>
        <w:t>Mantene</w:t>
      </w:r>
      <w:proofErr w:type="spellEnd"/>
      <w:r>
        <w:rPr>
          <w:rFonts w:ascii="Arial" w:hAnsi="Arial" w:cs="Arial"/>
          <w:color w:val="00B0F0"/>
          <w:sz w:val="22"/>
          <w:szCs w:val="22"/>
        </w:rPr>
        <w:t xml:space="preserve"> et al., 2003).</w:t>
      </w:r>
      <w:r>
        <w:rPr>
          <w:rFonts w:ascii="Arial" w:hAnsi="Arial" w:cs="Arial"/>
          <w:sz w:val="22"/>
          <w:szCs w:val="22"/>
        </w:rPr>
        <w:t xml:space="preserve">  The main constituents of coconut water are sugar and minerals </w:t>
      </w:r>
      <w:r>
        <w:rPr>
          <w:rFonts w:ascii="Arial" w:hAnsi="Arial" w:cs="Arial"/>
          <w:color w:val="00B0F0"/>
          <w:sz w:val="22"/>
          <w:szCs w:val="22"/>
        </w:rPr>
        <w:t>(</w:t>
      </w:r>
      <w:proofErr w:type="spellStart"/>
      <w:r>
        <w:rPr>
          <w:rFonts w:ascii="Arial" w:hAnsi="Arial" w:cs="Arial"/>
          <w:color w:val="00B0F0"/>
          <w:sz w:val="22"/>
          <w:szCs w:val="22"/>
        </w:rPr>
        <w:t>Prades</w:t>
      </w:r>
      <w:proofErr w:type="spellEnd"/>
      <w:r>
        <w:rPr>
          <w:rFonts w:ascii="Arial" w:hAnsi="Arial" w:cs="Arial"/>
          <w:color w:val="00B0F0"/>
          <w:sz w:val="22"/>
          <w:szCs w:val="22"/>
        </w:rPr>
        <w:t xml:space="preserve"> et al., 2012),</w:t>
      </w:r>
      <w:r>
        <w:rPr>
          <w:rFonts w:ascii="Arial" w:hAnsi="Arial" w:cs="Arial"/>
          <w:sz w:val="22"/>
          <w:szCs w:val="22"/>
        </w:rPr>
        <w:t xml:space="preserve"> however phytohormones such as auxin (IAA and ABA), gibberellins, and zeatin (cytokines) are present in varied amounts (</w:t>
      </w:r>
      <w:r>
        <w:rPr>
          <w:rFonts w:ascii="Arial" w:hAnsi="Arial" w:cs="Arial"/>
          <w:color w:val="00B0F0"/>
          <w:sz w:val="22"/>
          <w:szCs w:val="22"/>
        </w:rPr>
        <w:t>Tan et al., 2014).</w:t>
      </w:r>
      <w:r>
        <w:rPr>
          <w:rFonts w:ascii="Arial" w:hAnsi="Arial" w:cs="Arial"/>
          <w:sz w:val="22"/>
          <w:szCs w:val="22"/>
        </w:rPr>
        <w:t xml:space="preserve"> Coconut water has a significant effect on the germination rate and speeds up seedling germination (</w:t>
      </w:r>
      <w:proofErr w:type="spellStart"/>
      <w:r>
        <w:rPr>
          <w:rFonts w:ascii="Arial" w:hAnsi="Arial" w:cs="Arial"/>
          <w:color w:val="00B0F0"/>
          <w:sz w:val="22"/>
          <w:szCs w:val="22"/>
        </w:rPr>
        <w:t>Saat</w:t>
      </w:r>
      <w:proofErr w:type="spellEnd"/>
      <w:r>
        <w:rPr>
          <w:rFonts w:ascii="Arial" w:hAnsi="Arial" w:cs="Arial"/>
          <w:color w:val="00B0F0"/>
          <w:sz w:val="22"/>
          <w:szCs w:val="22"/>
        </w:rPr>
        <w:t xml:space="preserve"> et al., 2002).</w:t>
      </w:r>
    </w:p>
    <w:p w14:paraId="1C77F6E6" w14:textId="77777777" w:rsidR="005F0DC4" w:rsidRDefault="007F0E9E">
      <w:pPr>
        <w:spacing w:line="360" w:lineRule="auto"/>
        <w:jc w:val="both"/>
        <w:rPr>
          <w:rFonts w:ascii="Arial" w:hAnsi="Arial" w:cs="Arial"/>
          <w:sz w:val="22"/>
          <w:szCs w:val="22"/>
        </w:rPr>
      </w:pPr>
      <w:r>
        <w:rPr>
          <w:rFonts w:ascii="Arial" w:hAnsi="Arial" w:cs="Arial"/>
          <w:sz w:val="22"/>
          <w:szCs w:val="22"/>
        </w:rPr>
        <w:t xml:space="preserve">            The vase life of cut flowers has been shown to be positively extended by coconut water, a rich natural supply of carbohydrates, electrolytes, and growth regulators such </w:t>
      </w:r>
      <w:proofErr w:type="spellStart"/>
      <w:r>
        <w:rPr>
          <w:rFonts w:ascii="Arial" w:hAnsi="Arial" w:cs="Arial"/>
          <w:sz w:val="22"/>
          <w:szCs w:val="22"/>
        </w:rPr>
        <w:t>cytokinins</w:t>
      </w:r>
      <w:proofErr w:type="spellEnd"/>
      <w:r>
        <w:rPr>
          <w:rFonts w:ascii="Arial" w:hAnsi="Arial" w:cs="Arial"/>
          <w:sz w:val="22"/>
          <w:szCs w:val="22"/>
        </w:rPr>
        <w:t xml:space="preserve"> (</w:t>
      </w:r>
      <w:r>
        <w:rPr>
          <w:rFonts w:ascii="Arial" w:hAnsi="Arial" w:cs="Arial"/>
          <w:color w:val="00B0F0"/>
          <w:sz w:val="22"/>
          <w:szCs w:val="22"/>
        </w:rPr>
        <w:t xml:space="preserve">Nair et al., 2000; </w:t>
      </w:r>
      <w:proofErr w:type="spellStart"/>
      <w:r>
        <w:rPr>
          <w:rFonts w:ascii="Arial" w:hAnsi="Arial" w:cs="Arial"/>
          <w:color w:val="00B0F0"/>
          <w:sz w:val="22"/>
          <w:szCs w:val="22"/>
        </w:rPr>
        <w:t>Agampodi</w:t>
      </w:r>
      <w:proofErr w:type="spellEnd"/>
      <w:r>
        <w:rPr>
          <w:rFonts w:ascii="Arial" w:hAnsi="Arial" w:cs="Arial"/>
          <w:color w:val="00B0F0"/>
          <w:sz w:val="22"/>
          <w:szCs w:val="22"/>
        </w:rPr>
        <w:t xml:space="preserve"> and Jayawardena, 2007; </w:t>
      </w:r>
      <w:proofErr w:type="spellStart"/>
      <w:r>
        <w:rPr>
          <w:rFonts w:ascii="Arial" w:hAnsi="Arial" w:cs="Arial"/>
          <w:color w:val="00B0F0"/>
          <w:sz w:val="22"/>
          <w:szCs w:val="22"/>
        </w:rPr>
        <w:t>Mintah</w:t>
      </w:r>
      <w:proofErr w:type="spellEnd"/>
      <w:r>
        <w:rPr>
          <w:rFonts w:ascii="Arial" w:hAnsi="Arial" w:cs="Arial"/>
          <w:color w:val="00B0F0"/>
          <w:sz w:val="22"/>
          <w:szCs w:val="22"/>
        </w:rPr>
        <w:t xml:space="preserve"> et al., 2018). </w:t>
      </w:r>
      <w:r>
        <w:rPr>
          <w:rFonts w:ascii="Arial" w:hAnsi="Arial" w:cs="Arial"/>
          <w:sz w:val="22"/>
          <w:szCs w:val="22"/>
        </w:rPr>
        <w:t xml:space="preserve">Furthermore, it was found that sugar was frequently utilized to prolong the vase life of cut flowers. Since sugar, like sucrose, is essential for plant respiration, adding it to vase water prolongs the vase life of cut </w:t>
      </w:r>
      <w:r w:rsidRPr="00F82D22">
        <w:rPr>
          <w:rFonts w:ascii="Arial" w:hAnsi="Arial" w:cs="Arial"/>
          <w:sz w:val="22"/>
          <w:szCs w:val="22"/>
        </w:rPr>
        <w:t>flowers</w:t>
      </w:r>
      <w:r>
        <w:rPr>
          <w:rFonts w:ascii="Arial" w:hAnsi="Arial" w:cs="Arial"/>
          <w:sz w:val="22"/>
          <w:szCs w:val="22"/>
        </w:rPr>
        <w:t xml:space="preserve"> (</w:t>
      </w:r>
      <w:r>
        <w:rPr>
          <w:rFonts w:ascii="Arial" w:hAnsi="Arial" w:cs="Arial"/>
          <w:color w:val="00B0F0"/>
          <w:sz w:val="22"/>
          <w:szCs w:val="22"/>
        </w:rPr>
        <w:t xml:space="preserve">Halevy &amp; </w:t>
      </w:r>
      <w:proofErr w:type="spellStart"/>
      <w:r>
        <w:rPr>
          <w:rFonts w:ascii="Arial" w:hAnsi="Arial" w:cs="Arial"/>
          <w:color w:val="00B0F0"/>
          <w:sz w:val="22"/>
          <w:szCs w:val="22"/>
        </w:rPr>
        <w:t>Mayak</w:t>
      </w:r>
      <w:proofErr w:type="spellEnd"/>
      <w:r>
        <w:rPr>
          <w:rFonts w:ascii="Arial" w:hAnsi="Arial" w:cs="Arial"/>
          <w:color w:val="00B0F0"/>
          <w:sz w:val="22"/>
          <w:szCs w:val="22"/>
        </w:rPr>
        <w:t>, 1979).</w:t>
      </w:r>
      <w:r>
        <w:rPr>
          <w:rFonts w:ascii="Arial" w:hAnsi="Arial" w:cs="Arial"/>
          <w:sz w:val="22"/>
          <w:szCs w:val="22"/>
        </w:rPr>
        <w:t xml:space="preserve"> In different way, several studies have focused on cut flower crops such as gladiolus and tuberose, offering valuable insights into factors influencing their vase life (</w:t>
      </w:r>
      <w:r>
        <w:rPr>
          <w:rFonts w:ascii="Arial" w:hAnsi="Arial" w:cs="Arial"/>
          <w:color w:val="0070C0"/>
          <w:sz w:val="22"/>
          <w:szCs w:val="22"/>
        </w:rPr>
        <w:t>Kumar et al., 2022</w:t>
      </w:r>
      <w:r>
        <w:rPr>
          <w:rFonts w:ascii="Arial" w:hAnsi="Arial" w:cs="Arial"/>
          <w:sz w:val="22"/>
          <w:szCs w:val="22"/>
        </w:rPr>
        <w:t xml:space="preserve">, </w:t>
      </w:r>
      <w:r>
        <w:rPr>
          <w:rFonts w:ascii="Arial" w:hAnsi="Arial" w:cs="Arial"/>
          <w:color w:val="0070C0"/>
          <w:sz w:val="22"/>
          <w:szCs w:val="22"/>
        </w:rPr>
        <w:t>2023</w:t>
      </w:r>
      <w:r>
        <w:rPr>
          <w:rFonts w:ascii="Arial" w:hAnsi="Arial" w:cs="Arial"/>
          <w:sz w:val="22"/>
          <w:szCs w:val="22"/>
        </w:rPr>
        <w:t xml:space="preserve">, </w:t>
      </w:r>
      <w:r>
        <w:rPr>
          <w:rFonts w:ascii="Arial" w:hAnsi="Arial" w:cs="Arial"/>
          <w:color w:val="0070C0"/>
          <w:sz w:val="22"/>
          <w:szCs w:val="22"/>
        </w:rPr>
        <w:t>2024a</w:t>
      </w:r>
      <w:r>
        <w:rPr>
          <w:rFonts w:ascii="Arial" w:hAnsi="Arial" w:cs="Arial"/>
          <w:sz w:val="22"/>
          <w:szCs w:val="22"/>
        </w:rPr>
        <w:t xml:space="preserve">, </w:t>
      </w:r>
      <w:r>
        <w:rPr>
          <w:rFonts w:ascii="Arial" w:hAnsi="Arial" w:cs="Arial"/>
          <w:color w:val="0070C0"/>
          <w:sz w:val="22"/>
          <w:szCs w:val="22"/>
        </w:rPr>
        <w:t>2024b</w:t>
      </w:r>
      <w:r>
        <w:rPr>
          <w:rFonts w:ascii="Arial" w:hAnsi="Arial" w:cs="Arial"/>
          <w:sz w:val="22"/>
          <w:szCs w:val="22"/>
        </w:rPr>
        <w:t xml:space="preserve">; </w:t>
      </w:r>
      <w:r>
        <w:rPr>
          <w:rFonts w:ascii="Arial" w:hAnsi="Arial" w:cs="Arial"/>
          <w:color w:val="0070C0"/>
          <w:sz w:val="22"/>
          <w:szCs w:val="22"/>
        </w:rPr>
        <w:t>Sharma et al., 2024</w:t>
      </w:r>
      <w:r>
        <w:rPr>
          <w:rFonts w:ascii="Arial" w:hAnsi="Arial" w:cs="Arial"/>
          <w:sz w:val="22"/>
          <w:szCs w:val="22"/>
        </w:rPr>
        <w:t>). Recent advancements in biotechnology, including the application of artificial microRNAs (</w:t>
      </w:r>
      <w:proofErr w:type="spellStart"/>
      <w:r>
        <w:rPr>
          <w:rFonts w:ascii="Arial" w:hAnsi="Arial" w:cs="Arial"/>
          <w:sz w:val="22"/>
          <w:szCs w:val="22"/>
        </w:rPr>
        <w:t>amiRNAs</w:t>
      </w:r>
      <w:proofErr w:type="spellEnd"/>
      <w:r>
        <w:rPr>
          <w:rFonts w:ascii="Arial" w:hAnsi="Arial" w:cs="Arial"/>
          <w:sz w:val="22"/>
          <w:szCs w:val="22"/>
        </w:rPr>
        <w:t>) (</w:t>
      </w:r>
      <w:r>
        <w:rPr>
          <w:rFonts w:ascii="Arial" w:hAnsi="Arial" w:cs="Arial"/>
          <w:color w:val="0070C0"/>
          <w:sz w:val="22"/>
          <w:szCs w:val="22"/>
        </w:rPr>
        <w:t>Kumar et al., 2024c</w:t>
      </w:r>
      <w:r>
        <w:rPr>
          <w:rFonts w:ascii="Arial" w:hAnsi="Arial" w:cs="Arial"/>
          <w:sz w:val="22"/>
          <w:szCs w:val="22"/>
        </w:rPr>
        <w:t>) and RNA interference (RNAi) strategies (</w:t>
      </w:r>
      <w:r>
        <w:rPr>
          <w:rFonts w:ascii="Arial" w:hAnsi="Arial" w:cs="Arial"/>
          <w:color w:val="0070C0"/>
          <w:sz w:val="22"/>
          <w:szCs w:val="22"/>
        </w:rPr>
        <w:t>Kumar et al., 2024d</w:t>
      </w:r>
      <w:r>
        <w:rPr>
          <w:rFonts w:ascii="Arial" w:hAnsi="Arial" w:cs="Arial"/>
          <w:sz w:val="22"/>
          <w:szCs w:val="22"/>
        </w:rPr>
        <w:t>), have shown potential in extending the postharvest longevity of these floricultural crops. In light of the aforementioned information, the current study aimed to investigate the sources of nutrients through corm priming prior to planting with coconut water, as well as the effects of different coconut water concentrations in sugar combinations on gladiolus postharvest quality.</w:t>
      </w:r>
    </w:p>
    <w:p w14:paraId="414793BF" w14:textId="77777777" w:rsidR="005F0DC4" w:rsidRDefault="007F0E9E">
      <w:pPr>
        <w:pStyle w:val="AbstHead"/>
        <w:spacing w:after="0"/>
        <w:jc w:val="both"/>
        <w:rPr>
          <w:rFonts w:ascii="Arial" w:hAnsi="Arial" w:cs="Arial"/>
        </w:rPr>
      </w:pPr>
      <w:r>
        <w:rPr>
          <w:rFonts w:ascii="Arial" w:hAnsi="Arial" w:cs="Arial"/>
        </w:rPr>
        <w:t xml:space="preserve">2. material and methods </w:t>
      </w:r>
    </w:p>
    <w:p w14:paraId="793489F2" w14:textId="77777777" w:rsidR="005F0DC4" w:rsidRDefault="007F0E9E">
      <w:pPr>
        <w:pStyle w:val="NormalWeb"/>
        <w:spacing w:line="360" w:lineRule="auto"/>
        <w:jc w:val="both"/>
        <w:rPr>
          <w:rFonts w:ascii="Arial" w:eastAsia="ArialMT" w:hAnsi="Arial" w:cs="Arial"/>
          <w:sz w:val="22"/>
          <w:szCs w:val="22"/>
        </w:rPr>
      </w:pPr>
      <w:r>
        <w:rPr>
          <w:rFonts w:ascii="Arial" w:hAnsi="Arial" w:cs="Arial"/>
          <w:sz w:val="22"/>
          <w:szCs w:val="22"/>
        </w:rPr>
        <w:t xml:space="preserve">The present investigation was carried out on Gladiolus cultivar </w:t>
      </w:r>
      <w:proofErr w:type="spellStart"/>
      <w:r>
        <w:rPr>
          <w:rFonts w:ascii="Arial" w:hAnsi="Arial" w:cs="Arial"/>
          <w:sz w:val="22"/>
          <w:szCs w:val="22"/>
        </w:rPr>
        <w:t>Pusa</w:t>
      </w:r>
      <w:proofErr w:type="spellEnd"/>
      <w:r>
        <w:rPr>
          <w:rFonts w:ascii="Arial" w:hAnsi="Arial" w:cs="Arial"/>
          <w:sz w:val="22"/>
          <w:szCs w:val="22"/>
        </w:rPr>
        <w:t xml:space="preserve"> Chandni in RBD with three replications at Horticultural Research Centre, SVPUAT, Meerut, UP, India, in the year 2024-25. A total of seven treatments, including T</w:t>
      </w:r>
      <w:r>
        <w:rPr>
          <w:rFonts w:ascii="Arial" w:hAnsi="Arial" w:cs="Arial"/>
          <w:sz w:val="22"/>
          <w:szCs w:val="22"/>
          <w:vertAlign w:val="subscript"/>
        </w:rPr>
        <w:t>1</w:t>
      </w:r>
      <w:r>
        <w:rPr>
          <w:rFonts w:ascii="Arial" w:hAnsi="Arial" w:cs="Arial"/>
          <w:sz w:val="22"/>
          <w:szCs w:val="22"/>
        </w:rPr>
        <w:t>-control, T</w:t>
      </w:r>
      <w:r>
        <w:rPr>
          <w:rFonts w:ascii="Arial" w:hAnsi="Arial" w:cs="Arial"/>
          <w:sz w:val="22"/>
          <w:szCs w:val="22"/>
          <w:vertAlign w:val="subscript"/>
        </w:rPr>
        <w:t>2</w:t>
      </w:r>
      <w:r>
        <w:rPr>
          <w:rFonts w:ascii="Arial" w:hAnsi="Arial" w:cs="Arial"/>
          <w:sz w:val="22"/>
          <w:szCs w:val="22"/>
        </w:rPr>
        <w:t>-100 % RDF, T</w:t>
      </w:r>
      <w:r>
        <w:rPr>
          <w:rFonts w:ascii="Arial" w:hAnsi="Arial" w:cs="Arial"/>
          <w:sz w:val="22"/>
          <w:szCs w:val="22"/>
          <w:vertAlign w:val="subscript"/>
        </w:rPr>
        <w:t>3</w:t>
      </w:r>
      <w:r>
        <w:rPr>
          <w:rFonts w:ascii="Arial" w:hAnsi="Arial" w:cs="Arial"/>
          <w:sz w:val="22"/>
          <w:szCs w:val="22"/>
        </w:rPr>
        <w:t xml:space="preserve">-75% RDF + corm priming with 50% coconut water for 12 </w:t>
      </w:r>
      <w:proofErr w:type="spellStart"/>
      <w:r>
        <w:rPr>
          <w:rFonts w:ascii="Arial" w:hAnsi="Arial" w:cs="Arial"/>
          <w:sz w:val="22"/>
          <w:szCs w:val="22"/>
        </w:rPr>
        <w:t>hrs</w:t>
      </w:r>
      <w:proofErr w:type="spellEnd"/>
      <w:r>
        <w:rPr>
          <w:rFonts w:ascii="Arial" w:hAnsi="Arial" w:cs="Arial"/>
          <w:sz w:val="22"/>
          <w:szCs w:val="22"/>
        </w:rPr>
        <w:t>, T</w:t>
      </w:r>
      <w:r>
        <w:rPr>
          <w:rFonts w:ascii="Arial" w:hAnsi="Arial" w:cs="Arial"/>
          <w:sz w:val="22"/>
          <w:szCs w:val="22"/>
          <w:vertAlign w:val="subscript"/>
        </w:rPr>
        <w:t>4</w:t>
      </w:r>
      <w:r>
        <w:rPr>
          <w:rFonts w:ascii="Arial" w:hAnsi="Arial" w:cs="Arial"/>
          <w:sz w:val="22"/>
          <w:szCs w:val="22"/>
        </w:rPr>
        <w:t xml:space="preserve">-75% RDF + corm priming with 50% coconut water for 12 </w:t>
      </w:r>
      <w:proofErr w:type="spellStart"/>
      <w:r>
        <w:rPr>
          <w:rFonts w:ascii="Arial" w:hAnsi="Arial" w:cs="Arial"/>
          <w:sz w:val="22"/>
          <w:szCs w:val="22"/>
        </w:rPr>
        <w:t>hrs</w:t>
      </w:r>
      <w:proofErr w:type="spellEnd"/>
      <w:r>
        <w:rPr>
          <w:rFonts w:ascii="Arial" w:hAnsi="Arial" w:cs="Arial"/>
          <w:sz w:val="22"/>
          <w:szCs w:val="22"/>
        </w:rPr>
        <w:t xml:space="preserve"> + one spray of 25% coconut water on plants at 15 days, T</w:t>
      </w:r>
      <w:r>
        <w:rPr>
          <w:rFonts w:ascii="Arial" w:hAnsi="Arial" w:cs="Arial"/>
          <w:sz w:val="22"/>
          <w:szCs w:val="22"/>
          <w:vertAlign w:val="subscript"/>
        </w:rPr>
        <w:t>5</w:t>
      </w:r>
      <w:r>
        <w:rPr>
          <w:rFonts w:ascii="Arial" w:hAnsi="Arial" w:cs="Arial"/>
          <w:sz w:val="22"/>
          <w:szCs w:val="22"/>
        </w:rPr>
        <w:t xml:space="preserve">-75% RDF + corm priming with 50% coconut water for 12 </w:t>
      </w:r>
      <w:proofErr w:type="spellStart"/>
      <w:r>
        <w:rPr>
          <w:rFonts w:ascii="Arial" w:hAnsi="Arial" w:cs="Arial"/>
          <w:sz w:val="22"/>
          <w:szCs w:val="22"/>
        </w:rPr>
        <w:t>hrs</w:t>
      </w:r>
      <w:proofErr w:type="spellEnd"/>
      <w:r>
        <w:rPr>
          <w:rFonts w:ascii="Arial" w:hAnsi="Arial" w:cs="Arial"/>
          <w:sz w:val="22"/>
          <w:szCs w:val="22"/>
        </w:rPr>
        <w:t xml:space="preserve"> + two sprays of 25% coconut water on plants at 15-day and 30-day stages, T</w:t>
      </w:r>
      <w:r>
        <w:rPr>
          <w:rFonts w:ascii="Arial" w:hAnsi="Arial" w:cs="Arial"/>
          <w:sz w:val="22"/>
          <w:szCs w:val="22"/>
          <w:vertAlign w:val="subscript"/>
        </w:rPr>
        <w:t>6</w:t>
      </w:r>
      <w:r>
        <w:rPr>
          <w:rFonts w:ascii="Arial" w:hAnsi="Arial" w:cs="Arial"/>
          <w:sz w:val="22"/>
          <w:szCs w:val="22"/>
        </w:rPr>
        <w:t xml:space="preserve">-50% RDF + corm priming with 75% coconut water for 12 </w:t>
      </w:r>
      <w:proofErr w:type="spellStart"/>
      <w:r>
        <w:rPr>
          <w:rFonts w:ascii="Arial" w:hAnsi="Arial" w:cs="Arial"/>
          <w:sz w:val="22"/>
          <w:szCs w:val="22"/>
        </w:rPr>
        <w:t>hrs</w:t>
      </w:r>
      <w:proofErr w:type="spellEnd"/>
      <w:r>
        <w:rPr>
          <w:rFonts w:ascii="Arial" w:hAnsi="Arial" w:cs="Arial"/>
          <w:sz w:val="22"/>
          <w:szCs w:val="22"/>
        </w:rPr>
        <w:t xml:space="preserve"> + one spray of 25% coconut water on plants at 15 day and T</w:t>
      </w:r>
      <w:r>
        <w:rPr>
          <w:rFonts w:ascii="Arial" w:hAnsi="Arial" w:cs="Arial"/>
          <w:sz w:val="22"/>
          <w:szCs w:val="22"/>
          <w:vertAlign w:val="subscript"/>
        </w:rPr>
        <w:t>7</w:t>
      </w:r>
      <w:r>
        <w:rPr>
          <w:rFonts w:ascii="Arial" w:hAnsi="Arial" w:cs="Arial"/>
          <w:sz w:val="22"/>
          <w:szCs w:val="22"/>
        </w:rPr>
        <w:t xml:space="preserve">-50% RDF + corm priming with 75% coconut water </w:t>
      </w:r>
      <w:r>
        <w:rPr>
          <w:rFonts w:ascii="Arial" w:hAnsi="Arial" w:cs="Arial"/>
          <w:sz w:val="22"/>
          <w:szCs w:val="22"/>
        </w:rPr>
        <w:lastRenderedPageBreak/>
        <w:t xml:space="preserve">for 12 </w:t>
      </w:r>
      <w:proofErr w:type="spellStart"/>
      <w:r>
        <w:rPr>
          <w:rFonts w:ascii="Arial" w:hAnsi="Arial" w:cs="Arial"/>
          <w:sz w:val="22"/>
          <w:szCs w:val="22"/>
        </w:rPr>
        <w:t>hrs</w:t>
      </w:r>
      <w:proofErr w:type="spellEnd"/>
      <w:r>
        <w:rPr>
          <w:rFonts w:ascii="Arial" w:hAnsi="Arial" w:cs="Arial"/>
          <w:sz w:val="22"/>
          <w:szCs w:val="22"/>
        </w:rPr>
        <w:t xml:space="preserve"> + two sprays of 25% coconut water on plants at 15-day and 30-day stages, were taken for the study. Sixteen corms of gladiolus cv. </w:t>
      </w:r>
      <w:proofErr w:type="spellStart"/>
      <w:r>
        <w:rPr>
          <w:rFonts w:ascii="Arial" w:hAnsi="Arial" w:cs="Arial"/>
          <w:sz w:val="22"/>
          <w:szCs w:val="22"/>
        </w:rPr>
        <w:t>Pusa</w:t>
      </w:r>
      <w:proofErr w:type="spellEnd"/>
      <w:r>
        <w:rPr>
          <w:rFonts w:ascii="Arial" w:hAnsi="Arial" w:cs="Arial"/>
          <w:sz w:val="22"/>
          <w:szCs w:val="22"/>
        </w:rPr>
        <w:t xml:space="preserve"> Chandni ranging between 2.5 and 3.0 cm in diameter were planted at a depth of 5 cm and 25 x 25 cm apart in the first fortnight of October. The experimental design was RBD, and all treatments were replicated thrice. The data on various growth and flowering were observed. </w:t>
      </w:r>
      <w:r>
        <w:rPr>
          <w:rFonts w:ascii="Arial" w:eastAsia="ArialMT" w:hAnsi="Arial" w:cs="Arial"/>
          <w:sz w:val="22"/>
          <w:szCs w:val="22"/>
        </w:rPr>
        <w:t>To assess the post-harvest life and quality of cut gladiolus, four spikes from each treatment were harvested between 8 am and 9 am during the first week of February 2025. The spikes were cut at the stage when 0-2 basal florets showed color, and a cut was made with a sharp knife at the base of the stem at the point just above the fourth leaf from the base. The cut ends were immediately dipped in cold water and brought to the laboratory. All the leaves except three immediately below the basal florets were removed. In the laboratory, a total of five treatments, including T</w:t>
      </w:r>
      <w:r>
        <w:rPr>
          <w:rFonts w:ascii="Arial" w:eastAsia="ArialMT" w:hAnsi="Arial" w:cs="Arial"/>
          <w:sz w:val="22"/>
          <w:szCs w:val="22"/>
          <w:vertAlign w:val="subscript"/>
        </w:rPr>
        <w:t>1</w:t>
      </w:r>
      <w:r>
        <w:rPr>
          <w:rFonts w:ascii="Arial" w:eastAsia="ArialMT" w:hAnsi="Arial" w:cs="Arial"/>
          <w:sz w:val="22"/>
          <w:szCs w:val="22"/>
        </w:rPr>
        <w:t>-distilled water, T</w:t>
      </w:r>
      <w:r>
        <w:rPr>
          <w:rFonts w:ascii="Arial" w:eastAsia="ArialMT" w:hAnsi="Arial" w:cs="Arial"/>
          <w:sz w:val="22"/>
          <w:szCs w:val="22"/>
          <w:vertAlign w:val="subscript"/>
        </w:rPr>
        <w:t>2</w:t>
      </w:r>
      <w:r>
        <w:rPr>
          <w:rFonts w:ascii="Arial" w:eastAsia="ArialMT" w:hAnsi="Arial" w:cs="Arial"/>
          <w:sz w:val="22"/>
          <w:szCs w:val="22"/>
        </w:rPr>
        <w:t>-75% coconut water + 25% distilled water + 2% sucrose, T</w:t>
      </w:r>
      <w:r>
        <w:rPr>
          <w:rFonts w:ascii="Arial" w:eastAsia="ArialMT" w:hAnsi="Arial" w:cs="Arial"/>
          <w:sz w:val="22"/>
          <w:szCs w:val="22"/>
          <w:vertAlign w:val="subscript"/>
        </w:rPr>
        <w:t>3</w:t>
      </w:r>
      <w:r>
        <w:rPr>
          <w:rFonts w:ascii="Arial" w:eastAsia="ArialMT" w:hAnsi="Arial" w:cs="Arial"/>
          <w:sz w:val="22"/>
          <w:szCs w:val="22"/>
        </w:rPr>
        <w:t>-75% coconut water + 25% distilled water + 4% sucrose, T</w:t>
      </w:r>
      <w:r>
        <w:rPr>
          <w:rFonts w:ascii="Arial" w:eastAsia="ArialMT" w:hAnsi="Arial" w:cs="Arial"/>
          <w:sz w:val="22"/>
          <w:szCs w:val="22"/>
          <w:vertAlign w:val="subscript"/>
        </w:rPr>
        <w:t>4</w:t>
      </w:r>
      <w:r>
        <w:rPr>
          <w:rFonts w:ascii="Arial" w:eastAsia="ArialMT" w:hAnsi="Arial" w:cs="Arial"/>
          <w:sz w:val="22"/>
          <w:szCs w:val="22"/>
        </w:rPr>
        <w:t>-50% coconut water + 50 % distilled water + 2% sucrose, and T</w:t>
      </w:r>
      <w:r>
        <w:rPr>
          <w:rFonts w:ascii="Arial" w:eastAsia="ArialMT" w:hAnsi="Arial" w:cs="Arial"/>
          <w:sz w:val="22"/>
          <w:szCs w:val="22"/>
          <w:vertAlign w:val="subscript"/>
        </w:rPr>
        <w:t>5</w:t>
      </w:r>
      <w:r>
        <w:rPr>
          <w:rFonts w:ascii="Arial" w:eastAsia="ArialMT" w:hAnsi="Arial" w:cs="Arial"/>
          <w:sz w:val="22"/>
          <w:szCs w:val="22"/>
        </w:rPr>
        <w:t>—50% coconut water + 50 % distilled water + 4% sucrose, were taken for the study.  In each treatment, two spikes were put into 500 ml glass jars containing the holding solutions as per the treatments. The experiment was laid out in a completely randomized design (CRD) and replicated thrice.</w:t>
      </w:r>
    </w:p>
    <w:p w14:paraId="3C32109B" w14:textId="77777777" w:rsidR="005F0DC4" w:rsidRDefault="007F0E9E">
      <w:pPr>
        <w:pStyle w:val="NormalWeb"/>
        <w:spacing w:line="360" w:lineRule="auto"/>
        <w:ind w:firstLine="720"/>
        <w:jc w:val="both"/>
        <w:rPr>
          <w:rFonts w:ascii="Arial" w:hAnsi="Arial" w:cs="Arial"/>
          <w:sz w:val="22"/>
          <w:szCs w:val="22"/>
        </w:rPr>
      </w:pPr>
      <w:r>
        <w:rPr>
          <w:rFonts w:ascii="Arial" w:eastAsia="ArialMT" w:hAnsi="Arial" w:cs="Arial"/>
          <w:sz w:val="22"/>
          <w:szCs w:val="22"/>
        </w:rPr>
        <w:t>The data recorded on various growth, flowering, and postharvest under laboratory conditions were analyzed using statistical software, SAS 9.1 version. Duncan’s multiple range test was used to compare the treatment means at a 5% significance level</w:t>
      </w:r>
      <w:r>
        <w:rPr>
          <w:rFonts w:ascii="Arial" w:hAnsi="Arial" w:cs="Arial"/>
          <w:sz w:val="22"/>
          <w:szCs w:val="22"/>
        </w:rPr>
        <w:t xml:space="preserve">. </w:t>
      </w:r>
    </w:p>
    <w:p w14:paraId="67B3E4F9" w14:textId="77777777" w:rsidR="005F0DC4" w:rsidRDefault="007F0E9E">
      <w:pPr>
        <w:pStyle w:val="Head1"/>
        <w:spacing w:after="0"/>
        <w:jc w:val="both"/>
        <w:rPr>
          <w:rFonts w:ascii="Arial" w:hAnsi="Arial" w:cs="Arial"/>
        </w:rPr>
      </w:pPr>
      <w:r>
        <w:rPr>
          <w:rFonts w:ascii="Arial" w:hAnsi="Arial" w:cs="Arial"/>
        </w:rPr>
        <w:t>3. results and discussion</w:t>
      </w:r>
    </w:p>
    <w:p w14:paraId="13F115C4" w14:textId="77777777" w:rsidR="005F0DC4" w:rsidRDefault="007F0E9E">
      <w:pPr>
        <w:pStyle w:val="NormalWeb"/>
        <w:rPr>
          <w:rFonts w:ascii="Arial" w:hAnsi="Arial" w:cs="Arial"/>
          <w:b/>
          <w:bCs/>
          <w:i/>
          <w:iCs/>
          <w:sz w:val="22"/>
          <w:szCs w:val="22"/>
        </w:rPr>
      </w:pPr>
      <w:r>
        <w:rPr>
          <w:rStyle w:val="Strong"/>
          <w:rFonts w:ascii="Arial" w:hAnsi="Arial" w:cs="Arial"/>
          <w:b w:val="0"/>
          <w:bCs w:val="0"/>
          <w:i/>
          <w:iCs/>
          <w:sz w:val="22"/>
          <w:szCs w:val="22"/>
        </w:rPr>
        <w:t>3.1 Effect of sources of nutrients on growth and flowering of gladiolus</w:t>
      </w:r>
    </w:p>
    <w:p w14:paraId="22DCAD9D" w14:textId="4C81E509" w:rsidR="005F0DC4" w:rsidRDefault="007F0E9E">
      <w:pPr>
        <w:pStyle w:val="NormalWeb"/>
        <w:spacing w:line="360" w:lineRule="auto"/>
        <w:jc w:val="both"/>
        <w:rPr>
          <w:rFonts w:ascii="Arial" w:hAnsi="Arial" w:cs="Arial"/>
          <w:sz w:val="22"/>
          <w:szCs w:val="22"/>
        </w:rPr>
      </w:pPr>
      <w:r>
        <w:rPr>
          <w:rFonts w:ascii="Arial" w:hAnsi="Arial" w:cs="Arial"/>
          <w:sz w:val="22"/>
          <w:szCs w:val="22"/>
        </w:rPr>
        <w:t xml:space="preserve">The data presented in table 1 indicate that all treatments differed from each other in regard to the morphological parameters. The treatment T5-75% RDF + Corm priming with 50% coconut water for 12 </w:t>
      </w:r>
      <w:proofErr w:type="spellStart"/>
      <w:r>
        <w:rPr>
          <w:rFonts w:ascii="Arial" w:hAnsi="Arial" w:cs="Arial"/>
          <w:sz w:val="22"/>
          <w:szCs w:val="22"/>
        </w:rPr>
        <w:t>hrs</w:t>
      </w:r>
      <w:proofErr w:type="spellEnd"/>
      <w:r>
        <w:rPr>
          <w:rFonts w:ascii="Arial" w:hAnsi="Arial" w:cs="Arial"/>
          <w:sz w:val="22"/>
          <w:szCs w:val="22"/>
        </w:rPr>
        <w:t xml:space="preserve"> + two sprays of 25% coconut water on plants at 15-day and 30-day stages showed superiority in regard to all parameters over the control and other treatments. Plants fertilized with 75% RDF + corm priming with 50% coconut water for 12 </w:t>
      </w:r>
      <w:proofErr w:type="spellStart"/>
      <w:r>
        <w:rPr>
          <w:rFonts w:ascii="Arial" w:hAnsi="Arial" w:cs="Arial"/>
          <w:sz w:val="22"/>
          <w:szCs w:val="22"/>
        </w:rPr>
        <w:t>hrs</w:t>
      </w:r>
      <w:proofErr w:type="spellEnd"/>
      <w:r>
        <w:rPr>
          <w:rFonts w:ascii="Arial" w:hAnsi="Arial" w:cs="Arial"/>
          <w:sz w:val="22"/>
          <w:szCs w:val="22"/>
        </w:rPr>
        <w:t xml:space="preserve"> + two sprays of 25% coconut water on plants at the 15-day </w:t>
      </w:r>
      <w:r>
        <w:rPr>
          <w:rFonts w:ascii="Arial" w:hAnsi="Arial" w:cs="Arial"/>
          <w:sz w:val="22"/>
          <w:szCs w:val="22"/>
        </w:rPr>
        <w:lastRenderedPageBreak/>
        <w:t xml:space="preserve">and 30-day stages resulted in maximum plant height (63.25±3.16 a) and leaf width, while minimum plant height (40.25±1.17 e) and leaf width were recorded in the control (1.65±0.05 d).  It might be because coconut water, a natural supply of growth regulators, contains different amounts of auxin (IAA and ABA), gibberellins, and zeatin </w:t>
      </w:r>
      <w:r>
        <w:rPr>
          <w:rFonts w:ascii="Arial" w:hAnsi="Arial" w:cs="Arial"/>
          <w:color w:val="00B0F0"/>
          <w:sz w:val="22"/>
          <w:szCs w:val="22"/>
        </w:rPr>
        <w:t>(Oka, 2014).</w:t>
      </w:r>
      <w:r>
        <w:rPr>
          <w:rFonts w:ascii="Arial" w:hAnsi="Arial" w:cs="Arial"/>
          <w:sz w:val="22"/>
          <w:szCs w:val="22"/>
        </w:rPr>
        <w:t xml:space="preserve"> Additionally, according to </w:t>
      </w:r>
      <w:r>
        <w:rPr>
          <w:rFonts w:ascii="Arial" w:hAnsi="Arial" w:cs="Arial"/>
          <w:color w:val="00B0F0"/>
          <w:sz w:val="22"/>
          <w:szCs w:val="22"/>
        </w:rPr>
        <w:t xml:space="preserve">Anurag and </w:t>
      </w:r>
      <w:proofErr w:type="spellStart"/>
      <w:r>
        <w:rPr>
          <w:rFonts w:ascii="Arial" w:hAnsi="Arial" w:cs="Arial"/>
          <w:color w:val="00B0F0"/>
          <w:sz w:val="22"/>
          <w:szCs w:val="22"/>
        </w:rPr>
        <w:t>Rajamohan</w:t>
      </w:r>
      <w:proofErr w:type="spellEnd"/>
      <w:r>
        <w:rPr>
          <w:rFonts w:ascii="Arial" w:hAnsi="Arial" w:cs="Arial"/>
          <w:color w:val="00B0F0"/>
          <w:sz w:val="22"/>
          <w:szCs w:val="22"/>
        </w:rPr>
        <w:t xml:space="preserve"> (2003),</w:t>
      </w:r>
      <w:r>
        <w:rPr>
          <w:rFonts w:ascii="Arial" w:hAnsi="Arial" w:cs="Arial"/>
          <w:sz w:val="22"/>
          <w:szCs w:val="22"/>
        </w:rPr>
        <w:t xml:space="preserve"> coconut water includes vital minerals like calcium and potassium, which directly supply plants with necessary nutrients and enhance their overall growth.  Plants emerged because primed seed treatment accelerated the sprouting of seedlings.  According to </w:t>
      </w:r>
      <w:proofErr w:type="spellStart"/>
      <w:r>
        <w:rPr>
          <w:rFonts w:ascii="Arial" w:hAnsi="Arial" w:cs="Arial"/>
          <w:color w:val="00B0F0"/>
          <w:sz w:val="22"/>
          <w:szCs w:val="22"/>
        </w:rPr>
        <w:t>Lakmali</w:t>
      </w:r>
      <w:proofErr w:type="spellEnd"/>
      <w:r>
        <w:rPr>
          <w:rFonts w:ascii="Arial" w:hAnsi="Arial" w:cs="Arial"/>
          <w:color w:val="00B0F0"/>
          <w:sz w:val="22"/>
          <w:szCs w:val="22"/>
        </w:rPr>
        <w:t xml:space="preserve"> and </w:t>
      </w:r>
      <w:proofErr w:type="spellStart"/>
      <w:r>
        <w:rPr>
          <w:rFonts w:ascii="Arial" w:hAnsi="Arial" w:cs="Arial"/>
          <w:color w:val="00B0F0"/>
          <w:sz w:val="22"/>
          <w:szCs w:val="22"/>
        </w:rPr>
        <w:t>Seran</w:t>
      </w:r>
      <w:proofErr w:type="spellEnd"/>
      <w:r>
        <w:rPr>
          <w:rFonts w:ascii="Arial" w:hAnsi="Arial" w:cs="Arial"/>
          <w:color w:val="00B0F0"/>
          <w:sz w:val="22"/>
          <w:szCs w:val="22"/>
        </w:rPr>
        <w:t xml:space="preserve"> (2022),</w:t>
      </w:r>
      <w:r>
        <w:rPr>
          <w:rFonts w:ascii="Arial" w:hAnsi="Arial" w:cs="Arial"/>
          <w:sz w:val="22"/>
          <w:szCs w:val="22"/>
        </w:rPr>
        <w:t xml:space="preserve"> they seed primed okra plants with coconut water and saw rapid development in comparison to the control, these results are consistent with their findings.</w:t>
      </w:r>
    </w:p>
    <w:p w14:paraId="446C2F07" w14:textId="77777777" w:rsidR="005F0DC4" w:rsidRDefault="007F0E9E">
      <w:pPr>
        <w:pStyle w:val="NormalWeb"/>
        <w:spacing w:line="360" w:lineRule="auto"/>
        <w:jc w:val="both"/>
        <w:rPr>
          <w:rFonts w:ascii="Arial" w:hAnsi="Arial" w:cs="Arial"/>
          <w:sz w:val="22"/>
          <w:szCs w:val="22"/>
        </w:rPr>
      </w:pPr>
      <w:r>
        <w:rPr>
          <w:rFonts w:ascii="Arial" w:hAnsi="Arial" w:cs="Arial"/>
          <w:sz w:val="22"/>
          <w:szCs w:val="22"/>
        </w:rPr>
        <w:t>            In terms of flowering parameters like number of spikes/plant (1.34±0.05 a), number of flowers/spike (14.20±0.70 a), and length of spike (64.85±0.73 a), T</w:t>
      </w:r>
      <w:r>
        <w:rPr>
          <w:rFonts w:ascii="Arial" w:hAnsi="Arial" w:cs="Arial"/>
          <w:sz w:val="22"/>
          <w:szCs w:val="22"/>
          <w:vertAlign w:val="subscript"/>
        </w:rPr>
        <w:t>5</w:t>
      </w:r>
      <w:r>
        <w:rPr>
          <w:rFonts w:ascii="Arial" w:hAnsi="Arial" w:cs="Arial"/>
          <w:sz w:val="22"/>
          <w:szCs w:val="22"/>
        </w:rPr>
        <w:t xml:space="preserve">-75% RDF + corm priming with 50% coconut water for 12 </w:t>
      </w:r>
      <w:proofErr w:type="spellStart"/>
      <w:r>
        <w:rPr>
          <w:rFonts w:ascii="Arial" w:hAnsi="Arial" w:cs="Arial"/>
          <w:sz w:val="22"/>
          <w:szCs w:val="22"/>
        </w:rPr>
        <w:t>hrs</w:t>
      </w:r>
      <w:proofErr w:type="spellEnd"/>
      <w:r>
        <w:rPr>
          <w:rFonts w:ascii="Arial" w:hAnsi="Arial" w:cs="Arial"/>
          <w:sz w:val="22"/>
          <w:szCs w:val="22"/>
        </w:rPr>
        <w:t xml:space="preserve"> + two sprays of 25% coconut water on plants at 15-day and 30-day stages was registered, while minimum above parameters were noted with control. </w:t>
      </w:r>
      <w:proofErr w:type="spellStart"/>
      <w:r>
        <w:rPr>
          <w:rFonts w:ascii="Arial" w:hAnsi="Arial" w:cs="Arial"/>
          <w:sz w:val="22"/>
          <w:szCs w:val="22"/>
        </w:rPr>
        <w:t>Cytokinins</w:t>
      </w:r>
      <w:proofErr w:type="spellEnd"/>
      <w:r>
        <w:rPr>
          <w:rFonts w:ascii="Arial" w:hAnsi="Arial" w:cs="Arial"/>
          <w:sz w:val="22"/>
          <w:szCs w:val="22"/>
        </w:rPr>
        <w:t xml:space="preserve"> are essential for blooming, especially for ovule production, floral organ development, and meristem activity. They affect the size of floral organs and the quantity of blooms. Multiple </w:t>
      </w:r>
      <w:proofErr w:type="spellStart"/>
      <w:r>
        <w:rPr>
          <w:rFonts w:ascii="Arial" w:hAnsi="Arial" w:cs="Arial"/>
          <w:sz w:val="22"/>
          <w:szCs w:val="22"/>
        </w:rPr>
        <w:t>cytokinins</w:t>
      </w:r>
      <w:proofErr w:type="spellEnd"/>
      <w:r>
        <w:rPr>
          <w:rFonts w:ascii="Arial" w:hAnsi="Arial" w:cs="Arial"/>
          <w:sz w:val="22"/>
          <w:szCs w:val="22"/>
        </w:rPr>
        <w:t xml:space="preserve"> found in coconut water have been shown to control a variety of growth and developmental processes throughout a plant's life cycle, including the induction of flowering, as well as quality </w:t>
      </w:r>
      <w:r>
        <w:rPr>
          <w:rFonts w:ascii="Arial" w:hAnsi="Arial" w:cs="Arial"/>
          <w:color w:val="00B0F0"/>
          <w:sz w:val="22"/>
          <w:szCs w:val="22"/>
        </w:rPr>
        <w:t xml:space="preserve">(Sun and </w:t>
      </w:r>
      <w:proofErr w:type="spellStart"/>
      <w:r>
        <w:rPr>
          <w:rFonts w:ascii="Arial" w:hAnsi="Arial" w:cs="Arial"/>
          <w:color w:val="00B0F0"/>
          <w:sz w:val="22"/>
          <w:szCs w:val="22"/>
        </w:rPr>
        <w:t>Gubler</w:t>
      </w:r>
      <w:proofErr w:type="spellEnd"/>
      <w:r>
        <w:rPr>
          <w:rFonts w:ascii="Arial" w:hAnsi="Arial" w:cs="Arial"/>
          <w:color w:val="00B0F0"/>
          <w:sz w:val="22"/>
          <w:szCs w:val="22"/>
        </w:rPr>
        <w:t>, 2004; Yamaguchi, 2008),</w:t>
      </w:r>
      <w:r>
        <w:rPr>
          <w:rFonts w:ascii="Arial" w:hAnsi="Arial" w:cs="Arial"/>
          <w:sz w:val="22"/>
          <w:szCs w:val="22"/>
        </w:rPr>
        <w:t xml:space="preserve"> which is consistent with the findings of </w:t>
      </w:r>
      <w:proofErr w:type="spellStart"/>
      <w:r>
        <w:rPr>
          <w:rFonts w:ascii="Arial" w:hAnsi="Arial" w:cs="Arial"/>
          <w:color w:val="00B0F0"/>
          <w:sz w:val="22"/>
          <w:szCs w:val="22"/>
        </w:rPr>
        <w:t>Deshi</w:t>
      </w:r>
      <w:proofErr w:type="spellEnd"/>
      <w:r>
        <w:rPr>
          <w:rFonts w:ascii="Arial" w:hAnsi="Arial" w:cs="Arial"/>
          <w:color w:val="00B0F0"/>
          <w:sz w:val="22"/>
          <w:szCs w:val="22"/>
        </w:rPr>
        <w:t xml:space="preserve"> et al. (2021)</w:t>
      </w:r>
      <w:r>
        <w:rPr>
          <w:rFonts w:ascii="Arial" w:hAnsi="Arial" w:cs="Arial"/>
          <w:sz w:val="22"/>
          <w:szCs w:val="22"/>
        </w:rPr>
        <w:t xml:space="preserve"> in potatoes.</w:t>
      </w:r>
    </w:p>
    <w:p w14:paraId="4FE5F5DB" w14:textId="77777777" w:rsidR="005F0DC4" w:rsidRDefault="007F0E9E">
      <w:pPr>
        <w:pStyle w:val="NormalWeb"/>
        <w:spacing w:line="360" w:lineRule="auto"/>
        <w:jc w:val="both"/>
        <w:rPr>
          <w:rFonts w:ascii="Arial" w:hAnsi="Arial" w:cs="Arial"/>
          <w:i/>
          <w:iCs/>
          <w:sz w:val="22"/>
          <w:szCs w:val="22"/>
        </w:rPr>
      </w:pPr>
      <w:r>
        <w:rPr>
          <w:rFonts w:ascii="Arial" w:hAnsi="Arial" w:cs="Arial"/>
          <w:i/>
          <w:iCs/>
          <w:sz w:val="22"/>
          <w:szCs w:val="22"/>
        </w:rPr>
        <w:t>3.2 Effect of eco-friendly preservatives on post-harvest quality of gladiolus</w:t>
      </w:r>
    </w:p>
    <w:p w14:paraId="2E18882E" w14:textId="538A0503" w:rsidR="005F0DC4" w:rsidRDefault="007F0E9E">
      <w:pPr>
        <w:pStyle w:val="NormalWeb"/>
        <w:spacing w:line="360" w:lineRule="auto"/>
        <w:jc w:val="both"/>
        <w:rPr>
          <w:rFonts w:ascii="Arial" w:hAnsi="Arial" w:cs="Arial"/>
          <w:sz w:val="22"/>
          <w:szCs w:val="22"/>
        </w:rPr>
      </w:pPr>
      <w:r>
        <w:rPr>
          <w:rFonts w:ascii="Arial" w:hAnsi="Arial" w:cs="Arial"/>
          <w:sz w:val="22"/>
          <w:szCs w:val="22"/>
          <w:lang w:eastAsia="en-IN"/>
        </w:rPr>
        <w:t xml:space="preserve">The data analysis </w:t>
      </w:r>
      <w:proofErr w:type="gramStart"/>
      <w:r>
        <w:rPr>
          <w:rFonts w:ascii="Arial" w:hAnsi="Arial" w:cs="Arial"/>
          <w:sz w:val="22"/>
          <w:szCs w:val="22"/>
          <w:lang w:eastAsia="en-IN"/>
        </w:rPr>
        <w:t>reveal</w:t>
      </w:r>
      <w:proofErr w:type="gramEnd"/>
      <w:r>
        <w:rPr>
          <w:rFonts w:ascii="Arial" w:hAnsi="Arial" w:cs="Arial"/>
          <w:sz w:val="22"/>
          <w:szCs w:val="22"/>
          <w:lang w:eastAsia="en-IN"/>
        </w:rPr>
        <w:t xml:space="preserve"> significant variations across treatments in vase life, maximum floret size, floret opening percentage, maximum florets open at one time</w:t>
      </w:r>
      <w:r w:rsidR="0024698B">
        <w:rPr>
          <w:rFonts w:ascii="Arial" w:hAnsi="Arial" w:cs="Arial"/>
          <w:sz w:val="22"/>
          <w:szCs w:val="22"/>
          <w:lang w:eastAsia="en-IN"/>
        </w:rPr>
        <w:t xml:space="preserve"> </w:t>
      </w:r>
      <w:r>
        <w:rPr>
          <w:rFonts w:ascii="Arial" w:hAnsi="Arial" w:cs="Arial"/>
          <w:sz w:val="22"/>
          <w:szCs w:val="22"/>
          <w:lang w:eastAsia="en-IN"/>
        </w:rPr>
        <w:t>and physiological weight loss (Table 2). Treatment T</w:t>
      </w:r>
      <w:r>
        <w:rPr>
          <w:rFonts w:ascii="Arial" w:hAnsi="Arial" w:cs="Arial"/>
          <w:sz w:val="22"/>
          <w:szCs w:val="22"/>
          <w:vertAlign w:val="subscript"/>
          <w:lang w:eastAsia="en-IN"/>
        </w:rPr>
        <w:t>4</w:t>
      </w:r>
      <w:r>
        <w:rPr>
          <w:rFonts w:ascii="Arial" w:hAnsi="Arial" w:cs="Arial"/>
          <w:sz w:val="22"/>
          <w:szCs w:val="22"/>
          <w:lang w:eastAsia="en-IN"/>
        </w:rPr>
        <w:t xml:space="preserve"> demonstrated the longest vase life (10.67 ± 0.15 days), significantly surpassing other treatments. The maximum floret size was observed in T</w:t>
      </w:r>
      <w:r>
        <w:rPr>
          <w:rFonts w:ascii="Arial" w:hAnsi="Arial" w:cs="Arial"/>
          <w:sz w:val="22"/>
          <w:szCs w:val="22"/>
          <w:vertAlign w:val="subscript"/>
          <w:lang w:eastAsia="en-IN"/>
        </w:rPr>
        <w:t>3</w:t>
      </w:r>
      <w:r>
        <w:rPr>
          <w:rFonts w:ascii="Arial" w:hAnsi="Arial" w:cs="Arial"/>
          <w:sz w:val="22"/>
          <w:szCs w:val="22"/>
          <w:lang w:eastAsia="en-IN"/>
        </w:rPr>
        <w:t xml:space="preserve"> (9.28 ± 0.16 cm), indicating a superior growth response, while the highest percentage of florets open was recorded in T</w:t>
      </w:r>
      <w:r>
        <w:rPr>
          <w:rFonts w:ascii="Arial" w:hAnsi="Arial" w:cs="Arial"/>
          <w:sz w:val="22"/>
          <w:szCs w:val="22"/>
          <w:vertAlign w:val="subscript"/>
          <w:lang w:eastAsia="en-IN"/>
        </w:rPr>
        <w:t>4</w:t>
      </w:r>
      <w:r>
        <w:rPr>
          <w:rFonts w:ascii="Arial" w:hAnsi="Arial" w:cs="Arial"/>
          <w:sz w:val="22"/>
          <w:szCs w:val="22"/>
          <w:lang w:eastAsia="en-IN"/>
        </w:rPr>
        <w:t xml:space="preserve"> (81.33 ± 0.12%), suggesting enhanced flower development. Notably, the maximum number of florets open at one </w:t>
      </w:r>
      <w:r>
        <w:rPr>
          <w:rFonts w:ascii="Arial" w:hAnsi="Arial" w:cs="Arial"/>
          <w:sz w:val="22"/>
          <w:szCs w:val="22"/>
          <w:lang w:eastAsia="en-IN"/>
        </w:rPr>
        <w:lastRenderedPageBreak/>
        <w:t>time was highest in T</w:t>
      </w:r>
      <w:r>
        <w:rPr>
          <w:rFonts w:ascii="Arial" w:hAnsi="Arial" w:cs="Arial"/>
          <w:sz w:val="22"/>
          <w:szCs w:val="22"/>
          <w:vertAlign w:val="subscript"/>
          <w:lang w:eastAsia="en-IN"/>
        </w:rPr>
        <w:t>4</w:t>
      </w:r>
      <w:r>
        <w:rPr>
          <w:rFonts w:ascii="Arial" w:hAnsi="Arial" w:cs="Arial"/>
          <w:sz w:val="22"/>
          <w:szCs w:val="22"/>
          <w:lang w:eastAsia="en-IN"/>
        </w:rPr>
        <w:t xml:space="preserve"> (5.33 ± 0.12), reflecting a robust flowering capacity. However, the above parameters minimum recorded in control.</w:t>
      </w:r>
      <w:r>
        <w:rPr>
          <w:rFonts w:ascii="Arial" w:eastAsiaTheme="minorHAnsi" w:hAnsi="Arial" w:cs="Arial"/>
          <w:sz w:val="22"/>
          <w:szCs w:val="22"/>
        </w:rPr>
        <w:t xml:space="preserve"> In fact, it can be claimed that coconut water is a rich source of growth regulators, glucose, and electrolytes. It also provides a set of factors needed for cut flowers after they are separated from the mother flower, which lessens the strain on cut flowers and, as a result, has a significantly longer vase life than other treatments.  Furthermore, coconut water's ability to preserve carbs, avoid burning sugars, and have anti-ethylene action enhances the opening of the petals while preventing the withering of the buds. It is commonly known that </w:t>
      </w:r>
      <w:proofErr w:type="spellStart"/>
      <w:r>
        <w:rPr>
          <w:rFonts w:ascii="Arial" w:eastAsiaTheme="minorHAnsi" w:hAnsi="Arial" w:cs="Arial"/>
          <w:sz w:val="22"/>
          <w:szCs w:val="22"/>
        </w:rPr>
        <w:t>cytokinins</w:t>
      </w:r>
      <w:proofErr w:type="spellEnd"/>
      <w:r>
        <w:rPr>
          <w:rFonts w:ascii="Arial" w:eastAsiaTheme="minorHAnsi" w:hAnsi="Arial" w:cs="Arial"/>
          <w:sz w:val="22"/>
          <w:szCs w:val="22"/>
        </w:rPr>
        <w:t xml:space="preserve"> found in coconut water can postpone the aging of cut flowers </w:t>
      </w:r>
      <w:r>
        <w:rPr>
          <w:rFonts w:ascii="Arial" w:eastAsiaTheme="minorHAnsi" w:hAnsi="Arial" w:cs="Arial"/>
          <w:color w:val="00B0F0"/>
          <w:sz w:val="22"/>
          <w:szCs w:val="22"/>
        </w:rPr>
        <w:t>(</w:t>
      </w:r>
      <w:proofErr w:type="spellStart"/>
      <w:r>
        <w:rPr>
          <w:rFonts w:ascii="Arial" w:eastAsiaTheme="minorHAnsi" w:hAnsi="Arial" w:cs="Arial"/>
          <w:color w:val="00B0F0"/>
          <w:sz w:val="22"/>
          <w:szCs w:val="22"/>
        </w:rPr>
        <w:t>Tiwery</w:t>
      </w:r>
      <w:proofErr w:type="spellEnd"/>
      <w:r>
        <w:rPr>
          <w:rFonts w:ascii="Arial" w:eastAsiaTheme="minorHAnsi" w:hAnsi="Arial" w:cs="Arial"/>
          <w:color w:val="00B0F0"/>
          <w:sz w:val="22"/>
          <w:szCs w:val="22"/>
        </w:rPr>
        <w:t xml:space="preserve">, 2014; </w:t>
      </w:r>
      <w:proofErr w:type="spellStart"/>
      <w:r>
        <w:rPr>
          <w:rFonts w:ascii="Arial" w:eastAsiaTheme="minorHAnsi" w:hAnsi="Arial" w:cs="Arial"/>
          <w:color w:val="00B0F0"/>
          <w:sz w:val="22"/>
          <w:szCs w:val="22"/>
        </w:rPr>
        <w:t>Ulfa</w:t>
      </w:r>
      <w:proofErr w:type="spellEnd"/>
      <w:r>
        <w:rPr>
          <w:rFonts w:ascii="Arial" w:eastAsiaTheme="minorHAnsi" w:hAnsi="Arial" w:cs="Arial"/>
          <w:color w:val="00B0F0"/>
          <w:sz w:val="22"/>
          <w:szCs w:val="22"/>
        </w:rPr>
        <w:t xml:space="preserve"> et al., 2022).</w:t>
      </w:r>
      <w:r>
        <w:rPr>
          <w:rFonts w:ascii="Arial" w:eastAsiaTheme="minorHAnsi" w:hAnsi="Arial" w:cs="Arial"/>
          <w:color w:val="0070C0"/>
          <w:sz w:val="22"/>
          <w:szCs w:val="22"/>
        </w:rPr>
        <w:t xml:space="preserve"> </w:t>
      </w:r>
      <w:r>
        <w:rPr>
          <w:rFonts w:ascii="Arial" w:eastAsiaTheme="minorHAnsi" w:hAnsi="Arial" w:cs="Arial"/>
          <w:sz w:val="22"/>
          <w:szCs w:val="22"/>
        </w:rPr>
        <w:t>The positive effect of coconut water on the vase life of anthurium has been reported (</w:t>
      </w:r>
      <w:proofErr w:type="spellStart"/>
      <w:r>
        <w:rPr>
          <w:rFonts w:ascii="Arial" w:eastAsiaTheme="minorHAnsi" w:hAnsi="Arial" w:cs="Arial"/>
          <w:color w:val="0070C0"/>
          <w:sz w:val="22"/>
          <w:szCs w:val="22"/>
        </w:rPr>
        <w:t>Agampodi</w:t>
      </w:r>
      <w:proofErr w:type="spellEnd"/>
      <w:r>
        <w:rPr>
          <w:rFonts w:ascii="Arial" w:eastAsiaTheme="minorHAnsi" w:hAnsi="Arial" w:cs="Arial"/>
          <w:color w:val="0070C0"/>
          <w:sz w:val="22"/>
          <w:szCs w:val="22"/>
        </w:rPr>
        <w:t xml:space="preserve"> and </w:t>
      </w:r>
      <w:proofErr w:type="spellStart"/>
      <w:r>
        <w:rPr>
          <w:rFonts w:ascii="Arial" w:eastAsiaTheme="minorHAnsi" w:hAnsi="Arial" w:cs="Arial"/>
          <w:color w:val="0070C0"/>
          <w:sz w:val="22"/>
          <w:szCs w:val="22"/>
        </w:rPr>
        <w:t>Jiyawordena</w:t>
      </w:r>
      <w:proofErr w:type="spellEnd"/>
      <w:r>
        <w:rPr>
          <w:rFonts w:ascii="Arial" w:eastAsiaTheme="minorHAnsi" w:hAnsi="Arial" w:cs="Arial"/>
          <w:color w:val="0070C0"/>
          <w:sz w:val="22"/>
          <w:szCs w:val="22"/>
        </w:rPr>
        <w:t>, 2007)</w:t>
      </w:r>
      <w:r>
        <w:rPr>
          <w:rFonts w:ascii="Arial" w:eastAsiaTheme="minorHAnsi" w:hAnsi="Arial" w:cs="Arial"/>
          <w:sz w:val="22"/>
          <w:szCs w:val="22"/>
        </w:rPr>
        <w:t xml:space="preserve"> that agrees with the</w:t>
      </w:r>
      <w:r>
        <w:rPr>
          <w:rFonts w:ascii="Arial" w:eastAsiaTheme="minorHAnsi" w:hAnsi="Arial" w:cs="Arial"/>
          <w:color w:val="39383A"/>
          <w:sz w:val="22"/>
          <w:szCs w:val="22"/>
        </w:rPr>
        <w:t xml:space="preserve"> results of current study. Similar results were also reported by </w:t>
      </w:r>
      <w:proofErr w:type="spellStart"/>
      <w:r>
        <w:rPr>
          <w:rFonts w:ascii="Arial" w:hAnsi="Arial" w:cs="Arial"/>
          <w:color w:val="0070C0"/>
          <w:sz w:val="22"/>
          <w:szCs w:val="22"/>
        </w:rPr>
        <w:t>Matak</w:t>
      </w:r>
      <w:proofErr w:type="spellEnd"/>
      <w:r>
        <w:rPr>
          <w:rFonts w:ascii="Arial" w:hAnsi="Arial" w:cs="Arial"/>
          <w:color w:val="0070C0"/>
          <w:sz w:val="22"/>
          <w:szCs w:val="22"/>
        </w:rPr>
        <w:t xml:space="preserve">, and </w:t>
      </w:r>
      <w:proofErr w:type="spellStart"/>
      <w:r>
        <w:rPr>
          <w:rFonts w:ascii="Arial" w:hAnsi="Arial" w:cs="Arial"/>
          <w:color w:val="0070C0"/>
          <w:sz w:val="22"/>
          <w:szCs w:val="22"/>
        </w:rPr>
        <w:t>Hashemabadi</w:t>
      </w:r>
      <w:proofErr w:type="spellEnd"/>
      <w:r>
        <w:rPr>
          <w:rFonts w:ascii="Arial" w:hAnsi="Arial" w:cs="Arial"/>
          <w:color w:val="0070C0"/>
          <w:sz w:val="22"/>
          <w:szCs w:val="22"/>
        </w:rPr>
        <w:t>, (2016)</w:t>
      </w:r>
      <w:r>
        <w:rPr>
          <w:rFonts w:ascii="Arial" w:hAnsi="Arial" w:cs="Arial"/>
          <w:sz w:val="22"/>
          <w:szCs w:val="22"/>
        </w:rPr>
        <w:t xml:space="preserve"> in alstroemeria. </w:t>
      </w:r>
      <w:r>
        <w:rPr>
          <w:rFonts w:ascii="Arial" w:hAnsi="Arial" w:cs="Arial"/>
          <w:color w:val="000000" w:themeColor="text1"/>
          <w:sz w:val="22"/>
          <w:szCs w:val="22"/>
        </w:rPr>
        <w:t>Moreover, d</w:t>
      </w:r>
      <w:r>
        <w:rPr>
          <w:rFonts w:ascii="Arial" w:eastAsiaTheme="minorHAnsi" w:hAnsi="Arial" w:cs="Arial"/>
          <w:color w:val="000000" w:themeColor="text1"/>
          <w:sz w:val="22"/>
          <w:szCs w:val="22"/>
        </w:rPr>
        <w:t>elaying</w:t>
      </w:r>
      <w:r>
        <w:rPr>
          <w:rFonts w:ascii="Arial" w:eastAsiaTheme="minorHAnsi" w:hAnsi="Arial" w:cs="Arial"/>
          <w:sz w:val="22"/>
          <w:szCs w:val="22"/>
        </w:rPr>
        <w:t xml:space="preserve"> protein degradation, regulating water rate due to controlling respiration, higher water uptake, inhibition ethylene producing and decreasing ethylene sensitivity of cut flowers are the other advantages of sucrose (</w:t>
      </w:r>
      <w:proofErr w:type="spellStart"/>
      <w:r>
        <w:rPr>
          <w:rFonts w:ascii="Arial" w:eastAsiaTheme="minorHAnsi" w:hAnsi="Arial" w:cs="Arial"/>
          <w:color w:val="00B0F0"/>
          <w:sz w:val="22"/>
          <w:szCs w:val="22"/>
        </w:rPr>
        <w:t>Bleeksma</w:t>
      </w:r>
      <w:proofErr w:type="spellEnd"/>
      <w:r>
        <w:rPr>
          <w:rFonts w:ascii="Arial" w:eastAsiaTheme="minorHAnsi" w:hAnsi="Arial" w:cs="Arial"/>
          <w:color w:val="00B0F0"/>
          <w:sz w:val="22"/>
          <w:szCs w:val="22"/>
        </w:rPr>
        <w:t xml:space="preserve"> and Van </w:t>
      </w:r>
      <w:proofErr w:type="spellStart"/>
      <w:r>
        <w:rPr>
          <w:rFonts w:ascii="Arial" w:eastAsiaTheme="minorHAnsi" w:hAnsi="Arial" w:cs="Arial"/>
          <w:color w:val="00B0F0"/>
          <w:sz w:val="22"/>
          <w:szCs w:val="22"/>
        </w:rPr>
        <w:t>Doorn</w:t>
      </w:r>
      <w:proofErr w:type="spellEnd"/>
      <w:r>
        <w:rPr>
          <w:rFonts w:ascii="Arial" w:eastAsiaTheme="minorHAnsi" w:hAnsi="Arial" w:cs="Arial"/>
          <w:color w:val="00B0F0"/>
          <w:sz w:val="22"/>
          <w:szCs w:val="22"/>
        </w:rPr>
        <w:t xml:space="preserve">, 2003; </w:t>
      </w:r>
      <w:proofErr w:type="spellStart"/>
      <w:r>
        <w:rPr>
          <w:rFonts w:ascii="Arial" w:eastAsiaTheme="minorHAnsi" w:hAnsi="Arial" w:cs="Arial"/>
          <w:color w:val="00B0F0"/>
          <w:sz w:val="22"/>
          <w:szCs w:val="22"/>
        </w:rPr>
        <w:t>Chanasut</w:t>
      </w:r>
      <w:proofErr w:type="spellEnd"/>
      <w:r>
        <w:rPr>
          <w:rFonts w:ascii="Arial" w:eastAsiaTheme="minorHAnsi" w:hAnsi="Arial" w:cs="Arial"/>
          <w:color w:val="00B0F0"/>
          <w:sz w:val="22"/>
          <w:szCs w:val="22"/>
        </w:rPr>
        <w:t xml:space="preserve"> </w:t>
      </w:r>
      <w:r>
        <w:rPr>
          <w:rFonts w:ascii="Arial" w:eastAsiaTheme="minorHAnsi" w:hAnsi="Arial" w:cs="Arial"/>
          <w:i/>
          <w:iCs/>
          <w:color w:val="00B0F0"/>
          <w:sz w:val="22"/>
          <w:szCs w:val="22"/>
        </w:rPr>
        <w:t>et al</w:t>
      </w:r>
      <w:r>
        <w:rPr>
          <w:rFonts w:ascii="Arial" w:eastAsiaTheme="minorHAnsi" w:hAnsi="Arial" w:cs="Arial"/>
          <w:color w:val="00B0F0"/>
          <w:sz w:val="22"/>
          <w:szCs w:val="22"/>
        </w:rPr>
        <w:t xml:space="preserve">., 2003; </w:t>
      </w:r>
      <w:proofErr w:type="spellStart"/>
      <w:r>
        <w:rPr>
          <w:rFonts w:ascii="Arial" w:eastAsiaTheme="minorHAnsi" w:hAnsi="Arial" w:cs="Arial"/>
          <w:color w:val="00B0F0"/>
          <w:sz w:val="22"/>
          <w:szCs w:val="22"/>
        </w:rPr>
        <w:t>Ichimura</w:t>
      </w:r>
      <w:proofErr w:type="spellEnd"/>
      <w:r>
        <w:rPr>
          <w:rFonts w:ascii="Arial" w:eastAsiaTheme="minorHAnsi" w:hAnsi="Arial" w:cs="Arial"/>
          <w:color w:val="00B0F0"/>
          <w:sz w:val="22"/>
          <w:szCs w:val="22"/>
        </w:rPr>
        <w:t xml:space="preserve"> </w:t>
      </w:r>
      <w:r>
        <w:rPr>
          <w:rFonts w:ascii="Arial" w:eastAsiaTheme="minorHAnsi" w:hAnsi="Arial" w:cs="Arial"/>
          <w:i/>
          <w:iCs/>
          <w:color w:val="00B0F0"/>
          <w:sz w:val="22"/>
          <w:szCs w:val="22"/>
        </w:rPr>
        <w:t>et al</w:t>
      </w:r>
      <w:r>
        <w:rPr>
          <w:rFonts w:ascii="Arial" w:eastAsiaTheme="minorHAnsi" w:hAnsi="Arial" w:cs="Arial"/>
          <w:color w:val="00B0F0"/>
          <w:sz w:val="22"/>
          <w:szCs w:val="22"/>
        </w:rPr>
        <w:t xml:space="preserve">., 1999; </w:t>
      </w:r>
      <w:proofErr w:type="spellStart"/>
      <w:r>
        <w:rPr>
          <w:rFonts w:ascii="Arial" w:eastAsiaTheme="minorHAnsi" w:hAnsi="Arial" w:cs="Arial"/>
          <w:color w:val="00B0F0"/>
          <w:sz w:val="22"/>
          <w:szCs w:val="22"/>
        </w:rPr>
        <w:t>Ichimura</w:t>
      </w:r>
      <w:proofErr w:type="spellEnd"/>
      <w:r>
        <w:rPr>
          <w:rFonts w:ascii="Arial" w:eastAsiaTheme="minorHAnsi" w:hAnsi="Arial" w:cs="Arial"/>
          <w:color w:val="00B0F0"/>
          <w:sz w:val="22"/>
          <w:szCs w:val="22"/>
        </w:rPr>
        <w:t xml:space="preserve"> </w:t>
      </w:r>
      <w:r>
        <w:rPr>
          <w:rFonts w:ascii="Arial" w:eastAsiaTheme="minorHAnsi" w:hAnsi="Arial" w:cs="Arial"/>
          <w:i/>
          <w:iCs/>
          <w:color w:val="00B0F0"/>
          <w:sz w:val="22"/>
          <w:szCs w:val="22"/>
        </w:rPr>
        <w:t>et al</w:t>
      </w:r>
      <w:r>
        <w:rPr>
          <w:rFonts w:ascii="Arial" w:eastAsiaTheme="minorHAnsi" w:hAnsi="Arial" w:cs="Arial"/>
          <w:color w:val="00B0F0"/>
          <w:sz w:val="22"/>
          <w:szCs w:val="22"/>
        </w:rPr>
        <w:t>., 2006)</w:t>
      </w:r>
      <w:r>
        <w:rPr>
          <w:rFonts w:ascii="Arial" w:hAnsi="Arial" w:cs="Arial"/>
          <w:sz w:val="22"/>
          <w:szCs w:val="22"/>
        </w:rPr>
        <w:t xml:space="preserve">. </w:t>
      </w:r>
      <w:r>
        <w:rPr>
          <w:rFonts w:ascii="Arial" w:hAnsi="Arial" w:cs="Arial"/>
          <w:sz w:val="22"/>
          <w:szCs w:val="22"/>
          <w:lang w:eastAsia="en-IN"/>
        </w:rPr>
        <w:t>In terms of physiological weight loss, T</w:t>
      </w:r>
      <w:r>
        <w:rPr>
          <w:rFonts w:ascii="Arial" w:hAnsi="Arial" w:cs="Arial"/>
          <w:sz w:val="22"/>
          <w:szCs w:val="22"/>
          <w:vertAlign w:val="subscript"/>
          <w:lang w:eastAsia="en-IN"/>
        </w:rPr>
        <w:t>4</w:t>
      </w:r>
      <w:r>
        <w:rPr>
          <w:rFonts w:ascii="Arial" w:hAnsi="Arial" w:cs="Arial"/>
          <w:sz w:val="22"/>
          <w:szCs w:val="22"/>
          <w:lang w:eastAsia="en-IN"/>
        </w:rPr>
        <w:t xml:space="preserve"> exhibited the lowest value (18.68 ± 0.03%), indicating better water retention and post-harvest quality, however, treatment T</w:t>
      </w:r>
      <w:r>
        <w:rPr>
          <w:rFonts w:ascii="Arial" w:hAnsi="Arial" w:cs="Arial"/>
          <w:sz w:val="22"/>
          <w:szCs w:val="22"/>
          <w:vertAlign w:val="subscript"/>
          <w:lang w:eastAsia="en-IN"/>
        </w:rPr>
        <w:t>1</w:t>
      </w:r>
      <w:r>
        <w:rPr>
          <w:rFonts w:ascii="Arial" w:hAnsi="Arial" w:cs="Arial"/>
          <w:sz w:val="22"/>
          <w:szCs w:val="22"/>
          <w:lang w:eastAsia="en-IN"/>
        </w:rPr>
        <w:t xml:space="preserve"> displayed the highest physiological weight loss (24.53 ± 0.14%), indicating lower post-harvest longevity and quality. </w:t>
      </w:r>
      <w:r>
        <w:rPr>
          <w:rFonts w:ascii="Arial" w:hAnsi="Arial" w:cs="Arial"/>
          <w:sz w:val="22"/>
          <w:szCs w:val="22"/>
        </w:rPr>
        <w:t xml:space="preserve">The presence of plant hormones, which slow down respiration and transpiration and eventually limit physiological weight loss, may be the reason for the lowest physiological weight loss in the optimal supply (50% coconut water). This outcome was consistent with </w:t>
      </w:r>
      <w:r>
        <w:rPr>
          <w:rFonts w:ascii="Arial" w:hAnsi="Arial" w:cs="Arial"/>
          <w:color w:val="00B0F0"/>
          <w:sz w:val="22"/>
          <w:szCs w:val="22"/>
        </w:rPr>
        <w:t>(</w:t>
      </w:r>
      <w:proofErr w:type="spellStart"/>
      <w:r>
        <w:rPr>
          <w:rFonts w:ascii="Arial" w:hAnsi="Arial" w:cs="Arial"/>
          <w:color w:val="00B0F0"/>
          <w:sz w:val="22"/>
          <w:szCs w:val="22"/>
        </w:rPr>
        <w:t>Kumaravel</w:t>
      </w:r>
      <w:proofErr w:type="spellEnd"/>
      <w:r>
        <w:rPr>
          <w:rFonts w:ascii="Arial" w:hAnsi="Arial" w:cs="Arial"/>
          <w:color w:val="00B0F0"/>
          <w:sz w:val="22"/>
          <w:szCs w:val="22"/>
        </w:rPr>
        <w:t xml:space="preserve"> and Ganesh's 2023)</w:t>
      </w:r>
      <w:r>
        <w:rPr>
          <w:rFonts w:ascii="Arial" w:hAnsi="Arial" w:cs="Arial"/>
          <w:sz w:val="22"/>
          <w:szCs w:val="22"/>
        </w:rPr>
        <w:t xml:space="preserve"> who observed similar observations in jasmine. T</w:t>
      </w:r>
      <w:r>
        <w:rPr>
          <w:rFonts w:ascii="Arial" w:hAnsi="Arial" w:cs="Arial"/>
          <w:sz w:val="22"/>
          <w:szCs w:val="22"/>
          <w:vertAlign w:val="subscript"/>
        </w:rPr>
        <w:t>4</w:t>
      </w:r>
      <w:r>
        <w:rPr>
          <w:rFonts w:ascii="Arial" w:hAnsi="Arial" w:cs="Arial"/>
          <w:sz w:val="22"/>
          <w:szCs w:val="22"/>
        </w:rPr>
        <w:t xml:space="preserve"> is the best option for preserving the quality and visual appeal of cut flowers as it was the most successful treatment overall in increasing vase life, floret size, floret opening percentage and lowering physiological weight loss.</w:t>
      </w:r>
    </w:p>
    <w:p w14:paraId="5119C9EB" w14:textId="77777777" w:rsidR="005F0DC4" w:rsidRDefault="007F0E9E">
      <w:pPr>
        <w:tabs>
          <w:tab w:val="left" w:pos="1080"/>
        </w:tabs>
        <w:jc w:val="both"/>
        <w:rPr>
          <w:rFonts w:ascii="Arial" w:hAnsi="Arial"/>
          <w:b/>
          <w:lang w:val="en-IN"/>
        </w:rPr>
      </w:pPr>
      <w:r>
        <w:rPr>
          <w:rFonts w:ascii="Arial" w:hAnsi="Arial"/>
          <w:b/>
        </w:rPr>
        <w:t xml:space="preserve">Table 1. </w:t>
      </w:r>
      <w:r>
        <w:rPr>
          <w:rFonts w:ascii="Arial" w:hAnsi="Arial"/>
          <w:b/>
          <w:lang w:val="en-IN"/>
        </w:rPr>
        <w:t>Effect of corm priming and nutrient management on growth and flowering of gladiolus (</w:t>
      </w:r>
      <w:r>
        <w:rPr>
          <w:rFonts w:ascii="Arial" w:hAnsi="Arial"/>
          <w:b/>
          <w:i/>
          <w:iCs/>
          <w:lang w:val="en-IN"/>
        </w:rPr>
        <w:t xml:space="preserve">Gladiolus </w:t>
      </w:r>
      <w:proofErr w:type="spellStart"/>
      <w:r>
        <w:rPr>
          <w:rFonts w:ascii="Arial" w:hAnsi="Arial"/>
          <w:b/>
          <w:i/>
          <w:iCs/>
          <w:lang w:val="en-IN"/>
        </w:rPr>
        <w:t>hybridus</w:t>
      </w:r>
      <w:proofErr w:type="spellEnd"/>
      <w:r>
        <w:rPr>
          <w:rFonts w:ascii="Arial" w:hAnsi="Arial"/>
          <w:b/>
          <w:lang w:val="en-IN"/>
        </w:rPr>
        <w:t xml:space="preserve"> </w:t>
      </w:r>
      <w:proofErr w:type="spellStart"/>
      <w:r>
        <w:rPr>
          <w:rFonts w:ascii="Arial" w:hAnsi="Arial"/>
          <w:b/>
          <w:lang w:val="en-IN"/>
        </w:rPr>
        <w:t>Hort</w:t>
      </w:r>
      <w:proofErr w:type="spellEnd"/>
      <w:r>
        <w:rPr>
          <w:rFonts w:ascii="Arial" w:hAnsi="Arial"/>
          <w:b/>
          <w:lang w:val="en-IN"/>
        </w:rPr>
        <w:t xml:space="preserve">) cv. </w:t>
      </w:r>
      <w:proofErr w:type="spellStart"/>
      <w:r>
        <w:rPr>
          <w:rFonts w:ascii="Arial" w:hAnsi="Arial"/>
          <w:b/>
          <w:lang w:val="en-IN"/>
        </w:rPr>
        <w:t>Pusa</w:t>
      </w:r>
      <w:proofErr w:type="spellEnd"/>
      <w:r>
        <w:rPr>
          <w:rFonts w:ascii="Arial" w:hAnsi="Arial"/>
          <w:b/>
          <w:lang w:val="en-IN"/>
        </w:rPr>
        <w:t xml:space="preserve"> Chandni </w:t>
      </w:r>
    </w:p>
    <w:p w14:paraId="70DEFB47" w14:textId="77777777" w:rsidR="005F0DC4" w:rsidRDefault="007F0E9E">
      <w:pPr>
        <w:tabs>
          <w:tab w:val="left" w:pos="1080"/>
        </w:tabs>
        <w:jc w:val="both"/>
        <w:rPr>
          <w:rFonts w:ascii="Arial" w:hAnsi="Arial"/>
          <w:b/>
          <w:lang w:val="en-IN"/>
        </w:rPr>
      </w:pPr>
      <w:r>
        <w:rPr>
          <w:rFonts w:ascii="Arial" w:hAnsi="Arial"/>
          <w:b/>
          <w:lang w:val="en-IN"/>
        </w:rPr>
        <w:t xml:space="preserve">  </w:t>
      </w:r>
    </w:p>
    <w:tbl>
      <w:tblPr>
        <w:tblStyle w:val="TableTheme"/>
        <w:tblW w:w="9576" w:type="dxa"/>
        <w:tblLayout w:type="fixed"/>
        <w:tblLook w:val="04A0" w:firstRow="1" w:lastRow="0" w:firstColumn="1" w:lastColumn="0" w:noHBand="0" w:noVBand="1"/>
      </w:tblPr>
      <w:tblGrid>
        <w:gridCol w:w="2830"/>
        <w:gridCol w:w="1058"/>
        <w:gridCol w:w="1350"/>
        <w:gridCol w:w="1350"/>
        <w:gridCol w:w="1440"/>
        <w:gridCol w:w="1548"/>
      </w:tblGrid>
      <w:tr w:rsidR="005F0DC4" w14:paraId="3E4F51DA" w14:textId="77777777" w:rsidTr="00EE053D">
        <w:tc>
          <w:tcPr>
            <w:tcW w:w="2830" w:type="dxa"/>
          </w:tcPr>
          <w:p w14:paraId="4F6D1569" w14:textId="77777777" w:rsidR="005F0DC4" w:rsidRDefault="007F0E9E">
            <w:pPr>
              <w:rPr>
                <w:rFonts w:ascii="Times New Roman" w:hAnsi="Times New Roman"/>
                <w:b/>
                <w:sz w:val="24"/>
                <w:szCs w:val="24"/>
              </w:rPr>
            </w:pPr>
            <w:r>
              <w:rPr>
                <w:rFonts w:ascii="Times New Roman" w:hAnsi="Times New Roman"/>
                <w:b/>
                <w:sz w:val="24"/>
                <w:szCs w:val="24"/>
              </w:rPr>
              <w:t>Treatment</w:t>
            </w:r>
          </w:p>
        </w:tc>
        <w:tc>
          <w:tcPr>
            <w:tcW w:w="1058" w:type="dxa"/>
          </w:tcPr>
          <w:p w14:paraId="26DB3E8E" w14:textId="77777777" w:rsidR="005F0DC4" w:rsidRDefault="007F0E9E">
            <w:pPr>
              <w:rPr>
                <w:rFonts w:ascii="Times New Roman" w:hAnsi="Times New Roman"/>
                <w:b/>
                <w:sz w:val="24"/>
                <w:szCs w:val="24"/>
              </w:rPr>
            </w:pPr>
            <w:r>
              <w:rPr>
                <w:rFonts w:ascii="Times New Roman" w:hAnsi="Times New Roman"/>
                <w:b/>
                <w:sz w:val="24"/>
                <w:szCs w:val="24"/>
              </w:rPr>
              <w:t>Plant height (cm)</w:t>
            </w:r>
          </w:p>
        </w:tc>
        <w:tc>
          <w:tcPr>
            <w:tcW w:w="1350" w:type="dxa"/>
          </w:tcPr>
          <w:p w14:paraId="43FB8628" w14:textId="77777777" w:rsidR="005F0DC4" w:rsidRDefault="007F0E9E">
            <w:pPr>
              <w:rPr>
                <w:rFonts w:ascii="Times New Roman" w:hAnsi="Times New Roman"/>
                <w:b/>
                <w:sz w:val="24"/>
                <w:szCs w:val="24"/>
              </w:rPr>
            </w:pPr>
            <w:r>
              <w:rPr>
                <w:rFonts w:ascii="Times New Roman" w:hAnsi="Times New Roman"/>
                <w:b/>
                <w:sz w:val="24"/>
                <w:szCs w:val="24"/>
              </w:rPr>
              <w:t>Leaf width (cm)</w:t>
            </w:r>
          </w:p>
        </w:tc>
        <w:tc>
          <w:tcPr>
            <w:tcW w:w="1350" w:type="dxa"/>
          </w:tcPr>
          <w:p w14:paraId="23568BB1" w14:textId="77777777" w:rsidR="005F0DC4" w:rsidRDefault="007F0E9E">
            <w:pPr>
              <w:rPr>
                <w:rFonts w:ascii="Times New Roman" w:hAnsi="Times New Roman"/>
                <w:b/>
                <w:sz w:val="24"/>
                <w:szCs w:val="24"/>
              </w:rPr>
            </w:pPr>
            <w:r>
              <w:rPr>
                <w:rFonts w:ascii="Times New Roman" w:hAnsi="Times New Roman"/>
                <w:b/>
                <w:sz w:val="24"/>
                <w:szCs w:val="24"/>
              </w:rPr>
              <w:t>Number of spikes/plants</w:t>
            </w:r>
          </w:p>
        </w:tc>
        <w:tc>
          <w:tcPr>
            <w:tcW w:w="1440" w:type="dxa"/>
          </w:tcPr>
          <w:p w14:paraId="4A39D300" w14:textId="77777777" w:rsidR="005F0DC4" w:rsidRDefault="007F0E9E">
            <w:pPr>
              <w:rPr>
                <w:rFonts w:ascii="Times New Roman" w:hAnsi="Times New Roman"/>
                <w:b/>
                <w:sz w:val="24"/>
                <w:szCs w:val="24"/>
              </w:rPr>
            </w:pPr>
            <w:r>
              <w:rPr>
                <w:rFonts w:ascii="Times New Roman" w:hAnsi="Times New Roman"/>
                <w:b/>
                <w:sz w:val="24"/>
                <w:szCs w:val="24"/>
              </w:rPr>
              <w:t>Number of flowers/spikes</w:t>
            </w:r>
          </w:p>
        </w:tc>
        <w:tc>
          <w:tcPr>
            <w:tcW w:w="1548" w:type="dxa"/>
          </w:tcPr>
          <w:p w14:paraId="27608EB4" w14:textId="77777777" w:rsidR="005F0DC4" w:rsidRDefault="007F0E9E">
            <w:pPr>
              <w:rPr>
                <w:rFonts w:ascii="Times New Roman" w:hAnsi="Times New Roman"/>
                <w:b/>
                <w:sz w:val="24"/>
                <w:szCs w:val="24"/>
              </w:rPr>
            </w:pPr>
            <w:r>
              <w:rPr>
                <w:rFonts w:ascii="Times New Roman" w:hAnsi="Times New Roman"/>
                <w:b/>
                <w:sz w:val="24"/>
                <w:szCs w:val="24"/>
              </w:rPr>
              <w:t>Spike length (cm)</w:t>
            </w:r>
          </w:p>
        </w:tc>
      </w:tr>
      <w:tr w:rsidR="005F0DC4" w14:paraId="0D52443E" w14:textId="77777777" w:rsidTr="00EE053D">
        <w:tc>
          <w:tcPr>
            <w:tcW w:w="2830" w:type="dxa"/>
          </w:tcPr>
          <w:p w14:paraId="0403F676" w14:textId="77777777" w:rsidR="005F0DC4" w:rsidRDefault="007F0E9E">
            <w:pPr>
              <w:rPr>
                <w:rFonts w:ascii="Times New Roman" w:hAnsi="Times New Roman"/>
                <w:sz w:val="24"/>
                <w:szCs w:val="24"/>
              </w:rPr>
            </w:pPr>
            <w:r>
              <w:rPr>
                <w:rFonts w:ascii="Times New Roman" w:hAnsi="Times New Roman"/>
                <w:sz w:val="24"/>
                <w:szCs w:val="24"/>
              </w:rPr>
              <w:lastRenderedPageBreak/>
              <w:t>T</w:t>
            </w:r>
            <w:r>
              <w:rPr>
                <w:rFonts w:ascii="Times New Roman" w:hAnsi="Times New Roman"/>
                <w:sz w:val="24"/>
                <w:szCs w:val="24"/>
                <w:vertAlign w:val="subscript"/>
              </w:rPr>
              <w:t>1</w:t>
            </w:r>
            <w:r>
              <w:rPr>
                <w:rFonts w:ascii="Times New Roman" w:hAnsi="Times New Roman"/>
                <w:sz w:val="24"/>
                <w:szCs w:val="24"/>
              </w:rPr>
              <w:t xml:space="preserve"> -Control</w:t>
            </w:r>
          </w:p>
        </w:tc>
        <w:tc>
          <w:tcPr>
            <w:tcW w:w="1058" w:type="dxa"/>
          </w:tcPr>
          <w:p w14:paraId="2712AD50" w14:textId="77777777" w:rsidR="005F0DC4" w:rsidRDefault="007F0E9E">
            <w:pPr>
              <w:rPr>
                <w:rFonts w:ascii="Times New Roman" w:hAnsi="Times New Roman"/>
                <w:sz w:val="24"/>
                <w:szCs w:val="24"/>
              </w:rPr>
            </w:pPr>
            <w:r>
              <w:rPr>
                <w:rFonts w:ascii="Times New Roman" w:hAnsi="Times New Roman"/>
                <w:sz w:val="24"/>
                <w:szCs w:val="24"/>
              </w:rPr>
              <w:t>40.25±1.17 e</w:t>
            </w:r>
          </w:p>
        </w:tc>
        <w:tc>
          <w:tcPr>
            <w:tcW w:w="1350" w:type="dxa"/>
          </w:tcPr>
          <w:p w14:paraId="128FA27E" w14:textId="77777777" w:rsidR="005F0DC4" w:rsidRDefault="007F0E9E">
            <w:pPr>
              <w:rPr>
                <w:rFonts w:ascii="Times New Roman" w:hAnsi="Times New Roman"/>
                <w:sz w:val="24"/>
                <w:szCs w:val="24"/>
              </w:rPr>
            </w:pPr>
            <w:r>
              <w:rPr>
                <w:rFonts w:ascii="Times New Roman" w:hAnsi="Times New Roman"/>
                <w:sz w:val="24"/>
                <w:szCs w:val="24"/>
              </w:rPr>
              <w:t>1.65±0.05 d</w:t>
            </w:r>
          </w:p>
        </w:tc>
        <w:tc>
          <w:tcPr>
            <w:tcW w:w="1350" w:type="dxa"/>
          </w:tcPr>
          <w:p w14:paraId="2B5979BE" w14:textId="77777777" w:rsidR="005F0DC4" w:rsidRDefault="007F0E9E">
            <w:pPr>
              <w:rPr>
                <w:rFonts w:ascii="Times New Roman" w:hAnsi="Times New Roman"/>
                <w:sz w:val="24"/>
                <w:szCs w:val="24"/>
              </w:rPr>
            </w:pPr>
            <w:r>
              <w:rPr>
                <w:rFonts w:ascii="Times New Roman" w:hAnsi="Times New Roman"/>
                <w:sz w:val="24"/>
                <w:szCs w:val="24"/>
              </w:rPr>
              <w:t>1.00±0.04 d</w:t>
            </w:r>
          </w:p>
        </w:tc>
        <w:tc>
          <w:tcPr>
            <w:tcW w:w="1440" w:type="dxa"/>
          </w:tcPr>
          <w:p w14:paraId="22A029D1" w14:textId="77777777" w:rsidR="005F0DC4" w:rsidRDefault="007F0E9E">
            <w:pPr>
              <w:rPr>
                <w:rFonts w:ascii="Times New Roman" w:hAnsi="Times New Roman"/>
                <w:sz w:val="24"/>
                <w:szCs w:val="24"/>
              </w:rPr>
            </w:pPr>
            <w:r>
              <w:rPr>
                <w:rFonts w:ascii="Times New Roman" w:hAnsi="Times New Roman"/>
                <w:sz w:val="24"/>
                <w:szCs w:val="24"/>
              </w:rPr>
              <w:t>8.86±0.13 f</w:t>
            </w:r>
          </w:p>
        </w:tc>
        <w:tc>
          <w:tcPr>
            <w:tcW w:w="1548" w:type="dxa"/>
          </w:tcPr>
          <w:p w14:paraId="75710ED0" w14:textId="77777777" w:rsidR="005F0DC4" w:rsidRDefault="007F0E9E">
            <w:pPr>
              <w:rPr>
                <w:rFonts w:ascii="Times New Roman" w:hAnsi="Times New Roman"/>
                <w:sz w:val="24"/>
                <w:szCs w:val="24"/>
              </w:rPr>
            </w:pPr>
            <w:r>
              <w:rPr>
                <w:rFonts w:ascii="Times New Roman" w:hAnsi="Times New Roman"/>
                <w:sz w:val="24"/>
                <w:szCs w:val="24"/>
              </w:rPr>
              <w:t>33.26±1.63 e</w:t>
            </w:r>
          </w:p>
        </w:tc>
      </w:tr>
      <w:tr w:rsidR="005F0DC4" w14:paraId="470338D1" w14:textId="77777777" w:rsidTr="00EE053D">
        <w:tc>
          <w:tcPr>
            <w:tcW w:w="2830" w:type="dxa"/>
          </w:tcPr>
          <w:p w14:paraId="2810A99C" w14:textId="77777777" w:rsidR="005F0DC4" w:rsidRDefault="007F0E9E">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2</w:t>
            </w:r>
            <w:r>
              <w:rPr>
                <w:rFonts w:ascii="Times New Roman" w:hAnsi="Times New Roman"/>
                <w:sz w:val="24"/>
                <w:szCs w:val="24"/>
              </w:rPr>
              <w:t>- 100% RDF</w:t>
            </w:r>
          </w:p>
        </w:tc>
        <w:tc>
          <w:tcPr>
            <w:tcW w:w="1058" w:type="dxa"/>
          </w:tcPr>
          <w:p w14:paraId="22478A29" w14:textId="77777777" w:rsidR="005F0DC4" w:rsidRDefault="007F0E9E">
            <w:pPr>
              <w:rPr>
                <w:rFonts w:ascii="Times New Roman" w:hAnsi="Times New Roman"/>
                <w:sz w:val="24"/>
                <w:szCs w:val="24"/>
              </w:rPr>
            </w:pPr>
            <w:r>
              <w:rPr>
                <w:rFonts w:ascii="Times New Roman" w:hAnsi="Times New Roman"/>
                <w:sz w:val="24"/>
                <w:szCs w:val="24"/>
              </w:rPr>
              <w:t>61.80±1.60 ab</w:t>
            </w:r>
          </w:p>
        </w:tc>
        <w:tc>
          <w:tcPr>
            <w:tcW w:w="1350" w:type="dxa"/>
          </w:tcPr>
          <w:p w14:paraId="2D8BFB1F" w14:textId="77777777" w:rsidR="005F0DC4" w:rsidRDefault="007F0E9E">
            <w:pPr>
              <w:rPr>
                <w:rFonts w:ascii="Times New Roman" w:hAnsi="Times New Roman"/>
                <w:sz w:val="24"/>
                <w:szCs w:val="24"/>
              </w:rPr>
            </w:pPr>
            <w:r>
              <w:rPr>
                <w:rFonts w:ascii="Times New Roman" w:hAnsi="Times New Roman"/>
                <w:sz w:val="24"/>
                <w:szCs w:val="24"/>
              </w:rPr>
              <w:t>2.56±0.04 ab</w:t>
            </w:r>
          </w:p>
        </w:tc>
        <w:tc>
          <w:tcPr>
            <w:tcW w:w="1350" w:type="dxa"/>
          </w:tcPr>
          <w:p w14:paraId="6E2D9EE3" w14:textId="77777777" w:rsidR="005F0DC4" w:rsidRDefault="007F0E9E">
            <w:pPr>
              <w:rPr>
                <w:rFonts w:ascii="Times New Roman" w:hAnsi="Times New Roman"/>
                <w:sz w:val="24"/>
                <w:szCs w:val="24"/>
              </w:rPr>
            </w:pPr>
            <w:r>
              <w:rPr>
                <w:rFonts w:ascii="Times New Roman" w:hAnsi="Times New Roman"/>
                <w:sz w:val="24"/>
                <w:szCs w:val="24"/>
              </w:rPr>
              <w:t>1.28±0.04 ab</w:t>
            </w:r>
          </w:p>
        </w:tc>
        <w:tc>
          <w:tcPr>
            <w:tcW w:w="1440" w:type="dxa"/>
          </w:tcPr>
          <w:p w14:paraId="6735675E" w14:textId="77777777" w:rsidR="005F0DC4" w:rsidRDefault="007F0E9E">
            <w:pPr>
              <w:rPr>
                <w:rFonts w:ascii="Times New Roman" w:hAnsi="Times New Roman"/>
                <w:sz w:val="24"/>
                <w:szCs w:val="24"/>
              </w:rPr>
            </w:pPr>
            <w:r>
              <w:rPr>
                <w:rFonts w:ascii="Times New Roman" w:hAnsi="Times New Roman"/>
                <w:sz w:val="24"/>
                <w:szCs w:val="24"/>
              </w:rPr>
              <w:t>13.86±0.34 ab</w:t>
            </w:r>
          </w:p>
        </w:tc>
        <w:tc>
          <w:tcPr>
            <w:tcW w:w="1548" w:type="dxa"/>
          </w:tcPr>
          <w:p w14:paraId="06CB7990" w14:textId="77777777" w:rsidR="005F0DC4" w:rsidRDefault="007F0E9E">
            <w:pPr>
              <w:rPr>
                <w:rFonts w:ascii="Times New Roman" w:hAnsi="Times New Roman"/>
                <w:sz w:val="24"/>
                <w:szCs w:val="24"/>
              </w:rPr>
            </w:pPr>
            <w:r>
              <w:rPr>
                <w:rFonts w:ascii="Times New Roman" w:hAnsi="Times New Roman"/>
                <w:sz w:val="24"/>
                <w:szCs w:val="24"/>
              </w:rPr>
              <w:t>61.25±0.69 ab</w:t>
            </w:r>
          </w:p>
        </w:tc>
      </w:tr>
      <w:tr w:rsidR="005F0DC4" w14:paraId="6509C2FE" w14:textId="77777777" w:rsidTr="00EE053D">
        <w:tc>
          <w:tcPr>
            <w:tcW w:w="2830" w:type="dxa"/>
          </w:tcPr>
          <w:p w14:paraId="61A789E8" w14:textId="77777777" w:rsidR="005F0DC4" w:rsidRDefault="007F0E9E">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3</w:t>
            </w:r>
            <w:r>
              <w:rPr>
                <w:rFonts w:ascii="Times New Roman" w:hAnsi="Times New Roman"/>
                <w:sz w:val="24"/>
                <w:szCs w:val="24"/>
              </w:rPr>
              <w:t xml:space="preserve">-75% RDF + Corm priming with 50% coconut water for 12 </w:t>
            </w:r>
            <w:proofErr w:type="spellStart"/>
            <w:r>
              <w:rPr>
                <w:rFonts w:ascii="Times New Roman" w:hAnsi="Times New Roman"/>
                <w:sz w:val="24"/>
                <w:szCs w:val="24"/>
              </w:rPr>
              <w:t>hrs</w:t>
            </w:r>
            <w:proofErr w:type="spellEnd"/>
            <w:r>
              <w:rPr>
                <w:rFonts w:ascii="Times New Roman" w:hAnsi="Times New Roman"/>
                <w:sz w:val="24"/>
                <w:szCs w:val="24"/>
              </w:rPr>
              <w:t xml:space="preserve"> </w:t>
            </w:r>
          </w:p>
        </w:tc>
        <w:tc>
          <w:tcPr>
            <w:tcW w:w="1058" w:type="dxa"/>
          </w:tcPr>
          <w:p w14:paraId="73627D44" w14:textId="77777777" w:rsidR="005F0DC4" w:rsidRDefault="007F0E9E">
            <w:pPr>
              <w:rPr>
                <w:rFonts w:ascii="Times New Roman" w:hAnsi="Times New Roman"/>
                <w:sz w:val="24"/>
                <w:szCs w:val="24"/>
              </w:rPr>
            </w:pPr>
            <w:r>
              <w:rPr>
                <w:rFonts w:ascii="Times New Roman" w:hAnsi="Times New Roman"/>
                <w:sz w:val="24"/>
                <w:szCs w:val="24"/>
              </w:rPr>
              <w:t>52.65±2.46 cd</w:t>
            </w:r>
          </w:p>
        </w:tc>
        <w:tc>
          <w:tcPr>
            <w:tcW w:w="1350" w:type="dxa"/>
          </w:tcPr>
          <w:p w14:paraId="246CA0CD" w14:textId="77777777" w:rsidR="005F0DC4" w:rsidRDefault="007F0E9E">
            <w:pPr>
              <w:rPr>
                <w:rFonts w:ascii="Times New Roman" w:hAnsi="Times New Roman"/>
                <w:sz w:val="24"/>
                <w:szCs w:val="24"/>
              </w:rPr>
            </w:pPr>
            <w:r>
              <w:rPr>
                <w:rFonts w:ascii="Times New Roman" w:hAnsi="Times New Roman"/>
                <w:sz w:val="24"/>
                <w:szCs w:val="24"/>
              </w:rPr>
              <w:t xml:space="preserve">2.38±0.09 </w:t>
            </w:r>
            <w:proofErr w:type="spellStart"/>
            <w:r>
              <w:rPr>
                <w:rFonts w:ascii="Times New Roman" w:hAnsi="Times New Roman"/>
                <w:sz w:val="24"/>
                <w:szCs w:val="24"/>
              </w:rPr>
              <w:t>bc</w:t>
            </w:r>
            <w:proofErr w:type="spellEnd"/>
          </w:p>
        </w:tc>
        <w:tc>
          <w:tcPr>
            <w:tcW w:w="1350" w:type="dxa"/>
          </w:tcPr>
          <w:p w14:paraId="76619F21" w14:textId="77777777" w:rsidR="005F0DC4" w:rsidRDefault="007F0E9E">
            <w:pPr>
              <w:rPr>
                <w:rFonts w:ascii="Times New Roman" w:hAnsi="Times New Roman"/>
                <w:sz w:val="24"/>
                <w:szCs w:val="24"/>
              </w:rPr>
            </w:pPr>
            <w:r>
              <w:rPr>
                <w:rFonts w:ascii="Times New Roman" w:hAnsi="Times New Roman"/>
                <w:sz w:val="24"/>
                <w:szCs w:val="24"/>
              </w:rPr>
              <w:t xml:space="preserve">1.15±0.06 </w:t>
            </w:r>
            <w:proofErr w:type="spellStart"/>
            <w:r>
              <w:rPr>
                <w:rFonts w:ascii="Times New Roman" w:hAnsi="Times New Roman"/>
                <w:sz w:val="24"/>
                <w:szCs w:val="24"/>
              </w:rPr>
              <w:t>bcd</w:t>
            </w:r>
            <w:proofErr w:type="spellEnd"/>
          </w:p>
        </w:tc>
        <w:tc>
          <w:tcPr>
            <w:tcW w:w="1440" w:type="dxa"/>
          </w:tcPr>
          <w:p w14:paraId="1A2299D8" w14:textId="77777777" w:rsidR="005F0DC4" w:rsidRDefault="007F0E9E">
            <w:pPr>
              <w:rPr>
                <w:rFonts w:ascii="Times New Roman" w:hAnsi="Times New Roman"/>
                <w:sz w:val="24"/>
                <w:szCs w:val="24"/>
              </w:rPr>
            </w:pPr>
            <w:r>
              <w:rPr>
                <w:rFonts w:ascii="Times New Roman" w:hAnsi="Times New Roman"/>
                <w:sz w:val="24"/>
                <w:szCs w:val="24"/>
              </w:rPr>
              <w:t>11.85±0.36 cd</w:t>
            </w:r>
          </w:p>
        </w:tc>
        <w:tc>
          <w:tcPr>
            <w:tcW w:w="1548" w:type="dxa"/>
          </w:tcPr>
          <w:p w14:paraId="3C74B9D4" w14:textId="77777777" w:rsidR="005F0DC4" w:rsidRDefault="007F0E9E">
            <w:pPr>
              <w:rPr>
                <w:rFonts w:ascii="Times New Roman" w:hAnsi="Times New Roman"/>
                <w:sz w:val="24"/>
                <w:szCs w:val="24"/>
              </w:rPr>
            </w:pPr>
            <w:r>
              <w:rPr>
                <w:rFonts w:ascii="Times New Roman" w:hAnsi="Times New Roman"/>
                <w:sz w:val="24"/>
                <w:szCs w:val="24"/>
              </w:rPr>
              <w:t xml:space="preserve">55.65±0.97 </w:t>
            </w:r>
            <w:proofErr w:type="spellStart"/>
            <w:r>
              <w:rPr>
                <w:rFonts w:ascii="Times New Roman" w:hAnsi="Times New Roman"/>
                <w:sz w:val="24"/>
                <w:szCs w:val="24"/>
              </w:rPr>
              <w:t>bc</w:t>
            </w:r>
            <w:proofErr w:type="spellEnd"/>
          </w:p>
        </w:tc>
      </w:tr>
      <w:tr w:rsidR="005F0DC4" w14:paraId="1064FB75" w14:textId="77777777" w:rsidTr="00EE053D">
        <w:tc>
          <w:tcPr>
            <w:tcW w:w="2830" w:type="dxa"/>
          </w:tcPr>
          <w:p w14:paraId="428A8754" w14:textId="77777777" w:rsidR="005F0DC4" w:rsidRDefault="007F0E9E">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4</w:t>
            </w:r>
            <w:r>
              <w:rPr>
                <w:rFonts w:ascii="Times New Roman" w:hAnsi="Times New Roman"/>
                <w:sz w:val="24"/>
                <w:szCs w:val="24"/>
              </w:rPr>
              <w:t xml:space="preserve">-75% RDF + Corm priming with 50% coconut water for 12 </w:t>
            </w:r>
            <w:proofErr w:type="spellStart"/>
            <w:r>
              <w:rPr>
                <w:rFonts w:ascii="Times New Roman" w:hAnsi="Times New Roman"/>
                <w:sz w:val="24"/>
                <w:szCs w:val="24"/>
              </w:rPr>
              <w:t>hrs</w:t>
            </w:r>
            <w:proofErr w:type="spellEnd"/>
            <w:r>
              <w:rPr>
                <w:rFonts w:ascii="Times New Roman" w:hAnsi="Times New Roman"/>
                <w:sz w:val="24"/>
                <w:szCs w:val="24"/>
              </w:rPr>
              <w:t xml:space="preserve"> + One spray of 25% coconut water on plants at 15 day</w:t>
            </w:r>
          </w:p>
        </w:tc>
        <w:tc>
          <w:tcPr>
            <w:tcW w:w="1058" w:type="dxa"/>
          </w:tcPr>
          <w:p w14:paraId="5776816C" w14:textId="77777777" w:rsidR="005F0DC4" w:rsidRDefault="007F0E9E">
            <w:pPr>
              <w:rPr>
                <w:rFonts w:ascii="Times New Roman" w:hAnsi="Times New Roman"/>
                <w:sz w:val="24"/>
                <w:szCs w:val="24"/>
              </w:rPr>
            </w:pPr>
            <w:r>
              <w:rPr>
                <w:rFonts w:ascii="Times New Roman" w:hAnsi="Times New Roman"/>
                <w:sz w:val="24"/>
                <w:szCs w:val="24"/>
              </w:rPr>
              <w:t xml:space="preserve">55.85±1.84 </w:t>
            </w:r>
            <w:proofErr w:type="spellStart"/>
            <w:r>
              <w:rPr>
                <w:rFonts w:ascii="Times New Roman" w:hAnsi="Times New Roman"/>
                <w:sz w:val="24"/>
                <w:szCs w:val="24"/>
              </w:rPr>
              <w:t>bc</w:t>
            </w:r>
            <w:proofErr w:type="spellEnd"/>
          </w:p>
        </w:tc>
        <w:tc>
          <w:tcPr>
            <w:tcW w:w="1350" w:type="dxa"/>
          </w:tcPr>
          <w:p w14:paraId="784FF940" w14:textId="77777777" w:rsidR="005F0DC4" w:rsidRDefault="007F0E9E">
            <w:pPr>
              <w:rPr>
                <w:rFonts w:ascii="Times New Roman" w:hAnsi="Times New Roman"/>
                <w:sz w:val="24"/>
                <w:szCs w:val="24"/>
              </w:rPr>
            </w:pPr>
            <w:r>
              <w:rPr>
                <w:rFonts w:ascii="Times New Roman" w:hAnsi="Times New Roman"/>
                <w:sz w:val="24"/>
                <w:szCs w:val="24"/>
              </w:rPr>
              <w:t xml:space="preserve">2.42±0.05 </w:t>
            </w:r>
            <w:proofErr w:type="spellStart"/>
            <w:r>
              <w:rPr>
                <w:rFonts w:ascii="Times New Roman" w:hAnsi="Times New Roman"/>
                <w:sz w:val="24"/>
                <w:szCs w:val="24"/>
              </w:rPr>
              <w:t>bc</w:t>
            </w:r>
            <w:proofErr w:type="spellEnd"/>
          </w:p>
        </w:tc>
        <w:tc>
          <w:tcPr>
            <w:tcW w:w="1350" w:type="dxa"/>
          </w:tcPr>
          <w:p w14:paraId="2F1A1778" w14:textId="77777777" w:rsidR="005F0DC4" w:rsidRDefault="007F0E9E">
            <w:pPr>
              <w:rPr>
                <w:rFonts w:ascii="Times New Roman" w:hAnsi="Times New Roman"/>
                <w:sz w:val="24"/>
                <w:szCs w:val="24"/>
              </w:rPr>
            </w:pPr>
            <w:r>
              <w:rPr>
                <w:rFonts w:ascii="Times New Roman" w:hAnsi="Times New Roman"/>
                <w:sz w:val="24"/>
                <w:szCs w:val="24"/>
              </w:rPr>
              <w:t xml:space="preserve">1.20±0.01 </w:t>
            </w:r>
            <w:proofErr w:type="spellStart"/>
            <w:r>
              <w:rPr>
                <w:rFonts w:ascii="Times New Roman" w:hAnsi="Times New Roman"/>
                <w:sz w:val="24"/>
                <w:szCs w:val="24"/>
              </w:rPr>
              <w:t>abc</w:t>
            </w:r>
            <w:proofErr w:type="spellEnd"/>
          </w:p>
        </w:tc>
        <w:tc>
          <w:tcPr>
            <w:tcW w:w="1440" w:type="dxa"/>
          </w:tcPr>
          <w:p w14:paraId="17031CF4" w14:textId="77777777" w:rsidR="005F0DC4" w:rsidRDefault="007F0E9E">
            <w:pPr>
              <w:rPr>
                <w:rFonts w:ascii="Times New Roman" w:hAnsi="Times New Roman"/>
                <w:sz w:val="24"/>
                <w:szCs w:val="24"/>
              </w:rPr>
            </w:pPr>
            <w:r>
              <w:rPr>
                <w:rFonts w:ascii="Times New Roman" w:hAnsi="Times New Roman"/>
                <w:sz w:val="24"/>
                <w:szCs w:val="24"/>
              </w:rPr>
              <w:t xml:space="preserve">12.60±0.23 </w:t>
            </w:r>
            <w:proofErr w:type="spellStart"/>
            <w:r>
              <w:rPr>
                <w:rFonts w:ascii="Times New Roman" w:hAnsi="Times New Roman"/>
                <w:sz w:val="24"/>
                <w:szCs w:val="24"/>
              </w:rPr>
              <w:t>bc</w:t>
            </w:r>
            <w:proofErr w:type="spellEnd"/>
          </w:p>
        </w:tc>
        <w:tc>
          <w:tcPr>
            <w:tcW w:w="1548" w:type="dxa"/>
          </w:tcPr>
          <w:p w14:paraId="6D7A859E" w14:textId="77777777" w:rsidR="005F0DC4" w:rsidRDefault="007F0E9E">
            <w:pPr>
              <w:rPr>
                <w:rFonts w:ascii="Times New Roman" w:hAnsi="Times New Roman"/>
                <w:sz w:val="24"/>
                <w:szCs w:val="24"/>
              </w:rPr>
            </w:pPr>
            <w:r>
              <w:rPr>
                <w:rFonts w:ascii="Times New Roman" w:hAnsi="Times New Roman"/>
                <w:sz w:val="24"/>
                <w:szCs w:val="24"/>
              </w:rPr>
              <w:t xml:space="preserve">58.56±4.07 </w:t>
            </w:r>
            <w:proofErr w:type="spellStart"/>
            <w:r>
              <w:rPr>
                <w:rFonts w:ascii="Times New Roman" w:hAnsi="Times New Roman"/>
                <w:sz w:val="24"/>
                <w:szCs w:val="24"/>
              </w:rPr>
              <w:t>abc</w:t>
            </w:r>
            <w:proofErr w:type="spellEnd"/>
          </w:p>
        </w:tc>
      </w:tr>
      <w:tr w:rsidR="005F0DC4" w14:paraId="7E4CF76C" w14:textId="77777777" w:rsidTr="00EE053D">
        <w:tc>
          <w:tcPr>
            <w:tcW w:w="2830" w:type="dxa"/>
          </w:tcPr>
          <w:p w14:paraId="0D0F7121" w14:textId="77777777" w:rsidR="005F0DC4" w:rsidRDefault="007F0E9E">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5</w:t>
            </w:r>
            <w:r>
              <w:rPr>
                <w:rFonts w:ascii="Times New Roman" w:hAnsi="Times New Roman"/>
                <w:sz w:val="24"/>
                <w:szCs w:val="24"/>
              </w:rPr>
              <w:t xml:space="preserve">-75% RDF + Corm priming with 50% coconut water for 12 </w:t>
            </w:r>
            <w:proofErr w:type="spellStart"/>
            <w:r>
              <w:rPr>
                <w:rFonts w:ascii="Times New Roman" w:hAnsi="Times New Roman"/>
                <w:sz w:val="24"/>
                <w:szCs w:val="24"/>
              </w:rPr>
              <w:t>hrs</w:t>
            </w:r>
            <w:proofErr w:type="spellEnd"/>
            <w:r>
              <w:rPr>
                <w:rFonts w:ascii="Times New Roman" w:hAnsi="Times New Roman"/>
                <w:sz w:val="24"/>
                <w:szCs w:val="24"/>
              </w:rPr>
              <w:t xml:space="preserve"> + two spray of 25% coconut water on plants at 15 day and 30 days stages</w:t>
            </w:r>
          </w:p>
        </w:tc>
        <w:tc>
          <w:tcPr>
            <w:tcW w:w="1058" w:type="dxa"/>
          </w:tcPr>
          <w:p w14:paraId="2473A641" w14:textId="77777777" w:rsidR="005F0DC4" w:rsidRDefault="007F0E9E">
            <w:pPr>
              <w:rPr>
                <w:rFonts w:ascii="Times New Roman" w:hAnsi="Times New Roman"/>
                <w:sz w:val="24"/>
                <w:szCs w:val="24"/>
              </w:rPr>
            </w:pPr>
            <w:r>
              <w:rPr>
                <w:rFonts w:ascii="Times New Roman" w:hAnsi="Times New Roman"/>
                <w:sz w:val="24"/>
                <w:szCs w:val="24"/>
              </w:rPr>
              <w:t>63.25±3.16 a</w:t>
            </w:r>
          </w:p>
        </w:tc>
        <w:tc>
          <w:tcPr>
            <w:tcW w:w="1350" w:type="dxa"/>
          </w:tcPr>
          <w:p w14:paraId="03BDC5FD" w14:textId="77777777" w:rsidR="005F0DC4" w:rsidRDefault="007F0E9E">
            <w:pPr>
              <w:rPr>
                <w:rFonts w:ascii="Times New Roman" w:hAnsi="Times New Roman"/>
                <w:sz w:val="24"/>
                <w:szCs w:val="24"/>
              </w:rPr>
            </w:pPr>
            <w:r>
              <w:rPr>
                <w:rFonts w:ascii="Times New Roman" w:hAnsi="Times New Roman"/>
                <w:sz w:val="24"/>
                <w:szCs w:val="24"/>
              </w:rPr>
              <w:t>2.65±0.05 a</w:t>
            </w:r>
          </w:p>
        </w:tc>
        <w:tc>
          <w:tcPr>
            <w:tcW w:w="1350" w:type="dxa"/>
          </w:tcPr>
          <w:p w14:paraId="22611B22" w14:textId="77777777" w:rsidR="005F0DC4" w:rsidRDefault="007F0E9E">
            <w:pPr>
              <w:rPr>
                <w:rFonts w:ascii="Times New Roman" w:hAnsi="Times New Roman"/>
                <w:sz w:val="24"/>
                <w:szCs w:val="24"/>
              </w:rPr>
            </w:pPr>
            <w:r>
              <w:rPr>
                <w:rFonts w:ascii="Times New Roman" w:hAnsi="Times New Roman"/>
                <w:sz w:val="24"/>
                <w:szCs w:val="24"/>
              </w:rPr>
              <w:t>1.34±0.05 a</w:t>
            </w:r>
          </w:p>
        </w:tc>
        <w:tc>
          <w:tcPr>
            <w:tcW w:w="1440" w:type="dxa"/>
          </w:tcPr>
          <w:p w14:paraId="025A9EE1" w14:textId="77777777" w:rsidR="005F0DC4" w:rsidRDefault="007F0E9E">
            <w:pPr>
              <w:rPr>
                <w:rFonts w:ascii="Times New Roman" w:hAnsi="Times New Roman"/>
                <w:sz w:val="24"/>
                <w:szCs w:val="24"/>
              </w:rPr>
            </w:pPr>
            <w:r>
              <w:rPr>
                <w:rFonts w:ascii="Times New Roman" w:hAnsi="Times New Roman"/>
                <w:sz w:val="24"/>
                <w:szCs w:val="24"/>
              </w:rPr>
              <w:t>14.20±0.70 a</w:t>
            </w:r>
          </w:p>
        </w:tc>
        <w:tc>
          <w:tcPr>
            <w:tcW w:w="1548" w:type="dxa"/>
          </w:tcPr>
          <w:p w14:paraId="698DC1B4" w14:textId="77777777" w:rsidR="005F0DC4" w:rsidRDefault="007F0E9E">
            <w:pPr>
              <w:rPr>
                <w:rFonts w:ascii="Times New Roman" w:hAnsi="Times New Roman"/>
                <w:sz w:val="24"/>
                <w:szCs w:val="24"/>
              </w:rPr>
            </w:pPr>
            <w:r>
              <w:rPr>
                <w:rFonts w:ascii="Times New Roman" w:hAnsi="Times New Roman"/>
                <w:sz w:val="24"/>
                <w:szCs w:val="24"/>
              </w:rPr>
              <w:t>64.85±0.73 a</w:t>
            </w:r>
          </w:p>
        </w:tc>
      </w:tr>
      <w:tr w:rsidR="005F0DC4" w14:paraId="0D0BA231" w14:textId="77777777" w:rsidTr="00EE053D">
        <w:tc>
          <w:tcPr>
            <w:tcW w:w="2830" w:type="dxa"/>
          </w:tcPr>
          <w:p w14:paraId="69BCE3B1" w14:textId="77777777" w:rsidR="005F0DC4" w:rsidRDefault="007F0E9E">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6</w:t>
            </w:r>
            <w:r>
              <w:rPr>
                <w:rFonts w:ascii="Times New Roman" w:hAnsi="Times New Roman"/>
                <w:sz w:val="24"/>
                <w:szCs w:val="24"/>
              </w:rPr>
              <w:t xml:space="preserve">-50% RDF + Corm priming with 75% coconut water for 12 </w:t>
            </w:r>
            <w:proofErr w:type="spellStart"/>
            <w:r>
              <w:rPr>
                <w:rFonts w:ascii="Times New Roman" w:hAnsi="Times New Roman"/>
                <w:sz w:val="24"/>
                <w:szCs w:val="24"/>
              </w:rPr>
              <w:t>hrs</w:t>
            </w:r>
            <w:proofErr w:type="spellEnd"/>
            <w:r>
              <w:rPr>
                <w:rFonts w:ascii="Times New Roman" w:hAnsi="Times New Roman"/>
                <w:sz w:val="24"/>
                <w:szCs w:val="24"/>
              </w:rPr>
              <w:t xml:space="preserve"> + One spray of 25% coconut water on plants at 15 day </w:t>
            </w:r>
          </w:p>
        </w:tc>
        <w:tc>
          <w:tcPr>
            <w:tcW w:w="1058" w:type="dxa"/>
          </w:tcPr>
          <w:p w14:paraId="0E77E814" w14:textId="77777777" w:rsidR="005F0DC4" w:rsidRDefault="007F0E9E">
            <w:pPr>
              <w:rPr>
                <w:rFonts w:ascii="Times New Roman" w:hAnsi="Times New Roman"/>
                <w:sz w:val="24"/>
                <w:szCs w:val="24"/>
              </w:rPr>
            </w:pPr>
            <w:r>
              <w:rPr>
                <w:rFonts w:ascii="Times New Roman" w:hAnsi="Times New Roman"/>
                <w:sz w:val="24"/>
                <w:szCs w:val="24"/>
              </w:rPr>
              <w:t>46.85±0.66 d</w:t>
            </w:r>
          </w:p>
        </w:tc>
        <w:tc>
          <w:tcPr>
            <w:tcW w:w="1350" w:type="dxa"/>
          </w:tcPr>
          <w:p w14:paraId="290EF486" w14:textId="77777777" w:rsidR="005F0DC4" w:rsidRDefault="007F0E9E">
            <w:pPr>
              <w:rPr>
                <w:rFonts w:ascii="Times New Roman" w:hAnsi="Times New Roman"/>
                <w:sz w:val="24"/>
                <w:szCs w:val="24"/>
              </w:rPr>
            </w:pPr>
            <w:r>
              <w:rPr>
                <w:rFonts w:ascii="Times New Roman" w:hAnsi="Times New Roman"/>
                <w:sz w:val="24"/>
                <w:szCs w:val="24"/>
              </w:rPr>
              <w:t>2.25±0.08 c</w:t>
            </w:r>
          </w:p>
        </w:tc>
        <w:tc>
          <w:tcPr>
            <w:tcW w:w="1350" w:type="dxa"/>
          </w:tcPr>
          <w:p w14:paraId="3DC7876E" w14:textId="77777777" w:rsidR="005F0DC4" w:rsidRDefault="007F0E9E">
            <w:pPr>
              <w:rPr>
                <w:rFonts w:ascii="Times New Roman" w:hAnsi="Times New Roman"/>
                <w:sz w:val="24"/>
                <w:szCs w:val="24"/>
              </w:rPr>
            </w:pPr>
            <w:r>
              <w:rPr>
                <w:rFonts w:ascii="Times New Roman" w:hAnsi="Times New Roman"/>
                <w:sz w:val="24"/>
                <w:szCs w:val="24"/>
              </w:rPr>
              <w:t>1.10±0.06 cd</w:t>
            </w:r>
          </w:p>
        </w:tc>
        <w:tc>
          <w:tcPr>
            <w:tcW w:w="1440" w:type="dxa"/>
          </w:tcPr>
          <w:p w14:paraId="2AA35D21" w14:textId="77777777" w:rsidR="005F0DC4" w:rsidRDefault="007F0E9E">
            <w:pPr>
              <w:rPr>
                <w:rFonts w:ascii="Times New Roman" w:hAnsi="Times New Roman"/>
                <w:sz w:val="24"/>
                <w:szCs w:val="24"/>
              </w:rPr>
            </w:pPr>
            <w:r>
              <w:rPr>
                <w:rFonts w:ascii="Times New Roman" w:hAnsi="Times New Roman"/>
                <w:sz w:val="24"/>
                <w:szCs w:val="24"/>
              </w:rPr>
              <w:t>10.45±0.41 e</w:t>
            </w:r>
          </w:p>
        </w:tc>
        <w:tc>
          <w:tcPr>
            <w:tcW w:w="1548" w:type="dxa"/>
          </w:tcPr>
          <w:p w14:paraId="5838907B" w14:textId="77777777" w:rsidR="005F0DC4" w:rsidRDefault="007F0E9E">
            <w:pPr>
              <w:rPr>
                <w:rFonts w:ascii="Times New Roman" w:hAnsi="Times New Roman"/>
                <w:sz w:val="24"/>
                <w:szCs w:val="24"/>
              </w:rPr>
            </w:pPr>
            <w:r>
              <w:rPr>
                <w:rFonts w:ascii="Times New Roman" w:hAnsi="Times New Roman"/>
                <w:sz w:val="24"/>
                <w:szCs w:val="24"/>
              </w:rPr>
              <w:t>48.65±2.48 d</w:t>
            </w:r>
          </w:p>
        </w:tc>
      </w:tr>
      <w:tr w:rsidR="005F0DC4" w14:paraId="0BDB2D7B" w14:textId="77777777" w:rsidTr="00EE053D">
        <w:tc>
          <w:tcPr>
            <w:tcW w:w="2830" w:type="dxa"/>
          </w:tcPr>
          <w:p w14:paraId="1259EDAC" w14:textId="77777777" w:rsidR="005F0DC4" w:rsidRDefault="007F0E9E">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7</w:t>
            </w:r>
            <w:r>
              <w:rPr>
                <w:rFonts w:ascii="Times New Roman" w:hAnsi="Times New Roman"/>
                <w:sz w:val="24"/>
                <w:szCs w:val="24"/>
              </w:rPr>
              <w:t xml:space="preserve">-50% RDF + Corm priming with 75% coconut water for 12 </w:t>
            </w:r>
            <w:proofErr w:type="spellStart"/>
            <w:r>
              <w:rPr>
                <w:rFonts w:ascii="Times New Roman" w:hAnsi="Times New Roman"/>
                <w:sz w:val="24"/>
                <w:szCs w:val="24"/>
              </w:rPr>
              <w:t>hrs</w:t>
            </w:r>
            <w:proofErr w:type="spellEnd"/>
            <w:r>
              <w:rPr>
                <w:rFonts w:ascii="Times New Roman" w:hAnsi="Times New Roman"/>
                <w:sz w:val="24"/>
                <w:szCs w:val="24"/>
              </w:rPr>
              <w:t xml:space="preserve"> + two spray of 25% coconut water on plants at 15 day and 30 days stages</w:t>
            </w:r>
          </w:p>
        </w:tc>
        <w:tc>
          <w:tcPr>
            <w:tcW w:w="1058" w:type="dxa"/>
          </w:tcPr>
          <w:p w14:paraId="1EFF97FC" w14:textId="77777777" w:rsidR="005F0DC4" w:rsidRDefault="007F0E9E">
            <w:pPr>
              <w:rPr>
                <w:rFonts w:ascii="Times New Roman" w:hAnsi="Times New Roman"/>
                <w:sz w:val="24"/>
                <w:szCs w:val="24"/>
              </w:rPr>
            </w:pPr>
            <w:r>
              <w:rPr>
                <w:rFonts w:ascii="Times New Roman" w:hAnsi="Times New Roman"/>
                <w:sz w:val="24"/>
                <w:szCs w:val="24"/>
              </w:rPr>
              <w:t>50.85±1.75 cd</w:t>
            </w:r>
          </w:p>
        </w:tc>
        <w:tc>
          <w:tcPr>
            <w:tcW w:w="1350" w:type="dxa"/>
          </w:tcPr>
          <w:p w14:paraId="4E765060" w14:textId="77777777" w:rsidR="005F0DC4" w:rsidRDefault="007F0E9E">
            <w:pPr>
              <w:rPr>
                <w:rFonts w:ascii="Times New Roman" w:hAnsi="Times New Roman"/>
                <w:sz w:val="24"/>
                <w:szCs w:val="24"/>
              </w:rPr>
            </w:pPr>
            <w:r>
              <w:rPr>
                <w:rFonts w:ascii="Times New Roman" w:hAnsi="Times New Roman"/>
                <w:sz w:val="24"/>
                <w:szCs w:val="24"/>
              </w:rPr>
              <w:t>2.30±0.10 c</w:t>
            </w:r>
          </w:p>
        </w:tc>
        <w:tc>
          <w:tcPr>
            <w:tcW w:w="1350" w:type="dxa"/>
          </w:tcPr>
          <w:p w14:paraId="2BF644B3" w14:textId="77777777" w:rsidR="005F0DC4" w:rsidRDefault="007F0E9E">
            <w:pPr>
              <w:rPr>
                <w:rFonts w:ascii="Times New Roman" w:hAnsi="Times New Roman"/>
                <w:sz w:val="24"/>
                <w:szCs w:val="24"/>
              </w:rPr>
            </w:pPr>
            <w:r>
              <w:rPr>
                <w:rFonts w:ascii="Times New Roman" w:hAnsi="Times New Roman"/>
                <w:sz w:val="24"/>
                <w:szCs w:val="24"/>
              </w:rPr>
              <w:t xml:space="preserve">1.12±0.02 </w:t>
            </w:r>
            <w:proofErr w:type="spellStart"/>
            <w:r>
              <w:rPr>
                <w:rFonts w:ascii="Times New Roman" w:hAnsi="Times New Roman"/>
                <w:sz w:val="24"/>
                <w:szCs w:val="24"/>
              </w:rPr>
              <w:t>bcd</w:t>
            </w:r>
            <w:proofErr w:type="spellEnd"/>
          </w:p>
        </w:tc>
        <w:tc>
          <w:tcPr>
            <w:tcW w:w="1440" w:type="dxa"/>
          </w:tcPr>
          <w:p w14:paraId="21B647FE" w14:textId="77777777" w:rsidR="005F0DC4" w:rsidRDefault="007F0E9E">
            <w:pPr>
              <w:rPr>
                <w:rFonts w:ascii="Times New Roman" w:hAnsi="Times New Roman"/>
                <w:sz w:val="24"/>
                <w:szCs w:val="24"/>
              </w:rPr>
            </w:pPr>
            <w:r>
              <w:rPr>
                <w:rFonts w:ascii="Times New Roman" w:hAnsi="Times New Roman"/>
                <w:sz w:val="24"/>
                <w:szCs w:val="24"/>
              </w:rPr>
              <w:t>11.25±0.32 de</w:t>
            </w:r>
          </w:p>
        </w:tc>
        <w:tc>
          <w:tcPr>
            <w:tcW w:w="1548" w:type="dxa"/>
          </w:tcPr>
          <w:p w14:paraId="68F4A141" w14:textId="77777777" w:rsidR="005F0DC4" w:rsidRDefault="007F0E9E">
            <w:pPr>
              <w:rPr>
                <w:rFonts w:ascii="Times New Roman" w:hAnsi="Times New Roman"/>
                <w:sz w:val="24"/>
                <w:szCs w:val="24"/>
              </w:rPr>
            </w:pPr>
            <w:r>
              <w:rPr>
                <w:rFonts w:ascii="Times New Roman" w:hAnsi="Times New Roman"/>
                <w:sz w:val="24"/>
                <w:szCs w:val="24"/>
              </w:rPr>
              <w:t>51.65±1.97 cd</w:t>
            </w:r>
          </w:p>
        </w:tc>
      </w:tr>
      <w:tr w:rsidR="005F0DC4" w14:paraId="314D1A9C" w14:textId="77777777" w:rsidTr="00EE053D">
        <w:tc>
          <w:tcPr>
            <w:tcW w:w="2830" w:type="dxa"/>
          </w:tcPr>
          <w:p w14:paraId="726C8C9D" w14:textId="77777777" w:rsidR="005F0DC4" w:rsidRDefault="007F0E9E">
            <w:pPr>
              <w:rPr>
                <w:rFonts w:ascii="Times New Roman" w:hAnsi="Times New Roman"/>
                <w:sz w:val="24"/>
                <w:szCs w:val="24"/>
              </w:rPr>
            </w:pPr>
            <w:r>
              <w:rPr>
                <w:rFonts w:ascii="Times New Roman" w:hAnsi="Times New Roman"/>
                <w:bCs/>
                <w:color w:val="000000"/>
                <w:sz w:val="24"/>
                <w:szCs w:val="24"/>
              </w:rPr>
              <w:t>SE(m)</w:t>
            </w:r>
          </w:p>
        </w:tc>
        <w:tc>
          <w:tcPr>
            <w:tcW w:w="1058" w:type="dxa"/>
          </w:tcPr>
          <w:p w14:paraId="495B676F" w14:textId="77777777" w:rsidR="005F0DC4" w:rsidRDefault="007F0E9E">
            <w:pPr>
              <w:rPr>
                <w:rFonts w:ascii="Times New Roman" w:hAnsi="Times New Roman"/>
                <w:sz w:val="24"/>
                <w:szCs w:val="24"/>
              </w:rPr>
            </w:pPr>
            <w:r>
              <w:rPr>
                <w:rFonts w:ascii="Times New Roman" w:hAnsi="Times New Roman"/>
                <w:sz w:val="24"/>
                <w:szCs w:val="24"/>
              </w:rPr>
              <w:t>2.92</w:t>
            </w:r>
          </w:p>
        </w:tc>
        <w:tc>
          <w:tcPr>
            <w:tcW w:w="1350" w:type="dxa"/>
          </w:tcPr>
          <w:p w14:paraId="529BE5AA" w14:textId="77777777" w:rsidR="005F0DC4" w:rsidRDefault="007F0E9E">
            <w:pPr>
              <w:rPr>
                <w:rFonts w:ascii="Times New Roman" w:hAnsi="Times New Roman"/>
                <w:sz w:val="24"/>
                <w:szCs w:val="24"/>
              </w:rPr>
            </w:pPr>
            <w:r>
              <w:rPr>
                <w:rFonts w:ascii="Times New Roman" w:hAnsi="Times New Roman"/>
                <w:sz w:val="24"/>
                <w:szCs w:val="24"/>
              </w:rPr>
              <w:t>0.09</w:t>
            </w:r>
          </w:p>
        </w:tc>
        <w:tc>
          <w:tcPr>
            <w:tcW w:w="1350" w:type="dxa"/>
          </w:tcPr>
          <w:p w14:paraId="41C68A84" w14:textId="77777777" w:rsidR="005F0DC4" w:rsidRDefault="007F0E9E">
            <w:pPr>
              <w:rPr>
                <w:rFonts w:ascii="Times New Roman" w:hAnsi="Times New Roman"/>
                <w:sz w:val="24"/>
                <w:szCs w:val="24"/>
              </w:rPr>
            </w:pPr>
            <w:r>
              <w:rPr>
                <w:rFonts w:ascii="Times New Roman" w:hAnsi="Times New Roman"/>
                <w:sz w:val="24"/>
                <w:szCs w:val="24"/>
              </w:rPr>
              <w:t>0.07</w:t>
            </w:r>
          </w:p>
        </w:tc>
        <w:tc>
          <w:tcPr>
            <w:tcW w:w="1440" w:type="dxa"/>
          </w:tcPr>
          <w:p w14:paraId="78BCC909" w14:textId="77777777" w:rsidR="005F0DC4" w:rsidRDefault="007F0E9E">
            <w:pPr>
              <w:rPr>
                <w:rFonts w:ascii="Times New Roman" w:hAnsi="Times New Roman"/>
                <w:sz w:val="24"/>
                <w:szCs w:val="24"/>
              </w:rPr>
            </w:pPr>
            <w:r>
              <w:rPr>
                <w:rFonts w:ascii="Times New Roman" w:hAnsi="Times New Roman"/>
                <w:sz w:val="24"/>
                <w:szCs w:val="24"/>
              </w:rPr>
              <w:t>0.58</w:t>
            </w:r>
          </w:p>
        </w:tc>
        <w:tc>
          <w:tcPr>
            <w:tcW w:w="1548" w:type="dxa"/>
          </w:tcPr>
          <w:p w14:paraId="7D794B5D" w14:textId="77777777" w:rsidR="005F0DC4" w:rsidRDefault="007F0E9E">
            <w:pPr>
              <w:rPr>
                <w:rFonts w:ascii="Times New Roman" w:hAnsi="Times New Roman"/>
                <w:sz w:val="24"/>
                <w:szCs w:val="24"/>
              </w:rPr>
            </w:pPr>
            <w:r>
              <w:rPr>
                <w:rFonts w:ascii="Times New Roman" w:hAnsi="Times New Roman"/>
                <w:sz w:val="24"/>
                <w:szCs w:val="24"/>
              </w:rPr>
              <w:t>3.04</w:t>
            </w:r>
          </w:p>
        </w:tc>
      </w:tr>
      <w:tr w:rsidR="005F0DC4" w14:paraId="01F6AED8" w14:textId="77777777" w:rsidTr="00EE053D">
        <w:tc>
          <w:tcPr>
            <w:tcW w:w="2830" w:type="dxa"/>
          </w:tcPr>
          <w:p w14:paraId="760294D5" w14:textId="77777777" w:rsidR="005F0DC4" w:rsidRDefault="007F0E9E">
            <w:pPr>
              <w:rPr>
                <w:rFonts w:ascii="Times New Roman" w:hAnsi="Times New Roman"/>
                <w:b/>
                <w:sz w:val="24"/>
                <w:szCs w:val="24"/>
              </w:rPr>
            </w:pPr>
            <w:r>
              <w:rPr>
                <w:rFonts w:ascii="Times New Roman" w:hAnsi="Times New Roman"/>
                <w:b/>
                <w:sz w:val="24"/>
                <w:szCs w:val="24"/>
              </w:rPr>
              <w:t>CD</w:t>
            </w:r>
          </w:p>
        </w:tc>
        <w:tc>
          <w:tcPr>
            <w:tcW w:w="1058" w:type="dxa"/>
          </w:tcPr>
          <w:p w14:paraId="5C149821" w14:textId="77777777" w:rsidR="005F0DC4" w:rsidRDefault="007F0E9E">
            <w:pPr>
              <w:rPr>
                <w:rFonts w:ascii="Times New Roman" w:hAnsi="Times New Roman"/>
                <w:sz w:val="24"/>
                <w:szCs w:val="24"/>
              </w:rPr>
            </w:pPr>
            <w:r>
              <w:rPr>
                <w:rFonts w:ascii="Times New Roman" w:hAnsi="Times New Roman"/>
                <w:sz w:val="24"/>
                <w:szCs w:val="24"/>
              </w:rPr>
              <w:t>6.36</w:t>
            </w:r>
          </w:p>
        </w:tc>
        <w:tc>
          <w:tcPr>
            <w:tcW w:w="1350" w:type="dxa"/>
          </w:tcPr>
          <w:p w14:paraId="1D1D016F" w14:textId="77777777" w:rsidR="005F0DC4" w:rsidRDefault="007F0E9E">
            <w:pPr>
              <w:rPr>
                <w:rFonts w:ascii="Times New Roman" w:hAnsi="Times New Roman"/>
                <w:sz w:val="24"/>
                <w:szCs w:val="24"/>
              </w:rPr>
            </w:pPr>
            <w:r>
              <w:rPr>
                <w:rFonts w:ascii="Times New Roman" w:hAnsi="Times New Roman"/>
                <w:sz w:val="24"/>
                <w:szCs w:val="24"/>
              </w:rPr>
              <w:t>0.27</w:t>
            </w:r>
          </w:p>
        </w:tc>
        <w:tc>
          <w:tcPr>
            <w:tcW w:w="1350" w:type="dxa"/>
          </w:tcPr>
          <w:p w14:paraId="7CCCB1D3" w14:textId="77777777" w:rsidR="005F0DC4" w:rsidRDefault="007F0E9E">
            <w:pPr>
              <w:rPr>
                <w:rFonts w:ascii="Times New Roman" w:hAnsi="Times New Roman"/>
                <w:sz w:val="24"/>
                <w:szCs w:val="24"/>
              </w:rPr>
            </w:pPr>
            <w:r>
              <w:rPr>
                <w:rFonts w:ascii="Times New Roman" w:hAnsi="Times New Roman"/>
                <w:sz w:val="24"/>
                <w:szCs w:val="24"/>
              </w:rPr>
              <w:t>0.22</w:t>
            </w:r>
          </w:p>
        </w:tc>
        <w:tc>
          <w:tcPr>
            <w:tcW w:w="1440" w:type="dxa"/>
          </w:tcPr>
          <w:p w14:paraId="53CED5D3" w14:textId="77777777" w:rsidR="005F0DC4" w:rsidRDefault="007F0E9E">
            <w:pPr>
              <w:rPr>
                <w:rFonts w:ascii="Times New Roman" w:hAnsi="Times New Roman"/>
                <w:sz w:val="24"/>
                <w:szCs w:val="24"/>
              </w:rPr>
            </w:pPr>
            <w:r>
              <w:rPr>
                <w:rFonts w:ascii="Times New Roman" w:hAnsi="Times New Roman"/>
                <w:sz w:val="24"/>
                <w:szCs w:val="24"/>
              </w:rPr>
              <w:t>1.78</w:t>
            </w:r>
          </w:p>
        </w:tc>
        <w:tc>
          <w:tcPr>
            <w:tcW w:w="1548" w:type="dxa"/>
          </w:tcPr>
          <w:p w14:paraId="40EDE854" w14:textId="77777777" w:rsidR="005F0DC4" w:rsidRDefault="007F0E9E">
            <w:pPr>
              <w:rPr>
                <w:rFonts w:ascii="Times New Roman" w:hAnsi="Times New Roman"/>
                <w:sz w:val="24"/>
                <w:szCs w:val="24"/>
              </w:rPr>
            </w:pPr>
            <w:r>
              <w:rPr>
                <w:rFonts w:ascii="Times New Roman" w:hAnsi="Times New Roman"/>
                <w:sz w:val="24"/>
                <w:szCs w:val="24"/>
              </w:rPr>
              <w:t>9.31</w:t>
            </w:r>
          </w:p>
        </w:tc>
      </w:tr>
    </w:tbl>
    <w:p w14:paraId="66586BAF" w14:textId="77777777" w:rsidR="00C64967" w:rsidRDefault="00C64967">
      <w:pPr>
        <w:tabs>
          <w:tab w:val="left" w:pos="1080"/>
        </w:tabs>
        <w:jc w:val="both"/>
        <w:rPr>
          <w:rFonts w:ascii="Arial" w:hAnsi="Arial"/>
          <w:b/>
          <w:bCs/>
          <w:lang w:val="en-IN"/>
        </w:rPr>
      </w:pPr>
    </w:p>
    <w:p w14:paraId="05D94751" w14:textId="77777777" w:rsidR="00EE053D" w:rsidRDefault="00EE053D">
      <w:pPr>
        <w:tabs>
          <w:tab w:val="left" w:pos="1080"/>
        </w:tabs>
        <w:jc w:val="both"/>
        <w:rPr>
          <w:rFonts w:ascii="Arial" w:hAnsi="Arial"/>
          <w:b/>
          <w:bCs/>
          <w:lang w:val="en-IN"/>
        </w:rPr>
      </w:pPr>
    </w:p>
    <w:p w14:paraId="4F1672ED" w14:textId="5250EE78" w:rsidR="005F0DC4" w:rsidRDefault="007F0E9E">
      <w:pPr>
        <w:tabs>
          <w:tab w:val="left" w:pos="1080"/>
        </w:tabs>
        <w:jc w:val="both"/>
        <w:rPr>
          <w:rFonts w:ascii="Arial" w:hAnsi="Arial"/>
          <w:b/>
          <w:lang w:val="en-IN"/>
        </w:rPr>
      </w:pPr>
      <w:bookmarkStart w:id="0" w:name="_GoBack"/>
      <w:r>
        <w:rPr>
          <w:rFonts w:ascii="Arial" w:hAnsi="Arial"/>
          <w:b/>
          <w:bCs/>
          <w:lang w:val="en-IN"/>
        </w:rPr>
        <w:t>Table</w:t>
      </w:r>
      <w:bookmarkEnd w:id="0"/>
      <w:r>
        <w:rPr>
          <w:rFonts w:ascii="Arial" w:hAnsi="Arial"/>
          <w:b/>
          <w:bCs/>
          <w:lang w:val="en-IN"/>
        </w:rPr>
        <w:t xml:space="preserve"> 2.</w:t>
      </w:r>
      <w:r>
        <w:rPr>
          <w:rFonts w:ascii="Arial" w:hAnsi="Arial"/>
          <w:b/>
          <w:lang w:val="en-IN"/>
        </w:rPr>
        <w:t xml:space="preserve"> Effect of different floral preservative on post-harvest life of Gladiolus (</w:t>
      </w:r>
      <w:r>
        <w:rPr>
          <w:rFonts w:ascii="Arial" w:hAnsi="Arial"/>
          <w:b/>
          <w:i/>
          <w:iCs/>
          <w:lang w:val="en-IN"/>
        </w:rPr>
        <w:t xml:space="preserve">Gladiolus </w:t>
      </w:r>
      <w:proofErr w:type="spellStart"/>
      <w:r>
        <w:rPr>
          <w:rFonts w:ascii="Arial" w:hAnsi="Arial"/>
          <w:b/>
          <w:i/>
          <w:iCs/>
          <w:lang w:val="en-IN"/>
        </w:rPr>
        <w:t>hybridus</w:t>
      </w:r>
      <w:proofErr w:type="spellEnd"/>
      <w:r>
        <w:rPr>
          <w:rFonts w:ascii="Arial" w:hAnsi="Arial"/>
          <w:b/>
          <w:lang w:val="en-IN"/>
        </w:rPr>
        <w:t xml:space="preserve"> </w:t>
      </w:r>
      <w:proofErr w:type="spellStart"/>
      <w:r>
        <w:rPr>
          <w:rFonts w:ascii="Arial" w:hAnsi="Arial"/>
          <w:b/>
          <w:lang w:val="en-IN"/>
        </w:rPr>
        <w:t>Hort</w:t>
      </w:r>
      <w:proofErr w:type="spellEnd"/>
      <w:r>
        <w:rPr>
          <w:rFonts w:ascii="Arial" w:hAnsi="Arial"/>
          <w:b/>
          <w:lang w:val="en-IN"/>
        </w:rPr>
        <w:t xml:space="preserve">) cv. </w:t>
      </w:r>
      <w:proofErr w:type="spellStart"/>
      <w:r>
        <w:rPr>
          <w:rFonts w:ascii="Arial" w:hAnsi="Arial"/>
          <w:b/>
          <w:lang w:val="en-IN"/>
        </w:rPr>
        <w:t>Pusa</w:t>
      </w:r>
      <w:proofErr w:type="spellEnd"/>
      <w:r>
        <w:rPr>
          <w:rFonts w:ascii="Arial" w:hAnsi="Arial"/>
          <w:b/>
          <w:lang w:val="en-IN"/>
        </w:rPr>
        <w:t xml:space="preserve"> Chandni </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559"/>
        <w:gridCol w:w="1276"/>
        <w:gridCol w:w="1477"/>
        <w:gridCol w:w="1506"/>
      </w:tblGrid>
      <w:tr w:rsidR="005F0DC4" w14:paraId="6EAA97C6" w14:textId="77777777">
        <w:trPr>
          <w:trHeight w:val="891"/>
        </w:trPr>
        <w:tc>
          <w:tcPr>
            <w:tcW w:w="2093" w:type="dxa"/>
            <w:tcBorders>
              <w:top w:val="single" w:sz="4" w:space="0" w:color="auto"/>
              <w:left w:val="single" w:sz="4" w:space="0" w:color="auto"/>
              <w:bottom w:val="single" w:sz="4" w:space="0" w:color="auto"/>
              <w:right w:val="single" w:sz="4" w:space="0" w:color="auto"/>
            </w:tcBorders>
            <w:vAlign w:val="center"/>
          </w:tcPr>
          <w:p w14:paraId="55F3739A" w14:textId="77777777" w:rsidR="005F0DC4" w:rsidRDefault="007F0E9E">
            <w:pPr>
              <w:jc w:val="center"/>
              <w:rPr>
                <w:rFonts w:ascii="Arial" w:hAnsi="Arial" w:cs="Arial"/>
                <w:b/>
                <w:bCs/>
              </w:rPr>
            </w:pPr>
            <w:r>
              <w:rPr>
                <w:rFonts w:ascii="Arial" w:hAnsi="Arial" w:cs="Arial"/>
                <w:b/>
                <w:bCs/>
              </w:rPr>
              <w:t>Treatments</w:t>
            </w:r>
          </w:p>
        </w:tc>
        <w:tc>
          <w:tcPr>
            <w:tcW w:w="1276" w:type="dxa"/>
            <w:tcBorders>
              <w:top w:val="single" w:sz="4" w:space="0" w:color="auto"/>
              <w:left w:val="single" w:sz="4" w:space="0" w:color="auto"/>
              <w:bottom w:val="single" w:sz="4" w:space="0" w:color="auto"/>
              <w:right w:val="single" w:sz="4" w:space="0" w:color="auto"/>
            </w:tcBorders>
            <w:vAlign w:val="center"/>
          </w:tcPr>
          <w:p w14:paraId="77A6B5D5" w14:textId="77777777" w:rsidR="005F0DC4" w:rsidRDefault="007F0E9E">
            <w:pPr>
              <w:jc w:val="center"/>
              <w:rPr>
                <w:rFonts w:ascii="Arial" w:hAnsi="Arial" w:cs="Arial"/>
                <w:b/>
                <w:bCs/>
              </w:rPr>
            </w:pPr>
            <w:r>
              <w:rPr>
                <w:rFonts w:ascii="Arial" w:hAnsi="Arial" w:cs="Arial"/>
                <w:b/>
                <w:bCs/>
              </w:rPr>
              <w:t>Vase life (in days)</w:t>
            </w:r>
          </w:p>
        </w:tc>
        <w:tc>
          <w:tcPr>
            <w:tcW w:w="1559" w:type="dxa"/>
            <w:tcBorders>
              <w:top w:val="single" w:sz="4" w:space="0" w:color="auto"/>
              <w:left w:val="single" w:sz="4" w:space="0" w:color="auto"/>
              <w:bottom w:val="single" w:sz="4" w:space="0" w:color="auto"/>
              <w:right w:val="single" w:sz="4" w:space="0" w:color="auto"/>
            </w:tcBorders>
            <w:vAlign w:val="center"/>
          </w:tcPr>
          <w:p w14:paraId="519A92E1" w14:textId="77777777" w:rsidR="005F0DC4" w:rsidRDefault="007F0E9E">
            <w:pPr>
              <w:jc w:val="center"/>
              <w:rPr>
                <w:rFonts w:ascii="Arial" w:hAnsi="Arial" w:cs="Arial"/>
                <w:b/>
                <w:bCs/>
              </w:rPr>
            </w:pPr>
            <w:r>
              <w:rPr>
                <w:rFonts w:ascii="Arial" w:hAnsi="Arial" w:cs="Arial"/>
                <w:b/>
                <w:bCs/>
              </w:rPr>
              <w:t>Maximum size of florets in (cm)</w:t>
            </w:r>
          </w:p>
        </w:tc>
        <w:tc>
          <w:tcPr>
            <w:tcW w:w="1276" w:type="dxa"/>
            <w:tcBorders>
              <w:top w:val="single" w:sz="4" w:space="0" w:color="auto"/>
              <w:left w:val="single" w:sz="4" w:space="0" w:color="auto"/>
              <w:bottom w:val="single" w:sz="4" w:space="0" w:color="auto"/>
              <w:right w:val="single" w:sz="4" w:space="0" w:color="auto"/>
            </w:tcBorders>
            <w:vAlign w:val="center"/>
          </w:tcPr>
          <w:p w14:paraId="3201AE29" w14:textId="77777777" w:rsidR="005F0DC4" w:rsidRDefault="007F0E9E">
            <w:pPr>
              <w:jc w:val="center"/>
              <w:rPr>
                <w:rFonts w:ascii="Arial" w:hAnsi="Arial" w:cs="Arial"/>
                <w:b/>
                <w:bCs/>
              </w:rPr>
            </w:pPr>
            <w:r>
              <w:rPr>
                <w:rFonts w:ascii="Arial" w:hAnsi="Arial" w:cs="Arial"/>
                <w:b/>
                <w:bCs/>
              </w:rPr>
              <w:t>Florets opening (%)</w:t>
            </w:r>
          </w:p>
        </w:tc>
        <w:tc>
          <w:tcPr>
            <w:tcW w:w="1477" w:type="dxa"/>
            <w:tcBorders>
              <w:top w:val="single" w:sz="4" w:space="0" w:color="auto"/>
              <w:left w:val="single" w:sz="4" w:space="0" w:color="auto"/>
              <w:bottom w:val="single" w:sz="4" w:space="0" w:color="auto"/>
              <w:right w:val="single" w:sz="4" w:space="0" w:color="auto"/>
            </w:tcBorders>
            <w:vAlign w:val="center"/>
          </w:tcPr>
          <w:p w14:paraId="05832E5E" w14:textId="77777777" w:rsidR="005F0DC4" w:rsidRDefault="007F0E9E">
            <w:pPr>
              <w:jc w:val="center"/>
              <w:rPr>
                <w:rFonts w:ascii="Arial" w:hAnsi="Arial" w:cs="Arial"/>
                <w:b/>
                <w:bCs/>
              </w:rPr>
            </w:pPr>
            <w:r>
              <w:rPr>
                <w:rFonts w:ascii="Arial" w:hAnsi="Arial" w:cs="Arial"/>
                <w:b/>
                <w:bCs/>
              </w:rPr>
              <w:t>Maximum florets open at one time</w:t>
            </w:r>
          </w:p>
        </w:tc>
        <w:tc>
          <w:tcPr>
            <w:tcW w:w="1506" w:type="dxa"/>
            <w:tcBorders>
              <w:top w:val="single" w:sz="4" w:space="0" w:color="auto"/>
              <w:left w:val="single" w:sz="4" w:space="0" w:color="auto"/>
              <w:bottom w:val="single" w:sz="4" w:space="0" w:color="auto"/>
              <w:right w:val="single" w:sz="4" w:space="0" w:color="auto"/>
            </w:tcBorders>
            <w:vAlign w:val="center"/>
          </w:tcPr>
          <w:p w14:paraId="14968CF7" w14:textId="77777777" w:rsidR="005F0DC4" w:rsidRDefault="007F0E9E">
            <w:pPr>
              <w:jc w:val="center"/>
              <w:rPr>
                <w:rFonts w:ascii="Arial" w:hAnsi="Arial" w:cs="Arial"/>
                <w:b/>
                <w:bCs/>
              </w:rPr>
            </w:pPr>
            <w:r>
              <w:rPr>
                <w:rFonts w:ascii="Arial" w:hAnsi="Arial" w:cs="Arial"/>
                <w:b/>
                <w:bCs/>
              </w:rPr>
              <w:t>Physiological weight loss (%)</w:t>
            </w:r>
          </w:p>
        </w:tc>
      </w:tr>
      <w:tr w:rsidR="005F0DC4" w14:paraId="53FE12F8" w14:textId="77777777">
        <w:trPr>
          <w:trHeight w:val="593"/>
        </w:trPr>
        <w:tc>
          <w:tcPr>
            <w:tcW w:w="2093" w:type="dxa"/>
            <w:tcBorders>
              <w:top w:val="single" w:sz="4" w:space="0" w:color="auto"/>
              <w:left w:val="single" w:sz="4" w:space="0" w:color="auto"/>
              <w:bottom w:val="single" w:sz="4" w:space="0" w:color="auto"/>
              <w:right w:val="single" w:sz="4" w:space="0" w:color="auto"/>
            </w:tcBorders>
            <w:vAlign w:val="center"/>
          </w:tcPr>
          <w:p w14:paraId="218D820A" w14:textId="77777777" w:rsidR="005F0DC4" w:rsidRDefault="007F0E9E">
            <w:pPr>
              <w:jc w:val="center"/>
              <w:rPr>
                <w:rFonts w:ascii="Arial" w:hAnsi="Arial" w:cs="Arial"/>
                <w:b/>
                <w:bCs/>
              </w:rPr>
            </w:pPr>
            <w:r>
              <w:rPr>
                <w:rFonts w:ascii="Arial" w:hAnsi="Arial" w:cs="Arial"/>
                <w:b/>
                <w:bCs/>
              </w:rPr>
              <w:t>T</w:t>
            </w:r>
            <w:r>
              <w:rPr>
                <w:rFonts w:ascii="Arial" w:hAnsi="Arial" w:cs="Arial"/>
                <w:b/>
                <w:bCs/>
                <w:vertAlign w:val="subscript"/>
              </w:rPr>
              <w:t>1</w:t>
            </w:r>
            <w:r>
              <w:rPr>
                <w:rFonts w:ascii="Arial" w:hAnsi="Arial" w:cs="Arial"/>
                <w:b/>
                <w:bCs/>
              </w:rPr>
              <w:t xml:space="preserve">- </w:t>
            </w:r>
            <w:r>
              <w:rPr>
                <w:rFonts w:ascii="Arial" w:hAnsi="Arial" w:cs="Arial"/>
              </w:rPr>
              <w:t>Distilled water</w:t>
            </w:r>
          </w:p>
        </w:tc>
        <w:tc>
          <w:tcPr>
            <w:tcW w:w="1276" w:type="dxa"/>
            <w:tcBorders>
              <w:top w:val="single" w:sz="4" w:space="0" w:color="auto"/>
              <w:left w:val="single" w:sz="4" w:space="0" w:color="auto"/>
              <w:bottom w:val="single" w:sz="4" w:space="0" w:color="auto"/>
              <w:right w:val="single" w:sz="4" w:space="0" w:color="auto"/>
            </w:tcBorders>
            <w:vAlign w:val="center"/>
          </w:tcPr>
          <w:p w14:paraId="4CC27DE4" w14:textId="77777777" w:rsidR="005F0DC4" w:rsidRDefault="007F0E9E">
            <w:pPr>
              <w:jc w:val="center"/>
              <w:rPr>
                <w:rFonts w:ascii="Arial" w:hAnsi="Arial" w:cs="Arial"/>
                <w:color w:val="000000"/>
              </w:rPr>
            </w:pPr>
            <w:r>
              <w:rPr>
                <w:rFonts w:ascii="Arial" w:hAnsi="Arial" w:cs="Arial"/>
                <w:color w:val="000000"/>
              </w:rPr>
              <w:t>7.33</w:t>
            </w:r>
            <w:r>
              <w:rPr>
                <w:rFonts w:ascii="Arial" w:hAnsi="Arial" w:cs="Arial"/>
                <w:b/>
                <w:bCs/>
                <w:color w:val="000000"/>
              </w:rPr>
              <w:t>±</w:t>
            </w:r>
            <w:r>
              <w:rPr>
                <w:rFonts w:ascii="Arial" w:hAnsi="Arial" w:cs="Arial"/>
                <w:color w:val="000000"/>
              </w:rPr>
              <w:t>0.18 d</w:t>
            </w:r>
          </w:p>
        </w:tc>
        <w:tc>
          <w:tcPr>
            <w:tcW w:w="1559" w:type="dxa"/>
            <w:tcBorders>
              <w:top w:val="single" w:sz="4" w:space="0" w:color="auto"/>
              <w:left w:val="single" w:sz="4" w:space="0" w:color="auto"/>
              <w:bottom w:val="single" w:sz="4" w:space="0" w:color="auto"/>
              <w:right w:val="single" w:sz="4" w:space="0" w:color="auto"/>
            </w:tcBorders>
            <w:vAlign w:val="center"/>
          </w:tcPr>
          <w:p w14:paraId="5C647FE0" w14:textId="77777777" w:rsidR="005F0DC4" w:rsidRDefault="007F0E9E">
            <w:pPr>
              <w:jc w:val="center"/>
              <w:rPr>
                <w:rFonts w:ascii="Arial" w:hAnsi="Arial" w:cs="Arial"/>
                <w:color w:val="000000"/>
              </w:rPr>
            </w:pPr>
            <w:r>
              <w:rPr>
                <w:rFonts w:ascii="Arial" w:hAnsi="Arial" w:cs="Arial"/>
                <w:color w:val="000000"/>
              </w:rPr>
              <w:t>7.75</w:t>
            </w:r>
            <w:r>
              <w:rPr>
                <w:rFonts w:ascii="Arial" w:hAnsi="Arial" w:cs="Arial"/>
                <w:b/>
                <w:bCs/>
                <w:color w:val="000000"/>
              </w:rPr>
              <w:t>±</w:t>
            </w:r>
            <w:r>
              <w:rPr>
                <w:rFonts w:ascii="Arial" w:hAnsi="Arial" w:cs="Arial"/>
                <w:color w:val="000000"/>
              </w:rPr>
              <w:t>0.02 b</w:t>
            </w:r>
          </w:p>
        </w:tc>
        <w:tc>
          <w:tcPr>
            <w:tcW w:w="1276" w:type="dxa"/>
            <w:tcBorders>
              <w:top w:val="single" w:sz="4" w:space="0" w:color="auto"/>
              <w:left w:val="single" w:sz="4" w:space="0" w:color="auto"/>
              <w:bottom w:val="single" w:sz="4" w:space="0" w:color="auto"/>
              <w:right w:val="single" w:sz="4" w:space="0" w:color="auto"/>
            </w:tcBorders>
            <w:vAlign w:val="center"/>
          </w:tcPr>
          <w:p w14:paraId="168A8B5F" w14:textId="77777777" w:rsidR="005F0DC4" w:rsidRDefault="007F0E9E">
            <w:pPr>
              <w:jc w:val="center"/>
              <w:rPr>
                <w:rFonts w:ascii="Arial" w:hAnsi="Arial" w:cs="Arial"/>
                <w:color w:val="000000"/>
              </w:rPr>
            </w:pPr>
            <w:r>
              <w:rPr>
                <w:rFonts w:ascii="Arial" w:hAnsi="Arial" w:cs="Arial"/>
                <w:color w:val="000000"/>
              </w:rPr>
              <w:t>55.35</w:t>
            </w:r>
            <w:r>
              <w:rPr>
                <w:rFonts w:ascii="Arial" w:hAnsi="Arial" w:cs="Arial"/>
                <w:b/>
                <w:bCs/>
                <w:color w:val="000000"/>
              </w:rPr>
              <w:t>±</w:t>
            </w:r>
            <w:r>
              <w:rPr>
                <w:rFonts w:ascii="Arial" w:hAnsi="Arial" w:cs="Arial"/>
                <w:color w:val="000000"/>
              </w:rPr>
              <w:t>0.09 d</w:t>
            </w:r>
          </w:p>
        </w:tc>
        <w:tc>
          <w:tcPr>
            <w:tcW w:w="1477" w:type="dxa"/>
            <w:tcBorders>
              <w:top w:val="single" w:sz="4" w:space="0" w:color="auto"/>
              <w:left w:val="single" w:sz="4" w:space="0" w:color="auto"/>
              <w:bottom w:val="single" w:sz="4" w:space="0" w:color="auto"/>
              <w:right w:val="single" w:sz="4" w:space="0" w:color="auto"/>
            </w:tcBorders>
            <w:vAlign w:val="center"/>
          </w:tcPr>
          <w:p w14:paraId="5C116A91" w14:textId="77777777" w:rsidR="005F0DC4" w:rsidRDefault="007F0E9E">
            <w:pPr>
              <w:jc w:val="center"/>
              <w:rPr>
                <w:rFonts w:ascii="Arial" w:hAnsi="Arial" w:cs="Arial"/>
                <w:color w:val="000000"/>
              </w:rPr>
            </w:pPr>
            <w:r>
              <w:rPr>
                <w:rFonts w:ascii="Arial" w:hAnsi="Arial" w:cs="Arial"/>
                <w:color w:val="000000"/>
              </w:rPr>
              <w:t>3.00</w:t>
            </w:r>
            <w:r>
              <w:rPr>
                <w:rFonts w:ascii="Arial" w:hAnsi="Arial" w:cs="Arial"/>
                <w:b/>
                <w:bCs/>
                <w:color w:val="000000"/>
              </w:rPr>
              <w:t>±</w:t>
            </w:r>
            <w:r>
              <w:rPr>
                <w:rFonts w:ascii="Arial" w:hAnsi="Arial" w:cs="Arial"/>
                <w:color w:val="000000"/>
              </w:rPr>
              <w:t>0.05 e</w:t>
            </w:r>
          </w:p>
        </w:tc>
        <w:tc>
          <w:tcPr>
            <w:tcW w:w="1506" w:type="dxa"/>
            <w:tcBorders>
              <w:top w:val="single" w:sz="4" w:space="0" w:color="auto"/>
              <w:left w:val="single" w:sz="4" w:space="0" w:color="auto"/>
              <w:bottom w:val="single" w:sz="4" w:space="0" w:color="auto"/>
              <w:right w:val="single" w:sz="4" w:space="0" w:color="auto"/>
            </w:tcBorders>
            <w:vAlign w:val="center"/>
          </w:tcPr>
          <w:p w14:paraId="23321937" w14:textId="77777777" w:rsidR="005F0DC4" w:rsidRDefault="007F0E9E">
            <w:pPr>
              <w:jc w:val="center"/>
              <w:rPr>
                <w:rFonts w:ascii="Arial" w:hAnsi="Arial" w:cs="Arial"/>
                <w:color w:val="000000"/>
              </w:rPr>
            </w:pPr>
            <w:r>
              <w:rPr>
                <w:rFonts w:ascii="Arial" w:hAnsi="Arial" w:cs="Arial"/>
                <w:color w:val="000000"/>
              </w:rPr>
              <w:t>24.53</w:t>
            </w:r>
            <w:r>
              <w:rPr>
                <w:rFonts w:ascii="Arial" w:hAnsi="Arial" w:cs="Arial"/>
                <w:b/>
                <w:bCs/>
                <w:color w:val="000000"/>
              </w:rPr>
              <w:t>±</w:t>
            </w:r>
            <w:r>
              <w:rPr>
                <w:rFonts w:ascii="Arial" w:hAnsi="Arial" w:cs="Arial"/>
                <w:color w:val="000000"/>
              </w:rPr>
              <w:t>0.14 a</w:t>
            </w:r>
          </w:p>
        </w:tc>
      </w:tr>
      <w:tr w:rsidR="005F0DC4" w14:paraId="107E9E2A" w14:textId="77777777">
        <w:trPr>
          <w:trHeight w:val="580"/>
        </w:trPr>
        <w:tc>
          <w:tcPr>
            <w:tcW w:w="2093" w:type="dxa"/>
            <w:tcBorders>
              <w:top w:val="single" w:sz="4" w:space="0" w:color="auto"/>
              <w:left w:val="single" w:sz="4" w:space="0" w:color="auto"/>
              <w:bottom w:val="single" w:sz="4" w:space="0" w:color="auto"/>
              <w:right w:val="single" w:sz="4" w:space="0" w:color="auto"/>
            </w:tcBorders>
            <w:vAlign w:val="center"/>
          </w:tcPr>
          <w:p w14:paraId="552A9294" w14:textId="77777777" w:rsidR="005F0DC4" w:rsidRDefault="007F0E9E">
            <w:pPr>
              <w:jc w:val="center"/>
              <w:rPr>
                <w:rFonts w:ascii="Arial" w:hAnsi="Arial" w:cs="Arial"/>
                <w:b/>
                <w:bCs/>
              </w:rPr>
            </w:pPr>
            <w:r>
              <w:rPr>
                <w:rFonts w:ascii="Arial" w:hAnsi="Arial" w:cs="Arial"/>
                <w:b/>
                <w:bCs/>
              </w:rPr>
              <w:t>T</w:t>
            </w:r>
            <w:r>
              <w:rPr>
                <w:rFonts w:ascii="Arial" w:hAnsi="Arial" w:cs="Arial"/>
                <w:b/>
                <w:bCs/>
                <w:vertAlign w:val="subscript"/>
              </w:rPr>
              <w:t>2</w:t>
            </w:r>
            <w:r>
              <w:rPr>
                <w:rFonts w:ascii="Arial" w:hAnsi="Arial" w:cs="Arial"/>
                <w:b/>
                <w:bCs/>
              </w:rPr>
              <w:t>-</w:t>
            </w:r>
            <w:r>
              <w:rPr>
                <w:rFonts w:ascii="Arial" w:hAnsi="Arial" w:cs="Arial"/>
              </w:rPr>
              <w:t xml:space="preserve"> 75% Coconut water + 25% distilled water + 2% sucrose</w:t>
            </w:r>
          </w:p>
        </w:tc>
        <w:tc>
          <w:tcPr>
            <w:tcW w:w="1276" w:type="dxa"/>
            <w:tcBorders>
              <w:top w:val="single" w:sz="4" w:space="0" w:color="auto"/>
              <w:left w:val="single" w:sz="4" w:space="0" w:color="auto"/>
              <w:bottom w:val="single" w:sz="4" w:space="0" w:color="auto"/>
              <w:right w:val="single" w:sz="4" w:space="0" w:color="auto"/>
            </w:tcBorders>
            <w:vAlign w:val="center"/>
          </w:tcPr>
          <w:p w14:paraId="5D46137A" w14:textId="77777777" w:rsidR="005F0DC4" w:rsidRDefault="007F0E9E">
            <w:pPr>
              <w:jc w:val="center"/>
              <w:rPr>
                <w:rFonts w:ascii="Arial" w:hAnsi="Arial" w:cs="Arial"/>
                <w:color w:val="000000"/>
              </w:rPr>
            </w:pPr>
            <w:r>
              <w:rPr>
                <w:rFonts w:ascii="Arial" w:hAnsi="Arial" w:cs="Arial"/>
                <w:color w:val="000000"/>
              </w:rPr>
              <w:t>6.33±0.05 e</w:t>
            </w:r>
          </w:p>
        </w:tc>
        <w:tc>
          <w:tcPr>
            <w:tcW w:w="1559" w:type="dxa"/>
            <w:tcBorders>
              <w:top w:val="single" w:sz="4" w:space="0" w:color="auto"/>
              <w:left w:val="single" w:sz="4" w:space="0" w:color="auto"/>
              <w:bottom w:val="single" w:sz="4" w:space="0" w:color="auto"/>
              <w:right w:val="single" w:sz="4" w:space="0" w:color="auto"/>
            </w:tcBorders>
            <w:vAlign w:val="center"/>
          </w:tcPr>
          <w:p w14:paraId="646615BF" w14:textId="77777777" w:rsidR="005F0DC4" w:rsidRDefault="007F0E9E">
            <w:pPr>
              <w:jc w:val="center"/>
              <w:rPr>
                <w:rFonts w:ascii="Arial" w:hAnsi="Arial" w:cs="Arial"/>
                <w:color w:val="000000"/>
              </w:rPr>
            </w:pPr>
            <w:r>
              <w:rPr>
                <w:rFonts w:ascii="Arial" w:hAnsi="Arial" w:cs="Arial"/>
                <w:color w:val="000000"/>
              </w:rPr>
              <w:t>8.03</w:t>
            </w:r>
            <w:r>
              <w:rPr>
                <w:rFonts w:ascii="Arial" w:hAnsi="Arial" w:cs="Arial"/>
                <w:b/>
                <w:bCs/>
                <w:color w:val="000000"/>
              </w:rPr>
              <w:t>±</w:t>
            </w:r>
            <w:r>
              <w:rPr>
                <w:rFonts w:ascii="Arial" w:hAnsi="Arial" w:cs="Arial"/>
                <w:color w:val="000000"/>
              </w:rPr>
              <w:t>0.10 b</w:t>
            </w:r>
          </w:p>
        </w:tc>
        <w:tc>
          <w:tcPr>
            <w:tcW w:w="1276" w:type="dxa"/>
            <w:tcBorders>
              <w:top w:val="single" w:sz="4" w:space="0" w:color="auto"/>
              <w:left w:val="single" w:sz="4" w:space="0" w:color="auto"/>
              <w:bottom w:val="single" w:sz="4" w:space="0" w:color="auto"/>
              <w:right w:val="single" w:sz="4" w:space="0" w:color="auto"/>
            </w:tcBorders>
            <w:vAlign w:val="center"/>
          </w:tcPr>
          <w:p w14:paraId="3B5D25D7" w14:textId="77777777" w:rsidR="005F0DC4" w:rsidRDefault="007F0E9E">
            <w:pPr>
              <w:jc w:val="center"/>
              <w:rPr>
                <w:rFonts w:ascii="Arial" w:hAnsi="Arial" w:cs="Arial"/>
                <w:color w:val="000000"/>
              </w:rPr>
            </w:pPr>
            <w:r>
              <w:rPr>
                <w:rFonts w:ascii="Arial" w:hAnsi="Arial" w:cs="Arial"/>
                <w:color w:val="000000"/>
              </w:rPr>
              <w:t>59.37</w:t>
            </w:r>
            <w:r>
              <w:rPr>
                <w:rFonts w:ascii="Arial" w:hAnsi="Arial" w:cs="Arial"/>
                <w:b/>
                <w:bCs/>
                <w:color w:val="000000"/>
              </w:rPr>
              <w:t>±</w:t>
            </w:r>
            <w:r>
              <w:rPr>
                <w:rFonts w:ascii="Arial" w:hAnsi="Arial" w:cs="Arial"/>
                <w:color w:val="000000"/>
              </w:rPr>
              <w:t>0.49 c</w:t>
            </w:r>
          </w:p>
        </w:tc>
        <w:tc>
          <w:tcPr>
            <w:tcW w:w="1477" w:type="dxa"/>
            <w:tcBorders>
              <w:top w:val="single" w:sz="4" w:space="0" w:color="auto"/>
              <w:left w:val="single" w:sz="4" w:space="0" w:color="auto"/>
              <w:bottom w:val="single" w:sz="4" w:space="0" w:color="auto"/>
              <w:right w:val="single" w:sz="4" w:space="0" w:color="auto"/>
            </w:tcBorders>
            <w:vAlign w:val="center"/>
          </w:tcPr>
          <w:p w14:paraId="7F8180B1" w14:textId="77777777" w:rsidR="005F0DC4" w:rsidRDefault="007F0E9E">
            <w:pPr>
              <w:jc w:val="center"/>
              <w:rPr>
                <w:rFonts w:ascii="Arial" w:hAnsi="Arial" w:cs="Arial"/>
                <w:color w:val="000000"/>
              </w:rPr>
            </w:pPr>
            <w:r>
              <w:rPr>
                <w:rFonts w:ascii="Arial" w:hAnsi="Arial" w:cs="Arial"/>
                <w:color w:val="000000"/>
              </w:rPr>
              <w:t>3.67</w:t>
            </w:r>
            <w:r>
              <w:rPr>
                <w:rFonts w:ascii="Arial" w:hAnsi="Arial" w:cs="Arial"/>
                <w:b/>
                <w:bCs/>
                <w:color w:val="000000"/>
              </w:rPr>
              <w:t>±</w:t>
            </w:r>
            <w:r>
              <w:rPr>
                <w:rFonts w:ascii="Arial" w:hAnsi="Arial" w:cs="Arial"/>
                <w:color w:val="000000"/>
              </w:rPr>
              <w:t>0.08 d</w:t>
            </w:r>
          </w:p>
        </w:tc>
        <w:tc>
          <w:tcPr>
            <w:tcW w:w="1506" w:type="dxa"/>
            <w:tcBorders>
              <w:top w:val="single" w:sz="4" w:space="0" w:color="auto"/>
              <w:left w:val="single" w:sz="4" w:space="0" w:color="auto"/>
              <w:bottom w:val="single" w:sz="4" w:space="0" w:color="auto"/>
              <w:right w:val="single" w:sz="4" w:space="0" w:color="auto"/>
            </w:tcBorders>
            <w:vAlign w:val="center"/>
          </w:tcPr>
          <w:p w14:paraId="26331378" w14:textId="77777777" w:rsidR="005F0DC4" w:rsidRDefault="007F0E9E">
            <w:pPr>
              <w:jc w:val="center"/>
              <w:rPr>
                <w:rFonts w:ascii="Arial" w:hAnsi="Arial" w:cs="Arial"/>
                <w:color w:val="000000"/>
              </w:rPr>
            </w:pPr>
            <w:r>
              <w:rPr>
                <w:rFonts w:ascii="Arial" w:hAnsi="Arial" w:cs="Arial"/>
                <w:color w:val="000000"/>
              </w:rPr>
              <w:t>23.14</w:t>
            </w:r>
            <w:r>
              <w:rPr>
                <w:rFonts w:ascii="Arial" w:hAnsi="Arial" w:cs="Arial"/>
                <w:b/>
                <w:bCs/>
                <w:color w:val="000000"/>
              </w:rPr>
              <w:t>±</w:t>
            </w:r>
            <w:r>
              <w:rPr>
                <w:rFonts w:ascii="Arial" w:hAnsi="Arial" w:cs="Arial"/>
                <w:color w:val="000000"/>
              </w:rPr>
              <w:t>0.10 b</w:t>
            </w:r>
          </w:p>
        </w:tc>
      </w:tr>
      <w:tr w:rsidR="005F0DC4" w14:paraId="48856878" w14:textId="77777777">
        <w:trPr>
          <w:trHeight w:val="593"/>
        </w:trPr>
        <w:tc>
          <w:tcPr>
            <w:tcW w:w="2093" w:type="dxa"/>
            <w:tcBorders>
              <w:top w:val="single" w:sz="4" w:space="0" w:color="auto"/>
              <w:left w:val="single" w:sz="4" w:space="0" w:color="auto"/>
              <w:bottom w:val="single" w:sz="4" w:space="0" w:color="auto"/>
              <w:right w:val="single" w:sz="4" w:space="0" w:color="auto"/>
            </w:tcBorders>
            <w:vAlign w:val="center"/>
          </w:tcPr>
          <w:p w14:paraId="6486743E" w14:textId="77777777" w:rsidR="005F0DC4" w:rsidRDefault="007F0E9E">
            <w:pPr>
              <w:jc w:val="center"/>
              <w:rPr>
                <w:rFonts w:ascii="Arial" w:hAnsi="Arial" w:cs="Arial"/>
                <w:b/>
                <w:bCs/>
              </w:rPr>
            </w:pPr>
            <w:r>
              <w:rPr>
                <w:rFonts w:ascii="Arial" w:hAnsi="Arial" w:cs="Arial"/>
                <w:b/>
                <w:bCs/>
              </w:rPr>
              <w:lastRenderedPageBreak/>
              <w:t>T</w:t>
            </w:r>
            <w:r>
              <w:rPr>
                <w:rFonts w:ascii="Arial" w:hAnsi="Arial" w:cs="Arial"/>
                <w:b/>
                <w:bCs/>
                <w:vertAlign w:val="subscript"/>
              </w:rPr>
              <w:t>3</w:t>
            </w:r>
            <w:r>
              <w:rPr>
                <w:rFonts w:ascii="Arial" w:hAnsi="Arial" w:cs="Arial"/>
                <w:b/>
                <w:bCs/>
              </w:rPr>
              <w:t>-</w:t>
            </w:r>
            <w:r>
              <w:rPr>
                <w:rFonts w:ascii="Arial" w:hAnsi="Arial" w:cs="Arial"/>
              </w:rPr>
              <w:t xml:space="preserve"> 75% Coconut water + 25% distilled water 4% sucrose</w:t>
            </w:r>
          </w:p>
        </w:tc>
        <w:tc>
          <w:tcPr>
            <w:tcW w:w="1276" w:type="dxa"/>
            <w:tcBorders>
              <w:top w:val="single" w:sz="4" w:space="0" w:color="auto"/>
              <w:left w:val="single" w:sz="4" w:space="0" w:color="auto"/>
              <w:bottom w:val="single" w:sz="4" w:space="0" w:color="auto"/>
              <w:right w:val="single" w:sz="4" w:space="0" w:color="auto"/>
            </w:tcBorders>
            <w:vAlign w:val="center"/>
          </w:tcPr>
          <w:p w14:paraId="15265734" w14:textId="77777777" w:rsidR="005F0DC4" w:rsidRDefault="007F0E9E">
            <w:pPr>
              <w:jc w:val="center"/>
              <w:rPr>
                <w:rFonts w:ascii="Arial" w:hAnsi="Arial" w:cs="Arial"/>
                <w:color w:val="000000"/>
              </w:rPr>
            </w:pPr>
            <w:r>
              <w:rPr>
                <w:rFonts w:ascii="Arial" w:hAnsi="Arial" w:cs="Arial"/>
                <w:color w:val="000000"/>
              </w:rPr>
              <w:t>9.33±0.01 b</w:t>
            </w:r>
          </w:p>
        </w:tc>
        <w:tc>
          <w:tcPr>
            <w:tcW w:w="1559" w:type="dxa"/>
            <w:tcBorders>
              <w:top w:val="single" w:sz="4" w:space="0" w:color="auto"/>
              <w:left w:val="single" w:sz="4" w:space="0" w:color="auto"/>
              <w:bottom w:val="single" w:sz="4" w:space="0" w:color="auto"/>
              <w:right w:val="single" w:sz="4" w:space="0" w:color="auto"/>
            </w:tcBorders>
            <w:vAlign w:val="center"/>
          </w:tcPr>
          <w:p w14:paraId="7AEC0FD9" w14:textId="77777777" w:rsidR="005F0DC4" w:rsidRDefault="007F0E9E">
            <w:pPr>
              <w:jc w:val="center"/>
              <w:rPr>
                <w:rFonts w:ascii="Arial" w:hAnsi="Arial" w:cs="Arial"/>
                <w:bCs/>
                <w:color w:val="000000"/>
              </w:rPr>
            </w:pPr>
            <w:r>
              <w:rPr>
                <w:rFonts w:ascii="Arial" w:hAnsi="Arial" w:cs="Arial"/>
                <w:bCs/>
                <w:color w:val="000000"/>
              </w:rPr>
              <w:t>9.28±0.16 a</w:t>
            </w:r>
          </w:p>
        </w:tc>
        <w:tc>
          <w:tcPr>
            <w:tcW w:w="1276" w:type="dxa"/>
            <w:tcBorders>
              <w:top w:val="single" w:sz="4" w:space="0" w:color="auto"/>
              <w:left w:val="single" w:sz="4" w:space="0" w:color="auto"/>
              <w:bottom w:val="single" w:sz="4" w:space="0" w:color="auto"/>
              <w:right w:val="single" w:sz="4" w:space="0" w:color="auto"/>
            </w:tcBorders>
            <w:vAlign w:val="center"/>
          </w:tcPr>
          <w:p w14:paraId="4D28ED3F" w14:textId="77777777" w:rsidR="005F0DC4" w:rsidRDefault="007F0E9E">
            <w:pPr>
              <w:jc w:val="center"/>
              <w:rPr>
                <w:rFonts w:ascii="Arial" w:hAnsi="Arial" w:cs="Arial"/>
                <w:color w:val="000000"/>
              </w:rPr>
            </w:pPr>
            <w:r>
              <w:rPr>
                <w:rFonts w:ascii="Arial" w:hAnsi="Arial" w:cs="Arial"/>
                <w:color w:val="000000"/>
              </w:rPr>
              <w:t>71.56</w:t>
            </w:r>
            <w:r>
              <w:rPr>
                <w:rFonts w:ascii="Arial" w:hAnsi="Arial" w:cs="Arial"/>
                <w:bCs/>
                <w:color w:val="000000"/>
              </w:rPr>
              <w:t>±</w:t>
            </w:r>
            <w:r>
              <w:rPr>
                <w:rFonts w:ascii="Arial" w:hAnsi="Arial" w:cs="Arial"/>
                <w:color w:val="000000"/>
              </w:rPr>
              <w:t>0.96 b</w:t>
            </w:r>
          </w:p>
        </w:tc>
        <w:tc>
          <w:tcPr>
            <w:tcW w:w="1477" w:type="dxa"/>
            <w:tcBorders>
              <w:top w:val="single" w:sz="4" w:space="0" w:color="auto"/>
              <w:left w:val="single" w:sz="4" w:space="0" w:color="auto"/>
              <w:bottom w:val="single" w:sz="4" w:space="0" w:color="auto"/>
              <w:right w:val="single" w:sz="4" w:space="0" w:color="auto"/>
            </w:tcBorders>
            <w:vAlign w:val="center"/>
          </w:tcPr>
          <w:p w14:paraId="362255A4" w14:textId="77777777" w:rsidR="005F0DC4" w:rsidRDefault="007F0E9E">
            <w:pPr>
              <w:jc w:val="center"/>
              <w:rPr>
                <w:rFonts w:ascii="Arial" w:hAnsi="Arial" w:cs="Arial"/>
                <w:color w:val="000000"/>
              </w:rPr>
            </w:pPr>
            <w:r>
              <w:rPr>
                <w:rFonts w:ascii="Arial" w:hAnsi="Arial" w:cs="Arial"/>
                <w:color w:val="000000"/>
              </w:rPr>
              <w:t>5.00</w:t>
            </w:r>
            <w:r>
              <w:rPr>
                <w:rFonts w:ascii="Arial" w:hAnsi="Arial" w:cs="Arial"/>
                <w:bCs/>
                <w:color w:val="000000"/>
              </w:rPr>
              <w:t>±</w:t>
            </w:r>
            <w:r>
              <w:rPr>
                <w:rFonts w:ascii="Arial" w:hAnsi="Arial" w:cs="Arial"/>
                <w:color w:val="000000"/>
              </w:rPr>
              <w:t>0.12 b</w:t>
            </w:r>
          </w:p>
        </w:tc>
        <w:tc>
          <w:tcPr>
            <w:tcW w:w="1506" w:type="dxa"/>
            <w:tcBorders>
              <w:top w:val="single" w:sz="4" w:space="0" w:color="auto"/>
              <w:left w:val="single" w:sz="4" w:space="0" w:color="auto"/>
              <w:bottom w:val="single" w:sz="4" w:space="0" w:color="auto"/>
              <w:right w:val="single" w:sz="4" w:space="0" w:color="auto"/>
            </w:tcBorders>
            <w:vAlign w:val="center"/>
          </w:tcPr>
          <w:p w14:paraId="5E3C408E" w14:textId="77777777" w:rsidR="005F0DC4" w:rsidRDefault="007F0E9E">
            <w:pPr>
              <w:jc w:val="center"/>
              <w:rPr>
                <w:rFonts w:ascii="Arial" w:hAnsi="Arial" w:cs="Arial"/>
                <w:color w:val="000000"/>
              </w:rPr>
            </w:pPr>
            <w:r>
              <w:rPr>
                <w:rFonts w:ascii="Arial" w:hAnsi="Arial" w:cs="Arial"/>
                <w:color w:val="000000"/>
              </w:rPr>
              <w:t>21.53</w:t>
            </w:r>
            <w:r>
              <w:rPr>
                <w:rFonts w:ascii="Arial" w:hAnsi="Arial" w:cs="Arial"/>
                <w:bCs/>
                <w:color w:val="000000"/>
              </w:rPr>
              <w:t>±</w:t>
            </w:r>
            <w:r>
              <w:rPr>
                <w:rFonts w:ascii="Arial" w:hAnsi="Arial" w:cs="Arial"/>
                <w:color w:val="000000"/>
              </w:rPr>
              <w:t>0.03 c</w:t>
            </w:r>
          </w:p>
        </w:tc>
      </w:tr>
      <w:tr w:rsidR="005F0DC4" w14:paraId="31334D32" w14:textId="77777777">
        <w:trPr>
          <w:trHeight w:val="593"/>
        </w:trPr>
        <w:tc>
          <w:tcPr>
            <w:tcW w:w="2093" w:type="dxa"/>
            <w:tcBorders>
              <w:top w:val="single" w:sz="4" w:space="0" w:color="auto"/>
              <w:left w:val="single" w:sz="4" w:space="0" w:color="auto"/>
              <w:bottom w:val="single" w:sz="4" w:space="0" w:color="auto"/>
              <w:right w:val="single" w:sz="4" w:space="0" w:color="auto"/>
            </w:tcBorders>
            <w:vAlign w:val="center"/>
          </w:tcPr>
          <w:p w14:paraId="4105981D" w14:textId="77777777" w:rsidR="005F0DC4" w:rsidRDefault="007F0E9E">
            <w:pPr>
              <w:jc w:val="center"/>
              <w:rPr>
                <w:rFonts w:ascii="Arial" w:hAnsi="Arial" w:cs="Arial"/>
                <w:b/>
                <w:bCs/>
              </w:rPr>
            </w:pPr>
            <w:r>
              <w:rPr>
                <w:rFonts w:ascii="Arial" w:hAnsi="Arial" w:cs="Arial"/>
                <w:b/>
                <w:bCs/>
              </w:rPr>
              <w:t>T</w:t>
            </w:r>
            <w:r>
              <w:rPr>
                <w:rFonts w:ascii="Arial" w:hAnsi="Arial" w:cs="Arial"/>
                <w:b/>
                <w:bCs/>
                <w:vertAlign w:val="subscript"/>
              </w:rPr>
              <w:t>4</w:t>
            </w:r>
            <w:r>
              <w:rPr>
                <w:rFonts w:ascii="Arial" w:hAnsi="Arial" w:cs="Arial"/>
                <w:b/>
                <w:bCs/>
              </w:rPr>
              <w:t>-</w:t>
            </w:r>
            <w:r>
              <w:rPr>
                <w:rFonts w:ascii="Arial" w:hAnsi="Arial" w:cs="Arial"/>
              </w:rPr>
              <w:t xml:space="preserve"> 50% Coconut water + 50 % distilled water + 2% sucrose</w:t>
            </w:r>
          </w:p>
        </w:tc>
        <w:tc>
          <w:tcPr>
            <w:tcW w:w="1276" w:type="dxa"/>
            <w:tcBorders>
              <w:top w:val="single" w:sz="4" w:space="0" w:color="auto"/>
              <w:left w:val="single" w:sz="4" w:space="0" w:color="auto"/>
              <w:bottom w:val="single" w:sz="4" w:space="0" w:color="auto"/>
              <w:right w:val="single" w:sz="4" w:space="0" w:color="auto"/>
            </w:tcBorders>
            <w:vAlign w:val="center"/>
          </w:tcPr>
          <w:p w14:paraId="0EA9662E" w14:textId="77777777" w:rsidR="005F0DC4" w:rsidRDefault="007F0E9E">
            <w:pPr>
              <w:jc w:val="center"/>
              <w:rPr>
                <w:rFonts w:ascii="Arial" w:hAnsi="Arial" w:cs="Arial"/>
                <w:bCs/>
                <w:color w:val="000000"/>
              </w:rPr>
            </w:pPr>
            <w:r>
              <w:rPr>
                <w:rFonts w:ascii="Arial" w:hAnsi="Arial" w:cs="Arial"/>
                <w:bCs/>
                <w:color w:val="000000"/>
              </w:rPr>
              <w:t>10.67±0.15 a</w:t>
            </w:r>
          </w:p>
        </w:tc>
        <w:tc>
          <w:tcPr>
            <w:tcW w:w="1559" w:type="dxa"/>
            <w:tcBorders>
              <w:top w:val="single" w:sz="4" w:space="0" w:color="auto"/>
              <w:left w:val="single" w:sz="4" w:space="0" w:color="auto"/>
              <w:bottom w:val="single" w:sz="4" w:space="0" w:color="auto"/>
              <w:right w:val="single" w:sz="4" w:space="0" w:color="auto"/>
            </w:tcBorders>
            <w:vAlign w:val="center"/>
          </w:tcPr>
          <w:p w14:paraId="13C1BDCB" w14:textId="77777777" w:rsidR="005F0DC4" w:rsidRDefault="007F0E9E">
            <w:pPr>
              <w:jc w:val="center"/>
              <w:rPr>
                <w:rFonts w:ascii="Arial" w:hAnsi="Arial" w:cs="Arial"/>
                <w:color w:val="000000"/>
              </w:rPr>
            </w:pPr>
            <w:r>
              <w:rPr>
                <w:rFonts w:ascii="Arial" w:hAnsi="Arial" w:cs="Arial"/>
                <w:color w:val="000000"/>
              </w:rPr>
              <w:t>9.03</w:t>
            </w:r>
            <w:r>
              <w:rPr>
                <w:rFonts w:ascii="Arial" w:hAnsi="Arial" w:cs="Arial"/>
                <w:bCs/>
                <w:color w:val="000000"/>
              </w:rPr>
              <w:t>±</w:t>
            </w:r>
            <w:r>
              <w:rPr>
                <w:rFonts w:ascii="Arial" w:hAnsi="Arial" w:cs="Arial"/>
                <w:color w:val="000000"/>
              </w:rPr>
              <w:t>0.10 a</w:t>
            </w:r>
          </w:p>
        </w:tc>
        <w:tc>
          <w:tcPr>
            <w:tcW w:w="1276" w:type="dxa"/>
            <w:tcBorders>
              <w:top w:val="single" w:sz="4" w:space="0" w:color="auto"/>
              <w:left w:val="single" w:sz="4" w:space="0" w:color="auto"/>
              <w:bottom w:val="single" w:sz="4" w:space="0" w:color="auto"/>
              <w:right w:val="single" w:sz="4" w:space="0" w:color="auto"/>
            </w:tcBorders>
            <w:vAlign w:val="center"/>
          </w:tcPr>
          <w:p w14:paraId="0A9AC860" w14:textId="77777777" w:rsidR="005F0DC4" w:rsidRDefault="007F0E9E">
            <w:pPr>
              <w:jc w:val="center"/>
              <w:rPr>
                <w:rFonts w:ascii="Arial" w:hAnsi="Arial" w:cs="Arial"/>
                <w:bCs/>
                <w:color w:val="000000"/>
              </w:rPr>
            </w:pPr>
            <w:r>
              <w:rPr>
                <w:rFonts w:ascii="Arial" w:hAnsi="Arial" w:cs="Arial"/>
                <w:bCs/>
                <w:color w:val="000000"/>
              </w:rPr>
              <w:t>81.33±0.12 a</w:t>
            </w:r>
          </w:p>
        </w:tc>
        <w:tc>
          <w:tcPr>
            <w:tcW w:w="1477" w:type="dxa"/>
            <w:tcBorders>
              <w:top w:val="single" w:sz="4" w:space="0" w:color="auto"/>
              <w:left w:val="single" w:sz="4" w:space="0" w:color="auto"/>
              <w:bottom w:val="single" w:sz="4" w:space="0" w:color="auto"/>
              <w:right w:val="single" w:sz="4" w:space="0" w:color="auto"/>
            </w:tcBorders>
            <w:vAlign w:val="center"/>
          </w:tcPr>
          <w:p w14:paraId="6F05C41E" w14:textId="77777777" w:rsidR="005F0DC4" w:rsidRDefault="007F0E9E">
            <w:pPr>
              <w:jc w:val="center"/>
              <w:rPr>
                <w:rFonts w:ascii="Arial" w:hAnsi="Arial" w:cs="Arial"/>
                <w:bCs/>
                <w:color w:val="000000"/>
              </w:rPr>
            </w:pPr>
            <w:r>
              <w:rPr>
                <w:rFonts w:ascii="Arial" w:hAnsi="Arial" w:cs="Arial"/>
                <w:bCs/>
                <w:color w:val="000000"/>
              </w:rPr>
              <w:t>5.33±0.12 a</w:t>
            </w:r>
          </w:p>
        </w:tc>
        <w:tc>
          <w:tcPr>
            <w:tcW w:w="1506" w:type="dxa"/>
            <w:tcBorders>
              <w:top w:val="single" w:sz="4" w:space="0" w:color="auto"/>
              <w:left w:val="single" w:sz="4" w:space="0" w:color="auto"/>
              <w:bottom w:val="single" w:sz="4" w:space="0" w:color="auto"/>
              <w:right w:val="single" w:sz="4" w:space="0" w:color="auto"/>
            </w:tcBorders>
            <w:vAlign w:val="center"/>
          </w:tcPr>
          <w:p w14:paraId="4B41AA69" w14:textId="77777777" w:rsidR="005F0DC4" w:rsidRDefault="007F0E9E">
            <w:pPr>
              <w:jc w:val="center"/>
              <w:rPr>
                <w:rFonts w:ascii="Arial" w:hAnsi="Arial" w:cs="Arial"/>
                <w:bCs/>
                <w:color w:val="000000"/>
              </w:rPr>
            </w:pPr>
            <w:r>
              <w:rPr>
                <w:rFonts w:ascii="Arial" w:hAnsi="Arial" w:cs="Arial"/>
                <w:bCs/>
                <w:color w:val="000000"/>
              </w:rPr>
              <w:t>18.68±0.03 e</w:t>
            </w:r>
          </w:p>
        </w:tc>
      </w:tr>
      <w:tr w:rsidR="005F0DC4" w14:paraId="5C7BE426" w14:textId="77777777">
        <w:trPr>
          <w:trHeight w:val="593"/>
        </w:trPr>
        <w:tc>
          <w:tcPr>
            <w:tcW w:w="2093" w:type="dxa"/>
            <w:tcBorders>
              <w:top w:val="single" w:sz="4" w:space="0" w:color="auto"/>
              <w:left w:val="single" w:sz="4" w:space="0" w:color="auto"/>
              <w:bottom w:val="single" w:sz="4" w:space="0" w:color="auto"/>
              <w:right w:val="single" w:sz="4" w:space="0" w:color="auto"/>
            </w:tcBorders>
            <w:vAlign w:val="center"/>
          </w:tcPr>
          <w:p w14:paraId="182542D8" w14:textId="77777777" w:rsidR="005F0DC4" w:rsidRDefault="007F0E9E">
            <w:pPr>
              <w:jc w:val="center"/>
              <w:rPr>
                <w:rFonts w:ascii="Arial" w:hAnsi="Arial" w:cs="Arial"/>
                <w:b/>
                <w:bCs/>
              </w:rPr>
            </w:pPr>
            <w:r>
              <w:rPr>
                <w:rFonts w:ascii="Arial" w:hAnsi="Arial" w:cs="Arial"/>
                <w:b/>
                <w:bCs/>
              </w:rPr>
              <w:t>T</w:t>
            </w:r>
            <w:r>
              <w:rPr>
                <w:rFonts w:ascii="Arial" w:hAnsi="Arial" w:cs="Arial"/>
                <w:b/>
                <w:bCs/>
                <w:vertAlign w:val="subscript"/>
              </w:rPr>
              <w:t>5</w:t>
            </w:r>
            <w:r>
              <w:rPr>
                <w:rFonts w:ascii="Arial" w:hAnsi="Arial" w:cs="Arial"/>
                <w:b/>
                <w:bCs/>
              </w:rPr>
              <w:t>-</w:t>
            </w:r>
            <w:r>
              <w:rPr>
                <w:rFonts w:ascii="Arial" w:hAnsi="Arial" w:cs="Arial"/>
              </w:rPr>
              <w:t xml:space="preserve"> 50% Coconut water + 50 % distilled water + 4% sucrose</w:t>
            </w:r>
          </w:p>
        </w:tc>
        <w:tc>
          <w:tcPr>
            <w:tcW w:w="1276" w:type="dxa"/>
            <w:tcBorders>
              <w:top w:val="single" w:sz="4" w:space="0" w:color="auto"/>
              <w:left w:val="single" w:sz="4" w:space="0" w:color="auto"/>
              <w:bottom w:val="single" w:sz="4" w:space="0" w:color="auto"/>
              <w:right w:val="single" w:sz="4" w:space="0" w:color="auto"/>
            </w:tcBorders>
            <w:vAlign w:val="center"/>
          </w:tcPr>
          <w:p w14:paraId="68821D7A" w14:textId="77777777" w:rsidR="005F0DC4" w:rsidRDefault="007F0E9E">
            <w:pPr>
              <w:jc w:val="center"/>
              <w:rPr>
                <w:rFonts w:ascii="Arial" w:hAnsi="Arial" w:cs="Arial"/>
                <w:color w:val="000000"/>
              </w:rPr>
            </w:pPr>
            <w:r>
              <w:rPr>
                <w:rFonts w:ascii="Arial" w:hAnsi="Arial" w:cs="Arial"/>
                <w:color w:val="000000"/>
              </w:rPr>
              <w:t>8.67</w:t>
            </w:r>
            <w:r>
              <w:rPr>
                <w:rFonts w:ascii="Arial" w:hAnsi="Arial" w:cs="Arial"/>
                <w:b/>
                <w:bCs/>
                <w:color w:val="000000"/>
              </w:rPr>
              <w:t>±</w:t>
            </w:r>
            <w:r>
              <w:rPr>
                <w:rFonts w:ascii="Arial" w:hAnsi="Arial" w:cs="Arial"/>
                <w:color w:val="000000"/>
              </w:rPr>
              <w:t>0.15 c</w:t>
            </w:r>
          </w:p>
        </w:tc>
        <w:tc>
          <w:tcPr>
            <w:tcW w:w="1559" w:type="dxa"/>
            <w:tcBorders>
              <w:top w:val="single" w:sz="4" w:space="0" w:color="auto"/>
              <w:left w:val="single" w:sz="4" w:space="0" w:color="auto"/>
              <w:bottom w:val="single" w:sz="4" w:space="0" w:color="auto"/>
              <w:right w:val="single" w:sz="4" w:space="0" w:color="auto"/>
            </w:tcBorders>
            <w:vAlign w:val="center"/>
          </w:tcPr>
          <w:p w14:paraId="62B1B652" w14:textId="77777777" w:rsidR="005F0DC4" w:rsidRDefault="007F0E9E">
            <w:pPr>
              <w:jc w:val="center"/>
              <w:rPr>
                <w:rFonts w:ascii="Arial" w:hAnsi="Arial" w:cs="Arial"/>
                <w:color w:val="000000"/>
              </w:rPr>
            </w:pPr>
            <w:r>
              <w:rPr>
                <w:rFonts w:ascii="Arial" w:hAnsi="Arial" w:cs="Arial"/>
                <w:color w:val="000000"/>
              </w:rPr>
              <w:t>7.97</w:t>
            </w:r>
            <w:r>
              <w:rPr>
                <w:rFonts w:ascii="Arial" w:hAnsi="Arial" w:cs="Arial"/>
                <w:b/>
                <w:bCs/>
                <w:color w:val="000000"/>
              </w:rPr>
              <w:t>±</w:t>
            </w:r>
            <w:r>
              <w:rPr>
                <w:rFonts w:ascii="Arial" w:hAnsi="Arial" w:cs="Arial"/>
                <w:color w:val="000000"/>
              </w:rPr>
              <w:t>0.19 b</w:t>
            </w:r>
          </w:p>
        </w:tc>
        <w:tc>
          <w:tcPr>
            <w:tcW w:w="1276" w:type="dxa"/>
            <w:tcBorders>
              <w:top w:val="single" w:sz="4" w:space="0" w:color="auto"/>
              <w:left w:val="single" w:sz="4" w:space="0" w:color="auto"/>
              <w:bottom w:val="single" w:sz="4" w:space="0" w:color="auto"/>
              <w:right w:val="single" w:sz="4" w:space="0" w:color="auto"/>
            </w:tcBorders>
            <w:vAlign w:val="center"/>
          </w:tcPr>
          <w:p w14:paraId="56AC624C" w14:textId="77777777" w:rsidR="005F0DC4" w:rsidRDefault="007F0E9E">
            <w:pPr>
              <w:jc w:val="center"/>
              <w:rPr>
                <w:rFonts w:ascii="Arial" w:hAnsi="Arial" w:cs="Arial"/>
                <w:color w:val="000000"/>
              </w:rPr>
            </w:pPr>
            <w:r>
              <w:rPr>
                <w:rFonts w:ascii="Arial" w:hAnsi="Arial" w:cs="Arial"/>
                <w:color w:val="000000"/>
              </w:rPr>
              <w:t>80.14</w:t>
            </w:r>
            <w:r>
              <w:rPr>
                <w:rFonts w:ascii="Arial" w:hAnsi="Arial" w:cs="Arial"/>
                <w:b/>
                <w:bCs/>
                <w:color w:val="000000"/>
              </w:rPr>
              <w:t>±</w:t>
            </w:r>
            <w:r>
              <w:rPr>
                <w:rFonts w:ascii="Arial" w:hAnsi="Arial" w:cs="Arial"/>
                <w:color w:val="000000"/>
              </w:rPr>
              <w:t>0.91 a</w:t>
            </w:r>
          </w:p>
        </w:tc>
        <w:tc>
          <w:tcPr>
            <w:tcW w:w="1477" w:type="dxa"/>
            <w:tcBorders>
              <w:top w:val="single" w:sz="4" w:space="0" w:color="auto"/>
              <w:left w:val="single" w:sz="4" w:space="0" w:color="auto"/>
              <w:bottom w:val="single" w:sz="4" w:space="0" w:color="auto"/>
              <w:right w:val="single" w:sz="4" w:space="0" w:color="auto"/>
            </w:tcBorders>
            <w:vAlign w:val="center"/>
          </w:tcPr>
          <w:p w14:paraId="2E43D6C7" w14:textId="77777777" w:rsidR="005F0DC4" w:rsidRDefault="007F0E9E">
            <w:pPr>
              <w:jc w:val="center"/>
              <w:rPr>
                <w:rFonts w:ascii="Arial" w:hAnsi="Arial" w:cs="Arial"/>
                <w:color w:val="000000"/>
              </w:rPr>
            </w:pPr>
            <w:r>
              <w:rPr>
                <w:rFonts w:ascii="Arial" w:hAnsi="Arial" w:cs="Arial"/>
                <w:color w:val="000000"/>
              </w:rPr>
              <w:t>4.67</w:t>
            </w:r>
            <w:r>
              <w:rPr>
                <w:rFonts w:ascii="Arial" w:hAnsi="Arial" w:cs="Arial"/>
                <w:b/>
                <w:bCs/>
                <w:color w:val="000000"/>
              </w:rPr>
              <w:t>±</w:t>
            </w:r>
            <w:r>
              <w:rPr>
                <w:rFonts w:ascii="Arial" w:hAnsi="Arial" w:cs="Arial"/>
                <w:color w:val="000000"/>
              </w:rPr>
              <w:t>0.05c</w:t>
            </w:r>
          </w:p>
        </w:tc>
        <w:tc>
          <w:tcPr>
            <w:tcW w:w="1506" w:type="dxa"/>
            <w:tcBorders>
              <w:top w:val="single" w:sz="4" w:space="0" w:color="auto"/>
              <w:left w:val="single" w:sz="4" w:space="0" w:color="auto"/>
              <w:bottom w:val="single" w:sz="4" w:space="0" w:color="auto"/>
              <w:right w:val="single" w:sz="4" w:space="0" w:color="auto"/>
            </w:tcBorders>
            <w:vAlign w:val="center"/>
          </w:tcPr>
          <w:p w14:paraId="7B93499C" w14:textId="77777777" w:rsidR="005F0DC4" w:rsidRDefault="007F0E9E">
            <w:pPr>
              <w:jc w:val="center"/>
              <w:rPr>
                <w:rFonts w:ascii="Arial" w:hAnsi="Arial" w:cs="Arial"/>
                <w:color w:val="000000"/>
              </w:rPr>
            </w:pPr>
            <w:r>
              <w:rPr>
                <w:rFonts w:ascii="Arial" w:hAnsi="Arial" w:cs="Arial"/>
                <w:color w:val="000000"/>
              </w:rPr>
              <w:t>19.97</w:t>
            </w:r>
            <w:r>
              <w:rPr>
                <w:rFonts w:ascii="Arial" w:hAnsi="Arial" w:cs="Arial"/>
                <w:b/>
                <w:bCs/>
                <w:color w:val="000000"/>
              </w:rPr>
              <w:t>±</w:t>
            </w:r>
            <w:r>
              <w:rPr>
                <w:rFonts w:ascii="Arial" w:hAnsi="Arial" w:cs="Arial"/>
                <w:color w:val="000000"/>
              </w:rPr>
              <w:t>0.49 d</w:t>
            </w:r>
          </w:p>
        </w:tc>
      </w:tr>
      <w:tr w:rsidR="005F0DC4" w14:paraId="3DA19F8D" w14:textId="77777777">
        <w:trPr>
          <w:trHeight w:val="439"/>
        </w:trPr>
        <w:tc>
          <w:tcPr>
            <w:tcW w:w="2093" w:type="dxa"/>
            <w:tcBorders>
              <w:top w:val="single" w:sz="4" w:space="0" w:color="auto"/>
              <w:left w:val="single" w:sz="4" w:space="0" w:color="auto"/>
              <w:bottom w:val="single" w:sz="4" w:space="0" w:color="auto"/>
              <w:right w:val="single" w:sz="4" w:space="0" w:color="auto"/>
            </w:tcBorders>
            <w:vAlign w:val="bottom"/>
          </w:tcPr>
          <w:p w14:paraId="17EC7706" w14:textId="77777777" w:rsidR="005F0DC4" w:rsidRDefault="007F0E9E">
            <w:pPr>
              <w:spacing w:line="360" w:lineRule="auto"/>
              <w:rPr>
                <w:rFonts w:ascii="Arial" w:hAnsi="Arial" w:cs="Arial"/>
                <w:b/>
                <w:bCs/>
                <w:color w:val="000000"/>
              </w:rPr>
            </w:pPr>
            <w:r>
              <w:rPr>
                <w:rFonts w:ascii="Arial" w:hAnsi="Arial" w:cs="Arial"/>
                <w:b/>
                <w:bCs/>
                <w:color w:val="000000"/>
              </w:rPr>
              <w:t>SE(m)</w:t>
            </w:r>
          </w:p>
        </w:tc>
        <w:tc>
          <w:tcPr>
            <w:tcW w:w="1276" w:type="dxa"/>
            <w:tcBorders>
              <w:top w:val="single" w:sz="4" w:space="0" w:color="auto"/>
              <w:left w:val="single" w:sz="4" w:space="0" w:color="auto"/>
              <w:bottom w:val="single" w:sz="4" w:space="0" w:color="auto"/>
              <w:right w:val="single" w:sz="4" w:space="0" w:color="auto"/>
            </w:tcBorders>
            <w:vAlign w:val="center"/>
          </w:tcPr>
          <w:p w14:paraId="659EE643" w14:textId="77777777" w:rsidR="005F0DC4" w:rsidRDefault="007F0E9E">
            <w:pPr>
              <w:jc w:val="center"/>
              <w:rPr>
                <w:rFonts w:ascii="Arial" w:hAnsi="Arial" w:cs="Arial"/>
                <w:color w:val="000000"/>
              </w:rPr>
            </w:pPr>
            <w:r>
              <w:rPr>
                <w:rFonts w:ascii="Arial" w:hAnsi="Arial" w:cs="Arial"/>
                <w:color w:val="000000"/>
              </w:rPr>
              <w:t>0.14</w:t>
            </w:r>
          </w:p>
        </w:tc>
        <w:tc>
          <w:tcPr>
            <w:tcW w:w="1559" w:type="dxa"/>
            <w:tcBorders>
              <w:top w:val="single" w:sz="4" w:space="0" w:color="auto"/>
              <w:left w:val="single" w:sz="4" w:space="0" w:color="auto"/>
              <w:bottom w:val="single" w:sz="4" w:space="0" w:color="auto"/>
              <w:right w:val="single" w:sz="4" w:space="0" w:color="auto"/>
            </w:tcBorders>
            <w:vAlign w:val="center"/>
          </w:tcPr>
          <w:p w14:paraId="1BF48450" w14:textId="77777777" w:rsidR="005F0DC4" w:rsidRDefault="007F0E9E">
            <w:pPr>
              <w:jc w:val="center"/>
              <w:rPr>
                <w:rFonts w:ascii="Arial" w:hAnsi="Arial" w:cs="Arial"/>
                <w:color w:val="000000"/>
              </w:rPr>
            </w:pPr>
            <w:r>
              <w:rPr>
                <w:rFonts w:ascii="Arial" w:hAnsi="Arial" w:cs="Arial"/>
                <w:color w:val="000000"/>
              </w:rPr>
              <w:t>0.13</w:t>
            </w:r>
          </w:p>
        </w:tc>
        <w:tc>
          <w:tcPr>
            <w:tcW w:w="1276" w:type="dxa"/>
            <w:tcBorders>
              <w:top w:val="single" w:sz="4" w:space="0" w:color="auto"/>
              <w:left w:val="single" w:sz="4" w:space="0" w:color="auto"/>
              <w:bottom w:val="single" w:sz="4" w:space="0" w:color="auto"/>
              <w:right w:val="single" w:sz="4" w:space="0" w:color="auto"/>
            </w:tcBorders>
            <w:vAlign w:val="center"/>
          </w:tcPr>
          <w:p w14:paraId="0E84C117" w14:textId="77777777" w:rsidR="005F0DC4" w:rsidRDefault="007F0E9E">
            <w:pPr>
              <w:jc w:val="center"/>
              <w:rPr>
                <w:rFonts w:ascii="Arial" w:hAnsi="Arial" w:cs="Arial"/>
                <w:color w:val="000000"/>
              </w:rPr>
            </w:pPr>
            <w:r>
              <w:rPr>
                <w:rFonts w:ascii="Arial" w:hAnsi="Arial" w:cs="Arial"/>
                <w:color w:val="000000"/>
              </w:rPr>
              <w:t>0.65</w:t>
            </w:r>
          </w:p>
        </w:tc>
        <w:tc>
          <w:tcPr>
            <w:tcW w:w="1477" w:type="dxa"/>
            <w:tcBorders>
              <w:top w:val="single" w:sz="4" w:space="0" w:color="auto"/>
              <w:left w:val="single" w:sz="4" w:space="0" w:color="auto"/>
              <w:bottom w:val="single" w:sz="4" w:space="0" w:color="auto"/>
              <w:right w:val="single" w:sz="4" w:space="0" w:color="auto"/>
            </w:tcBorders>
            <w:vAlign w:val="center"/>
          </w:tcPr>
          <w:p w14:paraId="15F04289" w14:textId="77777777" w:rsidR="005F0DC4" w:rsidRDefault="007F0E9E">
            <w:pPr>
              <w:jc w:val="center"/>
              <w:rPr>
                <w:rFonts w:ascii="Arial" w:hAnsi="Arial" w:cs="Arial"/>
                <w:color w:val="000000"/>
              </w:rPr>
            </w:pPr>
            <w:r>
              <w:rPr>
                <w:rFonts w:ascii="Arial" w:hAnsi="Arial" w:cs="Arial"/>
                <w:color w:val="000000"/>
              </w:rPr>
              <w:t>0.10</w:t>
            </w:r>
          </w:p>
        </w:tc>
        <w:tc>
          <w:tcPr>
            <w:tcW w:w="1506" w:type="dxa"/>
            <w:tcBorders>
              <w:top w:val="single" w:sz="4" w:space="0" w:color="auto"/>
              <w:left w:val="single" w:sz="4" w:space="0" w:color="auto"/>
              <w:bottom w:val="single" w:sz="4" w:space="0" w:color="auto"/>
              <w:right w:val="single" w:sz="4" w:space="0" w:color="auto"/>
            </w:tcBorders>
            <w:vAlign w:val="center"/>
          </w:tcPr>
          <w:p w14:paraId="3D353792" w14:textId="77777777" w:rsidR="005F0DC4" w:rsidRDefault="007F0E9E">
            <w:pPr>
              <w:jc w:val="center"/>
              <w:rPr>
                <w:rFonts w:ascii="Arial" w:hAnsi="Arial" w:cs="Arial"/>
                <w:color w:val="000000"/>
              </w:rPr>
            </w:pPr>
            <w:r>
              <w:rPr>
                <w:rFonts w:ascii="Arial" w:hAnsi="Arial" w:cs="Arial"/>
                <w:color w:val="000000"/>
              </w:rPr>
              <w:t>0.24</w:t>
            </w:r>
          </w:p>
        </w:tc>
      </w:tr>
      <w:tr w:rsidR="005F0DC4" w14:paraId="4BC2E7EE" w14:textId="77777777">
        <w:trPr>
          <w:trHeight w:val="439"/>
        </w:trPr>
        <w:tc>
          <w:tcPr>
            <w:tcW w:w="2093" w:type="dxa"/>
            <w:tcBorders>
              <w:top w:val="single" w:sz="4" w:space="0" w:color="auto"/>
              <w:left w:val="single" w:sz="4" w:space="0" w:color="auto"/>
              <w:bottom w:val="single" w:sz="4" w:space="0" w:color="auto"/>
              <w:right w:val="single" w:sz="4" w:space="0" w:color="auto"/>
            </w:tcBorders>
            <w:vAlign w:val="bottom"/>
          </w:tcPr>
          <w:p w14:paraId="7C72B0F2" w14:textId="77777777" w:rsidR="005F0DC4" w:rsidRDefault="007F0E9E">
            <w:pPr>
              <w:spacing w:line="360" w:lineRule="auto"/>
              <w:rPr>
                <w:rFonts w:ascii="Arial" w:hAnsi="Arial" w:cs="Arial"/>
                <w:b/>
                <w:bCs/>
                <w:color w:val="000000"/>
              </w:rPr>
            </w:pPr>
            <w:r>
              <w:rPr>
                <w:rFonts w:ascii="Arial" w:hAnsi="Arial" w:cs="Arial"/>
                <w:b/>
                <w:bCs/>
                <w:color w:val="000000"/>
              </w:rPr>
              <w:t>CD at 5%</w:t>
            </w:r>
          </w:p>
        </w:tc>
        <w:tc>
          <w:tcPr>
            <w:tcW w:w="1276" w:type="dxa"/>
            <w:tcBorders>
              <w:top w:val="single" w:sz="4" w:space="0" w:color="auto"/>
              <w:left w:val="single" w:sz="4" w:space="0" w:color="auto"/>
              <w:bottom w:val="single" w:sz="4" w:space="0" w:color="auto"/>
              <w:right w:val="single" w:sz="4" w:space="0" w:color="auto"/>
            </w:tcBorders>
            <w:vAlign w:val="center"/>
          </w:tcPr>
          <w:p w14:paraId="56FB341E" w14:textId="77777777" w:rsidR="005F0DC4" w:rsidRDefault="007F0E9E">
            <w:pPr>
              <w:jc w:val="center"/>
              <w:rPr>
                <w:rFonts w:ascii="Arial" w:hAnsi="Arial" w:cs="Arial"/>
                <w:color w:val="000000"/>
              </w:rPr>
            </w:pPr>
            <w:r>
              <w:rPr>
                <w:rFonts w:ascii="Arial" w:hAnsi="Arial" w:cs="Arial"/>
                <w:color w:val="000000"/>
              </w:rPr>
              <w:t>0.46</w:t>
            </w:r>
          </w:p>
        </w:tc>
        <w:tc>
          <w:tcPr>
            <w:tcW w:w="1559" w:type="dxa"/>
            <w:tcBorders>
              <w:top w:val="single" w:sz="4" w:space="0" w:color="auto"/>
              <w:left w:val="single" w:sz="4" w:space="0" w:color="auto"/>
              <w:bottom w:val="single" w:sz="4" w:space="0" w:color="auto"/>
              <w:right w:val="single" w:sz="4" w:space="0" w:color="auto"/>
            </w:tcBorders>
            <w:vAlign w:val="center"/>
          </w:tcPr>
          <w:p w14:paraId="7E0B34A4" w14:textId="77777777" w:rsidR="005F0DC4" w:rsidRDefault="007F0E9E">
            <w:pPr>
              <w:jc w:val="center"/>
              <w:rPr>
                <w:rFonts w:ascii="Arial" w:hAnsi="Arial" w:cs="Arial"/>
                <w:color w:val="000000"/>
              </w:rPr>
            </w:pPr>
            <w:r>
              <w:rPr>
                <w:rFonts w:ascii="Arial" w:hAnsi="Arial" w:cs="Arial"/>
                <w:color w:val="000000"/>
              </w:rPr>
              <w:t>0.43</w:t>
            </w:r>
          </w:p>
        </w:tc>
        <w:tc>
          <w:tcPr>
            <w:tcW w:w="1276" w:type="dxa"/>
            <w:tcBorders>
              <w:top w:val="single" w:sz="4" w:space="0" w:color="auto"/>
              <w:left w:val="single" w:sz="4" w:space="0" w:color="auto"/>
              <w:bottom w:val="single" w:sz="4" w:space="0" w:color="auto"/>
              <w:right w:val="single" w:sz="4" w:space="0" w:color="auto"/>
            </w:tcBorders>
            <w:vAlign w:val="center"/>
          </w:tcPr>
          <w:p w14:paraId="0EEF7E4D" w14:textId="77777777" w:rsidR="005F0DC4" w:rsidRDefault="007F0E9E">
            <w:pPr>
              <w:jc w:val="center"/>
              <w:rPr>
                <w:rFonts w:ascii="Arial" w:hAnsi="Arial" w:cs="Arial"/>
                <w:color w:val="000000"/>
              </w:rPr>
            </w:pPr>
            <w:r>
              <w:rPr>
                <w:rFonts w:ascii="Arial" w:hAnsi="Arial" w:cs="Arial"/>
                <w:color w:val="000000"/>
              </w:rPr>
              <w:t>2.14</w:t>
            </w:r>
          </w:p>
        </w:tc>
        <w:tc>
          <w:tcPr>
            <w:tcW w:w="1477" w:type="dxa"/>
            <w:tcBorders>
              <w:top w:val="single" w:sz="4" w:space="0" w:color="auto"/>
              <w:left w:val="single" w:sz="4" w:space="0" w:color="auto"/>
              <w:bottom w:val="single" w:sz="4" w:space="0" w:color="auto"/>
              <w:right w:val="single" w:sz="4" w:space="0" w:color="auto"/>
            </w:tcBorders>
            <w:vAlign w:val="center"/>
          </w:tcPr>
          <w:p w14:paraId="14CD1A3B" w14:textId="77777777" w:rsidR="005F0DC4" w:rsidRDefault="007F0E9E">
            <w:pPr>
              <w:jc w:val="center"/>
              <w:rPr>
                <w:rFonts w:ascii="Arial" w:hAnsi="Arial" w:cs="Arial"/>
                <w:color w:val="000000"/>
              </w:rPr>
            </w:pPr>
            <w:r>
              <w:rPr>
                <w:rFonts w:ascii="Arial" w:hAnsi="Arial" w:cs="Arial"/>
                <w:color w:val="000000"/>
              </w:rPr>
              <w:t>0.32</w:t>
            </w:r>
          </w:p>
        </w:tc>
        <w:tc>
          <w:tcPr>
            <w:tcW w:w="1506" w:type="dxa"/>
            <w:tcBorders>
              <w:top w:val="single" w:sz="4" w:space="0" w:color="auto"/>
              <w:left w:val="single" w:sz="4" w:space="0" w:color="auto"/>
              <w:bottom w:val="single" w:sz="4" w:space="0" w:color="auto"/>
              <w:right w:val="single" w:sz="4" w:space="0" w:color="auto"/>
            </w:tcBorders>
            <w:vAlign w:val="center"/>
          </w:tcPr>
          <w:p w14:paraId="1B73FD23" w14:textId="77777777" w:rsidR="005F0DC4" w:rsidRDefault="007F0E9E">
            <w:pPr>
              <w:jc w:val="center"/>
              <w:rPr>
                <w:rFonts w:ascii="Arial" w:hAnsi="Arial" w:cs="Arial"/>
                <w:color w:val="000000"/>
              </w:rPr>
            </w:pPr>
            <w:r>
              <w:rPr>
                <w:rFonts w:ascii="Arial" w:hAnsi="Arial" w:cs="Arial"/>
                <w:color w:val="000000"/>
              </w:rPr>
              <w:t>0.79</w:t>
            </w:r>
          </w:p>
        </w:tc>
      </w:tr>
    </w:tbl>
    <w:p w14:paraId="47512136" w14:textId="77777777" w:rsidR="005F0DC4" w:rsidRDefault="005F0DC4">
      <w:pPr>
        <w:pStyle w:val="Body"/>
        <w:spacing w:after="0"/>
        <w:rPr>
          <w:rFonts w:ascii="Arial" w:hAnsi="Arial" w:cs="Arial"/>
        </w:rPr>
      </w:pPr>
    </w:p>
    <w:p w14:paraId="0E176CA1" w14:textId="77777777" w:rsidR="005F0DC4" w:rsidRDefault="007F0E9E">
      <w:pPr>
        <w:pStyle w:val="ConcHead"/>
        <w:spacing w:after="0"/>
        <w:jc w:val="both"/>
        <w:rPr>
          <w:rFonts w:ascii="Arial" w:hAnsi="Arial" w:cs="Arial"/>
        </w:rPr>
      </w:pPr>
      <w:r>
        <w:rPr>
          <w:rFonts w:ascii="Arial" w:hAnsi="Arial" w:cs="Arial"/>
        </w:rPr>
        <w:t>4. Conclusion</w:t>
      </w:r>
    </w:p>
    <w:p w14:paraId="33AF27CB" w14:textId="77777777" w:rsidR="005F0DC4" w:rsidRDefault="005F0DC4">
      <w:pPr>
        <w:pStyle w:val="ConcHead"/>
        <w:spacing w:after="0"/>
        <w:jc w:val="both"/>
        <w:rPr>
          <w:rFonts w:ascii="Arial" w:hAnsi="Arial" w:cs="Arial"/>
        </w:rPr>
      </w:pPr>
    </w:p>
    <w:p w14:paraId="60D1FA09" w14:textId="585B11D2" w:rsidR="005F0DC4" w:rsidRDefault="007F0E9E" w:rsidP="00F82D22">
      <w:pPr>
        <w:pStyle w:val="Body"/>
        <w:spacing w:after="0" w:line="360" w:lineRule="auto"/>
        <w:rPr>
          <w:rFonts w:ascii="Arial" w:hAnsi="Arial" w:cs="Arial"/>
          <w:lang w:val="en-IN"/>
        </w:rPr>
      </w:pPr>
      <w:r>
        <w:rPr>
          <w:rFonts w:ascii="Arial" w:hAnsi="Arial" w:cs="Arial"/>
          <w:lang w:val="en-IN"/>
        </w:rPr>
        <w:t>It may be concluded from the present study that treatment T</w:t>
      </w:r>
      <w:r>
        <w:rPr>
          <w:rFonts w:ascii="Arial" w:hAnsi="Arial" w:cs="Arial"/>
          <w:vertAlign w:val="subscript"/>
          <w:lang w:val="en-IN"/>
        </w:rPr>
        <w:t>5</w:t>
      </w:r>
      <w:r>
        <w:rPr>
          <w:rFonts w:ascii="Arial" w:hAnsi="Arial" w:cs="Arial"/>
          <w:lang w:val="en-IN"/>
        </w:rPr>
        <w:t>-75% RDF + corm priming with 50% coconut water for 12 hrs + two sprays of 25% coconut water on plants at the 15-day and 30-day stages showed superiority over other treatments. The treatment also minimized 25% inorganic fertilizers, which were supplemented by the eco-friendly solutions. Moreover, spikes kept in the holding solution containing T</w:t>
      </w:r>
      <w:r>
        <w:rPr>
          <w:rFonts w:ascii="Arial" w:hAnsi="Arial" w:cs="Arial"/>
          <w:vertAlign w:val="subscript"/>
          <w:lang w:val="en-IN"/>
        </w:rPr>
        <w:t>4</w:t>
      </w:r>
      <w:r>
        <w:rPr>
          <w:rFonts w:ascii="Arial" w:hAnsi="Arial" w:cs="Arial"/>
          <w:lang w:val="en-IN"/>
        </w:rPr>
        <w:t xml:space="preserve"> -50% coconut water + 50 % distilled water + 2% sucrose) showed maximum vase life, maximum floret opening percentage, and maximum floret opening at one time and also showed minimum physiological weight loss percentage. Moreover, spikes were held in holding solution T</w:t>
      </w:r>
      <w:r>
        <w:rPr>
          <w:rFonts w:ascii="Arial" w:hAnsi="Arial" w:cs="Arial"/>
          <w:vertAlign w:val="subscript"/>
          <w:lang w:val="en-IN"/>
        </w:rPr>
        <w:t>3</w:t>
      </w:r>
      <w:r>
        <w:rPr>
          <w:rFonts w:ascii="Arial" w:hAnsi="Arial" w:cs="Arial"/>
          <w:lang w:val="en-IN"/>
        </w:rPr>
        <w:t>-75% coconut water + 25% distilled water and 4% sucrose showed the maximum size of the floret.</w:t>
      </w:r>
    </w:p>
    <w:p w14:paraId="38C78E7D" w14:textId="5AB22C26" w:rsidR="00F82D22" w:rsidRDefault="00F82D22">
      <w:pPr>
        <w:pStyle w:val="Body"/>
        <w:spacing w:after="0"/>
        <w:rPr>
          <w:rFonts w:ascii="Arial" w:hAnsi="Arial" w:cs="Arial"/>
          <w:lang w:val="en-IN"/>
        </w:rPr>
      </w:pPr>
    </w:p>
    <w:p w14:paraId="16635CB5" w14:textId="77777777" w:rsidR="007F3F8E" w:rsidRDefault="00F82D22" w:rsidP="007F3F8E">
      <w:pPr>
        <w:pStyle w:val="Body"/>
        <w:spacing w:after="0" w:line="360" w:lineRule="auto"/>
        <w:rPr>
          <w:rFonts w:ascii="Arial" w:hAnsi="Arial" w:cs="Arial"/>
          <w:b/>
          <w:bCs/>
          <w:sz w:val="22"/>
          <w:szCs w:val="22"/>
        </w:rPr>
      </w:pPr>
      <w:r w:rsidRPr="00F82D22">
        <w:rPr>
          <w:rFonts w:ascii="Arial" w:hAnsi="Arial" w:cs="Arial"/>
          <w:b/>
          <w:bCs/>
          <w:sz w:val="22"/>
          <w:szCs w:val="22"/>
        </w:rPr>
        <w:t>DISCLAIMER (ARTIFICIAL INTELLIGENCE)</w:t>
      </w:r>
    </w:p>
    <w:p w14:paraId="00548660" w14:textId="27417CF4" w:rsidR="00F82D22" w:rsidRPr="007F3F8E" w:rsidRDefault="00F82D22" w:rsidP="007F3F8E">
      <w:pPr>
        <w:pStyle w:val="Body"/>
        <w:spacing w:after="0" w:line="360" w:lineRule="auto"/>
        <w:rPr>
          <w:rFonts w:ascii="Arial" w:hAnsi="Arial" w:cs="Arial"/>
          <w:b/>
          <w:bCs/>
          <w:sz w:val="22"/>
          <w:szCs w:val="22"/>
        </w:rPr>
      </w:pPr>
      <w:r w:rsidRPr="00F82D22">
        <w:rPr>
          <w:rFonts w:ascii="Arial" w:hAnsi="Arial" w:cs="Arial"/>
        </w:rPr>
        <w:t>Author(s) hereby declare that NO generative AI technologies such as Large Language Models (</w:t>
      </w:r>
      <w:proofErr w:type="spellStart"/>
      <w:r w:rsidRPr="00F82D22">
        <w:rPr>
          <w:rFonts w:ascii="Arial" w:hAnsi="Arial" w:cs="Arial"/>
        </w:rPr>
        <w:t>ChatGPT</w:t>
      </w:r>
      <w:proofErr w:type="spellEnd"/>
      <w:r w:rsidRPr="00F82D22">
        <w:rPr>
          <w:rFonts w:ascii="Arial" w:hAnsi="Arial" w:cs="Arial"/>
        </w:rPr>
        <w:t>, COPILOT, etc.) and text-to-image generators have been used during the writing or editing of this manuscript</w:t>
      </w:r>
    </w:p>
    <w:p w14:paraId="1AF4BB85" w14:textId="2CF6A9D0" w:rsidR="005F0DC4" w:rsidRDefault="005F0DC4">
      <w:pPr>
        <w:pStyle w:val="Body"/>
        <w:spacing w:after="0"/>
        <w:rPr>
          <w:rFonts w:ascii="Arial" w:hAnsi="Arial" w:cs="Arial"/>
        </w:rPr>
      </w:pPr>
    </w:p>
    <w:p w14:paraId="67479A0F" w14:textId="77777777" w:rsidR="00F82D22" w:rsidRPr="00F82D22" w:rsidRDefault="00F82D22">
      <w:pPr>
        <w:pStyle w:val="Body"/>
        <w:spacing w:after="0"/>
        <w:rPr>
          <w:rFonts w:ascii="Arial" w:hAnsi="Arial" w:cs="Arial"/>
          <w:b/>
          <w:bCs/>
          <w:sz w:val="22"/>
          <w:szCs w:val="22"/>
        </w:rPr>
      </w:pPr>
      <w:r w:rsidRPr="00F82D22">
        <w:rPr>
          <w:rFonts w:ascii="Arial" w:hAnsi="Arial" w:cs="Arial"/>
          <w:b/>
          <w:bCs/>
          <w:sz w:val="22"/>
          <w:szCs w:val="22"/>
        </w:rPr>
        <w:t>ACKNOWLEDGEMENT</w:t>
      </w:r>
    </w:p>
    <w:p w14:paraId="0DDD653C" w14:textId="12371C5B" w:rsidR="00F82D22" w:rsidRDefault="00F82D22" w:rsidP="00F82D22">
      <w:pPr>
        <w:pStyle w:val="Body"/>
        <w:spacing w:after="0" w:line="360" w:lineRule="auto"/>
        <w:rPr>
          <w:rFonts w:ascii="Arial" w:hAnsi="Arial" w:cs="Arial"/>
        </w:rPr>
      </w:pPr>
      <w:r w:rsidRPr="00F82D22">
        <w:rPr>
          <w:rFonts w:ascii="Arial" w:hAnsi="Arial" w:cs="Arial"/>
        </w:rPr>
        <w:t>I thankfully acknowledged the grant provided by the Council of Science and Technology, Uttar Pradesh, vide letter number CST/D-1417, dated October 20, 2023, for the project entitled “Improvement of Vase Life of Economically Important Cut Flowers Using Eco Friendly Chemicals and Functional Genomics Approaches for the Benefit of Farmers and Stakeholders of Western Uttar Pradesh” (Project ID-2776).</w:t>
      </w:r>
    </w:p>
    <w:p w14:paraId="507BD6E8" w14:textId="77777777" w:rsidR="00F82D22" w:rsidRDefault="00F82D22">
      <w:pPr>
        <w:pStyle w:val="ReferHead"/>
        <w:spacing w:after="0"/>
        <w:jc w:val="both"/>
        <w:rPr>
          <w:rFonts w:ascii="Arial" w:hAnsi="Arial" w:cs="Arial"/>
          <w:bCs/>
        </w:rPr>
      </w:pPr>
      <w:r w:rsidRPr="00F82D22">
        <w:rPr>
          <w:rFonts w:ascii="Arial" w:hAnsi="Arial" w:cs="Arial"/>
          <w:bCs/>
        </w:rPr>
        <w:lastRenderedPageBreak/>
        <w:t xml:space="preserve">COMPETING INTERESTS </w:t>
      </w:r>
    </w:p>
    <w:p w14:paraId="054FBDC4" w14:textId="7936406C" w:rsidR="00F82D22" w:rsidRPr="00F82D22" w:rsidRDefault="00F82D22">
      <w:pPr>
        <w:pStyle w:val="ReferHead"/>
        <w:spacing w:after="0"/>
        <w:jc w:val="both"/>
        <w:rPr>
          <w:rFonts w:ascii="Arial" w:hAnsi="Arial" w:cs="Arial"/>
          <w:b w:val="0"/>
          <w:sz w:val="20"/>
          <w:szCs w:val="18"/>
        </w:rPr>
      </w:pPr>
      <w:r w:rsidRPr="00F82D22">
        <w:rPr>
          <w:rFonts w:ascii="Arial" w:hAnsi="Arial" w:cs="Arial"/>
          <w:b w:val="0"/>
          <w:caps w:val="0"/>
          <w:sz w:val="20"/>
          <w:szCs w:val="18"/>
        </w:rPr>
        <w:t>Authors have declared that no competing interests exist.</w:t>
      </w:r>
    </w:p>
    <w:p w14:paraId="42F56E44" w14:textId="77777777" w:rsidR="00F82D22" w:rsidRDefault="00F82D22">
      <w:pPr>
        <w:pStyle w:val="ReferHead"/>
        <w:spacing w:after="0"/>
        <w:jc w:val="both"/>
        <w:rPr>
          <w:rFonts w:ascii="Arial" w:hAnsi="Arial" w:cs="Arial"/>
          <w:bCs/>
        </w:rPr>
      </w:pPr>
    </w:p>
    <w:p w14:paraId="664CDF49" w14:textId="77777777" w:rsidR="005F0DC4" w:rsidRDefault="005F0DC4">
      <w:pPr>
        <w:pStyle w:val="ReferHead"/>
        <w:spacing w:after="0"/>
        <w:jc w:val="both"/>
        <w:rPr>
          <w:rFonts w:ascii="Arial" w:hAnsi="Arial" w:cs="Arial"/>
        </w:rPr>
      </w:pPr>
    </w:p>
    <w:p w14:paraId="77410CAD" w14:textId="77777777" w:rsidR="005F0DC4" w:rsidRDefault="007F0E9E">
      <w:pPr>
        <w:pStyle w:val="ReferHead"/>
        <w:spacing w:after="0"/>
        <w:jc w:val="both"/>
        <w:rPr>
          <w:rFonts w:ascii="Arial" w:hAnsi="Arial" w:cs="Arial"/>
        </w:rPr>
      </w:pPr>
      <w:r>
        <w:rPr>
          <w:rFonts w:ascii="Arial" w:hAnsi="Arial" w:cs="Arial"/>
        </w:rPr>
        <w:t>References</w:t>
      </w:r>
    </w:p>
    <w:p w14:paraId="15904DC6" w14:textId="77777777" w:rsidR="005F0DC4" w:rsidRDefault="005F0DC4">
      <w:pPr>
        <w:pStyle w:val="ReferHead"/>
        <w:spacing w:after="0"/>
        <w:jc w:val="both"/>
        <w:rPr>
          <w:rFonts w:ascii="Arial" w:hAnsi="Arial" w:cs="Arial"/>
        </w:rPr>
      </w:pPr>
    </w:p>
    <w:p w14:paraId="30CC23E2" w14:textId="77777777" w:rsidR="004D084A" w:rsidRPr="00E71B75" w:rsidRDefault="004D084A" w:rsidP="00CF2767">
      <w:pPr>
        <w:pStyle w:val="Body"/>
        <w:ind w:left="720" w:hanging="720"/>
        <w:rPr>
          <w:color w:val="000000" w:themeColor="text1"/>
        </w:rPr>
      </w:pPr>
      <w:proofErr w:type="spellStart"/>
      <w:r w:rsidRPr="00E71B75">
        <w:rPr>
          <w:color w:val="000000" w:themeColor="text1"/>
        </w:rPr>
        <w:t>Afify</w:t>
      </w:r>
      <w:proofErr w:type="spellEnd"/>
      <w:r w:rsidRPr="00E71B75">
        <w:rPr>
          <w:color w:val="000000" w:themeColor="text1"/>
        </w:rPr>
        <w:t xml:space="preserve">, MM (1983). Effect of high fertilizer rates on the growth flowering of three gladiolus </w:t>
      </w:r>
      <w:proofErr w:type="spellStart"/>
      <w:r w:rsidRPr="00E71B75">
        <w:rPr>
          <w:color w:val="000000" w:themeColor="text1"/>
        </w:rPr>
        <w:t>cutlivars</w:t>
      </w:r>
      <w:proofErr w:type="spellEnd"/>
      <w:r w:rsidRPr="00E71B75">
        <w:rPr>
          <w:color w:val="000000" w:themeColor="text1"/>
        </w:rPr>
        <w:t xml:space="preserve">. </w:t>
      </w:r>
      <w:proofErr w:type="spellStart"/>
      <w:r w:rsidRPr="00E71B75">
        <w:rPr>
          <w:color w:val="000000" w:themeColor="text1"/>
        </w:rPr>
        <w:t>Kerleszefi</w:t>
      </w:r>
      <w:proofErr w:type="spellEnd"/>
      <w:r w:rsidRPr="00E71B75">
        <w:rPr>
          <w:color w:val="000000" w:themeColor="text1"/>
        </w:rPr>
        <w:t xml:space="preserve"> </w:t>
      </w:r>
      <w:proofErr w:type="spellStart"/>
      <w:r w:rsidRPr="00E71B75">
        <w:rPr>
          <w:color w:val="000000" w:themeColor="text1"/>
        </w:rPr>
        <w:t>Egyatem</w:t>
      </w:r>
      <w:proofErr w:type="spellEnd"/>
      <w:r w:rsidRPr="00E71B75">
        <w:rPr>
          <w:color w:val="000000" w:themeColor="text1"/>
        </w:rPr>
        <w:t xml:space="preserve"> Kozlemenyel.;47(13),75-82.</w:t>
      </w:r>
    </w:p>
    <w:p w14:paraId="22895F95" w14:textId="77777777" w:rsidR="004D084A" w:rsidRPr="00E71B75" w:rsidRDefault="004D084A" w:rsidP="00CF2767">
      <w:pPr>
        <w:pStyle w:val="Body"/>
        <w:ind w:left="720" w:hanging="720"/>
        <w:rPr>
          <w:color w:val="000000" w:themeColor="text1"/>
        </w:rPr>
      </w:pPr>
      <w:proofErr w:type="spellStart"/>
      <w:r w:rsidRPr="00E71B75">
        <w:rPr>
          <w:color w:val="000000" w:themeColor="text1"/>
        </w:rPr>
        <w:t>Agampodi</w:t>
      </w:r>
      <w:proofErr w:type="spellEnd"/>
      <w:r w:rsidRPr="00E71B75">
        <w:rPr>
          <w:color w:val="000000" w:themeColor="text1"/>
        </w:rPr>
        <w:t xml:space="preserve">, V.A. and Jayawardena, B.M. 2007. Effect of coconut water in extending the vase life of </w:t>
      </w:r>
      <w:r w:rsidRPr="00E71B75">
        <w:rPr>
          <w:i/>
          <w:iCs/>
          <w:color w:val="000000" w:themeColor="text1"/>
        </w:rPr>
        <w:t xml:space="preserve">Anthurium </w:t>
      </w:r>
      <w:r w:rsidRPr="00E71B75">
        <w:rPr>
          <w:color w:val="000000" w:themeColor="text1"/>
        </w:rPr>
        <w:t>cut flower variety Wild Pink. Tropical Agricultural Research, 19: 202-209.</w:t>
      </w:r>
    </w:p>
    <w:p w14:paraId="0B249FBD" w14:textId="77777777" w:rsidR="004D084A" w:rsidRPr="00E71B75" w:rsidRDefault="004D084A" w:rsidP="00CF2767">
      <w:pPr>
        <w:pStyle w:val="Body"/>
        <w:ind w:left="720" w:hanging="720"/>
        <w:rPr>
          <w:color w:val="000000" w:themeColor="text1"/>
        </w:rPr>
      </w:pPr>
      <w:r w:rsidRPr="00E71B75">
        <w:rPr>
          <w:color w:val="000000" w:themeColor="text1"/>
          <w:lang w:val="en-IN"/>
        </w:rPr>
        <w:t xml:space="preserve">Anurag, P. and </w:t>
      </w:r>
      <w:proofErr w:type="spellStart"/>
      <w:r w:rsidRPr="00E71B75">
        <w:rPr>
          <w:color w:val="000000" w:themeColor="text1"/>
          <w:lang w:val="en-IN"/>
        </w:rPr>
        <w:t>Rajamohan</w:t>
      </w:r>
      <w:proofErr w:type="spellEnd"/>
      <w:r w:rsidRPr="00E71B75">
        <w:rPr>
          <w:color w:val="000000" w:themeColor="text1"/>
          <w:lang w:val="en-IN"/>
        </w:rPr>
        <w:t xml:space="preserve">, T. (2003), Cardio protective effect of tender coconut water in experimental myocardial infarction. </w:t>
      </w:r>
      <w:r w:rsidRPr="00E71B75">
        <w:rPr>
          <w:i/>
          <w:iCs/>
          <w:color w:val="000000" w:themeColor="text1"/>
          <w:lang w:val="en-IN"/>
        </w:rPr>
        <w:t xml:space="preserve">Plant Foods. Human Nutrition, </w:t>
      </w:r>
      <w:r w:rsidRPr="00E71B75">
        <w:rPr>
          <w:color w:val="000000" w:themeColor="text1"/>
          <w:lang w:val="en-IN"/>
        </w:rPr>
        <w:t>58 :1–12.</w:t>
      </w:r>
    </w:p>
    <w:p w14:paraId="1710C983" w14:textId="77777777" w:rsidR="004D084A" w:rsidRPr="00E71B75" w:rsidRDefault="004D084A" w:rsidP="004D084A">
      <w:pPr>
        <w:pStyle w:val="Body"/>
        <w:ind w:left="720" w:hanging="720"/>
        <w:rPr>
          <w:color w:val="000000" w:themeColor="text1"/>
        </w:rPr>
      </w:pPr>
      <w:proofErr w:type="spellStart"/>
      <w:r w:rsidRPr="00E71B75">
        <w:rPr>
          <w:color w:val="000000" w:themeColor="text1"/>
        </w:rPr>
        <w:t>Bleeksma</w:t>
      </w:r>
      <w:proofErr w:type="spellEnd"/>
      <w:r w:rsidRPr="00E71B75">
        <w:rPr>
          <w:color w:val="000000" w:themeColor="text1"/>
        </w:rPr>
        <w:t xml:space="preserve"> H.C. and W.G. Van </w:t>
      </w:r>
      <w:proofErr w:type="spellStart"/>
      <w:r w:rsidRPr="00E71B75">
        <w:rPr>
          <w:color w:val="000000" w:themeColor="text1"/>
        </w:rPr>
        <w:t>Doorn</w:t>
      </w:r>
      <w:proofErr w:type="spellEnd"/>
      <w:r w:rsidRPr="00E71B75">
        <w:rPr>
          <w:color w:val="000000" w:themeColor="text1"/>
        </w:rPr>
        <w:t>. 2003. Embolism in rose stems as a result of vascular Occlusion by bacteria. Postharvest Biology and Technology, 29: 334-340.</w:t>
      </w:r>
    </w:p>
    <w:p w14:paraId="7A0F74BD" w14:textId="77777777" w:rsidR="004D084A" w:rsidRPr="00E71B75" w:rsidRDefault="004D084A" w:rsidP="004D084A">
      <w:pPr>
        <w:pStyle w:val="Body"/>
        <w:ind w:left="720" w:hanging="720"/>
        <w:rPr>
          <w:color w:val="000000" w:themeColor="text1"/>
        </w:rPr>
      </w:pPr>
      <w:proofErr w:type="spellStart"/>
      <w:r w:rsidRPr="00E71B75">
        <w:rPr>
          <w:color w:val="000000" w:themeColor="text1"/>
        </w:rPr>
        <w:t>Chanasut</w:t>
      </w:r>
      <w:proofErr w:type="spellEnd"/>
      <w:r w:rsidRPr="00E71B75">
        <w:rPr>
          <w:color w:val="000000" w:themeColor="text1"/>
        </w:rPr>
        <w:t xml:space="preserve"> U., H.J. Rogers, M.K. </w:t>
      </w:r>
      <w:proofErr w:type="spellStart"/>
      <w:r w:rsidRPr="00E71B75">
        <w:rPr>
          <w:color w:val="000000" w:themeColor="text1"/>
        </w:rPr>
        <w:t>Leverenttz</w:t>
      </w:r>
      <w:proofErr w:type="spellEnd"/>
      <w:r w:rsidRPr="00E71B75">
        <w:rPr>
          <w:color w:val="000000" w:themeColor="text1"/>
        </w:rPr>
        <w:t>, G. Griffiths, B. Thomas, C. Wagstaff and A.D. Stead. 2003. Increasing flower longevity in Alstroemeria. Postharvest Biology and Technology, 29:324-332.</w:t>
      </w:r>
    </w:p>
    <w:p w14:paraId="3DFE61CF" w14:textId="77777777" w:rsidR="004D084A" w:rsidRPr="00E71B75" w:rsidRDefault="004D084A" w:rsidP="00CF2767">
      <w:pPr>
        <w:pStyle w:val="Body"/>
        <w:ind w:left="720" w:hanging="720"/>
        <w:rPr>
          <w:color w:val="000000" w:themeColor="text1"/>
        </w:rPr>
      </w:pPr>
      <w:r w:rsidRPr="00E71B75">
        <w:rPr>
          <w:color w:val="000000" w:themeColor="text1"/>
        </w:rPr>
        <w:t xml:space="preserve">Chaudhary, N., Swaroop, K., </w:t>
      </w:r>
      <w:proofErr w:type="spellStart"/>
      <w:r w:rsidRPr="00E71B75">
        <w:rPr>
          <w:color w:val="000000" w:themeColor="text1"/>
        </w:rPr>
        <w:t>Janakiram</w:t>
      </w:r>
      <w:proofErr w:type="spellEnd"/>
      <w:r w:rsidRPr="00E71B75">
        <w:rPr>
          <w:color w:val="000000" w:themeColor="text1"/>
        </w:rPr>
        <w:t xml:space="preserve">, T., Biswas, D. R., &amp; Singh, G. (2013). Effect of integrated nutrient management on vegetative growth and flowering characters of gladiolus. </w:t>
      </w:r>
      <w:r w:rsidRPr="00E71B75">
        <w:rPr>
          <w:i/>
          <w:iCs/>
          <w:color w:val="000000" w:themeColor="text1"/>
        </w:rPr>
        <w:t>Indian Journal of Horticulture</w:t>
      </w:r>
      <w:r w:rsidRPr="00E71B75">
        <w:rPr>
          <w:color w:val="000000" w:themeColor="text1"/>
        </w:rPr>
        <w:t xml:space="preserve">, </w:t>
      </w:r>
      <w:r w:rsidRPr="00E71B75">
        <w:rPr>
          <w:i/>
          <w:iCs/>
          <w:color w:val="000000" w:themeColor="text1"/>
        </w:rPr>
        <w:t>70</w:t>
      </w:r>
      <w:r w:rsidRPr="00E71B75">
        <w:rPr>
          <w:color w:val="000000" w:themeColor="text1"/>
        </w:rPr>
        <w:t>(1), 156-159.</w:t>
      </w:r>
    </w:p>
    <w:p w14:paraId="62FB1272" w14:textId="77777777" w:rsidR="004D084A" w:rsidRPr="00E71B75" w:rsidRDefault="004D084A" w:rsidP="00CF2767">
      <w:pPr>
        <w:pStyle w:val="Body"/>
        <w:ind w:left="720" w:hanging="720"/>
        <w:rPr>
          <w:color w:val="000000" w:themeColor="text1"/>
        </w:rPr>
      </w:pPr>
      <w:proofErr w:type="spellStart"/>
      <w:r w:rsidRPr="00E71B75">
        <w:rPr>
          <w:color w:val="000000" w:themeColor="text1"/>
          <w:lang w:val="en-IN"/>
        </w:rPr>
        <w:t>Chinnusamy</w:t>
      </w:r>
      <w:proofErr w:type="spellEnd"/>
      <w:r w:rsidRPr="00E71B75">
        <w:rPr>
          <w:color w:val="000000" w:themeColor="text1"/>
          <w:lang w:val="en-IN"/>
        </w:rPr>
        <w:t xml:space="preserve">, V., </w:t>
      </w:r>
      <w:proofErr w:type="spellStart"/>
      <w:r w:rsidRPr="00E71B75">
        <w:rPr>
          <w:color w:val="000000" w:themeColor="text1"/>
          <w:lang w:val="en-IN"/>
        </w:rPr>
        <w:t>Jagendorf</w:t>
      </w:r>
      <w:proofErr w:type="spellEnd"/>
      <w:r w:rsidRPr="00E71B75">
        <w:rPr>
          <w:color w:val="000000" w:themeColor="text1"/>
          <w:lang w:val="en-IN"/>
        </w:rPr>
        <w:t xml:space="preserve">, A., &amp; Zhu, J. K. (2005). Understanding and improving salt tolerance in plants. </w:t>
      </w:r>
      <w:r w:rsidRPr="00E71B75">
        <w:rPr>
          <w:i/>
          <w:iCs/>
          <w:color w:val="000000" w:themeColor="text1"/>
          <w:lang w:val="en-IN"/>
        </w:rPr>
        <w:t xml:space="preserve">Crop Science, </w:t>
      </w:r>
      <w:r w:rsidRPr="00E71B75">
        <w:rPr>
          <w:b/>
          <w:bCs/>
          <w:color w:val="000000" w:themeColor="text1"/>
          <w:lang w:val="en-IN"/>
        </w:rPr>
        <w:t xml:space="preserve">45, </w:t>
      </w:r>
      <w:r w:rsidRPr="00E71B75">
        <w:rPr>
          <w:i/>
          <w:iCs/>
          <w:color w:val="000000" w:themeColor="text1"/>
          <w:lang w:val="en-IN"/>
        </w:rPr>
        <w:t>437-448.</w:t>
      </w:r>
    </w:p>
    <w:p w14:paraId="54FF8DDB" w14:textId="77777777" w:rsidR="004D084A" w:rsidRPr="00E71B75" w:rsidRDefault="004D084A" w:rsidP="00CF2767">
      <w:pPr>
        <w:pStyle w:val="Body"/>
        <w:ind w:left="720" w:hanging="720"/>
        <w:rPr>
          <w:color w:val="000000" w:themeColor="text1"/>
        </w:rPr>
      </w:pPr>
      <w:proofErr w:type="spellStart"/>
      <w:r w:rsidRPr="00E71B75">
        <w:rPr>
          <w:color w:val="000000" w:themeColor="text1"/>
          <w:lang w:val="en-IN"/>
        </w:rPr>
        <w:t>Deshi</w:t>
      </w:r>
      <w:proofErr w:type="spellEnd"/>
      <w:r w:rsidRPr="00E71B75">
        <w:rPr>
          <w:color w:val="000000" w:themeColor="text1"/>
          <w:lang w:val="en-IN"/>
        </w:rPr>
        <w:t xml:space="preserve">, K. E., </w:t>
      </w:r>
      <w:proofErr w:type="spellStart"/>
      <w:r w:rsidRPr="00E71B75">
        <w:rPr>
          <w:color w:val="000000" w:themeColor="text1"/>
          <w:lang w:val="en-IN"/>
        </w:rPr>
        <w:t>Oko</w:t>
      </w:r>
      <w:proofErr w:type="spellEnd"/>
      <w:r w:rsidRPr="00E71B75">
        <w:rPr>
          <w:color w:val="000000" w:themeColor="text1"/>
          <w:lang w:val="en-IN"/>
        </w:rPr>
        <w:t xml:space="preserve">, M. O., </w:t>
      </w:r>
      <w:proofErr w:type="spellStart"/>
      <w:r w:rsidRPr="00E71B75">
        <w:rPr>
          <w:color w:val="000000" w:themeColor="text1"/>
          <w:lang w:val="en-IN"/>
        </w:rPr>
        <w:t>Nanbol</w:t>
      </w:r>
      <w:proofErr w:type="spellEnd"/>
      <w:r w:rsidRPr="00E71B75">
        <w:rPr>
          <w:color w:val="000000" w:themeColor="text1"/>
          <w:lang w:val="en-IN"/>
        </w:rPr>
        <w:t xml:space="preserve">, K. K., &amp; </w:t>
      </w:r>
      <w:proofErr w:type="spellStart"/>
      <w:r w:rsidRPr="00E71B75">
        <w:rPr>
          <w:color w:val="000000" w:themeColor="text1"/>
          <w:lang w:val="en-IN"/>
        </w:rPr>
        <w:t>Satdom</w:t>
      </w:r>
      <w:proofErr w:type="spellEnd"/>
      <w:r w:rsidRPr="00E71B75">
        <w:rPr>
          <w:color w:val="000000" w:themeColor="text1"/>
          <w:lang w:val="en-IN"/>
        </w:rPr>
        <w:t xml:space="preserve">, S. M. (2021). Effect of Coconut (Cocos nucifera L.) Water on Flowering </w:t>
      </w:r>
      <w:proofErr w:type="spellStart"/>
      <w:r w:rsidRPr="00E71B75">
        <w:rPr>
          <w:color w:val="000000" w:themeColor="text1"/>
          <w:lang w:val="en-IN"/>
        </w:rPr>
        <w:t>Behavior</w:t>
      </w:r>
      <w:proofErr w:type="spellEnd"/>
      <w:r w:rsidRPr="00E71B75">
        <w:rPr>
          <w:color w:val="000000" w:themeColor="text1"/>
          <w:lang w:val="en-IN"/>
        </w:rPr>
        <w:t xml:space="preserve"> of Selected Potato (Solanum tuberosum L.) Varieties in Jos Plateau State Nigeria. </w:t>
      </w:r>
      <w:r w:rsidRPr="00E71B75">
        <w:rPr>
          <w:i/>
          <w:iCs/>
          <w:color w:val="000000" w:themeColor="text1"/>
          <w:lang w:val="en-IN"/>
        </w:rPr>
        <w:t>Australian Journal of Science and Technology</w:t>
      </w:r>
      <w:r w:rsidRPr="00E71B75">
        <w:rPr>
          <w:color w:val="000000" w:themeColor="text1"/>
          <w:lang w:val="en-IN"/>
        </w:rPr>
        <w:t xml:space="preserve">, </w:t>
      </w:r>
      <w:r w:rsidRPr="00E71B75">
        <w:rPr>
          <w:i/>
          <w:iCs/>
          <w:color w:val="000000" w:themeColor="text1"/>
          <w:lang w:val="en-IN"/>
        </w:rPr>
        <w:t>5</w:t>
      </w:r>
      <w:r w:rsidRPr="00E71B75">
        <w:rPr>
          <w:color w:val="000000" w:themeColor="text1"/>
          <w:lang w:val="en-IN"/>
        </w:rPr>
        <w:t>(3), 647-652.</w:t>
      </w:r>
    </w:p>
    <w:p w14:paraId="6AF200B8" w14:textId="77777777" w:rsidR="004D084A" w:rsidRPr="00E71B75" w:rsidRDefault="004D084A" w:rsidP="00CF2767">
      <w:pPr>
        <w:pStyle w:val="Body"/>
        <w:ind w:left="720" w:hanging="720"/>
        <w:rPr>
          <w:color w:val="000000" w:themeColor="text1"/>
        </w:rPr>
      </w:pPr>
      <w:r w:rsidRPr="00E71B75">
        <w:rPr>
          <w:color w:val="000000" w:themeColor="text1"/>
        </w:rPr>
        <w:t xml:space="preserve">Diya, A., </w:t>
      </w:r>
      <w:proofErr w:type="spellStart"/>
      <w:r w:rsidRPr="00E71B75">
        <w:rPr>
          <w:color w:val="000000" w:themeColor="text1"/>
        </w:rPr>
        <w:t>Beena</w:t>
      </w:r>
      <w:proofErr w:type="spellEnd"/>
      <w:r w:rsidRPr="00E71B75">
        <w:rPr>
          <w:color w:val="000000" w:themeColor="text1"/>
        </w:rPr>
        <w:t xml:space="preserve">, R. and </w:t>
      </w:r>
      <w:proofErr w:type="spellStart"/>
      <w:r w:rsidRPr="00E71B75">
        <w:rPr>
          <w:color w:val="000000" w:themeColor="text1"/>
        </w:rPr>
        <w:t>Jayalekshmy</w:t>
      </w:r>
      <w:proofErr w:type="spellEnd"/>
      <w:r w:rsidRPr="00E71B75">
        <w:rPr>
          <w:color w:val="000000" w:themeColor="text1"/>
        </w:rPr>
        <w:t xml:space="preserve">, V.G. (2024). Physiological, Biochemical and Molecular Mechanisms of Seed Priming: A Review. Legume Research. 47(2): 159-166. </w:t>
      </w:r>
      <w:proofErr w:type="spellStart"/>
      <w:r w:rsidRPr="00E71B75">
        <w:rPr>
          <w:color w:val="000000" w:themeColor="text1"/>
        </w:rPr>
        <w:t>doi</w:t>
      </w:r>
      <w:proofErr w:type="spellEnd"/>
      <w:r w:rsidRPr="00E71B75">
        <w:rPr>
          <w:color w:val="000000" w:themeColor="text1"/>
        </w:rPr>
        <w:t>: 10.18805/LR-4638.</w:t>
      </w:r>
    </w:p>
    <w:p w14:paraId="61127DD7" w14:textId="77777777" w:rsidR="004D084A" w:rsidRPr="00E71B75" w:rsidRDefault="004D084A" w:rsidP="00CF2767">
      <w:pPr>
        <w:pStyle w:val="Body"/>
        <w:ind w:left="720" w:hanging="720"/>
        <w:rPr>
          <w:color w:val="000000" w:themeColor="text1"/>
        </w:rPr>
      </w:pPr>
      <w:r w:rsidRPr="00E71B75">
        <w:rPr>
          <w:color w:val="000000" w:themeColor="text1"/>
          <w:lang w:val="en-IN"/>
        </w:rPr>
        <w:t xml:space="preserve">Halevy, A. H. &amp; </w:t>
      </w:r>
      <w:proofErr w:type="spellStart"/>
      <w:r w:rsidRPr="00E71B75">
        <w:rPr>
          <w:color w:val="000000" w:themeColor="text1"/>
          <w:lang w:val="en-IN"/>
        </w:rPr>
        <w:t>Mayak</w:t>
      </w:r>
      <w:proofErr w:type="spellEnd"/>
      <w:r w:rsidRPr="00E71B75">
        <w:rPr>
          <w:color w:val="000000" w:themeColor="text1"/>
          <w:lang w:val="en-IN"/>
        </w:rPr>
        <w:t xml:space="preserve">, S. (1979). Senescence and postharvest physiology of cut flowers, part 1. </w:t>
      </w:r>
      <w:r w:rsidRPr="00E71B75">
        <w:rPr>
          <w:i/>
          <w:iCs/>
          <w:color w:val="000000" w:themeColor="text1"/>
          <w:lang w:val="en-IN"/>
        </w:rPr>
        <w:t>Hort. Rev</w:t>
      </w:r>
      <w:r w:rsidRPr="00E71B75">
        <w:rPr>
          <w:color w:val="000000" w:themeColor="text1"/>
          <w:lang w:val="en-IN"/>
        </w:rPr>
        <w:t xml:space="preserve">, </w:t>
      </w:r>
      <w:r w:rsidRPr="00E71B75">
        <w:rPr>
          <w:i/>
          <w:iCs/>
          <w:color w:val="000000" w:themeColor="text1"/>
          <w:lang w:val="en-IN"/>
        </w:rPr>
        <w:t>1</w:t>
      </w:r>
      <w:r w:rsidRPr="00E71B75">
        <w:rPr>
          <w:color w:val="000000" w:themeColor="text1"/>
          <w:lang w:val="en-IN"/>
        </w:rPr>
        <w:t>(1), 204-236.</w:t>
      </w:r>
    </w:p>
    <w:p w14:paraId="1D7289A2" w14:textId="77777777" w:rsidR="004D084A" w:rsidRPr="00E71B75" w:rsidRDefault="004D084A" w:rsidP="004D084A">
      <w:pPr>
        <w:pStyle w:val="Body"/>
        <w:ind w:left="720" w:hanging="720"/>
        <w:rPr>
          <w:color w:val="000000" w:themeColor="text1"/>
        </w:rPr>
      </w:pPr>
      <w:proofErr w:type="spellStart"/>
      <w:r w:rsidRPr="00E71B75">
        <w:rPr>
          <w:color w:val="000000" w:themeColor="text1"/>
        </w:rPr>
        <w:t>Ichimura</w:t>
      </w:r>
      <w:proofErr w:type="spellEnd"/>
      <w:r w:rsidRPr="00E71B75">
        <w:rPr>
          <w:color w:val="000000" w:themeColor="text1"/>
        </w:rPr>
        <w:t xml:space="preserve"> K., K. Kojima and G. </w:t>
      </w:r>
      <w:proofErr w:type="spellStart"/>
      <w:r w:rsidRPr="00E71B75">
        <w:rPr>
          <w:color w:val="000000" w:themeColor="text1"/>
        </w:rPr>
        <w:t>Rie</w:t>
      </w:r>
      <w:proofErr w:type="spellEnd"/>
      <w:r w:rsidRPr="00E71B75">
        <w:rPr>
          <w:color w:val="000000" w:themeColor="text1"/>
        </w:rPr>
        <w:t>. 1999. Effect of temperature, 8-hydroxyquinoline sulphate and sucrose on vase life of cut rose flowers. Postharvest Biology and Technology, 15:33-40.</w:t>
      </w:r>
    </w:p>
    <w:p w14:paraId="4E16CE3D" w14:textId="77777777" w:rsidR="004D084A" w:rsidRPr="00E71B75" w:rsidRDefault="004D084A" w:rsidP="004D084A">
      <w:pPr>
        <w:pStyle w:val="Body"/>
        <w:ind w:left="720" w:hanging="720"/>
        <w:rPr>
          <w:color w:val="000000" w:themeColor="text1"/>
        </w:rPr>
      </w:pPr>
      <w:proofErr w:type="spellStart"/>
      <w:r w:rsidRPr="00E71B75">
        <w:rPr>
          <w:color w:val="000000" w:themeColor="text1"/>
        </w:rPr>
        <w:t>Ichimura</w:t>
      </w:r>
      <w:proofErr w:type="spellEnd"/>
      <w:r w:rsidRPr="00E71B75">
        <w:rPr>
          <w:color w:val="000000" w:themeColor="text1"/>
        </w:rPr>
        <w:t xml:space="preserve"> K., M. Taguchi and R. </w:t>
      </w:r>
      <w:proofErr w:type="spellStart"/>
      <w:r w:rsidRPr="00E71B75">
        <w:rPr>
          <w:color w:val="000000" w:themeColor="text1"/>
        </w:rPr>
        <w:t>Norikoshi</w:t>
      </w:r>
      <w:proofErr w:type="spellEnd"/>
      <w:r w:rsidRPr="00E71B75">
        <w:rPr>
          <w:color w:val="000000" w:themeColor="text1"/>
        </w:rPr>
        <w:t xml:space="preserve">. 2006. Extension of vase life in cut roses by treatment with glucose, </w:t>
      </w:r>
      <w:proofErr w:type="spellStart"/>
      <w:r w:rsidRPr="00E71B75">
        <w:rPr>
          <w:color w:val="000000" w:themeColor="text1"/>
        </w:rPr>
        <w:t>isothiazolinonic</w:t>
      </w:r>
      <w:proofErr w:type="spellEnd"/>
      <w:r w:rsidRPr="00E71B75">
        <w:rPr>
          <w:color w:val="000000" w:themeColor="text1"/>
        </w:rPr>
        <w:t xml:space="preserve"> germicide citric acid and aluminum sulphate solution. Japan Agricultural Research Quarterly, 40: 263-269.</w:t>
      </w:r>
    </w:p>
    <w:p w14:paraId="5BF2D173" w14:textId="77777777" w:rsidR="004D084A" w:rsidRPr="00E71B75" w:rsidRDefault="004D084A" w:rsidP="00CF2767">
      <w:pPr>
        <w:pStyle w:val="Body"/>
        <w:ind w:left="720" w:hanging="720"/>
        <w:rPr>
          <w:color w:val="000000" w:themeColor="text1"/>
        </w:rPr>
      </w:pPr>
      <w:r w:rsidRPr="00E71B75">
        <w:rPr>
          <w:color w:val="000000" w:themeColor="text1"/>
        </w:rPr>
        <w:lastRenderedPageBreak/>
        <w:t xml:space="preserve">Jean, W. H. Yong, </w:t>
      </w:r>
      <w:proofErr w:type="spellStart"/>
      <w:r w:rsidRPr="00E71B75">
        <w:rPr>
          <w:color w:val="000000" w:themeColor="text1"/>
        </w:rPr>
        <w:t>Liya</w:t>
      </w:r>
      <w:proofErr w:type="spellEnd"/>
      <w:r w:rsidRPr="00E71B75">
        <w:rPr>
          <w:color w:val="000000" w:themeColor="text1"/>
        </w:rPr>
        <w:t xml:space="preserve"> Ge, Yan Fei Ng and </w:t>
      </w:r>
      <w:proofErr w:type="spellStart"/>
      <w:r w:rsidRPr="00E71B75">
        <w:rPr>
          <w:color w:val="000000" w:themeColor="text1"/>
        </w:rPr>
        <w:t>Swee</w:t>
      </w:r>
      <w:proofErr w:type="spellEnd"/>
      <w:r w:rsidRPr="00E71B75">
        <w:rPr>
          <w:color w:val="000000" w:themeColor="text1"/>
        </w:rPr>
        <w:t xml:space="preserve"> </w:t>
      </w:r>
      <w:proofErr w:type="spellStart"/>
      <w:r w:rsidRPr="00E71B75">
        <w:rPr>
          <w:color w:val="000000" w:themeColor="text1"/>
        </w:rPr>
        <w:t>Ngin</w:t>
      </w:r>
      <w:proofErr w:type="spellEnd"/>
      <w:r w:rsidRPr="00E71B75">
        <w:rPr>
          <w:color w:val="000000" w:themeColor="text1"/>
        </w:rPr>
        <w:t xml:space="preserve"> Tan. (2009). The Chemical Composition and Biological Properties of Coconut (</w:t>
      </w:r>
      <w:r w:rsidRPr="00E71B75">
        <w:rPr>
          <w:i/>
          <w:iCs/>
          <w:color w:val="000000" w:themeColor="text1"/>
        </w:rPr>
        <w:t xml:space="preserve">Cocos nucifera </w:t>
      </w:r>
      <w:r w:rsidRPr="00E71B75">
        <w:rPr>
          <w:color w:val="000000" w:themeColor="text1"/>
        </w:rPr>
        <w:t xml:space="preserve">L.) Water. </w:t>
      </w:r>
      <w:r w:rsidRPr="00E71B75">
        <w:rPr>
          <w:i/>
          <w:iCs/>
          <w:color w:val="000000" w:themeColor="text1"/>
        </w:rPr>
        <w:t>Molecules</w:t>
      </w:r>
      <w:r w:rsidRPr="00E71B75">
        <w:rPr>
          <w:color w:val="000000" w:themeColor="text1"/>
        </w:rPr>
        <w:t>.,14: 5144-5164.</w:t>
      </w:r>
    </w:p>
    <w:p w14:paraId="0D5A1A13" w14:textId="77777777" w:rsidR="004D084A" w:rsidRPr="00E71B75" w:rsidRDefault="004D084A" w:rsidP="004D084A">
      <w:pPr>
        <w:pStyle w:val="Body"/>
        <w:ind w:left="720" w:hanging="720"/>
        <w:rPr>
          <w:color w:val="000000" w:themeColor="text1"/>
        </w:rPr>
      </w:pPr>
      <w:proofErr w:type="spellStart"/>
      <w:r w:rsidRPr="00E71B75">
        <w:rPr>
          <w:color w:val="000000" w:themeColor="text1"/>
        </w:rPr>
        <w:t>Jisha</w:t>
      </w:r>
      <w:proofErr w:type="spellEnd"/>
      <w:r w:rsidRPr="00E71B75">
        <w:rPr>
          <w:color w:val="000000" w:themeColor="text1"/>
        </w:rPr>
        <w:t xml:space="preserve">, K.C., </w:t>
      </w:r>
      <w:proofErr w:type="spellStart"/>
      <w:r w:rsidRPr="00E71B75">
        <w:rPr>
          <w:color w:val="000000" w:themeColor="text1"/>
        </w:rPr>
        <w:t>Vijayakumari</w:t>
      </w:r>
      <w:proofErr w:type="spellEnd"/>
      <w:r w:rsidRPr="00E71B75">
        <w:rPr>
          <w:color w:val="000000" w:themeColor="text1"/>
        </w:rPr>
        <w:t xml:space="preserve">, K., </w:t>
      </w:r>
      <w:proofErr w:type="spellStart"/>
      <w:r w:rsidRPr="00E71B75">
        <w:rPr>
          <w:color w:val="000000" w:themeColor="text1"/>
        </w:rPr>
        <w:t>Puthur</w:t>
      </w:r>
      <w:proofErr w:type="spellEnd"/>
      <w:r w:rsidRPr="00E71B75">
        <w:rPr>
          <w:color w:val="000000" w:themeColor="text1"/>
        </w:rPr>
        <w:t xml:space="preserve">, J.T. (2013). Seed priming for abiotic stress tolerance: An overview. Acta </w:t>
      </w:r>
      <w:proofErr w:type="spellStart"/>
      <w:r w:rsidRPr="00E71B75">
        <w:rPr>
          <w:color w:val="000000" w:themeColor="text1"/>
        </w:rPr>
        <w:t>Physiologia</w:t>
      </w:r>
      <w:proofErr w:type="spellEnd"/>
      <w:r w:rsidRPr="00E71B75">
        <w:rPr>
          <w:color w:val="000000" w:themeColor="text1"/>
        </w:rPr>
        <w:t xml:space="preserve"> Plantarum. 35(5): 1381-1396.</w:t>
      </w:r>
    </w:p>
    <w:p w14:paraId="54A6F097" w14:textId="77777777" w:rsidR="004D084A" w:rsidRPr="00E71B75" w:rsidRDefault="004D084A" w:rsidP="004D084A">
      <w:pPr>
        <w:pStyle w:val="Body"/>
        <w:ind w:left="720" w:hanging="720"/>
        <w:rPr>
          <w:color w:val="000000" w:themeColor="text1"/>
        </w:rPr>
      </w:pPr>
      <w:r w:rsidRPr="00E71B75">
        <w:rPr>
          <w:color w:val="000000" w:themeColor="text1"/>
          <w:lang w:val="en-IN"/>
        </w:rPr>
        <w:t>Kumar M. (2014) Effect of different sources of nutrients on growth and flowering in gladiolus (</w:t>
      </w:r>
      <w:r w:rsidRPr="00E71B75">
        <w:rPr>
          <w:i/>
          <w:iCs/>
          <w:color w:val="000000" w:themeColor="text1"/>
          <w:lang w:val="en-IN"/>
        </w:rPr>
        <w:t xml:space="preserve">Gladiolus hybridus </w:t>
      </w:r>
      <w:r w:rsidRPr="00E71B75">
        <w:rPr>
          <w:color w:val="000000" w:themeColor="text1"/>
          <w:lang w:val="en-IN"/>
        </w:rPr>
        <w:t xml:space="preserve">hort.) CV. </w:t>
      </w:r>
      <w:proofErr w:type="spellStart"/>
      <w:r w:rsidRPr="00E71B75">
        <w:rPr>
          <w:color w:val="000000" w:themeColor="text1"/>
          <w:lang w:val="en-IN"/>
        </w:rPr>
        <w:t>Peater</w:t>
      </w:r>
      <w:proofErr w:type="spellEnd"/>
      <w:r w:rsidRPr="00E71B75">
        <w:rPr>
          <w:color w:val="000000" w:themeColor="text1"/>
          <w:lang w:val="en-IN"/>
        </w:rPr>
        <w:t xml:space="preserve"> Pears. Annals of Horticulture.;7(2),154-158.</w:t>
      </w:r>
    </w:p>
    <w:p w14:paraId="2368B8B5" w14:textId="77777777" w:rsidR="004D084A" w:rsidRPr="00E71B75" w:rsidRDefault="004D084A" w:rsidP="004D084A">
      <w:pPr>
        <w:pStyle w:val="Body"/>
        <w:ind w:left="720" w:hanging="720"/>
        <w:rPr>
          <w:color w:val="000000" w:themeColor="text1"/>
        </w:rPr>
      </w:pPr>
      <w:r w:rsidRPr="00E71B75">
        <w:rPr>
          <w:color w:val="000000" w:themeColor="text1"/>
        </w:rPr>
        <w:t xml:space="preserve">Kumar, M., Chaudhary, V., Naresh, R. K., Maurya, O. P., &amp; Pal, S. L. (2018). Does integrated sources of nutrients enhance growth, yield, quality and soil fertility of vegetable crops. </w:t>
      </w:r>
      <w:r w:rsidRPr="00E71B75">
        <w:rPr>
          <w:i/>
          <w:iCs/>
          <w:color w:val="000000" w:themeColor="text1"/>
        </w:rPr>
        <w:t xml:space="preserve">Int. J. </w:t>
      </w:r>
      <w:proofErr w:type="spellStart"/>
      <w:r w:rsidRPr="00E71B75">
        <w:rPr>
          <w:i/>
          <w:iCs/>
          <w:color w:val="000000" w:themeColor="text1"/>
        </w:rPr>
        <w:t>Curr</w:t>
      </w:r>
      <w:proofErr w:type="spellEnd"/>
      <w:r w:rsidRPr="00E71B75">
        <w:rPr>
          <w:i/>
          <w:iCs/>
          <w:color w:val="000000" w:themeColor="text1"/>
        </w:rPr>
        <w:t>. Microbiol. App. Sci</w:t>
      </w:r>
      <w:r w:rsidRPr="00E71B75">
        <w:rPr>
          <w:color w:val="000000" w:themeColor="text1"/>
        </w:rPr>
        <w:t xml:space="preserve">, </w:t>
      </w:r>
      <w:r w:rsidRPr="00E71B75">
        <w:rPr>
          <w:i/>
          <w:iCs/>
          <w:color w:val="000000" w:themeColor="text1"/>
        </w:rPr>
        <w:t>7</w:t>
      </w:r>
      <w:r w:rsidRPr="00E71B75">
        <w:rPr>
          <w:color w:val="000000" w:themeColor="text1"/>
        </w:rPr>
        <w:t>(6), 125-155.</w:t>
      </w:r>
    </w:p>
    <w:p w14:paraId="0382C828" w14:textId="77777777" w:rsidR="004D084A" w:rsidRPr="00E71B75" w:rsidRDefault="004D084A" w:rsidP="004D084A">
      <w:pPr>
        <w:pStyle w:val="Body"/>
        <w:ind w:left="720" w:hanging="720"/>
        <w:rPr>
          <w:color w:val="000000" w:themeColor="text1"/>
        </w:rPr>
      </w:pPr>
      <w:r w:rsidRPr="00E71B75">
        <w:rPr>
          <w:color w:val="000000" w:themeColor="text1"/>
          <w:lang w:val="en-IN"/>
        </w:rPr>
        <w:t xml:space="preserve">Kumar, M., Chaudhary, V., Yadav, M.K. et al. (2024d) RNAi:  A Potent Biotechnological Tool    for    Improvement    of    Ornamental Crops. Plant Mol </w:t>
      </w:r>
      <w:proofErr w:type="spellStart"/>
      <w:r w:rsidRPr="00E71B75">
        <w:rPr>
          <w:color w:val="000000" w:themeColor="text1"/>
          <w:lang w:val="en-IN"/>
        </w:rPr>
        <w:t>Biol</w:t>
      </w:r>
      <w:proofErr w:type="spellEnd"/>
      <w:r w:rsidRPr="00E71B75">
        <w:rPr>
          <w:color w:val="000000" w:themeColor="text1"/>
          <w:lang w:val="en-IN"/>
        </w:rPr>
        <w:t xml:space="preserve"> Rep. </w:t>
      </w:r>
      <w:hyperlink r:id="rId15" w:history="1">
        <w:r w:rsidRPr="00E71B75">
          <w:rPr>
            <w:rStyle w:val="Hyperlink"/>
            <w:color w:val="000000" w:themeColor="text1"/>
            <w:lang w:val="en-IN"/>
          </w:rPr>
          <w:t>https://doi.org/10.1007/s11105-024-01475-0</w:t>
        </w:r>
      </w:hyperlink>
    </w:p>
    <w:p w14:paraId="4B45562F" w14:textId="77777777" w:rsidR="004D084A" w:rsidRPr="00E71B75" w:rsidRDefault="004D084A" w:rsidP="004D084A">
      <w:pPr>
        <w:pStyle w:val="Body"/>
        <w:ind w:left="720" w:hanging="720"/>
        <w:rPr>
          <w:color w:val="000000" w:themeColor="text1"/>
        </w:rPr>
      </w:pPr>
      <w:r w:rsidRPr="00E71B75">
        <w:rPr>
          <w:bCs/>
          <w:color w:val="000000" w:themeColor="text1"/>
        </w:rPr>
        <w:t xml:space="preserve">Kumar, M., Kumar, R., </w:t>
      </w:r>
      <w:proofErr w:type="spellStart"/>
      <w:r w:rsidRPr="00E71B75">
        <w:rPr>
          <w:bCs/>
          <w:color w:val="000000" w:themeColor="text1"/>
        </w:rPr>
        <w:t>Motla</w:t>
      </w:r>
      <w:proofErr w:type="spellEnd"/>
      <w:r w:rsidRPr="00E71B75">
        <w:rPr>
          <w:bCs/>
          <w:color w:val="000000" w:themeColor="text1"/>
        </w:rPr>
        <w:t>, R., Sharma, M., Shukla, D., Kaushik, K., &amp; Singh, R. (2024b). Innovative Eco-friendly Approaches to Enhance the Vase Life of Cut Flowers: A Comprehensive Review. </w:t>
      </w:r>
      <w:r w:rsidRPr="00E71B75">
        <w:rPr>
          <w:bCs/>
          <w:i/>
          <w:iCs/>
          <w:color w:val="000000" w:themeColor="text1"/>
        </w:rPr>
        <w:t>Journal of Advances in Biology &amp; Biotechnology</w:t>
      </w:r>
      <w:r w:rsidRPr="00E71B75">
        <w:rPr>
          <w:bCs/>
          <w:color w:val="000000" w:themeColor="text1"/>
        </w:rPr>
        <w:t>, </w:t>
      </w:r>
      <w:r w:rsidRPr="00E71B75">
        <w:rPr>
          <w:bCs/>
          <w:i/>
          <w:iCs/>
          <w:color w:val="000000" w:themeColor="text1"/>
        </w:rPr>
        <w:t>27</w:t>
      </w:r>
      <w:r w:rsidRPr="00E71B75">
        <w:rPr>
          <w:bCs/>
          <w:color w:val="000000" w:themeColor="text1"/>
        </w:rPr>
        <w:t>(12), 36-45.</w:t>
      </w:r>
    </w:p>
    <w:p w14:paraId="3E0836FF" w14:textId="77777777" w:rsidR="004D084A" w:rsidRPr="00E71B75" w:rsidRDefault="004D084A" w:rsidP="004D084A">
      <w:pPr>
        <w:pStyle w:val="Body"/>
        <w:ind w:left="720" w:hanging="720"/>
        <w:rPr>
          <w:color w:val="000000" w:themeColor="text1"/>
        </w:rPr>
      </w:pPr>
      <w:r w:rsidRPr="00E71B75">
        <w:rPr>
          <w:color w:val="000000" w:themeColor="text1"/>
          <w:lang w:val="en-IN"/>
        </w:rPr>
        <w:t xml:space="preserve">Kumar, M., Panwar, V., Chaudhary, V., &amp; Kumar, R. (2024c).  Artificial miRNAs:  A potential tool for genetic improvement of horticultural crops. Scientia </w:t>
      </w:r>
      <w:proofErr w:type="spellStart"/>
      <w:r w:rsidRPr="00E71B75">
        <w:rPr>
          <w:color w:val="000000" w:themeColor="text1"/>
          <w:lang w:val="en-IN"/>
        </w:rPr>
        <w:t>Horticulturae</w:t>
      </w:r>
      <w:proofErr w:type="spellEnd"/>
      <w:r w:rsidRPr="00E71B75">
        <w:rPr>
          <w:color w:val="000000" w:themeColor="text1"/>
          <w:lang w:val="en-IN"/>
        </w:rPr>
        <w:t>, 331, 113160.</w:t>
      </w:r>
    </w:p>
    <w:p w14:paraId="5C329A05" w14:textId="77777777" w:rsidR="004D084A" w:rsidRPr="00E71B75" w:rsidRDefault="004D084A" w:rsidP="004D084A">
      <w:pPr>
        <w:pStyle w:val="Body"/>
        <w:ind w:left="720" w:hanging="720"/>
        <w:rPr>
          <w:color w:val="000000" w:themeColor="text1"/>
        </w:rPr>
      </w:pPr>
      <w:r w:rsidRPr="00E71B75">
        <w:rPr>
          <w:color w:val="000000" w:themeColor="text1"/>
          <w:lang w:val="en-IN"/>
        </w:rPr>
        <w:t>Kumar, R.,   Yadav, M.   K., Shankar, B.   A., Sharma, S., &amp; Rani, R. (2022).  Effect of different chemicals to enhance vase life of tuberose (</w:t>
      </w:r>
      <w:r w:rsidRPr="00E71B75">
        <w:rPr>
          <w:i/>
          <w:iCs/>
          <w:color w:val="000000" w:themeColor="text1"/>
          <w:lang w:val="en-IN"/>
        </w:rPr>
        <w:t>Polianthes   tuberosa</w:t>
      </w:r>
      <w:r w:rsidRPr="00E71B75">
        <w:rPr>
          <w:color w:val="000000" w:themeColor="text1"/>
          <w:lang w:val="en-IN"/>
        </w:rPr>
        <w:t xml:space="preserve"> L.)   cut flowers. International Journal of Agricultural and Statistical Sciences,18(1), 995-1002.</w:t>
      </w:r>
    </w:p>
    <w:p w14:paraId="1C4B934D" w14:textId="77777777" w:rsidR="004D084A" w:rsidRPr="00E71B75" w:rsidRDefault="004D084A" w:rsidP="004D084A">
      <w:pPr>
        <w:pStyle w:val="Body"/>
        <w:ind w:left="720" w:hanging="720"/>
        <w:rPr>
          <w:color w:val="000000" w:themeColor="text1"/>
        </w:rPr>
      </w:pPr>
      <w:r w:rsidRPr="00E71B75">
        <w:rPr>
          <w:color w:val="000000" w:themeColor="text1"/>
          <w:lang w:val="en-IN"/>
        </w:rPr>
        <w:t xml:space="preserve">Kumar, R.,   Yadav, M.   K., Sharma, A.   K., Vaishali, Kumar, M., </w:t>
      </w:r>
      <w:proofErr w:type="spellStart"/>
      <w:r w:rsidRPr="00E71B75">
        <w:rPr>
          <w:color w:val="000000" w:themeColor="text1"/>
          <w:lang w:val="en-IN"/>
        </w:rPr>
        <w:t>Sirohi</w:t>
      </w:r>
      <w:proofErr w:type="spellEnd"/>
      <w:r w:rsidRPr="00E71B75">
        <w:rPr>
          <w:color w:val="000000" w:themeColor="text1"/>
          <w:lang w:val="en-IN"/>
        </w:rPr>
        <w:t xml:space="preserve">, U., Chauhan, C. (2024a). </w:t>
      </w:r>
      <w:r w:rsidRPr="00E71B75">
        <w:rPr>
          <w:i/>
          <w:iCs/>
          <w:color w:val="000000" w:themeColor="text1"/>
          <w:lang w:val="en-IN"/>
        </w:rPr>
        <w:t>In-silico</w:t>
      </w:r>
      <w:r w:rsidRPr="00E71B75">
        <w:rPr>
          <w:color w:val="000000" w:themeColor="text1"/>
          <w:lang w:val="en-IN"/>
        </w:rPr>
        <w:t xml:space="preserve"> characterization   and expression profiling of cut flower vase life-related   genes   of   Tuberose (</w:t>
      </w:r>
      <w:r w:rsidRPr="00E71B75">
        <w:rPr>
          <w:i/>
          <w:iCs/>
          <w:color w:val="000000" w:themeColor="text1"/>
          <w:lang w:val="en-IN"/>
        </w:rPr>
        <w:t>Polianthes tuberosa</w:t>
      </w:r>
      <w:r w:rsidRPr="00E71B75">
        <w:rPr>
          <w:color w:val="000000" w:themeColor="text1"/>
          <w:lang w:val="en-IN"/>
        </w:rPr>
        <w:t xml:space="preserve"> L.). </w:t>
      </w:r>
      <w:r w:rsidRPr="00E71B75">
        <w:rPr>
          <w:i/>
          <w:iCs/>
          <w:color w:val="000000" w:themeColor="text1"/>
          <w:lang w:val="en-IN"/>
        </w:rPr>
        <w:t>Plant     Science     Today</w:t>
      </w:r>
      <w:r w:rsidRPr="00E71B75">
        <w:rPr>
          <w:color w:val="000000" w:themeColor="text1"/>
          <w:lang w:val="en-IN"/>
        </w:rPr>
        <w:t xml:space="preserve">, </w:t>
      </w:r>
      <w:hyperlink r:id="rId16" w:history="1">
        <w:r w:rsidRPr="00E71B75">
          <w:rPr>
            <w:rStyle w:val="Hyperlink"/>
            <w:color w:val="000000" w:themeColor="text1"/>
            <w:lang w:val="en-IN"/>
          </w:rPr>
          <w:t>http://dx.doi.org/10.14719/pst.4970</w:t>
        </w:r>
      </w:hyperlink>
    </w:p>
    <w:p w14:paraId="1A5EB084" w14:textId="77777777" w:rsidR="004D084A" w:rsidRPr="00E71B75" w:rsidRDefault="004D084A" w:rsidP="004D084A">
      <w:pPr>
        <w:pStyle w:val="Body"/>
        <w:ind w:left="720" w:hanging="720"/>
        <w:rPr>
          <w:color w:val="000000" w:themeColor="text1"/>
        </w:rPr>
      </w:pPr>
      <w:r w:rsidRPr="00E71B75">
        <w:rPr>
          <w:color w:val="000000" w:themeColor="text1"/>
          <w:lang w:val="en-IN"/>
        </w:rPr>
        <w:t xml:space="preserve">Kumar, R., Yadav, M.  K., Kumar, M., Vaishali, Kumar, P., </w:t>
      </w:r>
      <w:proofErr w:type="spellStart"/>
      <w:r w:rsidRPr="00E71B75">
        <w:rPr>
          <w:color w:val="000000" w:themeColor="text1"/>
          <w:lang w:val="en-IN"/>
        </w:rPr>
        <w:t>Gangwar</w:t>
      </w:r>
      <w:proofErr w:type="spellEnd"/>
      <w:r w:rsidRPr="00E71B75">
        <w:rPr>
          <w:color w:val="000000" w:themeColor="text1"/>
          <w:lang w:val="en-IN"/>
        </w:rPr>
        <w:t>, L.  K., &amp; Shankar, B. A. (2023). Effect of different concentrations of sodium nitroprusside (SNP) and salicylic acid (SA) on    vase    life    of    tuberose (</w:t>
      </w:r>
      <w:r w:rsidRPr="00E71B75">
        <w:rPr>
          <w:i/>
          <w:iCs/>
          <w:color w:val="000000" w:themeColor="text1"/>
          <w:lang w:val="en-IN"/>
        </w:rPr>
        <w:t>Polianthes    tuberosa</w:t>
      </w:r>
      <w:r w:rsidRPr="00E71B75">
        <w:rPr>
          <w:color w:val="000000" w:themeColor="text1"/>
          <w:lang w:val="en-IN"/>
        </w:rPr>
        <w:t xml:space="preserve"> L.)    cv    Prajwal. Environment and Ecology, 41 (1): 45—52</w:t>
      </w:r>
    </w:p>
    <w:p w14:paraId="3DA66CA1" w14:textId="77777777" w:rsidR="004D084A" w:rsidRPr="00E71B75" w:rsidRDefault="004D084A" w:rsidP="004D084A">
      <w:pPr>
        <w:pStyle w:val="Body"/>
        <w:ind w:left="720" w:hanging="720"/>
        <w:rPr>
          <w:color w:val="000000" w:themeColor="text1"/>
        </w:rPr>
      </w:pPr>
      <w:proofErr w:type="spellStart"/>
      <w:r w:rsidRPr="00E71B75">
        <w:rPr>
          <w:bCs/>
          <w:color w:val="000000" w:themeColor="text1"/>
        </w:rPr>
        <w:t>Kumaravel</w:t>
      </w:r>
      <w:proofErr w:type="spellEnd"/>
      <w:r w:rsidRPr="00E71B75">
        <w:rPr>
          <w:bCs/>
          <w:color w:val="000000" w:themeColor="text1"/>
        </w:rPr>
        <w:t xml:space="preserve">, R. and </w:t>
      </w:r>
      <w:proofErr w:type="spellStart"/>
      <w:r w:rsidRPr="00E71B75">
        <w:rPr>
          <w:bCs/>
          <w:color w:val="000000" w:themeColor="text1"/>
        </w:rPr>
        <w:t>and</w:t>
      </w:r>
      <w:proofErr w:type="spellEnd"/>
      <w:r w:rsidRPr="00E71B75">
        <w:rPr>
          <w:bCs/>
          <w:color w:val="000000" w:themeColor="text1"/>
        </w:rPr>
        <w:t xml:space="preserve"> Ganesh, S. (2023).</w:t>
      </w:r>
      <w:r w:rsidRPr="00E71B75">
        <w:rPr>
          <w:color w:val="000000" w:themeColor="text1"/>
        </w:rPr>
        <w:t xml:space="preserve"> </w:t>
      </w:r>
      <w:r w:rsidRPr="00E71B75">
        <w:rPr>
          <w:bCs/>
          <w:color w:val="000000" w:themeColor="text1"/>
        </w:rPr>
        <w:t>Influence of tender coconut water on post-harvest quality and shelf life on jasmine flowers (</w:t>
      </w:r>
      <w:r w:rsidRPr="00E71B75">
        <w:rPr>
          <w:bCs/>
          <w:i/>
          <w:iCs/>
          <w:color w:val="000000" w:themeColor="text1"/>
        </w:rPr>
        <w:t xml:space="preserve">Jasminum </w:t>
      </w:r>
      <w:proofErr w:type="spellStart"/>
      <w:r w:rsidRPr="00E71B75">
        <w:rPr>
          <w:bCs/>
          <w:i/>
          <w:iCs/>
          <w:color w:val="000000" w:themeColor="text1"/>
        </w:rPr>
        <w:t>sambac</w:t>
      </w:r>
      <w:proofErr w:type="spellEnd"/>
      <w:r w:rsidRPr="00E71B75">
        <w:rPr>
          <w:bCs/>
          <w:i/>
          <w:iCs/>
          <w:color w:val="000000" w:themeColor="text1"/>
        </w:rPr>
        <w:t xml:space="preserve"> </w:t>
      </w:r>
      <w:r w:rsidRPr="00E71B75">
        <w:rPr>
          <w:bCs/>
          <w:color w:val="000000" w:themeColor="text1"/>
        </w:rPr>
        <w:t xml:space="preserve">L.). </w:t>
      </w:r>
      <w:r w:rsidRPr="00E71B75">
        <w:rPr>
          <w:color w:val="000000" w:themeColor="text1"/>
        </w:rPr>
        <w:t xml:space="preserve"> </w:t>
      </w:r>
      <w:r w:rsidRPr="00E71B75">
        <w:rPr>
          <w:bCs/>
          <w:color w:val="000000" w:themeColor="text1"/>
        </w:rPr>
        <w:t>The Pharma Innovation Journal; 12(4): 744-748</w:t>
      </w:r>
    </w:p>
    <w:p w14:paraId="34A22A91" w14:textId="77777777" w:rsidR="004D084A" w:rsidRPr="00E71B75" w:rsidRDefault="004D084A" w:rsidP="004D084A">
      <w:pPr>
        <w:pStyle w:val="Body"/>
        <w:ind w:left="720" w:hanging="720"/>
        <w:rPr>
          <w:color w:val="000000" w:themeColor="text1"/>
        </w:rPr>
      </w:pPr>
      <w:proofErr w:type="spellStart"/>
      <w:r w:rsidRPr="00E71B75">
        <w:rPr>
          <w:color w:val="000000" w:themeColor="text1"/>
        </w:rPr>
        <w:t>Lakmali</w:t>
      </w:r>
      <w:proofErr w:type="spellEnd"/>
      <w:r w:rsidRPr="00E71B75">
        <w:rPr>
          <w:color w:val="000000" w:themeColor="text1"/>
        </w:rPr>
        <w:t xml:space="preserve">, K. N. D., &amp; </w:t>
      </w:r>
      <w:proofErr w:type="spellStart"/>
      <w:r w:rsidRPr="00E71B75">
        <w:rPr>
          <w:color w:val="000000" w:themeColor="text1"/>
        </w:rPr>
        <w:t>Seran</w:t>
      </w:r>
      <w:proofErr w:type="spellEnd"/>
      <w:r w:rsidRPr="00E71B75">
        <w:rPr>
          <w:color w:val="000000" w:themeColor="text1"/>
        </w:rPr>
        <w:t xml:space="preserve">, T. H. (2022). Impact of seed priming with king coconut water on growth and yield of okra (Abelmoschus esculents L.). </w:t>
      </w:r>
      <w:r w:rsidRPr="00E71B75">
        <w:rPr>
          <w:i/>
          <w:iCs/>
          <w:color w:val="000000" w:themeColor="text1"/>
        </w:rPr>
        <w:t>Journal of Food and Agriculture</w:t>
      </w:r>
      <w:r w:rsidRPr="00E71B75">
        <w:rPr>
          <w:color w:val="000000" w:themeColor="text1"/>
        </w:rPr>
        <w:t xml:space="preserve">, </w:t>
      </w:r>
      <w:r w:rsidRPr="00E71B75">
        <w:rPr>
          <w:i/>
          <w:iCs/>
          <w:color w:val="000000" w:themeColor="text1"/>
        </w:rPr>
        <w:t>15</w:t>
      </w:r>
      <w:r w:rsidRPr="00E71B75">
        <w:rPr>
          <w:color w:val="000000" w:themeColor="text1"/>
        </w:rPr>
        <w:t>(2): 27-46</w:t>
      </w:r>
    </w:p>
    <w:p w14:paraId="4C47BA7E" w14:textId="77777777" w:rsidR="004D084A" w:rsidRPr="00E71B75" w:rsidRDefault="004D084A" w:rsidP="004D084A">
      <w:pPr>
        <w:pStyle w:val="Body"/>
        <w:ind w:left="720" w:hanging="720"/>
        <w:rPr>
          <w:color w:val="000000" w:themeColor="text1"/>
        </w:rPr>
      </w:pPr>
      <w:proofErr w:type="spellStart"/>
      <w:r w:rsidRPr="00E71B75">
        <w:rPr>
          <w:color w:val="000000" w:themeColor="text1"/>
          <w:lang w:val="en-IN"/>
        </w:rPr>
        <w:t>Lazim</w:t>
      </w:r>
      <w:proofErr w:type="spellEnd"/>
      <w:r w:rsidRPr="00E71B75">
        <w:rPr>
          <w:color w:val="000000" w:themeColor="text1"/>
          <w:lang w:val="en-IN"/>
        </w:rPr>
        <w:t xml:space="preserve"> MIM, </w:t>
      </w:r>
      <w:proofErr w:type="spellStart"/>
      <w:r w:rsidRPr="00E71B75">
        <w:rPr>
          <w:color w:val="000000" w:themeColor="text1"/>
          <w:lang w:val="en-IN"/>
        </w:rPr>
        <w:t>Badruzaman</w:t>
      </w:r>
      <w:proofErr w:type="spellEnd"/>
      <w:r w:rsidRPr="00E71B75">
        <w:rPr>
          <w:color w:val="000000" w:themeColor="text1"/>
          <w:lang w:val="en-IN"/>
        </w:rPr>
        <w:t xml:space="preserve"> NA, Peng KS, Long K (2015) Quantification of </w:t>
      </w:r>
      <w:proofErr w:type="spellStart"/>
      <w:r w:rsidRPr="00E71B75">
        <w:rPr>
          <w:color w:val="000000" w:themeColor="text1"/>
          <w:lang w:val="en-IN"/>
        </w:rPr>
        <w:t>cytokinins</w:t>
      </w:r>
      <w:proofErr w:type="spellEnd"/>
      <w:r w:rsidRPr="00E71B75">
        <w:rPr>
          <w:color w:val="000000" w:themeColor="text1"/>
          <w:lang w:val="en-IN"/>
        </w:rPr>
        <w:t xml:space="preserve"> in coconut water from Different Maturation Stages of Malaysia’s Coconut (</w:t>
      </w:r>
      <w:r w:rsidRPr="00E71B75">
        <w:rPr>
          <w:i/>
          <w:iCs/>
          <w:color w:val="000000" w:themeColor="text1"/>
          <w:lang w:val="en-IN"/>
        </w:rPr>
        <w:t xml:space="preserve">Cocos nucifera </w:t>
      </w:r>
      <w:r w:rsidRPr="00E71B75">
        <w:rPr>
          <w:color w:val="000000" w:themeColor="text1"/>
          <w:lang w:val="en-IN"/>
        </w:rPr>
        <w:t xml:space="preserve">L.) Varieties. J Food Process Technol. 6(11): 515. </w:t>
      </w:r>
      <w:hyperlink r:id="rId17" w:history="1">
        <w:r w:rsidRPr="00E71B75">
          <w:rPr>
            <w:rStyle w:val="Hyperlink"/>
            <w:color w:val="000000" w:themeColor="text1"/>
            <w:lang w:val="en-IN"/>
          </w:rPr>
          <w:t>http://dx.doi.org/10.4172/2157-7110.1000515</w:t>
        </w:r>
      </w:hyperlink>
    </w:p>
    <w:p w14:paraId="76CA47FD" w14:textId="77777777" w:rsidR="004D084A" w:rsidRPr="00E71B75" w:rsidRDefault="004D084A" w:rsidP="004D084A">
      <w:pPr>
        <w:pStyle w:val="Body"/>
        <w:ind w:left="720" w:hanging="720"/>
        <w:rPr>
          <w:color w:val="000000" w:themeColor="text1"/>
        </w:rPr>
      </w:pPr>
      <w:proofErr w:type="spellStart"/>
      <w:r w:rsidRPr="00E71B75">
        <w:rPr>
          <w:color w:val="000000" w:themeColor="text1"/>
          <w:lang w:val="en-IN"/>
        </w:rPr>
        <w:lastRenderedPageBreak/>
        <w:t>Mantene</w:t>
      </w:r>
      <w:proofErr w:type="spellEnd"/>
      <w:r w:rsidRPr="00E71B75">
        <w:rPr>
          <w:color w:val="000000" w:themeColor="text1"/>
          <w:lang w:val="en-IN"/>
        </w:rPr>
        <w:t xml:space="preserve">, S. K., Jagadish, B. S. R., </w:t>
      </w:r>
      <w:proofErr w:type="spellStart"/>
      <w:r w:rsidRPr="00E71B75">
        <w:rPr>
          <w:color w:val="000000" w:themeColor="text1"/>
          <w:lang w:val="en-IN"/>
        </w:rPr>
        <w:t>Siripurapu</w:t>
      </w:r>
      <w:proofErr w:type="spellEnd"/>
      <w:r w:rsidRPr="00E71B75">
        <w:rPr>
          <w:color w:val="000000" w:themeColor="text1"/>
          <w:lang w:val="en-IN"/>
        </w:rPr>
        <w:t xml:space="preserve">, K. B., &amp; Unnikrishnan, M. K. (2003). In vitro evaluation of antioxidant properties of Cocos nucifera Linn, water. </w:t>
      </w:r>
      <w:proofErr w:type="spellStart"/>
      <w:r w:rsidRPr="00E71B75">
        <w:rPr>
          <w:i/>
          <w:iCs/>
          <w:color w:val="000000" w:themeColor="text1"/>
          <w:lang w:val="en-IN"/>
        </w:rPr>
        <w:t>Nahrung</w:t>
      </w:r>
      <w:proofErr w:type="spellEnd"/>
      <w:r w:rsidRPr="00E71B75">
        <w:rPr>
          <w:i/>
          <w:iCs/>
          <w:color w:val="000000" w:themeColor="text1"/>
          <w:lang w:val="en-IN"/>
        </w:rPr>
        <w:t xml:space="preserve">, </w:t>
      </w:r>
      <w:r w:rsidRPr="00E71B75">
        <w:rPr>
          <w:b/>
          <w:bCs/>
          <w:color w:val="000000" w:themeColor="text1"/>
          <w:lang w:val="en-IN"/>
        </w:rPr>
        <w:t xml:space="preserve">47, </w:t>
      </w:r>
      <w:r w:rsidRPr="00E71B75">
        <w:rPr>
          <w:i/>
          <w:iCs/>
          <w:color w:val="000000" w:themeColor="text1"/>
          <w:lang w:val="en-IN"/>
        </w:rPr>
        <w:t>126-131.</w:t>
      </w:r>
    </w:p>
    <w:p w14:paraId="4938BB68" w14:textId="77777777" w:rsidR="004D084A" w:rsidRPr="00E71B75" w:rsidRDefault="004D084A" w:rsidP="004D084A">
      <w:pPr>
        <w:pStyle w:val="Body"/>
        <w:ind w:left="720" w:hanging="720"/>
        <w:rPr>
          <w:color w:val="000000" w:themeColor="text1"/>
        </w:rPr>
      </w:pPr>
      <w:proofErr w:type="spellStart"/>
      <w:r w:rsidRPr="00E71B75">
        <w:rPr>
          <w:color w:val="000000" w:themeColor="text1"/>
        </w:rPr>
        <w:t>Matak</w:t>
      </w:r>
      <w:proofErr w:type="spellEnd"/>
      <w:r w:rsidRPr="00E71B75">
        <w:rPr>
          <w:color w:val="000000" w:themeColor="text1"/>
        </w:rPr>
        <w:t xml:space="preserve">, S. A., &amp; </w:t>
      </w:r>
      <w:proofErr w:type="spellStart"/>
      <w:r w:rsidRPr="00E71B75">
        <w:rPr>
          <w:color w:val="000000" w:themeColor="text1"/>
        </w:rPr>
        <w:t>Hashemabadi</w:t>
      </w:r>
      <w:proofErr w:type="spellEnd"/>
      <w:r w:rsidRPr="00E71B75">
        <w:rPr>
          <w:color w:val="000000" w:themeColor="text1"/>
        </w:rPr>
        <w:t xml:space="preserve">, D. (2016). Increasing the vase life of alstroemeria cut flowers using cycloheximide, </w:t>
      </w:r>
      <w:proofErr w:type="spellStart"/>
      <w:r w:rsidRPr="00E71B75">
        <w:rPr>
          <w:color w:val="000000" w:themeColor="text1"/>
        </w:rPr>
        <w:t>benzyladenine</w:t>
      </w:r>
      <w:proofErr w:type="spellEnd"/>
      <w:r w:rsidRPr="00E71B75">
        <w:rPr>
          <w:color w:val="000000" w:themeColor="text1"/>
        </w:rPr>
        <w:t xml:space="preserve"> and coconut </w:t>
      </w:r>
      <w:proofErr w:type="spellStart"/>
      <w:proofErr w:type="gramStart"/>
      <w:r w:rsidRPr="00E71B75">
        <w:rPr>
          <w:color w:val="000000" w:themeColor="text1"/>
        </w:rPr>
        <w:t>juice.Journal</w:t>
      </w:r>
      <w:proofErr w:type="spellEnd"/>
      <w:proofErr w:type="gramEnd"/>
      <w:r w:rsidRPr="00E71B75">
        <w:rPr>
          <w:color w:val="000000" w:themeColor="text1"/>
        </w:rPr>
        <w:t xml:space="preserve"> of Ornamental Plants, 6(4): 225-236</w:t>
      </w:r>
    </w:p>
    <w:p w14:paraId="207A606C" w14:textId="77777777" w:rsidR="004D084A" w:rsidRPr="00E71B75" w:rsidRDefault="004D084A" w:rsidP="004D084A">
      <w:pPr>
        <w:pStyle w:val="Body"/>
        <w:ind w:left="720" w:hanging="720"/>
        <w:rPr>
          <w:color w:val="000000" w:themeColor="text1"/>
        </w:rPr>
      </w:pPr>
      <w:proofErr w:type="spellStart"/>
      <w:r w:rsidRPr="00E71B75">
        <w:rPr>
          <w:color w:val="000000" w:themeColor="text1"/>
          <w:lang w:val="en-IN"/>
        </w:rPr>
        <w:t>Mintah</w:t>
      </w:r>
      <w:proofErr w:type="spellEnd"/>
      <w:r w:rsidRPr="00E71B75">
        <w:rPr>
          <w:color w:val="000000" w:themeColor="text1"/>
          <w:lang w:val="en-IN"/>
        </w:rPr>
        <w:t xml:space="preserve"> LO, Arhin L, Ofosu-</w:t>
      </w:r>
      <w:proofErr w:type="spellStart"/>
      <w:r w:rsidRPr="00E71B75">
        <w:rPr>
          <w:color w:val="000000" w:themeColor="text1"/>
          <w:lang w:val="en-IN"/>
        </w:rPr>
        <w:t>Anim</w:t>
      </w:r>
      <w:proofErr w:type="spellEnd"/>
      <w:r w:rsidRPr="00E71B75">
        <w:rPr>
          <w:color w:val="000000" w:themeColor="text1"/>
          <w:lang w:val="en-IN"/>
        </w:rPr>
        <w:t xml:space="preserve"> J, Nkansah GO (2018) Effect of coconut (</w:t>
      </w:r>
      <w:r w:rsidRPr="00E71B75">
        <w:rPr>
          <w:i/>
          <w:iCs/>
          <w:color w:val="000000" w:themeColor="text1"/>
          <w:lang w:val="en-IN"/>
        </w:rPr>
        <w:t xml:space="preserve">Cocos nucifera </w:t>
      </w:r>
      <w:r w:rsidRPr="00E71B75">
        <w:rPr>
          <w:color w:val="000000" w:themeColor="text1"/>
          <w:lang w:val="en-IN"/>
        </w:rPr>
        <w:t>L.) water of different fruit maturity stages on axillary bud initiation, growth and development of plantain (</w:t>
      </w:r>
      <w:r w:rsidRPr="00E71B75">
        <w:rPr>
          <w:i/>
          <w:iCs/>
          <w:color w:val="000000" w:themeColor="text1"/>
          <w:lang w:val="en-IN"/>
        </w:rPr>
        <w:t>Musa AAB</w:t>
      </w:r>
      <w:r w:rsidRPr="00E71B75">
        <w:rPr>
          <w:color w:val="000000" w:themeColor="text1"/>
          <w:lang w:val="en-IN"/>
        </w:rPr>
        <w:t xml:space="preserve">.). J </w:t>
      </w:r>
      <w:proofErr w:type="spellStart"/>
      <w:r w:rsidRPr="00E71B75">
        <w:rPr>
          <w:color w:val="000000" w:themeColor="text1"/>
          <w:lang w:val="en-IN"/>
        </w:rPr>
        <w:t>Appl</w:t>
      </w:r>
      <w:proofErr w:type="spellEnd"/>
      <w:r w:rsidRPr="00E71B75">
        <w:rPr>
          <w:color w:val="000000" w:themeColor="text1"/>
          <w:lang w:val="en-IN"/>
        </w:rPr>
        <w:t xml:space="preserve"> </w:t>
      </w:r>
      <w:proofErr w:type="spellStart"/>
      <w:r w:rsidRPr="00E71B75">
        <w:rPr>
          <w:color w:val="000000" w:themeColor="text1"/>
          <w:lang w:val="en-IN"/>
        </w:rPr>
        <w:t>Hortic</w:t>
      </w:r>
      <w:proofErr w:type="spellEnd"/>
      <w:r w:rsidRPr="00E71B75">
        <w:rPr>
          <w:color w:val="000000" w:themeColor="text1"/>
          <w:lang w:val="en-IN"/>
        </w:rPr>
        <w:t>. 20 (1): 42–47</w:t>
      </w:r>
    </w:p>
    <w:p w14:paraId="11D1C855" w14:textId="77777777" w:rsidR="004D084A" w:rsidRPr="00E71B75" w:rsidRDefault="004D084A" w:rsidP="004D084A">
      <w:pPr>
        <w:pStyle w:val="Body"/>
        <w:ind w:left="720" w:hanging="720"/>
        <w:rPr>
          <w:color w:val="000000" w:themeColor="text1"/>
        </w:rPr>
      </w:pPr>
      <w:r w:rsidRPr="00E71B75">
        <w:rPr>
          <w:color w:val="000000" w:themeColor="text1"/>
        </w:rPr>
        <w:t xml:space="preserve">Nair, S.A., </w:t>
      </w:r>
      <w:proofErr w:type="spellStart"/>
      <w:r w:rsidRPr="00E71B75">
        <w:rPr>
          <w:color w:val="000000" w:themeColor="text1"/>
        </w:rPr>
        <w:t>Sirasamy</w:t>
      </w:r>
      <w:proofErr w:type="spellEnd"/>
      <w:r w:rsidRPr="00E71B75">
        <w:rPr>
          <w:color w:val="000000" w:themeColor="text1"/>
        </w:rPr>
        <w:t xml:space="preserve">, A., </w:t>
      </w:r>
      <w:proofErr w:type="spellStart"/>
      <w:r w:rsidRPr="00E71B75">
        <w:rPr>
          <w:color w:val="000000" w:themeColor="text1"/>
        </w:rPr>
        <w:t>Attri</w:t>
      </w:r>
      <w:proofErr w:type="spellEnd"/>
      <w:r w:rsidRPr="00E71B75">
        <w:rPr>
          <w:color w:val="000000" w:themeColor="text1"/>
        </w:rPr>
        <w:t xml:space="preserve">, B.L. and Sharma, T.V.R.S. (2000). Effect of natural and chemical floral preservatives on vase life of cut </w:t>
      </w:r>
      <w:r w:rsidRPr="00E71B75">
        <w:rPr>
          <w:i/>
          <w:iCs/>
          <w:color w:val="000000" w:themeColor="text1"/>
        </w:rPr>
        <w:t>Gerbera</w:t>
      </w:r>
      <w:r w:rsidRPr="00E71B75">
        <w:rPr>
          <w:color w:val="000000" w:themeColor="text1"/>
        </w:rPr>
        <w:t>, a comparative study. Indian Coconut Journal, 31(3): 29-31</w:t>
      </w:r>
    </w:p>
    <w:p w14:paraId="37FF2817" w14:textId="77777777" w:rsidR="004D084A" w:rsidRPr="00E71B75" w:rsidRDefault="004D084A" w:rsidP="004D084A">
      <w:pPr>
        <w:pStyle w:val="Body"/>
        <w:ind w:left="720" w:hanging="720"/>
        <w:rPr>
          <w:color w:val="000000" w:themeColor="text1"/>
        </w:rPr>
      </w:pPr>
      <w:r w:rsidRPr="00E71B75">
        <w:rPr>
          <w:color w:val="000000" w:themeColor="text1"/>
          <w:lang w:val="en-IN"/>
        </w:rPr>
        <w:t>Oka, D.N. (2014). Coconut water medium increases the germination power of cucumber (</w:t>
      </w:r>
      <w:r w:rsidRPr="00E71B75">
        <w:rPr>
          <w:i/>
          <w:iCs/>
          <w:color w:val="000000" w:themeColor="text1"/>
          <w:lang w:val="en-IN"/>
        </w:rPr>
        <w:t xml:space="preserve">Cucumis Sativus </w:t>
      </w:r>
      <w:r w:rsidRPr="00E71B75">
        <w:rPr>
          <w:color w:val="000000" w:themeColor="text1"/>
          <w:lang w:val="en-IN"/>
        </w:rPr>
        <w:t xml:space="preserve">L) seed and the implementation in dormancy practicum. </w:t>
      </w:r>
      <w:r w:rsidRPr="00E71B75">
        <w:rPr>
          <w:i/>
          <w:iCs/>
          <w:color w:val="000000" w:themeColor="text1"/>
          <w:lang w:val="en-IN"/>
        </w:rPr>
        <w:t xml:space="preserve">International Journal of Scientific Research &amp; Education </w:t>
      </w:r>
      <w:r w:rsidRPr="00E71B75">
        <w:rPr>
          <w:color w:val="000000" w:themeColor="text1"/>
          <w:lang w:val="en-IN"/>
        </w:rPr>
        <w:t>2(6):1019-1028.</w:t>
      </w:r>
    </w:p>
    <w:p w14:paraId="52B1D192" w14:textId="77777777" w:rsidR="004D084A" w:rsidRPr="00E71B75" w:rsidRDefault="004D084A" w:rsidP="004D084A">
      <w:pPr>
        <w:pStyle w:val="Body"/>
        <w:ind w:left="720" w:hanging="720"/>
        <w:rPr>
          <w:color w:val="000000" w:themeColor="text1"/>
        </w:rPr>
      </w:pPr>
      <w:proofErr w:type="spellStart"/>
      <w:r w:rsidRPr="00E71B75">
        <w:rPr>
          <w:color w:val="000000" w:themeColor="text1"/>
        </w:rPr>
        <w:t>Paparella</w:t>
      </w:r>
      <w:proofErr w:type="spellEnd"/>
      <w:r w:rsidRPr="00E71B75">
        <w:rPr>
          <w:color w:val="000000" w:themeColor="text1"/>
        </w:rPr>
        <w:t xml:space="preserve">, S., Araujo, S.S., Rossi, G., </w:t>
      </w:r>
      <w:proofErr w:type="spellStart"/>
      <w:r w:rsidRPr="00E71B75">
        <w:rPr>
          <w:color w:val="000000" w:themeColor="text1"/>
        </w:rPr>
        <w:t>Wijayasinghe</w:t>
      </w:r>
      <w:proofErr w:type="spellEnd"/>
      <w:r w:rsidRPr="00E71B75">
        <w:rPr>
          <w:color w:val="000000" w:themeColor="text1"/>
        </w:rPr>
        <w:t xml:space="preserve">, M., </w:t>
      </w:r>
      <w:proofErr w:type="spellStart"/>
      <w:r w:rsidRPr="00E71B75">
        <w:rPr>
          <w:color w:val="000000" w:themeColor="text1"/>
        </w:rPr>
        <w:t>Carbonera</w:t>
      </w:r>
      <w:proofErr w:type="spellEnd"/>
      <w:r w:rsidRPr="00E71B75">
        <w:rPr>
          <w:color w:val="000000" w:themeColor="text1"/>
        </w:rPr>
        <w:t xml:space="preserve">, D., </w:t>
      </w:r>
      <w:proofErr w:type="spellStart"/>
      <w:r w:rsidRPr="00E71B75">
        <w:rPr>
          <w:color w:val="000000" w:themeColor="text1"/>
        </w:rPr>
        <w:t>Balestrazzi</w:t>
      </w:r>
      <w:proofErr w:type="spellEnd"/>
      <w:r w:rsidRPr="00E71B75">
        <w:rPr>
          <w:color w:val="000000" w:themeColor="text1"/>
        </w:rPr>
        <w:t>, A. (2015). Seed priming: State of the art and new perspectives. Plant Cell Reports. 34: 1281-1293</w:t>
      </w:r>
    </w:p>
    <w:p w14:paraId="44CA97F5" w14:textId="77777777" w:rsidR="004D084A" w:rsidRPr="00E71B75" w:rsidRDefault="004D084A" w:rsidP="004D084A">
      <w:pPr>
        <w:pStyle w:val="Body"/>
        <w:ind w:left="720" w:hanging="720"/>
        <w:rPr>
          <w:color w:val="000000" w:themeColor="text1"/>
        </w:rPr>
      </w:pPr>
      <w:proofErr w:type="spellStart"/>
      <w:r w:rsidRPr="00E71B75">
        <w:rPr>
          <w:color w:val="000000" w:themeColor="text1"/>
          <w:lang w:val="en-IN"/>
        </w:rPr>
        <w:t>Prades</w:t>
      </w:r>
      <w:proofErr w:type="spellEnd"/>
      <w:r w:rsidRPr="00E71B75">
        <w:rPr>
          <w:color w:val="000000" w:themeColor="text1"/>
          <w:lang w:val="en-IN"/>
        </w:rPr>
        <w:t>, A., Dornier, M., Diop, N. and Pain, J. P. (2012). Coconut water uses, composition and properties. A review, Fruits 67(2): 87-107.</w:t>
      </w:r>
    </w:p>
    <w:p w14:paraId="2B34797B" w14:textId="77777777" w:rsidR="004D084A" w:rsidRPr="00E71B75" w:rsidRDefault="004D084A" w:rsidP="004D084A">
      <w:pPr>
        <w:pStyle w:val="Body"/>
        <w:ind w:left="720" w:hanging="720"/>
        <w:rPr>
          <w:color w:val="000000" w:themeColor="text1"/>
        </w:rPr>
      </w:pPr>
      <w:proofErr w:type="spellStart"/>
      <w:r w:rsidRPr="00E71B75">
        <w:rPr>
          <w:color w:val="000000" w:themeColor="text1"/>
          <w:lang w:val="en-IN"/>
        </w:rPr>
        <w:t>Saat</w:t>
      </w:r>
      <w:proofErr w:type="spellEnd"/>
      <w:r w:rsidRPr="00E71B75">
        <w:rPr>
          <w:color w:val="000000" w:themeColor="text1"/>
          <w:lang w:val="en-IN"/>
        </w:rPr>
        <w:t xml:space="preserve">, M., Singh, R., </w:t>
      </w:r>
      <w:proofErr w:type="spellStart"/>
      <w:r w:rsidRPr="00E71B75">
        <w:rPr>
          <w:color w:val="000000" w:themeColor="text1"/>
          <w:lang w:val="en-IN"/>
        </w:rPr>
        <w:t>Sirisinghe</w:t>
      </w:r>
      <w:proofErr w:type="spellEnd"/>
      <w:r w:rsidRPr="00E71B75">
        <w:rPr>
          <w:color w:val="000000" w:themeColor="text1"/>
          <w:lang w:val="en-IN"/>
        </w:rPr>
        <w:t xml:space="preserve">, R. G., &amp; Nawawi, M. (2002). Rehydration after exercise with fresh young coconut water, carbohydrate-electrolyte beverage and plain water. </w:t>
      </w:r>
      <w:r w:rsidRPr="00E71B75">
        <w:rPr>
          <w:i/>
          <w:iCs/>
          <w:color w:val="000000" w:themeColor="text1"/>
          <w:lang w:val="en-IN"/>
        </w:rPr>
        <w:t xml:space="preserve">Journal of Physiological Anthropology and Applied Human Science, </w:t>
      </w:r>
      <w:r w:rsidRPr="00E71B75">
        <w:rPr>
          <w:b/>
          <w:bCs/>
          <w:color w:val="000000" w:themeColor="text1"/>
          <w:lang w:val="en-IN"/>
        </w:rPr>
        <w:t xml:space="preserve">21, </w:t>
      </w:r>
      <w:r w:rsidRPr="00E71B75">
        <w:rPr>
          <w:i/>
          <w:iCs/>
          <w:color w:val="000000" w:themeColor="text1"/>
          <w:lang w:val="en-IN"/>
        </w:rPr>
        <w:t>93-104.</w:t>
      </w:r>
    </w:p>
    <w:p w14:paraId="1725379B" w14:textId="77777777" w:rsidR="004D084A" w:rsidRPr="00E71B75" w:rsidRDefault="004D084A" w:rsidP="004D084A">
      <w:pPr>
        <w:pStyle w:val="Body"/>
        <w:ind w:left="720" w:hanging="720"/>
        <w:rPr>
          <w:color w:val="000000" w:themeColor="text1"/>
        </w:rPr>
      </w:pPr>
      <w:r w:rsidRPr="00E71B75">
        <w:rPr>
          <w:color w:val="000000" w:themeColor="text1"/>
          <w:lang w:val="en-IN"/>
        </w:rPr>
        <w:t xml:space="preserve">Sharma, A. K., Yadav, M. K., Kumar, M., </w:t>
      </w:r>
      <w:proofErr w:type="spellStart"/>
      <w:r w:rsidRPr="00E71B75">
        <w:rPr>
          <w:color w:val="000000" w:themeColor="text1"/>
          <w:lang w:val="en-IN"/>
        </w:rPr>
        <w:t>Sengar</w:t>
      </w:r>
      <w:proofErr w:type="spellEnd"/>
      <w:r w:rsidRPr="00E71B75">
        <w:rPr>
          <w:color w:val="000000" w:themeColor="text1"/>
          <w:lang w:val="en-IN"/>
        </w:rPr>
        <w:t xml:space="preserve">, R. S., </w:t>
      </w:r>
      <w:proofErr w:type="spellStart"/>
      <w:r w:rsidRPr="00E71B75">
        <w:rPr>
          <w:color w:val="000000" w:themeColor="text1"/>
          <w:lang w:val="en-IN"/>
        </w:rPr>
        <w:t>Gangwar</w:t>
      </w:r>
      <w:proofErr w:type="spellEnd"/>
      <w:r w:rsidRPr="00E71B75">
        <w:rPr>
          <w:color w:val="000000" w:themeColor="text1"/>
          <w:lang w:val="en-IN"/>
        </w:rPr>
        <w:t>, L. K., &amp; Kumar, R. (2024). Improvement in Vase Life of Gladiolus Cut Flowers Using Different Holding Solutions of Sodium Nitroprusside and of Salicylic Acid. Journal of Advances in Biology &amp; Biotechnology,27(1), 211-224</w:t>
      </w:r>
    </w:p>
    <w:p w14:paraId="09D2F992" w14:textId="77777777" w:rsidR="004D084A" w:rsidRPr="00E71B75" w:rsidRDefault="004D084A" w:rsidP="004D084A">
      <w:pPr>
        <w:pStyle w:val="Body"/>
        <w:ind w:left="720" w:hanging="720"/>
        <w:rPr>
          <w:color w:val="000000" w:themeColor="text1"/>
        </w:rPr>
      </w:pPr>
      <w:r w:rsidRPr="00E71B75">
        <w:rPr>
          <w:color w:val="000000" w:themeColor="text1"/>
        </w:rPr>
        <w:t>Singh, P., Prakash, S., Kumar, M., Malik, S., Singh, M. K., &amp; Kumar, A. (2015). Effect of Integrated Nutrient Management (INM) on growth, flowering and yield in marigold (</w:t>
      </w:r>
      <w:proofErr w:type="spellStart"/>
      <w:r w:rsidRPr="00E71B75">
        <w:rPr>
          <w:color w:val="000000" w:themeColor="text1"/>
        </w:rPr>
        <w:t>Tagetus</w:t>
      </w:r>
      <w:proofErr w:type="spellEnd"/>
      <w:r w:rsidRPr="00E71B75">
        <w:rPr>
          <w:color w:val="000000" w:themeColor="text1"/>
        </w:rPr>
        <w:t xml:space="preserve"> </w:t>
      </w:r>
      <w:proofErr w:type="spellStart"/>
      <w:r w:rsidRPr="00E71B75">
        <w:rPr>
          <w:color w:val="000000" w:themeColor="text1"/>
        </w:rPr>
        <w:t>erecta</w:t>
      </w:r>
      <w:proofErr w:type="spellEnd"/>
      <w:r w:rsidRPr="00E71B75">
        <w:rPr>
          <w:color w:val="000000" w:themeColor="text1"/>
        </w:rPr>
        <w:t xml:space="preserve"> L.) cv." </w:t>
      </w:r>
      <w:proofErr w:type="spellStart"/>
      <w:r w:rsidRPr="00E71B75">
        <w:rPr>
          <w:color w:val="000000" w:themeColor="text1"/>
        </w:rPr>
        <w:t>Pusa</w:t>
      </w:r>
      <w:proofErr w:type="spellEnd"/>
      <w:r w:rsidRPr="00E71B75">
        <w:rPr>
          <w:color w:val="000000" w:themeColor="text1"/>
        </w:rPr>
        <w:t xml:space="preserve"> </w:t>
      </w:r>
      <w:proofErr w:type="spellStart"/>
      <w:r w:rsidRPr="00E71B75">
        <w:rPr>
          <w:color w:val="000000" w:themeColor="text1"/>
        </w:rPr>
        <w:t>basanti</w:t>
      </w:r>
      <w:proofErr w:type="spellEnd"/>
      <w:r w:rsidRPr="00E71B75">
        <w:rPr>
          <w:color w:val="000000" w:themeColor="text1"/>
        </w:rPr>
        <w:t xml:space="preserve">". </w:t>
      </w:r>
      <w:r w:rsidRPr="00E71B75">
        <w:rPr>
          <w:i/>
          <w:iCs/>
          <w:color w:val="000000" w:themeColor="text1"/>
        </w:rPr>
        <w:t>Annals of Horticulture</w:t>
      </w:r>
      <w:r w:rsidRPr="00E71B75">
        <w:rPr>
          <w:color w:val="000000" w:themeColor="text1"/>
        </w:rPr>
        <w:t xml:space="preserve">, </w:t>
      </w:r>
      <w:r w:rsidRPr="00E71B75">
        <w:rPr>
          <w:i/>
          <w:iCs/>
          <w:color w:val="000000" w:themeColor="text1"/>
        </w:rPr>
        <w:t>8</w:t>
      </w:r>
      <w:r w:rsidRPr="00E71B75">
        <w:rPr>
          <w:color w:val="000000" w:themeColor="text1"/>
        </w:rPr>
        <w:t>(1), 73-80.</w:t>
      </w:r>
    </w:p>
    <w:p w14:paraId="7DBD1BB8" w14:textId="77777777" w:rsidR="004D084A" w:rsidRPr="00E71B75" w:rsidRDefault="004D084A" w:rsidP="004D084A">
      <w:pPr>
        <w:pStyle w:val="Body"/>
        <w:ind w:left="720" w:hanging="720"/>
        <w:rPr>
          <w:color w:val="000000" w:themeColor="text1"/>
        </w:rPr>
      </w:pPr>
      <w:r w:rsidRPr="00E71B75">
        <w:rPr>
          <w:color w:val="000000" w:themeColor="text1"/>
        </w:rPr>
        <w:t xml:space="preserve">Singh, R., Kumar, M., Raj, S., &amp; Kumar, S. (2013). Effect of integrated nutrient management (INM) on growth and flowering in gladiolus (Gladiolus </w:t>
      </w:r>
      <w:proofErr w:type="spellStart"/>
      <w:r w:rsidRPr="00E71B75">
        <w:rPr>
          <w:color w:val="000000" w:themeColor="text1"/>
        </w:rPr>
        <w:t>grandiflorus</w:t>
      </w:r>
      <w:proofErr w:type="spellEnd"/>
      <w:r w:rsidRPr="00E71B75">
        <w:rPr>
          <w:color w:val="000000" w:themeColor="text1"/>
        </w:rPr>
        <w:t xml:space="preserve"> L.) </w:t>
      </w:r>
      <w:proofErr w:type="spellStart"/>
      <w:proofErr w:type="gramStart"/>
      <w:r w:rsidRPr="00E71B75">
        <w:rPr>
          <w:color w:val="000000" w:themeColor="text1"/>
        </w:rPr>
        <w:t>cv.“</w:t>
      </w:r>
      <w:proofErr w:type="gramEnd"/>
      <w:r w:rsidRPr="00E71B75">
        <w:rPr>
          <w:color w:val="000000" w:themeColor="text1"/>
        </w:rPr>
        <w:t>White</w:t>
      </w:r>
      <w:proofErr w:type="spellEnd"/>
      <w:r w:rsidRPr="00E71B75">
        <w:rPr>
          <w:color w:val="000000" w:themeColor="text1"/>
        </w:rPr>
        <w:t xml:space="preserve"> prosperity”. </w:t>
      </w:r>
      <w:r w:rsidRPr="00E71B75">
        <w:rPr>
          <w:i/>
          <w:iCs/>
          <w:color w:val="000000" w:themeColor="text1"/>
        </w:rPr>
        <w:t>Annals of Horticulture</w:t>
      </w:r>
      <w:r w:rsidRPr="00E71B75">
        <w:rPr>
          <w:color w:val="000000" w:themeColor="text1"/>
        </w:rPr>
        <w:t xml:space="preserve">, </w:t>
      </w:r>
      <w:r w:rsidRPr="00E71B75">
        <w:rPr>
          <w:i/>
          <w:iCs/>
          <w:color w:val="000000" w:themeColor="text1"/>
        </w:rPr>
        <w:t>6</w:t>
      </w:r>
      <w:r w:rsidRPr="00E71B75">
        <w:rPr>
          <w:color w:val="000000" w:themeColor="text1"/>
        </w:rPr>
        <w:t>(2), 242-251.</w:t>
      </w:r>
    </w:p>
    <w:p w14:paraId="5ADD5F33" w14:textId="77777777" w:rsidR="004D084A" w:rsidRPr="00E71B75" w:rsidRDefault="004D084A" w:rsidP="004D084A">
      <w:pPr>
        <w:pStyle w:val="Body"/>
        <w:ind w:left="720" w:hanging="720"/>
        <w:rPr>
          <w:color w:val="000000" w:themeColor="text1"/>
        </w:rPr>
      </w:pPr>
      <w:r w:rsidRPr="00E71B75">
        <w:rPr>
          <w:color w:val="000000" w:themeColor="text1"/>
          <w:lang w:val="en-IN"/>
        </w:rPr>
        <w:t xml:space="preserve">Sun, T. P., &amp; </w:t>
      </w:r>
      <w:proofErr w:type="spellStart"/>
      <w:r w:rsidRPr="00E71B75">
        <w:rPr>
          <w:color w:val="000000" w:themeColor="text1"/>
          <w:lang w:val="en-IN"/>
        </w:rPr>
        <w:t>Gubler</w:t>
      </w:r>
      <w:proofErr w:type="spellEnd"/>
      <w:r w:rsidRPr="00E71B75">
        <w:rPr>
          <w:color w:val="000000" w:themeColor="text1"/>
          <w:lang w:val="en-IN"/>
        </w:rPr>
        <w:t xml:space="preserve">, F. (2004). Molecular mechanism of gibberellin </w:t>
      </w:r>
      <w:proofErr w:type="spellStart"/>
      <w:r w:rsidRPr="00E71B75">
        <w:rPr>
          <w:color w:val="000000" w:themeColor="text1"/>
          <w:lang w:val="en-IN"/>
        </w:rPr>
        <w:t>signaling</w:t>
      </w:r>
      <w:proofErr w:type="spellEnd"/>
      <w:r w:rsidRPr="00E71B75">
        <w:rPr>
          <w:color w:val="000000" w:themeColor="text1"/>
          <w:lang w:val="en-IN"/>
        </w:rPr>
        <w:t xml:space="preserve"> in plants. </w:t>
      </w:r>
      <w:proofErr w:type="spellStart"/>
      <w:r w:rsidRPr="00E71B75">
        <w:rPr>
          <w:i/>
          <w:iCs/>
          <w:color w:val="000000" w:themeColor="text1"/>
          <w:lang w:val="en-IN"/>
        </w:rPr>
        <w:t>Annu</w:t>
      </w:r>
      <w:proofErr w:type="spellEnd"/>
      <w:r w:rsidRPr="00E71B75">
        <w:rPr>
          <w:i/>
          <w:iCs/>
          <w:color w:val="000000" w:themeColor="text1"/>
          <w:lang w:val="en-IN"/>
        </w:rPr>
        <w:t>. Rev. Plant Biol.</w:t>
      </w:r>
      <w:r w:rsidRPr="00E71B75">
        <w:rPr>
          <w:color w:val="000000" w:themeColor="text1"/>
          <w:lang w:val="en-IN"/>
        </w:rPr>
        <w:t xml:space="preserve">, </w:t>
      </w:r>
      <w:r w:rsidRPr="00E71B75">
        <w:rPr>
          <w:i/>
          <w:iCs/>
          <w:color w:val="000000" w:themeColor="text1"/>
          <w:lang w:val="en-IN"/>
        </w:rPr>
        <w:t>55</w:t>
      </w:r>
      <w:r w:rsidRPr="00E71B75">
        <w:rPr>
          <w:color w:val="000000" w:themeColor="text1"/>
          <w:lang w:val="en-IN"/>
        </w:rPr>
        <w:t>(1), 197-223.</w:t>
      </w:r>
    </w:p>
    <w:p w14:paraId="7999FD04" w14:textId="77777777" w:rsidR="004D084A" w:rsidRPr="00E71B75" w:rsidRDefault="004D084A" w:rsidP="004D084A">
      <w:pPr>
        <w:pStyle w:val="Body"/>
        <w:ind w:left="720" w:hanging="720"/>
        <w:rPr>
          <w:color w:val="000000" w:themeColor="text1"/>
        </w:rPr>
      </w:pPr>
      <w:r w:rsidRPr="00E71B75">
        <w:rPr>
          <w:color w:val="000000" w:themeColor="text1"/>
          <w:lang w:val="en-IN"/>
        </w:rPr>
        <w:t>Tan, S., Yong, J., Ge, L. (2014). Analyses of Phytohormones in Coconut (</w:t>
      </w:r>
      <w:r w:rsidRPr="00E71B75">
        <w:rPr>
          <w:i/>
          <w:iCs/>
          <w:color w:val="000000" w:themeColor="text1"/>
          <w:lang w:val="en-IN"/>
        </w:rPr>
        <w:t xml:space="preserve">Cocos nucifera </w:t>
      </w:r>
      <w:r w:rsidRPr="00E71B75">
        <w:rPr>
          <w:color w:val="000000" w:themeColor="text1"/>
          <w:lang w:val="en-IN"/>
        </w:rPr>
        <w:t xml:space="preserve">L.) Water Using Capillary Electrophoresis-Tandem Mass Spectrometry. </w:t>
      </w:r>
      <w:r w:rsidRPr="00E71B75">
        <w:rPr>
          <w:i/>
          <w:iCs/>
          <w:color w:val="000000" w:themeColor="text1"/>
          <w:lang w:val="en-IN"/>
        </w:rPr>
        <w:t xml:space="preserve">Chromatography </w:t>
      </w:r>
      <w:r w:rsidRPr="00E71B75">
        <w:rPr>
          <w:color w:val="000000" w:themeColor="text1"/>
          <w:lang w:val="en-IN"/>
        </w:rPr>
        <w:t>1(4): 211–226.</w:t>
      </w:r>
    </w:p>
    <w:p w14:paraId="238C8C53" w14:textId="77777777" w:rsidR="004D084A" w:rsidRPr="00E71B75" w:rsidRDefault="004D084A" w:rsidP="004D084A">
      <w:pPr>
        <w:pStyle w:val="Body"/>
        <w:ind w:left="720" w:hanging="720"/>
        <w:rPr>
          <w:color w:val="000000" w:themeColor="text1"/>
        </w:rPr>
      </w:pPr>
      <w:proofErr w:type="spellStart"/>
      <w:r w:rsidRPr="00E71B75">
        <w:rPr>
          <w:color w:val="000000" w:themeColor="text1"/>
        </w:rPr>
        <w:t>Tiwery</w:t>
      </w:r>
      <w:proofErr w:type="spellEnd"/>
      <w:r w:rsidRPr="00E71B75">
        <w:rPr>
          <w:color w:val="000000" w:themeColor="text1"/>
        </w:rPr>
        <w:t xml:space="preserve"> RR (2014) The effect of the use of coconut water (</w:t>
      </w:r>
      <w:r w:rsidRPr="00E71B75">
        <w:rPr>
          <w:i/>
          <w:iCs/>
          <w:color w:val="000000" w:themeColor="text1"/>
        </w:rPr>
        <w:t>Cocos nucifera</w:t>
      </w:r>
      <w:r w:rsidRPr="00E71B75">
        <w:rPr>
          <w:color w:val="000000" w:themeColor="text1"/>
        </w:rPr>
        <w:t xml:space="preserve">) on the growth of </w:t>
      </w:r>
      <w:r w:rsidRPr="00E71B75">
        <w:rPr>
          <w:i/>
          <w:iCs/>
          <w:color w:val="000000" w:themeColor="text1"/>
        </w:rPr>
        <w:t xml:space="preserve">Brassica </w:t>
      </w:r>
      <w:proofErr w:type="spellStart"/>
      <w:r w:rsidRPr="00E71B75">
        <w:rPr>
          <w:i/>
          <w:iCs/>
          <w:color w:val="000000" w:themeColor="text1"/>
        </w:rPr>
        <w:t>juncae</w:t>
      </w:r>
      <w:proofErr w:type="spellEnd"/>
      <w:r w:rsidRPr="00E71B75">
        <w:rPr>
          <w:i/>
          <w:iCs/>
          <w:color w:val="000000" w:themeColor="text1"/>
        </w:rPr>
        <w:t xml:space="preserve"> </w:t>
      </w:r>
      <w:r w:rsidRPr="00E71B75">
        <w:rPr>
          <w:color w:val="000000" w:themeColor="text1"/>
        </w:rPr>
        <w:t xml:space="preserve">L. </w:t>
      </w:r>
      <w:proofErr w:type="spellStart"/>
      <w:r w:rsidRPr="00E71B75">
        <w:rPr>
          <w:color w:val="000000" w:themeColor="text1"/>
        </w:rPr>
        <w:t>Biopendix</w:t>
      </w:r>
      <w:proofErr w:type="spellEnd"/>
      <w:r w:rsidRPr="00E71B75">
        <w:rPr>
          <w:color w:val="000000" w:themeColor="text1"/>
        </w:rPr>
        <w:t>, 1 (1): 86–94. (In Indonesian).</w:t>
      </w:r>
    </w:p>
    <w:p w14:paraId="61F00805" w14:textId="77777777" w:rsidR="004D084A" w:rsidRPr="00E71B75" w:rsidRDefault="004D084A" w:rsidP="004D084A">
      <w:pPr>
        <w:pStyle w:val="Body"/>
        <w:ind w:left="720" w:hanging="720"/>
        <w:rPr>
          <w:color w:val="000000" w:themeColor="text1"/>
        </w:rPr>
      </w:pPr>
      <w:proofErr w:type="spellStart"/>
      <w:r w:rsidRPr="00E71B75">
        <w:rPr>
          <w:color w:val="000000" w:themeColor="text1"/>
        </w:rPr>
        <w:lastRenderedPageBreak/>
        <w:t>Ulfa</w:t>
      </w:r>
      <w:proofErr w:type="spellEnd"/>
      <w:r w:rsidRPr="00E71B75">
        <w:rPr>
          <w:color w:val="000000" w:themeColor="text1"/>
        </w:rPr>
        <w:t xml:space="preserve">, F., </w:t>
      </w:r>
      <w:proofErr w:type="spellStart"/>
      <w:r w:rsidRPr="00E71B75">
        <w:rPr>
          <w:color w:val="000000" w:themeColor="text1"/>
        </w:rPr>
        <w:t>Anshori</w:t>
      </w:r>
      <w:proofErr w:type="spellEnd"/>
      <w:r w:rsidRPr="00E71B75">
        <w:rPr>
          <w:color w:val="000000" w:themeColor="text1"/>
        </w:rPr>
        <w:t xml:space="preserve">, M. F., Amin, R., &amp; Iqbal, A. A. (2022). Effect of coconut water concentration and planting media on growth and postharvest characters of large chili using multivariate and non-parametric analyses. </w:t>
      </w:r>
      <w:r w:rsidRPr="00E71B75">
        <w:rPr>
          <w:i/>
          <w:iCs/>
          <w:color w:val="000000" w:themeColor="text1"/>
        </w:rPr>
        <w:t>Australian Journal of Crop Science</w:t>
      </w:r>
      <w:r w:rsidRPr="00E71B75">
        <w:rPr>
          <w:color w:val="000000" w:themeColor="text1"/>
        </w:rPr>
        <w:t xml:space="preserve">, </w:t>
      </w:r>
      <w:r w:rsidRPr="00E71B75">
        <w:rPr>
          <w:i/>
          <w:iCs/>
          <w:color w:val="000000" w:themeColor="text1"/>
        </w:rPr>
        <w:t>16</w:t>
      </w:r>
      <w:r w:rsidRPr="00E71B75">
        <w:rPr>
          <w:color w:val="000000" w:themeColor="text1"/>
        </w:rPr>
        <w:t>(5), 620-627.</w:t>
      </w:r>
    </w:p>
    <w:p w14:paraId="507086AD" w14:textId="77777777" w:rsidR="004D084A" w:rsidRPr="00E71B75" w:rsidRDefault="004D084A" w:rsidP="004D084A">
      <w:pPr>
        <w:pStyle w:val="Body"/>
        <w:ind w:left="720" w:hanging="720"/>
        <w:rPr>
          <w:color w:val="000000" w:themeColor="text1"/>
        </w:rPr>
      </w:pPr>
      <w:proofErr w:type="spellStart"/>
      <w:r w:rsidRPr="00E71B75">
        <w:rPr>
          <w:color w:val="000000" w:themeColor="text1"/>
        </w:rPr>
        <w:t>Winarto</w:t>
      </w:r>
      <w:proofErr w:type="spellEnd"/>
      <w:r w:rsidRPr="00E71B75">
        <w:rPr>
          <w:color w:val="000000" w:themeColor="text1"/>
        </w:rPr>
        <w:t xml:space="preserve"> B, da Silva JAT (2015) Use of coconut water and fertilizer for in vitro proliferation and plantlet production of Dendrobium ‘</w:t>
      </w:r>
      <w:proofErr w:type="spellStart"/>
      <w:r w:rsidRPr="00E71B75">
        <w:rPr>
          <w:color w:val="000000" w:themeColor="text1"/>
        </w:rPr>
        <w:t>Gradita</w:t>
      </w:r>
      <w:proofErr w:type="spellEnd"/>
      <w:r w:rsidRPr="00E71B75">
        <w:rPr>
          <w:color w:val="000000" w:themeColor="text1"/>
        </w:rPr>
        <w:t xml:space="preserve"> 31’. In Vitro Cell Dev Biol. 51: 303–314.</w:t>
      </w:r>
    </w:p>
    <w:p w14:paraId="07EB730B" w14:textId="77777777" w:rsidR="004D084A" w:rsidRPr="00E71B75" w:rsidRDefault="004D084A" w:rsidP="004D084A">
      <w:pPr>
        <w:pStyle w:val="Body"/>
        <w:ind w:left="720" w:hanging="720"/>
        <w:rPr>
          <w:color w:val="000000" w:themeColor="text1"/>
        </w:rPr>
      </w:pPr>
      <w:r w:rsidRPr="00E71B75">
        <w:rPr>
          <w:color w:val="000000" w:themeColor="text1"/>
        </w:rPr>
        <w:t xml:space="preserve">Yamaguchi, S. (2008). Gibberellin metabolism and its regulation. </w:t>
      </w:r>
      <w:proofErr w:type="spellStart"/>
      <w:r w:rsidRPr="00E71B75">
        <w:rPr>
          <w:i/>
          <w:iCs/>
          <w:color w:val="000000" w:themeColor="text1"/>
        </w:rPr>
        <w:t>Annu</w:t>
      </w:r>
      <w:proofErr w:type="spellEnd"/>
      <w:r w:rsidRPr="00E71B75">
        <w:rPr>
          <w:i/>
          <w:iCs/>
          <w:color w:val="000000" w:themeColor="text1"/>
        </w:rPr>
        <w:t>. Rev. Plant Biol.</w:t>
      </w:r>
      <w:r w:rsidRPr="00E71B75">
        <w:rPr>
          <w:color w:val="000000" w:themeColor="text1"/>
        </w:rPr>
        <w:t xml:space="preserve">, </w:t>
      </w:r>
      <w:r w:rsidRPr="00E71B75">
        <w:rPr>
          <w:i/>
          <w:iCs/>
          <w:color w:val="000000" w:themeColor="text1"/>
        </w:rPr>
        <w:t>59</w:t>
      </w:r>
      <w:r w:rsidRPr="00E71B75">
        <w:rPr>
          <w:color w:val="000000" w:themeColor="text1"/>
        </w:rPr>
        <w:t>(1), 225-251.</w:t>
      </w:r>
    </w:p>
    <w:p w14:paraId="25CF9866" w14:textId="77777777" w:rsidR="005F0DC4" w:rsidRDefault="005F0DC4">
      <w:pPr>
        <w:pStyle w:val="Body"/>
        <w:rPr>
          <w:color w:val="C00000"/>
        </w:rPr>
      </w:pPr>
    </w:p>
    <w:sectPr w:rsidR="005F0DC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F677" w14:textId="77777777" w:rsidR="00B30207" w:rsidRDefault="00B30207">
      <w:r>
        <w:separator/>
      </w:r>
    </w:p>
  </w:endnote>
  <w:endnote w:type="continuationSeparator" w:id="0">
    <w:p w14:paraId="62E4AE0A" w14:textId="77777777" w:rsidR="00B30207" w:rsidRDefault="00B3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80"/>
    <w:family w:val="auto"/>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EC2F" w14:textId="77777777" w:rsidR="005F0DC4" w:rsidRDefault="005F0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8324" w14:textId="77777777" w:rsidR="005F0DC4" w:rsidRDefault="005F0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2B5D" w14:textId="77777777" w:rsidR="005F0DC4" w:rsidRDefault="005F0DC4">
    <w:pPr>
      <w:pStyle w:val="Footer"/>
      <w:rPr>
        <w:rFonts w:ascii="Arial" w:hAnsi="Arial" w:cs="Arial"/>
        <w:sz w:val="16"/>
      </w:rPr>
    </w:pPr>
  </w:p>
  <w:p w14:paraId="651E4C4D" w14:textId="77777777" w:rsidR="005F0DC4" w:rsidRDefault="007F0E9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66204AE" w14:textId="77777777" w:rsidR="005F0DC4" w:rsidRDefault="005F0DC4">
    <w:pPr>
      <w:pStyle w:val="Footer"/>
      <w:rPr>
        <w:rFonts w:ascii="Arial" w:hAnsi="Arial" w:cs="Arial"/>
        <w:sz w:val="16"/>
      </w:rPr>
    </w:pPr>
  </w:p>
  <w:p w14:paraId="095A77D5" w14:textId="77777777" w:rsidR="005F0DC4" w:rsidRDefault="007F0E9E">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17D9" w14:textId="77777777" w:rsidR="005F0DC4" w:rsidRDefault="005F0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5827" w14:textId="77777777" w:rsidR="00B30207" w:rsidRDefault="00B30207">
      <w:r>
        <w:separator/>
      </w:r>
    </w:p>
  </w:footnote>
  <w:footnote w:type="continuationSeparator" w:id="0">
    <w:p w14:paraId="5650654B" w14:textId="77777777" w:rsidR="00B30207" w:rsidRDefault="00B3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0255" w14:textId="77777777" w:rsidR="005F0DC4" w:rsidRDefault="00B30207">
    <w:pPr>
      <w:pStyle w:val="Header"/>
    </w:pPr>
    <w:r>
      <w:pict w14:anchorId="76744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7" o:spid="_x0000_s3075"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D400" w14:textId="77777777" w:rsidR="005F0DC4" w:rsidRDefault="00B30207">
    <w:pPr>
      <w:pStyle w:val="Header"/>
    </w:pPr>
    <w:r>
      <w:pict w14:anchorId="0B420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8" o:spid="_x0000_s3074"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4BA3" w14:textId="77777777" w:rsidR="005F0DC4" w:rsidRDefault="00B30207">
    <w:pPr>
      <w:ind w:left="2160"/>
      <w:jc w:val="center"/>
      <w:rPr>
        <w:rFonts w:ascii="Times New Roman" w:eastAsia="Calibri" w:hAnsi="Times New Roman"/>
        <w:i/>
        <w:sz w:val="18"/>
        <w:szCs w:val="22"/>
      </w:rPr>
    </w:pPr>
    <w:r>
      <w:pict w14:anchorId="08BEC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6" o:spid="_x0000_s3073" type="#_x0000_t136" style="position:absolute;left:0;text-align:left;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1F8EA933" w14:textId="77777777" w:rsidR="005F0DC4" w:rsidRDefault="007F0E9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FDBC1B" w14:textId="77777777" w:rsidR="005F0DC4" w:rsidRDefault="007F0E9E">
    <w:pPr>
      <w:jc w:val="center"/>
      <w:rPr>
        <w:rFonts w:ascii="Times New Roman" w:eastAsia="Calibri" w:hAnsi="Times New Roman"/>
        <w:i/>
        <w:sz w:val="18"/>
        <w:szCs w:val="22"/>
      </w:rPr>
    </w:pPr>
    <w:r>
      <w:rPr>
        <w:rFonts w:ascii="Times New Roman" w:eastAsia="Calibri" w:hAnsi="Times New Roman"/>
        <w:i/>
        <w:sz w:val="18"/>
        <w:szCs w:val="22"/>
      </w:rPr>
      <w:t>.</w:t>
    </w:r>
  </w:p>
  <w:p w14:paraId="27262297" w14:textId="77777777" w:rsidR="005F0DC4" w:rsidRDefault="007F0E9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D09B8F8" w14:textId="77777777" w:rsidR="005F0DC4" w:rsidRDefault="007F0E9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909F22F" w14:textId="77777777" w:rsidR="005F0DC4" w:rsidRDefault="007F0E9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D9CEB17" w14:textId="77777777" w:rsidR="005F0DC4" w:rsidRDefault="007F0E9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A845" w14:textId="77777777" w:rsidR="005F0DC4" w:rsidRDefault="00B30207">
    <w:pPr>
      <w:pStyle w:val="Header"/>
    </w:pPr>
    <w:r>
      <w:pict w14:anchorId="2D968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60" o:spid="_x0000_s3078"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C129" w14:textId="77777777" w:rsidR="005F0DC4" w:rsidRDefault="00B30207">
    <w:pPr>
      <w:pStyle w:val="Header"/>
    </w:pPr>
    <w:r>
      <w:pict w14:anchorId="0DE32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61" o:spid="_x0000_s3077"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38676" w14:textId="77777777" w:rsidR="005F0DC4" w:rsidRDefault="00B30207">
    <w:pPr>
      <w:pStyle w:val="Header"/>
    </w:pPr>
    <w:r>
      <w:pict w14:anchorId="71095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9" o:spid="_x0000_s3076"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1E1"/>
    <w:rsid w:val="000A47FA"/>
    <w:rsid w:val="000A65D3"/>
    <w:rsid w:val="000B1E33"/>
    <w:rsid w:val="000D689F"/>
    <w:rsid w:val="000E0753"/>
    <w:rsid w:val="000E7B7B"/>
    <w:rsid w:val="000E7D62"/>
    <w:rsid w:val="00103357"/>
    <w:rsid w:val="00106792"/>
    <w:rsid w:val="00123C9F"/>
    <w:rsid w:val="00126190"/>
    <w:rsid w:val="00130F17"/>
    <w:rsid w:val="001320BF"/>
    <w:rsid w:val="00163BC4"/>
    <w:rsid w:val="00191062"/>
    <w:rsid w:val="00192B72"/>
    <w:rsid w:val="001A29D8"/>
    <w:rsid w:val="001A5CAA"/>
    <w:rsid w:val="001B0427"/>
    <w:rsid w:val="001B0F6C"/>
    <w:rsid w:val="001B44C9"/>
    <w:rsid w:val="001D3A51"/>
    <w:rsid w:val="001E10D2"/>
    <w:rsid w:val="001E25B4"/>
    <w:rsid w:val="001E44FE"/>
    <w:rsid w:val="00200595"/>
    <w:rsid w:val="00204835"/>
    <w:rsid w:val="00231920"/>
    <w:rsid w:val="0023195C"/>
    <w:rsid w:val="0024282C"/>
    <w:rsid w:val="002460DC"/>
    <w:rsid w:val="0024698B"/>
    <w:rsid w:val="00250985"/>
    <w:rsid w:val="002556F6"/>
    <w:rsid w:val="002673ED"/>
    <w:rsid w:val="00283105"/>
    <w:rsid w:val="00284C4C"/>
    <w:rsid w:val="00287E68"/>
    <w:rsid w:val="00296529"/>
    <w:rsid w:val="002B27FB"/>
    <w:rsid w:val="002B685A"/>
    <w:rsid w:val="002C57D2"/>
    <w:rsid w:val="002D1D0E"/>
    <w:rsid w:val="002E0D56"/>
    <w:rsid w:val="00315186"/>
    <w:rsid w:val="0033343E"/>
    <w:rsid w:val="003512C2"/>
    <w:rsid w:val="00371FB6"/>
    <w:rsid w:val="003763C1"/>
    <w:rsid w:val="00376BBE"/>
    <w:rsid w:val="00390008"/>
    <w:rsid w:val="00390392"/>
    <w:rsid w:val="0039224F"/>
    <w:rsid w:val="003A43A4"/>
    <w:rsid w:val="003A7E18"/>
    <w:rsid w:val="003B7E02"/>
    <w:rsid w:val="003C4C86"/>
    <w:rsid w:val="003C6258"/>
    <w:rsid w:val="003E2904"/>
    <w:rsid w:val="00401927"/>
    <w:rsid w:val="0041027F"/>
    <w:rsid w:val="00412475"/>
    <w:rsid w:val="00423789"/>
    <w:rsid w:val="00440F43"/>
    <w:rsid w:val="00441B6F"/>
    <w:rsid w:val="00446221"/>
    <w:rsid w:val="00450E62"/>
    <w:rsid w:val="004539DB"/>
    <w:rsid w:val="00471A80"/>
    <w:rsid w:val="0047584B"/>
    <w:rsid w:val="004D084A"/>
    <w:rsid w:val="004D305E"/>
    <w:rsid w:val="004D4277"/>
    <w:rsid w:val="004F232F"/>
    <w:rsid w:val="00502516"/>
    <w:rsid w:val="00505F06"/>
    <w:rsid w:val="00506828"/>
    <w:rsid w:val="00516122"/>
    <w:rsid w:val="0053056E"/>
    <w:rsid w:val="00544F9E"/>
    <w:rsid w:val="00554FDA"/>
    <w:rsid w:val="005951B1"/>
    <w:rsid w:val="005B6192"/>
    <w:rsid w:val="005C784C"/>
    <w:rsid w:val="005D17F6"/>
    <w:rsid w:val="005D1BBF"/>
    <w:rsid w:val="005E5539"/>
    <w:rsid w:val="005F0DC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178"/>
    <w:rsid w:val="007369E6"/>
    <w:rsid w:val="00746E59"/>
    <w:rsid w:val="00754C9A"/>
    <w:rsid w:val="0075599A"/>
    <w:rsid w:val="00761D52"/>
    <w:rsid w:val="0077749E"/>
    <w:rsid w:val="00790ADA"/>
    <w:rsid w:val="007B1DF7"/>
    <w:rsid w:val="007D2288"/>
    <w:rsid w:val="007E088F"/>
    <w:rsid w:val="007F0E9E"/>
    <w:rsid w:val="007F1F5D"/>
    <w:rsid w:val="007F3F8E"/>
    <w:rsid w:val="007F4F45"/>
    <w:rsid w:val="007F5DB9"/>
    <w:rsid w:val="007F7B32"/>
    <w:rsid w:val="00804BC2"/>
    <w:rsid w:val="00811C24"/>
    <w:rsid w:val="0081431A"/>
    <w:rsid w:val="0083216F"/>
    <w:rsid w:val="008408F9"/>
    <w:rsid w:val="00860000"/>
    <w:rsid w:val="00863BD3"/>
    <w:rsid w:val="008641ED"/>
    <w:rsid w:val="00866D66"/>
    <w:rsid w:val="008671C6"/>
    <w:rsid w:val="008711FA"/>
    <w:rsid w:val="00875803"/>
    <w:rsid w:val="008A699E"/>
    <w:rsid w:val="008B459E"/>
    <w:rsid w:val="008E13AE"/>
    <w:rsid w:val="008E1506"/>
    <w:rsid w:val="008E710C"/>
    <w:rsid w:val="008F69D6"/>
    <w:rsid w:val="00902823"/>
    <w:rsid w:val="00915CA6"/>
    <w:rsid w:val="00927834"/>
    <w:rsid w:val="009500A6"/>
    <w:rsid w:val="00957C18"/>
    <w:rsid w:val="009659BA"/>
    <w:rsid w:val="00983040"/>
    <w:rsid w:val="00983E75"/>
    <w:rsid w:val="009B3FB9"/>
    <w:rsid w:val="009C2465"/>
    <w:rsid w:val="009D35A0"/>
    <w:rsid w:val="009D7EB7"/>
    <w:rsid w:val="009E048A"/>
    <w:rsid w:val="009E08E9"/>
    <w:rsid w:val="009E3DB9"/>
    <w:rsid w:val="009E6E35"/>
    <w:rsid w:val="009F0EDA"/>
    <w:rsid w:val="00A03B96"/>
    <w:rsid w:val="00A05B19"/>
    <w:rsid w:val="00A1134E"/>
    <w:rsid w:val="00A20CF5"/>
    <w:rsid w:val="00A24E7E"/>
    <w:rsid w:val="00A258C3"/>
    <w:rsid w:val="00A347C0"/>
    <w:rsid w:val="00A51431"/>
    <w:rsid w:val="00A539AD"/>
    <w:rsid w:val="00A64140"/>
    <w:rsid w:val="00A94063"/>
    <w:rsid w:val="00AA6219"/>
    <w:rsid w:val="00AA74E0"/>
    <w:rsid w:val="00AB703F"/>
    <w:rsid w:val="00AC6BB8"/>
    <w:rsid w:val="00AE008F"/>
    <w:rsid w:val="00B01FCD"/>
    <w:rsid w:val="00B1776C"/>
    <w:rsid w:val="00B30207"/>
    <w:rsid w:val="00B52583"/>
    <w:rsid w:val="00B52896"/>
    <w:rsid w:val="00B95236"/>
    <w:rsid w:val="00B96BD9"/>
    <w:rsid w:val="00B9788F"/>
    <w:rsid w:val="00BA1B01"/>
    <w:rsid w:val="00BA2641"/>
    <w:rsid w:val="00BB37AA"/>
    <w:rsid w:val="00BC53A0"/>
    <w:rsid w:val="00BE62AD"/>
    <w:rsid w:val="00BF121F"/>
    <w:rsid w:val="00BF1F80"/>
    <w:rsid w:val="00C12C26"/>
    <w:rsid w:val="00C1472D"/>
    <w:rsid w:val="00C166EF"/>
    <w:rsid w:val="00C17EB0"/>
    <w:rsid w:val="00C26ED5"/>
    <w:rsid w:val="00C27F5F"/>
    <w:rsid w:val="00C30A0F"/>
    <w:rsid w:val="00C37E61"/>
    <w:rsid w:val="00C64967"/>
    <w:rsid w:val="00C70F1B"/>
    <w:rsid w:val="00C71A47"/>
    <w:rsid w:val="00C7464C"/>
    <w:rsid w:val="00C85588"/>
    <w:rsid w:val="00CD6755"/>
    <w:rsid w:val="00CD6856"/>
    <w:rsid w:val="00CE0089"/>
    <w:rsid w:val="00CE793C"/>
    <w:rsid w:val="00CF193C"/>
    <w:rsid w:val="00CF2767"/>
    <w:rsid w:val="00D173F1"/>
    <w:rsid w:val="00D571E2"/>
    <w:rsid w:val="00D74CB0"/>
    <w:rsid w:val="00D8295D"/>
    <w:rsid w:val="00D90310"/>
    <w:rsid w:val="00DA4470"/>
    <w:rsid w:val="00DC2A65"/>
    <w:rsid w:val="00DE15F0"/>
    <w:rsid w:val="00DE345A"/>
    <w:rsid w:val="00DE5663"/>
    <w:rsid w:val="00DE78AA"/>
    <w:rsid w:val="00DE7D84"/>
    <w:rsid w:val="00E053D0"/>
    <w:rsid w:val="00E15994"/>
    <w:rsid w:val="00E3114E"/>
    <w:rsid w:val="00E31A70"/>
    <w:rsid w:val="00E35B02"/>
    <w:rsid w:val="00E66496"/>
    <w:rsid w:val="00E66B35"/>
    <w:rsid w:val="00E66E10"/>
    <w:rsid w:val="00E71B75"/>
    <w:rsid w:val="00E769F6"/>
    <w:rsid w:val="00E8407C"/>
    <w:rsid w:val="00E84F3C"/>
    <w:rsid w:val="00EA012C"/>
    <w:rsid w:val="00EC6A55"/>
    <w:rsid w:val="00ED0288"/>
    <w:rsid w:val="00EE053D"/>
    <w:rsid w:val="00EE52CB"/>
    <w:rsid w:val="00EF581D"/>
    <w:rsid w:val="00EF7FD8"/>
    <w:rsid w:val="00F06F59"/>
    <w:rsid w:val="00F1530B"/>
    <w:rsid w:val="00F17988"/>
    <w:rsid w:val="00F20523"/>
    <w:rsid w:val="00F45905"/>
    <w:rsid w:val="00F469F0"/>
    <w:rsid w:val="00F53273"/>
    <w:rsid w:val="00F755E4"/>
    <w:rsid w:val="00F77D02"/>
    <w:rsid w:val="00F82D22"/>
    <w:rsid w:val="00FB3A86"/>
    <w:rsid w:val="00FD36C8"/>
    <w:rsid w:val="4E7B6BD1"/>
    <w:rsid w:val="66EF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4:docId w14:val="7879434C"/>
  <w15:docId w15:val="{2E7A1CA8-4592-490B-8392-37AFE49F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D0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x.doi.org/10.4172/2157-7110.1000515" TargetMode="External"/><Relationship Id="rId2" Type="http://schemas.openxmlformats.org/officeDocument/2006/relationships/customXml" Target="../customXml/item2.xml"/><Relationship Id="rId16" Type="http://schemas.openxmlformats.org/officeDocument/2006/relationships/hyperlink" Target="http://dx.doi.org/10.14719/pst.497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07/s11105-024-01475-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5F5DF-AB76-42D6-AB3A-125AB51B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12</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cp:revision>
  <cp:lastPrinted>1999-07-06T11:00:00Z</cp:lastPrinted>
  <dcterms:created xsi:type="dcterms:W3CDTF">2025-06-12T10:56:00Z</dcterms:created>
  <dcterms:modified xsi:type="dcterms:W3CDTF">2025-06-14T12:16:00Z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A3C225F5ADE6444390690F1C42921FBB_12</vt:lpwstr>
  </property>
</Properties>
</file>