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262" w:rsidRDefault="00545FF6">
      <w:pPr>
        <w:spacing w:before="100" w:beforeAutospacing="1" w:after="100" w:afterAutospacing="1" w:line="360" w:lineRule="auto"/>
        <w:jc w:val="center"/>
        <w:rPr>
          <w:rFonts w:ascii="Times New Roman" w:eastAsia="Times New Roman" w:hAnsi="Times New Roman" w:cs="Times New Roman"/>
          <w:b/>
          <w:bCs/>
          <w:sz w:val="28"/>
          <w:szCs w:val="28"/>
          <w:highlight w:val="yellow"/>
        </w:rPr>
      </w:pPr>
      <w:bookmarkStart w:id="0" w:name="_GoBack"/>
      <w:bookmarkEnd w:id="0"/>
      <w:r>
        <w:rPr>
          <w:rFonts w:ascii="Times New Roman" w:eastAsia="Times New Roman" w:hAnsi="Times New Roman" w:cs="Times New Roman"/>
          <w:b/>
          <w:bCs/>
          <w:sz w:val="28"/>
          <w:szCs w:val="28"/>
          <w:highlight w:val="yellow"/>
        </w:rPr>
        <w:t xml:space="preserve">Impact of Nutrient Management on Soil Properties in Indian Mustard (Brassica </w:t>
      </w:r>
      <w:proofErr w:type="spellStart"/>
      <w:r>
        <w:rPr>
          <w:rFonts w:ascii="Times New Roman" w:eastAsia="Times New Roman" w:hAnsi="Times New Roman" w:cs="Times New Roman"/>
          <w:b/>
          <w:bCs/>
          <w:sz w:val="28"/>
          <w:szCs w:val="28"/>
          <w:highlight w:val="yellow"/>
        </w:rPr>
        <w:t>juncea</w:t>
      </w:r>
      <w:proofErr w:type="spellEnd"/>
      <w:r>
        <w:rPr>
          <w:rFonts w:ascii="Times New Roman" w:eastAsia="Times New Roman" w:hAnsi="Times New Roman" w:cs="Times New Roman"/>
          <w:b/>
          <w:bCs/>
          <w:sz w:val="28"/>
          <w:szCs w:val="28"/>
          <w:highlight w:val="yellow"/>
        </w:rPr>
        <w:t xml:space="preserve"> L.) Cultivation</w:t>
      </w:r>
    </w:p>
    <w:p w:rsidR="00EC2129" w:rsidRDefault="00545FF6">
      <w:pPr>
        <w:spacing w:before="100" w:beforeAutospacing="1" w:after="100" w:afterAutospacing="1" w:line="360" w:lineRule="auto"/>
        <w:jc w:val="center"/>
        <w:rPr>
          <w:rFonts w:ascii="Times New Roman" w:eastAsia="Times New Roman" w:hAnsi="Times New Roman" w:cs="Times New Roman"/>
          <w:sz w:val="28"/>
          <w:szCs w:val="28"/>
          <w:highlight w:val="yellow"/>
        </w:rPr>
      </w:pPr>
      <w:r>
        <w:rPr>
          <w:rFonts w:ascii="Times New Roman" w:eastAsia="Times New Roman" w:hAnsi="Times New Roman" w:cs="Times New Roman"/>
          <w:b/>
          <w:bCs/>
          <w:sz w:val="28"/>
          <w:szCs w:val="28"/>
          <w:highlight w:val="yellow"/>
        </w:rPr>
        <w:t>Abstract</w:t>
      </w:r>
    </w:p>
    <w:p w:rsidR="00EC2129" w:rsidRDefault="00545FF6">
      <w:pPr>
        <w:pStyle w:val="NormalWeb"/>
        <w:spacing w:line="360" w:lineRule="auto"/>
        <w:jc w:val="both"/>
        <w:rPr>
          <w:highlight w:val="yellow"/>
        </w:rPr>
      </w:pPr>
      <w:r>
        <w:rPr>
          <w:highlight w:val="yellow"/>
        </w:rPr>
        <w:t xml:space="preserve">A field study was carried out during the </w:t>
      </w:r>
      <w:proofErr w:type="spellStart"/>
      <w:r>
        <w:rPr>
          <w:highlight w:val="yellow"/>
        </w:rPr>
        <w:t>rabi</w:t>
      </w:r>
      <w:proofErr w:type="spellEnd"/>
      <w:r>
        <w:rPr>
          <w:highlight w:val="yellow"/>
        </w:rPr>
        <w:t xml:space="preserve"> (winter) seasons of 2022–23 </w:t>
      </w:r>
      <w:r>
        <w:rPr>
          <w:highlight w:val="yellow"/>
        </w:rPr>
        <w:t xml:space="preserve">and 2023–24 at the Instructional Farm of Banda University of Agriculture &amp; Technology, Banda, to evaluate the impact of integrated nutrient management on soil fertility in Indian mustard (Brassica </w:t>
      </w:r>
      <w:proofErr w:type="spellStart"/>
      <w:r>
        <w:rPr>
          <w:highlight w:val="yellow"/>
        </w:rPr>
        <w:t>juncea</w:t>
      </w:r>
      <w:proofErr w:type="spellEnd"/>
      <w:r>
        <w:rPr>
          <w:highlight w:val="yellow"/>
        </w:rPr>
        <w:t xml:space="preserve"> L.). The experiment employed a split-plot design, wi</w:t>
      </w:r>
      <w:r>
        <w:rPr>
          <w:highlight w:val="yellow"/>
        </w:rPr>
        <w:t>th four fertility levels (50%, 75%, 100%, and 125% of the recommended NPKS) assigned to the main plots, and four sub-plot treatments involving different combinations of micronutrients (Zn and B) and enriched vermicompost. Each treatment was replicated thre</w:t>
      </w:r>
      <w:r>
        <w:rPr>
          <w:highlight w:val="yellow"/>
        </w:rPr>
        <w:t xml:space="preserve">e times. Results showed that application of 100% and 125% of the recommended NPKS significantly increased the post-harvest availability of nitrogen, phosphorus, potassium, </w:t>
      </w:r>
      <w:proofErr w:type="spellStart"/>
      <w:r>
        <w:rPr>
          <w:highlight w:val="yellow"/>
        </w:rPr>
        <w:t>sulphur</w:t>
      </w:r>
      <w:proofErr w:type="spellEnd"/>
      <w:r>
        <w:rPr>
          <w:highlight w:val="yellow"/>
        </w:rPr>
        <w:t>, and zinc compared to lower application rates. Among the sub-plot treatments</w:t>
      </w:r>
      <w:r>
        <w:rPr>
          <w:highlight w:val="yellow"/>
        </w:rPr>
        <w:t>, the combinations of 2.5 kg Zn + 0.5 kg B + 500 kg enriched vermicompost (S3) and 5 kg Zn + 1 kg B + 250 kg enriched vermicompost (S4) consistently enhanced nutrient availability in the soil. However, the interaction effects between fertility levels and m</w:t>
      </w:r>
      <w:r>
        <w:rPr>
          <w:highlight w:val="yellow"/>
        </w:rPr>
        <w:t>icronutrient-organic combinations were found to be statistically non-significant for all measured nutrients. The study concludes that integrated nutrient management, especially using either 100% or 125% of the recommended NPKS along with micronutrients and</w:t>
      </w:r>
      <w:r>
        <w:rPr>
          <w:highlight w:val="yellow"/>
        </w:rPr>
        <w:t xml:space="preserve"> organic amendments, effectively improves soil fertility and supports sustainable mustard production under semi-arid conditions.</w:t>
      </w:r>
    </w:p>
    <w:p w:rsidR="00EC2129" w:rsidRDefault="00545FF6">
      <w:pPr>
        <w:spacing w:line="360" w:lineRule="auto"/>
        <w:jc w:val="both"/>
        <w:rPr>
          <w:sz w:val="24"/>
          <w:szCs w:val="24"/>
        </w:rPr>
      </w:pPr>
      <w:r>
        <w:rPr>
          <w:b/>
          <w:sz w:val="24"/>
          <w:szCs w:val="24"/>
        </w:rPr>
        <w:t>Keywords-</w:t>
      </w:r>
      <w:r>
        <w:rPr>
          <w:sz w:val="24"/>
          <w:szCs w:val="24"/>
        </w:rPr>
        <w:t xml:space="preserve"> Indian mustard, Nutrient management, Soil fertility, Enriched vermicompost, Micronutrients (Zn and B)</w:t>
      </w:r>
    </w:p>
    <w:p w:rsidR="00EC2129" w:rsidRDefault="00545FF6">
      <w:pPr>
        <w:rPr>
          <w:rFonts w:ascii="Times New Roman" w:hAnsi="Times New Roman" w:cs="Times New Roman"/>
          <w:b/>
          <w:sz w:val="24"/>
          <w:szCs w:val="24"/>
        </w:rPr>
      </w:pPr>
      <w:r>
        <w:rPr>
          <w:rFonts w:ascii="Times New Roman" w:hAnsi="Times New Roman" w:cs="Times New Roman"/>
          <w:b/>
          <w:sz w:val="24"/>
          <w:szCs w:val="24"/>
        </w:rPr>
        <w:t>Introduction</w:t>
      </w:r>
    </w:p>
    <w:p w:rsidR="00EC2129" w:rsidRDefault="00545FF6">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Oi</w:t>
      </w:r>
      <w:r>
        <w:rPr>
          <w:rFonts w:ascii="Times New Roman" w:eastAsia="Times New Roman" w:hAnsi="Times New Roman" w:cs="Times New Roman"/>
          <w:sz w:val="24"/>
          <w:szCs w:val="24"/>
        </w:rPr>
        <w:t>lseeds represent the second most important agricultural commodity in India after cereals, playing a vital role in the nation's farming sector. They account for around 13% of the total cultivated area, contribute approximately 3% to the gross national produ</w:t>
      </w:r>
      <w:r>
        <w:rPr>
          <w:rFonts w:ascii="Times New Roman" w:eastAsia="Times New Roman" w:hAnsi="Times New Roman" w:cs="Times New Roman"/>
          <w:sz w:val="24"/>
          <w:szCs w:val="24"/>
        </w:rPr>
        <w:t xml:space="preserve">ct, and make up about 10% of the overall value of agricultural commodities </w:t>
      </w:r>
      <w:r>
        <w:rPr>
          <w:rFonts w:ascii="Times New Roman" w:eastAsia="Times New Roman" w:hAnsi="Times New Roman" w:cs="Times New Roman"/>
          <w:b/>
          <w:sz w:val="24"/>
          <w:szCs w:val="24"/>
        </w:rPr>
        <w:t>(DA &amp; FW, 2022).</w:t>
      </w:r>
      <w:r>
        <w:rPr>
          <w:rFonts w:ascii="Times New Roman" w:eastAsia="Times New Roman" w:hAnsi="Times New Roman" w:cs="Times New Roman"/>
          <w:sz w:val="24"/>
          <w:szCs w:val="24"/>
        </w:rPr>
        <w:t xml:space="preserve"> These crops are primarily grown for their oil-rich seeds, which are used in cooking, various industries, and in the </w:t>
      </w:r>
      <w:r>
        <w:rPr>
          <w:rFonts w:ascii="Times New Roman" w:eastAsia="Times New Roman" w:hAnsi="Times New Roman" w:cs="Times New Roman"/>
          <w:sz w:val="24"/>
          <w:szCs w:val="24"/>
        </w:rPr>
        <w:lastRenderedPageBreak/>
        <w:t xml:space="preserve">production of products such as soap, cosmetics, </w:t>
      </w:r>
      <w:r>
        <w:rPr>
          <w:rFonts w:ascii="Times New Roman" w:eastAsia="Times New Roman" w:hAnsi="Times New Roman" w:cs="Times New Roman"/>
          <w:sz w:val="24"/>
          <w:szCs w:val="24"/>
        </w:rPr>
        <w:t>and biodiesel. The major oilseed-producing states include Madhya Pradesh, Rajasthan, Chhattisgarh, Uttar Pradesh, Maharashtra, Bihar, Odisha, Jharkhand, Nagaland, Karnataka, and Assam, together contributing over 95% of the area and production (NFSM, 2018).</w:t>
      </w:r>
    </w:p>
    <w:p w:rsidR="00EC2129" w:rsidRDefault="00545FF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Among these crops, Indian mustard (</w:t>
      </w:r>
      <w:r>
        <w:rPr>
          <w:rFonts w:ascii="Times New Roman" w:eastAsia="Times New Roman" w:hAnsi="Times New Roman" w:cs="Times New Roman"/>
          <w:i/>
          <w:sz w:val="24"/>
          <w:szCs w:val="24"/>
        </w:rPr>
        <w:t xml:space="preserve">Brassica </w:t>
      </w:r>
      <w:proofErr w:type="spellStart"/>
      <w:r>
        <w:rPr>
          <w:rFonts w:ascii="Times New Roman" w:eastAsia="Times New Roman" w:hAnsi="Times New Roman" w:cs="Times New Roman"/>
          <w:i/>
          <w:sz w:val="24"/>
          <w:szCs w:val="24"/>
        </w:rPr>
        <w:t>juncea</w:t>
      </w:r>
      <w:proofErr w:type="spellEnd"/>
      <w:r>
        <w:rPr>
          <w:rFonts w:ascii="Times New Roman" w:eastAsia="Times New Roman" w:hAnsi="Times New Roman" w:cs="Times New Roman"/>
          <w:sz w:val="24"/>
          <w:szCs w:val="24"/>
        </w:rPr>
        <w:t xml:space="preserve"> L.) is a key oilseed plant from the </w:t>
      </w:r>
      <w:r>
        <w:rPr>
          <w:rFonts w:ascii="Times New Roman" w:eastAsia="Times New Roman" w:hAnsi="Times New Roman" w:cs="Times New Roman"/>
          <w:i/>
          <w:sz w:val="24"/>
          <w:szCs w:val="24"/>
        </w:rPr>
        <w:t>Brassicaceae</w:t>
      </w:r>
      <w:r>
        <w:rPr>
          <w:rFonts w:ascii="Times New Roman" w:eastAsia="Times New Roman" w:hAnsi="Times New Roman" w:cs="Times New Roman"/>
          <w:sz w:val="24"/>
          <w:szCs w:val="24"/>
        </w:rPr>
        <w:t xml:space="preserve"> family, responsible for about one-third of India’s total oilseed output. It is the third most produced oilseed in the country, after soybean and groundnut,</w:t>
      </w:r>
      <w:r>
        <w:rPr>
          <w:rFonts w:ascii="Times New Roman" w:eastAsia="Times New Roman" w:hAnsi="Times New Roman" w:cs="Times New Roman"/>
          <w:sz w:val="24"/>
          <w:szCs w:val="24"/>
        </w:rPr>
        <w:t xml:space="preserve"> and contributes around 28% to the national oilseed production. Mustard oil is widely consumed as a cooking medium and enhances both mineral and caloric intake for humans and livestock. It is also used in various industrial applications, while the leftover</w:t>
      </w:r>
      <w:r>
        <w:rPr>
          <w:rFonts w:ascii="Times New Roman" w:eastAsia="Times New Roman" w:hAnsi="Times New Roman" w:cs="Times New Roman"/>
          <w:sz w:val="24"/>
          <w:szCs w:val="24"/>
        </w:rPr>
        <w:t xml:space="preserve"> oilcake serves as animal feed and fertilizer. Additionally, mustard greens are consumed as vegetables and used as green fodder. Indian mustard is cultivated across a wide range of </w:t>
      </w:r>
      <w:proofErr w:type="spellStart"/>
      <w:r>
        <w:rPr>
          <w:rFonts w:ascii="Times New Roman" w:eastAsia="Times New Roman" w:hAnsi="Times New Roman" w:cs="Times New Roman"/>
          <w:sz w:val="24"/>
          <w:szCs w:val="24"/>
        </w:rPr>
        <w:t>agro</w:t>
      </w:r>
      <w:proofErr w:type="spellEnd"/>
      <w:r>
        <w:rPr>
          <w:rFonts w:ascii="Times New Roman" w:eastAsia="Times New Roman" w:hAnsi="Times New Roman" w:cs="Times New Roman"/>
          <w:sz w:val="24"/>
          <w:szCs w:val="24"/>
        </w:rPr>
        <w:t>-climatic zones—from the northeastern and northwestern hills to souther</w:t>
      </w:r>
      <w:r>
        <w:rPr>
          <w:rFonts w:ascii="Times New Roman" w:eastAsia="Times New Roman" w:hAnsi="Times New Roman" w:cs="Times New Roman"/>
          <w:sz w:val="24"/>
          <w:szCs w:val="24"/>
        </w:rPr>
        <w:t xml:space="preserve">n regions—under both irrigated and rainfed conditions, and in various soil types, including saline lands. It adapts well to different farming systems, including early and late sowing and mixed cropping. The oil content of Indian mustard ranges from 37% to </w:t>
      </w:r>
      <w:r>
        <w:rPr>
          <w:rFonts w:ascii="Times New Roman" w:eastAsia="Times New Roman" w:hAnsi="Times New Roman" w:cs="Times New Roman"/>
          <w:sz w:val="24"/>
          <w:szCs w:val="24"/>
        </w:rPr>
        <w:t xml:space="preserve">49%, and the composition includes 38–57% erucic acid, 4.7–13% linolenic acid, 27% oleic acid, and 10–12% linoleic acid </w:t>
      </w:r>
      <w:r>
        <w:rPr>
          <w:rFonts w:ascii="Times New Roman" w:eastAsia="Times New Roman" w:hAnsi="Times New Roman" w:cs="Times New Roman"/>
          <w:b/>
          <w:sz w:val="24"/>
          <w:szCs w:val="24"/>
        </w:rPr>
        <w:t xml:space="preserve">(Kumar </w:t>
      </w:r>
      <w:r>
        <w:rPr>
          <w:rFonts w:ascii="Times New Roman" w:eastAsia="Times New Roman" w:hAnsi="Times New Roman" w:cs="Times New Roman"/>
          <w:b/>
          <w:i/>
          <w:sz w:val="24"/>
          <w:szCs w:val="24"/>
        </w:rPr>
        <w:t xml:space="preserve">et al., </w:t>
      </w:r>
      <w:r>
        <w:rPr>
          <w:rFonts w:ascii="Times New Roman" w:eastAsia="Times New Roman" w:hAnsi="Times New Roman" w:cs="Times New Roman"/>
          <w:b/>
          <w:sz w:val="24"/>
          <w:szCs w:val="24"/>
        </w:rPr>
        <w:t>2019</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crop holds significant importance in India’s agricultural economy by supporting food security and serving as a </w:t>
      </w:r>
      <w:r>
        <w:rPr>
          <w:rFonts w:ascii="Times New Roman" w:eastAsia="Times New Roman" w:hAnsi="Times New Roman" w:cs="Times New Roman"/>
          <w:sz w:val="24"/>
          <w:szCs w:val="24"/>
        </w:rPr>
        <w:t>key income source for farmers. India ranks as the third-largest producer of rapeseed-mustard globally. These crops are grown on approximately 6.78 million hectares, yielding 9.25 million tons of oilseeds, with an average productivity of 1,349 kg per hectar</w:t>
      </w:r>
      <w:r>
        <w:rPr>
          <w:rFonts w:ascii="Times New Roman" w:eastAsia="Times New Roman" w:hAnsi="Times New Roman" w:cs="Times New Roman"/>
          <w:sz w:val="24"/>
          <w:szCs w:val="24"/>
        </w:rPr>
        <w:t>e, resulting in about 1.8 million tons of oil. In Uttar Pradesh alone, mustard is cultivated on 0.753 million hectares, producing 1.11 million tons with a yield of 1,290 kg/ha, accounting for 9.5% of the country’s total rapeseed-mustard output. In the Bund</w:t>
      </w:r>
      <w:r>
        <w:rPr>
          <w:rFonts w:ascii="Times New Roman" w:eastAsia="Times New Roman" w:hAnsi="Times New Roman" w:cs="Times New Roman"/>
          <w:sz w:val="24"/>
          <w:szCs w:val="24"/>
        </w:rPr>
        <w:t xml:space="preserve">elkhand region of Uttar Pradesh, mustard is grown on roughly 70,975 hectares, yielding 71,367 tons at a productivity level of 1,010 kg/ha </w:t>
      </w:r>
      <w:r>
        <w:rPr>
          <w:rFonts w:ascii="Times New Roman" w:eastAsia="Times New Roman" w:hAnsi="Times New Roman" w:cs="Times New Roman"/>
          <w:b/>
          <w:sz w:val="24"/>
          <w:szCs w:val="24"/>
        </w:rPr>
        <w:t>(Anonymous, 2019).</w:t>
      </w:r>
      <w:r>
        <w:rPr>
          <w:rFonts w:ascii="Times New Roman" w:eastAsia="Times New Roman" w:hAnsi="Times New Roman" w:cs="Times New Roman"/>
          <w:sz w:val="24"/>
          <w:szCs w:val="24"/>
        </w:rPr>
        <w:t xml:space="preserve"> Despite its importance, the yield levels in many parts of the state remain considerably below the c</w:t>
      </w:r>
      <w:r>
        <w:rPr>
          <w:rFonts w:ascii="Times New Roman" w:eastAsia="Times New Roman" w:hAnsi="Times New Roman" w:cs="Times New Roman"/>
          <w:sz w:val="24"/>
          <w:szCs w:val="24"/>
        </w:rPr>
        <w:t>rop's potential.</w:t>
      </w:r>
    </w:p>
    <w:p w:rsidR="00EC2129" w:rsidRDefault="00545FF6">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Improving productivity in Indian mustard cultivation can be achieved through balanced fertilization and effective soil management practices, with particular emphasis on the application of sulfur, boron, and zinc in semi</w:t>
      </w:r>
      <w:r>
        <w:rPr>
          <w:rFonts w:ascii="Times New Roman" w:eastAsia="Times New Roman" w:hAnsi="Times New Roman" w:cs="Times New Roman"/>
          <w:sz w:val="24"/>
          <w:szCs w:val="24"/>
        </w:rPr>
        <w:t xml:space="preserve">-arid soils. The depletion of organic matter further worsens nutrient deficiencies, and a two-thirds reduction in organic content reflects a significant </w:t>
      </w:r>
      <w:r>
        <w:rPr>
          <w:rFonts w:ascii="Times New Roman" w:eastAsia="Times New Roman" w:hAnsi="Times New Roman" w:cs="Times New Roman"/>
          <w:sz w:val="24"/>
          <w:szCs w:val="24"/>
        </w:rPr>
        <w:lastRenderedPageBreak/>
        <w:t xml:space="preserve">drop in nutrient availability </w:t>
      </w:r>
      <w:r>
        <w:rPr>
          <w:rFonts w:ascii="Times New Roman" w:eastAsia="Times New Roman" w:hAnsi="Times New Roman" w:cs="Times New Roman"/>
          <w:b/>
          <w:sz w:val="24"/>
          <w:szCs w:val="24"/>
        </w:rPr>
        <w:t xml:space="preserve">(Roy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2013; Haque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2014; Rabbani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2023).</w:t>
      </w:r>
      <w:r>
        <w:rPr>
          <w:rFonts w:ascii="Times New Roman" w:eastAsia="Times New Roman" w:hAnsi="Times New Roman" w:cs="Times New Roman"/>
          <w:sz w:val="24"/>
          <w:szCs w:val="24"/>
        </w:rPr>
        <w:t xml:space="preserve"> In the Bundelkhand region, soil fertility is generally poor due to the lack of essential nutrients such as nitrogen (N), phosphorus (P), potassium (K), sulfur (S), zinc (Zn), and boron (B), largely caused by soil erosion and high surface runoff. Fertilize</w:t>
      </w:r>
      <w:r>
        <w:rPr>
          <w:rFonts w:ascii="Times New Roman" w:eastAsia="Times New Roman" w:hAnsi="Times New Roman" w:cs="Times New Roman"/>
          <w:sz w:val="24"/>
          <w:szCs w:val="24"/>
        </w:rPr>
        <w:t>r application plays a key role in increasing mustard yields, as the crop is nutrient-demanding and energy-intensive. Achieving optimal production requires precise nutrient management alongside the preservation of soil health. Successful cultivation also in</w:t>
      </w:r>
      <w:r>
        <w:rPr>
          <w:rFonts w:ascii="Times New Roman" w:eastAsia="Times New Roman" w:hAnsi="Times New Roman" w:cs="Times New Roman"/>
          <w:sz w:val="24"/>
          <w:szCs w:val="24"/>
        </w:rPr>
        <w:t>volves addressing pest and disease control, managing irrigation efficiently, and maintaining overall soil fertility. Sustainable agricultural practices, including crop rotation and integrated pest management (IPM), are commonly used to promote healthy plan</w:t>
      </w:r>
      <w:r>
        <w:rPr>
          <w:rFonts w:ascii="Times New Roman" w:eastAsia="Times New Roman" w:hAnsi="Times New Roman" w:cs="Times New Roman"/>
          <w:sz w:val="24"/>
          <w:szCs w:val="24"/>
        </w:rPr>
        <w:t>t growth and ensure consistent and productive mustard harvests. Indian mustard (</w:t>
      </w:r>
      <w:r>
        <w:rPr>
          <w:rFonts w:ascii="Times New Roman" w:eastAsia="Times New Roman" w:hAnsi="Times New Roman" w:cs="Times New Roman"/>
          <w:i/>
          <w:iCs/>
          <w:sz w:val="24"/>
          <w:szCs w:val="24"/>
        </w:rPr>
        <w:t xml:space="preserve">Brassica </w:t>
      </w:r>
      <w:proofErr w:type="spellStart"/>
      <w:r>
        <w:rPr>
          <w:rFonts w:ascii="Times New Roman" w:eastAsia="Times New Roman" w:hAnsi="Times New Roman" w:cs="Times New Roman"/>
          <w:i/>
          <w:iCs/>
          <w:sz w:val="24"/>
          <w:szCs w:val="24"/>
        </w:rPr>
        <w:t>juncea</w:t>
      </w:r>
      <w:proofErr w:type="spellEnd"/>
      <w:r>
        <w:rPr>
          <w:rFonts w:ascii="Times New Roman" w:eastAsia="Times New Roman" w:hAnsi="Times New Roman" w:cs="Times New Roman"/>
          <w:sz w:val="24"/>
          <w:szCs w:val="24"/>
        </w:rPr>
        <w:t xml:space="preserve"> L.) is a major oilseed crop in India, playing a crucial role in the production of edible oil and supporting the livelihoods of rural communities. Cultivated acr</w:t>
      </w:r>
      <w:r>
        <w:rPr>
          <w:rFonts w:ascii="Times New Roman" w:eastAsia="Times New Roman" w:hAnsi="Times New Roman" w:cs="Times New Roman"/>
          <w:sz w:val="24"/>
          <w:szCs w:val="24"/>
        </w:rPr>
        <w:t xml:space="preserve">oss various </w:t>
      </w:r>
      <w:proofErr w:type="spellStart"/>
      <w:r>
        <w:rPr>
          <w:rFonts w:ascii="Times New Roman" w:eastAsia="Times New Roman" w:hAnsi="Times New Roman" w:cs="Times New Roman"/>
          <w:sz w:val="24"/>
          <w:szCs w:val="24"/>
        </w:rPr>
        <w:t>agro</w:t>
      </w:r>
      <w:proofErr w:type="spellEnd"/>
      <w:r>
        <w:rPr>
          <w:rFonts w:ascii="Times New Roman" w:eastAsia="Times New Roman" w:hAnsi="Times New Roman" w:cs="Times New Roman"/>
          <w:sz w:val="24"/>
          <w:szCs w:val="24"/>
        </w:rPr>
        <w:t>-climatic regions, especially in semi-arid areas, the crop’s success is heavily influenced by soil fertility, which is often compromised due to intensive farming practices. Being a nutrient-demanding crop, mustard places considerable pressu</w:t>
      </w:r>
      <w:r>
        <w:rPr>
          <w:rFonts w:ascii="Times New Roman" w:eastAsia="Times New Roman" w:hAnsi="Times New Roman" w:cs="Times New Roman"/>
          <w:sz w:val="24"/>
          <w:szCs w:val="24"/>
        </w:rPr>
        <w:t>re on soil nutrient reserves, making efficient nutrient management essential for sustainable cultivation. Over time, soil fertility has declined due to factors such as unbalanced fertilizer application, continuous cropping, erosion, and reduced organic mat</w:t>
      </w:r>
      <w:r>
        <w:rPr>
          <w:rFonts w:ascii="Times New Roman" w:eastAsia="Times New Roman" w:hAnsi="Times New Roman" w:cs="Times New Roman"/>
          <w:sz w:val="24"/>
          <w:szCs w:val="24"/>
        </w:rPr>
        <w:t xml:space="preserve">ter content. This has led to widespread deficiencies of key nutrients like nitrogen (N), phosphorus (P), potassium (K), sulfur (S), zinc (Zn), and boron (B), particularly in erosion-prone areas like Bundelkhand. Balanced nutrient management, involving the </w:t>
      </w:r>
      <w:r>
        <w:rPr>
          <w:rFonts w:ascii="Times New Roman" w:eastAsia="Times New Roman" w:hAnsi="Times New Roman" w:cs="Times New Roman"/>
          <w:sz w:val="24"/>
          <w:szCs w:val="24"/>
        </w:rPr>
        <w:t>appropriate use of both macro- and micronutrients, is critical for improving soil conditions and boosting crop yields.</w:t>
      </w:r>
    </w:p>
    <w:p w:rsidR="00EC2129" w:rsidRDefault="00545FF6">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 nutrient management not only enhances mustard growth and productivity but also positively affects important soil characteristics, </w:t>
      </w:r>
      <w:r>
        <w:rPr>
          <w:rFonts w:ascii="Times New Roman" w:eastAsia="Times New Roman" w:hAnsi="Times New Roman" w:cs="Times New Roman"/>
          <w:sz w:val="24"/>
          <w:szCs w:val="24"/>
        </w:rPr>
        <w:t xml:space="preserve">including pH levels, organic carbon content, microbial activity, nutrient retention, available </w:t>
      </w:r>
      <w:proofErr w:type="gramStart"/>
      <w:r>
        <w:rPr>
          <w:rFonts w:ascii="Times New Roman" w:eastAsia="Times New Roman" w:hAnsi="Times New Roman" w:cs="Times New Roman"/>
          <w:sz w:val="24"/>
          <w:szCs w:val="24"/>
        </w:rPr>
        <w:t>N,P</w:t>
      </w:r>
      <w:proofErr w:type="gramEnd"/>
      <w:r>
        <w:rPr>
          <w:rFonts w:ascii="Times New Roman" w:eastAsia="Times New Roman" w:hAnsi="Times New Roman" w:cs="Times New Roman"/>
          <w:sz w:val="24"/>
          <w:szCs w:val="24"/>
        </w:rPr>
        <w:t>,K, and Zn in soil. The adoption of sustainable practices such as integrated nutrient management (INM), organic amendments, and enriched vermicompost can help</w:t>
      </w:r>
      <w:r>
        <w:rPr>
          <w:rFonts w:ascii="Times New Roman" w:eastAsia="Times New Roman" w:hAnsi="Times New Roman" w:cs="Times New Roman"/>
          <w:sz w:val="24"/>
          <w:szCs w:val="24"/>
        </w:rPr>
        <w:t xml:space="preserve"> rehabilitate degraded soils and promote long-term agricultural productivity. This research focuses on examining how different nutrient management strategies influence the soil properties under Indian mustard cultivation, with the goal of enhancing soil he</w:t>
      </w:r>
      <w:r>
        <w:rPr>
          <w:rFonts w:ascii="Times New Roman" w:eastAsia="Times New Roman" w:hAnsi="Times New Roman" w:cs="Times New Roman"/>
          <w:sz w:val="24"/>
          <w:szCs w:val="24"/>
        </w:rPr>
        <w:t>alth and crop performance in nutrient-deficient environments.</w:t>
      </w:r>
    </w:p>
    <w:p w:rsidR="00EC2129" w:rsidRDefault="00545FF6">
      <w:pPr>
        <w:spacing w:before="100" w:beforeAutospacing="1" w:after="100" w:afterAutospacing="1"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Methods</w:t>
      </w:r>
    </w:p>
    <w:p w:rsidR="00EC2129" w:rsidRDefault="00545FF6">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field experiment was carried out during the </w:t>
      </w:r>
      <w:proofErr w:type="spellStart"/>
      <w:r>
        <w:rPr>
          <w:rFonts w:ascii="Times New Roman" w:eastAsia="Times New Roman" w:hAnsi="Times New Roman" w:cs="Times New Roman"/>
          <w:i/>
          <w:sz w:val="24"/>
          <w:szCs w:val="24"/>
        </w:rPr>
        <w:t>rabi</w:t>
      </w:r>
      <w:proofErr w:type="spellEnd"/>
      <w:r>
        <w:rPr>
          <w:rFonts w:ascii="Times New Roman" w:eastAsia="Times New Roman" w:hAnsi="Times New Roman" w:cs="Times New Roman"/>
          <w:sz w:val="24"/>
          <w:szCs w:val="24"/>
        </w:rPr>
        <w:t xml:space="preserve"> (winter) seasons of 2022–23 and 2023–24 at the Integrated Farming System (IFS) unit, Instructional Farm, of Banda Unive</w:t>
      </w:r>
      <w:r>
        <w:rPr>
          <w:rFonts w:ascii="Times New Roman" w:eastAsia="Times New Roman" w:hAnsi="Times New Roman" w:cs="Times New Roman"/>
          <w:sz w:val="24"/>
          <w:szCs w:val="24"/>
        </w:rPr>
        <w:t>rsity of Agriculture &amp; Technology, Banda. The objective was to evaluate the most effective nutrient management practices for improving soil properties under Indian mustard cultivation. The research site is located in the Central Plateau and Hill Region, wh</w:t>
      </w:r>
      <w:r>
        <w:rPr>
          <w:rFonts w:ascii="Times New Roman" w:eastAsia="Times New Roman" w:hAnsi="Times New Roman" w:cs="Times New Roman"/>
          <w:sz w:val="24"/>
          <w:szCs w:val="24"/>
        </w:rPr>
        <w:t xml:space="preserve">ich falls under </w:t>
      </w:r>
      <w:proofErr w:type="spellStart"/>
      <w:r>
        <w:rPr>
          <w:rFonts w:ascii="Times New Roman" w:eastAsia="Times New Roman" w:hAnsi="Times New Roman" w:cs="Times New Roman"/>
          <w:sz w:val="24"/>
          <w:szCs w:val="24"/>
        </w:rPr>
        <w:t>Agro</w:t>
      </w:r>
      <w:proofErr w:type="spellEnd"/>
      <w:r>
        <w:rPr>
          <w:rFonts w:ascii="Times New Roman" w:eastAsia="Times New Roman" w:hAnsi="Times New Roman" w:cs="Times New Roman"/>
          <w:sz w:val="24"/>
          <w:szCs w:val="24"/>
        </w:rPr>
        <w:t>-Climatic Zone VIII. The study followed a split-plot design with three replications. The main plots were assigned four levels of fertility treatments: 50%, 75%, 100%, and 125% of the recommended NPKS (RNPKS) doses. Sub-plots received fo</w:t>
      </w:r>
      <w:r>
        <w:rPr>
          <w:rFonts w:ascii="Times New Roman" w:eastAsia="Times New Roman" w:hAnsi="Times New Roman" w:cs="Times New Roman"/>
          <w:sz w:val="24"/>
          <w:szCs w:val="24"/>
        </w:rPr>
        <w:t>ur different combinations of micronutrients and enriched vermicompost:</w:t>
      </w:r>
    </w:p>
    <w:p w:rsidR="00EC2129" w:rsidRDefault="00545FF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kg Zn + 0.5 kg B</w:t>
      </w:r>
    </w:p>
    <w:p w:rsidR="00EC2129" w:rsidRDefault="00545FF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kg Zn + 1 kg B</w:t>
      </w:r>
    </w:p>
    <w:p w:rsidR="00EC2129" w:rsidRDefault="00545FF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kg Zn + 0.5 kg B + 500 kg enriched vermicompost</w:t>
      </w:r>
    </w:p>
    <w:p w:rsidR="00EC2129" w:rsidRDefault="00545FF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kg Zn + 1 kg B + 250 kg enriched vermicompost</w:t>
      </w:r>
    </w:p>
    <w:p w:rsidR="00EC2129" w:rsidRDefault="00545FF6">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created a total of 16 treatment </w:t>
      </w:r>
      <w:r>
        <w:rPr>
          <w:rFonts w:ascii="Times New Roman" w:eastAsia="Times New Roman" w:hAnsi="Times New Roman" w:cs="Times New Roman"/>
          <w:sz w:val="24"/>
          <w:szCs w:val="24"/>
        </w:rPr>
        <w:t>combinations, such as 50% RNPKS + 2.5 kg Zn + 0.5 kg B, 75% RNPKS + 5 kg Zn + 1 kg B, 100% RNPKS + 2.5 kg Zn + 0.5 kg B + 500 kg vermicompost, and so on up to 125% RNPKS + 5 kg Zn + 1 kg B + 250 kg vermicompost. The experimental soil was characterized as c</w:t>
      </w:r>
      <w:r>
        <w:rPr>
          <w:rFonts w:ascii="Times New Roman" w:eastAsia="Times New Roman" w:hAnsi="Times New Roman" w:cs="Times New Roman"/>
          <w:sz w:val="24"/>
          <w:szCs w:val="24"/>
        </w:rPr>
        <w:t>lay loam with low levels of organic carbon and limited availability of nitrogen, phosphorus, zinc, and sulfur, while potassium was moderately available. The Indian mustard variety '</w:t>
      </w:r>
      <w:proofErr w:type="spellStart"/>
      <w:r>
        <w:rPr>
          <w:rFonts w:ascii="Times New Roman" w:eastAsia="Times New Roman" w:hAnsi="Times New Roman" w:cs="Times New Roman"/>
          <w:sz w:val="24"/>
          <w:szCs w:val="24"/>
        </w:rPr>
        <w:t>Giriraj</w:t>
      </w:r>
      <w:proofErr w:type="spellEnd"/>
      <w:r>
        <w:rPr>
          <w:rFonts w:ascii="Times New Roman" w:eastAsia="Times New Roman" w:hAnsi="Times New Roman" w:cs="Times New Roman"/>
          <w:sz w:val="24"/>
          <w:szCs w:val="24"/>
        </w:rPr>
        <w:t xml:space="preserve"> (DRMRIJ-31)' was used as the test crop, and seeds were manually sow</w:t>
      </w:r>
      <w:r>
        <w:rPr>
          <w:rFonts w:ascii="Times New Roman" w:eastAsia="Times New Roman" w:hAnsi="Times New Roman" w:cs="Times New Roman"/>
          <w:sz w:val="24"/>
          <w:szCs w:val="24"/>
        </w:rPr>
        <w:t>n at a rate of 3 kg/ha.</w:t>
      </w:r>
    </w:p>
    <w:p w:rsidR="00EC2129" w:rsidRDefault="00545FF6">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standard recommended fertilizer dose for Indian mustard—90 kg nitrogen (N), 45 kg phosphorus (P₂O₅), 30 kg potassium (K₂O), and 25 kg sulfur (S)—was applied using urea, di-ammonium phosphate (DAP), </w:t>
      </w:r>
      <w:proofErr w:type="spellStart"/>
      <w:r>
        <w:rPr>
          <w:rFonts w:ascii="Times New Roman" w:eastAsia="Times New Roman" w:hAnsi="Times New Roman" w:cs="Times New Roman"/>
          <w:sz w:val="24"/>
          <w:szCs w:val="24"/>
        </w:rPr>
        <w:t>muriate</w:t>
      </w:r>
      <w:proofErr w:type="spellEnd"/>
      <w:r>
        <w:rPr>
          <w:rFonts w:ascii="Times New Roman" w:eastAsia="Times New Roman" w:hAnsi="Times New Roman" w:cs="Times New Roman"/>
          <w:sz w:val="24"/>
          <w:szCs w:val="24"/>
        </w:rPr>
        <w:t xml:space="preserve"> of potash (MOP), and s</w:t>
      </w:r>
      <w:r>
        <w:rPr>
          <w:rFonts w:ascii="Times New Roman" w:eastAsia="Times New Roman" w:hAnsi="Times New Roman" w:cs="Times New Roman"/>
          <w:sz w:val="24"/>
          <w:szCs w:val="24"/>
        </w:rPr>
        <w:t xml:space="preserve">ulfur bentonite. Micronutrients zinc and boron were supplied using zinc sulfate monohydrate and disodium </w:t>
      </w:r>
      <w:proofErr w:type="spellStart"/>
      <w:r>
        <w:rPr>
          <w:rFonts w:ascii="Times New Roman" w:eastAsia="Times New Roman" w:hAnsi="Times New Roman" w:cs="Times New Roman"/>
          <w:sz w:val="24"/>
          <w:szCs w:val="24"/>
        </w:rPr>
        <w:t>octaborate</w:t>
      </w:r>
      <w:proofErr w:type="spellEnd"/>
      <w:r>
        <w:rPr>
          <w:rFonts w:ascii="Times New Roman" w:eastAsia="Times New Roman" w:hAnsi="Times New Roman" w:cs="Times New Roman"/>
          <w:sz w:val="24"/>
          <w:szCs w:val="24"/>
        </w:rPr>
        <w:t xml:space="preserve"> tetrahydrate, respectively. Enriched vermicompost was prepared by treating 500 kg of compost with 1 liter each of </w:t>
      </w:r>
      <w:proofErr w:type="spellStart"/>
      <w:r>
        <w:rPr>
          <w:rFonts w:ascii="Times New Roman" w:eastAsia="Times New Roman" w:hAnsi="Times New Roman" w:cs="Times New Roman"/>
          <w:sz w:val="24"/>
          <w:szCs w:val="24"/>
        </w:rPr>
        <w:t>Azotobacter</w:t>
      </w:r>
      <w:proofErr w:type="spellEnd"/>
      <w:r>
        <w:rPr>
          <w:rFonts w:ascii="Times New Roman" w:eastAsia="Times New Roman" w:hAnsi="Times New Roman" w:cs="Times New Roman"/>
          <w:sz w:val="24"/>
          <w:szCs w:val="24"/>
        </w:rPr>
        <w:t>, NPK consortia</w:t>
      </w:r>
      <w:r>
        <w:rPr>
          <w:rFonts w:ascii="Times New Roman" w:eastAsia="Times New Roman" w:hAnsi="Times New Roman" w:cs="Times New Roman"/>
          <w:sz w:val="24"/>
          <w:szCs w:val="24"/>
        </w:rPr>
        <w:t>, phosphate-solubilizing bacteria (PSB), potassium-mobilizing bacteria (PMB), and zinc-solubilizing bacteria (ZSB). In both cropping seasons, half of the nitrogen was applied at the time of sowing along with the full basal doses of phosphorus, potassium, a</w:t>
      </w:r>
      <w:r>
        <w:rPr>
          <w:rFonts w:ascii="Times New Roman" w:eastAsia="Times New Roman" w:hAnsi="Times New Roman" w:cs="Times New Roman"/>
          <w:sz w:val="24"/>
          <w:szCs w:val="24"/>
        </w:rPr>
        <w:t xml:space="preserve">nd sulfur, as per the treatment plans. The remaining half of the nitrogen </w:t>
      </w:r>
      <w:r>
        <w:rPr>
          <w:rFonts w:ascii="Times New Roman" w:eastAsia="Times New Roman" w:hAnsi="Times New Roman" w:cs="Times New Roman"/>
          <w:sz w:val="24"/>
          <w:szCs w:val="24"/>
        </w:rPr>
        <w:lastRenderedPageBreak/>
        <w:t>was top-dressed during the first irrigation. Zinc, boron, and enriched vermicompost were applied based on the specific treatment combinations in each plot.</w:t>
      </w:r>
    </w:p>
    <w:p w:rsidR="00EC2129" w:rsidRDefault="00545FF6">
      <w:pPr>
        <w:spacing w:before="100" w:beforeAutospacing="1" w:after="100" w:afterAutospacing="1"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 and Discussion </w:t>
      </w:r>
    </w:p>
    <w:p w:rsidR="00EC2129" w:rsidRDefault="00545FF6">
      <w:pPr>
        <w:spacing w:before="100" w:beforeAutospacing="1" w:after="100" w:afterAutospacing="1"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Ava</w:t>
      </w:r>
      <w:r>
        <w:rPr>
          <w:rFonts w:ascii="Times New Roman" w:eastAsia="Times New Roman" w:hAnsi="Times New Roman" w:cs="Times New Roman"/>
          <w:b/>
          <w:sz w:val="24"/>
          <w:szCs w:val="24"/>
        </w:rPr>
        <w:t>ilable Nitrogen</w:t>
      </w:r>
    </w:p>
    <w:p w:rsidR="00EC2129" w:rsidRDefault="00545FF6">
      <w:pPr>
        <w:spacing w:before="100" w:beforeAutospacing="1" w:after="100" w:afterAutospacing="1"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data in Table 1 indicate noticeable differences in soil nitrogen availability. Among the main plot treatments, applying 125% of the recommended NPKS dose (M4) led to the highest levels of available nitrogen across both years, while the </w:t>
      </w:r>
      <w:r>
        <w:rPr>
          <w:rFonts w:ascii="Times New Roman" w:eastAsia="Times New Roman" w:hAnsi="Times New Roman" w:cs="Times New Roman"/>
          <w:sz w:val="24"/>
          <w:szCs w:val="24"/>
        </w:rPr>
        <w:t>lowest levels were recorded under the 50% RNPKS treatment (M1). Notably, both the 125% (M4) and 100% (M3) RNPKS treatments performed similarly and significantly outperformed the other treatments in enhancing nitrogen availability.</w:t>
      </w:r>
      <w:r>
        <w:rPr>
          <w:rFonts w:ascii="Times New Roman" w:eastAsia="Times New Roman" w:hAnsi="Times New Roman" w:cs="Times New Roman"/>
          <w:sz w:val="24"/>
          <w:szCs w:val="24"/>
        </w:rPr>
        <w:br/>
        <w:t xml:space="preserve">Sub-plot treatments also </w:t>
      </w:r>
      <w:r>
        <w:rPr>
          <w:rFonts w:ascii="Times New Roman" w:eastAsia="Times New Roman" w:hAnsi="Times New Roman" w:cs="Times New Roman"/>
          <w:sz w:val="24"/>
          <w:szCs w:val="24"/>
        </w:rPr>
        <w:t xml:space="preserve">showed a significant influence on nitrogen levels. The highest nitrogen availability was observed in plots treated with 2.5 kg Zn + 0.5 kg B + 500 kg enriched vermicompost (S3) and 5 kg Zn + 1 kg B + 250 kg enriched vermicompost (S4), with both treatments </w:t>
      </w:r>
      <w:r>
        <w:rPr>
          <w:rFonts w:ascii="Times New Roman" w:eastAsia="Times New Roman" w:hAnsi="Times New Roman" w:cs="Times New Roman"/>
          <w:sz w:val="24"/>
          <w:szCs w:val="24"/>
        </w:rPr>
        <w:t>statistically similar in performance. However, the interaction between main plot and sub-plot treatments had no significant effect on available nitrogen during either year.</w:t>
      </w:r>
    </w:p>
    <w:p w:rsidR="00EC2129" w:rsidRDefault="00545FF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Available Phosphorus</w:t>
      </w:r>
      <w:r>
        <w:rPr>
          <w:rFonts w:ascii="Times New Roman" w:eastAsia="Times New Roman" w:hAnsi="Times New Roman" w:cs="Times New Roman"/>
          <w:sz w:val="24"/>
          <w:szCs w:val="24"/>
        </w:rPr>
        <w:br/>
        <w:t>As shown in Table 1, phosphorus availability varied among trea</w:t>
      </w:r>
      <w:r>
        <w:rPr>
          <w:rFonts w:ascii="Times New Roman" w:eastAsia="Times New Roman" w:hAnsi="Times New Roman" w:cs="Times New Roman"/>
          <w:sz w:val="24"/>
          <w:szCs w:val="24"/>
        </w:rPr>
        <w:t>tments. The 125% RNPKS application (M4) again resulted in the highest phosphorus content in both years, while the 50% RNPKS treatment (M1) yielded the lowest. Treatments M4 and M3 (100% RNPKS) were statistically comparable and significantly better than oth</w:t>
      </w:r>
      <w:r>
        <w:rPr>
          <w:rFonts w:ascii="Times New Roman" w:eastAsia="Times New Roman" w:hAnsi="Times New Roman" w:cs="Times New Roman"/>
          <w:sz w:val="24"/>
          <w:szCs w:val="24"/>
        </w:rPr>
        <w:t>er treatments.</w:t>
      </w:r>
      <w:r>
        <w:rPr>
          <w:rFonts w:ascii="Times New Roman" w:eastAsia="Times New Roman" w:hAnsi="Times New Roman" w:cs="Times New Roman"/>
          <w:sz w:val="24"/>
          <w:szCs w:val="24"/>
        </w:rPr>
        <w:br/>
        <w:t>Sub-plot treatments using S3 and S4 combinations also significantly enhanced phosphorus availability, with both treatments being statistically at par. No significant interaction was found between main plot and sub-plot treatments for phospho</w:t>
      </w:r>
      <w:r>
        <w:rPr>
          <w:rFonts w:ascii="Times New Roman" w:eastAsia="Times New Roman" w:hAnsi="Times New Roman" w:cs="Times New Roman"/>
          <w:sz w:val="24"/>
          <w:szCs w:val="24"/>
        </w:rPr>
        <w:t>rus availability.</w:t>
      </w:r>
    </w:p>
    <w:p w:rsidR="00EC2129" w:rsidRDefault="00545FF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Available Potassium</w:t>
      </w:r>
      <w:r>
        <w:rPr>
          <w:rFonts w:ascii="Times New Roman" w:eastAsia="Times New Roman" w:hAnsi="Times New Roman" w:cs="Times New Roman"/>
          <w:sz w:val="24"/>
          <w:szCs w:val="24"/>
        </w:rPr>
        <w:br/>
        <w:t>Table 2 shows differences in potassium levels across treatments. The highest potassium availability was observed with the 125% RNPKS treatment (M4), followed by 100% RNPKS (M3), both of which were statistically similar</w:t>
      </w:r>
      <w:r>
        <w:rPr>
          <w:rFonts w:ascii="Times New Roman" w:eastAsia="Times New Roman" w:hAnsi="Times New Roman" w:cs="Times New Roman"/>
          <w:sz w:val="24"/>
          <w:szCs w:val="24"/>
        </w:rPr>
        <w:t xml:space="preserve"> and significantly higher than the other treatments. The lowest potassium levels were found under the 50% RNPKS treatment (M1).</w:t>
      </w:r>
      <w:r>
        <w:rPr>
          <w:rFonts w:ascii="Times New Roman" w:eastAsia="Times New Roman" w:hAnsi="Times New Roman" w:cs="Times New Roman"/>
          <w:sz w:val="24"/>
          <w:szCs w:val="24"/>
        </w:rPr>
        <w:br/>
        <w:t xml:space="preserve">Among sub-plot treatments, both S3 and S4 significantly increased potassium content in the soil, </w:t>
      </w:r>
      <w:r>
        <w:rPr>
          <w:rFonts w:ascii="Times New Roman" w:eastAsia="Times New Roman" w:hAnsi="Times New Roman" w:cs="Times New Roman"/>
          <w:sz w:val="24"/>
          <w:szCs w:val="24"/>
        </w:rPr>
        <w:lastRenderedPageBreak/>
        <w:t xml:space="preserve">with no significant difference </w:t>
      </w:r>
      <w:r>
        <w:rPr>
          <w:rFonts w:ascii="Times New Roman" w:eastAsia="Times New Roman" w:hAnsi="Times New Roman" w:cs="Times New Roman"/>
          <w:sz w:val="24"/>
          <w:szCs w:val="24"/>
        </w:rPr>
        <w:t>between them. As with other nutrients, the interaction effect between main and sub-plot treatments was not significant.</w:t>
      </w:r>
    </w:p>
    <w:p w:rsidR="00EC2129" w:rsidRDefault="00545FF6">
      <w:pPr>
        <w:spacing w:before="100" w:beforeAutospacing="1" w:after="100" w:afterAutospacing="1"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Available Sulphur</w:t>
      </w:r>
      <w:r>
        <w:rPr>
          <w:rFonts w:ascii="Times New Roman" w:eastAsia="Times New Roman" w:hAnsi="Times New Roman" w:cs="Times New Roman"/>
          <w:sz w:val="24"/>
          <w:szCs w:val="24"/>
        </w:rPr>
        <w:br/>
        <w:t xml:space="preserve">Table 2 also highlights variations in </w:t>
      </w:r>
      <w:proofErr w:type="spellStart"/>
      <w:r>
        <w:rPr>
          <w:rFonts w:ascii="Times New Roman" w:eastAsia="Times New Roman" w:hAnsi="Times New Roman" w:cs="Times New Roman"/>
          <w:sz w:val="24"/>
          <w:szCs w:val="24"/>
        </w:rPr>
        <w:t>sulphur</w:t>
      </w:r>
      <w:proofErr w:type="spellEnd"/>
      <w:r>
        <w:rPr>
          <w:rFonts w:ascii="Times New Roman" w:eastAsia="Times New Roman" w:hAnsi="Times New Roman" w:cs="Times New Roman"/>
          <w:sz w:val="24"/>
          <w:szCs w:val="24"/>
        </w:rPr>
        <w:t xml:space="preserve"> availability. The application of 125% RNPKS (M4) yielded the highest </w:t>
      </w:r>
      <w:proofErr w:type="spellStart"/>
      <w:r>
        <w:rPr>
          <w:rFonts w:ascii="Times New Roman" w:eastAsia="Times New Roman" w:hAnsi="Times New Roman" w:cs="Times New Roman"/>
          <w:sz w:val="24"/>
          <w:szCs w:val="24"/>
        </w:rPr>
        <w:t>sul</w:t>
      </w:r>
      <w:r>
        <w:rPr>
          <w:rFonts w:ascii="Times New Roman" w:eastAsia="Times New Roman" w:hAnsi="Times New Roman" w:cs="Times New Roman"/>
          <w:sz w:val="24"/>
          <w:szCs w:val="24"/>
        </w:rPr>
        <w:t>phur</w:t>
      </w:r>
      <w:proofErr w:type="spellEnd"/>
      <w:r>
        <w:rPr>
          <w:rFonts w:ascii="Times New Roman" w:eastAsia="Times New Roman" w:hAnsi="Times New Roman" w:cs="Times New Roman"/>
          <w:sz w:val="24"/>
          <w:szCs w:val="24"/>
        </w:rPr>
        <w:t xml:space="preserve"> content, while the 50% RNPKS (M1) treatment resulted in the lowest. Treatments M4 and M3 were statistically at par and significantly superior to other levels in enhancing </w:t>
      </w:r>
      <w:proofErr w:type="spellStart"/>
      <w:r>
        <w:rPr>
          <w:rFonts w:ascii="Times New Roman" w:eastAsia="Times New Roman" w:hAnsi="Times New Roman" w:cs="Times New Roman"/>
          <w:sz w:val="24"/>
          <w:szCs w:val="24"/>
        </w:rPr>
        <w:t>sulphur</w:t>
      </w:r>
      <w:proofErr w:type="spellEnd"/>
      <w:r>
        <w:rPr>
          <w:rFonts w:ascii="Times New Roman" w:eastAsia="Times New Roman" w:hAnsi="Times New Roman" w:cs="Times New Roman"/>
          <w:sz w:val="24"/>
          <w:szCs w:val="24"/>
        </w:rPr>
        <w:t xml:space="preserve"> availability. For sub-plot treatments, the use of 2.5 kg Zn + 0.5 kg B +</w:t>
      </w:r>
      <w:r>
        <w:rPr>
          <w:rFonts w:ascii="Times New Roman" w:eastAsia="Times New Roman" w:hAnsi="Times New Roman" w:cs="Times New Roman"/>
          <w:sz w:val="24"/>
          <w:szCs w:val="24"/>
        </w:rPr>
        <w:t xml:space="preserve"> 500 kg enriched vermicompost (S3) and 5 kg Zn + 1 kg B + 250 kg enriched vermicompost (S4) led to the highest levels of available </w:t>
      </w:r>
      <w:proofErr w:type="spellStart"/>
      <w:r>
        <w:rPr>
          <w:rFonts w:ascii="Times New Roman" w:eastAsia="Times New Roman" w:hAnsi="Times New Roman" w:cs="Times New Roman"/>
          <w:sz w:val="24"/>
          <w:szCs w:val="24"/>
        </w:rPr>
        <w:t>sulphur</w:t>
      </w:r>
      <w:proofErr w:type="spellEnd"/>
      <w:r>
        <w:rPr>
          <w:rFonts w:ascii="Times New Roman" w:eastAsia="Times New Roman" w:hAnsi="Times New Roman" w:cs="Times New Roman"/>
          <w:sz w:val="24"/>
          <w:szCs w:val="24"/>
        </w:rPr>
        <w:t>, with both treatments performing similarly. No significant interaction was observed between main plot and sub-plot tr</w:t>
      </w:r>
      <w:r>
        <w:rPr>
          <w:rFonts w:ascii="Times New Roman" w:eastAsia="Times New Roman" w:hAnsi="Times New Roman" w:cs="Times New Roman"/>
          <w:sz w:val="24"/>
          <w:szCs w:val="24"/>
        </w:rPr>
        <w:t xml:space="preserve">eatments in terms of </w:t>
      </w:r>
      <w:proofErr w:type="spellStart"/>
      <w:r>
        <w:rPr>
          <w:rFonts w:ascii="Times New Roman" w:eastAsia="Times New Roman" w:hAnsi="Times New Roman" w:cs="Times New Roman"/>
          <w:sz w:val="24"/>
          <w:szCs w:val="24"/>
        </w:rPr>
        <w:t>sulphur</w:t>
      </w:r>
      <w:proofErr w:type="spellEnd"/>
      <w:r>
        <w:rPr>
          <w:rFonts w:ascii="Times New Roman" w:eastAsia="Times New Roman" w:hAnsi="Times New Roman" w:cs="Times New Roman"/>
          <w:sz w:val="24"/>
          <w:szCs w:val="24"/>
        </w:rPr>
        <w:t xml:space="preserve"> levels.</w:t>
      </w:r>
    </w:p>
    <w:p w:rsidR="00EC2129" w:rsidRDefault="00545FF6">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Available Zinc</w:t>
      </w:r>
      <w:r>
        <w:rPr>
          <w:rFonts w:ascii="Times New Roman" w:eastAsia="Times New Roman" w:hAnsi="Times New Roman" w:cs="Times New Roman"/>
          <w:sz w:val="24"/>
          <w:szCs w:val="24"/>
        </w:rPr>
        <w:br/>
        <w:t>According to Table 2, available zinc content in the soil was higher in the second year compared to the first. Among the main plot treatments, 125% RNPKS (M4) had the highest zinc availability, closely fol</w:t>
      </w:r>
      <w:r>
        <w:rPr>
          <w:rFonts w:ascii="Times New Roman" w:eastAsia="Times New Roman" w:hAnsi="Times New Roman" w:cs="Times New Roman"/>
          <w:sz w:val="24"/>
          <w:szCs w:val="24"/>
        </w:rPr>
        <w:t xml:space="preserve">lowed by 100% RNPKS (M3); both treatments were statistically at par. The lowest zinc levels were recorded in the 50% RNPKS (M1) </w:t>
      </w:r>
      <w:proofErr w:type="spellStart"/>
      <w:proofErr w:type="gramStart"/>
      <w:r>
        <w:rPr>
          <w:rFonts w:ascii="Times New Roman" w:eastAsia="Times New Roman" w:hAnsi="Times New Roman" w:cs="Times New Roman"/>
          <w:sz w:val="24"/>
          <w:szCs w:val="24"/>
        </w:rPr>
        <w:t>treatment.In</w:t>
      </w:r>
      <w:proofErr w:type="spellEnd"/>
      <w:proofErr w:type="gramEnd"/>
      <w:r>
        <w:rPr>
          <w:rFonts w:ascii="Times New Roman" w:eastAsia="Times New Roman" w:hAnsi="Times New Roman" w:cs="Times New Roman"/>
          <w:sz w:val="24"/>
          <w:szCs w:val="24"/>
        </w:rPr>
        <w:t xml:space="preserve"> the sub-plots, the highest zinc availability was again found in S3 and S4 treatments, which were statistically simi</w:t>
      </w:r>
      <w:r>
        <w:rPr>
          <w:rFonts w:ascii="Times New Roman" w:eastAsia="Times New Roman" w:hAnsi="Times New Roman" w:cs="Times New Roman"/>
          <w:sz w:val="24"/>
          <w:szCs w:val="24"/>
        </w:rPr>
        <w:t>lar. However, no significant interaction effect was noted between main and sub-plot treatments for zinc availability in either year.</w:t>
      </w:r>
    </w:p>
    <w:p w:rsidR="00EC2129" w:rsidRDefault="00545FF6">
      <w:pPr>
        <w:spacing w:before="100" w:beforeAutospacing="1" w:after="100" w:afterAutospacing="1" w:line="360" w:lineRule="auto"/>
        <w:ind w:firstLineChars="400" w:firstLine="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integrated use of nitrogen, phosphorus, potassium, and sulfur significantly enhanced both plant development and yield, </w:t>
      </w:r>
      <w:r>
        <w:rPr>
          <w:rFonts w:ascii="Times New Roman" w:eastAsia="Times New Roman" w:hAnsi="Times New Roman" w:cs="Times New Roman"/>
          <w:sz w:val="24"/>
          <w:szCs w:val="24"/>
        </w:rPr>
        <w:t>while also improving the availability of nutrients in the soil. Supplying these macronutrients through chemical fertilizers like urea, DAP, and MOP helped sustain adequate levels of available NPKS in the soil after harvest. When micronutrients were applied</w:t>
      </w:r>
      <w:r>
        <w:rPr>
          <w:rFonts w:ascii="Times New Roman" w:eastAsia="Times New Roman" w:hAnsi="Times New Roman" w:cs="Times New Roman"/>
          <w:sz w:val="24"/>
          <w:szCs w:val="24"/>
        </w:rPr>
        <w:t xml:space="preserve"> in combination with vermicompost, the available nitrogen content increased further, likely due to the gradual mineralization of nitrogen from the organic material—an effect less pronounced with chemical fertilizers alone. According to </w:t>
      </w:r>
      <w:proofErr w:type="spellStart"/>
      <w:r>
        <w:rPr>
          <w:rFonts w:ascii="Times New Roman" w:eastAsia="Times New Roman" w:hAnsi="Times New Roman" w:cs="Times New Roman"/>
          <w:b/>
          <w:sz w:val="24"/>
          <w:szCs w:val="24"/>
        </w:rPr>
        <w:t>Saha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varying fertility levels had a significant impact on nutrient uptake by mustard plants and also led to improvements in soil organic carbon and the availability of nitrogen, phosphorus, and potassium. Generally, nitrogen application enhances phosphorus abso</w:t>
      </w:r>
      <w:r>
        <w:rPr>
          <w:rFonts w:ascii="Times New Roman" w:eastAsia="Times New Roman" w:hAnsi="Times New Roman" w:cs="Times New Roman"/>
          <w:sz w:val="24"/>
          <w:szCs w:val="24"/>
        </w:rPr>
        <w:t xml:space="preserve">rption, while phosphorus fertilizers improve the uptake of multiple nutrients including nitrogen and potassium. Urea, as a commonly </w:t>
      </w:r>
      <w:r>
        <w:rPr>
          <w:rFonts w:ascii="Times New Roman" w:eastAsia="Times New Roman" w:hAnsi="Times New Roman" w:cs="Times New Roman"/>
          <w:sz w:val="24"/>
          <w:szCs w:val="24"/>
        </w:rPr>
        <w:lastRenderedPageBreak/>
        <w:t xml:space="preserve">used nitrogen source, is efficiently absorbed and hydrolyzed in the cytosol of most plants, often boosting the synthesis of </w:t>
      </w:r>
      <w:r>
        <w:rPr>
          <w:rFonts w:ascii="Times New Roman" w:eastAsia="Times New Roman" w:hAnsi="Times New Roman" w:cs="Times New Roman"/>
          <w:sz w:val="24"/>
          <w:szCs w:val="24"/>
        </w:rPr>
        <w:t xml:space="preserve">storage nitrogen compounds such as amino acids and proteins. This process supports better nutrient utilization and contributes to increased nutrient availability in the </w:t>
      </w:r>
      <w:proofErr w:type="spellStart"/>
      <w:proofErr w:type="gramStart"/>
      <w:r>
        <w:rPr>
          <w:rFonts w:ascii="Times New Roman" w:eastAsia="Times New Roman" w:hAnsi="Times New Roman" w:cs="Times New Roman"/>
          <w:sz w:val="24"/>
          <w:szCs w:val="24"/>
        </w:rPr>
        <w:t>soil.In</w:t>
      </w:r>
      <w:proofErr w:type="spellEnd"/>
      <w:proofErr w:type="gramEnd"/>
      <w:r>
        <w:rPr>
          <w:rFonts w:ascii="Times New Roman" w:eastAsia="Times New Roman" w:hAnsi="Times New Roman" w:cs="Times New Roman"/>
          <w:sz w:val="24"/>
          <w:szCs w:val="24"/>
        </w:rPr>
        <w:t xml:space="preserve"> the experiment, plots treated with 125% of the recommended NPKS dose, as well a</w:t>
      </w:r>
      <w:r>
        <w:rPr>
          <w:rFonts w:ascii="Times New Roman" w:eastAsia="Times New Roman" w:hAnsi="Times New Roman" w:cs="Times New Roman"/>
          <w:sz w:val="24"/>
          <w:szCs w:val="24"/>
        </w:rPr>
        <w:t>s those with 100% of the recommended dose, showed higher concentrations of available nitrogen, phosphorus, potassium, sulfur, and zinc during both years of study. The direct application of NPKS fertilizers not only raises nutrient levels in the soil but al</w:t>
      </w:r>
      <w:r>
        <w:rPr>
          <w:rFonts w:ascii="Times New Roman" w:eastAsia="Times New Roman" w:hAnsi="Times New Roman" w:cs="Times New Roman"/>
          <w:sz w:val="24"/>
          <w:szCs w:val="24"/>
        </w:rPr>
        <w:t>so improves their availability for plant uptake. These fertilizers stimulate microbial activity, which aids in the decomposition of organic matter and subsequent nutrient release. Additionally, they can adjust soil pH, especially improving phosphorus avail</w:t>
      </w:r>
      <w:r>
        <w:rPr>
          <w:rFonts w:ascii="Times New Roman" w:eastAsia="Times New Roman" w:hAnsi="Times New Roman" w:cs="Times New Roman"/>
          <w:sz w:val="24"/>
          <w:szCs w:val="24"/>
        </w:rPr>
        <w:t xml:space="preserve">ability, and reduce the soil’s tendency to fix nutrients like phosphorus and potassium, making more of these elements accessible to </w:t>
      </w:r>
      <w:proofErr w:type="spellStart"/>
      <w:proofErr w:type="gramStart"/>
      <w:r>
        <w:rPr>
          <w:rFonts w:ascii="Times New Roman" w:eastAsia="Times New Roman" w:hAnsi="Times New Roman" w:cs="Times New Roman"/>
          <w:sz w:val="24"/>
          <w:szCs w:val="24"/>
        </w:rPr>
        <w:t>plants.The</w:t>
      </w:r>
      <w:proofErr w:type="spellEnd"/>
      <w:proofErr w:type="gramEnd"/>
      <w:r>
        <w:rPr>
          <w:rFonts w:ascii="Times New Roman" w:eastAsia="Times New Roman" w:hAnsi="Times New Roman" w:cs="Times New Roman"/>
          <w:sz w:val="24"/>
          <w:szCs w:val="24"/>
        </w:rPr>
        <w:t xml:space="preserve"> observed increases in post-harvest soil nutrients—specifically nitrogen, phosphorus, potassium, sulfur, and zinc—</w:t>
      </w:r>
      <w:r>
        <w:rPr>
          <w:rFonts w:ascii="Times New Roman" w:eastAsia="Times New Roman" w:hAnsi="Times New Roman" w:cs="Times New Roman"/>
          <w:sz w:val="24"/>
          <w:szCs w:val="24"/>
        </w:rPr>
        <w:t xml:space="preserve">were largely attributed to the nutrient input from inorganic fertilizers. These outcomes are consistent with the findings of previous studies by </w:t>
      </w:r>
      <w:proofErr w:type="spellStart"/>
      <w:r>
        <w:rPr>
          <w:rFonts w:ascii="Times New Roman" w:eastAsia="Times New Roman" w:hAnsi="Times New Roman" w:cs="Times New Roman"/>
          <w:b/>
          <w:sz w:val="24"/>
          <w:szCs w:val="24"/>
        </w:rPr>
        <w:t>Azami</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(2008), </w:t>
      </w:r>
      <w:proofErr w:type="spellStart"/>
      <w:r>
        <w:rPr>
          <w:rFonts w:ascii="Times New Roman" w:eastAsia="Times New Roman" w:hAnsi="Times New Roman" w:cs="Times New Roman"/>
          <w:b/>
          <w:sz w:val="24"/>
          <w:szCs w:val="24"/>
        </w:rPr>
        <w:t>Mortvedt</w:t>
      </w:r>
      <w:proofErr w:type="spellEnd"/>
      <w:r>
        <w:rPr>
          <w:rFonts w:ascii="Times New Roman" w:eastAsia="Times New Roman" w:hAnsi="Times New Roman" w:cs="Times New Roman"/>
          <w:b/>
          <w:sz w:val="24"/>
          <w:szCs w:val="24"/>
        </w:rPr>
        <w:t xml:space="preserve"> (1991), </w:t>
      </w:r>
      <w:proofErr w:type="spellStart"/>
      <w:r>
        <w:rPr>
          <w:rFonts w:ascii="Times New Roman" w:eastAsia="Times New Roman" w:hAnsi="Times New Roman" w:cs="Times New Roman"/>
          <w:b/>
          <w:sz w:val="24"/>
          <w:szCs w:val="24"/>
        </w:rPr>
        <w:t>Takkar</w:t>
      </w:r>
      <w:proofErr w:type="spellEnd"/>
      <w:r>
        <w:rPr>
          <w:rFonts w:ascii="Times New Roman" w:eastAsia="Times New Roman" w:hAnsi="Times New Roman" w:cs="Times New Roman"/>
          <w:b/>
          <w:sz w:val="24"/>
          <w:szCs w:val="24"/>
        </w:rPr>
        <w:t xml:space="preserve"> (1991), </w:t>
      </w:r>
      <w:proofErr w:type="spellStart"/>
      <w:r>
        <w:rPr>
          <w:rFonts w:ascii="Times New Roman" w:eastAsia="Times New Roman" w:hAnsi="Times New Roman" w:cs="Times New Roman"/>
          <w:b/>
          <w:sz w:val="24"/>
          <w:szCs w:val="24"/>
        </w:rPr>
        <w:t>Takkar</w:t>
      </w:r>
      <w:proofErr w:type="spellEnd"/>
      <w:r>
        <w:rPr>
          <w:rFonts w:ascii="Times New Roman" w:eastAsia="Times New Roman" w:hAnsi="Times New Roman" w:cs="Times New Roman"/>
          <w:b/>
          <w:sz w:val="24"/>
          <w:szCs w:val="24"/>
        </w:rPr>
        <w:t xml:space="preserve"> and Bansal (1987), </w:t>
      </w:r>
      <w:proofErr w:type="spellStart"/>
      <w:r>
        <w:rPr>
          <w:rFonts w:ascii="Times New Roman" w:eastAsia="Times New Roman" w:hAnsi="Times New Roman" w:cs="Times New Roman"/>
          <w:b/>
          <w:sz w:val="24"/>
          <w:szCs w:val="24"/>
        </w:rPr>
        <w:t>Tomar</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(2018), and Singh </w:t>
      </w:r>
      <w:r>
        <w:rPr>
          <w:rFonts w:ascii="Times New Roman" w:eastAsia="Times New Roman" w:hAnsi="Times New Roman" w:cs="Times New Roman"/>
          <w:b/>
          <w:i/>
          <w:sz w:val="24"/>
          <w:szCs w:val="24"/>
        </w:rPr>
        <w:t xml:space="preserve">et al. </w:t>
      </w:r>
      <w:r>
        <w:rPr>
          <w:rFonts w:ascii="Times New Roman" w:eastAsia="Times New Roman" w:hAnsi="Times New Roman" w:cs="Times New Roman"/>
          <w:b/>
          <w:sz w:val="24"/>
          <w:szCs w:val="24"/>
        </w:rPr>
        <w:t>(2018, 2021).</w:t>
      </w:r>
    </w:p>
    <w:p w:rsidR="00EC2129" w:rsidRDefault="00545FF6">
      <w:pPr>
        <w:tabs>
          <w:tab w:val="left" w:pos="1170"/>
          <w:tab w:val="left" w:pos="2160"/>
        </w:tabs>
        <w:spacing w:after="160" w:line="36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 xml:space="preserve">Table 1 </w:t>
      </w:r>
      <w:r>
        <w:rPr>
          <w:rFonts w:ascii="Times New Roman" w:hAnsi="Times New Roman" w:cs="Times New Roman"/>
          <w:b/>
          <w:sz w:val="24"/>
          <w:szCs w:val="24"/>
          <w:shd w:val="clear" w:color="auto" w:fill="FFFFFF"/>
        </w:rPr>
        <w:t>Effect of main plot and sub plot treatments on Available N and Available P of post-harvest soil of Indian mustard</w:t>
      </w:r>
    </w:p>
    <w:tbl>
      <w:tblPr>
        <w:tblStyle w:val="TableGrid1"/>
        <w:tblW w:w="5000" w:type="pct"/>
        <w:tblLook w:val="04A0" w:firstRow="1" w:lastRow="0" w:firstColumn="1" w:lastColumn="0" w:noHBand="0" w:noVBand="1"/>
      </w:tblPr>
      <w:tblGrid>
        <w:gridCol w:w="3528"/>
        <w:gridCol w:w="1517"/>
        <w:gridCol w:w="1327"/>
        <w:gridCol w:w="1706"/>
        <w:gridCol w:w="1498"/>
      </w:tblGrid>
      <w:tr w:rsidR="00EC2129">
        <w:trPr>
          <w:trHeight w:val="260"/>
        </w:trPr>
        <w:tc>
          <w:tcPr>
            <w:tcW w:w="1842" w:type="pct"/>
            <w:tcBorders>
              <w:top w:val="single" w:sz="4" w:space="0" w:color="auto"/>
              <w:left w:val="single" w:sz="4" w:space="0" w:color="000000"/>
              <w:bottom w:val="single" w:sz="4" w:space="0" w:color="000000"/>
              <w:right w:val="single" w:sz="4" w:space="0" w:color="000000"/>
            </w:tcBorders>
          </w:tcPr>
          <w:p w:rsidR="00EC2129" w:rsidRDefault="00545FF6">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Treatment</w:t>
            </w:r>
          </w:p>
        </w:tc>
        <w:tc>
          <w:tcPr>
            <w:tcW w:w="1485" w:type="pct"/>
            <w:gridSpan w:val="2"/>
            <w:tcBorders>
              <w:top w:val="single" w:sz="4" w:space="0" w:color="auto"/>
              <w:left w:val="single" w:sz="4" w:space="0" w:color="000000"/>
              <w:bottom w:val="single" w:sz="4" w:space="0" w:color="000000"/>
              <w:right w:val="single" w:sz="4" w:space="0" w:color="000000"/>
            </w:tcBorders>
          </w:tcPr>
          <w:p w:rsidR="00EC2129" w:rsidRDefault="00545F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Available N (kg ha</w:t>
            </w:r>
            <w:r>
              <w:rPr>
                <w:rFonts w:ascii="Times New Roman" w:eastAsia="Calibri" w:hAnsi="Times New Roman" w:cs="Times New Roman"/>
                <w:b/>
                <w:sz w:val="24"/>
                <w:szCs w:val="24"/>
                <w:vertAlign w:val="superscript"/>
              </w:rPr>
              <w:t>-1</w:t>
            </w:r>
            <w:r>
              <w:rPr>
                <w:rFonts w:ascii="Times New Roman" w:eastAsia="Calibri" w:hAnsi="Times New Roman" w:cs="Times New Roman"/>
                <w:b/>
                <w:sz w:val="24"/>
                <w:szCs w:val="24"/>
              </w:rPr>
              <w:t>)</w:t>
            </w:r>
          </w:p>
        </w:tc>
        <w:tc>
          <w:tcPr>
            <w:tcW w:w="1673" w:type="pct"/>
            <w:gridSpan w:val="2"/>
            <w:tcBorders>
              <w:top w:val="single" w:sz="4" w:space="0" w:color="auto"/>
              <w:left w:val="single" w:sz="4" w:space="0" w:color="000000"/>
              <w:bottom w:val="single" w:sz="4" w:space="0" w:color="000000"/>
              <w:right w:val="single" w:sz="4" w:space="0" w:color="000000"/>
            </w:tcBorders>
          </w:tcPr>
          <w:p w:rsidR="00EC2129" w:rsidRDefault="00545F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Available P (kg ha</w:t>
            </w:r>
            <w:r>
              <w:rPr>
                <w:rFonts w:ascii="Times New Roman" w:eastAsia="Calibri" w:hAnsi="Times New Roman" w:cs="Times New Roman"/>
                <w:b/>
                <w:sz w:val="24"/>
                <w:szCs w:val="24"/>
                <w:vertAlign w:val="superscript"/>
              </w:rPr>
              <w:t>-1</w:t>
            </w:r>
            <w:r>
              <w:rPr>
                <w:rFonts w:ascii="Times New Roman" w:eastAsia="Calibri" w:hAnsi="Times New Roman" w:cs="Times New Roman"/>
                <w:b/>
                <w:sz w:val="24"/>
                <w:szCs w:val="24"/>
              </w:rPr>
              <w:t>)</w:t>
            </w:r>
          </w:p>
        </w:tc>
      </w:tr>
      <w:tr w:rsidR="00EC2129">
        <w:trPr>
          <w:trHeight w:val="377"/>
        </w:trPr>
        <w:tc>
          <w:tcPr>
            <w:tcW w:w="1842" w:type="pct"/>
            <w:tcBorders>
              <w:top w:val="single" w:sz="4" w:space="0" w:color="000000"/>
              <w:left w:val="single" w:sz="4" w:space="0" w:color="000000"/>
              <w:bottom w:val="single" w:sz="4" w:space="0" w:color="000000"/>
              <w:right w:val="single" w:sz="4" w:space="0" w:color="000000"/>
            </w:tcBorders>
          </w:tcPr>
          <w:p w:rsidR="00EC2129" w:rsidRDefault="00EC2129">
            <w:pPr>
              <w:spacing w:after="0" w:line="240" w:lineRule="auto"/>
              <w:jc w:val="center"/>
              <w:rPr>
                <w:rFonts w:ascii="Times New Roman" w:eastAsia="Calibri" w:hAnsi="Times New Roman" w:cs="Times New Roman"/>
                <w:sz w:val="24"/>
                <w:szCs w:val="24"/>
              </w:rPr>
            </w:pPr>
          </w:p>
        </w:tc>
        <w:tc>
          <w:tcPr>
            <w:tcW w:w="792" w:type="pct"/>
            <w:tcBorders>
              <w:top w:val="single" w:sz="4" w:space="0" w:color="000000"/>
              <w:left w:val="single" w:sz="4" w:space="0" w:color="000000"/>
              <w:bottom w:val="single" w:sz="4" w:space="0" w:color="000000"/>
              <w:right w:val="single" w:sz="4" w:space="0" w:color="auto"/>
            </w:tcBorders>
          </w:tcPr>
          <w:p w:rsidR="00EC2129" w:rsidRDefault="00545F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2022-23</w:t>
            </w:r>
          </w:p>
        </w:tc>
        <w:tc>
          <w:tcPr>
            <w:tcW w:w="693" w:type="pct"/>
            <w:tcBorders>
              <w:top w:val="single" w:sz="4" w:space="0" w:color="000000"/>
              <w:left w:val="nil"/>
              <w:bottom w:val="single" w:sz="4" w:space="0" w:color="000000"/>
              <w:right w:val="single" w:sz="4" w:space="0" w:color="000000"/>
            </w:tcBorders>
          </w:tcPr>
          <w:p w:rsidR="00EC2129" w:rsidRDefault="00545F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2023-24</w:t>
            </w:r>
          </w:p>
        </w:tc>
        <w:tc>
          <w:tcPr>
            <w:tcW w:w="891" w:type="pct"/>
            <w:tcBorders>
              <w:top w:val="single" w:sz="4" w:space="0" w:color="000000"/>
              <w:left w:val="single" w:sz="4" w:space="0" w:color="000000"/>
              <w:bottom w:val="single" w:sz="4" w:space="0" w:color="000000"/>
              <w:right w:val="single" w:sz="4" w:space="0" w:color="auto"/>
            </w:tcBorders>
          </w:tcPr>
          <w:p w:rsidR="00EC2129" w:rsidRDefault="00545F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2022-23</w:t>
            </w:r>
          </w:p>
        </w:tc>
        <w:tc>
          <w:tcPr>
            <w:tcW w:w="782" w:type="pct"/>
            <w:tcBorders>
              <w:top w:val="single" w:sz="4" w:space="0" w:color="000000"/>
              <w:left w:val="nil"/>
              <w:bottom w:val="single" w:sz="4" w:space="0" w:color="000000"/>
              <w:right w:val="single" w:sz="4" w:space="0" w:color="000000"/>
            </w:tcBorders>
          </w:tcPr>
          <w:p w:rsidR="00EC2129" w:rsidRDefault="00545F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2023-24</w:t>
            </w:r>
          </w:p>
        </w:tc>
      </w:tr>
      <w:tr w:rsidR="00EC2129">
        <w:trPr>
          <w:trHeight w:val="350"/>
        </w:trPr>
        <w:tc>
          <w:tcPr>
            <w:tcW w:w="5000" w:type="pct"/>
            <w:gridSpan w:val="5"/>
            <w:tcBorders>
              <w:top w:val="single" w:sz="4" w:space="0" w:color="000000"/>
              <w:left w:val="single" w:sz="4" w:space="0" w:color="000000"/>
              <w:bottom w:val="single" w:sz="4" w:space="0" w:color="000000"/>
              <w:right w:val="single" w:sz="4" w:space="0" w:color="000000"/>
            </w:tcBorders>
          </w:tcPr>
          <w:p w:rsidR="00EC2129" w:rsidRDefault="00545FF6">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rPr>
              <w:t>Main plot treatments</w:t>
            </w:r>
          </w:p>
        </w:tc>
      </w:tr>
      <w:tr w:rsidR="00EC2129">
        <w:trPr>
          <w:trHeight w:val="377"/>
        </w:trPr>
        <w:tc>
          <w:tcPr>
            <w:tcW w:w="1842" w:type="pct"/>
            <w:tcBorders>
              <w:top w:val="single" w:sz="4" w:space="0" w:color="000000"/>
              <w:left w:val="single" w:sz="4" w:space="0" w:color="000000"/>
              <w:bottom w:val="single" w:sz="4" w:space="0" w:color="000000"/>
              <w:right w:val="single" w:sz="4" w:space="0" w:color="000000"/>
            </w:tcBorders>
            <w:vAlign w:val="bottom"/>
          </w:tcPr>
          <w:p w:rsidR="00EC2129" w:rsidRDefault="00545F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vertAlign w:val="subscript"/>
              </w:rPr>
              <w:t xml:space="preserve">1 </w:t>
            </w:r>
            <w:r>
              <w:rPr>
                <w:rFonts w:ascii="Times New Roman" w:eastAsia="Times New Roman" w:hAnsi="Times New Roman" w:cs="Times New Roman"/>
                <w:color w:val="000000"/>
                <w:sz w:val="24"/>
                <w:szCs w:val="24"/>
              </w:rPr>
              <w:t>– 50% RNPKS</w:t>
            </w:r>
          </w:p>
        </w:tc>
        <w:tc>
          <w:tcPr>
            <w:tcW w:w="79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216.08</w:t>
            </w:r>
          </w:p>
        </w:tc>
        <w:tc>
          <w:tcPr>
            <w:tcW w:w="693"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214.99</w:t>
            </w:r>
          </w:p>
        </w:tc>
        <w:tc>
          <w:tcPr>
            <w:tcW w:w="891" w:type="pct"/>
            <w:tcBorders>
              <w:top w:val="single" w:sz="4" w:space="0" w:color="000000"/>
              <w:left w:val="nil"/>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14.32</w:t>
            </w:r>
          </w:p>
        </w:tc>
        <w:tc>
          <w:tcPr>
            <w:tcW w:w="782" w:type="pct"/>
            <w:tcBorders>
              <w:top w:val="single" w:sz="4" w:space="0" w:color="000000"/>
              <w:left w:val="nil"/>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14.03</w:t>
            </w:r>
          </w:p>
        </w:tc>
      </w:tr>
      <w:tr w:rsidR="00EC2129">
        <w:trPr>
          <w:trHeight w:val="395"/>
        </w:trPr>
        <w:tc>
          <w:tcPr>
            <w:tcW w:w="1842" w:type="pct"/>
            <w:tcBorders>
              <w:top w:val="single" w:sz="4" w:space="0" w:color="000000"/>
              <w:left w:val="single" w:sz="4" w:space="0" w:color="000000"/>
              <w:bottom w:val="single" w:sz="4" w:space="0" w:color="000000"/>
              <w:right w:val="single" w:sz="4" w:space="0" w:color="000000"/>
            </w:tcBorders>
            <w:vAlign w:val="bottom"/>
          </w:tcPr>
          <w:p w:rsidR="00EC2129" w:rsidRDefault="00545F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- 75% RNPKS</w:t>
            </w:r>
          </w:p>
        </w:tc>
        <w:tc>
          <w:tcPr>
            <w:tcW w:w="79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217.55</w:t>
            </w:r>
          </w:p>
        </w:tc>
        <w:tc>
          <w:tcPr>
            <w:tcW w:w="693"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216.83</w:t>
            </w:r>
          </w:p>
        </w:tc>
        <w:tc>
          <w:tcPr>
            <w:tcW w:w="891" w:type="pct"/>
            <w:tcBorders>
              <w:top w:val="single" w:sz="4" w:space="0" w:color="000000"/>
              <w:left w:val="nil"/>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14.79</w:t>
            </w:r>
          </w:p>
        </w:tc>
        <w:tc>
          <w:tcPr>
            <w:tcW w:w="782" w:type="pct"/>
            <w:tcBorders>
              <w:top w:val="single" w:sz="4" w:space="0" w:color="000000"/>
              <w:left w:val="nil"/>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14.15</w:t>
            </w:r>
          </w:p>
        </w:tc>
      </w:tr>
      <w:tr w:rsidR="00EC2129">
        <w:trPr>
          <w:trHeight w:val="341"/>
        </w:trPr>
        <w:tc>
          <w:tcPr>
            <w:tcW w:w="1842" w:type="pct"/>
            <w:tcBorders>
              <w:top w:val="single" w:sz="4" w:space="0" w:color="000000"/>
              <w:left w:val="single" w:sz="4" w:space="0" w:color="000000"/>
              <w:bottom w:val="single" w:sz="4" w:space="0" w:color="000000"/>
              <w:right w:val="single" w:sz="4" w:space="0" w:color="000000"/>
            </w:tcBorders>
            <w:vAlign w:val="bottom"/>
          </w:tcPr>
          <w:p w:rsidR="00EC2129" w:rsidRDefault="00545F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-100% RNPKS</w:t>
            </w:r>
          </w:p>
        </w:tc>
        <w:tc>
          <w:tcPr>
            <w:tcW w:w="79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219.60</w:t>
            </w:r>
          </w:p>
        </w:tc>
        <w:tc>
          <w:tcPr>
            <w:tcW w:w="693"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221.53</w:t>
            </w:r>
          </w:p>
        </w:tc>
        <w:tc>
          <w:tcPr>
            <w:tcW w:w="891" w:type="pct"/>
            <w:tcBorders>
              <w:top w:val="single" w:sz="4" w:space="0" w:color="000000"/>
              <w:left w:val="nil"/>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15.83</w:t>
            </w:r>
          </w:p>
        </w:tc>
        <w:tc>
          <w:tcPr>
            <w:tcW w:w="782" w:type="pct"/>
            <w:tcBorders>
              <w:top w:val="single" w:sz="4" w:space="0" w:color="000000"/>
              <w:left w:val="nil"/>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16.06</w:t>
            </w:r>
          </w:p>
        </w:tc>
      </w:tr>
      <w:tr w:rsidR="00EC2129">
        <w:trPr>
          <w:trHeight w:val="368"/>
        </w:trPr>
        <w:tc>
          <w:tcPr>
            <w:tcW w:w="1842" w:type="pct"/>
            <w:tcBorders>
              <w:top w:val="single" w:sz="4" w:space="0" w:color="000000"/>
              <w:left w:val="single" w:sz="4" w:space="0" w:color="000000"/>
              <w:bottom w:val="single" w:sz="4" w:space="0" w:color="000000"/>
              <w:right w:val="single" w:sz="4" w:space="0" w:color="000000"/>
            </w:tcBorders>
            <w:vAlign w:val="bottom"/>
          </w:tcPr>
          <w:p w:rsidR="00EC2129" w:rsidRDefault="00545F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- 125%NPKS</w:t>
            </w:r>
          </w:p>
        </w:tc>
        <w:tc>
          <w:tcPr>
            <w:tcW w:w="79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221.88</w:t>
            </w:r>
          </w:p>
        </w:tc>
        <w:tc>
          <w:tcPr>
            <w:tcW w:w="693"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222.86</w:t>
            </w:r>
          </w:p>
        </w:tc>
        <w:tc>
          <w:tcPr>
            <w:tcW w:w="891" w:type="pct"/>
            <w:tcBorders>
              <w:top w:val="single" w:sz="4" w:space="0" w:color="000000"/>
              <w:left w:val="nil"/>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16.32</w:t>
            </w:r>
          </w:p>
        </w:tc>
        <w:tc>
          <w:tcPr>
            <w:tcW w:w="782" w:type="pct"/>
            <w:tcBorders>
              <w:top w:val="single" w:sz="4" w:space="0" w:color="000000"/>
              <w:left w:val="nil"/>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16.85</w:t>
            </w:r>
          </w:p>
        </w:tc>
      </w:tr>
      <w:tr w:rsidR="00EC2129">
        <w:trPr>
          <w:trHeight w:val="296"/>
        </w:trPr>
        <w:tc>
          <w:tcPr>
            <w:tcW w:w="184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 for MPT</w:t>
            </w:r>
          </w:p>
        </w:tc>
        <w:tc>
          <w:tcPr>
            <w:tcW w:w="79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0.88</w:t>
            </w:r>
          </w:p>
        </w:tc>
        <w:tc>
          <w:tcPr>
            <w:tcW w:w="693"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1.18</w:t>
            </w:r>
          </w:p>
        </w:tc>
        <w:tc>
          <w:tcPr>
            <w:tcW w:w="891" w:type="pct"/>
            <w:tcBorders>
              <w:top w:val="single" w:sz="4" w:space="0" w:color="000000"/>
              <w:left w:val="nil"/>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0.23</w:t>
            </w:r>
          </w:p>
        </w:tc>
        <w:tc>
          <w:tcPr>
            <w:tcW w:w="782" w:type="pct"/>
            <w:tcBorders>
              <w:top w:val="single" w:sz="4" w:space="0" w:color="000000"/>
              <w:left w:val="nil"/>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0.32</w:t>
            </w:r>
          </w:p>
        </w:tc>
      </w:tr>
      <w:tr w:rsidR="00EC2129">
        <w:trPr>
          <w:trHeight w:val="323"/>
        </w:trPr>
        <w:tc>
          <w:tcPr>
            <w:tcW w:w="184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C.D.(</w:t>
            </w:r>
            <w:proofErr w:type="gramEnd"/>
            <w:r>
              <w:rPr>
                <w:rFonts w:ascii="Times New Roman" w:eastAsia="Times New Roman" w:hAnsi="Times New Roman" w:cs="Times New Roman"/>
                <w:color w:val="000000"/>
                <w:sz w:val="24"/>
                <w:szCs w:val="24"/>
              </w:rPr>
              <w:t>0.05)</w:t>
            </w:r>
          </w:p>
        </w:tc>
        <w:tc>
          <w:tcPr>
            <w:tcW w:w="79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2.01</w:t>
            </w:r>
          </w:p>
        </w:tc>
        <w:tc>
          <w:tcPr>
            <w:tcW w:w="693"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3.02</w:t>
            </w:r>
          </w:p>
        </w:tc>
        <w:tc>
          <w:tcPr>
            <w:tcW w:w="891" w:type="pct"/>
            <w:tcBorders>
              <w:top w:val="single" w:sz="4" w:space="0" w:color="000000"/>
              <w:left w:val="nil"/>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0.81</w:t>
            </w:r>
          </w:p>
        </w:tc>
        <w:tc>
          <w:tcPr>
            <w:tcW w:w="782" w:type="pct"/>
            <w:tcBorders>
              <w:top w:val="single" w:sz="4" w:space="0" w:color="000000"/>
              <w:left w:val="nil"/>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0.87</w:t>
            </w:r>
          </w:p>
        </w:tc>
      </w:tr>
      <w:tr w:rsidR="00EC2129">
        <w:trPr>
          <w:trHeight w:val="269"/>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Sub plot treatments</w:t>
            </w:r>
          </w:p>
        </w:tc>
      </w:tr>
      <w:tr w:rsidR="00EC2129">
        <w:trPr>
          <w:trHeight w:val="359"/>
        </w:trPr>
        <w:tc>
          <w:tcPr>
            <w:tcW w:w="184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2.5 kg Zn + 0.5 kg B </w:t>
            </w:r>
          </w:p>
        </w:tc>
        <w:tc>
          <w:tcPr>
            <w:tcW w:w="79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213.96</w:t>
            </w:r>
          </w:p>
        </w:tc>
        <w:tc>
          <w:tcPr>
            <w:tcW w:w="693"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214.53</w:t>
            </w:r>
          </w:p>
        </w:tc>
        <w:tc>
          <w:tcPr>
            <w:tcW w:w="891" w:type="pct"/>
            <w:tcBorders>
              <w:top w:val="single" w:sz="4" w:space="0" w:color="000000"/>
              <w:left w:val="nil"/>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14.10</w:t>
            </w:r>
          </w:p>
        </w:tc>
        <w:tc>
          <w:tcPr>
            <w:tcW w:w="782" w:type="pct"/>
            <w:tcBorders>
              <w:top w:val="single" w:sz="4" w:space="0" w:color="000000"/>
              <w:left w:val="nil"/>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14.71</w:t>
            </w:r>
          </w:p>
        </w:tc>
      </w:tr>
      <w:tr w:rsidR="00EC2129">
        <w:trPr>
          <w:trHeight w:val="278"/>
        </w:trPr>
        <w:tc>
          <w:tcPr>
            <w:tcW w:w="184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rPr>
                <w:rFonts w:ascii="Calibri" w:eastAsia="Times New Roman" w:hAnsi="Calibri" w:cs="Times New Roman"/>
              </w:rPr>
            </w:pPr>
            <w:r>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5 kg Zn + 1 kg B</w:t>
            </w:r>
            <w:r>
              <w:rPr>
                <w:rFonts w:ascii="Calibri" w:eastAsia="Times New Roman" w:hAnsi="Calibri" w:cs="Times New Roman"/>
                <w:b/>
                <w:bCs/>
                <w:sz w:val="20"/>
                <w:szCs w:val="20"/>
              </w:rPr>
              <w:t xml:space="preserve"> </w:t>
            </w:r>
          </w:p>
        </w:tc>
        <w:tc>
          <w:tcPr>
            <w:tcW w:w="79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216.08</w:t>
            </w:r>
          </w:p>
        </w:tc>
        <w:tc>
          <w:tcPr>
            <w:tcW w:w="693"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216.45</w:t>
            </w:r>
          </w:p>
        </w:tc>
        <w:tc>
          <w:tcPr>
            <w:tcW w:w="891" w:type="pct"/>
            <w:tcBorders>
              <w:top w:val="single" w:sz="4" w:space="0" w:color="000000"/>
              <w:left w:val="nil"/>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14.57</w:t>
            </w:r>
          </w:p>
        </w:tc>
        <w:tc>
          <w:tcPr>
            <w:tcW w:w="782" w:type="pct"/>
            <w:tcBorders>
              <w:top w:val="single" w:sz="4" w:space="0" w:color="000000"/>
              <w:left w:val="nil"/>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14.93</w:t>
            </w:r>
          </w:p>
        </w:tc>
      </w:tr>
      <w:tr w:rsidR="00EC2129">
        <w:trPr>
          <w:trHeight w:val="395"/>
        </w:trPr>
        <w:tc>
          <w:tcPr>
            <w:tcW w:w="184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Calibri" w:eastAsia="Times New Roman" w:hAnsi="Calibri" w:cs="Times New Roman"/>
                <w:b/>
                <w:bCs/>
                <w:sz w:val="20"/>
                <w:szCs w:val="20"/>
              </w:rPr>
              <w:t xml:space="preserve"> </w:t>
            </w:r>
            <w:r>
              <w:rPr>
                <w:rFonts w:ascii="Times New Roman" w:eastAsia="Times New Roman" w:hAnsi="Times New Roman" w:cs="Times New Roman"/>
                <w:bCs/>
                <w:sz w:val="24"/>
                <w:szCs w:val="24"/>
              </w:rPr>
              <w:t xml:space="preserve">2.5 kg Zn + 0.5 kg B + 500 kg enriched vermicompost </w:t>
            </w:r>
          </w:p>
        </w:tc>
        <w:tc>
          <w:tcPr>
            <w:tcW w:w="79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220.45</w:t>
            </w:r>
          </w:p>
        </w:tc>
        <w:tc>
          <w:tcPr>
            <w:tcW w:w="693"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221.44</w:t>
            </w:r>
          </w:p>
        </w:tc>
        <w:tc>
          <w:tcPr>
            <w:tcW w:w="891" w:type="pct"/>
            <w:tcBorders>
              <w:top w:val="single" w:sz="4" w:space="0" w:color="000000"/>
              <w:left w:val="nil"/>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16.97</w:t>
            </w:r>
          </w:p>
        </w:tc>
        <w:tc>
          <w:tcPr>
            <w:tcW w:w="782" w:type="pct"/>
            <w:tcBorders>
              <w:top w:val="single" w:sz="4" w:space="0" w:color="000000"/>
              <w:left w:val="nil"/>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17.10</w:t>
            </w:r>
          </w:p>
        </w:tc>
      </w:tr>
      <w:tr w:rsidR="00EC2129">
        <w:trPr>
          <w:trHeight w:val="323"/>
        </w:trPr>
        <w:tc>
          <w:tcPr>
            <w:tcW w:w="184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r>
              <w:rPr>
                <w:rFonts w:ascii="Calibri" w:eastAsia="Times New Roman" w:hAnsi="Calibri" w:cs="Times New Roman"/>
                <w:b/>
                <w:bCs/>
                <w:sz w:val="20"/>
                <w:szCs w:val="20"/>
              </w:rPr>
              <w:t xml:space="preserve"> </w:t>
            </w:r>
            <w:r>
              <w:rPr>
                <w:rFonts w:ascii="Times New Roman" w:eastAsia="Times New Roman" w:hAnsi="Times New Roman" w:cs="Times New Roman"/>
                <w:bCs/>
                <w:sz w:val="24"/>
                <w:szCs w:val="24"/>
              </w:rPr>
              <w:t xml:space="preserve">5 kg Zn + 1 kg B + 250 kg enriched vermicompost </w:t>
            </w:r>
          </w:p>
        </w:tc>
        <w:tc>
          <w:tcPr>
            <w:tcW w:w="79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218.64</w:t>
            </w:r>
          </w:p>
        </w:tc>
        <w:tc>
          <w:tcPr>
            <w:tcW w:w="693"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219.41</w:t>
            </w:r>
          </w:p>
        </w:tc>
        <w:tc>
          <w:tcPr>
            <w:tcW w:w="891" w:type="pct"/>
            <w:tcBorders>
              <w:top w:val="single" w:sz="4" w:space="0" w:color="000000"/>
              <w:left w:val="nil"/>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16.53</w:t>
            </w:r>
          </w:p>
        </w:tc>
        <w:tc>
          <w:tcPr>
            <w:tcW w:w="782" w:type="pct"/>
            <w:tcBorders>
              <w:top w:val="single" w:sz="4" w:space="0" w:color="000000"/>
              <w:left w:val="nil"/>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16.96</w:t>
            </w:r>
          </w:p>
        </w:tc>
      </w:tr>
      <w:tr w:rsidR="00EC2129">
        <w:trPr>
          <w:trHeight w:val="377"/>
        </w:trPr>
        <w:tc>
          <w:tcPr>
            <w:tcW w:w="184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 for SPT</w:t>
            </w:r>
          </w:p>
        </w:tc>
        <w:tc>
          <w:tcPr>
            <w:tcW w:w="79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1.05</w:t>
            </w:r>
          </w:p>
        </w:tc>
        <w:tc>
          <w:tcPr>
            <w:tcW w:w="693"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1.36</w:t>
            </w:r>
          </w:p>
        </w:tc>
        <w:tc>
          <w:tcPr>
            <w:tcW w:w="891" w:type="pct"/>
            <w:tcBorders>
              <w:top w:val="single" w:sz="4" w:space="0" w:color="000000"/>
              <w:left w:val="nil"/>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0.32</w:t>
            </w:r>
          </w:p>
        </w:tc>
        <w:tc>
          <w:tcPr>
            <w:tcW w:w="782" w:type="pct"/>
            <w:tcBorders>
              <w:top w:val="single" w:sz="4" w:space="0" w:color="000000"/>
              <w:left w:val="nil"/>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0.36</w:t>
            </w:r>
          </w:p>
        </w:tc>
      </w:tr>
      <w:tr w:rsidR="00EC2129">
        <w:trPr>
          <w:trHeight w:val="395"/>
        </w:trPr>
        <w:tc>
          <w:tcPr>
            <w:tcW w:w="184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C.D.(</w:t>
            </w:r>
            <w:proofErr w:type="gramEnd"/>
            <w:r>
              <w:rPr>
                <w:rFonts w:ascii="Times New Roman" w:eastAsia="Times New Roman" w:hAnsi="Times New Roman" w:cs="Times New Roman"/>
                <w:color w:val="000000"/>
                <w:sz w:val="24"/>
                <w:szCs w:val="24"/>
              </w:rPr>
              <w:t>0.05)</w:t>
            </w:r>
          </w:p>
        </w:tc>
        <w:tc>
          <w:tcPr>
            <w:tcW w:w="79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2.37</w:t>
            </w:r>
          </w:p>
        </w:tc>
        <w:tc>
          <w:tcPr>
            <w:tcW w:w="693"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2.80</w:t>
            </w:r>
          </w:p>
        </w:tc>
        <w:tc>
          <w:tcPr>
            <w:tcW w:w="891" w:type="pct"/>
            <w:tcBorders>
              <w:top w:val="single" w:sz="4" w:space="0" w:color="000000"/>
              <w:left w:val="nil"/>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0.93</w:t>
            </w:r>
          </w:p>
        </w:tc>
        <w:tc>
          <w:tcPr>
            <w:tcW w:w="782" w:type="pct"/>
            <w:tcBorders>
              <w:top w:val="single" w:sz="4" w:space="0" w:color="000000"/>
              <w:left w:val="nil"/>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1.04</w:t>
            </w:r>
          </w:p>
        </w:tc>
      </w:tr>
      <w:tr w:rsidR="00EC2129">
        <w:trPr>
          <w:trHeight w:val="395"/>
        </w:trPr>
        <w:tc>
          <w:tcPr>
            <w:tcW w:w="184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Interaction(</w:t>
            </w:r>
            <w:proofErr w:type="gramEnd"/>
            <w:r>
              <w:rPr>
                <w:rFonts w:ascii="Times New Roman" w:eastAsia="Times New Roman" w:hAnsi="Times New Roman" w:cs="Times New Roman"/>
                <w:color w:val="000000"/>
                <w:sz w:val="24"/>
                <w:szCs w:val="24"/>
              </w:rPr>
              <w:t>MXS)</w:t>
            </w:r>
          </w:p>
        </w:tc>
        <w:tc>
          <w:tcPr>
            <w:tcW w:w="792"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NS</w:t>
            </w:r>
          </w:p>
        </w:tc>
        <w:tc>
          <w:tcPr>
            <w:tcW w:w="693"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NS</w:t>
            </w:r>
          </w:p>
        </w:tc>
        <w:tc>
          <w:tcPr>
            <w:tcW w:w="891" w:type="pct"/>
            <w:tcBorders>
              <w:top w:val="single" w:sz="4" w:space="0" w:color="000000"/>
              <w:left w:val="nil"/>
              <w:bottom w:val="single" w:sz="4" w:space="0" w:color="000000"/>
              <w:right w:val="single" w:sz="4" w:space="0" w:color="auto"/>
            </w:tcBorders>
            <w:vAlign w:val="center"/>
          </w:tcPr>
          <w:p w:rsidR="00EC2129" w:rsidRDefault="00545FF6">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NS</w:t>
            </w:r>
          </w:p>
        </w:tc>
        <w:tc>
          <w:tcPr>
            <w:tcW w:w="782" w:type="pct"/>
            <w:tcBorders>
              <w:top w:val="single" w:sz="4" w:space="0" w:color="000000"/>
              <w:left w:val="nil"/>
              <w:bottom w:val="single" w:sz="4" w:space="0" w:color="000000"/>
              <w:right w:val="single" w:sz="4" w:space="0" w:color="000000"/>
            </w:tcBorders>
            <w:vAlign w:val="center"/>
          </w:tcPr>
          <w:p w:rsidR="00EC2129" w:rsidRDefault="00545FF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NS</w:t>
            </w:r>
          </w:p>
        </w:tc>
      </w:tr>
    </w:tbl>
    <w:p w:rsidR="00EC2129" w:rsidRDefault="00EC2129">
      <w:pPr>
        <w:tabs>
          <w:tab w:val="left" w:pos="1170"/>
          <w:tab w:val="left" w:pos="2160"/>
        </w:tabs>
        <w:spacing w:after="160" w:line="360" w:lineRule="auto"/>
        <w:rPr>
          <w:rFonts w:eastAsia="Calibri"/>
          <w:b/>
          <w:kern w:val="2"/>
          <w:sz w:val="24"/>
          <w:szCs w:val="24"/>
        </w:rPr>
      </w:pPr>
    </w:p>
    <w:p w:rsidR="00EC2129" w:rsidRDefault="00EC2129">
      <w:pPr>
        <w:tabs>
          <w:tab w:val="left" w:pos="1170"/>
          <w:tab w:val="left" w:pos="2160"/>
        </w:tabs>
        <w:spacing w:after="160" w:line="360" w:lineRule="auto"/>
        <w:rPr>
          <w:rFonts w:ascii="Times New Roman" w:eastAsia="Calibri" w:hAnsi="Times New Roman" w:cs="Times New Roman"/>
          <w:b/>
          <w:kern w:val="2"/>
          <w:sz w:val="24"/>
          <w:szCs w:val="24"/>
        </w:rPr>
      </w:pPr>
    </w:p>
    <w:p w:rsidR="00EC2129" w:rsidRDefault="00545FF6">
      <w:pPr>
        <w:tabs>
          <w:tab w:val="left" w:pos="1170"/>
          <w:tab w:val="left" w:pos="2160"/>
        </w:tabs>
        <w:spacing w:after="160" w:line="36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Table 2</w:t>
      </w:r>
      <w:r>
        <w:rPr>
          <w:rFonts w:eastAsia="Calibri"/>
          <w:b/>
          <w:kern w:val="2"/>
          <w:sz w:val="24"/>
          <w:szCs w:val="24"/>
        </w:rPr>
        <w:t xml:space="preserve"> </w:t>
      </w:r>
      <w:r>
        <w:rPr>
          <w:rFonts w:ascii="Times New Roman" w:hAnsi="Times New Roman" w:cs="Times New Roman"/>
          <w:b/>
          <w:sz w:val="24"/>
          <w:szCs w:val="24"/>
          <w:shd w:val="clear" w:color="auto" w:fill="FFFFFF"/>
        </w:rPr>
        <w:t>Effect of main plot and sub plot treatments on Available P, Available S and Available Zn of post-harvest soil of Indian mustard</w:t>
      </w:r>
    </w:p>
    <w:tbl>
      <w:tblPr>
        <w:tblStyle w:val="TableGrid1"/>
        <w:tblW w:w="5000" w:type="pct"/>
        <w:tblLook w:val="04A0" w:firstRow="1" w:lastRow="0" w:firstColumn="1" w:lastColumn="0" w:noHBand="0" w:noVBand="1"/>
      </w:tblPr>
      <w:tblGrid>
        <w:gridCol w:w="2466"/>
        <w:gridCol w:w="1164"/>
        <w:gridCol w:w="1203"/>
        <w:gridCol w:w="1170"/>
        <w:gridCol w:w="36"/>
        <w:gridCol w:w="1224"/>
        <w:gridCol w:w="1147"/>
        <w:gridCol w:w="1166"/>
      </w:tblGrid>
      <w:tr w:rsidR="00EC2129">
        <w:trPr>
          <w:trHeight w:val="245"/>
        </w:trPr>
        <w:tc>
          <w:tcPr>
            <w:tcW w:w="1287" w:type="pct"/>
            <w:tcBorders>
              <w:top w:val="single" w:sz="4" w:space="0" w:color="000000"/>
              <w:left w:val="single" w:sz="4" w:space="0" w:color="000000"/>
              <w:bottom w:val="single" w:sz="4" w:space="0" w:color="000000"/>
              <w:right w:val="single" w:sz="4" w:space="0" w:color="000000"/>
            </w:tcBorders>
          </w:tcPr>
          <w:p w:rsidR="00EC2129" w:rsidRDefault="00545FF6">
            <w:pPr>
              <w:spacing w:after="12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sz w:val="20"/>
                <w:szCs w:val="20"/>
              </w:rPr>
              <w:t>Treatment</w:t>
            </w:r>
          </w:p>
        </w:tc>
        <w:tc>
          <w:tcPr>
            <w:tcW w:w="1236" w:type="pct"/>
            <w:gridSpan w:val="2"/>
            <w:tcBorders>
              <w:top w:val="single" w:sz="4" w:space="0" w:color="auto"/>
              <w:left w:val="single" w:sz="4" w:space="0" w:color="000000"/>
              <w:bottom w:val="single" w:sz="4" w:space="0" w:color="000000"/>
              <w:right w:val="single" w:sz="4" w:space="0" w:color="000000"/>
            </w:tcBorders>
          </w:tcPr>
          <w:p w:rsidR="00EC2129" w:rsidRDefault="00545FF6">
            <w:pPr>
              <w:spacing w:after="120" w:line="240" w:lineRule="auto"/>
              <w:jc w:val="center"/>
              <w:rPr>
                <w:rFonts w:ascii="Times New Roman" w:eastAsia="Calibri" w:hAnsi="Times New Roman" w:cs="Times New Roman"/>
                <w:b/>
              </w:rPr>
            </w:pPr>
            <w:r>
              <w:rPr>
                <w:rFonts w:ascii="Times New Roman" w:eastAsia="Calibri" w:hAnsi="Times New Roman" w:cs="Times New Roman"/>
                <w:b/>
                <w:sz w:val="20"/>
                <w:szCs w:val="20"/>
              </w:rPr>
              <w:t>Available K</w:t>
            </w:r>
          </w:p>
          <w:p w:rsidR="00EC2129" w:rsidRDefault="00545FF6">
            <w:pPr>
              <w:spacing w:after="120" w:line="240" w:lineRule="auto"/>
              <w:jc w:val="center"/>
              <w:rPr>
                <w:rFonts w:ascii="Times New Roman" w:eastAsia="Calibri" w:hAnsi="Times New Roman" w:cs="Times New Roman"/>
                <w:b/>
              </w:rPr>
            </w:pPr>
            <w:r>
              <w:rPr>
                <w:rFonts w:ascii="Times New Roman" w:eastAsia="Calibri" w:hAnsi="Times New Roman" w:cs="Times New Roman"/>
                <w:b/>
                <w:sz w:val="20"/>
                <w:szCs w:val="20"/>
              </w:rPr>
              <w:t>(kg ha</w:t>
            </w:r>
            <w:r>
              <w:rPr>
                <w:rFonts w:ascii="Times New Roman" w:eastAsia="Calibri" w:hAnsi="Times New Roman" w:cs="Times New Roman"/>
                <w:b/>
                <w:sz w:val="20"/>
                <w:szCs w:val="20"/>
                <w:vertAlign w:val="superscript"/>
              </w:rPr>
              <w:t>-1</w:t>
            </w:r>
            <w:r>
              <w:rPr>
                <w:rFonts w:ascii="Times New Roman" w:eastAsia="Calibri" w:hAnsi="Times New Roman" w:cs="Times New Roman"/>
                <w:b/>
                <w:sz w:val="20"/>
                <w:szCs w:val="20"/>
              </w:rPr>
              <w:t>)</w:t>
            </w:r>
          </w:p>
        </w:tc>
        <w:tc>
          <w:tcPr>
            <w:tcW w:w="1269" w:type="pct"/>
            <w:gridSpan w:val="3"/>
            <w:tcBorders>
              <w:top w:val="single" w:sz="4" w:space="0" w:color="auto"/>
              <w:left w:val="single" w:sz="4" w:space="0" w:color="000000"/>
              <w:bottom w:val="single" w:sz="4" w:space="0" w:color="000000"/>
              <w:right w:val="single" w:sz="4" w:space="0" w:color="000000"/>
            </w:tcBorders>
          </w:tcPr>
          <w:p w:rsidR="00EC2129" w:rsidRDefault="00545FF6">
            <w:pPr>
              <w:spacing w:after="120" w:line="240" w:lineRule="auto"/>
              <w:jc w:val="center"/>
              <w:rPr>
                <w:rFonts w:ascii="Times New Roman" w:eastAsia="Calibri" w:hAnsi="Times New Roman" w:cs="Times New Roman"/>
                <w:b/>
              </w:rPr>
            </w:pPr>
            <w:r>
              <w:rPr>
                <w:rFonts w:ascii="Times New Roman" w:eastAsia="Calibri" w:hAnsi="Times New Roman" w:cs="Times New Roman"/>
                <w:b/>
                <w:sz w:val="20"/>
                <w:szCs w:val="20"/>
              </w:rPr>
              <w:t>Available S</w:t>
            </w:r>
          </w:p>
          <w:p w:rsidR="00EC2129" w:rsidRDefault="00545FF6">
            <w:pPr>
              <w:spacing w:after="120" w:line="240" w:lineRule="auto"/>
              <w:jc w:val="center"/>
              <w:rPr>
                <w:rFonts w:ascii="Times New Roman" w:eastAsia="Calibri" w:hAnsi="Times New Roman" w:cs="Times New Roman"/>
                <w:b/>
              </w:rPr>
            </w:pPr>
            <w:r>
              <w:rPr>
                <w:rFonts w:ascii="Times New Roman" w:eastAsia="Calibri" w:hAnsi="Times New Roman" w:cs="Times New Roman"/>
                <w:b/>
                <w:sz w:val="20"/>
                <w:szCs w:val="20"/>
              </w:rPr>
              <w:t xml:space="preserve"> (kg ha</w:t>
            </w:r>
            <w:r>
              <w:rPr>
                <w:rFonts w:ascii="Times New Roman" w:eastAsia="Calibri" w:hAnsi="Times New Roman" w:cs="Times New Roman"/>
                <w:b/>
                <w:sz w:val="20"/>
                <w:szCs w:val="20"/>
                <w:vertAlign w:val="superscript"/>
              </w:rPr>
              <w:t>-1</w:t>
            </w:r>
            <w:r>
              <w:rPr>
                <w:rFonts w:ascii="Times New Roman" w:eastAsia="Calibri" w:hAnsi="Times New Roman" w:cs="Times New Roman"/>
                <w:b/>
                <w:sz w:val="20"/>
                <w:szCs w:val="20"/>
              </w:rPr>
              <w:t>)</w:t>
            </w:r>
          </w:p>
        </w:tc>
        <w:tc>
          <w:tcPr>
            <w:tcW w:w="1208" w:type="pct"/>
            <w:gridSpan w:val="2"/>
            <w:tcBorders>
              <w:top w:val="single" w:sz="4" w:space="0" w:color="auto"/>
              <w:left w:val="single" w:sz="4" w:space="0" w:color="000000"/>
              <w:bottom w:val="single" w:sz="4" w:space="0" w:color="000000"/>
              <w:right w:val="single" w:sz="4" w:space="0" w:color="000000"/>
            </w:tcBorders>
          </w:tcPr>
          <w:p w:rsidR="00EC2129" w:rsidRDefault="00545FF6">
            <w:pPr>
              <w:spacing w:after="120" w:line="240" w:lineRule="auto"/>
              <w:jc w:val="center"/>
              <w:rPr>
                <w:rFonts w:ascii="Times New Roman" w:eastAsia="Calibri" w:hAnsi="Times New Roman" w:cs="Times New Roman"/>
                <w:b/>
              </w:rPr>
            </w:pPr>
            <w:r>
              <w:rPr>
                <w:rFonts w:ascii="Times New Roman" w:eastAsia="Calibri" w:hAnsi="Times New Roman" w:cs="Times New Roman"/>
                <w:b/>
                <w:sz w:val="20"/>
                <w:szCs w:val="20"/>
              </w:rPr>
              <w:t>Available Zn</w:t>
            </w:r>
          </w:p>
          <w:p w:rsidR="00EC2129" w:rsidRDefault="00545FF6">
            <w:pPr>
              <w:spacing w:after="120" w:line="240" w:lineRule="auto"/>
              <w:jc w:val="center"/>
              <w:rPr>
                <w:rFonts w:ascii="Times New Roman" w:eastAsia="Calibri" w:hAnsi="Times New Roman" w:cs="Times New Roman"/>
                <w:b/>
              </w:rPr>
            </w:pPr>
            <w:r>
              <w:rPr>
                <w:rFonts w:ascii="Times New Roman" w:eastAsia="Calibri" w:hAnsi="Times New Roman" w:cs="Times New Roman"/>
                <w:b/>
                <w:sz w:val="20"/>
                <w:szCs w:val="20"/>
              </w:rPr>
              <w:t>(PPM)</w:t>
            </w:r>
          </w:p>
        </w:tc>
      </w:tr>
      <w:tr w:rsidR="00EC2129">
        <w:trPr>
          <w:trHeight w:val="245"/>
        </w:trPr>
        <w:tc>
          <w:tcPr>
            <w:tcW w:w="1287" w:type="pct"/>
            <w:tcBorders>
              <w:top w:val="single" w:sz="4" w:space="0" w:color="000000"/>
              <w:left w:val="single" w:sz="4" w:space="0" w:color="000000"/>
              <w:bottom w:val="single" w:sz="4" w:space="0" w:color="000000"/>
              <w:right w:val="single" w:sz="4" w:space="0" w:color="000000"/>
            </w:tcBorders>
          </w:tcPr>
          <w:p w:rsidR="00EC2129" w:rsidRDefault="00EC2129">
            <w:pPr>
              <w:spacing w:after="120" w:line="240" w:lineRule="auto"/>
              <w:rPr>
                <w:rFonts w:ascii="Times New Roman" w:eastAsia="Times New Roman" w:hAnsi="Times New Roman" w:cs="Times New Roman"/>
                <w:b/>
                <w:bCs/>
                <w:color w:val="000000"/>
              </w:rPr>
            </w:pPr>
          </w:p>
        </w:tc>
        <w:tc>
          <w:tcPr>
            <w:tcW w:w="608" w:type="pct"/>
            <w:tcBorders>
              <w:top w:val="single" w:sz="4" w:space="0" w:color="auto"/>
              <w:left w:val="single" w:sz="4" w:space="0" w:color="000000"/>
              <w:bottom w:val="single" w:sz="4" w:space="0" w:color="000000"/>
              <w:right w:val="single" w:sz="4" w:space="0" w:color="auto"/>
            </w:tcBorders>
          </w:tcPr>
          <w:p w:rsidR="00EC2129" w:rsidRDefault="00545FF6">
            <w:pPr>
              <w:spacing w:after="120" w:line="240" w:lineRule="auto"/>
              <w:jc w:val="center"/>
              <w:rPr>
                <w:rFonts w:ascii="Times New Roman" w:eastAsia="Calibri" w:hAnsi="Times New Roman" w:cs="Times New Roman"/>
                <w:b/>
              </w:rPr>
            </w:pPr>
            <w:r>
              <w:rPr>
                <w:rFonts w:ascii="Times New Roman" w:eastAsia="Calibri" w:hAnsi="Times New Roman" w:cs="Times New Roman"/>
                <w:b/>
                <w:sz w:val="20"/>
                <w:szCs w:val="20"/>
              </w:rPr>
              <w:t>2022-23</w:t>
            </w:r>
          </w:p>
        </w:tc>
        <w:tc>
          <w:tcPr>
            <w:tcW w:w="628" w:type="pct"/>
            <w:tcBorders>
              <w:top w:val="single" w:sz="4" w:space="0" w:color="auto"/>
              <w:left w:val="nil"/>
              <w:bottom w:val="single" w:sz="4" w:space="0" w:color="000000"/>
              <w:right w:val="single" w:sz="4" w:space="0" w:color="000000"/>
            </w:tcBorders>
          </w:tcPr>
          <w:p w:rsidR="00EC2129" w:rsidRDefault="00545FF6">
            <w:pPr>
              <w:spacing w:after="120" w:line="240" w:lineRule="auto"/>
              <w:jc w:val="center"/>
              <w:rPr>
                <w:rFonts w:ascii="Times New Roman" w:eastAsia="Calibri" w:hAnsi="Times New Roman" w:cs="Times New Roman"/>
                <w:b/>
              </w:rPr>
            </w:pPr>
            <w:r>
              <w:rPr>
                <w:rFonts w:ascii="Times New Roman" w:eastAsia="Calibri" w:hAnsi="Times New Roman" w:cs="Times New Roman"/>
                <w:b/>
                <w:sz w:val="20"/>
                <w:szCs w:val="20"/>
              </w:rPr>
              <w:t>2023-24</w:t>
            </w:r>
          </w:p>
        </w:tc>
        <w:tc>
          <w:tcPr>
            <w:tcW w:w="630" w:type="pct"/>
            <w:gridSpan w:val="2"/>
            <w:tcBorders>
              <w:top w:val="single" w:sz="4" w:space="0" w:color="auto"/>
              <w:left w:val="single" w:sz="4" w:space="0" w:color="000000"/>
              <w:bottom w:val="single" w:sz="4" w:space="0" w:color="000000"/>
              <w:right w:val="single" w:sz="4" w:space="0" w:color="auto"/>
            </w:tcBorders>
          </w:tcPr>
          <w:p w:rsidR="00EC2129" w:rsidRDefault="00545FF6">
            <w:pPr>
              <w:spacing w:after="120" w:line="240" w:lineRule="auto"/>
              <w:jc w:val="center"/>
              <w:rPr>
                <w:rFonts w:ascii="Times New Roman" w:eastAsia="Calibri" w:hAnsi="Times New Roman" w:cs="Times New Roman"/>
                <w:b/>
              </w:rPr>
            </w:pPr>
            <w:r>
              <w:rPr>
                <w:rFonts w:ascii="Times New Roman" w:eastAsia="Calibri" w:hAnsi="Times New Roman" w:cs="Times New Roman"/>
                <w:b/>
                <w:sz w:val="20"/>
                <w:szCs w:val="20"/>
              </w:rPr>
              <w:t>2022-23</w:t>
            </w:r>
          </w:p>
        </w:tc>
        <w:tc>
          <w:tcPr>
            <w:tcW w:w="639" w:type="pct"/>
            <w:tcBorders>
              <w:top w:val="single" w:sz="4" w:space="0" w:color="auto"/>
              <w:left w:val="nil"/>
              <w:bottom w:val="single" w:sz="4" w:space="0" w:color="000000"/>
              <w:right w:val="single" w:sz="4" w:space="0" w:color="000000"/>
            </w:tcBorders>
          </w:tcPr>
          <w:p w:rsidR="00EC2129" w:rsidRDefault="00545FF6">
            <w:pPr>
              <w:spacing w:after="120" w:line="240" w:lineRule="auto"/>
              <w:jc w:val="center"/>
              <w:rPr>
                <w:rFonts w:ascii="Times New Roman" w:eastAsia="Calibri" w:hAnsi="Times New Roman" w:cs="Times New Roman"/>
                <w:b/>
              </w:rPr>
            </w:pPr>
            <w:r>
              <w:rPr>
                <w:rFonts w:ascii="Times New Roman" w:eastAsia="Calibri" w:hAnsi="Times New Roman" w:cs="Times New Roman"/>
                <w:b/>
                <w:sz w:val="20"/>
                <w:szCs w:val="20"/>
              </w:rPr>
              <w:t>2023-24</w:t>
            </w:r>
          </w:p>
        </w:tc>
        <w:tc>
          <w:tcPr>
            <w:tcW w:w="599" w:type="pct"/>
            <w:tcBorders>
              <w:top w:val="single" w:sz="4" w:space="0" w:color="auto"/>
              <w:left w:val="single" w:sz="4" w:space="0" w:color="auto"/>
              <w:bottom w:val="single" w:sz="4" w:space="0" w:color="000000"/>
              <w:right w:val="single" w:sz="4" w:space="0" w:color="000000"/>
            </w:tcBorders>
          </w:tcPr>
          <w:p w:rsidR="00EC2129" w:rsidRDefault="00545FF6">
            <w:pPr>
              <w:spacing w:after="120" w:line="240" w:lineRule="auto"/>
              <w:jc w:val="center"/>
              <w:rPr>
                <w:rFonts w:ascii="Times New Roman" w:eastAsia="Calibri" w:hAnsi="Times New Roman" w:cs="Times New Roman"/>
                <w:b/>
              </w:rPr>
            </w:pPr>
            <w:r>
              <w:rPr>
                <w:rFonts w:ascii="Times New Roman" w:eastAsia="Calibri" w:hAnsi="Times New Roman" w:cs="Times New Roman"/>
                <w:b/>
                <w:sz w:val="20"/>
                <w:szCs w:val="20"/>
              </w:rPr>
              <w:t>2022-23</w:t>
            </w:r>
          </w:p>
        </w:tc>
        <w:tc>
          <w:tcPr>
            <w:tcW w:w="609" w:type="pct"/>
            <w:tcBorders>
              <w:top w:val="single" w:sz="4" w:space="0" w:color="auto"/>
              <w:left w:val="single" w:sz="4" w:space="0" w:color="auto"/>
              <w:bottom w:val="single" w:sz="4" w:space="0" w:color="000000"/>
              <w:right w:val="single" w:sz="4" w:space="0" w:color="000000"/>
            </w:tcBorders>
          </w:tcPr>
          <w:p w:rsidR="00EC2129" w:rsidRDefault="00545FF6">
            <w:pPr>
              <w:spacing w:after="120" w:line="240" w:lineRule="auto"/>
              <w:jc w:val="center"/>
              <w:rPr>
                <w:rFonts w:ascii="Times New Roman" w:eastAsia="Calibri" w:hAnsi="Times New Roman" w:cs="Times New Roman"/>
                <w:b/>
              </w:rPr>
            </w:pPr>
            <w:r>
              <w:rPr>
                <w:rFonts w:ascii="Times New Roman" w:eastAsia="Calibri" w:hAnsi="Times New Roman" w:cs="Times New Roman"/>
                <w:b/>
                <w:sz w:val="20"/>
                <w:szCs w:val="20"/>
              </w:rPr>
              <w:t>2023-24</w:t>
            </w:r>
          </w:p>
        </w:tc>
      </w:tr>
      <w:tr w:rsidR="00EC2129">
        <w:trPr>
          <w:trHeight w:val="380"/>
        </w:trPr>
        <w:tc>
          <w:tcPr>
            <w:tcW w:w="3792" w:type="pct"/>
            <w:gridSpan w:val="6"/>
            <w:tcBorders>
              <w:top w:val="single" w:sz="4" w:space="0" w:color="000000"/>
              <w:left w:val="single" w:sz="4" w:space="0" w:color="000000"/>
              <w:bottom w:val="single" w:sz="4" w:space="0" w:color="000000"/>
              <w:right w:val="single" w:sz="4" w:space="0" w:color="000000"/>
            </w:tcBorders>
          </w:tcPr>
          <w:p w:rsidR="00EC2129" w:rsidRDefault="00545FF6">
            <w:pPr>
              <w:spacing w:after="120" w:line="240" w:lineRule="auto"/>
              <w:rPr>
                <w:rFonts w:ascii="Times New Roman" w:eastAsia="Calibri" w:hAnsi="Times New Roman" w:cs="Times New Roman"/>
              </w:rPr>
            </w:pPr>
            <w:r>
              <w:rPr>
                <w:rFonts w:ascii="Times New Roman" w:eastAsia="Times New Roman" w:hAnsi="Times New Roman" w:cs="Times New Roman"/>
                <w:b/>
                <w:bCs/>
                <w:color w:val="000000"/>
                <w:sz w:val="20"/>
                <w:szCs w:val="20"/>
              </w:rPr>
              <w:t>Main plot treatments</w:t>
            </w:r>
          </w:p>
        </w:tc>
        <w:tc>
          <w:tcPr>
            <w:tcW w:w="599" w:type="pct"/>
            <w:tcBorders>
              <w:top w:val="single" w:sz="4" w:space="0" w:color="000000"/>
              <w:left w:val="single" w:sz="4" w:space="0" w:color="000000"/>
              <w:bottom w:val="single" w:sz="4" w:space="0" w:color="000000"/>
              <w:right w:val="single" w:sz="4" w:space="0" w:color="000000"/>
            </w:tcBorders>
          </w:tcPr>
          <w:p w:rsidR="00EC2129" w:rsidRDefault="00EC2129">
            <w:pPr>
              <w:spacing w:after="120" w:line="240" w:lineRule="auto"/>
              <w:rPr>
                <w:rFonts w:ascii="Times New Roman" w:eastAsia="Times New Roman" w:hAnsi="Times New Roman" w:cs="Times New Roman"/>
                <w:b/>
                <w:bCs/>
                <w:color w:val="000000"/>
              </w:rPr>
            </w:pPr>
          </w:p>
        </w:tc>
        <w:tc>
          <w:tcPr>
            <w:tcW w:w="609" w:type="pct"/>
            <w:tcBorders>
              <w:top w:val="single" w:sz="4" w:space="0" w:color="000000"/>
              <w:left w:val="single" w:sz="4" w:space="0" w:color="000000"/>
              <w:bottom w:val="single" w:sz="4" w:space="0" w:color="000000"/>
              <w:right w:val="single" w:sz="4" w:space="0" w:color="000000"/>
            </w:tcBorders>
          </w:tcPr>
          <w:p w:rsidR="00EC2129" w:rsidRDefault="00EC2129">
            <w:pPr>
              <w:spacing w:after="120" w:line="240" w:lineRule="auto"/>
              <w:rPr>
                <w:rFonts w:ascii="Times New Roman" w:eastAsia="Times New Roman" w:hAnsi="Times New Roman" w:cs="Times New Roman"/>
                <w:b/>
                <w:bCs/>
                <w:color w:val="000000"/>
              </w:rPr>
            </w:pPr>
          </w:p>
        </w:tc>
      </w:tr>
      <w:tr w:rsidR="00EC2129">
        <w:trPr>
          <w:trHeight w:val="293"/>
        </w:trPr>
        <w:tc>
          <w:tcPr>
            <w:tcW w:w="1287" w:type="pct"/>
            <w:tcBorders>
              <w:top w:val="single" w:sz="4" w:space="0" w:color="000000"/>
              <w:left w:val="single" w:sz="4" w:space="0" w:color="000000"/>
              <w:bottom w:val="single" w:sz="4" w:space="0" w:color="000000"/>
              <w:right w:val="single" w:sz="4" w:space="0" w:color="000000"/>
            </w:tcBorders>
            <w:vAlign w:val="bottom"/>
          </w:tcPr>
          <w:p w:rsidR="00EC2129" w:rsidRDefault="00545FF6">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vertAlign w:val="subscript"/>
              </w:rPr>
              <w:t xml:space="preserve">1 </w:t>
            </w:r>
            <w:r>
              <w:rPr>
                <w:rFonts w:ascii="Times New Roman" w:eastAsia="Times New Roman" w:hAnsi="Times New Roman" w:cs="Times New Roman"/>
                <w:color w:val="000000"/>
                <w:sz w:val="20"/>
                <w:szCs w:val="20"/>
              </w:rPr>
              <w:t>– 50% RNPKS</w:t>
            </w:r>
          </w:p>
        </w:tc>
        <w:tc>
          <w:tcPr>
            <w:tcW w:w="608"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285.12</w:t>
            </w:r>
          </w:p>
        </w:tc>
        <w:tc>
          <w:tcPr>
            <w:tcW w:w="628" w:type="pct"/>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284.81</w:t>
            </w:r>
          </w:p>
        </w:tc>
        <w:tc>
          <w:tcPr>
            <w:tcW w:w="611"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11.32</w:t>
            </w:r>
          </w:p>
        </w:tc>
        <w:tc>
          <w:tcPr>
            <w:tcW w:w="658" w:type="pct"/>
            <w:gridSpan w:val="2"/>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10.03</w:t>
            </w:r>
          </w:p>
        </w:tc>
        <w:tc>
          <w:tcPr>
            <w:tcW w:w="59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0.66</w:t>
            </w:r>
          </w:p>
        </w:tc>
        <w:tc>
          <w:tcPr>
            <w:tcW w:w="60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0.68</w:t>
            </w:r>
          </w:p>
        </w:tc>
      </w:tr>
      <w:tr w:rsidR="00EC2129">
        <w:trPr>
          <w:trHeight w:val="320"/>
        </w:trPr>
        <w:tc>
          <w:tcPr>
            <w:tcW w:w="1287" w:type="pct"/>
            <w:tcBorders>
              <w:top w:val="single" w:sz="4" w:space="0" w:color="000000"/>
              <w:left w:val="single" w:sz="4" w:space="0" w:color="000000"/>
              <w:bottom w:val="single" w:sz="4" w:space="0" w:color="000000"/>
              <w:right w:val="single" w:sz="4" w:space="0" w:color="000000"/>
            </w:tcBorders>
            <w:vAlign w:val="bottom"/>
          </w:tcPr>
          <w:p w:rsidR="00EC2129" w:rsidRDefault="00545FF6">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- 75% RNPKS</w:t>
            </w:r>
          </w:p>
        </w:tc>
        <w:tc>
          <w:tcPr>
            <w:tcW w:w="608"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287.29</w:t>
            </w:r>
          </w:p>
        </w:tc>
        <w:tc>
          <w:tcPr>
            <w:tcW w:w="628" w:type="pct"/>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286.45</w:t>
            </w:r>
          </w:p>
        </w:tc>
        <w:tc>
          <w:tcPr>
            <w:tcW w:w="611"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12.79</w:t>
            </w:r>
          </w:p>
        </w:tc>
        <w:tc>
          <w:tcPr>
            <w:tcW w:w="658" w:type="pct"/>
            <w:gridSpan w:val="2"/>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12.00</w:t>
            </w:r>
          </w:p>
        </w:tc>
        <w:tc>
          <w:tcPr>
            <w:tcW w:w="59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0.68</w:t>
            </w:r>
          </w:p>
        </w:tc>
        <w:tc>
          <w:tcPr>
            <w:tcW w:w="60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0.69</w:t>
            </w:r>
          </w:p>
        </w:tc>
      </w:tr>
      <w:tr w:rsidR="00EC2129">
        <w:trPr>
          <w:trHeight w:val="248"/>
        </w:trPr>
        <w:tc>
          <w:tcPr>
            <w:tcW w:w="1287" w:type="pct"/>
            <w:tcBorders>
              <w:top w:val="single" w:sz="4" w:space="0" w:color="000000"/>
              <w:left w:val="single" w:sz="4" w:space="0" w:color="000000"/>
              <w:bottom w:val="single" w:sz="4" w:space="0" w:color="000000"/>
              <w:right w:val="single" w:sz="4" w:space="0" w:color="000000"/>
            </w:tcBorders>
            <w:vAlign w:val="bottom"/>
          </w:tcPr>
          <w:p w:rsidR="00EC2129" w:rsidRDefault="00545FF6">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vertAlign w:val="subscript"/>
              </w:rPr>
              <w:t>3</w:t>
            </w:r>
            <w:r>
              <w:rPr>
                <w:rFonts w:ascii="Times New Roman" w:eastAsia="Times New Roman" w:hAnsi="Times New Roman" w:cs="Times New Roman"/>
                <w:color w:val="000000"/>
                <w:sz w:val="20"/>
                <w:szCs w:val="20"/>
              </w:rPr>
              <w:t>-100% RNPKS</w:t>
            </w:r>
          </w:p>
        </w:tc>
        <w:tc>
          <w:tcPr>
            <w:tcW w:w="608"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290.73</w:t>
            </w:r>
          </w:p>
        </w:tc>
        <w:tc>
          <w:tcPr>
            <w:tcW w:w="628" w:type="pct"/>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292.59</w:t>
            </w:r>
          </w:p>
        </w:tc>
        <w:tc>
          <w:tcPr>
            <w:tcW w:w="611"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13.83</w:t>
            </w:r>
          </w:p>
        </w:tc>
        <w:tc>
          <w:tcPr>
            <w:tcW w:w="658" w:type="pct"/>
            <w:gridSpan w:val="2"/>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14.33</w:t>
            </w:r>
          </w:p>
        </w:tc>
        <w:tc>
          <w:tcPr>
            <w:tcW w:w="59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0.72</w:t>
            </w:r>
          </w:p>
        </w:tc>
        <w:tc>
          <w:tcPr>
            <w:tcW w:w="60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0.74</w:t>
            </w:r>
          </w:p>
        </w:tc>
      </w:tr>
      <w:tr w:rsidR="00EC2129">
        <w:trPr>
          <w:trHeight w:val="275"/>
        </w:trPr>
        <w:tc>
          <w:tcPr>
            <w:tcW w:w="1287" w:type="pct"/>
            <w:tcBorders>
              <w:top w:val="single" w:sz="4" w:space="0" w:color="000000"/>
              <w:left w:val="single" w:sz="4" w:space="0" w:color="000000"/>
              <w:bottom w:val="single" w:sz="4" w:space="0" w:color="000000"/>
              <w:right w:val="single" w:sz="4" w:space="0" w:color="000000"/>
            </w:tcBorders>
            <w:vAlign w:val="bottom"/>
          </w:tcPr>
          <w:p w:rsidR="00EC2129" w:rsidRDefault="00545FF6">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vertAlign w:val="subscript"/>
              </w:rPr>
              <w:t>4</w:t>
            </w:r>
            <w:r>
              <w:rPr>
                <w:rFonts w:ascii="Times New Roman" w:eastAsia="Times New Roman" w:hAnsi="Times New Roman" w:cs="Times New Roman"/>
                <w:color w:val="000000"/>
                <w:sz w:val="20"/>
                <w:szCs w:val="20"/>
              </w:rPr>
              <w:t>- 125% RNPKS</w:t>
            </w:r>
          </w:p>
        </w:tc>
        <w:tc>
          <w:tcPr>
            <w:tcW w:w="608"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292.12</w:t>
            </w:r>
          </w:p>
        </w:tc>
        <w:tc>
          <w:tcPr>
            <w:tcW w:w="628" w:type="pct"/>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294.98</w:t>
            </w:r>
          </w:p>
        </w:tc>
        <w:tc>
          <w:tcPr>
            <w:tcW w:w="611"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14.32</w:t>
            </w:r>
          </w:p>
        </w:tc>
        <w:tc>
          <w:tcPr>
            <w:tcW w:w="658" w:type="pct"/>
            <w:gridSpan w:val="2"/>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14.82</w:t>
            </w:r>
          </w:p>
        </w:tc>
        <w:tc>
          <w:tcPr>
            <w:tcW w:w="59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0.74</w:t>
            </w:r>
          </w:p>
        </w:tc>
        <w:tc>
          <w:tcPr>
            <w:tcW w:w="60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0.75</w:t>
            </w:r>
          </w:p>
        </w:tc>
      </w:tr>
      <w:tr w:rsidR="00EC2129">
        <w:trPr>
          <w:trHeight w:val="311"/>
        </w:trPr>
        <w:tc>
          <w:tcPr>
            <w:tcW w:w="1287"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SEM± for MPT</w:t>
            </w:r>
          </w:p>
        </w:tc>
        <w:tc>
          <w:tcPr>
            <w:tcW w:w="608"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1.03</w:t>
            </w:r>
          </w:p>
        </w:tc>
        <w:tc>
          <w:tcPr>
            <w:tcW w:w="628" w:type="pct"/>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1.16</w:t>
            </w:r>
          </w:p>
        </w:tc>
        <w:tc>
          <w:tcPr>
            <w:tcW w:w="611"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0.23</w:t>
            </w:r>
          </w:p>
        </w:tc>
        <w:tc>
          <w:tcPr>
            <w:tcW w:w="658" w:type="pct"/>
            <w:gridSpan w:val="2"/>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0.26</w:t>
            </w:r>
          </w:p>
        </w:tc>
        <w:tc>
          <w:tcPr>
            <w:tcW w:w="59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0.01</w:t>
            </w:r>
          </w:p>
        </w:tc>
        <w:tc>
          <w:tcPr>
            <w:tcW w:w="60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0.02</w:t>
            </w:r>
          </w:p>
        </w:tc>
      </w:tr>
      <w:tr w:rsidR="00EC2129">
        <w:trPr>
          <w:trHeight w:val="257"/>
        </w:trPr>
        <w:tc>
          <w:tcPr>
            <w:tcW w:w="1287"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12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0"/>
                <w:szCs w:val="20"/>
              </w:rPr>
              <w:t>C.D.(</w:t>
            </w:r>
            <w:proofErr w:type="gramEnd"/>
            <w:r>
              <w:rPr>
                <w:rFonts w:ascii="Times New Roman" w:eastAsia="Times New Roman" w:hAnsi="Times New Roman" w:cs="Times New Roman"/>
                <w:color w:val="000000"/>
                <w:sz w:val="20"/>
                <w:szCs w:val="20"/>
              </w:rPr>
              <w:t>0.05)</w:t>
            </w:r>
          </w:p>
        </w:tc>
        <w:tc>
          <w:tcPr>
            <w:tcW w:w="608"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bCs/>
                <w:color w:val="000000"/>
              </w:rPr>
            </w:pPr>
            <w:r>
              <w:rPr>
                <w:rFonts w:ascii="Times New Roman" w:eastAsia="Calibri" w:hAnsi="Times New Roman" w:cs="Times New Roman"/>
                <w:bCs/>
                <w:color w:val="000000"/>
                <w:sz w:val="20"/>
                <w:szCs w:val="20"/>
              </w:rPr>
              <w:t>3.40</w:t>
            </w:r>
          </w:p>
        </w:tc>
        <w:tc>
          <w:tcPr>
            <w:tcW w:w="628" w:type="pct"/>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bCs/>
                <w:color w:val="000000"/>
              </w:rPr>
            </w:pPr>
            <w:r>
              <w:rPr>
                <w:rFonts w:ascii="Times New Roman" w:eastAsia="Calibri" w:hAnsi="Times New Roman" w:cs="Times New Roman"/>
                <w:bCs/>
                <w:color w:val="000000"/>
                <w:sz w:val="20"/>
                <w:szCs w:val="20"/>
              </w:rPr>
              <w:t>4.58</w:t>
            </w:r>
          </w:p>
        </w:tc>
        <w:tc>
          <w:tcPr>
            <w:tcW w:w="611"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bCs/>
                <w:color w:val="000000"/>
              </w:rPr>
            </w:pPr>
            <w:r>
              <w:rPr>
                <w:rFonts w:ascii="Times New Roman" w:eastAsia="Calibri" w:hAnsi="Times New Roman" w:cs="Times New Roman"/>
                <w:bCs/>
                <w:color w:val="000000"/>
                <w:sz w:val="20"/>
                <w:szCs w:val="20"/>
              </w:rPr>
              <w:t>0.81</w:t>
            </w:r>
          </w:p>
        </w:tc>
        <w:tc>
          <w:tcPr>
            <w:tcW w:w="658" w:type="pct"/>
            <w:gridSpan w:val="2"/>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bCs/>
                <w:color w:val="000000"/>
              </w:rPr>
            </w:pPr>
            <w:r>
              <w:rPr>
                <w:rFonts w:ascii="Times New Roman" w:eastAsia="Calibri" w:hAnsi="Times New Roman" w:cs="Times New Roman"/>
                <w:bCs/>
                <w:color w:val="000000"/>
                <w:sz w:val="20"/>
                <w:szCs w:val="20"/>
              </w:rPr>
              <w:t>0.91</w:t>
            </w:r>
          </w:p>
        </w:tc>
        <w:tc>
          <w:tcPr>
            <w:tcW w:w="59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bCs/>
                <w:color w:val="000000"/>
              </w:rPr>
            </w:pPr>
            <w:r>
              <w:rPr>
                <w:rFonts w:ascii="Times New Roman" w:eastAsia="Calibri" w:hAnsi="Times New Roman" w:cs="Times New Roman"/>
                <w:bCs/>
                <w:color w:val="000000"/>
                <w:sz w:val="20"/>
                <w:szCs w:val="20"/>
              </w:rPr>
              <w:t>0.03</w:t>
            </w:r>
          </w:p>
        </w:tc>
        <w:tc>
          <w:tcPr>
            <w:tcW w:w="60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bCs/>
                <w:color w:val="000000"/>
              </w:rPr>
            </w:pPr>
            <w:r>
              <w:rPr>
                <w:rFonts w:ascii="Times New Roman" w:eastAsia="Calibri" w:hAnsi="Times New Roman" w:cs="Times New Roman"/>
                <w:bCs/>
                <w:color w:val="000000"/>
                <w:sz w:val="20"/>
                <w:szCs w:val="20"/>
              </w:rPr>
              <w:t>0.04</w:t>
            </w:r>
          </w:p>
        </w:tc>
      </w:tr>
      <w:tr w:rsidR="00EC2129">
        <w:trPr>
          <w:trHeight w:val="329"/>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120" w:line="240" w:lineRule="auto"/>
              <w:rPr>
                <w:rFonts w:ascii="Times New Roman" w:eastAsia="Calibri" w:hAnsi="Times New Roman" w:cs="Times New Roman"/>
                <w:b/>
                <w:bCs/>
                <w:color w:val="000000"/>
              </w:rPr>
            </w:pPr>
            <w:r>
              <w:rPr>
                <w:rFonts w:ascii="Times New Roman" w:eastAsia="Calibri" w:hAnsi="Times New Roman" w:cs="Times New Roman"/>
                <w:b/>
                <w:bCs/>
                <w:color w:val="000000"/>
                <w:sz w:val="20"/>
                <w:szCs w:val="20"/>
              </w:rPr>
              <w:t>Sub plot treatments</w:t>
            </w:r>
          </w:p>
        </w:tc>
      </w:tr>
      <w:tr w:rsidR="00EC2129">
        <w:trPr>
          <w:trHeight w:val="347"/>
        </w:trPr>
        <w:tc>
          <w:tcPr>
            <w:tcW w:w="1287"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120" w:line="240" w:lineRule="auto"/>
              <w:rPr>
                <w:rFonts w:ascii="Times New Roman" w:eastAsia="Times New Roman" w:hAnsi="Times New Roman" w:cs="Times New Roman"/>
              </w:rPr>
            </w:pPr>
            <w:r>
              <w:rPr>
                <w:rFonts w:ascii="Times New Roman" w:eastAsia="Times New Roman" w:hAnsi="Times New Roman" w:cs="Times New Roman"/>
                <w:sz w:val="20"/>
                <w:szCs w:val="20"/>
              </w:rPr>
              <w:t>S</w:t>
            </w:r>
            <w:r>
              <w:rPr>
                <w:rFonts w:ascii="Times New Roman" w:eastAsia="Times New Roman" w:hAnsi="Times New Roman" w:cs="Times New Roman"/>
                <w:sz w:val="20"/>
                <w:szCs w:val="20"/>
                <w:vertAlign w:val="subscript"/>
              </w:rPr>
              <w:t>1</w:t>
            </w:r>
            <w:r>
              <w:rPr>
                <w:rFonts w:ascii="Times New Roman" w:eastAsia="Times New Roman" w:hAnsi="Times New Roman" w:cs="Times New Roman"/>
                <w:sz w:val="20"/>
                <w:szCs w:val="20"/>
              </w:rPr>
              <w:t>-</w:t>
            </w:r>
            <w:r>
              <w:rPr>
                <w:rFonts w:ascii="Times New Roman" w:eastAsia="Times New Roman" w:hAnsi="Times New Roman" w:cs="Times New Roman"/>
                <w:bCs/>
                <w:sz w:val="20"/>
                <w:szCs w:val="20"/>
              </w:rPr>
              <w:t xml:space="preserve">2.5 kg Zn + 0.5 kg B </w:t>
            </w:r>
          </w:p>
        </w:tc>
        <w:tc>
          <w:tcPr>
            <w:tcW w:w="608"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284.23</w:t>
            </w:r>
          </w:p>
        </w:tc>
        <w:tc>
          <w:tcPr>
            <w:tcW w:w="628" w:type="pct"/>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284.92</w:t>
            </w:r>
          </w:p>
        </w:tc>
        <w:tc>
          <w:tcPr>
            <w:tcW w:w="611"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10.04</w:t>
            </w:r>
          </w:p>
        </w:tc>
        <w:tc>
          <w:tcPr>
            <w:tcW w:w="658" w:type="pct"/>
            <w:gridSpan w:val="2"/>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10.53</w:t>
            </w:r>
          </w:p>
        </w:tc>
        <w:tc>
          <w:tcPr>
            <w:tcW w:w="59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0.69</w:t>
            </w:r>
          </w:p>
        </w:tc>
        <w:tc>
          <w:tcPr>
            <w:tcW w:w="60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0.70</w:t>
            </w:r>
          </w:p>
        </w:tc>
      </w:tr>
      <w:tr w:rsidR="00EC2129">
        <w:trPr>
          <w:trHeight w:val="257"/>
        </w:trPr>
        <w:tc>
          <w:tcPr>
            <w:tcW w:w="1287"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120" w:line="240" w:lineRule="auto"/>
              <w:rPr>
                <w:rFonts w:ascii="Calibri" w:eastAsia="Times New Roman" w:hAnsi="Calibri" w:cs="Times New Roman"/>
              </w:rPr>
            </w:pPr>
            <w:r>
              <w:rPr>
                <w:rFonts w:ascii="Times New Roman" w:eastAsia="Times New Roman" w:hAnsi="Times New Roman" w:cs="Times New Roman"/>
                <w:sz w:val="20"/>
                <w:szCs w:val="20"/>
              </w:rPr>
              <w:t>S</w:t>
            </w:r>
            <w:r>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w:t>
            </w:r>
            <w:r>
              <w:rPr>
                <w:rFonts w:ascii="Times New Roman" w:eastAsia="Times New Roman" w:hAnsi="Times New Roman" w:cs="Times New Roman"/>
                <w:bCs/>
                <w:sz w:val="20"/>
                <w:szCs w:val="20"/>
              </w:rPr>
              <w:t>5 kg Zn + 1 kg B</w:t>
            </w:r>
            <w:r>
              <w:rPr>
                <w:rFonts w:ascii="Calibri" w:eastAsia="Times New Roman" w:hAnsi="Calibri" w:cs="Times New Roman"/>
                <w:b/>
                <w:bCs/>
                <w:sz w:val="20"/>
                <w:szCs w:val="20"/>
              </w:rPr>
              <w:t xml:space="preserve"> </w:t>
            </w:r>
          </w:p>
        </w:tc>
        <w:tc>
          <w:tcPr>
            <w:tcW w:w="608"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285.63</w:t>
            </w:r>
          </w:p>
        </w:tc>
        <w:tc>
          <w:tcPr>
            <w:tcW w:w="628" w:type="pct"/>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286.29</w:t>
            </w:r>
          </w:p>
        </w:tc>
        <w:tc>
          <w:tcPr>
            <w:tcW w:w="611"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11.03</w:t>
            </w:r>
          </w:p>
        </w:tc>
        <w:tc>
          <w:tcPr>
            <w:tcW w:w="658" w:type="pct"/>
            <w:gridSpan w:val="2"/>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11.63</w:t>
            </w:r>
          </w:p>
        </w:tc>
        <w:tc>
          <w:tcPr>
            <w:tcW w:w="59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0.70</w:t>
            </w:r>
          </w:p>
        </w:tc>
        <w:tc>
          <w:tcPr>
            <w:tcW w:w="60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0.71</w:t>
            </w:r>
          </w:p>
        </w:tc>
      </w:tr>
      <w:tr w:rsidR="00EC2129">
        <w:trPr>
          <w:trHeight w:val="329"/>
        </w:trPr>
        <w:tc>
          <w:tcPr>
            <w:tcW w:w="1287"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120" w:line="240" w:lineRule="auto"/>
              <w:rPr>
                <w:rFonts w:ascii="Times New Roman" w:eastAsia="Times New Roman" w:hAnsi="Times New Roman" w:cs="Times New Roman"/>
              </w:rPr>
            </w:pPr>
            <w:r>
              <w:rPr>
                <w:rFonts w:ascii="Times New Roman" w:eastAsia="Times New Roman" w:hAnsi="Times New Roman" w:cs="Times New Roman"/>
                <w:sz w:val="20"/>
                <w:szCs w:val="20"/>
              </w:rPr>
              <w:t>S</w:t>
            </w:r>
            <w:r>
              <w:rPr>
                <w:rFonts w:ascii="Times New Roman" w:eastAsia="Times New Roman" w:hAnsi="Times New Roman" w:cs="Times New Roman"/>
                <w:sz w:val="20"/>
                <w:szCs w:val="20"/>
                <w:vertAlign w:val="subscript"/>
              </w:rPr>
              <w:t>3</w:t>
            </w:r>
            <w:r>
              <w:rPr>
                <w:rFonts w:ascii="Times New Roman" w:eastAsia="Times New Roman" w:hAnsi="Times New Roman" w:cs="Times New Roman"/>
                <w:sz w:val="20"/>
                <w:szCs w:val="20"/>
              </w:rPr>
              <w:t>-</w:t>
            </w:r>
            <w:r>
              <w:rPr>
                <w:rFonts w:ascii="Calibri" w:eastAsia="Times New Roman" w:hAnsi="Calibri" w:cs="Times New Roman"/>
                <w:b/>
                <w:bCs/>
                <w:sz w:val="20"/>
                <w:szCs w:val="20"/>
              </w:rPr>
              <w:t xml:space="preserve"> </w:t>
            </w:r>
            <w:r>
              <w:rPr>
                <w:rFonts w:ascii="Times New Roman" w:eastAsia="Times New Roman" w:hAnsi="Times New Roman" w:cs="Times New Roman"/>
                <w:bCs/>
                <w:sz w:val="20"/>
                <w:szCs w:val="20"/>
              </w:rPr>
              <w:t xml:space="preserve">2.5 kg Zn + 0.5 kg B + 500 kg enriched vermicompost </w:t>
            </w:r>
          </w:p>
        </w:tc>
        <w:tc>
          <w:tcPr>
            <w:tcW w:w="608"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291.57</w:t>
            </w:r>
          </w:p>
        </w:tc>
        <w:tc>
          <w:tcPr>
            <w:tcW w:w="628" w:type="pct"/>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292.43</w:t>
            </w:r>
          </w:p>
        </w:tc>
        <w:tc>
          <w:tcPr>
            <w:tcW w:w="611"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13.97</w:t>
            </w:r>
          </w:p>
        </w:tc>
        <w:tc>
          <w:tcPr>
            <w:tcW w:w="658" w:type="pct"/>
            <w:gridSpan w:val="2"/>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14.27</w:t>
            </w:r>
          </w:p>
        </w:tc>
        <w:tc>
          <w:tcPr>
            <w:tcW w:w="59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0.74</w:t>
            </w:r>
          </w:p>
        </w:tc>
        <w:tc>
          <w:tcPr>
            <w:tcW w:w="60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0.76</w:t>
            </w:r>
          </w:p>
        </w:tc>
      </w:tr>
      <w:tr w:rsidR="00EC2129">
        <w:trPr>
          <w:trHeight w:val="266"/>
        </w:trPr>
        <w:tc>
          <w:tcPr>
            <w:tcW w:w="1287"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120" w:line="240" w:lineRule="auto"/>
              <w:rPr>
                <w:rFonts w:ascii="Times New Roman" w:eastAsia="Times New Roman" w:hAnsi="Times New Roman" w:cs="Times New Roman"/>
              </w:rPr>
            </w:pPr>
            <w:r>
              <w:rPr>
                <w:rFonts w:ascii="Times New Roman" w:eastAsia="Times New Roman" w:hAnsi="Times New Roman" w:cs="Times New Roman"/>
                <w:sz w:val="20"/>
                <w:szCs w:val="20"/>
              </w:rPr>
              <w:t>S</w:t>
            </w:r>
            <w:r>
              <w:rPr>
                <w:rFonts w:ascii="Times New Roman" w:eastAsia="Times New Roman" w:hAnsi="Times New Roman" w:cs="Times New Roman"/>
                <w:sz w:val="20"/>
                <w:szCs w:val="20"/>
                <w:vertAlign w:val="subscript"/>
              </w:rPr>
              <w:t>4</w:t>
            </w:r>
            <w:r>
              <w:rPr>
                <w:rFonts w:ascii="Times New Roman" w:eastAsia="Times New Roman" w:hAnsi="Times New Roman" w:cs="Times New Roman"/>
                <w:sz w:val="20"/>
                <w:szCs w:val="20"/>
              </w:rPr>
              <w:t>-</w:t>
            </w:r>
            <w:r>
              <w:rPr>
                <w:rFonts w:ascii="Calibri" w:eastAsia="Times New Roman" w:hAnsi="Calibri" w:cs="Times New Roman"/>
                <w:b/>
                <w:bCs/>
                <w:sz w:val="20"/>
                <w:szCs w:val="20"/>
              </w:rPr>
              <w:t xml:space="preserve"> </w:t>
            </w:r>
            <w:r>
              <w:rPr>
                <w:rFonts w:ascii="Times New Roman" w:eastAsia="Times New Roman" w:hAnsi="Times New Roman" w:cs="Times New Roman"/>
                <w:bCs/>
                <w:sz w:val="20"/>
                <w:szCs w:val="20"/>
              </w:rPr>
              <w:t xml:space="preserve">5 kg Zn + 1 kg B + 250 kg enriched vermicompost </w:t>
            </w:r>
          </w:p>
        </w:tc>
        <w:tc>
          <w:tcPr>
            <w:tcW w:w="608"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290.83</w:t>
            </w:r>
          </w:p>
        </w:tc>
        <w:tc>
          <w:tcPr>
            <w:tcW w:w="628" w:type="pct"/>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291.69</w:t>
            </w:r>
          </w:p>
        </w:tc>
        <w:tc>
          <w:tcPr>
            <w:tcW w:w="611"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13.53</w:t>
            </w:r>
          </w:p>
        </w:tc>
        <w:tc>
          <w:tcPr>
            <w:tcW w:w="658" w:type="pct"/>
            <w:gridSpan w:val="2"/>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13.93</w:t>
            </w:r>
          </w:p>
        </w:tc>
        <w:tc>
          <w:tcPr>
            <w:tcW w:w="59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0.73</w:t>
            </w:r>
          </w:p>
        </w:tc>
        <w:tc>
          <w:tcPr>
            <w:tcW w:w="60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0.75</w:t>
            </w:r>
          </w:p>
        </w:tc>
      </w:tr>
      <w:tr w:rsidR="00EC2129">
        <w:trPr>
          <w:trHeight w:val="338"/>
        </w:trPr>
        <w:tc>
          <w:tcPr>
            <w:tcW w:w="1287"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SEM± for SPT</w:t>
            </w:r>
          </w:p>
        </w:tc>
        <w:tc>
          <w:tcPr>
            <w:tcW w:w="608"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2.14</w:t>
            </w:r>
          </w:p>
        </w:tc>
        <w:tc>
          <w:tcPr>
            <w:tcW w:w="628" w:type="pct"/>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2.19</w:t>
            </w:r>
          </w:p>
        </w:tc>
        <w:tc>
          <w:tcPr>
            <w:tcW w:w="611"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0.32</w:t>
            </w:r>
          </w:p>
        </w:tc>
        <w:tc>
          <w:tcPr>
            <w:tcW w:w="658" w:type="pct"/>
            <w:gridSpan w:val="2"/>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0.33</w:t>
            </w:r>
          </w:p>
        </w:tc>
        <w:tc>
          <w:tcPr>
            <w:tcW w:w="59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0.01</w:t>
            </w:r>
          </w:p>
        </w:tc>
        <w:tc>
          <w:tcPr>
            <w:tcW w:w="60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0.01</w:t>
            </w:r>
          </w:p>
        </w:tc>
      </w:tr>
      <w:tr w:rsidR="00EC2129">
        <w:trPr>
          <w:trHeight w:val="347"/>
        </w:trPr>
        <w:tc>
          <w:tcPr>
            <w:tcW w:w="1287"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12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0"/>
                <w:szCs w:val="20"/>
              </w:rPr>
              <w:t>C.D.(</w:t>
            </w:r>
            <w:proofErr w:type="gramEnd"/>
            <w:r>
              <w:rPr>
                <w:rFonts w:ascii="Times New Roman" w:eastAsia="Times New Roman" w:hAnsi="Times New Roman" w:cs="Times New Roman"/>
                <w:color w:val="000000"/>
                <w:sz w:val="20"/>
                <w:szCs w:val="20"/>
              </w:rPr>
              <w:t>0.05)</w:t>
            </w:r>
          </w:p>
        </w:tc>
        <w:tc>
          <w:tcPr>
            <w:tcW w:w="608"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4.50</w:t>
            </w:r>
          </w:p>
        </w:tc>
        <w:tc>
          <w:tcPr>
            <w:tcW w:w="628" w:type="pct"/>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5.09</w:t>
            </w:r>
          </w:p>
        </w:tc>
        <w:tc>
          <w:tcPr>
            <w:tcW w:w="611"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0.93</w:t>
            </w:r>
          </w:p>
        </w:tc>
        <w:tc>
          <w:tcPr>
            <w:tcW w:w="658" w:type="pct"/>
            <w:gridSpan w:val="2"/>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0.96</w:t>
            </w:r>
          </w:p>
        </w:tc>
        <w:tc>
          <w:tcPr>
            <w:tcW w:w="59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0.02</w:t>
            </w:r>
          </w:p>
        </w:tc>
        <w:tc>
          <w:tcPr>
            <w:tcW w:w="60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0.03</w:t>
            </w:r>
          </w:p>
        </w:tc>
      </w:tr>
      <w:tr w:rsidR="00EC2129">
        <w:trPr>
          <w:trHeight w:val="257"/>
        </w:trPr>
        <w:tc>
          <w:tcPr>
            <w:tcW w:w="1287" w:type="pct"/>
            <w:tcBorders>
              <w:top w:val="single" w:sz="4" w:space="0" w:color="000000"/>
              <w:left w:val="single" w:sz="4" w:space="0" w:color="000000"/>
              <w:bottom w:val="single" w:sz="4" w:space="0" w:color="000000"/>
              <w:right w:val="single" w:sz="4" w:space="0" w:color="000000"/>
            </w:tcBorders>
            <w:vAlign w:val="center"/>
          </w:tcPr>
          <w:p w:rsidR="00EC2129" w:rsidRDefault="00545FF6">
            <w:pPr>
              <w:spacing w:after="12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0"/>
                <w:szCs w:val="20"/>
              </w:rPr>
              <w:t>Interaction(</w:t>
            </w:r>
            <w:proofErr w:type="gramEnd"/>
            <w:r>
              <w:rPr>
                <w:rFonts w:ascii="Times New Roman" w:eastAsia="Times New Roman" w:hAnsi="Times New Roman" w:cs="Times New Roman"/>
                <w:color w:val="000000"/>
                <w:sz w:val="20"/>
                <w:szCs w:val="20"/>
              </w:rPr>
              <w:t>MXS)</w:t>
            </w:r>
          </w:p>
        </w:tc>
        <w:tc>
          <w:tcPr>
            <w:tcW w:w="608"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NS</w:t>
            </w:r>
          </w:p>
        </w:tc>
        <w:tc>
          <w:tcPr>
            <w:tcW w:w="628" w:type="pct"/>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NS</w:t>
            </w:r>
          </w:p>
        </w:tc>
        <w:tc>
          <w:tcPr>
            <w:tcW w:w="611" w:type="pct"/>
            <w:tcBorders>
              <w:top w:val="single" w:sz="4" w:space="0" w:color="000000"/>
              <w:left w:val="single" w:sz="4" w:space="0" w:color="000000"/>
              <w:bottom w:val="single" w:sz="4" w:space="0" w:color="000000"/>
              <w:right w:val="single" w:sz="4" w:space="0" w:color="auto"/>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NS</w:t>
            </w:r>
          </w:p>
        </w:tc>
        <w:tc>
          <w:tcPr>
            <w:tcW w:w="658" w:type="pct"/>
            <w:gridSpan w:val="2"/>
            <w:tcBorders>
              <w:top w:val="single" w:sz="4" w:space="0" w:color="000000"/>
              <w:left w:val="nil"/>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NS</w:t>
            </w:r>
          </w:p>
        </w:tc>
        <w:tc>
          <w:tcPr>
            <w:tcW w:w="59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NS</w:t>
            </w:r>
          </w:p>
        </w:tc>
        <w:tc>
          <w:tcPr>
            <w:tcW w:w="609" w:type="pct"/>
            <w:tcBorders>
              <w:top w:val="single" w:sz="4" w:space="0" w:color="000000"/>
              <w:left w:val="single" w:sz="4" w:space="0" w:color="auto"/>
              <w:bottom w:val="single" w:sz="4" w:space="0" w:color="000000"/>
              <w:right w:val="single" w:sz="4" w:space="0" w:color="000000"/>
            </w:tcBorders>
            <w:vAlign w:val="center"/>
          </w:tcPr>
          <w:p w:rsidR="00EC2129" w:rsidRDefault="00545FF6">
            <w:pPr>
              <w:spacing w:after="120" w:line="240" w:lineRule="auto"/>
              <w:jc w:val="center"/>
              <w:rPr>
                <w:rFonts w:ascii="Times New Roman" w:eastAsia="Calibri" w:hAnsi="Times New Roman" w:cs="Times New Roman"/>
                <w:color w:val="000000"/>
              </w:rPr>
            </w:pPr>
            <w:r>
              <w:rPr>
                <w:rFonts w:ascii="Times New Roman" w:eastAsia="Calibri" w:hAnsi="Times New Roman" w:cs="Times New Roman"/>
                <w:color w:val="000000"/>
                <w:sz w:val="20"/>
                <w:szCs w:val="20"/>
              </w:rPr>
              <w:t>NS</w:t>
            </w:r>
          </w:p>
        </w:tc>
      </w:tr>
    </w:tbl>
    <w:p w:rsidR="00EC2129" w:rsidRDefault="00545FF6">
      <w:pPr>
        <w:tabs>
          <w:tab w:val="left" w:pos="2160"/>
        </w:tabs>
        <w:spacing w:after="160" w:line="360" w:lineRule="auto"/>
        <w:rPr>
          <w:rFonts w:ascii="Times New Roman" w:eastAsia="Calibri" w:hAnsi="Times New Roman" w:cs="Times New Roman"/>
          <w:b/>
          <w:kern w:val="2"/>
          <w:sz w:val="24"/>
          <w:szCs w:val="24"/>
        </w:rPr>
      </w:pPr>
      <w:r>
        <w:rPr>
          <w:rFonts w:eastAsia="Calibri"/>
          <w:b/>
          <w:kern w:val="2"/>
          <w:sz w:val="24"/>
          <w:szCs w:val="24"/>
        </w:rPr>
        <w:t xml:space="preserve"> </w:t>
      </w:r>
    </w:p>
    <w:p w:rsidR="00EC2129" w:rsidRDefault="00545FF6">
      <w:pPr>
        <w:tabs>
          <w:tab w:val="left" w:pos="2160"/>
        </w:tabs>
        <w:spacing w:after="160" w:line="36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CONCLUSION</w:t>
      </w:r>
    </w:p>
    <w:p w:rsidR="00EC2129" w:rsidRDefault="00545FF6">
      <w:pPr>
        <w:spacing w:before="100" w:beforeAutospacing="1" w:after="100" w:afterAutospacing="1" w:line="360" w:lineRule="auto"/>
        <w:jc w:val="both"/>
        <w:rPr>
          <w:rFonts w:ascii="Times New Roman" w:eastAsia="SimSun" w:hAnsi="Times New Roman" w:cs="Times New Roman"/>
          <w:sz w:val="24"/>
          <w:szCs w:val="24"/>
          <w:highlight w:val="yellow"/>
        </w:rPr>
      </w:pPr>
      <w:r>
        <w:rPr>
          <w:rFonts w:ascii="Times New Roman" w:eastAsia="SimSun" w:hAnsi="Times New Roman" w:cs="Times New Roman"/>
          <w:sz w:val="24"/>
          <w:szCs w:val="24"/>
          <w:highlight w:val="yellow"/>
        </w:rPr>
        <w:lastRenderedPageBreak/>
        <w:t>It can be concluded that the treatment combination of either 125% or 100% of the recommended NPKS along with 2.5 kg Zn, 0.5 kg B, and</w:t>
      </w:r>
      <w:r>
        <w:rPr>
          <w:rFonts w:ascii="Times New Roman" w:eastAsia="SimSun" w:hAnsi="Times New Roman" w:cs="Times New Roman"/>
          <w:sz w:val="24"/>
          <w:szCs w:val="24"/>
          <w:highlight w:val="yellow"/>
        </w:rPr>
        <w:t xml:space="preserve"> 500 kg of enriched vermicompost resulted in the most favorable improvements in soil properties, particularly in terms of available nitrogen, phosphorus, potassium, </w:t>
      </w:r>
      <w:proofErr w:type="spellStart"/>
      <w:r>
        <w:rPr>
          <w:rFonts w:ascii="Times New Roman" w:eastAsia="SimSun" w:hAnsi="Times New Roman" w:cs="Times New Roman"/>
          <w:sz w:val="24"/>
          <w:szCs w:val="24"/>
          <w:highlight w:val="yellow"/>
        </w:rPr>
        <w:t>sulphur</w:t>
      </w:r>
      <w:proofErr w:type="spellEnd"/>
      <w:r>
        <w:rPr>
          <w:rFonts w:ascii="Times New Roman" w:eastAsia="SimSun" w:hAnsi="Times New Roman" w:cs="Times New Roman"/>
          <w:sz w:val="24"/>
          <w:szCs w:val="24"/>
          <w:highlight w:val="yellow"/>
        </w:rPr>
        <w:t>, and zinc under Indian mustard cultivation.</w:t>
      </w:r>
    </w:p>
    <w:p w:rsidR="00EC2129" w:rsidRDefault="00545FF6">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DISCLAIMER </w:t>
      </w:r>
    </w:p>
    <w:p w:rsidR="00EC2129" w:rsidRDefault="00545FF6">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(ARTIFICIAL INTELLIGENCE)</w:t>
      </w:r>
    </w:p>
    <w:p w:rsidR="00EC2129" w:rsidRDefault="00545FF6">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 Author(s) hereby declare that NO generative AI technologies such as Large Language Models (</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 xml:space="preserve">, COPILOT,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and text-to-image generators have been used during writing or editing of this manuscript. </w:t>
      </w:r>
    </w:p>
    <w:p w:rsidR="00EC2129" w:rsidRDefault="00545FF6">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EC2129" w:rsidRDefault="00545FF6">
      <w:pPr>
        <w:spacing w:line="360" w:lineRule="auto"/>
        <w:jc w:val="both"/>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Anonymous, 2019. </w:t>
      </w:r>
      <w:r>
        <w:rPr>
          <w:rFonts w:ascii="Times New Roman" w:eastAsia="Calibri" w:hAnsi="Times New Roman" w:cs="Times New Roman"/>
          <w:kern w:val="2"/>
          <w:sz w:val="24"/>
          <w:szCs w:val="24"/>
        </w:rPr>
        <w:t xml:space="preserve">Rajasthan Agriculture Statistics at a Glance, Statistical Cell, Commissionerate of Agriculture, Government of Rajasthan, Jaipur. Available from: </w:t>
      </w:r>
      <w:hyperlink r:id="rId8" w:history="1">
        <w:r>
          <w:rPr>
            <w:rStyle w:val="Hyperlink"/>
            <w:rFonts w:ascii="Times New Roman" w:eastAsia="Calibri" w:hAnsi="Times New Roman" w:cs="Times New Roman"/>
            <w:b/>
            <w:bCs/>
            <w:kern w:val="2"/>
            <w:sz w:val="24"/>
            <w:szCs w:val="24"/>
          </w:rPr>
          <w:t>www.agriculture.rajasthan.gov.in/content/agriculture/en/Agriculture-Department dep/agriculture-statistics</w:t>
        </w:r>
      </w:hyperlink>
    </w:p>
    <w:p w:rsidR="00EC2129" w:rsidRDefault="00545FF6">
      <w:pPr>
        <w:spacing w:after="16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Azami</w:t>
      </w:r>
      <w:proofErr w:type="spellEnd"/>
      <w:r>
        <w:rPr>
          <w:rFonts w:ascii="Times New Roman" w:hAnsi="Times New Roman" w:cs="Times New Roman"/>
          <w:b/>
          <w:sz w:val="24"/>
          <w:szCs w:val="24"/>
        </w:rPr>
        <w:t>, R., Mousa, T.G. and Rahim, D.T. 2008.</w:t>
      </w:r>
      <w:r>
        <w:rPr>
          <w:rFonts w:ascii="Times New Roman" w:hAnsi="Times New Roman" w:cs="Times New Roman"/>
          <w:sz w:val="24"/>
          <w:szCs w:val="24"/>
        </w:rPr>
        <w:t xml:space="preserve"> Influence of vermicompost on soil chemical and physical properties in tomato field. </w:t>
      </w:r>
      <w:r>
        <w:rPr>
          <w:rFonts w:ascii="Times New Roman" w:hAnsi="Times New Roman" w:cs="Times New Roman"/>
          <w:i/>
          <w:sz w:val="24"/>
          <w:szCs w:val="24"/>
        </w:rPr>
        <w:t>A</w:t>
      </w:r>
      <w:r>
        <w:rPr>
          <w:rFonts w:ascii="Times New Roman" w:hAnsi="Times New Roman" w:cs="Times New Roman"/>
          <w:i/>
          <w:sz w:val="24"/>
          <w:szCs w:val="24"/>
        </w:rPr>
        <w:t>frican Journal of Biotechnology.</w:t>
      </w:r>
      <w:r>
        <w:rPr>
          <w:rFonts w:ascii="Times New Roman" w:hAnsi="Times New Roman" w:cs="Times New Roman"/>
          <w:sz w:val="24"/>
          <w:szCs w:val="24"/>
        </w:rPr>
        <w:t xml:space="preserve"> 7(14):2397-2401.</w:t>
      </w:r>
    </w:p>
    <w:p w:rsidR="00EC2129" w:rsidRDefault="00545FF6">
      <w:pPr>
        <w:spacing w:after="160" w:line="360" w:lineRule="auto"/>
        <w:jc w:val="both"/>
        <w:rPr>
          <w:rFonts w:ascii="Times New Roman" w:hAnsi="Times New Roman" w:cs="Times New Roman"/>
          <w:sz w:val="24"/>
          <w:szCs w:val="24"/>
        </w:rPr>
      </w:pPr>
      <w:r>
        <w:rPr>
          <w:rFonts w:ascii="Times New Roman" w:hAnsi="Times New Roman" w:cs="Times New Roman"/>
          <w:b/>
          <w:sz w:val="24"/>
          <w:szCs w:val="24"/>
        </w:rPr>
        <w:t xml:space="preserve">DA &amp; FW, 2022. </w:t>
      </w:r>
      <w:r>
        <w:rPr>
          <w:rFonts w:ascii="Times New Roman" w:hAnsi="Times New Roman" w:cs="Times New Roman"/>
          <w:sz w:val="24"/>
          <w:szCs w:val="24"/>
        </w:rPr>
        <w:t>Ministry of Agriculture and Farmer Welfare, Government of India. Available form:</w:t>
      </w:r>
      <w:r>
        <w:rPr>
          <w:rFonts w:ascii="Times New Roman" w:hAnsi="Times New Roman" w:cs="Times New Roman"/>
          <w:kern w:val="2"/>
          <w:sz w:val="24"/>
          <w:szCs w:val="24"/>
        </w:rPr>
        <w:t xml:space="preserve"> </w:t>
      </w:r>
      <w:hyperlink r:id="rId9" w:history="1">
        <w:r>
          <w:rPr>
            <w:rStyle w:val="Hyperlink"/>
            <w:rFonts w:ascii="Times New Roman" w:hAnsi="Times New Roman" w:cs="Times New Roman"/>
            <w:color w:val="0563C1"/>
            <w:sz w:val="24"/>
            <w:szCs w:val="24"/>
          </w:rPr>
          <w:t>https://agriwelfare.gov.in/en/Oilseed</w:t>
        </w:r>
      </w:hyperlink>
      <w:r>
        <w:rPr>
          <w:rFonts w:ascii="Times New Roman" w:hAnsi="Times New Roman" w:cs="Times New Roman"/>
          <w:sz w:val="24"/>
          <w:szCs w:val="24"/>
        </w:rPr>
        <w:t>.</w:t>
      </w:r>
    </w:p>
    <w:p w:rsidR="00EC2129" w:rsidRDefault="00545FF6">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 xml:space="preserve">Haque, M.E., </w:t>
      </w:r>
      <w:r>
        <w:rPr>
          <w:rFonts w:ascii="Times New Roman" w:eastAsia="Calibri" w:hAnsi="Times New Roman" w:cs="Times New Roman"/>
          <w:b/>
          <w:kern w:val="2"/>
          <w:sz w:val="24"/>
          <w:szCs w:val="24"/>
        </w:rPr>
        <w:t xml:space="preserve">Paul, A.K. and </w:t>
      </w:r>
      <w:proofErr w:type="spellStart"/>
      <w:r>
        <w:rPr>
          <w:rFonts w:ascii="Times New Roman" w:eastAsia="Calibri" w:hAnsi="Times New Roman" w:cs="Times New Roman"/>
          <w:b/>
          <w:kern w:val="2"/>
          <w:sz w:val="24"/>
          <w:szCs w:val="24"/>
        </w:rPr>
        <w:t>Sarker</w:t>
      </w:r>
      <w:proofErr w:type="spellEnd"/>
      <w:r>
        <w:rPr>
          <w:rFonts w:ascii="Times New Roman" w:eastAsia="Calibri" w:hAnsi="Times New Roman" w:cs="Times New Roman"/>
          <w:b/>
          <w:kern w:val="2"/>
          <w:sz w:val="24"/>
          <w:szCs w:val="24"/>
        </w:rPr>
        <w:t>, J.R. 2011.</w:t>
      </w:r>
      <w:r>
        <w:rPr>
          <w:rFonts w:ascii="Times New Roman" w:eastAsia="Calibri" w:hAnsi="Times New Roman" w:cs="Times New Roman"/>
          <w:kern w:val="2"/>
          <w:sz w:val="24"/>
          <w:szCs w:val="24"/>
        </w:rPr>
        <w:t xml:space="preserve"> Effect of nitrogen and boron on the growth and yield of tomato (</w:t>
      </w:r>
      <w:proofErr w:type="spellStart"/>
      <w:r>
        <w:rPr>
          <w:rFonts w:ascii="Times New Roman" w:eastAsia="Calibri" w:hAnsi="Times New Roman" w:cs="Times New Roman"/>
          <w:i/>
          <w:kern w:val="2"/>
          <w:sz w:val="24"/>
          <w:szCs w:val="24"/>
        </w:rPr>
        <w:t>Lycopersicon</w:t>
      </w:r>
      <w:proofErr w:type="spellEnd"/>
      <w:r>
        <w:rPr>
          <w:rFonts w:ascii="Times New Roman" w:eastAsia="Calibri" w:hAnsi="Times New Roman" w:cs="Times New Roman"/>
          <w:i/>
          <w:kern w:val="2"/>
          <w:sz w:val="24"/>
          <w:szCs w:val="24"/>
        </w:rPr>
        <w:t xml:space="preserve"> </w:t>
      </w:r>
      <w:proofErr w:type="spellStart"/>
      <w:r>
        <w:rPr>
          <w:rFonts w:ascii="Times New Roman" w:eastAsia="Calibri" w:hAnsi="Times New Roman" w:cs="Times New Roman"/>
          <w:i/>
          <w:kern w:val="2"/>
          <w:sz w:val="24"/>
          <w:szCs w:val="24"/>
        </w:rPr>
        <w:t>esculentum</w:t>
      </w:r>
      <w:proofErr w:type="spellEnd"/>
      <w:r>
        <w:rPr>
          <w:rFonts w:ascii="Times New Roman" w:eastAsia="Calibri" w:hAnsi="Times New Roman" w:cs="Times New Roman"/>
          <w:kern w:val="2"/>
          <w:sz w:val="24"/>
          <w:szCs w:val="24"/>
        </w:rPr>
        <w:t xml:space="preserve"> M.). </w:t>
      </w:r>
      <w:r>
        <w:rPr>
          <w:rFonts w:ascii="Times New Roman" w:eastAsia="Calibri" w:hAnsi="Times New Roman" w:cs="Times New Roman"/>
          <w:i/>
          <w:kern w:val="2"/>
          <w:sz w:val="24"/>
          <w:szCs w:val="24"/>
        </w:rPr>
        <w:t>International Journal of Bio-resource and Stress Management</w:t>
      </w:r>
      <w:r>
        <w:rPr>
          <w:rFonts w:ascii="Times New Roman" w:eastAsia="Calibri" w:hAnsi="Times New Roman" w:cs="Times New Roman"/>
          <w:kern w:val="2"/>
          <w:sz w:val="24"/>
          <w:szCs w:val="24"/>
        </w:rPr>
        <w:t>. 2(3): 277-282.</w:t>
      </w:r>
    </w:p>
    <w:p w:rsidR="00EC2129" w:rsidRDefault="00545FF6">
      <w:pPr>
        <w:spacing w:after="160" w:line="360" w:lineRule="auto"/>
        <w:jc w:val="both"/>
        <w:rPr>
          <w:rFonts w:ascii="Times New Roman" w:eastAsia="Calibri" w:hAnsi="Times New Roman" w:cs="Times New Roman"/>
          <w:i/>
          <w:kern w:val="2"/>
          <w:sz w:val="24"/>
          <w:szCs w:val="24"/>
        </w:rPr>
      </w:pPr>
      <w:r>
        <w:rPr>
          <w:rFonts w:ascii="Times New Roman" w:eastAsia="Calibri" w:hAnsi="Times New Roman" w:cs="Times New Roman"/>
          <w:b/>
          <w:kern w:val="2"/>
          <w:sz w:val="24"/>
          <w:szCs w:val="24"/>
        </w:rPr>
        <w:t xml:space="preserve">Kumar, A. 1992. </w:t>
      </w:r>
      <w:r>
        <w:rPr>
          <w:rFonts w:ascii="Times New Roman" w:eastAsia="Calibri" w:hAnsi="Times New Roman" w:cs="Times New Roman"/>
          <w:kern w:val="2"/>
          <w:sz w:val="24"/>
          <w:szCs w:val="24"/>
        </w:rPr>
        <w:t>Production technology of yield enhanc</w:t>
      </w:r>
      <w:r>
        <w:rPr>
          <w:rFonts w:ascii="Times New Roman" w:eastAsia="Calibri" w:hAnsi="Times New Roman" w:cs="Times New Roman"/>
          <w:kern w:val="2"/>
          <w:sz w:val="24"/>
          <w:szCs w:val="24"/>
        </w:rPr>
        <w:t xml:space="preserve">ement of Indian mustard under irrigated conditions. </w:t>
      </w:r>
      <w:r>
        <w:rPr>
          <w:rFonts w:ascii="Times New Roman" w:eastAsia="Calibri" w:hAnsi="Times New Roman" w:cs="Times New Roman"/>
          <w:i/>
          <w:kern w:val="2"/>
          <w:sz w:val="24"/>
          <w:szCs w:val="24"/>
        </w:rPr>
        <w:t>In</w:t>
      </w:r>
      <w:r>
        <w:rPr>
          <w:rFonts w:ascii="Times New Roman" w:eastAsia="Calibri" w:hAnsi="Times New Roman" w:cs="Times New Roman"/>
          <w:kern w:val="2"/>
          <w:sz w:val="24"/>
          <w:szCs w:val="24"/>
        </w:rPr>
        <w:t xml:space="preserve">: </w:t>
      </w:r>
      <w:r>
        <w:rPr>
          <w:rFonts w:ascii="Times New Roman" w:eastAsia="Calibri" w:hAnsi="Times New Roman" w:cs="Times New Roman"/>
          <w:i/>
          <w:kern w:val="2"/>
          <w:sz w:val="24"/>
          <w:szCs w:val="24"/>
        </w:rPr>
        <w:t>Advances in Oilseed Research, Jodhpur.</w:t>
      </w:r>
    </w:p>
    <w:p w:rsidR="00EC2129" w:rsidRDefault="00545FF6">
      <w:pPr>
        <w:spacing w:after="160" w:line="360" w:lineRule="auto"/>
        <w:jc w:val="both"/>
        <w:rPr>
          <w:rFonts w:ascii="Times New Roman" w:eastAsia="Calibri" w:hAnsi="Times New Roman" w:cs="Times New Roman"/>
          <w:kern w:val="2"/>
          <w:sz w:val="24"/>
          <w:szCs w:val="24"/>
        </w:rPr>
      </w:pPr>
      <w:proofErr w:type="spellStart"/>
      <w:r>
        <w:rPr>
          <w:rFonts w:ascii="Times New Roman" w:eastAsia="Calibri" w:hAnsi="Times New Roman" w:cs="Times New Roman"/>
          <w:b/>
          <w:kern w:val="2"/>
          <w:sz w:val="24"/>
          <w:szCs w:val="24"/>
        </w:rPr>
        <w:t>Mordvedt</w:t>
      </w:r>
      <w:proofErr w:type="spellEnd"/>
      <w:r>
        <w:rPr>
          <w:rFonts w:ascii="Times New Roman" w:eastAsia="Calibri" w:hAnsi="Times New Roman" w:cs="Times New Roman"/>
          <w:b/>
          <w:kern w:val="2"/>
          <w:sz w:val="24"/>
          <w:szCs w:val="24"/>
        </w:rPr>
        <w:t>, J.J. 1991.</w:t>
      </w:r>
      <w:r>
        <w:rPr>
          <w:rFonts w:ascii="Times New Roman" w:eastAsia="Calibri" w:hAnsi="Times New Roman" w:cs="Times New Roman"/>
          <w:kern w:val="2"/>
          <w:sz w:val="24"/>
          <w:szCs w:val="24"/>
        </w:rPr>
        <w:t xml:space="preserve"> Research techniques with micronutrient fertilizers for use in efficient crop production, on role of S, Mg and micronutrients in balanced pla</w:t>
      </w:r>
      <w:r>
        <w:rPr>
          <w:rFonts w:ascii="Times New Roman" w:eastAsia="Calibri" w:hAnsi="Times New Roman" w:cs="Times New Roman"/>
          <w:kern w:val="2"/>
          <w:sz w:val="24"/>
          <w:szCs w:val="24"/>
        </w:rPr>
        <w:t>nt nutrition</w:t>
      </w:r>
      <w:r>
        <w:rPr>
          <w:rFonts w:ascii="Times New Roman" w:eastAsia="Calibri" w:hAnsi="Times New Roman" w:cs="Times New Roman"/>
          <w:i/>
          <w:kern w:val="2"/>
          <w:sz w:val="24"/>
          <w:szCs w:val="24"/>
        </w:rPr>
        <w:t xml:space="preserve">, Ed. S. </w:t>
      </w:r>
      <w:proofErr w:type="spellStart"/>
      <w:r>
        <w:rPr>
          <w:rFonts w:ascii="Times New Roman" w:eastAsia="Calibri" w:hAnsi="Times New Roman" w:cs="Times New Roman"/>
          <w:i/>
          <w:kern w:val="2"/>
          <w:sz w:val="24"/>
          <w:szCs w:val="24"/>
        </w:rPr>
        <w:t>Portch</w:t>
      </w:r>
      <w:proofErr w:type="spellEnd"/>
      <w:r>
        <w:rPr>
          <w:rFonts w:ascii="Times New Roman" w:eastAsia="Calibri" w:hAnsi="Times New Roman" w:cs="Times New Roman"/>
          <w:i/>
          <w:kern w:val="2"/>
          <w:sz w:val="24"/>
          <w:szCs w:val="24"/>
        </w:rPr>
        <w:t>,</w:t>
      </w:r>
      <w:r>
        <w:rPr>
          <w:rFonts w:ascii="Times New Roman" w:eastAsia="Calibri" w:hAnsi="Times New Roman" w:cs="Times New Roman"/>
          <w:kern w:val="2"/>
          <w:sz w:val="24"/>
          <w:szCs w:val="24"/>
        </w:rPr>
        <w:t xml:space="preserve"> pp. 30- 39.</w:t>
      </w:r>
    </w:p>
    <w:p w:rsidR="00EC2129" w:rsidRDefault="00545FF6">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lastRenderedPageBreak/>
        <w:t xml:space="preserve">Rabbani, M.G., Salam, M.A., Paul, S.K. and </w:t>
      </w:r>
      <w:proofErr w:type="spellStart"/>
      <w:r>
        <w:rPr>
          <w:rFonts w:ascii="Times New Roman" w:eastAsia="Calibri" w:hAnsi="Times New Roman" w:cs="Times New Roman"/>
          <w:b/>
          <w:kern w:val="2"/>
          <w:sz w:val="24"/>
          <w:szCs w:val="24"/>
        </w:rPr>
        <w:t>Kheya</w:t>
      </w:r>
      <w:proofErr w:type="spellEnd"/>
      <w:r>
        <w:rPr>
          <w:rFonts w:ascii="Times New Roman" w:eastAsia="Calibri" w:hAnsi="Times New Roman" w:cs="Times New Roman"/>
          <w:b/>
          <w:kern w:val="2"/>
          <w:sz w:val="24"/>
          <w:szCs w:val="24"/>
        </w:rPr>
        <w:t>, S.A. 2023</w:t>
      </w:r>
      <w:r>
        <w:rPr>
          <w:rFonts w:ascii="Times New Roman" w:eastAsia="Calibri" w:hAnsi="Times New Roman" w:cs="Times New Roman"/>
          <w:kern w:val="2"/>
          <w:sz w:val="24"/>
          <w:szCs w:val="24"/>
        </w:rPr>
        <w:t>. Effects of rhizobium inoculum on growth, yield and quality of eight selected soybean (</w:t>
      </w:r>
      <w:r>
        <w:rPr>
          <w:rFonts w:ascii="Times New Roman" w:eastAsia="Calibri" w:hAnsi="Times New Roman" w:cs="Times New Roman"/>
          <w:i/>
          <w:kern w:val="2"/>
          <w:sz w:val="24"/>
          <w:szCs w:val="24"/>
        </w:rPr>
        <w:t>Glycine Max</w:t>
      </w:r>
      <w:r>
        <w:rPr>
          <w:rFonts w:ascii="Times New Roman" w:eastAsia="Calibri" w:hAnsi="Times New Roman" w:cs="Times New Roman"/>
          <w:kern w:val="2"/>
          <w:sz w:val="24"/>
          <w:szCs w:val="24"/>
        </w:rPr>
        <w:t xml:space="preserve">) varieties. </w:t>
      </w:r>
      <w:r>
        <w:rPr>
          <w:rFonts w:ascii="Times New Roman" w:eastAsia="Calibri" w:hAnsi="Times New Roman" w:cs="Times New Roman"/>
          <w:i/>
          <w:kern w:val="2"/>
          <w:sz w:val="24"/>
          <w:szCs w:val="24"/>
        </w:rPr>
        <w:t>Journal of Bangladesh Agricultural Universit</w:t>
      </w:r>
      <w:r>
        <w:rPr>
          <w:rFonts w:ascii="Times New Roman" w:eastAsia="Calibri" w:hAnsi="Times New Roman" w:cs="Times New Roman"/>
          <w:i/>
          <w:kern w:val="2"/>
          <w:sz w:val="24"/>
          <w:szCs w:val="24"/>
        </w:rPr>
        <w:t>y.</w:t>
      </w:r>
      <w:r>
        <w:rPr>
          <w:rFonts w:ascii="Times New Roman" w:eastAsia="Calibri" w:hAnsi="Times New Roman" w:cs="Times New Roman"/>
          <w:kern w:val="2"/>
          <w:sz w:val="24"/>
          <w:szCs w:val="24"/>
        </w:rPr>
        <w:t xml:space="preserve"> 21(1): 1–11.</w:t>
      </w:r>
    </w:p>
    <w:p w:rsidR="00EC2129" w:rsidRDefault="00545FF6">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 xml:space="preserve">Roy, R. N., Mishra, R. V., </w:t>
      </w:r>
      <w:proofErr w:type="spellStart"/>
      <w:r>
        <w:rPr>
          <w:rFonts w:ascii="Times New Roman" w:eastAsia="Calibri" w:hAnsi="Times New Roman" w:cs="Times New Roman"/>
          <w:b/>
          <w:kern w:val="2"/>
          <w:sz w:val="24"/>
          <w:szCs w:val="24"/>
        </w:rPr>
        <w:t>Lesschen</w:t>
      </w:r>
      <w:proofErr w:type="spellEnd"/>
      <w:r>
        <w:rPr>
          <w:rFonts w:ascii="Times New Roman" w:eastAsia="Calibri" w:hAnsi="Times New Roman" w:cs="Times New Roman"/>
          <w:b/>
          <w:kern w:val="2"/>
          <w:sz w:val="24"/>
          <w:szCs w:val="24"/>
        </w:rPr>
        <w:t xml:space="preserve">, J. P. and </w:t>
      </w:r>
      <w:proofErr w:type="spellStart"/>
      <w:r>
        <w:rPr>
          <w:rFonts w:ascii="Times New Roman" w:eastAsia="Calibri" w:hAnsi="Times New Roman" w:cs="Times New Roman"/>
          <w:b/>
          <w:kern w:val="2"/>
          <w:sz w:val="24"/>
          <w:szCs w:val="24"/>
        </w:rPr>
        <w:t>Smaling</w:t>
      </w:r>
      <w:proofErr w:type="spellEnd"/>
      <w:r>
        <w:rPr>
          <w:rFonts w:ascii="Times New Roman" w:eastAsia="Calibri" w:hAnsi="Times New Roman" w:cs="Times New Roman"/>
          <w:b/>
          <w:kern w:val="2"/>
          <w:sz w:val="24"/>
          <w:szCs w:val="24"/>
        </w:rPr>
        <w:t>, E.M. 2013</w:t>
      </w:r>
      <w:r>
        <w:rPr>
          <w:rFonts w:ascii="Times New Roman" w:eastAsia="Calibri" w:hAnsi="Times New Roman" w:cs="Times New Roman"/>
          <w:kern w:val="2"/>
          <w:sz w:val="24"/>
          <w:szCs w:val="24"/>
        </w:rPr>
        <w:t xml:space="preserve">. Assessment of soil nutrient balance. </w:t>
      </w:r>
      <w:proofErr w:type="spellStart"/>
      <w:r>
        <w:rPr>
          <w:rFonts w:ascii="Times New Roman" w:eastAsia="Calibri" w:hAnsi="Times New Roman" w:cs="Times New Roman"/>
          <w:kern w:val="2"/>
          <w:sz w:val="24"/>
          <w:szCs w:val="24"/>
        </w:rPr>
        <w:t>Approches</w:t>
      </w:r>
      <w:proofErr w:type="spellEnd"/>
      <w:r>
        <w:rPr>
          <w:rFonts w:ascii="Times New Roman" w:eastAsia="Calibri" w:hAnsi="Times New Roman" w:cs="Times New Roman"/>
          <w:kern w:val="2"/>
          <w:sz w:val="24"/>
          <w:szCs w:val="24"/>
        </w:rPr>
        <w:t xml:space="preserve"> and methodologies. </w:t>
      </w:r>
      <w:r>
        <w:rPr>
          <w:rFonts w:ascii="Times New Roman" w:eastAsia="Calibri" w:hAnsi="Times New Roman" w:cs="Times New Roman"/>
          <w:i/>
          <w:kern w:val="2"/>
          <w:sz w:val="24"/>
          <w:szCs w:val="24"/>
        </w:rPr>
        <w:t>Food and Agriculture Organization of the United Nations</w:t>
      </w:r>
      <w:r>
        <w:rPr>
          <w:rFonts w:ascii="Times New Roman" w:eastAsia="Calibri" w:hAnsi="Times New Roman" w:cs="Times New Roman"/>
          <w:kern w:val="2"/>
          <w:sz w:val="24"/>
          <w:szCs w:val="24"/>
        </w:rPr>
        <w:t>. 14: 101.</w:t>
      </w:r>
    </w:p>
    <w:p w:rsidR="00EC2129" w:rsidRDefault="00545FF6">
      <w:pPr>
        <w:spacing w:after="160" w:line="360" w:lineRule="auto"/>
        <w:jc w:val="both"/>
        <w:rPr>
          <w:rFonts w:ascii="Times New Roman" w:eastAsia="Calibri" w:hAnsi="Times New Roman" w:cs="Times New Roman"/>
          <w:kern w:val="2"/>
          <w:sz w:val="24"/>
          <w:szCs w:val="24"/>
        </w:rPr>
      </w:pPr>
      <w:proofErr w:type="spellStart"/>
      <w:r>
        <w:rPr>
          <w:rFonts w:ascii="Times New Roman" w:eastAsia="Calibri" w:hAnsi="Times New Roman" w:cs="Times New Roman"/>
          <w:b/>
          <w:kern w:val="2"/>
          <w:sz w:val="24"/>
          <w:szCs w:val="24"/>
        </w:rPr>
        <w:t>Saha</w:t>
      </w:r>
      <w:proofErr w:type="spellEnd"/>
      <w:r>
        <w:rPr>
          <w:rFonts w:ascii="Times New Roman" w:eastAsia="Calibri" w:hAnsi="Times New Roman" w:cs="Times New Roman"/>
          <w:b/>
          <w:kern w:val="2"/>
          <w:sz w:val="24"/>
          <w:szCs w:val="24"/>
        </w:rPr>
        <w:t xml:space="preserve">, R., Mishra, V. K., Majumdar, B., </w:t>
      </w:r>
      <w:proofErr w:type="spellStart"/>
      <w:r>
        <w:rPr>
          <w:rFonts w:ascii="Times New Roman" w:eastAsia="Calibri" w:hAnsi="Times New Roman" w:cs="Times New Roman"/>
          <w:b/>
          <w:kern w:val="2"/>
          <w:sz w:val="24"/>
          <w:szCs w:val="24"/>
        </w:rPr>
        <w:t>La</w:t>
      </w:r>
      <w:r>
        <w:rPr>
          <w:rFonts w:ascii="Times New Roman" w:eastAsia="Calibri" w:hAnsi="Times New Roman" w:cs="Times New Roman"/>
          <w:b/>
          <w:kern w:val="2"/>
          <w:sz w:val="24"/>
          <w:szCs w:val="24"/>
        </w:rPr>
        <w:t>xminarayan</w:t>
      </w:r>
      <w:proofErr w:type="spellEnd"/>
      <w:r>
        <w:rPr>
          <w:rFonts w:ascii="Times New Roman" w:eastAsia="Calibri" w:hAnsi="Times New Roman" w:cs="Times New Roman"/>
          <w:b/>
          <w:kern w:val="2"/>
          <w:sz w:val="24"/>
          <w:szCs w:val="24"/>
        </w:rPr>
        <w:t>, K. and Ghosh, P.K. 2010.</w:t>
      </w:r>
      <w:r>
        <w:rPr>
          <w:rFonts w:ascii="Times New Roman" w:eastAsia="Calibri" w:hAnsi="Times New Roman" w:cs="Times New Roman"/>
          <w:kern w:val="2"/>
          <w:sz w:val="24"/>
          <w:szCs w:val="24"/>
        </w:rPr>
        <w:t xml:space="preserve"> The effect of integrated nutrient management on soil physical properties and crop productivity under a maize-mustard cropping sequence in acidic soils of northeast India. </w:t>
      </w:r>
      <w:proofErr w:type="spellStart"/>
      <w:r>
        <w:rPr>
          <w:rFonts w:ascii="Times New Roman" w:eastAsia="Calibri" w:hAnsi="Times New Roman" w:cs="Times New Roman"/>
          <w:i/>
          <w:kern w:val="2"/>
          <w:sz w:val="24"/>
          <w:szCs w:val="24"/>
        </w:rPr>
        <w:t>Communi</w:t>
      </w:r>
      <w:proofErr w:type="spellEnd"/>
      <w:r>
        <w:rPr>
          <w:rFonts w:ascii="Times New Roman" w:eastAsia="Calibri" w:hAnsi="Times New Roman" w:cs="Times New Roman"/>
          <w:i/>
          <w:kern w:val="2"/>
          <w:sz w:val="24"/>
          <w:szCs w:val="24"/>
        </w:rPr>
        <w:t>. Soil Science Pl. Analysis</w:t>
      </w:r>
      <w:r>
        <w:rPr>
          <w:rFonts w:ascii="Times New Roman" w:eastAsia="Calibri" w:hAnsi="Times New Roman" w:cs="Times New Roman"/>
          <w:kern w:val="2"/>
          <w:sz w:val="24"/>
          <w:szCs w:val="24"/>
        </w:rPr>
        <w:t xml:space="preserve">, 41(2): 187- </w:t>
      </w:r>
      <w:r>
        <w:rPr>
          <w:rFonts w:ascii="Times New Roman" w:eastAsia="Calibri" w:hAnsi="Times New Roman" w:cs="Times New Roman"/>
          <w:kern w:val="2"/>
          <w:sz w:val="24"/>
          <w:szCs w:val="24"/>
        </w:rPr>
        <w:t>200.</w:t>
      </w:r>
    </w:p>
    <w:p w:rsidR="00EC2129" w:rsidRDefault="00545FF6">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 xml:space="preserve">Singh, H., Singh, R.P., Meena B.P., Lal, B., </w:t>
      </w:r>
      <w:proofErr w:type="spellStart"/>
      <w:r>
        <w:rPr>
          <w:rFonts w:ascii="Times New Roman" w:eastAsia="Calibri" w:hAnsi="Times New Roman" w:cs="Times New Roman"/>
          <w:b/>
          <w:kern w:val="2"/>
          <w:sz w:val="24"/>
          <w:szCs w:val="24"/>
        </w:rPr>
        <w:t>Dotaniya</w:t>
      </w:r>
      <w:proofErr w:type="spellEnd"/>
      <w:r>
        <w:rPr>
          <w:rFonts w:ascii="Times New Roman" w:eastAsia="Calibri" w:hAnsi="Times New Roman" w:cs="Times New Roman"/>
          <w:b/>
          <w:kern w:val="2"/>
          <w:sz w:val="24"/>
          <w:szCs w:val="24"/>
        </w:rPr>
        <w:t xml:space="preserve">, M.L., </w:t>
      </w:r>
      <w:proofErr w:type="spellStart"/>
      <w:r>
        <w:rPr>
          <w:rFonts w:ascii="Times New Roman" w:eastAsia="Calibri" w:hAnsi="Times New Roman" w:cs="Times New Roman"/>
          <w:b/>
          <w:kern w:val="2"/>
          <w:sz w:val="24"/>
          <w:szCs w:val="24"/>
        </w:rPr>
        <w:t>Shirale</w:t>
      </w:r>
      <w:proofErr w:type="spellEnd"/>
      <w:r>
        <w:rPr>
          <w:rFonts w:ascii="Times New Roman" w:eastAsia="Calibri" w:hAnsi="Times New Roman" w:cs="Times New Roman"/>
          <w:b/>
          <w:kern w:val="2"/>
          <w:sz w:val="24"/>
          <w:szCs w:val="24"/>
        </w:rPr>
        <w:t>, A.O. and Kumar, K. 2018.</w:t>
      </w:r>
      <w:r>
        <w:rPr>
          <w:rFonts w:ascii="Times New Roman" w:eastAsia="Calibri" w:hAnsi="Times New Roman" w:cs="Times New Roman"/>
          <w:kern w:val="2"/>
          <w:sz w:val="24"/>
          <w:szCs w:val="24"/>
        </w:rPr>
        <w:t xml:space="preserve"> Effect of integrated nutrient management (INM) modules on late sown Indian mustard [</w:t>
      </w:r>
      <w:r>
        <w:rPr>
          <w:rFonts w:ascii="Times New Roman" w:eastAsia="Calibri" w:hAnsi="Times New Roman" w:cs="Times New Roman"/>
          <w:i/>
          <w:kern w:val="2"/>
          <w:sz w:val="24"/>
          <w:szCs w:val="24"/>
        </w:rPr>
        <w:t xml:space="preserve">B. </w:t>
      </w:r>
      <w:proofErr w:type="spellStart"/>
      <w:r>
        <w:rPr>
          <w:rFonts w:ascii="Times New Roman" w:eastAsia="Calibri" w:hAnsi="Times New Roman" w:cs="Times New Roman"/>
          <w:i/>
          <w:kern w:val="2"/>
          <w:sz w:val="24"/>
          <w:szCs w:val="24"/>
        </w:rPr>
        <w:t>juncea</w:t>
      </w:r>
      <w:proofErr w:type="spellEnd"/>
      <w:r>
        <w:rPr>
          <w:rFonts w:ascii="Times New Roman" w:eastAsia="Calibri" w:hAnsi="Times New Roman" w:cs="Times New Roman"/>
          <w:i/>
          <w:kern w:val="2"/>
          <w:sz w:val="24"/>
          <w:szCs w:val="24"/>
        </w:rPr>
        <w:t xml:space="preserve"> (L.) </w:t>
      </w:r>
      <w:proofErr w:type="spellStart"/>
      <w:r>
        <w:rPr>
          <w:rFonts w:ascii="Times New Roman" w:eastAsia="Calibri" w:hAnsi="Times New Roman" w:cs="Times New Roman"/>
          <w:i/>
          <w:kern w:val="2"/>
          <w:sz w:val="24"/>
          <w:szCs w:val="24"/>
        </w:rPr>
        <w:t>Cernj</w:t>
      </w:r>
      <w:proofErr w:type="spellEnd"/>
      <w:r>
        <w:rPr>
          <w:rFonts w:ascii="Times New Roman" w:eastAsia="Calibri" w:hAnsi="Times New Roman" w:cs="Times New Roman"/>
          <w:i/>
          <w:kern w:val="2"/>
          <w:sz w:val="24"/>
          <w:szCs w:val="24"/>
        </w:rPr>
        <w:t xml:space="preserve">. &amp; </w:t>
      </w:r>
      <w:proofErr w:type="spellStart"/>
      <w:r>
        <w:rPr>
          <w:rFonts w:ascii="Times New Roman" w:eastAsia="Calibri" w:hAnsi="Times New Roman" w:cs="Times New Roman"/>
          <w:i/>
          <w:kern w:val="2"/>
          <w:sz w:val="24"/>
          <w:szCs w:val="24"/>
        </w:rPr>
        <w:t>Cosson</w:t>
      </w:r>
      <w:proofErr w:type="spellEnd"/>
      <w:r>
        <w:rPr>
          <w:rFonts w:ascii="Times New Roman" w:eastAsia="Calibri" w:hAnsi="Times New Roman" w:cs="Times New Roman"/>
          <w:kern w:val="2"/>
          <w:sz w:val="24"/>
          <w:szCs w:val="24"/>
        </w:rPr>
        <w:t>] and soil properties.</w:t>
      </w:r>
      <w:r>
        <w:rPr>
          <w:rFonts w:ascii="Times New Roman" w:eastAsia="Calibri" w:hAnsi="Times New Roman" w:cs="Times New Roman"/>
          <w:i/>
          <w:kern w:val="2"/>
          <w:sz w:val="24"/>
          <w:szCs w:val="24"/>
        </w:rPr>
        <w:t xml:space="preserve"> Journal of Cereals and Oilseeds.</w:t>
      </w:r>
      <w:r>
        <w:rPr>
          <w:rFonts w:ascii="Times New Roman" w:eastAsia="Calibri" w:hAnsi="Times New Roman" w:cs="Times New Roman"/>
          <w:kern w:val="2"/>
          <w:sz w:val="24"/>
          <w:szCs w:val="24"/>
        </w:rPr>
        <w:t xml:space="preserve"> 9(4):37-44.</w:t>
      </w:r>
    </w:p>
    <w:p w:rsidR="00EC2129" w:rsidRDefault="00545FF6">
      <w:pPr>
        <w:spacing w:after="160" w:line="360" w:lineRule="auto"/>
        <w:jc w:val="both"/>
        <w:rPr>
          <w:rFonts w:ascii="Times New Roman" w:eastAsia="Calibri" w:hAnsi="Times New Roman" w:cs="Times New Roman"/>
          <w:kern w:val="2"/>
          <w:sz w:val="24"/>
          <w:szCs w:val="24"/>
        </w:rPr>
      </w:pPr>
      <w:proofErr w:type="spellStart"/>
      <w:r>
        <w:rPr>
          <w:rFonts w:ascii="Times New Roman" w:eastAsia="Calibri" w:hAnsi="Times New Roman" w:cs="Times New Roman"/>
          <w:b/>
          <w:kern w:val="2"/>
          <w:sz w:val="24"/>
          <w:szCs w:val="24"/>
        </w:rPr>
        <w:t>Takkar</w:t>
      </w:r>
      <w:proofErr w:type="spellEnd"/>
      <w:r>
        <w:rPr>
          <w:rFonts w:ascii="Times New Roman" w:eastAsia="Calibri" w:hAnsi="Times New Roman" w:cs="Times New Roman"/>
          <w:b/>
          <w:kern w:val="2"/>
          <w:sz w:val="24"/>
          <w:szCs w:val="24"/>
        </w:rPr>
        <w:t>, P. N. 1991.</w:t>
      </w:r>
      <w:r>
        <w:rPr>
          <w:rFonts w:ascii="Times New Roman" w:eastAsia="Calibri" w:hAnsi="Times New Roman" w:cs="Times New Roman"/>
          <w:kern w:val="2"/>
          <w:sz w:val="24"/>
          <w:szCs w:val="24"/>
        </w:rPr>
        <w:t xml:space="preserve"> Zinc Deficiency in Indian Soils and Crops </w:t>
      </w:r>
      <w:proofErr w:type="gramStart"/>
      <w:r>
        <w:rPr>
          <w:rFonts w:ascii="Times New Roman" w:eastAsia="Calibri" w:hAnsi="Times New Roman" w:cs="Times New Roman"/>
          <w:kern w:val="2"/>
          <w:sz w:val="24"/>
          <w:szCs w:val="24"/>
        </w:rPr>
        <w:t>In</w:t>
      </w:r>
      <w:proofErr w:type="gramEnd"/>
      <w:r>
        <w:rPr>
          <w:rFonts w:ascii="Times New Roman" w:eastAsia="Calibri" w:hAnsi="Times New Roman" w:cs="Times New Roman"/>
          <w:kern w:val="2"/>
          <w:sz w:val="24"/>
          <w:szCs w:val="24"/>
        </w:rPr>
        <w:t xml:space="preserve"> Zinc in Crop Nutrition, Int. Lead Zinc Research Organization, Inc. and Indian Lead Zinc Information Centre, New Delhi, pp. 55-64.</w:t>
      </w:r>
    </w:p>
    <w:p w:rsidR="00EC2129" w:rsidRDefault="00545FF6">
      <w:pPr>
        <w:spacing w:after="160" w:line="360" w:lineRule="auto"/>
        <w:jc w:val="both"/>
        <w:rPr>
          <w:rFonts w:ascii="Times New Roman" w:eastAsia="Calibri" w:hAnsi="Times New Roman" w:cs="Times New Roman"/>
          <w:kern w:val="2"/>
          <w:sz w:val="24"/>
          <w:szCs w:val="24"/>
        </w:rPr>
      </w:pPr>
      <w:proofErr w:type="spellStart"/>
      <w:r>
        <w:rPr>
          <w:rFonts w:ascii="Times New Roman" w:eastAsia="Calibri" w:hAnsi="Times New Roman" w:cs="Times New Roman"/>
          <w:b/>
          <w:kern w:val="2"/>
          <w:sz w:val="24"/>
          <w:szCs w:val="24"/>
        </w:rPr>
        <w:t>Takkar</w:t>
      </w:r>
      <w:proofErr w:type="spellEnd"/>
      <w:r>
        <w:rPr>
          <w:rFonts w:ascii="Times New Roman" w:eastAsia="Calibri" w:hAnsi="Times New Roman" w:cs="Times New Roman"/>
          <w:b/>
          <w:kern w:val="2"/>
          <w:sz w:val="24"/>
          <w:szCs w:val="24"/>
        </w:rPr>
        <w:t>, P. N. a</w:t>
      </w:r>
      <w:r>
        <w:rPr>
          <w:rFonts w:ascii="Times New Roman" w:eastAsia="Calibri" w:hAnsi="Times New Roman" w:cs="Times New Roman"/>
          <w:b/>
          <w:kern w:val="2"/>
          <w:sz w:val="24"/>
          <w:szCs w:val="24"/>
        </w:rPr>
        <w:t>nd Bansal, R.L. 1987.</w:t>
      </w:r>
      <w:r>
        <w:rPr>
          <w:rFonts w:ascii="Times New Roman" w:eastAsia="Calibri" w:hAnsi="Times New Roman" w:cs="Times New Roman"/>
          <w:kern w:val="2"/>
          <w:sz w:val="24"/>
          <w:szCs w:val="24"/>
        </w:rPr>
        <w:t xml:space="preserve"> Evaluation of rates, methods and sources of zinc application to wheat. </w:t>
      </w:r>
      <w:r>
        <w:rPr>
          <w:rFonts w:ascii="Times New Roman" w:eastAsia="Calibri" w:hAnsi="Times New Roman" w:cs="Times New Roman"/>
          <w:i/>
          <w:kern w:val="2"/>
          <w:sz w:val="24"/>
          <w:szCs w:val="24"/>
        </w:rPr>
        <w:t xml:space="preserve">Acta </w:t>
      </w:r>
      <w:proofErr w:type="spellStart"/>
      <w:r>
        <w:rPr>
          <w:rFonts w:ascii="Times New Roman" w:eastAsia="Calibri" w:hAnsi="Times New Roman" w:cs="Times New Roman"/>
          <w:i/>
          <w:kern w:val="2"/>
          <w:sz w:val="24"/>
          <w:szCs w:val="24"/>
        </w:rPr>
        <w:t>Agronomica</w:t>
      </w:r>
      <w:proofErr w:type="spellEnd"/>
      <w:r>
        <w:rPr>
          <w:rFonts w:ascii="Times New Roman" w:eastAsia="Calibri" w:hAnsi="Times New Roman" w:cs="Times New Roman"/>
          <w:i/>
          <w:kern w:val="2"/>
          <w:sz w:val="24"/>
          <w:szCs w:val="24"/>
        </w:rPr>
        <w:t xml:space="preserve">. </w:t>
      </w:r>
      <w:r>
        <w:rPr>
          <w:rFonts w:ascii="Times New Roman" w:eastAsia="Calibri" w:hAnsi="Times New Roman" w:cs="Times New Roman"/>
          <w:kern w:val="2"/>
          <w:sz w:val="24"/>
          <w:szCs w:val="24"/>
        </w:rPr>
        <w:t>36: 277-283.</w:t>
      </w:r>
    </w:p>
    <w:p w:rsidR="00EC2129" w:rsidRDefault="00545FF6">
      <w:pPr>
        <w:spacing w:after="160" w:line="360" w:lineRule="auto"/>
        <w:jc w:val="both"/>
        <w:rPr>
          <w:rFonts w:ascii="Times New Roman" w:eastAsia="Calibri" w:hAnsi="Times New Roman" w:cs="Times New Roman"/>
          <w:kern w:val="2"/>
          <w:sz w:val="24"/>
          <w:szCs w:val="24"/>
        </w:rPr>
      </w:pPr>
      <w:proofErr w:type="spellStart"/>
      <w:r>
        <w:rPr>
          <w:rFonts w:ascii="Times New Roman" w:eastAsia="Calibri" w:hAnsi="Times New Roman" w:cs="Times New Roman"/>
          <w:b/>
          <w:kern w:val="2"/>
          <w:sz w:val="24"/>
          <w:szCs w:val="24"/>
        </w:rPr>
        <w:t>Tomar</w:t>
      </w:r>
      <w:proofErr w:type="spellEnd"/>
      <w:r>
        <w:rPr>
          <w:rFonts w:ascii="Times New Roman" w:eastAsia="Calibri" w:hAnsi="Times New Roman" w:cs="Times New Roman"/>
          <w:b/>
          <w:kern w:val="2"/>
          <w:sz w:val="24"/>
          <w:szCs w:val="24"/>
        </w:rPr>
        <w:t>, P.S., Verma, S.K., Gupta, N. and Bansal, K.N. 2018.</w:t>
      </w:r>
      <w:r>
        <w:rPr>
          <w:rFonts w:ascii="Times New Roman" w:eastAsia="Calibri" w:hAnsi="Times New Roman" w:cs="Times New Roman"/>
          <w:kern w:val="2"/>
          <w:sz w:val="24"/>
          <w:szCs w:val="24"/>
        </w:rPr>
        <w:t xml:space="preserve"> The effect of Long-term Integrated Nutrient Management on Productivity of </w:t>
      </w:r>
      <w:r>
        <w:rPr>
          <w:rFonts w:ascii="Times New Roman" w:eastAsia="Calibri" w:hAnsi="Times New Roman" w:cs="Times New Roman"/>
          <w:kern w:val="2"/>
          <w:sz w:val="24"/>
          <w:szCs w:val="24"/>
        </w:rPr>
        <w:t>Pearl millet (</w:t>
      </w:r>
      <w:proofErr w:type="spellStart"/>
      <w:r>
        <w:rPr>
          <w:rFonts w:ascii="Times New Roman" w:eastAsia="Calibri" w:hAnsi="Times New Roman" w:cs="Times New Roman"/>
          <w:i/>
          <w:kern w:val="2"/>
          <w:sz w:val="24"/>
          <w:szCs w:val="24"/>
        </w:rPr>
        <w:t>Pennisetum</w:t>
      </w:r>
      <w:proofErr w:type="spellEnd"/>
      <w:r>
        <w:rPr>
          <w:rFonts w:ascii="Times New Roman" w:eastAsia="Calibri" w:hAnsi="Times New Roman" w:cs="Times New Roman"/>
          <w:i/>
          <w:kern w:val="2"/>
          <w:sz w:val="24"/>
          <w:szCs w:val="24"/>
        </w:rPr>
        <w:t xml:space="preserve"> </w:t>
      </w:r>
      <w:proofErr w:type="spellStart"/>
      <w:r>
        <w:rPr>
          <w:rFonts w:ascii="Times New Roman" w:eastAsia="Calibri" w:hAnsi="Times New Roman" w:cs="Times New Roman"/>
          <w:i/>
          <w:kern w:val="2"/>
          <w:sz w:val="24"/>
          <w:szCs w:val="24"/>
        </w:rPr>
        <w:t>glaucum</w:t>
      </w:r>
      <w:proofErr w:type="spellEnd"/>
      <w:r>
        <w:rPr>
          <w:rFonts w:ascii="Times New Roman" w:eastAsia="Calibri" w:hAnsi="Times New Roman" w:cs="Times New Roman"/>
          <w:kern w:val="2"/>
          <w:sz w:val="24"/>
          <w:szCs w:val="24"/>
        </w:rPr>
        <w:t>) Mustard (</w:t>
      </w:r>
      <w:r>
        <w:rPr>
          <w:rFonts w:ascii="Times New Roman" w:eastAsia="Calibri" w:hAnsi="Times New Roman" w:cs="Times New Roman"/>
          <w:i/>
          <w:kern w:val="2"/>
          <w:sz w:val="24"/>
          <w:szCs w:val="24"/>
        </w:rPr>
        <w:t xml:space="preserve">Brassica </w:t>
      </w:r>
      <w:proofErr w:type="spellStart"/>
      <w:r>
        <w:rPr>
          <w:rFonts w:ascii="Times New Roman" w:eastAsia="Calibri" w:hAnsi="Times New Roman" w:cs="Times New Roman"/>
          <w:i/>
          <w:kern w:val="2"/>
          <w:sz w:val="24"/>
          <w:szCs w:val="24"/>
        </w:rPr>
        <w:t>juncea</w:t>
      </w:r>
      <w:proofErr w:type="spellEnd"/>
      <w:r>
        <w:rPr>
          <w:rFonts w:ascii="Times New Roman" w:eastAsia="Calibri" w:hAnsi="Times New Roman" w:cs="Times New Roman"/>
          <w:kern w:val="2"/>
          <w:sz w:val="24"/>
          <w:szCs w:val="24"/>
        </w:rPr>
        <w:t xml:space="preserve">) Cropping System and Soil Fertility in an </w:t>
      </w:r>
      <w:proofErr w:type="spellStart"/>
      <w:r>
        <w:rPr>
          <w:rFonts w:ascii="Times New Roman" w:eastAsia="Calibri" w:hAnsi="Times New Roman" w:cs="Times New Roman"/>
          <w:kern w:val="2"/>
          <w:sz w:val="24"/>
          <w:szCs w:val="24"/>
        </w:rPr>
        <w:t>Inceptisol</w:t>
      </w:r>
      <w:proofErr w:type="spellEnd"/>
      <w:r>
        <w:rPr>
          <w:rFonts w:ascii="Times New Roman" w:eastAsia="Calibri" w:hAnsi="Times New Roman" w:cs="Times New Roman"/>
          <w:kern w:val="2"/>
          <w:sz w:val="24"/>
          <w:szCs w:val="24"/>
        </w:rPr>
        <w:t xml:space="preserve">. </w:t>
      </w:r>
      <w:r>
        <w:rPr>
          <w:rFonts w:ascii="Times New Roman" w:eastAsia="Calibri" w:hAnsi="Times New Roman" w:cs="Times New Roman"/>
          <w:i/>
          <w:kern w:val="2"/>
          <w:sz w:val="24"/>
          <w:szCs w:val="24"/>
        </w:rPr>
        <w:t>Journal of the Indian Society of Soil Science.</w:t>
      </w:r>
      <w:r>
        <w:rPr>
          <w:rFonts w:ascii="Times New Roman" w:eastAsia="Calibri" w:hAnsi="Times New Roman" w:cs="Times New Roman"/>
          <w:kern w:val="2"/>
          <w:sz w:val="24"/>
          <w:szCs w:val="24"/>
        </w:rPr>
        <w:t xml:space="preserve"> 66 (3):295-299.</w:t>
      </w:r>
    </w:p>
    <w:p w:rsidR="00EC2129" w:rsidRDefault="00EC2129">
      <w:pPr>
        <w:spacing w:after="160" w:line="360" w:lineRule="auto"/>
        <w:jc w:val="both"/>
        <w:rPr>
          <w:rFonts w:ascii="Times New Roman" w:eastAsia="Calibri" w:hAnsi="Times New Roman" w:cs="Times New Roman"/>
          <w:kern w:val="2"/>
          <w:sz w:val="24"/>
          <w:szCs w:val="24"/>
        </w:rPr>
      </w:pPr>
    </w:p>
    <w:p w:rsidR="00EC2129" w:rsidRDefault="00EC2129">
      <w:pPr>
        <w:spacing w:after="160" w:line="360" w:lineRule="auto"/>
        <w:jc w:val="both"/>
        <w:rPr>
          <w:rFonts w:ascii="Times New Roman" w:eastAsia="Calibri" w:hAnsi="Times New Roman" w:cs="Times New Roman"/>
          <w:kern w:val="2"/>
          <w:sz w:val="24"/>
          <w:szCs w:val="24"/>
        </w:rPr>
      </w:pPr>
    </w:p>
    <w:p w:rsidR="00EC2129" w:rsidRDefault="00EC2129">
      <w:pPr>
        <w:spacing w:after="160" w:line="360" w:lineRule="auto"/>
        <w:jc w:val="both"/>
        <w:rPr>
          <w:sz w:val="24"/>
          <w:szCs w:val="24"/>
        </w:rPr>
      </w:pPr>
    </w:p>
    <w:p w:rsidR="00EC2129" w:rsidRDefault="00EC2129">
      <w:pPr>
        <w:spacing w:after="160" w:line="360" w:lineRule="auto"/>
        <w:jc w:val="both"/>
        <w:rPr>
          <w:rFonts w:eastAsia="Calibri"/>
          <w:kern w:val="2"/>
          <w:sz w:val="24"/>
          <w:szCs w:val="24"/>
        </w:rPr>
      </w:pPr>
    </w:p>
    <w:p w:rsidR="00EC2129" w:rsidRDefault="00EC2129">
      <w:pPr>
        <w:jc w:val="both"/>
      </w:pPr>
    </w:p>
    <w:p w:rsidR="00EC2129" w:rsidRDefault="00EC2129">
      <w:pPr>
        <w:spacing w:before="100" w:beforeAutospacing="1" w:after="100" w:afterAutospacing="1" w:line="360" w:lineRule="auto"/>
        <w:jc w:val="both"/>
        <w:rPr>
          <w:rFonts w:ascii="Times New Roman" w:eastAsia="Times New Roman" w:hAnsi="Times New Roman" w:cs="Times New Roman"/>
          <w:b/>
          <w:sz w:val="24"/>
          <w:szCs w:val="24"/>
        </w:rPr>
      </w:pPr>
    </w:p>
    <w:p w:rsidR="00EC2129" w:rsidRDefault="00EC2129">
      <w:pPr>
        <w:spacing w:before="100" w:beforeAutospacing="1" w:after="100" w:afterAutospacing="1" w:line="360" w:lineRule="auto"/>
        <w:jc w:val="both"/>
        <w:rPr>
          <w:rFonts w:ascii="Times New Roman" w:eastAsia="Times New Roman" w:hAnsi="Times New Roman" w:cs="Times New Roman"/>
          <w:sz w:val="24"/>
          <w:szCs w:val="24"/>
        </w:rPr>
      </w:pPr>
    </w:p>
    <w:p w:rsidR="00EC2129" w:rsidRDefault="00EC2129">
      <w:pPr>
        <w:spacing w:before="100" w:beforeAutospacing="1" w:after="100" w:afterAutospacing="1" w:line="360" w:lineRule="auto"/>
        <w:jc w:val="both"/>
        <w:rPr>
          <w:rFonts w:ascii="Times New Roman" w:eastAsia="Times New Roman" w:hAnsi="Times New Roman" w:cs="Times New Roman"/>
          <w:sz w:val="24"/>
          <w:szCs w:val="24"/>
        </w:rPr>
      </w:pPr>
    </w:p>
    <w:p w:rsidR="00EC2129" w:rsidRDefault="00EC2129">
      <w:pPr>
        <w:spacing w:line="360" w:lineRule="auto"/>
        <w:jc w:val="both"/>
        <w:rPr>
          <w:rFonts w:ascii="Times New Roman" w:hAnsi="Times New Roman" w:cs="Times New Roman"/>
        </w:rPr>
      </w:pPr>
    </w:p>
    <w:sectPr w:rsidR="00EC21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FF6" w:rsidRDefault="00545FF6">
      <w:pPr>
        <w:spacing w:line="240" w:lineRule="auto"/>
      </w:pPr>
      <w:r>
        <w:separator/>
      </w:r>
    </w:p>
  </w:endnote>
  <w:endnote w:type="continuationSeparator" w:id="0">
    <w:p w:rsidR="00545FF6" w:rsidRDefault="00545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129" w:rsidRDefault="00EC2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129" w:rsidRDefault="00EC2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129" w:rsidRDefault="00EC2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FF6" w:rsidRDefault="00545FF6">
      <w:pPr>
        <w:spacing w:after="0"/>
      </w:pPr>
      <w:r>
        <w:separator/>
      </w:r>
    </w:p>
  </w:footnote>
  <w:footnote w:type="continuationSeparator" w:id="0">
    <w:p w:rsidR="00545FF6" w:rsidRDefault="00545F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129" w:rsidRDefault="00545FF6">
    <w:pPr>
      <w:pStyle w:val="Header"/>
    </w:pPr>
    <w:r>
      <w:pict w14:anchorId="25E23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198204" o:spid="_x0000_s3075"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129" w:rsidRDefault="00545FF6">
    <w:pPr>
      <w:pStyle w:val="Header"/>
    </w:pPr>
    <w:r>
      <w:pict w14:anchorId="525BB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198205" o:spid="_x0000_s3074"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129" w:rsidRDefault="00545FF6">
    <w:pPr>
      <w:pStyle w:val="Header"/>
    </w:pPr>
    <w:r>
      <w:pict w14:anchorId="5E617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198203" o:spid="_x0000_s3073"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62EAF"/>
    <w:multiLevelType w:val="multilevel"/>
    <w:tmpl w:val="36B62EA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073"/>
    <w:rsid w:val="00074FAA"/>
    <w:rsid w:val="001D325A"/>
    <w:rsid w:val="00205EDD"/>
    <w:rsid w:val="002227A4"/>
    <w:rsid w:val="00252CF8"/>
    <w:rsid w:val="00436004"/>
    <w:rsid w:val="00494543"/>
    <w:rsid w:val="004E7CFA"/>
    <w:rsid w:val="00502BDA"/>
    <w:rsid w:val="0054072F"/>
    <w:rsid w:val="00545FF6"/>
    <w:rsid w:val="00624EE8"/>
    <w:rsid w:val="006659EB"/>
    <w:rsid w:val="006C174E"/>
    <w:rsid w:val="006C3786"/>
    <w:rsid w:val="00740197"/>
    <w:rsid w:val="00770225"/>
    <w:rsid w:val="0082069E"/>
    <w:rsid w:val="008A362C"/>
    <w:rsid w:val="00961AFB"/>
    <w:rsid w:val="009C5073"/>
    <w:rsid w:val="00A11366"/>
    <w:rsid w:val="00A14262"/>
    <w:rsid w:val="00A417D2"/>
    <w:rsid w:val="00B66B9B"/>
    <w:rsid w:val="00BE4A9F"/>
    <w:rsid w:val="00C77524"/>
    <w:rsid w:val="00CC1C35"/>
    <w:rsid w:val="00D073A4"/>
    <w:rsid w:val="00DB605E"/>
    <w:rsid w:val="00E231F4"/>
    <w:rsid w:val="00E411EB"/>
    <w:rsid w:val="00E57421"/>
    <w:rsid w:val="00EC2129"/>
    <w:rsid w:val="00F869DC"/>
    <w:rsid w:val="00FD2211"/>
    <w:rsid w:val="178E6FAB"/>
    <w:rsid w:val="253F2345"/>
    <w:rsid w:val="263A019C"/>
    <w:rsid w:val="3D2516D8"/>
    <w:rsid w:val="67084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35F6FE9"/>
  <w15:docId w15:val="{77E72B4B-A91A-4E39-A5B9-75DEBCF4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customStyle="1" w:styleId="TableGrid1">
    <w:name w:val="Table Grid_1"/>
    <w:basedOn w:val="TableNormal"/>
    <w:pPr>
      <w:autoSpaceDE w:val="0"/>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pPr>
      <w:widowControl w:val="0"/>
      <w:autoSpaceDE w:val="0"/>
      <w:autoSpaceDN w:val="0"/>
      <w:spacing w:before="100" w:beforeAutospacing="1" w:after="100" w:afterAutospacing="1" w:line="240" w:lineRule="auto"/>
      <w:ind w:left="804" w:hanging="539"/>
      <w:jc w:val="both"/>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rPr>
      <w:sz w:val="22"/>
      <w:szCs w:val="22"/>
    </w:rPr>
  </w:style>
  <w:style w:type="character" w:customStyle="1" w:styleId="FooterChar">
    <w:name w:val="Footer Char"/>
    <w:basedOn w:val="DefaultParagraphFont"/>
    <w:link w:val="Footer"/>
    <w:uiPriority w:val="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griculture.rajasthan.gov.in/content/agriculture/en/Agriculture-Department%20dep/agriculture-statist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griwelfare.gov.in/en/Oilsee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3214</Words>
  <Characters>18320</Characters>
  <Application>Microsoft Office Word</Application>
  <DocSecurity>0</DocSecurity>
  <Lines>152</Lines>
  <Paragraphs>42</Paragraphs>
  <ScaleCrop>false</ScaleCrop>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1089</cp:lastModifiedBy>
  <cp:revision>18</cp:revision>
  <dcterms:created xsi:type="dcterms:W3CDTF">2025-05-29T15:12:00Z</dcterms:created>
  <dcterms:modified xsi:type="dcterms:W3CDTF">2025-06-16T06:18:00Z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2057-12.2.0.21179</vt:lpwstr>
  </property>
  <property fmtid="{D5CDD505-2E9C-101B-9397-08002B2CF9AE}" pid="3" name="ICV">
    <vt:lpwstr>7A3EAC02F7084EAA86AA11BA08AEC4D4_13</vt:lpwstr>
  </property>
</Properties>
</file>