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3D" w:rsidRDefault="00227E3D" w:rsidP="001D3326">
      <w:pPr>
        <w:jc w:val="both"/>
        <w:rPr>
          <w:rFonts w:ascii="Arial" w:hAnsi="Arial" w:cs="Arial"/>
          <w:sz w:val="36"/>
          <w:szCs w:val="36"/>
        </w:rPr>
      </w:pPr>
      <w:r w:rsidRPr="00227E3D">
        <w:rPr>
          <w:rFonts w:ascii="Arial" w:hAnsi="Arial" w:cs="Arial"/>
          <w:bCs/>
          <w:i/>
          <w:iCs/>
          <w:sz w:val="36"/>
          <w:szCs w:val="36"/>
          <w:u w:val="single"/>
          <w:lang w:val="en-US"/>
        </w:rPr>
        <w:t>Original Research Article</w:t>
      </w:r>
    </w:p>
    <w:p w:rsidR="00DD487D" w:rsidRDefault="00744EAC" w:rsidP="001D3326">
      <w:pPr>
        <w:jc w:val="both"/>
        <w:rPr>
          <w:rFonts w:ascii="Arial" w:hAnsi="Arial" w:cs="Arial"/>
          <w:sz w:val="36"/>
          <w:szCs w:val="36"/>
        </w:rPr>
      </w:pPr>
      <w:r>
        <w:rPr>
          <w:rFonts w:ascii="Arial" w:hAnsi="Arial" w:cs="Arial"/>
          <w:sz w:val="36"/>
          <w:szCs w:val="36"/>
        </w:rPr>
        <w:t>Analysis of Growth Performance in</w:t>
      </w:r>
      <w:r w:rsidR="001D3326" w:rsidRPr="001D3326">
        <w:rPr>
          <w:rFonts w:ascii="Arial" w:hAnsi="Arial" w:cs="Arial"/>
          <w:sz w:val="36"/>
          <w:szCs w:val="36"/>
        </w:rPr>
        <w:t xml:space="preserve"> Chocolate Mahseer (</w:t>
      </w:r>
      <w:r w:rsidR="001D3326" w:rsidRPr="001D3326">
        <w:rPr>
          <w:rStyle w:val="Emphasis"/>
          <w:rFonts w:ascii="Arial" w:hAnsi="Arial" w:cs="Arial"/>
          <w:sz w:val="36"/>
          <w:szCs w:val="36"/>
        </w:rPr>
        <w:t>Neolissochilus</w:t>
      </w:r>
      <w:r>
        <w:rPr>
          <w:rStyle w:val="Emphasis"/>
          <w:rFonts w:ascii="Arial" w:hAnsi="Arial" w:cs="Arial"/>
          <w:sz w:val="36"/>
          <w:szCs w:val="36"/>
        </w:rPr>
        <w:t xml:space="preserve"> </w:t>
      </w:r>
      <w:r w:rsidR="001D3326" w:rsidRPr="001D3326">
        <w:rPr>
          <w:rStyle w:val="Emphasis"/>
          <w:rFonts w:ascii="Arial" w:hAnsi="Arial" w:cs="Arial"/>
          <w:sz w:val="36"/>
          <w:szCs w:val="36"/>
        </w:rPr>
        <w:t>hexagonolepis</w:t>
      </w:r>
      <w:r w:rsidR="001D3326">
        <w:rPr>
          <w:rFonts w:ascii="Arial" w:hAnsi="Arial" w:cs="Arial"/>
          <w:sz w:val="36"/>
          <w:szCs w:val="36"/>
        </w:rPr>
        <w:t>) Fed</w:t>
      </w:r>
      <w:r>
        <w:rPr>
          <w:rFonts w:ascii="Arial" w:hAnsi="Arial" w:cs="Arial"/>
          <w:sz w:val="36"/>
          <w:szCs w:val="36"/>
        </w:rPr>
        <w:t xml:space="preserve"> Diet</w:t>
      </w:r>
      <w:r w:rsidR="001D3326" w:rsidRPr="001D3326">
        <w:rPr>
          <w:rFonts w:ascii="Arial" w:hAnsi="Arial" w:cs="Arial"/>
          <w:sz w:val="36"/>
          <w:szCs w:val="36"/>
        </w:rPr>
        <w:t xml:space="preserve"> Supplemented with </w:t>
      </w:r>
      <w:r w:rsidR="001D3326" w:rsidRPr="001D3326">
        <w:rPr>
          <w:rStyle w:val="Emphasis"/>
          <w:rFonts w:ascii="Arial" w:hAnsi="Arial" w:cs="Arial"/>
          <w:sz w:val="36"/>
          <w:szCs w:val="36"/>
        </w:rPr>
        <w:t>Clerodendrum</w:t>
      </w:r>
      <w:r>
        <w:rPr>
          <w:rStyle w:val="Emphasis"/>
          <w:rFonts w:ascii="Arial" w:hAnsi="Arial" w:cs="Arial"/>
          <w:sz w:val="36"/>
          <w:szCs w:val="36"/>
        </w:rPr>
        <w:t xml:space="preserve"> </w:t>
      </w:r>
      <w:r w:rsidR="001D3326" w:rsidRPr="001D3326">
        <w:rPr>
          <w:rStyle w:val="Emphasis"/>
          <w:rFonts w:ascii="Arial" w:hAnsi="Arial" w:cs="Arial"/>
          <w:sz w:val="36"/>
          <w:szCs w:val="36"/>
        </w:rPr>
        <w:t>colebrookianum</w:t>
      </w:r>
      <w:r w:rsidR="001D3326" w:rsidRPr="001D3326">
        <w:rPr>
          <w:rFonts w:ascii="Arial" w:hAnsi="Arial" w:cs="Arial"/>
          <w:sz w:val="36"/>
          <w:szCs w:val="36"/>
        </w:rPr>
        <w:t xml:space="preserve"> Leaves and Black Soldier Fly Larvae</w:t>
      </w:r>
    </w:p>
    <w:p w:rsidR="004F1099" w:rsidRDefault="004F1099">
      <w:pPr>
        <w:rPr>
          <w:rFonts w:ascii="Arial" w:hAnsi="Arial" w:cs="Arial"/>
          <w:b/>
          <w:bCs/>
          <w:lang w:val="en-US"/>
        </w:rPr>
      </w:pPr>
    </w:p>
    <w:p w:rsidR="00DD487D" w:rsidRPr="00E46D6B" w:rsidRDefault="00EE66B4">
      <w:pPr>
        <w:rPr>
          <w:rFonts w:ascii="Arial" w:hAnsi="Arial" w:cs="Arial"/>
          <w:b/>
          <w:bCs/>
          <w:lang w:val="en-US"/>
        </w:rPr>
      </w:pPr>
      <w:r w:rsidRPr="00E46D6B">
        <w:rPr>
          <w:rFonts w:ascii="Arial" w:hAnsi="Arial" w:cs="Arial"/>
          <w:b/>
          <w:bCs/>
          <w:lang w:val="en-US"/>
        </w:rPr>
        <w:t>ABSTRACT:</w:t>
      </w:r>
    </w:p>
    <w:p w:rsidR="00DD487D" w:rsidRPr="00E46D6B" w:rsidRDefault="00EE66B4">
      <w:pPr>
        <w:jc w:val="both"/>
        <w:rPr>
          <w:rFonts w:ascii="Arial" w:hAnsi="Arial" w:cs="Arial"/>
          <w:sz w:val="20"/>
          <w:szCs w:val="20"/>
        </w:rPr>
      </w:pPr>
      <w:r w:rsidRPr="00E46D6B">
        <w:rPr>
          <w:rFonts w:ascii="Arial" w:hAnsi="Arial" w:cs="Arial"/>
          <w:sz w:val="20"/>
          <w:szCs w:val="20"/>
        </w:rPr>
        <w:t xml:space="preserve">This study investigated the efficacy of a specially formulated fish feed incorporating </w:t>
      </w:r>
      <w:r w:rsidRPr="00E46D6B">
        <w:rPr>
          <w:rFonts w:ascii="Arial" w:hAnsi="Arial" w:cs="Arial"/>
          <w:i/>
          <w:iCs/>
          <w:sz w:val="20"/>
          <w:szCs w:val="20"/>
        </w:rPr>
        <w:t>Clerodendrum colebrookianum</w:t>
      </w:r>
      <w:r w:rsidRPr="00E46D6B">
        <w:rPr>
          <w:rFonts w:ascii="Arial" w:hAnsi="Arial" w:cs="Arial"/>
          <w:sz w:val="20"/>
          <w:szCs w:val="20"/>
        </w:rPr>
        <w:t xml:space="preserve"> leaves and dehydrated Black Soldier Fly (BSF) larvae in promoting the growth of Chocolate Mahseer (</w:t>
      </w:r>
      <w:r w:rsidRPr="00E46D6B">
        <w:rPr>
          <w:rFonts w:ascii="Arial" w:hAnsi="Arial" w:cs="Arial"/>
          <w:i/>
          <w:iCs/>
          <w:sz w:val="20"/>
          <w:szCs w:val="20"/>
        </w:rPr>
        <w:t>Neolissochilushexagonolepis</w:t>
      </w:r>
      <w:r w:rsidRPr="00E46D6B">
        <w:rPr>
          <w:rFonts w:ascii="Arial" w:hAnsi="Arial" w:cs="Arial"/>
          <w:sz w:val="20"/>
          <w:szCs w:val="20"/>
        </w:rPr>
        <w:t xml:space="preserve">). A total of sixty fingerlings were equally allocated into control and experimental groups and were maintained over a period of 90 days. The control group received a traditional feed comprised of rice bran and mustard oil cake, whereas the treatment group was given a diet supplemented with BSF larvae and </w:t>
      </w:r>
      <w:r w:rsidRPr="00E46D6B">
        <w:rPr>
          <w:rFonts w:ascii="Arial" w:hAnsi="Arial" w:cs="Arial"/>
          <w:i/>
          <w:iCs/>
          <w:sz w:val="20"/>
          <w:szCs w:val="20"/>
        </w:rPr>
        <w:t>C. colebrookianum</w:t>
      </w:r>
      <w:r w:rsidRPr="00E46D6B">
        <w:rPr>
          <w:rFonts w:ascii="Arial" w:hAnsi="Arial" w:cs="Arial"/>
          <w:sz w:val="20"/>
          <w:szCs w:val="20"/>
        </w:rPr>
        <w:t>, along with the same base components. The dietary formulation was calibrated utilizing the Pearson Square method to achieve a crude protein level of 35%. Fish that were provided the enhanced diet exhibited significantly improved results regarding body weight increase (49g –55 g), growth efficiency (SGR: 1.12–1.20), and feed conversion ratio (FCR: 1.37–1.54). Both groups exhibited complete survival throughout the duration of the experiment. These results endorse the incorporation of local plant and insect protein sources as viable and sustainable feed constituents aimed at enhancing aquaculture productivity for Chocolate Mahseer.</w:t>
      </w:r>
    </w:p>
    <w:p w:rsidR="00DD487D" w:rsidRPr="00E46D6B" w:rsidRDefault="00EE66B4">
      <w:pPr>
        <w:spacing w:line="240" w:lineRule="auto"/>
        <w:jc w:val="both"/>
        <w:rPr>
          <w:rFonts w:ascii="Times New Roman" w:hAnsi="Times New Roman" w:cs="Times New Roman"/>
          <w:i/>
          <w:sz w:val="24"/>
          <w:szCs w:val="24"/>
        </w:rPr>
      </w:pPr>
      <w:r w:rsidRPr="00E46D6B">
        <w:rPr>
          <w:rFonts w:ascii="Arial" w:hAnsi="Arial" w:cs="Arial"/>
          <w:b/>
          <w:bCs/>
          <w:sz w:val="20"/>
          <w:szCs w:val="20"/>
          <w:lang w:val="en-US"/>
        </w:rPr>
        <w:t>KEYWORDS</w:t>
      </w:r>
      <w:r>
        <w:rPr>
          <w:rFonts w:ascii="Times New Roman" w:hAnsi="Times New Roman" w:cs="Times New Roman"/>
          <w:b/>
          <w:bCs/>
          <w:sz w:val="24"/>
          <w:szCs w:val="24"/>
          <w:lang w:val="en-US"/>
        </w:rPr>
        <w:t>:</w:t>
      </w:r>
      <w:r w:rsidRPr="00E46D6B">
        <w:rPr>
          <w:rFonts w:ascii="Times New Roman" w:hAnsi="Times New Roman" w:cs="Times New Roman"/>
          <w:i/>
          <w:sz w:val="24"/>
          <w:szCs w:val="24"/>
        </w:rPr>
        <w:t xml:space="preserve">Chocolate Mahseer, </w:t>
      </w:r>
      <w:r w:rsidRPr="00E46D6B">
        <w:rPr>
          <w:rFonts w:ascii="Times New Roman" w:hAnsi="Times New Roman" w:cs="Times New Roman"/>
          <w:i/>
          <w:iCs/>
          <w:sz w:val="24"/>
          <w:szCs w:val="24"/>
        </w:rPr>
        <w:t>Clerodendrumcolebrookianum</w:t>
      </w:r>
      <w:r w:rsidRPr="00E46D6B">
        <w:rPr>
          <w:rFonts w:ascii="Times New Roman" w:hAnsi="Times New Roman" w:cs="Times New Roman"/>
          <w:i/>
          <w:sz w:val="24"/>
          <w:szCs w:val="24"/>
        </w:rPr>
        <w:t>, Black Soldier Fly, growth performance</w:t>
      </w:r>
    </w:p>
    <w:p w:rsidR="00DD487D" w:rsidRPr="00E46D6B" w:rsidRDefault="00DD487D">
      <w:pPr>
        <w:spacing w:line="240" w:lineRule="auto"/>
        <w:jc w:val="both"/>
        <w:rPr>
          <w:rFonts w:ascii="Arial" w:hAnsi="Arial" w:cs="Arial"/>
          <w:sz w:val="24"/>
          <w:szCs w:val="24"/>
        </w:rPr>
      </w:pPr>
    </w:p>
    <w:p w:rsidR="00DD487D" w:rsidRPr="00E46D6B" w:rsidRDefault="00E46D6B" w:rsidP="00E46D6B">
      <w:pPr>
        <w:rPr>
          <w:rFonts w:ascii="Arial" w:hAnsi="Arial" w:cs="Arial"/>
          <w:b/>
          <w:bCs/>
        </w:rPr>
      </w:pPr>
      <w:r>
        <w:rPr>
          <w:rFonts w:ascii="Arial" w:hAnsi="Arial" w:cs="Arial"/>
          <w:b/>
          <w:bCs/>
        </w:rPr>
        <w:t>1.</w:t>
      </w:r>
      <w:r w:rsidR="00EE66B4" w:rsidRPr="00E46D6B">
        <w:rPr>
          <w:rFonts w:ascii="Arial" w:hAnsi="Arial" w:cs="Arial"/>
          <w:b/>
          <w:bCs/>
        </w:rPr>
        <w:t>INTRODUCTION</w:t>
      </w:r>
    </w:p>
    <w:p w:rsidR="00DD487D" w:rsidRPr="00E46D6B" w:rsidRDefault="00EE66B4">
      <w:pPr>
        <w:jc w:val="both"/>
        <w:rPr>
          <w:rFonts w:ascii="Arial" w:hAnsi="Arial" w:cs="Arial"/>
          <w:sz w:val="20"/>
          <w:szCs w:val="20"/>
        </w:rPr>
      </w:pPr>
      <w:r w:rsidRPr="00E46D6B">
        <w:rPr>
          <w:rFonts w:ascii="Arial" w:hAnsi="Arial" w:cs="Arial"/>
          <w:sz w:val="20"/>
          <w:szCs w:val="20"/>
        </w:rPr>
        <w:t>Aquaculture is the key to global food security, and interest is growing in producing nutritionally balanced and environmentally friendly feeds to help fish achieve their maximum growth and health (</w:t>
      </w:r>
      <w:r w:rsidRPr="00E46D6B">
        <w:rPr>
          <w:rFonts w:ascii="Arial" w:hAnsi="Arial" w:cs="Arial"/>
          <w:b/>
          <w:bCs/>
          <w:sz w:val="20"/>
          <w:szCs w:val="20"/>
        </w:rPr>
        <w:t>Tacon &amp; Metian, 2008</w:t>
      </w:r>
      <w:r w:rsidRPr="00E46D6B">
        <w:rPr>
          <w:rFonts w:ascii="Arial" w:hAnsi="Arial" w:cs="Arial"/>
          <w:sz w:val="20"/>
          <w:szCs w:val="20"/>
        </w:rPr>
        <w:t>). One such species of concern is the Chocolate Mahseer (</w:t>
      </w:r>
      <w:r w:rsidRPr="00E46D6B">
        <w:rPr>
          <w:rFonts w:ascii="Arial" w:hAnsi="Arial" w:cs="Arial"/>
          <w:i/>
          <w:iCs/>
          <w:sz w:val="20"/>
          <w:szCs w:val="20"/>
        </w:rPr>
        <w:t>Neolissochilushexagonolepis</w:t>
      </w:r>
      <w:r w:rsidRPr="00E46D6B">
        <w:rPr>
          <w:rFonts w:ascii="Arial" w:hAnsi="Arial" w:cs="Arial"/>
          <w:sz w:val="20"/>
          <w:szCs w:val="20"/>
        </w:rPr>
        <w:t xml:space="preserve">), a native freshwater fish of the Himalayas, specifically Northeast India, for which it is greatly valued in terms of food and recreational sport fishing. Although it has a promising potential for commercial aquaculture due to its sizeable body, good palate, and environmental adaptability, its slow growth under culturing conditions is a major hindrance (Laskar </w:t>
      </w:r>
      <w:r w:rsidRPr="00E46D6B">
        <w:rPr>
          <w:rFonts w:ascii="Arial" w:hAnsi="Arial" w:cs="Arial"/>
          <w:i/>
          <w:iCs/>
          <w:sz w:val="20"/>
          <w:szCs w:val="20"/>
        </w:rPr>
        <w:t>et al.</w:t>
      </w:r>
      <w:r w:rsidRPr="00E46D6B">
        <w:rPr>
          <w:rFonts w:ascii="Arial" w:hAnsi="Arial" w:cs="Arial"/>
          <w:sz w:val="20"/>
          <w:szCs w:val="20"/>
        </w:rPr>
        <w:t xml:space="preserve"> 2009). This constraint emphasizes the need to create nutrient-optimized feed formulations specific to the species' nutritional requirements.</w:t>
      </w:r>
    </w:p>
    <w:p w:rsidR="00DD487D" w:rsidRPr="00E46D6B" w:rsidRDefault="00EE66B4">
      <w:pPr>
        <w:jc w:val="both"/>
        <w:rPr>
          <w:rFonts w:ascii="Arial" w:hAnsi="Arial" w:cs="Arial"/>
          <w:sz w:val="20"/>
          <w:szCs w:val="20"/>
        </w:rPr>
      </w:pPr>
      <w:r w:rsidRPr="00E46D6B">
        <w:rPr>
          <w:rFonts w:ascii="Arial" w:hAnsi="Arial" w:cs="Arial"/>
          <w:sz w:val="20"/>
          <w:szCs w:val="20"/>
        </w:rPr>
        <w:t>Historically, fishmeal has dominated the use as the main protein source in aquafeeds. Issues with its increasing price, scarcity of supply, and environmental footprint have prompted the quest for more environmentally friendly and affordable sources (</w:t>
      </w:r>
      <w:r w:rsidRPr="00E46D6B">
        <w:rPr>
          <w:rFonts w:ascii="Arial" w:hAnsi="Arial" w:cs="Arial"/>
          <w:b/>
          <w:bCs/>
          <w:sz w:val="20"/>
          <w:szCs w:val="20"/>
        </w:rPr>
        <w:t xml:space="preserve">Makkar </w:t>
      </w:r>
      <w:r w:rsidRPr="00E46D6B">
        <w:rPr>
          <w:rFonts w:ascii="Arial" w:hAnsi="Arial" w:cs="Arial"/>
          <w:b/>
          <w:bCs/>
          <w:i/>
          <w:iCs/>
          <w:sz w:val="20"/>
          <w:szCs w:val="20"/>
        </w:rPr>
        <w:t>et al.</w:t>
      </w:r>
      <w:r w:rsidRPr="00E46D6B">
        <w:rPr>
          <w:rFonts w:ascii="Arial" w:hAnsi="Arial" w:cs="Arial"/>
          <w:b/>
          <w:bCs/>
          <w:sz w:val="20"/>
          <w:szCs w:val="20"/>
        </w:rPr>
        <w:t xml:space="preserve"> 2014; Sánchez </w:t>
      </w:r>
      <w:r w:rsidRPr="00E46D6B">
        <w:rPr>
          <w:rFonts w:ascii="Arial" w:hAnsi="Arial" w:cs="Arial"/>
          <w:b/>
          <w:bCs/>
          <w:i/>
          <w:iCs/>
          <w:sz w:val="20"/>
          <w:szCs w:val="20"/>
        </w:rPr>
        <w:t>et al.</w:t>
      </w:r>
      <w:r w:rsidRPr="00E46D6B">
        <w:rPr>
          <w:rFonts w:ascii="Arial" w:hAnsi="Arial" w:cs="Arial"/>
          <w:b/>
          <w:bCs/>
          <w:sz w:val="20"/>
          <w:szCs w:val="20"/>
        </w:rPr>
        <w:t xml:space="preserve"> 2014</w:t>
      </w:r>
      <w:r w:rsidRPr="00E46D6B">
        <w:rPr>
          <w:rFonts w:ascii="Arial" w:hAnsi="Arial" w:cs="Arial"/>
          <w:sz w:val="20"/>
          <w:szCs w:val="20"/>
        </w:rPr>
        <w:t xml:space="preserve">). Substitutes under consideration include plant-based and insect-based ingredients. </w:t>
      </w:r>
      <w:r w:rsidRPr="00E46D6B">
        <w:rPr>
          <w:rFonts w:ascii="Arial" w:hAnsi="Arial" w:cs="Arial"/>
          <w:i/>
          <w:iCs/>
          <w:sz w:val="20"/>
          <w:szCs w:val="20"/>
        </w:rPr>
        <w:t>Clerodendrum colebrookianum</w:t>
      </w:r>
      <w:r w:rsidRPr="00E46D6B">
        <w:rPr>
          <w:rFonts w:ascii="Arial" w:hAnsi="Arial" w:cs="Arial"/>
          <w:sz w:val="20"/>
          <w:szCs w:val="20"/>
        </w:rPr>
        <w:t>, a Northeast Indian endemic medicinal plant, has been reported to possess antioxidant, anti-inflammatory, and hypolipidemic activities (Syiem</w:t>
      </w:r>
      <w:r w:rsidRPr="00E46D6B">
        <w:rPr>
          <w:rFonts w:ascii="Arial" w:hAnsi="Arial" w:cs="Arial"/>
          <w:i/>
          <w:iCs/>
          <w:sz w:val="20"/>
          <w:szCs w:val="20"/>
        </w:rPr>
        <w:t>et al.</w:t>
      </w:r>
      <w:r w:rsidRPr="00E46D6B">
        <w:rPr>
          <w:rFonts w:ascii="Arial" w:hAnsi="Arial" w:cs="Arial"/>
          <w:sz w:val="20"/>
          <w:szCs w:val="20"/>
        </w:rPr>
        <w:t xml:space="preserve"> 2002) and has been found to have approximately 27% crude protein content (Seal, 2011), suggesting it as a potential plant-based protein source. Similarly, Black Soldier Fly larvae (</w:t>
      </w:r>
      <w:r w:rsidRPr="00E46D6B">
        <w:rPr>
          <w:rFonts w:ascii="Arial" w:hAnsi="Arial" w:cs="Arial"/>
          <w:i/>
          <w:iCs/>
          <w:sz w:val="20"/>
          <w:szCs w:val="20"/>
        </w:rPr>
        <w:t>Hermetiaillucens</w:t>
      </w:r>
      <w:r w:rsidRPr="00E46D6B">
        <w:rPr>
          <w:rFonts w:ascii="Arial" w:hAnsi="Arial" w:cs="Arial"/>
          <w:sz w:val="20"/>
          <w:szCs w:val="20"/>
        </w:rPr>
        <w:t>) are known for having high protein levels (37% to 63%), full amino acid composition, positive fatty acids like lauric acid, and they can transform organic waste into nutrient-dense biomass (</w:t>
      </w:r>
      <w:r w:rsidRPr="00E46D6B">
        <w:rPr>
          <w:rFonts w:ascii="Arial" w:hAnsi="Arial" w:cs="Arial"/>
          <w:b/>
          <w:bCs/>
          <w:sz w:val="20"/>
          <w:szCs w:val="20"/>
        </w:rPr>
        <w:t xml:space="preserve">Barroso </w:t>
      </w:r>
      <w:r w:rsidRPr="00E46D6B">
        <w:rPr>
          <w:rFonts w:ascii="Arial" w:hAnsi="Arial" w:cs="Arial"/>
          <w:b/>
          <w:bCs/>
          <w:i/>
          <w:iCs/>
          <w:sz w:val="20"/>
          <w:szCs w:val="20"/>
        </w:rPr>
        <w:t>et al.</w:t>
      </w:r>
      <w:r w:rsidRPr="00E46D6B">
        <w:rPr>
          <w:rFonts w:ascii="Arial" w:hAnsi="Arial" w:cs="Arial"/>
          <w:b/>
          <w:bCs/>
          <w:sz w:val="20"/>
          <w:szCs w:val="20"/>
        </w:rPr>
        <w:t xml:space="preserve"> 2014; Rumpold&amp; Schlüter, 2013; Zulkifli </w:t>
      </w:r>
      <w:r w:rsidRPr="00E46D6B">
        <w:rPr>
          <w:rFonts w:ascii="Arial" w:hAnsi="Arial" w:cs="Arial"/>
          <w:b/>
          <w:bCs/>
          <w:i/>
          <w:iCs/>
          <w:sz w:val="20"/>
          <w:szCs w:val="20"/>
        </w:rPr>
        <w:t>et al.</w:t>
      </w:r>
      <w:r w:rsidRPr="00E46D6B">
        <w:rPr>
          <w:rFonts w:ascii="Arial" w:hAnsi="Arial" w:cs="Arial"/>
          <w:b/>
          <w:bCs/>
          <w:sz w:val="20"/>
          <w:szCs w:val="20"/>
        </w:rPr>
        <w:t xml:space="preserve"> 2022</w:t>
      </w:r>
      <w:r w:rsidRPr="00E46D6B">
        <w:rPr>
          <w:rFonts w:ascii="Arial" w:hAnsi="Arial" w:cs="Arial"/>
          <w:sz w:val="20"/>
          <w:szCs w:val="20"/>
        </w:rPr>
        <w:t>).</w:t>
      </w:r>
    </w:p>
    <w:p w:rsidR="00DD487D" w:rsidRPr="00E46D6B" w:rsidRDefault="00EE66B4">
      <w:pPr>
        <w:jc w:val="both"/>
        <w:rPr>
          <w:rFonts w:ascii="Arial" w:hAnsi="Arial" w:cs="Arial"/>
          <w:sz w:val="20"/>
          <w:szCs w:val="20"/>
        </w:rPr>
      </w:pPr>
      <w:r w:rsidRPr="00E46D6B">
        <w:rPr>
          <w:rFonts w:ascii="Arial" w:hAnsi="Arial" w:cs="Arial"/>
          <w:sz w:val="20"/>
          <w:szCs w:val="20"/>
        </w:rPr>
        <w:lastRenderedPageBreak/>
        <w:t xml:space="preserve">A number of studies have validated the performance of BSF larvae as a potential alternative to fishmeal without any negative impact on fish growth or health. For instance, </w:t>
      </w:r>
      <w:r w:rsidRPr="00E46D6B">
        <w:rPr>
          <w:rFonts w:ascii="Arial" w:hAnsi="Arial" w:cs="Arial"/>
          <w:b/>
          <w:bCs/>
          <w:sz w:val="20"/>
          <w:szCs w:val="20"/>
        </w:rPr>
        <w:t xml:space="preserve">Kroeckel </w:t>
      </w:r>
      <w:r w:rsidRPr="00E46D6B">
        <w:rPr>
          <w:rFonts w:ascii="Arial" w:hAnsi="Arial" w:cs="Arial"/>
          <w:b/>
          <w:bCs/>
          <w:i/>
          <w:iCs/>
          <w:sz w:val="20"/>
          <w:szCs w:val="20"/>
        </w:rPr>
        <w:t>et al.</w:t>
      </w:r>
      <w:r w:rsidRPr="00E46D6B">
        <w:rPr>
          <w:rFonts w:ascii="Arial" w:hAnsi="Arial" w:cs="Arial"/>
          <w:b/>
          <w:bCs/>
          <w:sz w:val="20"/>
          <w:szCs w:val="20"/>
        </w:rPr>
        <w:t>(2012)</w:t>
      </w:r>
      <w:r w:rsidRPr="00E46D6B">
        <w:rPr>
          <w:rFonts w:ascii="Arial" w:hAnsi="Arial" w:cs="Arial"/>
          <w:sz w:val="20"/>
          <w:szCs w:val="20"/>
        </w:rPr>
        <w:t xml:space="preserve"> illustrated that BSF pre-pupae meal could replace fishmeal in the juvenile turbot diet without affecting growth performance. Moreover, the application of BSF larvae facilitates the establishment of circular bioeconomy systems because it can recover nutrients from organic waste and minimize the environmental impact of aquaculture (</w:t>
      </w:r>
      <w:r w:rsidRPr="00E46D6B">
        <w:rPr>
          <w:rFonts w:ascii="Arial" w:hAnsi="Arial" w:cs="Arial"/>
          <w:b/>
          <w:bCs/>
          <w:sz w:val="20"/>
          <w:szCs w:val="20"/>
        </w:rPr>
        <w:t xml:space="preserve">Newton </w:t>
      </w:r>
      <w:r w:rsidRPr="00E46D6B">
        <w:rPr>
          <w:rFonts w:ascii="Arial" w:hAnsi="Arial" w:cs="Arial"/>
          <w:b/>
          <w:bCs/>
          <w:i/>
          <w:iCs/>
          <w:sz w:val="20"/>
          <w:szCs w:val="20"/>
        </w:rPr>
        <w:t>et al.</w:t>
      </w:r>
      <w:r w:rsidRPr="00E46D6B">
        <w:rPr>
          <w:rFonts w:ascii="Arial" w:hAnsi="Arial" w:cs="Arial"/>
          <w:b/>
          <w:bCs/>
          <w:sz w:val="20"/>
          <w:szCs w:val="20"/>
        </w:rPr>
        <w:t xml:space="preserve"> 2005; Müller </w:t>
      </w:r>
      <w:r w:rsidRPr="00E46D6B">
        <w:rPr>
          <w:rFonts w:ascii="Arial" w:hAnsi="Arial" w:cs="Arial"/>
          <w:b/>
          <w:bCs/>
          <w:i/>
          <w:iCs/>
          <w:sz w:val="20"/>
          <w:szCs w:val="20"/>
        </w:rPr>
        <w:t>et al.</w:t>
      </w:r>
      <w:r w:rsidRPr="00E46D6B">
        <w:rPr>
          <w:rFonts w:ascii="Arial" w:hAnsi="Arial" w:cs="Arial"/>
          <w:b/>
          <w:bCs/>
          <w:sz w:val="20"/>
          <w:szCs w:val="20"/>
        </w:rPr>
        <w:t xml:space="preserve"> 2017</w:t>
      </w:r>
      <w:r w:rsidRPr="00E46D6B">
        <w:rPr>
          <w:rFonts w:ascii="Arial" w:hAnsi="Arial" w:cs="Arial"/>
          <w:sz w:val="20"/>
          <w:szCs w:val="20"/>
        </w:rPr>
        <w:t>).</w:t>
      </w:r>
    </w:p>
    <w:p w:rsidR="00DD487D" w:rsidRPr="00E46D6B" w:rsidRDefault="00EE66B4">
      <w:pPr>
        <w:jc w:val="both"/>
        <w:rPr>
          <w:rFonts w:ascii="Arial" w:hAnsi="Arial" w:cs="Arial"/>
          <w:sz w:val="20"/>
          <w:szCs w:val="20"/>
        </w:rPr>
      </w:pPr>
      <w:r w:rsidRPr="00E46D6B">
        <w:rPr>
          <w:rFonts w:ascii="Arial" w:hAnsi="Arial" w:cs="Arial"/>
          <w:sz w:val="20"/>
          <w:szCs w:val="20"/>
        </w:rPr>
        <w:t>Secondly, conventional feed ingredients such as mustard oil cake (MOC) and rice bran have also been found to boost survival and growth in some species including Ompokpabda and Tor tor under pond culture systems (</w:t>
      </w:r>
      <w:r w:rsidRPr="00E46D6B">
        <w:rPr>
          <w:rFonts w:ascii="Arial" w:hAnsi="Arial" w:cs="Arial"/>
          <w:b/>
          <w:bCs/>
          <w:sz w:val="20"/>
          <w:szCs w:val="20"/>
        </w:rPr>
        <w:t xml:space="preserve">Singh </w:t>
      </w:r>
      <w:r w:rsidRPr="00E46D6B">
        <w:rPr>
          <w:rFonts w:ascii="Arial" w:hAnsi="Arial" w:cs="Arial"/>
          <w:b/>
          <w:bCs/>
          <w:i/>
          <w:iCs/>
          <w:sz w:val="20"/>
          <w:szCs w:val="20"/>
        </w:rPr>
        <w:t>et al.</w:t>
      </w:r>
      <w:r w:rsidRPr="00E46D6B">
        <w:rPr>
          <w:rFonts w:ascii="Arial" w:hAnsi="Arial" w:cs="Arial"/>
          <w:b/>
          <w:bCs/>
          <w:sz w:val="20"/>
          <w:szCs w:val="20"/>
        </w:rPr>
        <w:t xml:space="preserve"> 2017</w:t>
      </w:r>
      <w:r w:rsidRPr="00E46D6B">
        <w:rPr>
          <w:rFonts w:ascii="Arial" w:hAnsi="Arial" w:cs="Arial"/>
          <w:sz w:val="20"/>
          <w:szCs w:val="20"/>
        </w:rPr>
        <w:t xml:space="preserve">). </w:t>
      </w:r>
      <w:r w:rsidRPr="00E46D6B">
        <w:rPr>
          <w:rFonts w:ascii="Arial" w:hAnsi="Arial" w:cs="Arial"/>
          <w:b/>
          <w:bCs/>
          <w:sz w:val="20"/>
          <w:szCs w:val="20"/>
        </w:rPr>
        <w:t>Seal (2011)</w:t>
      </w:r>
      <w:r w:rsidRPr="00E46D6B">
        <w:rPr>
          <w:rFonts w:ascii="Arial" w:hAnsi="Arial" w:cs="Arial"/>
          <w:sz w:val="20"/>
          <w:szCs w:val="20"/>
        </w:rPr>
        <w:t xml:space="preserve"> also pointed out the nutritional and antioxidant potential of plant-based feed ingredients in formulating balanced diets. Incorporating indigenous knowledge into innovative aquaculture practices has also been found to lead to sustainable farming. For example, the War Khasi people of Meghalaya employ ecologically friendly and culture-based traditional fishing practices (</w:t>
      </w:r>
      <w:r w:rsidRPr="00E46D6B">
        <w:rPr>
          <w:rFonts w:ascii="Arial" w:hAnsi="Arial" w:cs="Arial"/>
          <w:b/>
          <w:bCs/>
          <w:sz w:val="20"/>
          <w:szCs w:val="20"/>
        </w:rPr>
        <w:t>Tynsong&amp; Tiwari, 2008</w:t>
      </w:r>
      <w:r w:rsidRPr="00E46D6B">
        <w:rPr>
          <w:rFonts w:ascii="Arial" w:hAnsi="Arial" w:cs="Arial"/>
          <w:sz w:val="20"/>
          <w:szCs w:val="20"/>
        </w:rPr>
        <w:t>), which, when integrated with scientific methods, can assist in more sustainable and locally adapted aquaculture systems.</w:t>
      </w:r>
    </w:p>
    <w:p w:rsidR="00DD487D" w:rsidRPr="00E46D6B" w:rsidRDefault="00EE66B4">
      <w:pPr>
        <w:jc w:val="both"/>
        <w:rPr>
          <w:rFonts w:ascii="Arial" w:hAnsi="Arial" w:cs="Arial"/>
          <w:sz w:val="20"/>
          <w:szCs w:val="20"/>
        </w:rPr>
      </w:pPr>
      <w:r w:rsidRPr="00E46D6B">
        <w:rPr>
          <w:rFonts w:ascii="Arial" w:hAnsi="Arial" w:cs="Arial"/>
          <w:sz w:val="20"/>
          <w:szCs w:val="20"/>
        </w:rPr>
        <w:t>To address issues of nutritional sufficiency, the Pearson Square principle will be used in this research to calculate suitable ratios of high and low protein feed mixtures. This method offers a straightforward yet efficient means of coming up with feeds that satisfy the specific dietary protein needs of the target species (</w:t>
      </w:r>
      <w:r w:rsidRPr="00E46D6B">
        <w:rPr>
          <w:rFonts w:ascii="Arial" w:hAnsi="Arial" w:cs="Arial"/>
          <w:b/>
          <w:bCs/>
          <w:sz w:val="20"/>
          <w:szCs w:val="20"/>
        </w:rPr>
        <w:t>Catacutan, 2002; Hardy, 1980</w:t>
      </w:r>
      <w:r w:rsidRPr="00E46D6B">
        <w:rPr>
          <w:rFonts w:ascii="Arial" w:hAnsi="Arial" w:cs="Arial"/>
          <w:sz w:val="20"/>
          <w:szCs w:val="20"/>
        </w:rPr>
        <w:t xml:space="preserve">). It will be employed to create a diet for Chocolate Mahseer based on </w:t>
      </w:r>
      <w:r w:rsidRPr="00E46D6B">
        <w:rPr>
          <w:rFonts w:ascii="Arial" w:hAnsi="Arial" w:cs="Arial"/>
          <w:i/>
          <w:iCs/>
          <w:sz w:val="20"/>
          <w:szCs w:val="20"/>
        </w:rPr>
        <w:t>Clerodendrum colebrookianum</w:t>
      </w:r>
      <w:r w:rsidRPr="00E46D6B">
        <w:rPr>
          <w:rFonts w:ascii="Arial" w:hAnsi="Arial" w:cs="Arial"/>
          <w:sz w:val="20"/>
          <w:szCs w:val="20"/>
        </w:rPr>
        <w:t xml:space="preserve"> leaves and BSF larvae as main ingredients so that the designed feed is according to the nutritional needs of the species.</w:t>
      </w:r>
    </w:p>
    <w:p w:rsidR="00DD487D" w:rsidRDefault="00E46D6B">
      <w:pPr>
        <w:jc w:val="both"/>
        <w:rPr>
          <w:rFonts w:ascii="Times New Roman" w:hAnsi="Times New Roman" w:cs="Times New Roman"/>
          <w:b/>
          <w:bCs/>
          <w:sz w:val="24"/>
          <w:szCs w:val="24"/>
        </w:rPr>
      </w:pPr>
      <w:r w:rsidRPr="00E46D6B">
        <w:rPr>
          <w:rFonts w:ascii="Times New Roman" w:hAnsi="Times New Roman" w:cs="Times New Roman"/>
          <w:b/>
          <w:sz w:val="20"/>
          <w:szCs w:val="20"/>
        </w:rPr>
        <w:t>2.</w:t>
      </w:r>
      <w:r w:rsidR="00EE66B4">
        <w:rPr>
          <w:rFonts w:ascii="Times New Roman" w:hAnsi="Times New Roman" w:cs="Times New Roman"/>
          <w:b/>
          <w:bCs/>
          <w:sz w:val="24"/>
          <w:szCs w:val="24"/>
        </w:rPr>
        <w:t xml:space="preserve"> MATERIALS AND METHODOLOGY</w:t>
      </w:r>
    </w:p>
    <w:p w:rsidR="00DD487D" w:rsidRDefault="00EE66B4">
      <w:pPr>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Pr="00E46D6B">
        <w:rPr>
          <w:rFonts w:ascii="Arial" w:hAnsi="Arial" w:cs="Arial"/>
          <w:b/>
          <w:bCs/>
        </w:rPr>
        <w:t>Experimental site and location:</w:t>
      </w:r>
    </w:p>
    <w:p w:rsidR="00DD487D" w:rsidRPr="00E46D6B" w:rsidRDefault="00EE66B4">
      <w:pPr>
        <w:jc w:val="both"/>
        <w:rPr>
          <w:rFonts w:ascii="Arial" w:hAnsi="Arial" w:cs="Arial"/>
          <w:sz w:val="20"/>
          <w:szCs w:val="20"/>
        </w:rPr>
      </w:pPr>
      <w:r w:rsidRPr="00E46D6B">
        <w:rPr>
          <w:rFonts w:ascii="Arial" w:hAnsi="Arial" w:cs="Arial"/>
          <w:sz w:val="20"/>
          <w:szCs w:val="20"/>
        </w:rPr>
        <w:t>The research work was done in the PA.Khongnoh Fishingpond, Nongmadanshadsngi P.O Pynursla,793110,East Khasi Hills, Shillong, Meghalaya, India</w:t>
      </w:r>
    </w:p>
    <w:p w:rsidR="00DD487D" w:rsidRPr="00E46D6B" w:rsidRDefault="00EE66B4">
      <w:pPr>
        <w:pStyle w:val="ListParagraph"/>
        <w:numPr>
          <w:ilvl w:val="1"/>
          <w:numId w:val="1"/>
        </w:numPr>
        <w:jc w:val="both"/>
        <w:rPr>
          <w:rFonts w:ascii="Arial" w:hAnsi="Arial" w:cs="Arial"/>
        </w:rPr>
      </w:pPr>
      <w:r w:rsidRPr="00E46D6B">
        <w:rPr>
          <w:rFonts w:ascii="Arial" w:hAnsi="Arial" w:cs="Arial"/>
          <w:b/>
          <w:bCs/>
        </w:rPr>
        <w:t>Experimental setup</w:t>
      </w:r>
      <w:r w:rsidR="00E330FA">
        <w:rPr>
          <w:rFonts w:ascii="Arial" w:hAnsi="Arial" w:cs="Arial"/>
          <w:b/>
          <w:bCs/>
        </w:rPr>
        <w:t>:</w:t>
      </w:r>
    </w:p>
    <w:p w:rsidR="00DD487D" w:rsidRPr="00E46D6B" w:rsidRDefault="00EE66B4">
      <w:pPr>
        <w:jc w:val="both"/>
        <w:rPr>
          <w:rFonts w:ascii="Arial" w:hAnsi="Arial" w:cs="Arial"/>
          <w:sz w:val="20"/>
          <w:szCs w:val="20"/>
        </w:rPr>
      </w:pPr>
      <w:r w:rsidRPr="00E46D6B">
        <w:rPr>
          <w:rFonts w:ascii="Arial" w:hAnsi="Arial" w:cs="Arial"/>
          <w:sz w:val="20"/>
          <w:szCs w:val="20"/>
        </w:rPr>
        <w:t xml:space="preserve">A total of 60 fingerlings (average initial weight: 28 g) were assigned to six enclosure (three control and three treatment groups), with uniformly distribution of 10 fishes in each. The experimental duration was 90 days. </w:t>
      </w:r>
      <w:r w:rsidRPr="00E46D6B">
        <w:rPr>
          <w:rFonts w:ascii="Arial" w:hAnsi="Arial" w:cs="Arial"/>
          <w:bCs/>
          <w:sz w:val="20"/>
          <w:szCs w:val="20"/>
        </w:rPr>
        <w:t>Six enclosures (6 ft x 4 ft)were built in the pond using bamboo and mosquito nets to rear the fish.Selective species: Chocolate mahseer (</w:t>
      </w:r>
      <w:r w:rsidRPr="00E46D6B">
        <w:rPr>
          <w:rFonts w:ascii="Arial" w:hAnsi="Arial" w:cs="Arial"/>
          <w:i/>
          <w:iCs/>
          <w:sz w:val="20"/>
          <w:szCs w:val="20"/>
        </w:rPr>
        <w:t>Neolissocheilushexagonolepis</w:t>
      </w:r>
      <w:r w:rsidRPr="00E46D6B">
        <w:rPr>
          <w:rFonts w:ascii="Arial" w:hAnsi="Arial" w:cs="Arial"/>
          <w:sz w:val="20"/>
          <w:szCs w:val="20"/>
        </w:rPr>
        <w:t>) (</w:t>
      </w:r>
      <w:hyperlink r:id="rId8" w:tooltip="John McClelland (doctor)" w:history="1">
        <w:r w:rsidRPr="00E46D6B">
          <w:rPr>
            <w:rStyle w:val="Hyperlink"/>
            <w:rFonts w:ascii="Arial" w:hAnsi="Arial" w:cs="Arial"/>
            <w:color w:val="000000"/>
            <w:sz w:val="20"/>
            <w:szCs w:val="20"/>
            <w:u w:val="none"/>
          </w:rPr>
          <w:t>McClelland</w:t>
        </w:r>
      </w:hyperlink>
      <w:r w:rsidRPr="00E46D6B">
        <w:rPr>
          <w:rFonts w:ascii="Arial" w:hAnsi="Arial" w:cs="Arial"/>
          <w:color w:val="000000"/>
          <w:sz w:val="20"/>
          <w:szCs w:val="20"/>
        </w:rPr>
        <w:t xml:space="preserve">, </w:t>
      </w:r>
      <w:r w:rsidRPr="00E46D6B">
        <w:rPr>
          <w:rFonts w:ascii="Arial" w:hAnsi="Arial" w:cs="Arial"/>
          <w:sz w:val="20"/>
          <w:szCs w:val="20"/>
        </w:rPr>
        <w:t xml:space="preserve">1839). The control diet was composed of rice bran and mustard oil cake, whereas the experimental diet was formulated utilizing Pearson's Square method to incorporate </w:t>
      </w:r>
      <w:r w:rsidRPr="00E46D6B">
        <w:rPr>
          <w:rFonts w:ascii="Arial" w:hAnsi="Arial" w:cs="Arial"/>
          <w:i/>
          <w:iCs/>
          <w:sz w:val="20"/>
          <w:szCs w:val="20"/>
        </w:rPr>
        <w:t>C.  colebrookianum,</w:t>
      </w:r>
      <w:r w:rsidRPr="00E46D6B">
        <w:rPr>
          <w:rFonts w:ascii="Arial" w:hAnsi="Arial" w:cs="Arial"/>
          <w:sz w:val="20"/>
          <w:szCs w:val="20"/>
        </w:rPr>
        <w:t xml:space="preserve"> BSF dry larvae, along with minimal amounts of rice bran and mustard oil cake, achieving a crude protein concentration of 35% in both diets.</w:t>
      </w:r>
    </w:p>
    <w:p w:rsidR="00DD487D" w:rsidRPr="00E46D6B" w:rsidRDefault="00EE66B4">
      <w:pPr>
        <w:jc w:val="both"/>
        <w:rPr>
          <w:rFonts w:ascii="Arial" w:hAnsi="Arial" w:cs="Arial"/>
          <w:sz w:val="20"/>
          <w:szCs w:val="20"/>
        </w:rPr>
      </w:pPr>
      <w:r w:rsidRPr="00E46D6B">
        <w:rPr>
          <w:rFonts w:ascii="Arial" w:hAnsi="Arial" w:cs="Arial"/>
          <w:sz w:val="20"/>
          <w:szCs w:val="20"/>
        </w:rPr>
        <w:t>The fish were fed bi-daily for 90 days at a rate of 3% of body weight. Important growth parameters such as weight gain, mean body weight, specific growth rate (SGR), feed conversion ratio (FCR), and survival rate were recorded systematically. Water quality parameters were maintained at optimal levels to prevent any impact of environmental conditions on the outcome.</w:t>
      </w:r>
    </w:p>
    <w:p w:rsidR="00DD487D" w:rsidRPr="00E46D6B" w:rsidRDefault="00EE66B4">
      <w:pPr>
        <w:pStyle w:val="ListParagraph"/>
        <w:numPr>
          <w:ilvl w:val="1"/>
          <w:numId w:val="1"/>
        </w:numPr>
        <w:jc w:val="both"/>
        <w:rPr>
          <w:rFonts w:ascii="Arial" w:hAnsi="Arial" w:cs="Arial"/>
          <w:b/>
          <w:bCs/>
        </w:rPr>
      </w:pPr>
      <w:r w:rsidRPr="00E46D6B">
        <w:rPr>
          <w:rFonts w:ascii="Arial" w:hAnsi="Arial" w:cs="Arial"/>
          <w:b/>
          <w:bCs/>
        </w:rPr>
        <w:t>Experimental diet</w:t>
      </w:r>
      <w:r w:rsidR="00E330FA">
        <w:rPr>
          <w:rFonts w:ascii="Arial" w:hAnsi="Arial" w:cs="Arial"/>
          <w:b/>
          <w:bCs/>
        </w:rPr>
        <w:t>:</w:t>
      </w:r>
    </w:p>
    <w:p w:rsidR="00DD487D" w:rsidRPr="00E46D6B" w:rsidRDefault="00EE66B4">
      <w:pPr>
        <w:jc w:val="both"/>
        <w:rPr>
          <w:rFonts w:ascii="Arial" w:hAnsi="Arial" w:cs="Arial"/>
          <w:bCs/>
          <w:sz w:val="20"/>
          <w:szCs w:val="20"/>
        </w:rPr>
      </w:pPr>
      <w:r w:rsidRPr="00E46D6B">
        <w:rPr>
          <w:rFonts w:ascii="Arial" w:hAnsi="Arial" w:cs="Arial"/>
          <w:bCs/>
          <w:sz w:val="20"/>
          <w:szCs w:val="20"/>
        </w:rPr>
        <w:t xml:space="preserve">Utilizing the Pearson Square formula to make feed incorporating ingredients like </w:t>
      </w:r>
      <w:bookmarkStart w:id="0" w:name="_Hlk196465404"/>
      <w:r w:rsidRPr="00E46D6B">
        <w:rPr>
          <w:rFonts w:ascii="Arial" w:hAnsi="Arial" w:cs="Arial"/>
          <w:bCs/>
          <w:i/>
          <w:iCs/>
          <w:sz w:val="20"/>
          <w:szCs w:val="20"/>
        </w:rPr>
        <w:t>Clerodendrum colebrookianum</w:t>
      </w:r>
      <w:r w:rsidRPr="00E46D6B">
        <w:rPr>
          <w:rFonts w:ascii="Arial" w:hAnsi="Arial" w:cs="Arial"/>
          <w:bCs/>
          <w:sz w:val="20"/>
          <w:szCs w:val="20"/>
        </w:rPr>
        <w:t>, and black soldier fly dry larvae</w:t>
      </w:r>
      <w:bookmarkEnd w:id="0"/>
      <w:r w:rsidRPr="00E46D6B">
        <w:rPr>
          <w:rFonts w:ascii="Arial" w:hAnsi="Arial" w:cs="Arial"/>
          <w:bCs/>
          <w:sz w:val="20"/>
          <w:szCs w:val="20"/>
        </w:rPr>
        <w:t>. Adjusted ingredients incorporated in the diet, like rice bran and mustard oil cake,</w:t>
      </w:r>
      <w:r w:rsidRPr="00E46D6B">
        <w:rPr>
          <w:rFonts w:ascii="Arial" w:hAnsi="Arial" w:cs="Arial"/>
          <w:sz w:val="20"/>
          <w:szCs w:val="20"/>
        </w:rPr>
        <w:t>achieved a crude protein concentration of 35%.</w:t>
      </w:r>
      <w:bookmarkStart w:id="1" w:name="_Hlk197601918"/>
      <w:r w:rsidRPr="00E46D6B">
        <w:rPr>
          <w:rFonts w:ascii="Arial" w:hAnsi="Arial" w:cs="Arial"/>
          <w:sz w:val="20"/>
          <w:szCs w:val="20"/>
        </w:rPr>
        <w:t>The Pearson square method was an effective technique to find the exact amounts of these ingredients in order to have the optimal nutrient compositions in the experimental diets</w:t>
      </w:r>
      <w:r w:rsidRPr="00E46D6B">
        <w:rPr>
          <w:rFonts w:ascii="Arial" w:hAnsi="Arial" w:cs="Arial"/>
          <w:b/>
          <w:bCs/>
          <w:sz w:val="20"/>
          <w:szCs w:val="20"/>
        </w:rPr>
        <w:t>(Catacutan, 2002)</w:t>
      </w:r>
      <w:r w:rsidRPr="00E46D6B">
        <w:rPr>
          <w:rFonts w:ascii="Arial" w:hAnsi="Arial" w:cs="Arial"/>
          <w:sz w:val="20"/>
          <w:szCs w:val="20"/>
        </w:rPr>
        <w:t xml:space="preserve"> and also provides a useful first step in controlling the total protein or energy level utilizing two main ingredients</w:t>
      </w:r>
      <w:r w:rsidRPr="00E46D6B">
        <w:rPr>
          <w:rFonts w:ascii="Arial" w:hAnsi="Arial" w:cs="Arial"/>
          <w:b/>
          <w:bCs/>
          <w:sz w:val="20"/>
          <w:szCs w:val="20"/>
        </w:rPr>
        <w:t>(Hardy, 1980)</w:t>
      </w:r>
      <w:r w:rsidRPr="00E46D6B">
        <w:rPr>
          <w:rFonts w:ascii="Arial" w:hAnsi="Arial" w:cs="Arial"/>
          <w:sz w:val="20"/>
          <w:szCs w:val="20"/>
        </w:rPr>
        <w:t>.</w:t>
      </w:r>
      <w:bookmarkEnd w:id="1"/>
    </w:p>
    <w:p w:rsidR="00DD487D" w:rsidRPr="00E46D6B" w:rsidRDefault="00200625">
      <w:pPr>
        <w:rPr>
          <w:rFonts w:ascii="Arial" w:hAnsi="Arial" w:cs="Arial"/>
          <w:sz w:val="20"/>
          <w:szCs w:val="20"/>
          <w:lang w:val="en-US"/>
        </w:rPr>
      </w:pPr>
      <w:r w:rsidRPr="00200625">
        <w:rPr>
          <w:rFonts w:ascii="Arial" w:hAnsi="Arial" w:cs="Arial"/>
          <w:bCs/>
          <w:noProof/>
          <w:sz w:val="20"/>
          <w:szCs w:val="20"/>
        </w:rPr>
        <w:lastRenderedPageBreak/>
        <w:pict>
          <v:rect id="1026" o:spid="_x0000_s1035" style="position:absolute;margin-left:341.4pt;margin-top:154.3pt;width:46.2pt;height:27.6pt;z-index:11;visibility:visible;mso-wrap-distance-left:0;mso-wrap-distance-right:0;v-text-anchor:middle" strokeweight="1pt">
            <v:textbox>
              <w:txbxContent>
                <w:p w:rsidR="00DD487D" w:rsidRDefault="00EE66B4">
                  <w:pPr>
                    <w:jc w:val="center"/>
                  </w:pPr>
                  <w:r>
                    <w:t>8</w:t>
                  </w:r>
                </w:p>
              </w:txbxContent>
            </v:textbox>
          </v:rect>
        </w:pict>
      </w:r>
      <w:r w:rsidRPr="00200625">
        <w:rPr>
          <w:rFonts w:ascii="Arial" w:hAnsi="Arial" w:cs="Arial"/>
          <w:bCs/>
          <w:noProof/>
          <w:sz w:val="20"/>
          <w:szCs w:val="20"/>
        </w:rPr>
        <w:pict>
          <v:rect id="1027" o:spid="_x0000_s1034" style="position:absolute;margin-left:342.7pt;margin-top:11.1pt;width:46.2pt;height:27.6pt;z-index:10;visibility:visible;mso-wrap-distance-left:0;mso-wrap-distance-right:0;v-text-anchor:middle" strokeweight="1pt">
            <v:textbox>
              <w:txbxContent>
                <w:p w:rsidR="00DD487D" w:rsidRDefault="00EE66B4">
                  <w:pPr>
                    <w:jc w:val="center"/>
                  </w:pPr>
                  <w:r>
                    <w:t>5</w:t>
                  </w:r>
                </w:p>
              </w:txbxContent>
            </v:textbox>
          </v:rect>
        </w:pict>
      </w:r>
      <w:r w:rsidRPr="00200625">
        <w:rPr>
          <w:rFonts w:ascii="Arial" w:hAnsi="Arial" w:cs="Arial"/>
          <w:bCs/>
          <w:noProof/>
          <w:sz w:val="20"/>
          <w:szCs w:val="20"/>
        </w:rPr>
        <w:pict>
          <v:rect id="1028" o:spid="_x0000_s1033" style="position:absolute;margin-left:9pt;margin-top:144.1pt;width:96pt;height:46.8pt;z-index:9;visibility:visible;mso-wrap-distance-left:0;mso-wrap-distance-right:0;mso-position-horizontal-relative:margin;mso-width-relative:margin;mso-height-relative:margin;v-text-anchor:middle" strokeweight="1pt">
            <v:textbox>
              <w:txbxContent>
                <w:p w:rsidR="00DD487D" w:rsidRDefault="00EE66B4">
                  <w:pPr>
                    <w:jc w:val="center"/>
                    <w:rPr>
                      <w:rFonts w:ascii="Times New Roman" w:hAnsi="Times New Roman" w:cs="Times New Roman"/>
                      <w:i/>
                      <w:iCs/>
                    </w:rPr>
                  </w:pPr>
                  <w:r>
                    <w:rPr>
                      <w:rFonts w:ascii="Times New Roman" w:hAnsi="Times New Roman" w:cs="Times New Roman"/>
                    </w:rPr>
                    <w:t>Black soldier-fly dry larvae(40%)</w:t>
                  </w:r>
                </w:p>
              </w:txbxContent>
            </v:textbox>
            <w10:wrap anchorx="margin"/>
          </v:rect>
        </w:pict>
      </w:r>
      <w:r w:rsidRPr="00200625">
        <w:rPr>
          <w:rFonts w:ascii="Arial" w:hAnsi="Arial" w:cs="Arial"/>
          <w:bCs/>
          <w:noProof/>
          <w:sz w:val="20"/>
          <w:szCs w:val="20"/>
        </w:rPr>
        <w:pict>
          <v:rect id="1029" o:spid="_x0000_s1032" style="position:absolute;margin-left:9pt;margin-top:5.1pt;width:96pt;height:46.8pt;z-index:8;visibility:visible;mso-wrap-distance-left:0;mso-wrap-distance-right:0;mso-position-horizontal-relative:margin;mso-width-relative:margin;mso-height-relative:margin;v-text-anchor:middle" strokeweight="1pt">
            <v:textbox>
              <w:txbxContent>
                <w:p w:rsidR="00DD487D" w:rsidRDefault="00EE66B4">
                  <w:pPr>
                    <w:jc w:val="center"/>
                    <w:rPr>
                      <w:rFonts w:ascii="Times New Roman" w:hAnsi="Times New Roman" w:cs="Times New Roman"/>
                      <w:i/>
                      <w:iCs/>
                    </w:rPr>
                  </w:pPr>
                  <w:r>
                    <w:rPr>
                      <w:rFonts w:ascii="Times New Roman" w:hAnsi="Times New Roman" w:cs="Times New Roman"/>
                      <w:i/>
                      <w:iCs/>
                    </w:rPr>
                    <w:t xml:space="preserve">C. colebrookianum  </w:t>
                  </w:r>
                  <w:r>
                    <w:rPr>
                      <w:rFonts w:ascii="Times New Roman" w:hAnsi="Times New Roman" w:cs="Times New Roman"/>
                    </w:rPr>
                    <w:t>(27%)</w:t>
                  </w:r>
                </w:p>
              </w:txbxContent>
            </v:textbox>
            <w10:wrap anchorx="margin"/>
          </v:rect>
        </w:pict>
      </w:r>
      <w:r w:rsidRPr="00200625">
        <w:rPr>
          <w:rFonts w:ascii="Arial" w:hAnsi="Arial" w:cs="Arial"/>
          <w:bCs/>
          <w:noProof/>
          <w:sz w:val="20"/>
          <w:szCs w:val="20"/>
        </w:rPr>
        <w:pict>
          <v:line id="1030" o:spid="_x0000_s1031" style="position:absolute;z-index:7;visibility:visible;mso-wrap-distance-left:0;mso-wrap-distance-right:0;mso-width-relative:margin;mso-height-relative:margin" from="247.2pt,106.5pt" to="336pt,168.9pt" strokeweight=".5pt">
            <v:stroke joinstyle="miter"/>
          </v:line>
        </w:pict>
      </w:r>
      <w:r w:rsidRPr="00200625">
        <w:rPr>
          <w:rFonts w:ascii="Arial" w:hAnsi="Arial" w:cs="Arial"/>
          <w:bCs/>
          <w:noProof/>
          <w:sz w:val="20"/>
          <w:szCs w:val="20"/>
        </w:rPr>
        <w:pict>
          <v:line id="1031" o:spid="_x0000_s1030" style="position:absolute;flip:y;z-index:6;visibility:visible;mso-wrap-distance-left:0;mso-wrap-distance-right:0;mso-width-relative:margin;mso-height-relative:margin" from="249.6pt,27.9pt" to="336.6pt,83.7pt" strokeweight=".5pt">
            <v:stroke joinstyle="miter"/>
          </v:line>
        </w:pict>
      </w:r>
      <w:r w:rsidRPr="00200625">
        <w:rPr>
          <w:rFonts w:ascii="Arial" w:hAnsi="Arial" w:cs="Arial"/>
          <w:bCs/>
          <w:noProof/>
          <w:sz w:val="20"/>
          <w:szCs w:val="20"/>
        </w:rPr>
        <w:pict>
          <v:line id="1032" o:spid="_x0000_s1029" style="position:absolute;flip:y;z-index:5;visibility:visible;mso-wrap-distance-left:0;mso-wrap-distance-right:0;mso-width-relative:margin;mso-height-relative:margin" from="109.2pt,106.5pt" to="201pt,168.75pt" strokeweight=".5pt">
            <v:stroke joinstyle="miter"/>
          </v:line>
        </w:pict>
      </w:r>
      <w:r w:rsidRPr="00200625">
        <w:rPr>
          <w:rFonts w:ascii="Arial" w:hAnsi="Arial" w:cs="Arial"/>
          <w:bCs/>
          <w:noProof/>
          <w:sz w:val="20"/>
          <w:szCs w:val="20"/>
        </w:rPr>
        <w:pict>
          <v:line id="1033" o:spid="_x0000_s1028" style="position:absolute;z-index:3;visibility:visible;mso-wrap-distance-left:0;mso-wrap-distance-right:0;mso-width-relative:margin;mso-height-relative:margin" from="109.2pt,28.5pt" to="199.8pt,83.7pt" strokeweight=".5pt">
            <v:stroke joinstyle="miter"/>
          </v:line>
        </w:pict>
      </w:r>
      <w:r w:rsidRPr="00200625">
        <w:rPr>
          <w:rFonts w:ascii="Arial" w:hAnsi="Arial" w:cs="Arial"/>
          <w:bCs/>
          <w:noProof/>
          <w:sz w:val="20"/>
          <w:szCs w:val="20"/>
        </w:rPr>
        <w:pict>
          <v:rect id="1034" o:spid="_x0000_s1027" style="position:absolute;margin-left:0;margin-top:83.1pt;width:46.8pt;height:25.2pt;z-index:4;visibility:visible;mso-wrap-distance-left:0;mso-wrap-distance-right:0;mso-position-horizontal:center;mso-position-horizontal-relative:margin;v-text-anchor:middle" strokeweight="1pt">
            <v:textbox>
              <w:txbxContent>
                <w:p w:rsidR="00DD487D" w:rsidRDefault="00EE66B4">
                  <w:pPr>
                    <w:jc w:val="center"/>
                  </w:pPr>
                  <w:r>
                    <w:t>35%</w:t>
                  </w:r>
                </w:p>
              </w:txbxContent>
            </v:textbox>
            <w10:wrap anchorx="margin"/>
          </v:rect>
        </w:pict>
      </w:r>
      <w:r w:rsidRPr="00200625">
        <w:rPr>
          <w:rFonts w:ascii="Arial" w:hAnsi="Arial" w:cs="Arial"/>
          <w:bCs/>
          <w:noProof/>
          <w:color w:val="000000"/>
          <w:sz w:val="20"/>
          <w:szCs w:val="20"/>
        </w:rPr>
        <w:pict>
          <v:rect id="1035" o:spid="_x0000_s1026" style="position:absolute;margin-left:107.4pt;margin-top:27.25pt;width:231.1pt;height:143.25pt;z-index:2;visibility:visible;mso-wrap-distance-left:0;mso-wrap-distance-right:0;mso-width-relative:margin;mso-height-relative:margin" strokeweight="1pt">
            <w10:wrap type="topAndBottom"/>
          </v:rect>
        </w:pict>
      </w:r>
    </w:p>
    <w:p w:rsidR="00DD487D" w:rsidRPr="00E46D6B" w:rsidRDefault="00DD487D">
      <w:pPr>
        <w:rPr>
          <w:rFonts w:ascii="Arial" w:hAnsi="Arial" w:cs="Arial"/>
          <w:b/>
          <w:sz w:val="20"/>
          <w:szCs w:val="20"/>
        </w:rPr>
      </w:pPr>
    </w:p>
    <w:p w:rsidR="00E330FA" w:rsidRDefault="00E330FA">
      <w:pPr>
        <w:rPr>
          <w:rFonts w:ascii="Arial" w:hAnsi="Arial" w:cs="Arial"/>
          <w:b/>
          <w:sz w:val="20"/>
          <w:szCs w:val="20"/>
        </w:rPr>
      </w:pPr>
    </w:p>
    <w:p w:rsidR="00DD487D" w:rsidRPr="00E11A7B" w:rsidRDefault="00EE66B4">
      <w:pPr>
        <w:rPr>
          <w:rFonts w:ascii="Arial" w:hAnsi="Arial" w:cs="Arial"/>
          <w:b/>
          <w:bCs/>
          <w:sz w:val="20"/>
          <w:szCs w:val="20"/>
        </w:rPr>
      </w:pPr>
      <w:r w:rsidRPr="00E11A7B">
        <w:rPr>
          <w:rFonts w:ascii="Arial" w:hAnsi="Arial" w:cs="Arial"/>
          <w:b/>
          <w:sz w:val="20"/>
          <w:szCs w:val="20"/>
        </w:rPr>
        <w:t>Fig1:</w:t>
      </w:r>
      <w:r w:rsidRPr="00E11A7B">
        <w:rPr>
          <w:rFonts w:ascii="Arial" w:hAnsi="Arial" w:cs="Arial"/>
          <w:b/>
          <w:bCs/>
          <w:sz w:val="20"/>
          <w:szCs w:val="20"/>
        </w:rPr>
        <w:t xml:space="preserve">APearson’s Square for formulating a 35% crude protein diet using </w:t>
      </w:r>
      <w:r w:rsidRPr="00E11A7B">
        <w:rPr>
          <w:rFonts w:ascii="Arial" w:hAnsi="Arial" w:cs="Arial"/>
          <w:b/>
          <w:bCs/>
          <w:i/>
          <w:iCs/>
          <w:sz w:val="20"/>
          <w:szCs w:val="20"/>
        </w:rPr>
        <w:t>Clerodendrum colebrookianum</w:t>
      </w:r>
      <w:r w:rsidRPr="00E11A7B">
        <w:rPr>
          <w:rFonts w:ascii="Arial" w:hAnsi="Arial" w:cs="Arial"/>
          <w:b/>
          <w:bCs/>
          <w:sz w:val="20"/>
          <w:szCs w:val="20"/>
        </w:rPr>
        <w:t>leaves and Black Soldier Fly larvae.</w:t>
      </w:r>
    </w:p>
    <w:p w:rsidR="00E11A7B" w:rsidRDefault="00E11A7B">
      <w:pPr>
        <w:rPr>
          <w:rFonts w:ascii="Arial" w:hAnsi="Arial" w:cs="Arial"/>
          <w:b/>
          <w:sz w:val="20"/>
          <w:szCs w:val="20"/>
        </w:rPr>
      </w:pPr>
    </w:p>
    <w:p w:rsidR="00E11A7B" w:rsidRPr="00E11A7B" w:rsidRDefault="00E11A7B">
      <w:pPr>
        <w:rPr>
          <w:rFonts w:ascii="Arial" w:hAnsi="Arial" w:cs="Arial"/>
          <w:bCs/>
          <w:sz w:val="20"/>
          <w:szCs w:val="20"/>
        </w:rPr>
      </w:pPr>
      <w:r w:rsidRPr="00E11A7B">
        <w:rPr>
          <w:rFonts w:ascii="Arial" w:hAnsi="Arial" w:cs="Arial"/>
          <w:b/>
          <w:sz w:val="20"/>
          <w:szCs w:val="20"/>
        </w:rPr>
        <w:t>Table 1</w:t>
      </w:r>
      <w:r w:rsidRPr="00E11A7B">
        <w:rPr>
          <w:rFonts w:ascii="Arial" w:hAnsi="Arial" w:cs="Arial"/>
          <w:b/>
          <w:bCs/>
          <w:sz w:val="20"/>
          <w:szCs w:val="20"/>
        </w:rPr>
        <w:t xml:space="preserve">: </w:t>
      </w:r>
      <w:r w:rsidRPr="00E11A7B">
        <w:rPr>
          <w:rFonts w:ascii="Arial" w:hAnsi="Arial" w:cs="Arial"/>
          <w:b/>
          <w:i/>
          <w:iCs/>
          <w:sz w:val="20"/>
          <w:szCs w:val="20"/>
        </w:rPr>
        <w:t>C. Colebrookianum</w:t>
      </w:r>
      <w:r w:rsidRPr="00E11A7B">
        <w:rPr>
          <w:rFonts w:ascii="Arial" w:hAnsi="Arial" w:cs="Arial"/>
          <w:b/>
          <w:sz w:val="20"/>
          <w:szCs w:val="20"/>
        </w:rPr>
        <w:t>and black soldier fly dry larvae composition for a 35% protein content requirement by Pearson’s square method</w:t>
      </w:r>
      <w:r w:rsidRPr="00E46D6B">
        <w:rPr>
          <w:rFonts w:ascii="Arial" w:hAnsi="Arial" w:cs="Arial"/>
          <w:sz w:val="20"/>
          <w:szCs w:val="20"/>
        </w:rPr>
        <w:t>.</w:t>
      </w:r>
    </w:p>
    <w:tbl>
      <w:tblPr>
        <w:tblStyle w:val="TableGrid"/>
        <w:tblW w:w="0" w:type="auto"/>
        <w:tblInd w:w="-5" w:type="dxa"/>
        <w:tblLook w:val="04A0"/>
      </w:tblPr>
      <w:tblGrid>
        <w:gridCol w:w="2835"/>
        <w:gridCol w:w="2552"/>
        <w:gridCol w:w="3402"/>
      </w:tblGrid>
      <w:tr w:rsidR="00DD487D" w:rsidRPr="00E46D6B">
        <w:trPr>
          <w:trHeight w:val="462"/>
        </w:trPr>
        <w:tc>
          <w:tcPr>
            <w:tcW w:w="2835" w:type="dxa"/>
          </w:tcPr>
          <w:p w:rsidR="00DD487D" w:rsidRPr="00E46D6B" w:rsidRDefault="00EE66B4">
            <w:pPr>
              <w:jc w:val="center"/>
              <w:rPr>
                <w:rFonts w:ascii="Arial" w:hAnsi="Arial" w:cs="Arial"/>
                <w:b/>
                <w:sz w:val="20"/>
                <w:szCs w:val="20"/>
              </w:rPr>
            </w:pPr>
            <w:r w:rsidRPr="00E46D6B">
              <w:rPr>
                <w:rFonts w:ascii="Arial" w:hAnsi="Arial" w:cs="Arial"/>
                <w:b/>
                <w:sz w:val="20"/>
                <w:szCs w:val="20"/>
              </w:rPr>
              <w:t>Ingredients</w:t>
            </w:r>
          </w:p>
        </w:tc>
        <w:tc>
          <w:tcPr>
            <w:tcW w:w="2552" w:type="dxa"/>
          </w:tcPr>
          <w:p w:rsidR="00DD487D" w:rsidRPr="00E46D6B" w:rsidRDefault="00EE66B4">
            <w:pPr>
              <w:jc w:val="center"/>
              <w:rPr>
                <w:rFonts w:ascii="Arial" w:hAnsi="Arial" w:cs="Arial"/>
                <w:b/>
                <w:sz w:val="20"/>
                <w:szCs w:val="20"/>
              </w:rPr>
            </w:pPr>
            <w:r w:rsidRPr="00E46D6B">
              <w:rPr>
                <w:rFonts w:ascii="Arial" w:hAnsi="Arial" w:cs="Arial"/>
                <w:b/>
                <w:bCs/>
                <w:sz w:val="20"/>
                <w:szCs w:val="20"/>
              </w:rPr>
              <w:t>Crude protein (%)</w:t>
            </w:r>
          </w:p>
        </w:tc>
        <w:tc>
          <w:tcPr>
            <w:tcW w:w="3402" w:type="dxa"/>
          </w:tcPr>
          <w:p w:rsidR="00DD487D" w:rsidRPr="00E46D6B" w:rsidRDefault="00EE66B4">
            <w:pPr>
              <w:jc w:val="center"/>
              <w:rPr>
                <w:rFonts w:ascii="Arial" w:hAnsi="Arial" w:cs="Arial"/>
                <w:b/>
                <w:sz w:val="20"/>
                <w:szCs w:val="20"/>
              </w:rPr>
            </w:pPr>
            <w:r w:rsidRPr="00E46D6B">
              <w:rPr>
                <w:rFonts w:ascii="Arial" w:hAnsi="Arial" w:cs="Arial"/>
                <w:b/>
                <w:sz w:val="20"/>
                <w:szCs w:val="20"/>
              </w:rPr>
              <w:t>Composition (%)</w:t>
            </w:r>
          </w:p>
        </w:tc>
      </w:tr>
      <w:tr w:rsidR="00DD487D" w:rsidRPr="00E46D6B">
        <w:trPr>
          <w:trHeight w:val="462"/>
        </w:trPr>
        <w:tc>
          <w:tcPr>
            <w:tcW w:w="2835" w:type="dxa"/>
          </w:tcPr>
          <w:p w:rsidR="00DD487D" w:rsidRPr="00E46D6B" w:rsidRDefault="00EE66B4">
            <w:pPr>
              <w:jc w:val="center"/>
              <w:rPr>
                <w:rFonts w:ascii="Arial" w:hAnsi="Arial" w:cs="Arial"/>
                <w:bCs/>
                <w:sz w:val="20"/>
                <w:szCs w:val="20"/>
              </w:rPr>
            </w:pPr>
            <w:r w:rsidRPr="00E46D6B">
              <w:rPr>
                <w:rFonts w:ascii="Arial" w:hAnsi="Arial" w:cs="Arial"/>
                <w:i/>
                <w:iCs/>
                <w:sz w:val="20"/>
                <w:szCs w:val="20"/>
              </w:rPr>
              <w:t>C. colebrookianum</w:t>
            </w:r>
          </w:p>
        </w:tc>
        <w:tc>
          <w:tcPr>
            <w:tcW w:w="2552" w:type="dxa"/>
          </w:tcPr>
          <w:p w:rsidR="00DD487D" w:rsidRPr="00E46D6B" w:rsidRDefault="00EE66B4">
            <w:pPr>
              <w:jc w:val="center"/>
              <w:rPr>
                <w:rFonts w:ascii="Arial" w:hAnsi="Arial" w:cs="Arial"/>
                <w:bCs/>
                <w:sz w:val="20"/>
                <w:szCs w:val="20"/>
              </w:rPr>
            </w:pPr>
            <w:r w:rsidRPr="00E46D6B">
              <w:rPr>
                <w:rFonts w:ascii="Arial" w:hAnsi="Arial" w:cs="Arial"/>
                <w:sz w:val="20"/>
                <w:szCs w:val="20"/>
              </w:rPr>
              <w:t>27</w:t>
            </w:r>
          </w:p>
        </w:tc>
        <w:tc>
          <w:tcPr>
            <w:tcW w:w="3402" w:type="dxa"/>
          </w:tcPr>
          <w:p w:rsidR="00DD487D" w:rsidRPr="00E46D6B" w:rsidRDefault="00EE66B4">
            <w:pPr>
              <w:jc w:val="center"/>
              <w:rPr>
                <w:rFonts w:ascii="Arial" w:hAnsi="Arial" w:cs="Arial"/>
                <w:bCs/>
                <w:sz w:val="20"/>
                <w:szCs w:val="20"/>
              </w:rPr>
            </w:pPr>
            <w:r w:rsidRPr="00E46D6B">
              <w:rPr>
                <w:rFonts w:ascii="Arial" w:hAnsi="Arial" w:cs="Arial"/>
                <w:bCs/>
                <w:sz w:val="20"/>
                <w:szCs w:val="20"/>
              </w:rPr>
              <w:t>38.46</w:t>
            </w:r>
          </w:p>
        </w:tc>
      </w:tr>
      <w:tr w:rsidR="00DD487D" w:rsidRPr="00E46D6B">
        <w:trPr>
          <w:trHeight w:val="442"/>
        </w:trPr>
        <w:tc>
          <w:tcPr>
            <w:tcW w:w="2835" w:type="dxa"/>
          </w:tcPr>
          <w:p w:rsidR="00DD487D" w:rsidRPr="00E46D6B" w:rsidRDefault="00EE66B4">
            <w:pPr>
              <w:jc w:val="center"/>
              <w:rPr>
                <w:rFonts w:ascii="Arial" w:hAnsi="Arial" w:cs="Arial"/>
                <w:bCs/>
                <w:sz w:val="20"/>
                <w:szCs w:val="20"/>
              </w:rPr>
            </w:pPr>
            <w:r w:rsidRPr="00E46D6B">
              <w:rPr>
                <w:rFonts w:ascii="Arial" w:hAnsi="Arial" w:cs="Arial"/>
                <w:sz w:val="20"/>
                <w:szCs w:val="20"/>
              </w:rPr>
              <w:t>Black soldier fly dry larvae</w:t>
            </w:r>
          </w:p>
        </w:tc>
        <w:tc>
          <w:tcPr>
            <w:tcW w:w="2552" w:type="dxa"/>
          </w:tcPr>
          <w:p w:rsidR="00DD487D" w:rsidRPr="00E46D6B" w:rsidRDefault="00EE66B4">
            <w:pPr>
              <w:jc w:val="center"/>
              <w:rPr>
                <w:rFonts w:ascii="Arial" w:hAnsi="Arial" w:cs="Arial"/>
                <w:bCs/>
                <w:sz w:val="20"/>
                <w:szCs w:val="20"/>
              </w:rPr>
            </w:pPr>
            <w:r w:rsidRPr="00E46D6B">
              <w:rPr>
                <w:rFonts w:ascii="Arial" w:hAnsi="Arial" w:cs="Arial"/>
                <w:sz w:val="20"/>
                <w:szCs w:val="20"/>
              </w:rPr>
              <w:t>40</w:t>
            </w:r>
          </w:p>
        </w:tc>
        <w:tc>
          <w:tcPr>
            <w:tcW w:w="3402" w:type="dxa"/>
          </w:tcPr>
          <w:p w:rsidR="00DD487D" w:rsidRPr="00E46D6B" w:rsidRDefault="00EE66B4">
            <w:pPr>
              <w:jc w:val="center"/>
              <w:rPr>
                <w:rFonts w:ascii="Arial" w:hAnsi="Arial" w:cs="Arial"/>
                <w:bCs/>
                <w:sz w:val="20"/>
                <w:szCs w:val="20"/>
              </w:rPr>
            </w:pPr>
            <w:r w:rsidRPr="00E46D6B">
              <w:rPr>
                <w:rFonts w:ascii="Arial" w:hAnsi="Arial" w:cs="Arial"/>
                <w:bCs/>
                <w:sz w:val="20"/>
                <w:szCs w:val="20"/>
              </w:rPr>
              <w:t>61.53</w:t>
            </w:r>
          </w:p>
        </w:tc>
      </w:tr>
    </w:tbl>
    <w:p w:rsidR="00DD487D" w:rsidRDefault="00DD487D">
      <w:pPr>
        <w:rPr>
          <w:rFonts w:ascii="Arial" w:hAnsi="Arial" w:cs="Arial"/>
          <w:bCs/>
          <w:sz w:val="20"/>
          <w:szCs w:val="20"/>
        </w:rPr>
      </w:pPr>
    </w:p>
    <w:p w:rsidR="00E11A7B" w:rsidRPr="00E11A7B" w:rsidRDefault="00E11A7B" w:rsidP="00E11A7B">
      <w:pPr>
        <w:jc w:val="both"/>
        <w:rPr>
          <w:rFonts w:ascii="Arial" w:hAnsi="Arial" w:cs="Arial"/>
          <w:b/>
          <w:sz w:val="20"/>
          <w:szCs w:val="20"/>
          <w:lang w:val="en-US"/>
        </w:rPr>
      </w:pPr>
      <w:r w:rsidRPr="00E11A7B">
        <w:rPr>
          <w:rFonts w:ascii="Arial" w:hAnsi="Arial" w:cs="Arial"/>
          <w:b/>
          <w:bCs/>
          <w:sz w:val="20"/>
          <w:szCs w:val="20"/>
          <w:lang w:val="en-US"/>
        </w:rPr>
        <w:t xml:space="preserve">Table </w:t>
      </w:r>
      <w:r w:rsidR="00227E3D">
        <w:rPr>
          <w:rFonts w:ascii="Arial" w:hAnsi="Arial" w:cs="Arial"/>
          <w:b/>
          <w:bCs/>
          <w:sz w:val="20"/>
          <w:szCs w:val="20"/>
          <w:lang w:val="en-US"/>
        </w:rPr>
        <w:t>2</w:t>
      </w:r>
      <w:r w:rsidRPr="00E11A7B">
        <w:rPr>
          <w:rFonts w:ascii="Arial" w:hAnsi="Arial" w:cs="Arial"/>
          <w:b/>
          <w:bCs/>
          <w:sz w:val="20"/>
          <w:szCs w:val="20"/>
          <w:lang w:val="en-US"/>
        </w:rPr>
        <w:t xml:space="preserve">: </w:t>
      </w:r>
      <w:r w:rsidRPr="00E11A7B">
        <w:rPr>
          <w:rFonts w:ascii="Arial" w:hAnsi="Arial" w:cs="Arial"/>
          <w:b/>
          <w:sz w:val="20"/>
          <w:szCs w:val="20"/>
          <w:lang w:val="en-US"/>
        </w:rPr>
        <w:t xml:space="preserve">Adjusted ingredients of </w:t>
      </w:r>
      <w:r w:rsidRPr="00E11A7B">
        <w:rPr>
          <w:rFonts w:ascii="Arial" w:hAnsi="Arial" w:cs="Arial"/>
          <w:b/>
          <w:i/>
          <w:iCs/>
          <w:sz w:val="20"/>
          <w:szCs w:val="20"/>
          <w:lang w:val="en-US"/>
        </w:rPr>
        <w:t>C. colebrookianum</w:t>
      </w:r>
      <w:r w:rsidRPr="00E11A7B">
        <w:rPr>
          <w:rFonts w:ascii="Arial" w:hAnsi="Arial" w:cs="Arial"/>
          <w:b/>
          <w:sz w:val="20"/>
          <w:szCs w:val="20"/>
          <w:lang w:val="en-US"/>
        </w:rPr>
        <w:t xml:space="preserve"> and black soldier fly dry larvae at 90% were utilized, with rice bran and mustard oil cake at 5% each as diet for treatment in the experimental study.</w:t>
      </w:r>
    </w:p>
    <w:p w:rsidR="00DD487D" w:rsidRPr="00E46D6B" w:rsidRDefault="00DD487D">
      <w:pPr>
        <w:rPr>
          <w:rFonts w:ascii="Arial" w:hAnsi="Arial" w:cs="Arial"/>
          <w:bCs/>
          <w:sz w:val="20"/>
          <w:szCs w:val="20"/>
        </w:rPr>
      </w:pPr>
    </w:p>
    <w:tbl>
      <w:tblPr>
        <w:tblStyle w:val="TableGrid"/>
        <w:tblW w:w="0" w:type="auto"/>
        <w:tblLook w:val="04A0"/>
      </w:tblPr>
      <w:tblGrid>
        <w:gridCol w:w="2830"/>
        <w:gridCol w:w="2552"/>
        <w:gridCol w:w="3402"/>
      </w:tblGrid>
      <w:tr w:rsidR="00DD487D" w:rsidRPr="00E46D6B">
        <w:trPr>
          <w:trHeight w:val="618"/>
        </w:trPr>
        <w:tc>
          <w:tcPr>
            <w:tcW w:w="2830" w:type="dxa"/>
          </w:tcPr>
          <w:p w:rsidR="00DD487D" w:rsidRPr="00E46D6B" w:rsidRDefault="00EE66B4">
            <w:pPr>
              <w:jc w:val="center"/>
              <w:rPr>
                <w:rFonts w:ascii="Arial" w:hAnsi="Arial" w:cs="Arial"/>
                <w:b/>
                <w:bCs/>
                <w:sz w:val="20"/>
                <w:szCs w:val="20"/>
              </w:rPr>
            </w:pPr>
            <w:r w:rsidRPr="00E46D6B">
              <w:rPr>
                <w:rFonts w:ascii="Arial" w:hAnsi="Arial" w:cs="Arial"/>
                <w:b/>
                <w:bCs/>
                <w:sz w:val="20"/>
                <w:szCs w:val="20"/>
              </w:rPr>
              <w:t>Ingredients</w:t>
            </w:r>
          </w:p>
        </w:tc>
        <w:tc>
          <w:tcPr>
            <w:tcW w:w="2552" w:type="dxa"/>
          </w:tcPr>
          <w:p w:rsidR="00DD487D" w:rsidRPr="00E46D6B" w:rsidRDefault="00EE66B4">
            <w:pPr>
              <w:jc w:val="center"/>
              <w:rPr>
                <w:rFonts w:ascii="Arial" w:hAnsi="Arial" w:cs="Arial"/>
                <w:b/>
                <w:bCs/>
                <w:sz w:val="20"/>
                <w:szCs w:val="20"/>
              </w:rPr>
            </w:pPr>
            <w:r w:rsidRPr="00E46D6B">
              <w:rPr>
                <w:rFonts w:ascii="Arial" w:hAnsi="Arial" w:cs="Arial"/>
                <w:b/>
                <w:bCs/>
                <w:sz w:val="20"/>
                <w:szCs w:val="20"/>
              </w:rPr>
              <w:t>Crude protein (%)</w:t>
            </w:r>
          </w:p>
        </w:tc>
        <w:tc>
          <w:tcPr>
            <w:tcW w:w="3402" w:type="dxa"/>
          </w:tcPr>
          <w:p w:rsidR="00DD487D" w:rsidRPr="00E46D6B" w:rsidRDefault="00EE66B4">
            <w:pPr>
              <w:jc w:val="center"/>
              <w:rPr>
                <w:rFonts w:ascii="Arial" w:hAnsi="Arial" w:cs="Arial"/>
                <w:b/>
                <w:bCs/>
                <w:sz w:val="20"/>
                <w:szCs w:val="20"/>
              </w:rPr>
            </w:pPr>
            <w:r w:rsidRPr="00E46D6B">
              <w:rPr>
                <w:rFonts w:ascii="Arial" w:hAnsi="Arial" w:cs="Arial"/>
                <w:b/>
                <w:bCs/>
                <w:sz w:val="20"/>
                <w:szCs w:val="20"/>
              </w:rPr>
              <w:t>Composition (%)</w:t>
            </w:r>
          </w:p>
        </w:tc>
      </w:tr>
      <w:tr w:rsidR="00DD487D" w:rsidRPr="00E46D6B">
        <w:trPr>
          <w:trHeight w:val="618"/>
        </w:trPr>
        <w:tc>
          <w:tcPr>
            <w:tcW w:w="2830" w:type="dxa"/>
          </w:tcPr>
          <w:p w:rsidR="00DD487D" w:rsidRPr="00E46D6B" w:rsidRDefault="00EE66B4">
            <w:pPr>
              <w:jc w:val="center"/>
              <w:rPr>
                <w:rFonts w:ascii="Arial" w:hAnsi="Arial" w:cs="Arial"/>
                <w:b/>
                <w:bCs/>
                <w:sz w:val="20"/>
                <w:szCs w:val="20"/>
              </w:rPr>
            </w:pPr>
            <w:r w:rsidRPr="00E46D6B">
              <w:rPr>
                <w:rFonts w:ascii="Arial" w:hAnsi="Arial" w:cs="Arial"/>
                <w:b/>
                <w:bCs/>
                <w:i/>
                <w:iCs/>
                <w:sz w:val="20"/>
                <w:szCs w:val="20"/>
              </w:rPr>
              <w:t>C. colebrookianum</w:t>
            </w:r>
          </w:p>
        </w:tc>
        <w:tc>
          <w:tcPr>
            <w:tcW w:w="2552" w:type="dxa"/>
          </w:tcPr>
          <w:p w:rsidR="00DD487D" w:rsidRPr="00E46D6B" w:rsidRDefault="00EE66B4">
            <w:pPr>
              <w:jc w:val="center"/>
              <w:rPr>
                <w:rFonts w:ascii="Arial" w:hAnsi="Arial" w:cs="Arial"/>
                <w:sz w:val="20"/>
                <w:szCs w:val="20"/>
              </w:rPr>
            </w:pPr>
            <w:r w:rsidRPr="00E46D6B">
              <w:rPr>
                <w:rFonts w:ascii="Arial" w:hAnsi="Arial" w:cs="Arial"/>
                <w:sz w:val="20"/>
                <w:szCs w:val="20"/>
              </w:rPr>
              <w:t>27</w:t>
            </w:r>
          </w:p>
        </w:tc>
        <w:tc>
          <w:tcPr>
            <w:tcW w:w="3402" w:type="dxa"/>
          </w:tcPr>
          <w:p w:rsidR="00DD487D" w:rsidRPr="00E46D6B" w:rsidRDefault="00EE66B4">
            <w:pPr>
              <w:jc w:val="center"/>
              <w:rPr>
                <w:rFonts w:ascii="Arial" w:hAnsi="Arial" w:cs="Arial"/>
                <w:sz w:val="20"/>
                <w:szCs w:val="20"/>
              </w:rPr>
            </w:pPr>
            <w:r w:rsidRPr="00E46D6B">
              <w:rPr>
                <w:rFonts w:ascii="Arial" w:hAnsi="Arial" w:cs="Arial"/>
                <w:sz w:val="20"/>
                <w:szCs w:val="20"/>
              </w:rPr>
              <w:t>34.61</w:t>
            </w:r>
          </w:p>
        </w:tc>
      </w:tr>
      <w:tr w:rsidR="00DD487D" w:rsidRPr="00E46D6B">
        <w:trPr>
          <w:trHeight w:val="618"/>
        </w:trPr>
        <w:tc>
          <w:tcPr>
            <w:tcW w:w="2830" w:type="dxa"/>
          </w:tcPr>
          <w:p w:rsidR="00DD487D" w:rsidRPr="00E46D6B" w:rsidRDefault="00EE66B4">
            <w:pPr>
              <w:jc w:val="center"/>
              <w:rPr>
                <w:rFonts w:ascii="Arial" w:hAnsi="Arial" w:cs="Arial"/>
                <w:b/>
                <w:bCs/>
                <w:sz w:val="20"/>
                <w:szCs w:val="20"/>
              </w:rPr>
            </w:pPr>
            <w:r w:rsidRPr="00E46D6B">
              <w:rPr>
                <w:rFonts w:ascii="Arial" w:hAnsi="Arial" w:cs="Arial"/>
                <w:b/>
                <w:bCs/>
                <w:sz w:val="20"/>
                <w:szCs w:val="20"/>
              </w:rPr>
              <w:t>Black soldier-fly dry larvae</w:t>
            </w:r>
          </w:p>
        </w:tc>
        <w:tc>
          <w:tcPr>
            <w:tcW w:w="2552" w:type="dxa"/>
          </w:tcPr>
          <w:p w:rsidR="00DD487D" w:rsidRPr="00E46D6B" w:rsidRDefault="00EE66B4">
            <w:pPr>
              <w:jc w:val="center"/>
              <w:rPr>
                <w:rFonts w:ascii="Arial" w:hAnsi="Arial" w:cs="Arial"/>
                <w:sz w:val="20"/>
                <w:szCs w:val="20"/>
              </w:rPr>
            </w:pPr>
            <w:r w:rsidRPr="00E46D6B">
              <w:rPr>
                <w:rFonts w:ascii="Arial" w:hAnsi="Arial" w:cs="Arial"/>
                <w:sz w:val="20"/>
                <w:szCs w:val="20"/>
              </w:rPr>
              <w:t>40</w:t>
            </w:r>
          </w:p>
        </w:tc>
        <w:tc>
          <w:tcPr>
            <w:tcW w:w="3402" w:type="dxa"/>
          </w:tcPr>
          <w:p w:rsidR="00DD487D" w:rsidRPr="00E46D6B" w:rsidRDefault="00EE66B4">
            <w:pPr>
              <w:jc w:val="center"/>
              <w:rPr>
                <w:rFonts w:ascii="Arial" w:hAnsi="Arial" w:cs="Arial"/>
                <w:sz w:val="20"/>
                <w:szCs w:val="20"/>
              </w:rPr>
            </w:pPr>
            <w:r w:rsidRPr="00E46D6B">
              <w:rPr>
                <w:rFonts w:ascii="Arial" w:hAnsi="Arial" w:cs="Arial"/>
                <w:sz w:val="20"/>
                <w:szCs w:val="20"/>
              </w:rPr>
              <w:t>55.39</w:t>
            </w:r>
          </w:p>
        </w:tc>
      </w:tr>
      <w:tr w:rsidR="00DD487D" w:rsidRPr="00E46D6B">
        <w:trPr>
          <w:trHeight w:val="592"/>
        </w:trPr>
        <w:tc>
          <w:tcPr>
            <w:tcW w:w="2830" w:type="dxa"/>
          </w:tcPr>
          <w:p w:rsidR="00DD487D" w:rsidRPr="00E46D6B" w:rsidRDefault="00EE66B4">
            <w:pPr>
              <w:jc w:val="center"/>
              <w:rPr>
                <w:rFonts w:ascii="Arial" w:hAnsi="Arial" w:cs="Arial"/>
                <w:b/>
                <w:bCs/>
                <w:sz w:val="20"/>
                <w:szCs w:val="20"/>
              </w:rPr>
            </w:pPr>
            <w:r w:rsidRPr="00E46D6B">
              <w:rPr>
                <w:rFonts w:ascii="Arial" w:hAnsi="Arial" w:cs="Arial"/>
                <w:b/>
                <w:bCs/>
                <w:sz w:val="20"/>
                <w:szCs w:val="20"/>
              </w:rPr>
              <w:t>Rice bran</w:t>
            </w:r>
          </w:p>
        </w:tc>
        <w:tc>
          <w:tcPr>
            <w:tcW w:w="2552" w:type="dxa"/>
          </w:tcPr>
          <w:p w:rsidR="00DD487D" w:rsidRPr="00E46D6B" w:rsidRDefault="00EE66B4">
            <w:pPr>
              <w:jc w:val="center"/>
              <w:rPr>
                <w:rFonts w:ascii="Arial" w:hAnsi="Arial" w:cs="Arial"/>
                <w:sz w:val="20"/>
                <w:szCs w:val="20"/>
              </w:rPr>
            </w:pPr>
            <w:r w:rsidRPr="00E46D6B">
              <w:rPr>
                <w:rFonts w:ascii="Arial" w:hAnsi="Arial" w:cs="Arial"/>
                <w:sz w:val="20"/>
                <w:szCs w:val="20"/>
              </w:rPr>
              <w:t>14</w:t>
            </w:r>
          </w:p>
        </w:tc>
        <w:tc>
          <w:tcPr>
            <w:tcW w:w="3402" w:type="dxa"/>
          </w:tcPr>
          <w:p w:rsidR="00DD487D" w:rsidRPr="00E46D6B" w:rsidRDefault="00EE66B4">
            <w:pPr>
              <w:jc w:val="center"/>
              <w:rPr>
                <w:rFonts w:ascii="Arial" w:hAnsi="Arial" w:cs="Arial"/>
                <w:sz w:val="20"/>
                <w:szCs w:val="20"/>
              </w:rPr>
            </w:pPr>
            <w:r w:rsidRPr="00E46D6B">
              <w:rPr>
                <w:rFonts w:ascii="Arial" w:hAnsi="Arial" w:cs="Arial"/>
                <w:sz w:val="20"/>
                <w:szCs w:val="20"/>
              </w:rPr>
              <w:t>5</w:t>
            </w:r>
          </w:p>
        </w:tc>
      </w:tr>
      <w:tr w:rsidR="00DD487D" w:rsidRPr="00E46D6B">
        <w:trPr>
          <w:trHeight w:val="618"/>
        </w:trPr>
        <w:tc>
          <w:tcPr>
            <w:tcW w:w="2830" w:type="dxa"/>
          </w:tcPr>
          <w:p w:rsidR="00DD487D" w:rsidRPr="00E46D6B" w:rsidRDefault="00EE66B4">
            <w:pPr>
              <w:jc w:val="center"/>
              <w:rPr>
                <w:rFonts w:ascii="Arial" w:hAnsi="Arial" w:cs="Arial"/>
                <w:b/>
                <w:bCs/>
                <w:sz w:val="20"/>
                <w:szCs w:val="20"/>
              </w:rPr>
            </w:pPr>
            <w:r w:rsidRPr="00E46D6B">
              <w:rPr>
                <w:rFonts w:ascii="Arial" w:hAnsi="Arial" w:cs="Arial"/>
                <w:b/>
                <w:bCs/>
                <w:sz w:val="20"/>
                <w:szCs w:val="20"/>
              </w:rPr>
              <w:t>Mustard oil cake</w:t>
            </w:r>
          </w:p>
        </w:tc>
        <w:tc>
          <w:tcPr>
            <w:tcW w:w="2552" w:type="dxa"/>
          </w:tcPr>
          <w:p w:rsidR="00DD487D" w:rsidRPr="00E46D6B" w:rsidRDefault="00EE66B4">
            <w:pPr>
              <w:jc w:val="center"/>
              <w:rPr>
                <w:rFonts w:ascii="Arial" w:hAnsi="Arial" w:cs="Arial"/>
                <w:sz w:val="20"/>
                <w:szCs w:val="20"/>
              </w:rPr>
            </w:pPr>
            <w:r w:rsidRPr="00E46D6B">
              <w:rPr>
                <w:rFonts w:ascii="Arial" w:hAnsi="Arial" w:cs="Arial"/>
                <w:sz w:val="20"/>
                <w:szCs w:val="20"/>
              </w:rPr>
              <w:t>30</w:t>
            </w:r>
          </w:p>
        </w:tc>
        <w:tc>
          <w:tcPr>
            <w:tcW w:w="3402" w:type="dxa"/>
          </w:tcPr>
          <w:p w:rsidR="00DD487D" w:rsidRPr="00E46D6B" w:rsidRDefault="00EE66B4">
            <w:pPr>
              <w:jc w:val="center"/>
              <w:rPr>
                <w:rFonts w:ascii="Arial" w:hAnsi="Arial" w:cs="Arial"/>
                <w:sz w:val="20"/>
                <w:szCs w:val="20"/>
              </w:rPr>
            </w:pPr>
            <w:r w:rsidRPr="00E46D6B">
              <w:rPr>
                <w:rFonts w:ascii="Arial" w:hAnsi="Arial" w:cs="Arial"/>
                <w:sz w:val="20"/>
                <w:szCs w:val="20"/>
              </w:rPr>
              <w:t>5</w:t>
            </w:r>
          </w:p>
        </w:tc>
      </w:tr>
    </w:tbl>
    <w:p w:rsidR="00DD487D" w:rsidRPr="00E46D6B" w:rsidRDefault="00DD487D">
      <w:pPr>
        <w:rPr>
          <w:rFonts w:ascii="Arial" w:hAnsi="Arial" w:cs="Arial"/>
          <w:b/>
          <w:bCs/>
          <w:sz w:val="20"/>
          <w:szCs w:val="20"/>
          <w:lang w:val="en-US"/>
        </w:rPr>
      </w:pPr>
    </w:p>
    <w:p w:rsidR="00DD487D" w:rsidRPr="00E46D6B" w:rsidRDefault="00DD487D">
      <w:pPr>
        <w:rPr>
          <w:rFonts w:ascii="Arial" w:hAnsi="Arial" w:cs="Arial"/>
          <w:b/>
          <w:bCs/>
          <w:sz w:val="20"/>
          <w:szCs w:val="20"/>
          <w:lang w:val="en-US"/>
        </w:rPr>
      </w:pPr>
    </w:p>
    <w:p w:rsidR="00DD487D" w:rsidRPr="00E330FA" w:rsidRDefault="00EE66B4">
      <w:pPr>
        <w:rPr>
          <w:rFonts w:ascii="Arial" w:hAnsi="Arial" w:cs="Arial"/>
          <w:b/>
          <w:bCs/>
          <w:lang w:val="en-US"/>
        </w:rPr>
      </w:pPr>
      <w:r w:rsidRPr="00E46D6B">
        <w:rPr>
          <w:rFonts w:ascii="Arial" w:hAnsi="Arial" w:cs="Arial"/>
          <w:b/>
          <w:bCs/>
          <w:sz w:val="20"/>
          <w:szCs w:val="20"/>
          <w:lang w:val="en-US"/>
        </w:rPr>
        <w:t xml:space="preserve">3.0 </w:t>
      </w:r>
      <w:r w:rsidRPr="00E330FA">
        <w:rPr>
          <w:rFonts w:ascii="Arial" w:hAnsi="Arial" w:cs="Arial"/>
          <w:b/>
          <w:bCs/>
          <w:lang w:val="en-US"/>
        </w:rPr>
        <w:t>RESULT</w:t>
      </w:r>
      <w:r w:rsidR="00CB09F4">
        <w:rPr>
          <w:rFonts w:ascii="Arial" w:hAnsi="Arial" w:cs="Arial"/>
          <w:b/>
          <w:bCs/>
          <w:lang w:val="en-US"/>
        </w:rPr>
        <w:t>:</w:t>
      </w:r>
    </w:p>
    <w:p w:rsidR="00DD487D" w:rsidRPr="00E46D6B" w:rsidRDefault="00EE66B4">
      <w:pPr>
        <w:jc w:val="both"/>
        <w:rPr>
          <w:rFonts w:ascii="Arial" w:hAnsi="Arial" w:cs="Arial"/>
          <w:sz w:val="20"/>
          <w:szCs w:val="20"/>
        </w:rPr>
      </w:pPr>
      <w:r w:rsidRPr="00E46D6B">
        <w:rPr>
          <w:rFonts w:ascii="Arial" w:hAnsi="Arial" w:cs="Arial"/>
          <w:sz w:val="20"/>
          <w:szCs w:val="20"/>
        </w:rPr>
        <w:t xml:space="preserve">The feeding trials significantly contributed to the growth performance of </w:t>
      </w:r>
      <w:r w:rsidRPr="00E46D6B">
        <w:rPr>
          <w:rFonts w:ascii="Arial" w:hAnsi="Arial" w:cs="Arial"/>
          <w:i/>
          <w:iCs/>
          <w:sz w:val="20"/>
          <w:szCs w:val="20"/>
        </w:rPr>
        <w:t>Neolissochilushexagonolepis</w:t>
      </w:r>
      <w:r w:rsidRPr="00E46D6B">
        <w:rPr>
          <w:rFonts w:ascii="Arial" w:hAnsi="Arial" w:cs="Arial"/>
          <w:sz w:val="20"/>
          <w:szCs w:val="20"/>
        </w:rPr>
        <w:t xml:space="preserve"> during the 90-days feeding test. The test groups receiving feed with </w:t>
      </w:r>
      <w:r w:rsidRPr="00E46D6B">
        <w:rPr>
          <w:rFonts w:ascii="Arial" w:hAnsi="Arial" w:cs="Arial"/>
          <w:i/>
          <w:iCs/>
          <w:sz w:val="20"/>
          <w:szCs w:val="20"/>
        </w:rPr>
        <w:t xml:space="preserve">Clerodendrum </w:t>
      </w:r>
      <w:r w:rsidRPr="00E46D6B">
        <w:rPr>
          <w:rFonts w:ascii="Arial" w:hAnsi="Arial" w:cs="Arial"/>
          <w:i/>
          <w:iCs/>
          <w:sz w:val="20"/>
          <w:szCs w:val="20"/>
        </w:rPr>
        <w:lastRenderedPageBreak/>
        <w:t>colebrookianum</w:t>
      </w:r>
      <w:r w:rsidRPr="00E46D6B">
        <w:rPr>
          <w:rFonts w:ascii="Arial" w:hAnsi="Arial" w:cs="Arial"/>
          <w:sz w:val="20"/>
          <w:szCs w:val="20"/>
        </w:rPr>
        <w:t xml:space="preserve">leaves and Black Soldier Fly larvae (T1, T2, and T3) showed improved growth in comparison to control groups (C1, C2, and C3) receiving rice bran and mustard oil cake.The treatment groups gained significantly more weight. The mean weight gain of T1, T2, and T3 was 49 ± 0.557, 55 ± 0.515g, and 49 ± 0.557 g, respectively, whereas the control groups (C1, C2, C3) gained weight was 30 ± 0.595 g, 36 ± 0.515g and 34 ± 0.515g, respectively.The Specific Growth Rate was much greater in the treatment groups, with values ranging from 1.12 to 1.2, than in the control groups, with SGR values ranging from 0.8 to 0.91. This reflects a greater growth rate in fish that were fed the experimental diet.Feed Conversion Ratio, an indicator of feed efficiency, was lower in the treatment groups (1.37 to 1.54) compared to the control groups (2.1 to 2.52). Lower FCR indicates better utilization of feed and fewer feed units to obtain unit weight gain.Total survival rates of 100% were seen in all experimental groups, indicating that neither diet had any adverse effects on survival of </w:t>
      </w:r>
      <w:r w:rsidRPr="00E46D6B">
        <w:rPr>
          <w:rFonts w:ascii="Arial" w:hAnsi="Arial" w:cs="Arial"/>
          <w:i/>
          <w:iCs/>
          <w:sz w:val="20"/>
          <w:szCs w:val="20"/>
        </w:rPr>
        <w:t>Neolissochilushexagonolepis</w:t>
      </w:r>
      <w:r w:rsidRPr="00E46D6B">
        <w:rPr>
          <w:rFonts w:ascii="Arial" w:hAnsi="Arial" w:cs="Arial"/>
          <w:sz w:val="20"/>
          <w:szCs w:val="20"/>
        </w:rPr>
        <w:t xml:space="preserve"> under the conditions of this experiment.</w:t>
      </w:r>
    </w:p>
    <w:p w:rsidR="00E11A7B" w:rsidRPr="00E11A7B" w:rsidRDefault="00E11A7B" w:rsidP="00E11A7B">
      <w:pPr>
        <w:jc w:val="both"/>
        <w:rPr>
          <w:rFonts w:ascii="Arial" w:hAnsi="Arial" w:cs="Arial"/>
          <w:b/>
          <w:sz w:val="20"/>
          <w:szCs w:val="20"/>
          <w:lang w:val="en-US"/>
        </w:rPr>
      </w:pPr>
      <w:r w:rsidRPr="00E11A7B">
        <w:rPr>
          <w:rFonts w:ascii="Arial" w:hAnsi="Arial" w:cs="Arial"/>
          <w:b/>
          <w:bCs/>
          <w:sz w:val="20"/>
          <w:szCs w:val="20"/>
          <w:lang w:val="en-US"/>
        </w:rPr>
        <w:t xml:space="preserve">Table </w:t>
      </w:r>
      <w:r w:rsidR="00227E3D">
        <w:rPr>
          <w:rFonts w:ascii="Arial" w:hAnsi="Arial" w:cs="Arial"/>
          <w:b/>
          <w:bCs/>
          <w:sz w:val="20"/>
          <w:szCs w:val="20"/>
          <w:lang w:val="en-US"/>
        </w:rPr>
        <w:t>3</w:t>
      </w:r>
      <w:r w:rsidRPr="00E11A7B">
        <w:rPr>
          <w:rFonts w:ascii="Arial" w:hAnsi="Arial" w:cs="Arial"/>
          <w:b/>
          <w:sz w:val="20"/>
          <w:szCs w:val="20"/>
          <w:lang w:val="en-US"/>
        </w:rPr>
        <w:t>. Growth parameters and survival rates observed during the entire experiment.</w:t>
      </w:r>
    </w:p>
    <w:p w:rsidR="00DD487D" w:rsidRPr="00E46D6B" w:rsidRDefault="00DD487D">
      <w:pPr>
        <w:jc w:val="both"/>
        <w:rPr>
          <w:rFonts w:ascii="Arial" w:hAnsi="Arial" w:cs="Arial"/>
          <w:sz w:val="20"/>
          <w:szCs w:val="20"/>
          <w:lang w:val="en-US"/>
        </w:rPr>
      </w:pPr>
    </w:p>
    <w:tbl>
      <w:tblPr>
        <w:tblStyle w:val="TableGrid"/>
        <w:tblW w:w="9218" w:type="dxa"/>
        <w:tblLook w:val="04A0"/>
      </w:tblPr>
      <w:tblGrid>
        <w:gridCol w:w="928"/>
        <w:gridCol w:w="1427"/>
        <w:gridCol w:w="1416"/>
        <w:gridCol w:w="1499"/>
        <w:gridCol w:w="1082"/>
        <w:gridCol w:w="714"/>
        <w:gridCol w:w="1069"/>
        <w:gridCol w:w="1083"/>
      </w:tblGrid>
      <w:tr w:rsidR="00DD487D" w:rsidRPr="00E46D6B">
        <w:trPr>
          <w:trHeight w:val="310"/>
        </w:trPr>
        <w:tc>
          <w:tcPr>
            <w:tcW w:w="0" w:type="auto"/>
            <w:hideMark/>
          </w:tcPr>
          <w:p w:rsidR="00DD487D" w:rsidRPr="00E46D6B" w:rsidRDefault="00EE66B4">
            <w:pPr>
              <w:jc w:val="center"/>
              <w:rPr>
                <w:rFonts w:ascii="Arial" w:hAnsi="Arial" w:cs="Arial"/>
                <w:b/>
                <w:bCs/>
                <w:sz w:val="20"/>
                <w:szCs w:val="20"/>
              </w:rPr>
            </w:pPr>
            <w:r w:rsidRPr="00E46D6B">
              <w:rPr>
                <w:rFonts w:ascii="Arial" w:hAnsi="Arial" w:cs="Arial"/>
                <w:b/>
                <w:bCs/>
                <w:sz w:val="20"/>
                <w:szCs w:val="20"/>
              </w:rPr>
              <w:t>Groups</w:t>
            </w:r>
          </w:p>
        </w:tc>
        <w:tc>
          <w:tcPr>
            <w:tcW w:w="0" w:type="auto"/>
            <w:hideMark/>
          </w:tcPr>
          <w:p w:rsidR="00DD487D" w:rsidRPr="00E46D6B" w:rsidRDefault="00EE66B4">
            <w:pPr>
              <w:jc w:val="center"/>
              <w:rPr>
                <w:rFonts w:ascii="Arial" w:hAnsi="Arial" w:cs="Arial"/>
                <w:b/>
                <w:bCs/>
                <w:sz w:val="20"/>
                <w:szCs w:val="20"/>
              </w:rPr>
            </w:pPr>
            <w:r w:rsidRPr="00E46D6B">
              <w:rPr>
                <w:rFonts w:ascii="Arial" w:hAnsi="Arial" w:cs="Arial"/>
                <w:b/>
                <w:bCs/>
                <w:sz w:val="20"/>
                <w:szCs w:val="20"/>
              </w:rPr>
              <w:t>Initial Average Weight (g) ± SE</w:t>
            </w:r>
          </w:p>
        </w:tc>
        <w:tc>
          <w:tcPr>
            <w:tcW w:w="0" w:type="auto"/>
            <w:hideMark/>
          </w:tcPr>
          <w:p w:rsidR="00DD487D" w:rsidRPr="00E46D6B" w:rsidRDefault="00EE66B4">
            <w:pPr>
              <w:jc w:val="center"/>
              <w:rPr>
                <w:rFonts w:ascii="Arial" w:hAnsi="Arial" w:cs="Arial"/>
                <w:b/>
                <w:bCs/>
                <w:sz w:val="20"/>
                <w:szCs w:val="20"/>
              </w:rPr>
            </w:pPr>
            <w:r w:rsidRPr="00E46D6B">
              <w:rPr>
                <w:rFonts w:ascii="Arial" w:hAnsi="Arial" w:cs="Arial"/>
                <w:b/>
                <w:bCs/>
                <w:sz w:val="20"/>
                <w:szCs w:val="20"/>
              </w:rPr>
              <w:t>Final Average Weight (g) ± SE</w:t>
            </w:r>
          </w:p>
        </w:tc>
        <w:tc>
          <w:tcPr>
            <w:tcW w:w="1499" w:type="dxa"/>
            <w:hideMark/>
          </w:tcPr>
          <w:p w:rsidR="00DD487D" w:rsidRPr="00E46D6B" w:rsidRDefault="00EE66B4">
            <w:pPr>
              <w:jc w:val="center"/>
              <w:rPr>
                <w:rFonts w:ascii="Arial" w:hAnsi="Arial" w:cs="Arial"/>
                <w:b/>
                <w:bCs/>
                <w:sz w:val="20"/>
                <w:szCs w:val="20"/>
              </w:rPr>
            </w:pPr>
            <w:r w:rsidRPr="00E46D6B">
              <w:rPr>
                <w:rFonts w:ascii="Arial" w:hAnsi="Arial" w:cs="Arial"/>
                <w:b/>
                <w:bCs/>
                <w:sz w:val="20"/>
                <w:szCs w:val="20"/>
              </w:rPr>
              <w:t>Mean Weight Gain (g) ± SE</w:t>
            </w:r>
          </w:p>
        </w:tc>
        <w:tc>
          <w:tcPr>
            <w:tcW w:w="1082" w:type="dxa"/>
            <w:hideMark/>
          </w:tcPr>
          <w:p w:rsidR="00DD487D" w:rsidRPr="00E46D6B" w:rsidRDefault="00EE66B4">
            <w:pPr>
              <w:jc w:val="center"/>
              <w:rPr>
                <w:rFonts w:ascii="Arial" w:hAnsi="Arial" w:cs="Arial"/>
                <w:b/>
                <w:bCs/>
                <w:sz w:val="20"/>
                <w:szCs w:val="20"/>
              </w:rPr>
            </w:pPr>
            <w:r w:rsidRPr="00E46D6B">
              <w:rPr>
                <w:rFonts w:ascii="Arial" w:hAnsi="Arial" w:cs="Arial"/>
                <w:b/>
                <w:bCs/>
                <w:sz w:val="20"/>
                <w:szCs w:val="20"/>
              </w:rPr>
              <w:t>Specific Growth Rate</w:t>
            </w:r>
          </w:p>
        </w:tc>
        <w:tc>
          <w:tcPr>
            <w:tcW w:w="714" w:type="dxa"/>
            <w:hideMark/>
          </w:tcPr>
          <w:p w:rsidR="00DD487D" w:rsidRPr="00E46D6B" w:rsidRDefault="00EE66B4">
            <w:pPr>
              <w:jc w:val="center"/>
              <w:rPr>
                <w:rFonts w:ascii="Arial" w:hAnsi="Arial" w:cs="Arial"/>
                <w:b/>
                <w:bCs/>
                <w:sz w:val="20"/>
                <w:szCs w:val="20"/>
              </w:rPr>
            </w:pPr>
            <w:r w:rsidRPr="00E46D6B">
              <w:rPr>
                <w:rFonts w:ascii="Arial" w:hAnsi="Arial" w:cs="Arial"/>
                <w:b/>
                <w:bCs/>
                <w:sz w:val="20"/>
                <w:szCs w:val="20"/>
              </w:rPr>
              <w:t>FCR</w:t>
            </w:r>
          </w:p>
        </w:tc>
        <w:tc>
          <w:tcPr>
            <w:tcW w:w="1069" w:type="dxa"/>
            <w:hideMark/>
          </w:tcPr>
          <w:p w:rsidR="00DD487D" w:rsidRPr="00E46D6B" w:rsidRDefault="00EE66B4">
            <w:pPr>
              <w:jc w:val="center"/>
              <w:rPr>
                <w:rFonts w:ascii="Arial" w:hAnsi="Arial" w:cs="Arial"/>
                <w:b/>
                <w:bCs/>
                <w:sz w:val="20"/>
                <w:szCs w:val="20"/>
              </w:rPr>
            </w:pPr>
            <w:r w:rsidRPr="00E46D6B">
              <w:rPr>
                <w:rFonts w:ascii="Arial" w:hAnsi="Arial" w:cs="Arial"/>
                <w:b/>
                <w:bCs/>
                <w:sz w:val="20"/>
                <w:szCs w:val="20"/>
              </w:rPr>
              <w:t>Mean Weight Gain (g)</w:t>
            </w:r>
          </w:p>
        </w:tc>
        <w:tc>
          <w:tcPr>
            <w:tcW w:w="1083" w:type="dxa"/>
            <w:hideMark/>
          </w:tcPr>
          <w:p w:rsidR="00DD487D" w:rsidRPr="00E46D6B" w:rsidRDefault="00EE66B4">
            <w:pPr>
              <w:jc w:val="center"/>
              <w:rPr>
                <w:rFonts w:ascii="Arial" w:hAnsi="Arial" w:cs="Arial"/>
                <w:b/>
                <w:bCs/>
                <w:sz w:val="20"/>
                <w:szCs w:val="20"/>
              </w:rPr>
            </w:pPr>
            <w:r w:rsidRPr="00E46D6B">
              <w:rPr>
                <w:rFonts w:ascii="Arial" w:hAnsi="Arial" w:cs="Arial"/>
                <w:b/>
                <w:bCs/>
                <w:sz w:val="20"/>
                <w:szCs w:val="20"/>
              </w:rPr>
              <w:t>Survival Rates (%)</w:t>
            </w:r>
          </w:p>
        </w:tc>
      </w:tr>
      <w:tr w:rsidR="00DD487D" w:rsidRPr="00E46D6B">
        <w:trPr>
          <w:trHeight w:val="605"/>
        </w:trPr>
        <w:tc>
          <w:tcPr>
            <w:tcW w:w="0" w:type="auto"/>
            <w:hideMark/>
          </w:tcPr>
          <w:p w:rsidR="00DD487D" w:rsidRPr="00E46D6B" w:rsidRDefault="00EE66B4">
            <w:pPr>
              <w:jc w:val="both"/>
              <w:rPr>
                <w:rFonts w:ascii="Arial" w:hAnsi="Arial" w:cs="Arial"/>
                <w:b/>
                <w:bCs/>
                <w:sz w:val="20"/>
                <w:szCs w:val="20"/>
              </w:rPr>
            </w:pPr>
            <w:r w:rsidRPr="00E46D6B">
              <w:rPr>
                <w:rFonts w:ascii="Arial" w:hAnsi="Arial" w:cs="Arial"/>
                <w:b/>
                <w:bCs/>
                <w:sz w:val="20"/>
                <w:szCs w:val="20"/>
              </w:rPr>
              <w:t>C1</w:t>
            </w:r>
          </w:p>
        </w:tc>
        <w:tc>
          <w:tcPr>
            <w:tcW w:w="0" w:type="auto"/>
            <w:hideMark/>
          </w:tcPr>
          <w:p w:rsidR="00DD487D" w:rsidRPr="00E46D6B" w:rsidRDefault="00EE66B4">
            <w:pPr>
              <w:jc w:val="both"/>
              <w:rPr>
                <w:rFonts w:ascii="Arial" w:hAnsi="Arial" w:cs="Arial"/>
                <w:sz w:val="20"/>
                <w:szCs w:val="20"/>
              </w:rPr>
            </w:pPr>
            <w:r w:rsidRPr="00E46D6B">
              <w:rPr>
                <w:rFonts w:ascii="Arial" w:hAnsi="Arial" w:cs="Arial"/>
                <w:sz w:val="20"/>
                <w:szCs w:val="20"/>
              </w:rPr>
              <w:t>28 ± 0.332</w:t>
            </w:r>
          </w:p>
        </w:tc>
        <w:tc>
          <w:tcPr>
            <w:tcW w:w="0" w:type="auto"/>
            <w:hideMark/>
          </w:tcPr>
          <w:p w:rsidR="00DD487D" w:rsidRPr="00E46D6B" w:rsidRDefault="00EE66B4">
            <w:pPr>
              <w:jc w:val="both"/>
              <w:rPr>
                <w:rFonts w:ascii="Arial" w:hAnsi="Arial" w:cs="Arial"/>
                <w:sz w:val="20"/>
                <w:szCs w:val="20"/>
              </w:rPr>
            </w:pPr>
            <w:r w:rsidRPr="00E46D6B">
              <w:rPr>
                <w:rFonts w:ascii="Arial" w:hAnsi="Arial" w:cs="Arial"/>
                <w:sz w:val="20"/>
                <w:szCs w:val="20"/>
              </w:rPr>
              <w:t>58 ± 0.493</w:t>
            </w:r>
          </w:p>
        </w:tc>
        <w:tc>
          <w:tcPr>
            <w:tcW w:w="1499" w:type="dxa"/>
            <w:hideMark/>
          </w:tcPr>
          <w:p w:rsidR="00DD487D" w:rsidRPr="00E46D6B" w:rsidRDefault="00EE66B4">
            <w:pPr>
              <w:jc w:val="both"/>
              <w:rPr>
                <w:rFonts w:ascii="Arial" w:hAnsi="Arial" w:cs="Arial"/>
                <w:sz w:val="20"/>
                <w:szCs w:val="20"/>
              </w:rPr>
            </w:pPr>
            <w:r w:rsidRPr="00E46D6B">
              <w:rPr>
                <w:rFonts w:ascii="Arial" w:hAnsi="Arial" w:cs="Arial"/>
                <w:sz w:val="20"/>
                <w:szCs w:val="20"/>
              </w:rPr>
              <w:t>30 ± 0.595</w:t>
            </w:r>
          </w:p>
        </w:tc>
        <w:tc>
          <w:tcPr>
            <w:tcW w:w="1082" w:type="dxa"/>
            <w:hideMark/>
          </w:tcPr>
          <w:p w:rsidR="00DD487D" w:rsidRPr="00E46D6B" w:rsidRDefault="00EE66B4">
            <w:pPr>
              <w:jc w:val="both"/>
              <w:rPr>
                <w:rFonts w:ascii="Arial" w:hAnsi="Arial" w:cs="Arial"/>
                <w:sz w:val="20"/>
                <w:szCs w:val="20"/>
              </w:rPr>
            </w:pPr>
            <w:r w:rsidRPr="00E46D6B">
              <w:rPr>
                <w:rFonts w:ascii="Arial" w:hAnsi="Arial" w:cs="Arial"/>
                <w:sz w:val="20"/>
                <w:szCs w:val="20"/>
              </w:rPr>
              <w:t>0.8</w:t>
            </w:r>
          </w:p>
        </w:tc>
        <w:tc>
          <w:tcPr>
            <w:tcW w:w="714" w:type="dxa"/>
            <w:hideMark/>
          </w:tcPr>
          <w:p w:rsidR="00DD487D" w:rsidRPr="00E46D6B" w:rsidRDefault="00EE66B4">
            <w:pPr>
              <w:jc w:val="both"/>
              <w:rPr>
                <w:rFonts w:ascii="Arial" w:hAnsi="Arial" w:cs="Arial"/>
                <w:sz w:val="20"/>
                <w:szCs w:val="20"/>
              </w:rPr>
            </w:pPr>
            <w:r w:rsidRPr="00E46D6B">
              <w:rPr>
                <w:rFonts w:ascii="Arial" w:hAnsi="Arial" w:cs="Arial"/>
                <w:sz w:val="20"/>
                <w:szCs w:val="20"/>
              </w:rPr>
              <w:t>2.52</w:t>
            </w:r>
          </w:p>
        </w:tc>
        <w:tc>
          <w:tcPr>
            <w:tcW w:w="1069" w:type="dxa"/>
            <w:hideMark/>
          </w:tcPr>
          <w:p w:rsidR="00DD487D" w:rsidRPr="00E46D6B" w:rsidRDefault="00EE66B4">
            <w:pPr>
              <w:jc w:val="both"/>
              <w:rPr>
                <w:rFonts w:ascii="Arial" w:hAnsi="Arial" w:cs="Arial"/>
                <w:sz w:val="20"/>
                <w:szCs w:val="20"/>
              </w:rPr>
            </w:pPr>
            <w:r w:rsidRPr="00E46D6B">
              <w:rPr>
                <w:rFonts w:ascii="Arial" w:hAnsi="Arial" w:cs="Arial"/>
                <w:sz w:val="20"/>
                <w:szCs w:val="20"/>
              </w:rPr>
              <w:t>30</w:t>
            </w:r>
          </w:p>
        </w:tc>
        <w:tc>
          <w:tcPr>
            <w:tcW w:w="1083" w:type="dxa"/>
            <w:hideMark/>
          </w:tcPr>
          <w:p w:rsidR="00DD487D" w:rsidRPr="00E46D6B" w:rsidRDefault="00EE66B4">
            <w:pPr>
              <w:jc w:val="both"/>
              <w:rPr>
                <w:rFonts w:ascii="Arial" w:hAnsi="Arial" w:cs="Arial"/>
                <w:sz w:val="20"/>
                <w:szCs w:val="20"/>
              </w:rPr>
            </w:pPr>
            <w:r w:rsidRPr="00E46D6B">
              <w:rPr>
                <w:rFonts w:ascii="Arial" w:hAnsi="Arial" w:cs="Arial"/>
                <w:sz w:val="20"/>
                <w:szCs w:val="20"/>
              </w:rPr>
              <w:t>100</w:t>
            </w:r>
          </w:p>
        </w:tc>
      </w:tr>
      <w:tr w:rsidR="00DD487D" w:rsidRPr="00E46D6B">
        <w:trPr>
          <w:trHeight w:val="629"/>
        </w:trPr>
        <w:tc>
          <w:tcPr>
            <w:tcW w:w="0" w:type="auto"/>
            <w:hideMark/>
          </w:tcPr>
          <w:p w:rsidR="00DD487D" w:rsidRPr="00E46D6B" w:rsidRDefault="00EE66B4">
            <w:pPr>
              <w:jc w:val="both"/>
              <w:rPr>
                <w:rFonts w:ascii="Arial" w:hAnsi="Arial" w:cs="Arial"/>
                <w:b/>
                <w:bCs/>
                <w:sz w:val="20"/>
                <w:szCs w:val="20"/>
              </w:rPr>
            </w:pPr>
            <w:r w:rsidRPr="00E46D6B">
              <w:rPr>
                <w:rFonts w:ascii="Arial" w:hAnsi="Arial" w:cs="Arial"/>
                <w:b/>
                <w:bCs/>
                <w:sz w:val="20"/>
                <w:szCs w:val="20"/>
              </w:rPr>
              <w:t>C2</w:t>
            </w:r>
          </w:p>
        </w:tc>
        <w:tc>
          <w:tcPr>
            <w:tcW w:w="0" w:type="auto"/>
            <w:hideMark/>
          </w:tcPr>
          <w:p w:rsidR="00DD487D" w:rsidRPr="00E46D6B" w:rsidRDefault="00EE66B4">
            <w:pPr>
              <w:jc w:val="both"/>
              <w:rPr>
                <w:rFonts w:ascii="Arial" w:hAnsi="Arial" w:cs="Arial"/>
                <w:sz w:val="20"/>
                <w:szCs w:val="20"/>
              </w:rPr>
            </w:pPr>
            <w:r w:rsidRPr="00E46D6B">
              <w:rPr>
                <w:rFonts w:ascii="Arial" w:hAnsi="Arial" w:cs="Arial"/>
                <w:sz w:val="20"/>
                <w:szCs w:val="20"/>
              </w:rPr>
              <w:t>28 ± 0.297</w:t>
            </w:r>
          </w:p>
        </w:tc>
        <w:tc>
          <w:tcPr>
            <w:tcW w:w="0" w:type="auto"/>
            <w:hideMark/>
          </w:tcPr>
          <w:p w:rsidR="00DD487D" w:rsidRPr="00E46D6B" w:rsidRDefault="00EE66B4">
            <w:pPr>
              <w:jc w:val="both"/>
              <w:rPr>
                <w:rFonts w:ascii="Arial" w:hAnsi="Arial" w:cs="Arial"/>
                <w:sz w:val="20"/>
                <w:szCs w:val="20"/>
              </w:rPr>
            </w:pPr>
            <w:r w:rsidRPr="00E46D6B">
              <w:rPr>
                <w:rFonts w:ascii="Arial" w:hAnsi="Arial" w:cs="Arial"/>
                <w:sz w:val="20"/>
                <w:szCs w:val="20"/>
              </w:rPr>
              <w:t>64 ± 0.421</w:t>
            </w:r>
          </w:p>
        </w:tc>
        <w:tc>
          <w:tcPr>
            <w:tcW w:w="1499" w:type="dxa"/>
            <w:hideMark/>
          </w:tcPr>
          <w:p w:rsidR="00DD487D" w:rsidRPr="00E46D6B" w:rsidRDefault="00EE66B4">
            <w:pPr>
              <w:jc w:val="both"/>
              <w:rPr>
                <w:rFonts w:ascii="Arial" w:hAnsi="Arial" w:cs="Arial"/>
                <w:sz w:val="20"/>
                <w:szCs w:val="20"/>
              </w:rPr>
            </w:pPr>
            <w:r w:rsidRPr="00E46D6B">
              <w:rPr>
                <w:rFonts w:ascii="Arial" w:hAnsi="Arial" w:cs="Arial"/>
                <w:sz w:val="20"/>
                <w:szCs w:val="20"/>
              </w:rPr>
              <w:t>36 ± 0.515</w:t>
            </w:r>
          </w:p>
        </w:tc>
        <w:tc>
          <w:tcPr>
            <w:tcW w:w="1082" w:type="dxa"/>
            <w:hideMark/>
          </w:tcPr>
          <w:p w:rsidR="00DD487D" w:rsidRPr="00E46D6B" w:rsidRDefault="00EE66B4">
            <w:pPr>
              <w:jc w:val="both"/>
              <w:rPr>
                <w:rFonts w:ascii="Arial" w:hAnsi="Arial" w:cs="Arial"/>
                <w:sz w:val="20"/>
                <w:szCs w:val="20"/>
              </w:rPr>
            </w:pPr>
            <w:r w:rsidRPr="00E46D6B">
              <w:rPr>
                <w:rFonts w:ascii="Arial" w:hAnsi="Arial" w:cs="Arial"/>
                <w:sz w:val="20"/>
                <w:szCs w:val="20"/>
              </w:rPr>
              <w:t>0.91</w:t>
            </w:r>
          </w:p>
        </w:tc>
        <w:tc>
          <w:tcPr>
            <w:tcW w:w="714" w:type="dxa"/>
            <w:hideMark/>
          </w:tcPr>
          <w:p w:rsidR="00DD487D" w:rsidRPr="00E46D6B" w:rsidRDefault="00EE66B4">
            <w:pPr>
              <w:jc w:val="both"/>
              <w:rPr>
                <w:rFonts w:ascii="Arial" w:hAnsi="Arial" w:cs="Arial"/>
                <w:sz w:val="20"/>
                <w:szCs w:val="20"/>
              </w:rPr>
            </w:pPr>
            <w:r w:rsidRPr="00E46D6B">
              <w:rPr>
                <w:rFonts w:ascii="Arial" w:hAnsi="Arial" w:cs="Arial"/>
                <w:sz w:val="20"/>
                <w:szCs w:val="20"/>
              </w:rPr>
              <w:t>2.1</w:t>
            </w:r>
          </w:p>
        </w:tc>
        <w:tc>
          <w:tcPr>
            <w:tcW w:w="1069" w:type="dxa"/>
            <w:hideMark/>
          </w:tcPr>
          <w:p w:rsidR="00DD487D" w:rsidRPr="00E46D6B" w:rsidRDefault="00EE66B4">
            <w:pPr>
              <w:jc w:val="both"/>
              <w:rPr>
                <w:rFonts w:ascii="Arial" w:hAnsi="Arial" w:cs="Arial"/>
                <w:sz w:val="20"/>
                <w:szCs w:val="20"/>
              </w:rPr>
            </w:pPr>
            <w:r w:rsidRPr="00E46D6B">
              <w:rPr>
                <w:rFonts w:ascii="Arial" w:hAnsi="Arial" w:cs="Arial"/>
                <w:sz w:val="20"/>
                <w:szCs w:val="20"/>
              </w:rPr>
              <w:t>36</w:t>
            </w:r>
          </w:p>
        </w:tc>
        <w:tc>
          <w:tcPr>
            <w:tcW w:w="1083" w:type="dxa"/>
            <w:hideMark/>
          </w:tcPr>
          <w:p w:rsidR="00DD487D" w:rsidRPr="00E46D6B" w:rsidRDefault="00EE66B4">
            <w:pPr>
              <w:jc w:val="both"/>
              <w:rPr>
                <w:rFonts w:ascii="Arial" w:hAnsi="Arial" w:cs="Arial"/>
                <w:sz w:val="20"/>
                <w:szCs w:val="20"/>
              </w:rPr>
            </w:pPr>
            <w:r w:rsidRPr="00E46D6B">
              <w:rPr>
                <w:rFonts w:ascii="Arial" w:hAnsi="Arial" w:cs="Arial"/>
                <w:sz w:val="20"/>
                <w:szCs w:val="20"/>
              </w:rPr>
              <w:t>100</w:t>
            </w:r>
          </w:p>
        </w:tc>
      </w:tr>
      <w:tr w:rsidR="00DD487D" w:rsidRPr="00E46D6B">
        <w:trPr>
          <w:trHeight w:val="624"/>
        </w:trPr>
        <w:tc>
          <w:tcPr>
            <w:tcW w:w="0" w:type="auto"/>
            <w:hideMark/>
          </w:tcPr>
          <w:p w:rsidR="00DD487D" w:rsidRPr="00E46D6B" w:rsidRDefault="00EE66B4">
            <w:pPr>
              <w:jc w:val="both"/>
              <w:rPr>
                <w:rFonts w:ascii="Arial" w:hAnsi="Arial" w:cs="Arial"/>
                <w:b/>
                <w:bCs/>
                <w:sz w:val="20"/>
                <w:szCs w:val="20"/>
              </w:rPr>
            </w:pPr>
            <w:r w:rsidRPr="00E46D6B">
              <w:rPr>
                <w:rFonts w:ascii="Arial" w:hAnsi="Arial" w:cs="Arial"/>
                <w:b/>
                <w:bCs/>
                <w:sz w:val="20"/>
                <w:szCs w:val="20"/>
              </w:rPr>
              <w:t>C3</w:t>
            </w:r>
          </w:p>
        </w:tc>
        <w:tc>
          <w:tcPr>
            <w:tcW w:w="0" w:type="auto"/>
            <w:hideMark/>
          </w:tcPr>
          <w:p w:rsidR="00DD487D" w:rsidRPr="00E46D6B" w:rsidRDefault="00EE66B4">
            <w:pPr>
              <w:jc w:val="both"/>
              <w:rPr>
                <w:rFonts w:ascii="Arial" w:hAnsi="Arial" w:cs="Arial"/>
                <w:sz w:val="20"/>
                <w:szCs w:val="20"/>
              </w:rPr>
            </w:pPr>
            <w:r w:rsidRPr="00E46D6B">
              <w:rPr>
                <w:rFonts w:ascii="Arial" w:hAnsi="Arial" w:cs="Arial"/>
                <w:sz w:val="20"/>
                <w:szCs w:val="20"/>
              </w:rPr>
              <w:t>28 ± 0.281</w:t>
            </w:r>
          </w:p>
        </w:tc>
        <w:tc>
          <w:tcPr>
            <w:tcW w:w="0" w:type="auto"/>
            <w:hideMark/>
          </w:tcPr>
          <w:p w:rsidR="00DD487D" w:rsidRPr="00E46D6B" w:rsidRDefault="00EE66B4">
            <w:pPr>
              <w:jc w:val="both"/>
              <w:rPr>
                <w:rFonts w:ascii="Arial" w:hAnsi="Arial" w:cs="Arial"/>
                <w:sz w:val="20"/>
                <w:szCs w:val="20"/>
              </w:rPr>
            </w:pPr>
            <w:r w:rsidRPr="00E46D6B">
              <w:rPr>
                <w:rFonts w:ascii="Arial" w:hAnsi="Arial" w:cs="Arial"/>
                <w:sz w:val="20"/>
                <w:szCs w:val="20"/>
              </w:rPr>
              <w:t>62 ± 0.515</w:t>
            </w:r>
          </w:p>
        </w:tc>
        <w:tc>
          <w:tcPr>
            <w:tcW w:w="1499" w:type="dxa"/>
            <w:hideMark/>
          </w:tcPr>
          <w:p w:rsidR="00DD487D" w:rsidRPr="00E46D6B" w:rsidRDefault="00EE66B4">
            <w:pPr>
              <w:jc w:val="both"/>
              <w:rPr>
                <w:rFonts w:ascii="Arial" w:hAnsi="Arial" w:cs="Arial"/>
                <w:sz w:val="20"/>
                <w:szCs w:val="20"/>
              </w:rPr>
            </w:pPr>
            <w:r w:rsidRPr="00E46D6B">
              <w:rPr>
                <w:rFonts w:ascii="Arial" w:hAnsi="Arial" w:cs="Arial"/>
                <w:sz w:val="20"/>
                <w:szCs w:val="20"/>
              </w:rPr>
              <w:t>34 ± 0.588</w:t>
            </w:r>
          </w:p>
        </w:tc>
        <w:tc>
          <w:tcPr>
            <w:tcW w:w="1082" w:type="dxa"/>
            <w:hideMark/>
          </w:tcPr>
          <w:p w:rsidR="00DD487D" w:rsidRPr="00E46D6B" w:rsidRDefault="00EE66B4">
            <w:pPr>
              <w:jc w:val="both"/>
              <w:rPr>
                <w:rFonts w:ascii="Arial" w:hAnsi="Arial" w:cs="Arial"/>
                <w:sz w:val="20"/>
                <w:szCs w:val="20"/>
              </w:rPr>
            </w:pPr>
            <w:r w:rsidRPr="00E46D6B">
              <w:rPr>
                <w:rFonts w:ascii="Arial" w:hAnsi="Arial" w:cs="Arial"/>
                <w:sz w:val="20"/>
                <w:szCs w:val="20"/>
              </w:rPr>
              <w:t>0.88</w:t>
            </w:r>
          </w:p>
        </w:tc>
        <w:tc>
          <w:tcPr>
            <w:tcW w:w="714" w:type="dxa"/>
            <w:hideMark/>
          </w:tcPr>
          <w:p w:rsidR="00DD487D" w:rsidRPr="00E46D6B" w:rsidRDefault="00EE66B4">
            <w:pPr>
              <w:jc w:val="both"/>
              <w:rPr>
                <w:rFonts w:ascii="Arial" w:hAnsi="Arial" w:cs="Arial"/>
                <w:sz w:val="20"/>
                <w:szCs w:val="20"/>
              </w:rPr>
            </w:pPr>
            <w:r w:rsidRPr="00E46D6B">
              <w:rPr>
                <w:rFonts w:ascii="Arial" w:hAnsi="Arial" w:cs="Arial"/>
                <w:sz w:val="20"/>
                <w:szCs w:val="20"/>
              </w:rPr>
              <w:t>2.22</w:t>
            </w:r>
          </w:p>
        </w:tc>
        <w:tc>
          <w:tcPr>
            <w:tcW w:w="1069" w:type="dxa"/>
            <w:hideMark/>
          </w:tcPr>
          <w:p w:rsidR="00DD487D" w:rsidRPr="00E46D6B" w:rsidRDefault="00EE66B4">
            <w:pPr>
              <w:jc w:val="both"/>
              <w:rPr>
                <w:rFonts w:ascii="Arial" w:hAnsi="Arial" w:cs="Arial"/>
                <w:sz w:val="20"/>
                <w:szCs w:val="20"/>
              </w:rPr>
            </w:pPr>
            <w:r w:rsidRPr="00E46D6B">
              <w:rPr>
                <w:rFonts w:ascii="Arial" w:hAnsi="Arial" w:cs="Arial"/>
                <w:sz w:val="20"/>
                <w:szCs w:val="20"/>
              </w:rPr>
              <w:t>34</w:t>
            </w:r>
          </w:p>
        </w:tc>
        <w:tc>
          <w:tcPr>
            <w:tcW w:w="1083" w:type="dxa"/>
            <w:hideMark/>
          </w:tcPr>
          <w:p w:rsidR="00DD487D" w:rsidRPr="00E46D6B" w:rsidRDefault="00EE66B4">
            <w:pPr>
              <w:jc w:val="both"/>
              <w:rPr>
                <w:rFonts w:ascii="Arial" w:hAnsi="Arial" w:cs="Arial"/>
                <w:sz w:val="20"/>
                <w:szCs w:val="20"/>
              </w:rPr>
            </w:pPr>
            <w:r w:rsidRPr="00E46D6B">
              <w:rPr>
                <w:rFonts w:ascii="Arial" w:hAnsi="Arial" w:cs="Arial"/>
                <w:sz w:val="20"/>
                <w:szCs w:val="20"/>
              </w:rPr>
              <w:t>100</w:t>
            </w:r>
          </w:p>
        </w:tc>
      </w:tr>
      <w:tr w:rsidR="00DD487D" w:rsidRPr="00E46D6B">
        <w:trPr>
          <w:trHeight w:val="620"/>
        </w:trPr>
        <w:tc>
          <w:tcPr>
            <w:tcW w:w="0" w:type="auto"/>
            <w:hideMark/>
          </w:tcPr>
          <w:p w:rsidR="00DD487D" w:rsidRPr="00E46D6B" w:rsidRDefault="00EE66B4">
            <w:pPr>
              <w:jc w:val="both"/>
              <w:rPr>
                <w:rFonts w:ascii="Arial" w:hAnsi="Arial" w:cs="Arial"/>
                <w:b/>
                <w:bCs/>
                <w:sz w:val="20"/>
                <w:szCs w:val="20"/>
              </w:rPr>
            </w:pPr>
            <w:r w:rsidRPr="00E46D6B">
              <w:rPr>
                <w:rFonts w:ascii="Arial" w:hAnsi="Arial" w:cs="Arial"/>
                <w:b/>
                <w:bCs/>
                <w:sz w:val="20"/>
                <w:szCs w:val="20"/>
              </w:rPr>
              <w:t>T1</w:t>
            </w:r>
          </w:p>
        </w:tc>
        <w:tc>
          <w:tcPr>
            <w:tcW w:w="0" w:type="auto"/>
            <w:hideMark/>
          </w:tcPr>
          <w:p w:rsidR="00DD487D" w:rsidRPr="00E46D6B" w:rsidRDefault="00EE66B4">
            <w:pPr>
              <w:jc w:val="both"/>
              <w:rPr>
                <w:rFonts w:ascii="Arial" w:hAnsi="Arial" w:cs="Arial"/>
                <w:sz w:val="20"/>
                <w:szCs w:val="20"/>
              </w:rPr>
            </w:pPr>
            <w:r w:rsidRPr="00E46D6B">
              <w:rPr>
                <w:rFonts w:ascii="Arial" w:hAnsi="Arial" w:cs="Arial"/>
                <w:sz w:val="20"/>
                <w:szCs w:val="20"/>
              </w:rPr>
              <w:t>28 ± 0.281</w:t>
            </w:r>
          </w:p>
        </w:tc>
        <w:tc>
          <w:tcPr>
            <w:tcW w:w="0" w:type="auto"/>
            <w:hideMark/>
          </w:tcPr>
          <w:p w:rsidR="00DD487D" w:rsidRPr="00E46D6B" w:rsidRDefault="00EE66B4">
            <w:pPr>
              <w:jc w:val="both"/>
              <w:rPr>
                <w:rFonts w:ascii="Arial" w:hAnsi="Arial" w:cs="Arial"/>
                <w:sz w:val="20"/>
                <w:szCs w:val="20"/>
              </w:rPr>
            </w:pPr>
            <w:r w:rsidRPr="00E46D6B">
              <w:rPr>
                <w:rFonts w:ascii="Arial" w:hAnsi="Arial" w:cs="Arial"/>
                <w:sz w:val="20"/>
                <w:szCs w:val="20"/>
              </w:rPr>
              <w:t>81 ± 0.364</w:t>
            </w:r>
          </w:p>
        </w:tc>
        <w:tc>
          <w:tcPr>
            <w:tcW w:w="1499" w:type="dxa"/>
            <w:hideMark/>
          </w:tcPr>
          <w:p w:rsidR="00DD487D" w:rsidRPr="00E46D6B" w:rsidRDefault="00EE66B4">
            <w:pPr>
              <w:jc w:val="both"/>
              <w:rPr>
                <w:rFonts w:ascii="Arial" w:hAnsi="Arial" w:cs="Arial"/>
                <w:sz w:val="20"/>
                <w:szCs w:val="20"/>
              </w:rPr>
            </w:pPr>
            <w:r w:rsidRPr="00E46D6B">
              <w:rPr>
                <w:rFonts w:ascii="Arial" w:hAnsi="Arial" w:cs="Arial"/>
                <w:sz w:val="20"/>
                <w:szCs w:val="20"/>
              </w:rPr>
              <w:t>53 ± 0.459</w:t>
            </w:r>
          </w:p>
        </w:tc>
        <w:tc>
          <w:tcPr>
            <w:tcW w:w="1082" w:type="dxa"/>
            <w:hideMark/>
          </w:tcPr>
          <w:p w:rsidR="00DD487D" w:rsidRPr="00E46D6B" w:rsidRDefault="00EE66B4">
            <w:pPr>
              <w:jc w:val="both"/>
              <w:rPr>
                <w:rFonts w:ascii="Arial" w:hAnsi="Arial" w:cs="Arial"/>
                <w:sz w:val="20"/>
                <w:szCs w:val="20"/>
              </w:rPr>
            </w:pPr>
            <w:r w:rsidRPr="00E46D6B">
              <w:rPr>
                <w:rFonts w:ascii="Arial" w:hAnsi="Arial" w:cs="Arial"/>
                <w:sz w:val="20"/>
                <w:szCs w:val="20"/>
              </w:rPr>
              <w:t>1.18</w:t>
            </w:r>
          </w:p>
        </w:tc>
        <w:tc>
          <w:tcPr>
            <w:tcW w:w="714" w:type="dxa"/>
            <w:hideMark/>
          </w:tcPr>
          <w:p w:rsidR="00DD487D" w:rsidRPr="00E46D6B" w:rsidRDefault="00EE66B4">
            <w:pPr>
              <w:jc w:val="both"/>
              <w:rPr>
                <w:rFonts w:ascii="Arial" w:hAnsi="Arial" w:cs="Arial"/>
                <w:sz w:val="20"/>
                <w:szCs w:val="20"/>
              </w:rPr>
            </w:pPr>
            <w:r w:rsidRPr="00E46D6B">
              <w:rPr>
                <w:rFonts w:ascii="Arial" w:hAnsi="Arial" w:cs="Arial"/>
                <w:sz w:val="20"/>
                <w:szCs w:val="20"/>
              </w:rPr>
              <w:t>1.42</w:t>
            </w:r>
          </w:p>
        </w:tc>
        <w:tc>
          <w:tcPr>
            <w:tcW w:w="1069" w:type="dxa"/>
            <w:hideMark/>
          </w:tcPr>
          <w:p w:rsidR="00DD487D" w:rsidRPr="00E46D6B" w:rsidRDefault="00EE66B4">
            <w:pPr>
              <w:jc w:val="both"/>
              <w:rPr>
                <w:rFonts w:ascii="Arial" w:hAnsi="Arial" w:cs="Arial"/>
                <w:sz w:val="20"/>
                <w:szCs w:val="20"/>
              </w:rPr>
            </w:pPr>
            <w:r w:rsidRPr="00E46D6B">
              <w:rPr>
                <w:rFonts w:ascii="Arial" w:hAnsi="Arial" w:cs="Arial"/>
                <w:sz w:val="20"/>
                <w:szCs w:val="20"/>
              </w:rPr>
              <w:t>53</w:t>
            </w:r>
          </w:p>
        </w:tc>
        <w:tc>
          <w:tcPr>
            <w:tcW w:w="1083" w:type="dxa"/>
            <w:hideMark/>
          </w:tcPr>
          <w:p w:rsidR="00DD487D" w:rsidRPr="00E46D6B" w:rsidRDefault="00EE66B4">
            <w:pPr>
              <w:jc w:val="both"/>
              <w:rPr>
                <w:rFonts w:ascii="Arial" w:hAnsi="Arial" w:cs="Arial"/>
                <w:sz w:val="20"/>
                <w:szCs w:val="20"/>
              </w:rPr>
            </w:pPr>
            <w:r w:rsidRPr="00E46D6B">
              <w:rPr>
                <w:rFonts w:ascii="Arial" w:hAnsi="Arial" w:cs="Arial"/>
                <w:sz w:val="20"/>
                <w:szCs w:val="20"/>
              </w:rPr>
              <w:t>100</w:t>
            </w:r>
          </w:p>
        </w:tc>
      </w:tr>
      <w:tr w:rsidR="00DD487D" w:rsidRPr="00E46D6B">
        <w:trPr>
          <w:trHeight w:val="644"/>
        </w:trPr>
        <w:tc>
          <w:tcPr>
            <w:tcW w:w="0" w:type="auto"/>
            <w:hideMark/>
          </w:tcPr>
          <w:p w:rsidR="00DD487D" w:rsidRPr="00E46D6B" w:rsidRDefault="00EE66B4">
            <w:pPr>
              <w:jc w:val="both"/>
              <w:rPr>
                <w:rFonts w:ascii="Arial" w:hAnsi="Arial" w:cs="Arial"/>
                <w:b/>
                <w:bCs/>
                <w:sz w:val="20"/>
                <w:szCs w:val="20"/>
              </w:rPr>
            </w:pPr>
            <w:r w:rsidRPr="00E46D6B">
              <w:rPr>
                <w:rFonts w:ascii="Arial" w:hAnsi="Arial" w:cs="Arial"/>
                <w:b/>
                <w:bCs/>
                <w:sz w:val="20"/>
                <w:szCs w:val="20"/>
              </w:rPr>
              <w:t>T2</w:t>
            </w:r>
          </w:p>
        </w:tc>
        <w:tc>
          <w:tcPr>
            <w:tcW w:w="0" w:type="auto"/>
            <w:hideMark/>
          </w:tcPr>
          <w:p w:rsidR="00DD487D" w:rsidRPr="00E46D6B" w:rsidRDefault="00EE66B4">
            <w:pPr>
              <w:jc w:val="both"/>
              <w:rPr>
                <w:rFonts w:ascii="Arial" w:hAnsi="Arial" w:cs="Arial"/>
                <w:sz w:val="20"/>
                <w:szCs w:val="20"/>
              </w:rPr>
            </w:pPr>
            <w:r w:rsidRPr="00E46D6B">
              <w:rPr>
                <w:rFonts w:ascii="Arial" w:hAnsi="Arial" w:cs="Arial"/>
                <w:sz w:val="20"/>
                <w:szCs w:val="20"/>
              </w:rPr>
              <w:t>28 ± 0.332</w:t>
            </w:r>
          </w:p>
        </w:tc>
        <w:tc>
          <w:tcPr>
            <w:tcW w:w="0" w:type="auto"/>
            <w:hideMark/>
          </w:tcPr>
          <w:p w:rsidR="00DD487D" w:rsidRPr="00E46D6B" w:rsidRDefault="00EE66B4">
            <w:pPr>
              <w:jc w:val="both"/>
              <w:rPr>
                <w:rFonts w:ascii="Arial" w:hAnsi="Arial" w:cs="Arial"/>
                <w:sz w:val="20"/>
                <w:szCs w:val="20"/>
              </w:rPr>
            </w:pPr>
            <w:r w:rsidRPr="00E46D6B">
              <w:rPr>
                <w:rFonts w:ascii="Arial" w:hAnsi="Arial" w:cs="Arial"/>
                <w:sz w:val="20"/>
                <w:szCs w:val="20"/>
              </w:rPr>
              <w:t>83 ± 0.395</w:t>
            </w:r>
          </w:p>
        </w:tc>
        <w:tc>
          <w:tcPr>
            <w:tcW w:w="1499" w:type="dxa"/>
            <w:hideMark/>
          </w:tcPr>
          <w:p w:rsidR="00DD487D" w:rsidRPr="00E46D6B" w:rsidRDefault="00EE66B4">
            <w:pPr>
              <w:jc w:val="both"/>
              <w:rPr>
                <w:rFonts w:ascii="Arial" w:hAnsi="Arial" w:cs="Arial"/>
                <w:sz w:val="20"/>
                <w:szCs w:val="20"/>
              </w:rPr>
            </w:pPr>
            <w:r w:rsidRPr="00E46D6B">
              <w:rPr>
                <w:rFonts w:ascii="Arial" w:hAnsi="Arial" w:cs="Arial"/>
                <w:sz w:val="20"/>
                <w:szCs w:val="20"/>
              </w:rPr>
              <w:t>55 ± 0.515</w:t>
            </w:r>
          </w:p>
        </w:tc>
        <w:tc>
          <w:tcPr>
            <w:tcW w:w="1082" w:type="dxa"/>
            <w:hideMark/>
          </w:tcPr>
          <w:p w:rsidR="00DD487D" w:rsidRPr="00E46D6B" w:rsidRDefault="00EE66B4">
            <w:pPr>
              <w:jc w:val="both"/>
              <w:rPr>
                <w:rFonts w:ascii="Arial" w:hAnsi="Arial" w:cs="Arial"/>
                <w:sz w:val="20"/>
                <w:szCs w:val="20"/>
              </w:rPr>
            </w:pPr>
            <w:r w:rsidRPr="00E46D6B">
              <w:rPr>
                <w:rFonts w:ascii="Arial" w:hAnsi="Arial" w:cs="Arial"/>
                <w:sz w:val="20"/>
                <w:szCs w:val="20"/>
              </w:rPr>
              <w:t>1.2</w:t>
            </w:r>
          </w:p>
        </w:tc>
        <w:tc>
          <w:tcPr>
            <w:tcW w:w="714" w:type="dxa"/>
            <w:hideMark/>
          </w:tcPr>
          <w:p w:rsidR="00DD487D" w:rsidRPr="00E46D6B" w:rsidRDefault="00EE66B4">
            <w:pPr>
              <w:jc w:val="both"/>
              <w:rPr>
                <w:rFonts w:ascii="Arial" w:hAnsi="Arial" w:cs="Arial"/>
                <w:sz w:val="20"/>
                <w:szCs w:val="20"/>
              </w:rPr>
            </w:pPr>
            <w:r w:rsidRPr="00E46D6B">
              <w:rPr>
                <w:rFonts w:ascii="Arial" w:hAnsi="Arial" w:cs="Arial"/>
                <w:sz w:val="20"/>
                <w:szCs w:val="20"/>
              </w:rPr>
              <w:t>1.37</w:t>
            </w:r>
          </w:p>
        </w:tc>
        <w:tc>
          <w:tcPr>
            <w:tcW w:w="1069" w:type="dxa"/>
            <w:hideMark/>
          </w:tcPr>
          <w:p w:rsidR="00DD487D" w:rsidRPr="00E46D6B" w:rsidRDefault="00EE66B4">
            <w:pPr>
              <w:jc w:val="both"/>
              <w:rPr>
                <w:rFonts w:ascii="Arial" w:hAnsi="Arial" w:cs="Arial"/>
                <w:sz w:val="20"/>
                <w:szCs w:val="20"/>
              </w:rPr>
            </w:pPr>
            <w:r w:rsidRPr="00E46D6B">
              <w:rPr>
                <w:rFonts w:ascii="Arial" w:hAnsi="Arial" w:cs="Arial"/>
                <w:sz w:val="20"/>
                <w:szCs w:val="20"/>
              </w:rPr>
              <w:t>55</w:t>
            </w:r>
          </w:p>
        </w:tc>
        <w:tc>
          <w:tcPr>
            <w:tcW w:w="1083" w:type="dxa"/>
            <w:hideMark/>
          </w:tcPr>
          <w:p w:rsidR="00DD487D" w:rsidRPr="00E46D6B" w:rsidRDefault="00EE66B4">
            <w:pPr>
              <w:jc w:val="both"/>
              <w:rPr>
                <w:rFonts w:ascii="Arial" w:hAnsi="Arial" w:cs="Arial"/>
                <w:sz w:val="20"/>
                <w:szCs w:val="20"/>
              </w:rPr>
            </w:pPr>
            <w:r w:rsidRPr="00E46D6B">
              <w:rPr>
                <w:rFonts w:ascii="Arial" w:hAnsi="Arial" w:cs="Arial"/>
                <w:sz w:val="20"/>
                <w:szCs w:val="20"/>
              </w:rPr>
              <w:t>100</w:t>
            </w:r>
          </w:p>
        </w:tc>
      </w:tr>
      <w:tr w:rsidR="00DD487D" w:rsidRPr="00E46D6B">
        <w:trPr>
          <w:trHeight w:val="752"/>
        </w:trPr>
        <w:tc>
          <w:tcPr>
            <w:tcW w:w="0" w:type="auto"/>
            <w:hideMark/>
          </w:tcPr>
          <w:p w:rsidR="00DD487D" w:rsidRPr="00E46D6B" w:rsidRDefault="00EE66B4">
            <w:pPr>
              <w:jc w:val="both"/>
              <w:rPr>
                <w:rFonts w:ascii="Arial" w:hAnsi="Arial" w:cs="Arial"/>
                <w:b/>
                <w:bCs/>
                <w:sz w:val="20"/>
                <w:szCs w:val="20"/>
              </w:rPr>
            </w:pPr>
            <w:r w:rsidRPr="00E46D6B">
              <w:rPr>
                <w:rFonts w:ascii="Arial" w:hAnsi="Arial" w:cs="Arial"/>
                <w:b/>
                <w:bCs/>
                <w:sz w:val="20"/>
                <w:szCs w:val="20"/>
              </w:rPr>
              <w:t>T3</w:t>
            </w:r>
          </w:p>
        </w:tc>
        <w:tc>
          <w:tcPr>
            <w:tcW w:w="0" w:type="auto"/>
            <w:hideMark/>
          </w:tcPr>
          <w:p w:rsidR="00DD487D" w:rsidRPr="00E46D6B" w:rsidRDefault="00EE66B4">
            <w:pPr>
              <w:jc w:val="both"/>
              <w:rPr>
                <w:rFonts w:ascii="Arial" w:hAnsi="Arial" w:cs="Arial"/>
                <w:sz w:val="20"/>
                <w:szCs w:val="20"/>
              </w:rPr>
            </w:pPr>
            <w:r w:rsidRPr="00E46D6B">
              <w:rPr>
                <w:rFonts w:ascii="Arial" w:hAnsi="Arial" w:cs="Arial"/>
                <w:sz w:val="20"/>
                <w:szCs w:val="20"/>
              </w:rPr>
              <w:t>28 ± 0.332</w:t>
            </w:r>
          </w:p>
        </w:tc>
        <w:tc>
          <w:tcPr>
            <w:tcW w:w="0" w:type="auto"/>
            <w:hideMark/>
          </w:tcPr>
          <w:p w:rsidR="00DD487D" w:rsidRPr="00E46D6B" w:rsidRDefault="00EE66B4">
            <w:pPr>
              <w:jc w:val="both"/>
              <w:rPr>
                <w:rFonts w:ascii="Arial" w:hAnsi="Arial" w:cs="Arial"/>
                <w:sz w:val="20"/>
                <w:szCs w:val="20"/>
              </w:rPr>
            </w:pPr>
            <w:r w:rsidRPr="00E46D6B">
              <w:rPr>
                <w:rFonts w:ascii="Arial" w:hAnsi="Arial" w:cs="Arial"/>
                <w:sz w:val="20"/>
                <w:szCs w:val="20"/>
              </w:rPr>
              <w:t>77 ± 0.446</w:t>
            </w:r>
          </w:p>
        </w:tc>
        <w:tc>
          <w:tcPr>
            <w:tcW w:w="1499" w:type="dxa"/>
            <w:hideMark/>
          </w:tcPr>
          <w:p w:rsidR="00DD487D" w:rsidRPr="00E46D6B" w:rsidRDefault="00EE66B4">
            <w:pPr>
              <w:jc w:val="both"/>
              <w:rPr>
                <w:rFonts w:ascii="Arial" w:hAnsi="Arial" w:cs="Arial"/>
                <w:sz w:val="20"/>
                <w:szCs w:val="20"/>
              </w:rPr>
            </w:pPr>
            <w:r w:rsidRPr="00E46D6B">
              <w:rPr>
                <w:rFonts w:ascii="Arial" w:hAnsi="Arial" w:cs="Arial"/>
                <w:sz w:val="20"/>
                <w:szCs w:val="20"/>
              </w:rPr>
              <w:t>49 ± 0.557</w:t>
            </w:r>
          </w:p>
        </w:tc>
        <w:tc>
          <w:tcPr>
            <w:tcW w:w="1082" w:type="dxa"/>
            <w:hideMark/>
          </w:tcPr>
          <w:p w:rsidR="00DD487D" w:rsidRPr="00E46D6B" w:rsidRDefault="00EE66B4">
            <w:pPr>
              <w:jc w:val="both"/>
              <w:rPr>
                <w:rFonts w:ascii="Arial" w:hAnsi="Arial" w:cs="Arial"/>
                <w:sz w:val="20"/>
                <w:szCs w:val="20"/>
              </w:rPr>
            </w:pPr>
            <w:r w:rsidRPr="00E46D6B">
              <w:rPr>
                <w:rFonts w:ascii="Arial" w:hAnsi="Arial" w:cs="Arial"/>
                <w:sz w:val="20"/>
                <w:szCs w:val="20"/>
              </w:rPr>
              <w:t>1.12</w:t>
            </w:r>
          </w:p>
        </w:tc>
        <w:tc>
          <w:tcPr>
            <w:tcW w:w="714" w:type="dxa"/>
            <w:hideMark/>
          </w:tcPr>
          <w:p w:rsidR="00DD487D" w:rsidRPr="00E46D6B" w:rsidRDefault="00EE66B4">
            <w:pPr>
              <w:jc w:val="both"/>
              <w:rPr>
                <w:rFonts w:ascii="Arial" w:hAnsi="Arial" w:cs="Arial"/>
                <w:sz w:val="20"/>
                <w:szCs w:val="20"/>
              </w:rPr>
            </w:pPr>
            <w:r w:rsidRPr="00E46D6B">
              <w:rPr>
                <w:rFonts w:ascii="Arial" w:hAnsi="Arial" w:cs="Arial"/>
                <w:sz w:val="20"/>
                <w:szCs w:val="20"/>
              </w:rPr>
              <w:t>1.54</w:t>
            </w:r>
          </w:p>
        </w:tc>
        <w:tc>
          <w:tcPr>
            <w:tcW w:w="1069" w:type="dxa"/>
            <w:hideMark/>
          </w:tcPr>
          <w:p w:rsidR="00DD487D" w:rsidRPr="00E46D6B" w:rsidRDefault="00EE66B4">
            <w:pPr>
              <w:jc w:val="both"/>
              <w:rPr>
                <w:rFonts w:ascii="Arial" w:hAnsi="Arial" w:cs="Arial"/>
                <w:sz w:val="20"/>
                <w:szCs w:val="20"/>
              </w:rPr>
            </w:pPr>
            <w:r w:rsidRPr="00E46D6B">
              <w:rPr>
                <w:rFonts w:ascii="Arial" w:hAnsi="Arial" w:cs="Arial"/>
                <w:sz w:val="20"/>
                <w:szCs w:val="20"/>
              </w:rPr>
              <w:t>49</w:t>
            </w:r>
          </w:p>
        </w:tc>
        <w:tc>
          <w:tcPr>
            <w:tcW w:w="1083" w:type="dxa"/>
            <w:hideMark/>
          </w:tcPr>
          <w:p w:rsidR="00DD487D" w:rsidRPr="00E46D6B" w:rsidRDefault="00EE66B4">
            <w:pPr>
              <w:jc w:val="both"/>
              <w:rPr>
                <w:rFonts w:ascii="Arial" w:hAnsi="Arial" w:cs="Arial"/>
                <w:sz w:val="20"/>
                <w:szCs w:val="20"/>
              </w:rPr>
            </w:pPr>
            <w:r w:rsidRPr="00E46D6B">
              <w:rPr>
                <w:rFonts w:ascii="Arial" w:hAnsi="Arial" w:cs="Arial"/>
                <w:sz w:val="20"/>
                <w:szCs w:val="20"/>
              </w:rPr>
              <w:t>100</w:t>
            </w:r>
          </w:p>
        </w:tc>
      </w:tr>
    </w:tbl>
    <w:p w:rsidR="00E330FA" w:rsidRDefault="00E330FA">
      <w:pPr>
        <w:jc w:val="both"/>
        <w:rPr>
          <w:rFonts w:ascii="Arial" w:hAnsi="Arial" w:cs="Arial"/>
          <w:b/>
          <w:bCs/>
          <w:sz w:val="20"/>
          <w:szCs w:val="20"/>
          <w:lang w:val="en-US"/>
        </w:rPr>
      </w:pPr>
    </w:p>
    <w:p w:rsidR="00DD487D" w:rsidRPr="00E46D6B" w:rsidRDefault="00DD487D">
      <w:pPr>
        <w:jc w:val="both"/>
        <w:rPr>
          <w:rFonts w:ascii="Arial" w:hAnsi="Arial" w:cs="Arial"/>
          <w:sz w:val="20"/>
          <w:szCs w:val="20"/>
          <w:lang w:val="en-US"/>
        </w:rPr>
      </w:pPr>
    </w:p>
    <w:p w:rsidR="00E11A7B" w:rsidRPr="00E11A7B" w:rsidRDefault="00E11A7B" w:rsidP="00E11A7B">
      <w:pPr>
        <w:jc w:val="both"/>
        <w:rPr>
          <w:rFonts w:ascii="Arial" w:hAnsi="Arial" w:cs="Arial"/>
          <w:b/>
          <w:sz w:val="20"/>
          <w:szCs w:val="20"/>
          <w:lang w:val="en-US"/>
        </w:rPr>
      </w:pPr>
      <w:r w:rsidRPr="00E11A7B">
        <w:rPr>
          <w:rFonts w:ascii="Arial" w:hAnsi="Arial" w:cs="Arial"/>
          <w:b/>
          <w:bCs/>
          <w:sz w:val="20"/>
          <w:szCs w:val="20"/>
          <w:lang w:val="en-US"/>
        </w:rPr>
        <w:t xml:space="preserve">Table </w:t>
      </w:r>
      <w:r w:rsidR="00227E3D">
        <w:rPr>
          <w:rFonts w:ascii="Arial" w:hAnsi="Arial" w:cs="Arial"/>
          <w:b/>
          <w:bCs/>
          <w:sz w:val="20"/>
          <w:szCs w:val="20"/>
          <w:lang w:val="en-US"/>
        </w:rPr>
        <w:t>4</w:t>
      </w:r>
      <w:r w:rsidRPr="00E11A7B">
        <w:rPr>
          <w:rFonts w:ascii="Arial" w:hAnsi="Arial" w:cs="Arial"/>
          <w:b/>
          <w:sz w:val="20"/>
          <w:szCs w:val="20"/>
          <w:lang w:val="en-US"/>
        </w:rPr>
        <w:t>. Water parameters observed during the experimental study.</w:t>
      </w:r>
    </w:p>
    <w:p w:rsidR="00DD487D" w:rsidRPr="00E46D6B" w:rsidRDefault="00DD487D">
      <w:pPr>
        <w:jc w:val="both"/>
        <w:rPr>
          <w:rFonts w:ascii="Arial" w:hAnsi="Arial" w:cs="Arial"/>
          <w:sz w:val="20"/>
          <w:szCs w:val="20"/>
          <w:lang w:val="en-US"/>
        </w:rPr>
      </w:pPr>
    </w:p>
    <w:tbl>
      <w:tblPr>
        <w:tblStyle w:val="TableGrid"/>
        <w:tblW w:w="0" w:type="auto"/>
        <w:tblLook w:val="04A0"/>
      </w:tblPr>
      <w:tblGrid>
        <w:gridCol w:w="4508"/>
        <w:gridCol w:w="4508"/>
      </w:tblGrid>
      <w:tr w:rsidR="00DD487D" w:rsidRPr="00E46D6B">
        <w:trPr>
          <w:trHeight w:val="431"/>
        </w:trPr>
        <w:tc>
          <w:tcPr>
            <w:tcW w:w="4508" w:type="dxa"/>
          </w:tcPr>
          <w:p w:rsidR="00DD487D" w:rsidRPr="00E46D6B" w:rsidRDefault="00EE66B4">
            <w:pPr>
              <w:jc w:val="center"/>
              <w:rPr>
                <w:rFonts w:ascii="Arial" w:hAnsi="Arial" w:cs="Arial"/>
                <w:b/>
                <w:bCs/>
                <w:sz w:val="20"/>
                <w:szCs w:val="20"/>
                <w:lang w:val="en-US"/>
              </w:rPr>
            </w:pPr>
            <w:r w:rsidRPr="00E46D6B">
              <w:rPr>
                <w:rFonts w:ascii="Arial" w:hAnsi="Arial" w:cs="Arial"/>
                <w:b/>
                <w:bCs/>
                <w:sz w:val="20"/>
                <w:szCs w:val="20"/>
                <w:lang w:val="en-US"/>
              </w:rPr>
              <w:t>Parameters</w:t>
            </w:r>
          </w:p>
        </w:tc>
        <w:tc>
          <w:tcPr>
            <w:tcW w:w="4508" w:type="dxa"/>
          </w:tcPr>
          <w:p w:rsidR="00DD487D" w:rsidRPr="00E46D6B" w:rsidRDefault="00EE66B4">
            <w:pPr>
              <w:jc w:val="center"/>
              <w:rPr>
                <w:rFonts w:ascii="Arial" w:hAnsi="Arial" w:cs="Arial"/>
                <w:b/>
                <w:bCs/>
                <w:sz w:val="20"/>
                <w:szCs w:val="20"/>
                <w:lang w:val="en-US"/>
              </w:rPr>
            </w:pPr>
            <w:r w:rsidRPr="00E46D6B">
              <w:rPr>
                <w:rFonts w:ascii="Arial" w:hAnsi="Arial" w:cs="Arial"/>
                <w:b/>
                <w:bCs/>
                <w:sz w:val="20"/>
                <w:szCs w:val="20"/>
                <w:lang w:val="en-US"/>
              </w:rPr>
              <w:t>Observation</w:t>
            </w:r>
          </w:p>
        </w:tc>
      </w:tr>
      <w:tr w:rsidR="00DD487D" w:rsidRPr="00E46D6B">
        <w:trPr>
          <w:trHeight w:val="409"/>
        </w:trPr>
        <w:tc>
          <w:tcPr>
            <w:tcW w:w="4508" w:type="dxa"/>
          </w:tcPr>
          <w:p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pH</w:t>
            </w:r>
          </w:p>
        </w:tc>
        <w:tc>
          <w:tcPr>
            <w:tcW w:w="4508" w:type="dxa"/>
          </w:tcPr>
          <w:p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7.4 - 8</w:t>
            </w:r>
          </w:p>
        </w:tc>
      </w:tr>
      <w:tr w:rsidR="00DD487D" w:rsidRPr="00E46D6B">
        <w:trPr>
          <w:trHeight w:val="415"/>
        </w:trPr>
        <w:tc>
          <w:tcPr>
            <w:tcW w:w="4508" w:type="dxa"/>
          </w:tcPr>
          <w:p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Dissolved oxygen (ppm)</w:t>
            </w:r>
          </w:p>
        </w:tc>
        <w:tc>
          <w:tcPr>
            <w:tcW w:w="4508" w:type="dxa"/>
          </w:tcPr>
          <w:p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6 - 8</w:t>
            </w:r>
          </w:p>
        </w:tc>
      </w:tr>
      <w:tr w:rsidR="00DD487D" w:rsidRPr="00E46D6B">
        <w:trPr>
          <w:trHeight w:val="422"/>
        </w:trPr>
        <w:tc>
          <w:tcPr>
            <w:tcW w:w="4508" w:type="dxa"/>
          </w:tcPr>
          <w:p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Water temperature (</w:t>
            </w:r>
            <w:r w:rsidRPr="00E46D6B">
              <w:rPr>
                <w:rFonts w:ascii="Arial" w:hAnsi="Arial" w:cs="Arial"/>
                <w:sz w:val="20"/>
                <w:szCs w:val="20"/>
                <w:vertAlign w:val="superscript"/>
                <w:lang w:val="en-US"/>
              </w:rPr>
              <w:t>o</w:t>
            </w:r>
            <w:r w:rsidRPr="00E46D6B">
              <w:rPr>
                <w:rFonts w:ascii="Arial" w:hAnsi="Arial" w:cs="Arial"/>
                <w:sz w:val="20"/>
                <w:szCs w:val="20"/>
                <w:lang w:val="en-US"/>
              </w:rPr>
              <w:t>C)</w:t>
            </w:r>
          </w:p>
        </w:tc>
        <w:tc>
          <w:tcPr>
            <w:tcW w:w="4508" w:type="dxa"/>
          </w:tcPr>
          <w:p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20 - 24</w:t>
            </w:r>
          </w:p>
        </w:tc>
      </w:tr>
      <w:tr w:rsidR="00DD487D" w:rsidRPr="00E46D6B">
        <w:trPr>
          <w:trHeight w:val="413"/>
        </w:trPr>
        <w:tc>
          <w:tcPr>
            <w:tcW w:w="4508" w:type="dxa"/>
          </w:tcPr>
          <w:p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Alkalinity (mg/L CaCO3)</w:t>
            </w:r>
          </w:p>
        </w:tc>
        <w:tc>
          <w:tcPr>
            <w:tcW w:w="4508" w:type="dxa"/>
          </w:tcPr>
          <w:p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120 - 125</w:t>
            </w:r>
          </w:p>
        </w:tc>
      </w:tr>
      <w:tr w:rsidR="00DD487D" w:rsidRPr="00E46D6B">
        <w:trPr>
          <w:trHeight w:val="413"/>
        </w:trPr>
        <w:tc>
          <w:tcPr>
            <w:tcW w:w="4508" w:type="dxa"/>
          </w:tcPr>
          <w:p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Total dissolved solids (mg/l)</w:t>
            </w:r>
          </w:p>
        </w:tc>
        <w:tc>
          <w:tcPr>
            <w:tcW w:w="4508" w:type="dxa"/>
          </w:tcPr>
          <w:p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250 - 270</w:t>
            </w:r>
          </w:p>
        </w:tc>
      </w:tr>
    </w:tbl>
    <w:p w:rsidR="00E330FA" w:rsidRDefault="00E330FA">
      <w:pPr>
        <w:jc w:val="both"/>
        <w:rPr>
          <w:rFonts w:ascii="Arial" w:hAnsi="Arial" w:cs="Arial"/>
          <w:b/>
          <w:bCs/>
          <w:sz w:val="20"/>
          <w:szCs w:val="20"/>
          <w:lang w:val="en-US"/>
        </w:rPr>
      </w:pPr>
    </w:p>
    <w:p w:rsidR="00DD487D" w:rsidRPr="00E46D6B" w:rsidRDefault="00DD487D">
      <w:pPr>
        <w:jc w:val="both"/>
        <w:rPr>
          <w:rFonts w:ascii="Arial" w:hAnsi="Arial" w:cs="Arial"/>
          <w:noProof/>
          <w:sz w:val="20"/>
          <w:szCs w:val="20"/>
        </w:rPr>
      </w:pPr>
    </w:p>
    <w:p w:rsidR="00DD487D" w:rsidRPr="00E46D6B" w:rsidRDefault="00EE66B4">
      <w:pPr>
        <w:jc w:val="both"/>
        <w:rPr>
          <w:rFonts w:ascii="Arial" w:hAnsi="Arial" w:cs="Arial"/>
          <w:sz w:val="20"/>
          <w:szCs w:val="20"/>
        </w:rPr>
      </w:pPr>
      <w:r w:rsidRPr="00E46D6B">
        <w:rPr>
          <w:rFonts w:ascii="Arial" w:hAnsi="Arial" w:cs="Arial"/>
          <w:noProof/>
          <w:sz w:val="20"/>
          <w:szCs w:val="20"/>
          <w:lang w:eastAsia="en-IN"/>
        </w:rPr>
        <w:lastRenderedPageBreak/>
        <w:drawing>
          <wp:inline distT="0" distB="0" distL="0" distR="0">
            <wp:extent cx="5731510" cy="3369945"/>
            <wp:effectExtent l="0" t="0" r="2540" b="1905"/>
            <wp:docPr id="1036"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9" cstate="print"/>
                    <a:srcRect/>
                    <a:stretch/>
                  </pic:blipFill>
                  <pic:spPr>
                    <a:xfrm>
                      <a:off x="0" y="0"/>
                      <a:ext cx="5731510" cy="3369945"/>
                    </a:xfrm>
                    <a:prstGeom prst="rect">
                      <a:avLst/>
                    </a:prstGeom>
                    <a:ln>
                      <a:noFill/>
                    </a:ln>
                  </pic:spPr>
                </pic:pic>
              </a:graphicData>
            </a:graphic>
          </wp:inline>
        </w:drawing>
      </w:r>
    </w:p>
    <w:p w:rsidR="00DD487D" w:rsidRPr="00CB09F4" w:rsidRDefault="00EE66B4">
      <w:pPr>
        <w:jc w:val="both"/>
        <w:rPr>
          <w:rFonts w:ascii="Arial" w:hAnsi="Arial" w:cs="Arial"/>
          <w:b/>
          <w:sz w:val="20"/>
          <w:szCs w:val="20"/>
        </w:rPr>
      </w:pPr>
      <w:r w:rsidRPr="00CB09F4">
        <w:rPr>
          <w:rFonts w:ascii="Arial" w:hAnsi="Arial" w:cs="Arial"/>
          <w:b/>
          <w:bCs/>
          <w:sz w:val="20"/>
          <w:szCs w:val="20"/>
        </w:rPr>
        <w:t>Fig 2</w:t>
      </w:r>
      <w:r w:rsidRPr="00CB09F4">
        <w:rPr>
          <w:rFonts w:ascii="Arial" w:hAnsi="Arial" w:cs="Arial"/>
          <w:b/>
          <w:sz w:val="20"/>
          <w:szCs w:val="20"/>
        </w:rPr>
        <w:t>: Feed Conversion Ratio (FCR) of Control (C) and Treatment (T) groups</w:t>
      </w:r>
    </w:p>
    <w:p w:rsidR="00DD487D" w:rsidRPr="00E46D6B" w:rsidRDefault="00DD487D">
      <w:pPr>
        <w:jc w:val="both"/>
        <w:rPr>
          <w:rFonts w:ascii="Arial" w:hAnsi="Arial" w:cs="Arial"/>
          <w:sz w:val="20"/>
          <w:szCs w:val="20"/>
        </w:rPr>
      </w:pPr>
    </w:p>
    <w:p w:rsidR="00DD487D" w:rsidRPr="00E46D6B" w:rsidRDefault="00EE66B4">
      <w:pPr>
        <w:jc w:val="both"/>
        <w:rPr>
          <w:rFonts w:ascii="Arial" w:hAnsi="Arial" w:cs="Arial"/>
          <w:sz w:val="20"/>
          <w:szCs w:val="20"/>
        </w:rPr>
      </w:pPr>
      <w:r w:rsidRPr="00E46D6B">
        <w:rPr>
          <w:rFonts w:ascii="Arial" w:hAnsi="Arial" w:cs="Arial"/>
          <w:noProof/>
          <w:sz w:val="20"/>
          <w:szCs w:val="20"/>
          <w:lang w:eastAsia="en-IN"/>
        </w:rPr>
        <w:drawing>
          <wp:inline distT="0" distB="0" distL="0" distR="0">
            <wp:extent cx="5731510" cy="3369945"/>
            <wp:effectExtent l="0" t="0" r="2540" b="1905"/>
            <wp:docPr id="1037"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6"/>
                    <pic:cNvPicPr/>
                  </pic:nvPicPr>
                  <pic:blipFill>
                    <a:blip r:embed="rId10" cstate="print"/>
                    <a:srcRect/>
                    <a:stretch/>
                  </pic:blipFill>
                  <pic:spPr>
                    <a:xfrm>
                      <a:off x="0" y="0"/>
                      <a:ext cx="5731510" cy="3369945"/>
                    </a:xfrm>
                    <a:prstGeom prst="rect">
                      <a:avLst/>
                    </a:prstGeom>
                    <a:ln>
                      <a:noFill/>
                    </a:ln>
                  </pic:spPr>
                </pic:pic>
              </a:graphicData>
            </a:graphic>
          </wp:inline>
        </w:drawing>
      </w:r>
    </w:p>
    <w:p w:rsidR="00DD487D" w:rsidRPr="00E46D6B" w:rsidRDefault="00DD487D">
      <w:pPr>
        <w:jc w:val="both"/>
        <w:rPr>
          <w:rFonts w:ascii="Arial" w:hAnsi="Arial" w:cs="Arial"/>
          <w:sz w:val="20"/>
          <w:szCs w:val="20"/>
        </w:rPr>
      </w:pPr>
    </w:p>
    <w:p w:rsidR="00DD487D" w:rsidRPr="00CB09F4" w:rsidRDefault="00EE66B4">
      <w:pPr>
        <w:jc w:val="both"/>
        <w:rPr>
          <w:rFonts w:ascii="Arial" w:hAnsi="Arial" w:cs="Arial"/>
          <w:b/>
          <w:bCs/>
          <w:sz w:val="20"/>
          <w:szCs w:val="20"/>
        </w:rPr>
      </w:pPr>
      <w:r w:rsidRPr="00CB09F4">
        <w:rPr>
          <w:rFonts w:ascii="Arial" w:hAnsi="Arial" w:cs="Arial"/>
          <w:b/>
          <w:bCs/>
          <w:sz w:val="20"/>
          <w:szCs w:val="20"/>
          <w:lang w:val="en-US"/>
        </w:rPr>
        <w:t>Fig 3</w:t>
      </w:r>
      <w:r w:rsidRPr="00CB09F4">
        <w:rPr>
          <w:rFonts w:ascii="Arial" w:hAnsi="Arial" w:cs="Arial"/>
          <w:b/>
          <w:sz w:val="20"/>
          <w:szCs w:val="20"/>
          <w:lang w:val="en-US"/>
        </w:rPr>
        <w:t xml:space="preserve">: </w:t>
      </w:r>
      <w:r w:rsidRPr="00CB09F4">
        <w:rPr>
          <w:rFonts w:ascii="Arial" w:hAnsi="Arial" w:cs="Arial"/>
          <w:b/>
          <w:sz w:val="20"/>
          <w:szCs w:val="20"/>
        </w:rPr>
        <w:t>Specific Growth Rate (SGR) of Control (C) and Treatment (T) Groups.</w:t>
      </w:r>
    </w:p>
    <w:p w:rsidR="00DD487D" w:rsidRPr="00E46D6B" w:rsidRDefault="00DD487D">
      <w:pPr>
        <w:jc w:val="both"/>
        <w:rPr>
          <w:rFonts w:ascii="Arial" w:hAnsi="Arial" w:cs="Arial"/>
          <w:b/>
          <w:bCs/>
          <w:sz w:val="20"/>
          <w:szCs w:val="20"/>
        </w:rPr>
      </w:pPr>
    </w:p>
    <w:p w:rsidR="00DD487D" w:rsidRPr="00E46D6B" w:rsidRDefault="00DD487D">
      <w:pPr>
        <w:jc w:val="both"/>
        <w:rPr>
          <w:rFonts w:ascii="Arial" w:hAnsi="Arial" w:cs="Arial"/>
          <w:b/>
          <w:bCs/>
          <w:sz w:val="20"/>
          <w:szCs w:val="20"/>
        </w:rPr>
      </w:pPr>
    </w:p>
    <w:p w:rsidR="00DD487D" w:rsidRPr="00E46D6B" w:rsidRDefault="00EE66B4">
      <w:pPr>
        <w:jc w:val="both"/>
        <w:rPr>
          <w:rFonts w:ascii="Arial" w:hAnsi="Arial" w:cs="Arial"/>
          <w:b/>
          <w:bCs/>
          <w:sz w:val="20"/>
          <w:szCs w:val="20"/>
        </w:rPr>
      </w:pPr>
      <w:r w:rsidRPr="00E46D6B">
        <w:rPr>
          <w:rFonts w:ascii="Arial" w:hAnsi="Arial" w:cs="Arial"/>
          <w:noProof/>
          <w:sz w:val="20"/>
          <w:szCs w:val="20"/>
          <w:lang w:eastAsia="en-IN"/>
        </w:rPr>
        <w:lastRenderedPageBreak/>
        <w:drawing>
          <wp:inline distT="0" distB="0" distL="114300" distR="114300">
            <wp:extent cx="5532120" cy="3783329"/>
            <wp:effectExtent l="19050" t="0" r="11430" b="7621"/>
            <wp:docPr id="103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487D" w:rsidRPr="00CB09F4" w:rsidRDefault="00EE66B4">
      <w:pPr>
        <w:jc w:val="both"/>
        <w:rPr>
          <w:rFonts w:ascii="Arial" w:hAnsi="Arial" w:cs="Arial"/>
          <w:b/>
          <w:bCs/>
          <w:sz w:val="20"/>
          <w:szCs w:val="20"/>
          <w:lang w:val="en-US"/>
        </w:rPr>
      </w:pPr>
      <w:r w:rsidRPr="00CB09F4">
        <w:rPr>
          <w:rFonts w:ascii="Arial" w:hAnsi="Arial" w:cs="Arial"/>
          <w:b/>
          <w:bCs/>
          <w:sz w:val="20"/>
          <w:szCs w:val="20"/>
          <w:lang w:val="en-US"/>
        </w:rPr>
        <w:t>Fig 4</w:t>
      </w:r>
      <w:r w:rsidRPr="00CB09F4">
        <w:rPr>
          <w:rFonts w:ascii="Arial" w:hAnsi="Arial" w:cs="Arial"/>
          <w:b/>
          <w:sz w:val="20"/>
          <w:szCs w:val="20"/>
          <w:lang w:val="en-US"/>
        </w:rPr>
        <w:t xml:space="preserve">: </w:t>
      </w:r>
      <w:r w:rsidRPr="00CB09F4">
        <w:rPr>
          <w:rFonts w:ascii="Arial" w:hAnsi="Arial" w:cs="Arial"/>
          <w:b/>
          <w:sz w:val="20"/>
          <w:szCs w:val="20"/>
        </w:rPr>
        <w:t>Mean Weight Gain of Control (C) and Treatment (T) Groups.</w:t>
      </w:r>
    </w:p>
    <w:p w:rsidR="00DD487D" w:rsidRPr="00E46D6B" w:rsidRDefault="00DD487D">
      <w:pPr>
        <w:jc w:val="both"/>
        <w:rPr>
          <w:rFonts w:ascii="Arial" w:hAnsi="Arial" w:cs="Arial"/>
          <w:b/>
          <w:bCs/>
          <w:sz w:val="20"/>
          <w:szCs w:val="20"/>
          <w:lang w:val="en-US"/>
        </w:rPr>
      </w:pPr>
    </w:p>
    <w:p w:rsidR="00DD487D" w:rsidRPr="00CB09F4" w:rsidRDefault="00EE66B4">
      <w:pPr>
        <w:jc w:val="both"/>
        <w:rPr>
          <w:rFonts w:ascii="Arial" w:hAnsi="Arial" w:cs="Arial"/>
          <w:b/>
          <w:bCs/>
          <w:lang w:val="en-US"/>
        </w:rPr>
      </w:pPr>
      <w:r w:rsidRPr="00E46D6B">
        <w:rPr>
          <w:rFonts w:ascii="Arial" w:hAnsi="Arial" w:cs="Arial"/>
          <w:b/>
          <w:bCs/>
          <w:sz w:val="20"/>
          <w:szCs w:val="20"/>
          <w:lang w:val="en-US"/>
        </w:rPr>
        <w:t xml:space="preserve">4.0 </w:t>
      </w:r>
      <w:r w:rsidRPr="00CB09F4">
        <w:rPr>
          <w:rFonts w:ascii="Arial" w:hAnsi="Arial" w:cs="Arial"/>
          <w:b/>
          <w:bCs/>
          <w:lang w:val="en-US"/>
        </w:rPr>
        <w:t xml:space="preserve">DISCUSSION </w:t>
      </w:r>
      <w:r w:rsidR="00CB09F4">
        <w:rPr>
          <w:rFonts w:ascii="Arial" w:hAnsi="Arial" w:cs="Arial"/>
          <w:b/>
          <w:bCs/>
          <w:lang w:val="en-US"/>
        </w:rPr>
        <w:t>:</w:t>
      </w:r>
    </w:p>
    <w:p w:rsidR="00DD487D" w:rsidRPr="00E46D6B" w:rsidRDefault="00EE66B4">
      <w:pPr>
        <w:jc w:val="both"/>
        <w:rPr>
          <w:rFonts w:ascii="Arial" w:hAnsi="Arial" w:cs="Arial"/>
          <w:sz w:val="20"/>
          <w:szCs w:val="20"/>
        </w:rPr>
      </w:pPr>
      <w:r w:rsidRPr="00E46D6B">
        <w:rPr>
          <w:rFonts w:ascii="Arial" w:hAnsi="Arial" w:cs="Arial"/>
          <w:sz w:val="20"/>
          <w:szCs w:val="20"/>
        </w:rPr>
        <w:t xml:space="preserve">The growth performance proved by experimental results indicated that the addition of </w:t>
      </w:r>
      <w:r w:rsidRPr="00E46D6B">
        <w:rPr>
          <w:rFonts w:ascii="Arial" w:hAnsi="Arial" w:cs="Arial"/>
          <w:i/>
          <w:iCs/>
          <w:sz w:val="20"/>
          <w:szCs w:val="20"/>
        </w:rPr>
        <w:t>Clerodendrum colebrookianum</w:t>
      </w:r>
      <w:r w:rsidRPr="00E46D6B">
        <w:rPr>
          <w:rFonts w:ascii="Arial" w:hAnsi="Arial" w:cs="Arial"/>
          <w:sz w:val="20"/>
          <w:szCs w:val="20"/>
        </w:rPr>
        <w:t xml:space="preserve"> leaves and Black Soldier Fly (BSF) larvae to Chocolate Mahseer (</w:t>
      </w:r>
      <w:r w:rsidRPr="00E46D6B">
        <w:rPr>
          <w:rFonts w:ascii="Arial" w:hAnsi="Arial" w:cs="Arial"/>
          <w:i/>
          <w:iCs/>
          <w:sz w:val="20"/>
          <w:szCs w:val="20"/>
        </w:rPr>
        <w:t>Neolissochilushexagonolepis</w:t>
      </w:r>
      <w:r w:rsidRPr="00E46D6B">
        <w:rPr>
          <w:rFonts w:ascii="Arial" w:hAnsi="Arial" w:cs="Arial"/>
          <w:sz w:val="20"/>
          <w:szCs w:val="20"/>
        </w:rPr>
        <w:t xml:space="preserve">) diet positively impacted. The fish fed with the supplemented feed exhibited significant progress in significant parameters like weight gain, specific growth rate (SGR), and feed conversion ratio (FCR). Additionally, all the test groups recorded a uniform 100% survival during the experimental period.The treatment groups (T1, T2, T3) realized significantly higher mean weight gains—49 ± 0.557 g, 55 ± 0.515 g, and 49 ± 0.557 g, respectively—than the control groups (C1, C2, C3), which realized 30 ± 0.595 g, 36 ± 0.515 g, and 34 ± 0.515 g, respectively. This growth promotion can be attributed to the higher protein content and well-balanced amino acid composition of BSF larvae, according to Makkar et al. (2014), as well as the contribution in terms of nutrients provided by </w:t>
      </w:r>
      <w:r w:rsidRPr="00E46D6B">
        <w:rPr>
          <w:rFonts w:ascii="Arial" w:hAnsi="Arial" w:cs="Arial"/>
          <w:i/>
          <w:iCs/>
          <w:sz w:val="20"/>
          <w:szCs w:val="20"/>
        </w:rPr>
        <w:t>C. colebrookianum</w:t>
      </w:r>
      <w:r w:rsidRPr="00E46D6B">
        <w:rPr>
          <w:rFonts w:ascii="Arial" w:hAnsi="Arial" w:cs="Arial"/>
          <w:sz w:val="20"/>
          <w:szCs w:val="20"/>
        </w:rPr>
        <w:t>. With a known content of around 27% crude protein and having antioxidant properties (</w:t>
      </w:r>
      <w:r w:rsidRPr="00E46D6B">
        <w:rPr>
          <w:rFonts w:ascii="Arial" w:hAnsi="Arial" w:cs="Arial"/>
          <w:b/>
          <w:bCs/>
          <w:sz w:val="20"/>
          <w:szCs w:val="20"/>
        </w:rPr>
        <w:t>Syiem</w:t>
      </w:r>
      <w:r w:rsidRPr="00E46D6B">
        <w:rPr>
          <w:rFonts w:ascii="Arial" w:hAnsi="Arial" w:cs="Arial"/>
          <w:b/>
          <w:bCs/>
          <w:i/>
          <w:iCs/>
          <w:sz w:val="20"/>
          <w:szCs w:val="20"/>
        </w:rPr>
        <w:t>et al.</w:t>
      </w:r>
      <w:r w:rsidRPr="00E46D6B">
        <w:rPr>
          <w:rFonts w:ascii="Arial" w:hAnsi="Arial" w:cs="Arial"/>
          <w:b/>
          <w:bCs/>
          <w:sz w:val="20"/>
          <w:szCs w:val="20"/>
        </w:rPr>
        <w:t xml:space="preserve"> 2002</w:t>
      </w:r>
      <w:r w:rsidRPr="00E46D6B">
        <w:rPr>
          <w:rFonts w:ascii="Arial" w:hAnsi="Arial" w:cs="Arial"/>
          <w:sz w:val="20"/>
          <w:szCs w:val="20"/>
        </w:rPr>
        <w:t xml:space="preserve">), </w:t>
      </w:r>
      <w:r w:rsidRPr="00E46D6B">
        <w:rPr>
          <w:rFonts w:ascii="Arial" w:hAnsi="Arial" w:cs="Arial"/>
          <w:i/>
          <w:iCs/>
          <w:sz w:val="20"/>
          <w:szCs w:val="20"/>
        </w:rPr>
        <w:t>C. colebrookianum</w:t>
      </w:r>
      <w:r w:rsidRPr="00E46D6B">
        <w:rPr>
          <w:rFonts w:ascii="Arial" w:hAnsi="Arial" w:cs="Arial"/>
          <w:sz w:val="20"/>
          <w:szCs w:val="20"/>
        </w:rPr>
        <w:t xml:space="preserve"> most probably facilitated improved nutrient metabolism and absorption.SGR values in the treatment groups varied from 1.12% to 1.20%, far above those of the control groups (0.80%–0.91%), reflecting enhanced feed use and biomass accumulation. Likewise, the FCR in treatment diets varied between 1.37 and 1.54, far lower than control values (2.10–2.52), indicating improved feed utilization.These results correlate with earlier research wherein BSF meal was found to enhance digestion and growth performance in aquatic animals like turbot (</w:t>
      </w:r>
      <w:r w:rsidRPr="00E46D6B">
        <w:rPr>
          <w:rFonts w:ascii="Arial" w:hAnsi="Arial" w:cs="Arial"/>
          <w:b/>
          <w:bCs/>
          <w:sz w:val="20"/>
          <w:szCs w:val="20"/>
        </w:rPr>
        <w:t xml:space="preserve">Kroeckel </w:t>
      </w:r>
      <w:r w:rsidRPr="00E46D6B">
        <w:rPr>
          <w:rFonts w:ascii="Arial" w:hAnsi="Arial" w:cs="Arial"/>
          <w:b/>
          <w:bCs/>
          <w:i/>
          <w:iCs/>
          <w:sz w:val="20"/>
          <w:szCs w:val="20"/>
        </w:rPr>
        <w:t>et al.</w:t>
      </w:r>
      <w:r w:rsidRPr="00E46D6B">
        <w:rPr>
          <w:rFonts w:ascii="Arial" w:hAnsi="Arial" w:cs="Arial"/>
          <w:b/>
          <w:bCs/>
          <w:sz w:val="20"/>
          <w:szCs w:val="20"/>
        </w:rPr>
        <w:t xml:space="preserve"> 2012</w:t>
      </w:r>
      <w:r w:rsidRPr="00E46D6B">
        <w:rPr>
          <w:rFonts w:ascii="Arial" w:hAnsi="Arial" w:cs="Arial"/>
          <w:sz w:val="20"/>
          <w:szCs w:val="20"/>
        </w:rPr>
        <w:t xml:space="preserve">) and Nile Tilapia, wherein enhanced immunity and growth were achieved by </w:t>
      </w:r>
      <w:r w:rsidRPr="00E46D6B">
        <w:rPr>
          <w:rFonts w:ascii="Arial" w:hAnsi="Arial" w:cs="Arial"/>
          <w:b/>
          <w:bCs/>
          <w:sz w:val="20"/>
          <w:szCs w:val="20"/>
        </w:rPr>
        <w:t>Tippayadara et al. (2021).</w:t>
      </w:r>
      <w:r w:rsidRPr="00E46D6B">
        <w:rPr>
          <w:rFonts w:ascii="Arial" w:hAnsi="Arial" w:cs="Arial"/>
          <w:sz w:val="20"/>
          <w:szCs w:val="20"/>
        </w:rPr>
        <w:t xml:space="preserve"> The 100% survival rate in all groups further supports the non-toxicity and health-safeness of the two feed additives. Secondly, both ingredients are flavour-some and safe for human consumption, supporting their potential as sustainable substitutes in aquafeed.</w:t>
      </w:r>
      <w:r w:rsidRPr="00E46D6B">
        <w:rPr>
          <w:rFonts w:ascii="Arial" w:hAnsi="Arial" w:cs="Arial"/>
          <w:i/>
          <w:iCs/>
          <w:sz w:val="20"/>
          <w:szCs w:val="20"/>
        </w:rPr>
        <w:t>C. colebrookianum</w:t>
      </w:r>
      <w:r w:rsidRPr="00E46D6B">
        <w:rPr>
          <w:rFonts w:ascii="Arial" w:hAnsi="Arial" w:cs="Arial"/>
          <w:sz w:val="20"/>
          <w:szCs w:val="20"/>
        </w:rPr>
        <w:t xml:space="preserve"> is specifically prized for its phytochemical richness, such as flavonoids and polyphenols, with associated anti-inflammatory, antibacterial, and immunostimulatory properties (Syiem</w:t>
      </w:r>
      <w:r w:rsidRPr="00E46D6B">
        <w:rPr>
          <w:rFonts w:ascii="Arial" w:hAnsi="Arial" w:cs="Arial"/>
          <w:i/>
          <w:iCs/>
          <w:sz w:val="20"/>
          <w:szCs w:val="20"/>
        </w:rPr>
        <w:t>et al.</w:t>
      </w:r>
      <w:r w:rsidRPr="00E46D6B">
        <w:rPr>
          <w:rFonts w:ascii="Arial" w:hAnsi="Arial" w:cs="Arial"/>
          <w:sz w:val="20"/>
          <w:szCs w:val="20"/>
        </w:rPr>
        <w:t xml:space="preserve"> 2002). Although utilized locally in traditional medicine, its function here was to add protein content to the feed to ensure that 35% crude protein could be achieved in order to enhance fish growth and enzyme activity. Due to its ubiquitous availability and ease of application, it is a likely local </w:t>
      </w:r>
      <w:r w:rsidRPr="00E46D6B">
        <w:rPr>
          <w:rFonts w:ascii="Arial" w:hAnsi="Arial" w:cs="Arial"/>
          <w:sz w:val="20"/>
          <w:szCs w:val="20"/>
        </w:rPr>
        <w:lastRenderedPageBreak/>
        <w:t xml:space="preserve">plant protein source.BSF larvae contain 40%–45% crude protein and are rich in favourable fatty acids such as lauric acid. The established position of BSF larvae as a replacement for fishmeal in aquaculture (Kroeckel </w:t>
      </w:r>
      <w:r w:rsidRPr="00E46D6B">
        <w:rPr>
          <w:rFonts w:ascii="Arial" w:hAnsi="Arial" w:cs="Arial"/>
          <w:i/>
          <w:iCs/>
          <w:sz w:val="20"/>
          <w:szCs w:val="20"/>
        </w:rPr>
        <w:t>et al.</w:t>
      </w:r>
      <w:r w:rsidRPr="00E46D6B">
        <w:rPr>
          <w:rFonts w:ascii="Arial" w:hAnsi="Arial" w:cs="Arial"/>
          <w:sz w:val="20"/>
          <w:szCs w:val="20"/>
        </w:rPr>
        <w:t xml:space="preserve"> 2012) and their cultivation on organic waste also adds to sustainable feed alternatives.In summary, the blend of BSF larvae and </w:t>
      </w:r>
      <w:r w:rsidRPr="00E46D6B">
        <w:rPr>
          <w:rFonts w:ascii="Arial" w:hAnsi="Arial" w:cs="Arial"/>
          <w:i/>
          <w:iCs/>
          <w:sz w:val="20"/>
          <w:szCs w:val="20"/>
        </w:rPr>
        <w:t>C. colebrookianum</w:t>
      </w:r>
      <w:r w:rsidRPr="00E46D6B">
        <w:rPr>
          <w:rFonts w:ascii="Arial" w:hAnsi="Arial" w:cs="Arial"/>
          <w:sz w:val="20"/>
          <w:szCs w:val="20"/>
        </w:rPr>
        <w:t xml:space="preserve"> provides a nutritionally strong and eco-friendly feed solution. BSF larvae assist in decreasing reliance on traditional fishmeal—a significant sustainability issue (</w:t>
      </w:r>
      <w:r w:rsidRPr="00E46D6B">
        <w:rPr>
          <w:rFonts w:ascii="Arial" w:hAnsi="Arial" w:cs="Arial"/>
          <w:b/>
          <w:bCs/>
          <w:sz w:val="20"/>
          <w:szCs w:val="20"/>
        </w:rPr>
        <w:t>Tacon &amp; Metian, 2008</w:t>
      </w:r>
      <w:r w:rsidRPr="00E46D6B">
        <w:rPr>
          <w:rFonts w:ascii="Arial" w:hAnsi="Arial" w:cs="Arial"/>
          <w:sz w:val="20"/>
          <w:szCs w:val="20"/>
        </w:rPr>
        <w:t xml:space="preserve">)—while </w:t>
      </w:r>
      <w:r w:rsidRPr="00E46D6B">
        <w:rPr>
          <w:rFonts w:ascii="Arial" w:hAnsi="Arial" w:cs="Arial"/>
          <w:i/>
          <w:iCs/>
          <w:sz w:val="20"/>
          <w:szCs w:val="20"/>
        </w:rPr>
        <w:t>C. colebrookianum</w:t>
      </w:r>
      <w:r w:rsidRPr="00E46D6B">
        <w:rPr>
          <w:rFonts w:ascii="Arial" w:hAnsi="Arial" w:cs="Arial"/>
          <w:sz w:val="20"/>
          <w:szCs w:val="20"/>
        </w:rPr>
        <w:t>, as an indigenous species of Northeast India, promotes local, cost-efficient, and environmentally friendly aquaculture activities. This hybrid strategy is complementary to the concept of a circular bioeconomy, with the goal of decreasing the cost of feeds while reducing the environmental footprint.</w:t>
      </w:r>
    </w:p>
    <w:p w:rsidR="00E330FA" w:rsidRDefault="00E330FA">
      <w:pPr>
        <w:jc w:val="both"/>
        <w:rPr>
          <w:rFonts w:ascii="Arial" w:hAnsi="Arial" w:cs="Arial"/>
          <w:b/>
          <w:bCs/>
          <w:sz w:val="20"/>
          <w:szCs w:val="20"/>
          <w:lang w:val="en-US"/>
        </w:rPr>
      </w:pPr>
    </w:p>
    <w:p w:rsidR="00DD487D" w:rsidRPr="00E46D6B" w:rsidRDefault="00EE66B4">
      <w:pPr>
        <w:jc w:val="both"/>
        <w:rPr>
          <w:rFonts w:ascii="Arial" w:hAnsi="Arial" w:cs="Arial"/>
          <w:b/>
          <w:bCs/>
          <w:sz w:val="20"/>
          <w:szCs w:val="20"/>
          <w:lang w:val="en-US"/>
        </w:rPr>
      </w:pPr>
      <w:r w:rsidRPr="00E46D6B">
        <w:rPr>
          <w:rFonts w:ascii="Arial" w:hAnsi="Arial" w:cs="Arial"/>
          <w:b/>
          <w:bCs/>
          <w:sz w:val="20"/>
          <w:szCs w:val="20"/>
          <w:lang w:val="en-US"/>
        </w:rPr>
        <w:t>CONCLUSION</w:t>
      </w:r>
      <w:r w:rsidR="00CB09F4">
        <w:rPr>
          <w:rFonts w:ascii="Arial" w:hAnsi="Arial" w:cs="Arial"/>
          <w:b/>
          <w:bCs/>
          <w:sz w:val="20"/>
          <w:szCs w:val="20"/>
          <w:lang w:val="en-US"/>
        </w:rPr>
        <w:t>:</w:t>
      </w:r>
    </w:p>
    <w:p w:rsidR="00DD487D" w:rsidRPr="00E46D6B" w:rsidRDefault="00EE66B4">
      <w:pPr>
        <w:spacing w:line="240" w:lineRule="auto"/>
        <w:jc w:val="both"/>
        <w:rPr>
          <w:rFonts w:ascii="Arial" w:hAnsi="Arial" w:cs="Arial"/>
          <w:sz w:val="20"/>
          <w:szCs w:val="20"/>
        </w:rPr>
      </w:pPr>
      <w:r w:rsidRPr="00E46D6B">
        <w:rPr>
          <w:rFonts w:ascii="Arial" w:hAnsi="Arial" w:cs="Arial"/>
          <w:sz w:val="20"/>
          <w:szCs w:val="20"/>
        </w:rPr>
        <w:t xml:space="preserve">This research was able to effectively show that a diet containing </w:t>
      </w:r>
      <w:r w:rsidRPr="00E46D6B">
        <w:rPr>
          <w:rFonts w:ascii="Arial" w:hAnsi="Arial" w:cs="Arial"/>
          <w:i/>
          <w:iCs/>
          <w:sz w:val="20"/>
          <w:szCs w:val="20"/>
        </w:rPr>
        <w:t>Clerodendrum colebrookianum</w:t>
      </w:r>
      <w:r w:rsidRPr="00E46D6B">
        <w:rPr>
          <w:rFonts w:ascii="Arial" w:hAnsi="Arial" w:cs="Arial"/>
          <w:sz w:val="20"/>
          <w:szCs w:val="20"/>
        </w:rPr>
        <w:t>leaves and Black Soldier Fly (BSF) dried larvae markedly improves the growth performance of Chocolate Mahseer (</w:t>
      </w:r>
      <w:r w:rsidRPr="00E46D6B">
        <w:rPr>
          <w:rFonts w:ascii="Arial" w:hAnsi="Arial" w:cs="Arial"/>
          <w:i/>
          <w:iCs/>
          <w:sz w:val="20"/>
          <w:szCs w:val="20"/>
        </w:rPr>
        <w:t>Neolissochilushexagonolepis</w:t>
      </w:r>
      <w:r w:rsidRPr="00E46D6B">
        <w:rPr>
          <w:rFonts w:ascii="Arial" w:hAnsi="Arial" w:cs="Arial"/>
          <w:sz w:val="20"/>
          <w:szCs w:val="20"/>
        </w:rPr>
        <w:t>). The treatment diet, prepared to address a 35% crude protein requirement through Pearson's Square method, resulted in enhanced weight gain, specific growth rate (SGR), and feed conversion ratio (FCR) without negatively affecting fish survival and water quality. The nutritional complementarity of the plant- and animal-based components presents a cost-effective, sustainable alternative to traditional feeds, particularly in resource-poor aquaculture systems. The results support the viability of using locally accessible, underutilized materials in designing efficient and environmentally friendly aquafeeds. It is suggested that further study should be conducted to evaluate long-term outcomes on reproduction, immunity, and commercial viability.</w:t>
      </w:r>
    </w:p>
    <w:p w:rsidR="00DD487D" w:rsidRDefault="00DD487D">
      <w:pPr>
        <w:spacing w:line="240" w:lineRule="auto"/>
        <w:jc w:val="both"/>
        <w:rPr>
          <w:rFonts w:ascii="Arial" w:hAnsi="Arial" w:cs="Arial"/>
          <w:sz w:val="20"/>
          <w:szCs w:val="20"/>
        </w:rPr>
      </w:pPr>
    </w:p>
    <w:p w:rsidR="00C703AC" w:rsidRDefault="00C703AC">
      <w:pPr>
        <w:spacing w:line="240" w:lineRule="auto"/>
        <w:jc w:val="both"/>
        <w:rPr>
          <w:rFonts w:ascii="Arial" w:hAnsi="Arial" w:cs="Arial"/>
          <w:sz w:val="20"/>
          <w:szCs w:val="20"/>
        </w:rPr>
      </w:pPr>
    </w:p>
    <w:p w:rsidR="00C703AC" w:rsidRDefault="00C703AC">
      <w:pPr>
        <w:spacing w:line="240" w:lineRule="auto"/>
        <w:jc w:val="both"/>
        <w:rPr>
          <w:rFonts w:ascii="Arial" w:hAnsi="Arial" w:cs="Arial"/>
          <w:sz w:val="20"/>
          <w:szCs w:val="20"/>
        </w:rPr>
      </w:pPr>
    </w:p>
    <w:p w:rsidR="00744EAC" w:rsidRDefault="00744EAC">
      <w:pPr>
        <w:spacing w:line="240" w:lineRule="auto"/>
        <w:jc w:val="both"/>
        <w:rPr>
          <w:rFonts w:ascii="Arial" w:hAnsi="Arial" w:cs="Arial"/>
          <w:sz w:val="20"/>
          <w:szCs w:val="20"/>
        </w:rPr>
      </w:pPr>
    </w:p>
    <w:p w:rsidR="00C703AC" w:rsidRDefault="00C703AC" w:rsidP="00C703AC">
      <w:pPr>
        <w:rPr>
          <w:rFonts w:eastAsia="Calibri" w:cs="Times New Roman"/>
          <w:kern w:val="2"/>
          <w:highlight w:val="yellow"/>
          <w:lang w:val="en-US"/>
        </w:rPr>
      </w:pPr>
      <w:bookmarkStart w:id="2" w:name="_Hlk193540946"/>
      <w:bookmarkStart w:id="3" w:name="_Hlk183680988"/>
      <w:bookmarkStart w:id="4" w:name="_Hlk180402183"/>
      <w:bookmarkStart w:id="5" w:name="_Hlk197173371"/>
      <w:bookmarkStart w:id="6" w:name="_Hlk192511329"/>
      <w:r>
        <w:rPr>
          <w:rFonts w:eastAsia="Calibri" w:cs="Times New Roman"/>
          <w:kern w:val="2"/>
          <w:highlight w:val="yellow"/>
          <w:lang w:val="en-US"/>
        </w:rPr>
        <w:t>Disclaimer (Artificial intelligence)</w:t>
      </w:r>
    </w:p>
    <w:p w:rsidR="00C703AC" w:rsidRDefault="00744EAC" w:rsidP="00C703AC">
      <w:pPr>
        <w:rPr>
          <w:rFonts w:eastAsia="Calibri" w:cs="Times New Roman"/>
          <w:kern w:val="2"/>
          <w:highlight w:val="yellow"/>
          <w:lang w:val="en-US"/>
        </w:rPr>
      </w:pPr>
      <w:r>
        <w:rPr>
          <w:rFonts w:eastAsia="Calibri" w:cs="Times New Roman"/>
          <w:kern w:val="2"/>
          <w:highlight w:val="yellow"/>
          <w:lang w:val="en-US"/>
        </w:rPr>
        <w:t>O</w:t>
      </w:r>
    </w:p>
    <w:p w:rsidR="00C703AC" w:rsidRDefault="00C703AC" w:rsidP="00C703AC">
      <w:pPr>
        <w:rPr>
          <w:rFonts w:eastAsia="Calibri" w:cs="Times New Roman"/>
          <w:kern w:val="2"/>
          <w:highlight w:val="yellow"/>
          <w:lang w:val="en-US"/>
        </w:rPr>
      </w:pPr>
      <w:r>
        <w:rPr>
          <w:rFonts w:eastAsia="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2"/>
    <w:p w:rsidR="00C703AC" w:rsidRDefault="00C703AC" w:rsidP="00C703AC">
      <w:pPr>
        <w:rPr>
          <w:rFonts w:eastAsia="Calibri" w:cs="Times New Roman"/>
          <w:kern w:val="2"/>
          <w:lang w:val="en-US"/>
        </w:rPr>
      </w:pPr>
    </w:p>
    <w:bookmarkEnd w:id="3"/>
    <w:bookmarkEnd w:id="4"/>
    <w:p w:rsidR="00C703AC" w:rsidRDefault="00C703AC" w:rsidP="00C703AC">
      <w:pPr>
        <w:rPr>
          <w:rFonts w:eastAsia="Calibri" w:cs="Times New Roman"/>
          <w:kern w:val="2"/>
          <w:lang w:val="en-US"/>
        </w:rPr>
      </w:pPr>
      <w:r>
        <w:rPr>
          <w:rFonts w:eastAsia="Calibri" w:cs="Times New Roman"/>
          <w:kern w:val="2"/>
          <w:lang w:val="en-US"/>
        </w:rPr>
        <w:tab/>
      </w:r>
      <w:bookmarkEnd w:id="5"/>
    </w:p>
    <w:bookmarkEnd w:id="6"/>
    <w:p w:rsidR="00C703AC" w:rsidRDefault="00C703AC" w:rsidP="00C703AC">
      <w:pPr>
        <w:rPr>
          <w:rFonts w:eastAsia="Calibri" w:cs="Times New Roman"/>
          <w:kern w:val="2"/>
          <w:lang w:val="en-US"/>
        </w:rPr>
      </w:pPr>
    </w:p>
    <w:p w:rsidR="00C703AC" w:rsidRDefault="00C703AC" w:rsidP="00C703AC"/>
    <w:p w:rsidR="00C703AC" w:rsidRPr="00E46D6B" w:rsidRDefault="00C703AC">
      <w:pPr>
        <w:spacing w:line="240" w:lineRule="auto"/>
        <w:jc w:val="both"/>
        <w:rPr>
          <w:rFonts w:ascii="Arial" w:hAnsi="Arial" w:cs="Arial"/>
          <w:sz w:val="20"/>
          <w:szCs w:val="20"/>
        </w:rPr>
      </w:pPr>
      <w:bookmarkStart w:id="7" w:name="_GoBack"/>
      <w:bookmarkEnd w:id="7"/>
    </w:p>
    <w:p w:rsidR="00DD487D" w:rsidRPr="00E46D6B" w:rsidRDefault="00DD487D">
      <w:pPr>
        <w:spacing w:line="240" w:lineRule="auto"/>
        <w:jc w:val="both"/>
        <w:rPr>
          <w:rFonts w:ascii="Arial" w:hAnsi="Arial" w:cs="Arial"/>
          <w:b/>
          <w:bCs/>
          <w:sz w:val="20"/>
          <w:szCs w:val="20"/>
          <w:lang w:val="en-US"/>
        </w:rPr>
      </w:pPr>
    </w:p>
    <w:p w:rsidR="00744EAC" w:rsidRDefault="00744EAC">
      <w:pPr>
        <w:spacing w:line="240" w:lineRule="auto"/>
        <w:jc w:val="both"/>
        <w:rPr>
          <w:rFonts w:ascii="Arial" w:hAnsi="Arial" w:cs="Arial"/>
          <w:b/>
          <w:bCs/>
          <w:sz w:val="20"/>
          <w:szCs w:val="20"/>
          <w:lang w:val="en-US"/>
        </w:rPr>
      </w:pPr>
    </w:p>
    <w:p w:rsidR="00744EAC" w:rsidRDefault="00744EAC">
      <w:pPr>
        <w:spacing w:line="240" w:lineRule="auto"/>
        <w:jc w:val="both"/>
        <w:rPr>
          <w:rFonts w:ascii="Arial" w:hAnsi="Arial" w:cs="Arial"/>
          <w:b/>
          <w:bCs/>
          <w:sz w:val="20"/>
          <w:szCs w:val="20"/>
          <w:lang w:val="en-US"/>
        </w:rPr>
      </w:pPr>
    </w:p>
    <w:p w:rsidR="00744EAC" w:rsidRDefault="00744EAC">
      <w:pPr>
        <w:spacing w:line="240" w:lineRule="auto"/>
        <w:jc w:val="both"/>
        <w:rPr>
          <w:rFonts w:ascii="Arial" w:hAnsi="Arial" w:cs="Arial"/>
          <w:b/>
          <w:bCs/>
          <w:sz w:val="20"/>
          <w:szCs w:val="20"/>
          <w:lang w:val="en-US"/>
        </w:rPr>
      </w:pPr>
    </w:p>
    <w:p w:rsidR="00744EAC" w:rsidRDefault="00744EAC">
      <w:pPr>
        <w:spacing w:line="240" w:lineRule="auto"/>
        <w:jc w:val="both"/>
        <w:rPr>
          <w:rFonts w:ascii="Arial" w:hAnsi="Arial" w:cs="Arial"/>
          <w:b/>
          <w:bCs/>
          <w:sz w:val="20"/>
          <w:szCs w:val="20"/>
          <w:lang w:val="en-US"/>
        </w:rPr>
      </w:pPr>
    </w:p>
    <w:p w:rsidR="00744EAC" w:rsidRDefault="00744EAC">
      <w:pPr>
        <w:spacing w:line="240" w:lineRule="auto"/>
        <w:jc w:val="both"/>
        <w:rPr>
          <w:rFonts w:ascii="Arial" w:hAnsi="Arial" w:cs="Arial"/>
          <w:b/>
          <w:bCs/>
          <w:sz w:val="20"/>
          <w:szCs w:val="20"/>
          <w:lang w:val="en-US"/>
        </w:rPr>
      </w:pPr>
    </w:p>
    <w:p w:rsidR="00744EAC" w:rsidRDefault="00744EAC">
      <w:pPr>
        <w:spacing w:line="240" w:lineRule="auto"/>
        <w:jc w:val="both"/>
        <w:rPr>
          <w:rFonts w:ascii="Arial" w:hAnsi="Arial" w:cs="Arial"/>
          <w:b/>
          <w:bCs/>
          <w:sz w:val="20"/>
          <w:szCs w:val="20"/>
          <w:lang w:val="en-US"/>
        </w:rPr>
      </w:pPr>
    </w:p>
    <w:p w:rsidR="00DD487D" w:rsidRPr="00E46D6B" w:rsidRDefault="00EE66B4">
      <w:pPr>
        <w:spacing w:line="240" w:lineRule="auto"/>
        <w:jc w:val="both"/>
        <w:rPr>
          <w:rFonts w:ascii="Arial" w:hAnsi="Arial" w:cs="Arial"/>
          <w:sz w:val="20"/>
          <w:szCs w:val="20"/>
        </w:rPr>
      </w:pPr>
      <w:r w:rsidRPr="00E46D6B">
        <w:rPr>
          <w:rFonts w:ascii="Arial" w:hAnsi="Arial" w:cs="Arial"/>
          <w:b/>
          <w:bCs/>
          <w:sz w:val="20"/>
          <w:szCs w:val="20"/>
          <w:lang w:val="en-US"/>
        </w:rPr>
        <w:lastRenderedPageBreak/>
        <w:t>REFERENCES</w:t>
      </w:r>
      <w:r w:rsidR="00CB09F4">
        <w:rPr>
          <w:rFonts w:ascii="Arial" w:hAnsi="Arial" w:cs="Arial"/>
          <w:b/>
          <w:bCs/>
          <w:sz w:val="20"/>
          <w:szCs w:val="20"/>
          <w:lang w:val="en-US"/>
        </w:rPr>
        <w:t>:</w:t>
      </w:r>
    </w:p>
    <w:p w:rsidR="00DD487D" w:rsidRPr="00E46D6B" w:rsidRDefault="00EE66B4">
      <w:pPr>
        <w:spacing w:before="100" w:beforeAutospacing="1" w:line="240" w:lineRule="auto"/>
        <w:jc w:val="both"/>
        <w:rPr>
          <w:rFonts w:ascii="Arial" w:eastAsia="Times New Roman" w:hAnsi="Arial" w:cs="Arial"/>
          <w:sz w:val="20"/>
          <w:szCs w:val="20"/>
          <w:lang w:eastAsia="en-IN"/>
        </w:rPr>
      </w:pPr>
      <w:bookmarkStart w:id="8" w:name="_Hlk197523726"/>
      <w:r w:rsidRPr="00E46D6B">
        <w:rPr>
          <w:rFonts w:ascii="Arial" w:eastAsia="Times New Roman" w:hAnsi="Arial" w:cs="Arial"/>
          <w:sz w:val="20"/>
          <w:szCs w:val="20"/>
          <w:lang w:eastAsia="en-IN"/>
        </w:rPr>
        <w:t xml:space="preserve">Barroso, F. G., de Haro, C., Sánchez-Muros, M. J., Venegas, E., Martínez-Sánchez, A., &amp; Pérez-Bañón, C. (2014). The potential of various insect species for use as food for fish. </w:t>
      </w:r>
      <w:r w:rsidRPr="00E46D6B">
        <w:rPr>
          <w:rFonts w:ascii="Arial" w:eastAsia="Times New Roman" w:hAnsi="Arial" w:cs="Arial"/>
          <w:i/>
          <w:iCs/>
          <w:sz w:val="20"/>
          <w:szCs w:val="20"/>
          <w:lang w:eastAsia="en-IN"/>
        </w:rPr>
        <w:t>Aquaculture, 422-423,</w:t>
      </w:r>
      <w:r w:rsidRPr="00E46D6B">
        <w:rPr>
          <w:rFonts w:ascii="Arial" w:eastAsia="Times New Roman" w:hAnsi="Arial" w:cs="Arial"/>
          <w:sz w:val="20"/>
          <w:szCs w:val="20"/>
          <w:lang w:eastAsia="en-IN"/>
        </w:rPr>
        <w:t xml:space="preserve"> 193–201.</w:t>
      </w:r>
    </w:p>
    <w:p w:rsidR="00DD487D" w:rsidRPr="00E46D6B" w:rsidRDefault="00EE66B4">
      <w:pPr>
        <w:spacing w:before="100" w:beforeAutospacing="1" w:line="240" w:lineRule="auto"/>
        <w:jc w:val="both"/>
        <w:rPr>
          <w:rFonts w:ascii="Arial" w:eastAsia="Times New Roman" w:hAnsi="Arial" w:cs="Arial"/>
          <w:sz w:val="20"/>
          <w:szCs w:val="20"/>
          <w:lang w:eastAsia="en-IN"/>
        </w:rPr>
      </w:pPr>
      <w:r w:rsidRPr="00E46D6B">
        <w:rPr>
          <w:rFonts w:ascii="Arial" w:eastAsia="Times New Roman" w:hAnsi="Arial" w:cs="Arial"/>
          <w:sz w:val="20"/>
          <w:szCs w:val="20"/>
          <w:lang w:eastAsia="en-IN"/>
        </w:rPr>
        <w:t xml:space="preserve">Catacutan, M. R. (2002). Formulation of aquafeeds. In O. M. Millamena, R. M. Coloso, &amp; F. P. Pascual (Eds.), </w:t>
      </w:r>
      <w:r w:rsidRPr="00E46D6B">
        <w:rPr>
          <w:rFonts w:ascii="Arial" w:eastAsia="Times New Roman" w:hAnsi="Arial" w:cs="Arial"/>
          <w:i/>
          <w:iCs/>
          <w:sz w:val="20"/>
          <w:szCs w:val="20"/>
          <w:lang w:eastAsia="en-IN"/>
        </w:rPr>
        <w:t>Nutrition in Tropical Aquaculture: Essentials of fish nutrition, feeds, and feeding of tropical aquatic species</w:t>
      </w:r>
      <w:r w:rsidRPr="00E46D6B">
        <w:rPr>
          <w:rFonts w:ascii="Arial" w:eastAsia="Times New Roman" w:hAnsi="Arial" w:cs="Arial"/>
          <w:sz w:val="20"/>
          <w:szCs w:val="20"/>
          <w:lang w:eastAsia="en-IN"/>
        </w:rPr>
        <w:t xml:space="preserve"> (pp. 99–123).</w:t>
      </w:r>
    </w:p>
    <w:p w:rsidR="00DD487D" w:rsidRPr="00E46D6B" w:rsidRDefault="00EE66B4">
      <w:pPr>
        <w:spacing w:before="100" w:beforeAutospacing="1" w:after="0" w:line="240" w:lineRule="auto"/>
        <w:jc w:val="both"/>
        <w:rPr>
          <w:rFonts w:ascii="Arial" w:eastAsia="Times New Roman" w:hAnsi="Arial" w:cs="Arial"/>
          <w:sz w:val="20"/>
          <w:szCs w:val="20"/>
          <w:lang w:eastAsia="en-IN"/>
        </w:rPr>
      </w:pPr>
      <w:bookmarkStart w:id="9" w:name="_Hlk197602672"/>
      <w:bookmarkEnd w:id="8"/>
      <w:r w:rsidRPr="00E46D6B">
        <w:rPr>
          <w:rFonts w:ascii="Arial" w:eastAsia="Times New Roman" w:hAnsi="Arial" w:cs="Arial"/>
          <w:sz w:val="20"/>
          <w:szCs w:val="20"/>
          <w:lang w:eastAsia="en-IN"/>
        </w:rPr>
        <w:t>Hardy, R., (1980). Fish feed formulation. In: Aquaculture development and coordination programme: Fish feed technology. University of Washington, Seattle, Washington.</w:t>
      </w:r>
    </w:p>
    <w:bookmarkEnd w:id="9"/>
    <w:p w:rsidR="00DD487D" w:rsidRPr="00E46D6B" w:rsidRDefault="00EE66B4">
      <w:pPr>
        <w:spacing w:before="100" w:beforeAutospacing="1" w:after="0" w:line="240" w:lineRule="auto"/>
        <w:jc w:val="both"/>
        <w:rPr>
          <w:rFonts w:ascii="Arial" w:eastAsia="Times New Roman" w:hAnsi="Arial" w:cs="Arial"/>
          <w:sz w:val="20"/>
          <w:szCs w:val="20"/>
          <w:lang w:eastAsia="en-IN"/>
        </w:rPr>
      </w:pPr>
      <w:r w:rsidRPr="00E46D6B">
        <w:rPr>
          <w:rFonts w:ascii="Arial" w:eastAsia="Times New Roman" w:hAnsi="Arial" w:cs="Arial"/>
          <w:sz w:val="20"/>
          <w:szCs w:val="20"/>
          <w:lang w:eastAsia="en-IN"/>
        </w:rPr>
        <w:t>Kroeckel, S., Harjes, A. G. E., Roth, I., Katz, H., Wuertz, S., Susenbeth, A., &amp; Schulz, C. (2012). When a turbot catches a fly: Evaluation of a pre-pupae meal of the Black Soldier Fly (</w:t>
      </w:r>
      <w:r w:rsidRPr="00E46D6B">
        <w:rPr>
          <w:rFonts w:ascii="Arial" w:eastAsia="Times New Roman" w:hAnsi="Arial" w:cs="Arial"/>
          <w:i/>
          <w:iCs/>
          <w:sz w:val="20"/>
          <w:szCs w:val="20"/>
          <w:lang w:eastAsia="en-IN"/>
        </w:rPr>
        <w:t>Hermetiaillucens</w:t>
      </w:r>
      <w:r w:rsidRPr="00E46D6B">
        <w:rPr>
          <w:rFonts w:ascii="Arial" w:eastAsia="Times New Roman" w:hAnsi="Arial" w:cs="Arial"/>
          <w:sz w:val="20"/>
          <w:szCs w:val="20"/>
          <w:lang w:eastAsia="en-IN"/>
        </w:rPr>
        <w:t>) as fish meal substitute—Growth performance and chitin degradation in juvenile turbot (</w:t>
      </w:r>
      <w:r w:rsidRPr="00E46D6B">
        <w:rPr>
          <w:rFonts w:ascii="Arial" w:eastAsia="Times New Roman" w:hAnsi="Arial" w:cs="Arial"/>
          <w:i/>
          <w:iCs/>
          <w:sz w:val="20"/>
          <w:szCs w:val="20"/>
          <w:lang w:eastAsia="en-IN"/>
        </w:rPr>
        <w:t>Psetta maxima</w:t>
      </w:r>
      <w:r w:rsidRPr="00E46D6B">
        <w:rPr>
          <w:rFonts w:ascii="Arial" w:eastAsia="Times New Roman" w:hAnsi="Arial" w:cs="Arial"/>
          <w:sz w:val="20"/>
          <w:szCs w:val="20"/>
          <w:lang w:eastAsia="en-IN"/>
        </w:rPr>
        <w:t xml:space="preserve">). </w:t>
      </w:r>
      <w:r w:rsidRPr="00E46D6B">
        <w:rPr>
          <w:rFonts w:ascii="Arial" w:eastAsia="Times New Roman" w:hAnsi="Arial" w:cs="Arial"/>
          <w:i/>
          <w:iCs/>
          <w:sz w:val="20"/>
          <w:szCs w:val="20"/>
          <w:lang w:eastAsia="en-IN"/>
        </w:rPr>
        <w:t>Aquaculture, 364-365,</w:t>
      </w:r>
      <w:r w:rsidRPr="00E46D6B">
        <w:rPr>
          <w:rFonts w:ascii="Arial" w:eastAsia="Times New Roman" w:hAnsi="Arial" w:cs="Arial"/>
          <w:sz w:val="20"/>
          <w:szCs w:val="20"/>
          <w:lang w:eastAsia="en-IN"/>
        </w:rPr>
        <w:t xml:space="preserve"> 345–352. </w:t>
      </w:r>
    </w:p>
    <w:p w:rsidR="00DD487D" w:rsidRPr="00E46D6B" w:rsidRDefault="00DD487D">
      <w:pPr>
        <w:spacing w:after="0" w:line="240" w:lineRule="auto"/>
        <w:jc w:val="both"/>
        <w:rPr>
          <w:rFonts w:ascii="Arial" w:hAnsi="Arial" w:cs="Arial"/>
          <w:sz w:val="20"/>
          <w:szCs w:val="20"/>
        </w:rPr>
      </w:pPr>
    </w:p>
    <w:p w:rsidR="00DD487D" w:rsidRPr="00E46D6B" w:rsidRDefault="00EE66B4">
      <w:pPr>
        <w:spacing w:after="0" w:line="240" w:lineRule="auto"/>
        <w:jc w:val="both"/>
        <w:rPr>
          <w:rFonts w:ascii="Arial" w:hAnsi="Arial" w:cs="Arial"/>
          <w:sz w:val="20"/>
          <w:szCs w:val="20"/>
        </w:rPr>
      </w:pPr>
      <w:r w:rsidRPr="00E46D6B">
        <w:rPr>
          <w:rFonts w:ascii="Arial" w:hAnsi="Arial" w:cs="Arial"/>
          <w:sz w:val="20"/>
          <w:szCs w:val="20"/>
        </w:rPr>
        <w:t xml:space="preserve">Laskar, B. A., Das, D. N., &amp; Tyagi, B. C. (2009). Growth performance of the chocolate mahseer </w:t>
      </w:r>
      <w:r w:rsidRPr="00E46D6B">
        <w:rPr>
          <w:rFonts w:ascii="Arial" w:hAnsi="Arial" w:cs="Arial"/>
          <w:i/>
          <w:iCs/>
          <w:sz w:val="20"/>
          <w:szCs w:val="20"/>
        </w:rPr>
        <w:t>Neolissocheilushexagonolepis</w:t>
      </w:r>
      <w:r w:rsidRPr="00E46D6B">
        <w:rPr>
          <w:rFonts w:ascii="Arial" w:hAnsi="Arial" w:cs="Arial"/>
          <w:sz w:val="20"/>
          <w:szCs w:val="20"/>
        </w:rPr>
        <w:t xml:space="preserve"> (McClelland) in pond systems in Arunachal Pradesh. </w:t>
      </w:r>
      <w:r w:rsidRPr="00E46D6B">
        <w:rPr>
          <w:rFonts w:ascii="Arial" w:hAnsi="Arial" w:cs="Arial"/>
          <w:i/>
          <w:iCs/>
          <w:sz w:val="20"/>
          <w:szCs w:val="20"/>
        </w:rPr>
        <w:t>Indian Journal of Fisheries, 56</w:t>
      </w:r>
      <w:r w:rsidRPr="00E46D6B">
        <w:rPr>
          <w:rFonts w:ascii="Arial" w:hAnsi="Arial" w:cs="Arial"/>
          <w:sz w:val="20"/>
          <w:szCs w:val="20"/>
        </w:rPr>
        <w:t>(1), 55–59</w:t>
      </w:r>
    </w:p>
    <w:p w:rsidR="00DD487D" w:rsidRPr="00E46D6B" w:rsidRDefault="00DD487D">
      <w:pPr>
        <w:spacing w:after="0" w:line="240" w:lineRule="auto"/>
        <w:jc w:val="both"/>
        <w:rPr>
          <w:rFonts w:ascii="Arial" w:hAnsi="Arial" w:cs="Arial"/>
          <w:sz w:val="20"/>
          <w:szCs w:val="20"/>
        </w:rPr>
      </w:pPr>
    </w:p>
    <w:p w:rsidR="00DD487D" w:rsidRPr="00E46D6B" w:rsidRDefault="00EE66B4">
      <w:pPr>
        <w:spacing w:after="0" w:line="240" w:lineRule="auto"/>
        <w:jc w:val="both"/>
        <w:rPr>
          <w:rFonts w:ascii="Arial" w:hAnsi="Arial" w:cs="Arial"/>
          <w:sz w:val="20"/>
          <w:szCs w:val="20"/>
        </w:rPr>
      </w:pPr>
      <w:r w:rsidRPr="00E46D6B">
        <w:rPr>
          <w:rFonts w:ascii="Arial" w:eastAsia="Times New Roman" w:hAnsi="Arial" w:cs="Arial"/>
          <w:sz w:val="20"/>
          <w:szCs w:val="20"/>
          <w:lang w:eastAsia="en-IN"/>
        </w:rPr>
        <w:t xml:space="preserve">Makkar, H. P. S., Tran, G., Heuzé, V., &amp; Ankers, P. (2014). State-of-the-art on use of insects as animal feed. </w:t>
      </w:r>
      <w:r w:rsidRPr="00E46D6B">
        <w:rPr>
          <w:rFonts w:ascii="Arial" w:eastAsia="Times New Roman" w:hAnsi="Arial" w:cs="Arial"/>
          <w:i/>
          <w:iCs/>
          <w:sz w:val="20"/>
          <w:szCs w:val="20"/>
          <w:lang w:eastAsia="en-IN"/>
        </w:rPr>
        <w:t>Animal Feed Science and Technology, 197,</w:t>
      </w:r>
      <w:r w:rsidRPr="00E46D6B">
        <w:rPr>
          <w:rFonts w:ascii="Arial" w:eastAsia="Times New Roman" w:hAnsi="Arial" w:cs="Arial"/>
          <w:sz w:val="20"/>
          <w:szCs w:val="20"/>
          <w:lang w:eastAsia="en-IN"/>
        </w:rPr>
        <w:t xml:space="preserve"> 1–33. </w:t>
      </w:r>
    </w:p>
    <w:p w:rsidR="00DD487D" w:rsidRPr="00E46D6B" w:rsidRDefault="00DD487D">
      <w:pPr>
        <w:spacing w:after="0" w:line="240" w:lineRule="auto"/>
        <w:jc w:val="both"/>
        <w:rPr>
          <w:rFonts w:ascii="Arial" w:hAnsi="Arial" w:cs="Arial"/>
          <w:sz w:val="20"/>
          <w:szCs w:val="20"/>
        </w:rPr>
      </w:pPr>
    </w:p>
    <w:p w:rsidR="00DD487D" w:rsidRPr="00E46D6B" w:rsidRDefault="00EE66B4">
      <w:pPr>
        <w:spacing w:after="0" w:line="240" w:lineRule="auto"/>
        <w:jc w:val="both"/>
        <w:rPr>
          <w:rFonts w:ascii="Arial" w:hAnsi="Arial" w:cs="Arial"/>
          <w:sz w:val="20"/>
          <w:szCs w:val="20"/>
        </w:rPr>
      </w:pPr>
      <w:r w:rsidRPr="00E46D6B">
        <w:rPr>
          <w:rFonts w:ascii="Arial" w:eastAsia="Times New Roman" w:hAnsi="Arial" w:cs="Arial"/>
          <w:sz w:val="20"/>
          <w:szCs w:val="20"/>
          <w:lang w:eastAsia="en-IN"/>
        </w:rPr>
        <w:t xml:space="preserve">Müller, A., Wolf, D., &amp; Gutzeit, H. O. (2017). The black soldier fly, </w:t>
      </w:r>
      <w:r w:rsidRPr="00E46D6B">
        <w:rPr>
          <w:rFonts w:ascii="Arial" w:eastAsia="Times New Roman" w:hAnsi="Arial" w:cs="Arial"/>
          <w:i/>
          <w:iCs/>
          <w:sz w:val="20"/>
          <w:szCs w:val="20"/>
          <w:lang w:eastAsia="en-IN"/>
        </w:rPr>
        <w:t>Hermetiaillucens</w:t>
      </w:r>
      <w:r w:rsidRPr="00E46D6B">
        <w:rPr>
          <w:rFonts w:ascii="Arial" w:eastAsia="Times New Roman" w:hAnsi="Arial" w:cs="Arial"/>
          <w:sz w:val="20"/>
          <w:szCs w:val="20"/>
          <w:lang w:eastAsia="en-IN"/>
        </w:rPr>
        <w:t xml:space="preserve">—A promising source for sustainable production of proteins, lipids, and bioactive substances. </w:t>
      </w:r>
      <w:r w:rsidRPr="00E46D6B">
        <w:rPr>
          <w:rFonts w:ascii="Arial" w:eastAsia="Times New Roman" w:hAnsi="Arial" w:cs="Arial"/>
          <w:i/>
          <w:iCs/>
          <w:sz w:val="20"/>
          <w:szCs w:val="20"/>
          <w:lang w:eastAsia="en-IN"/>
        </w:rPr>
        <w:t>Bioresource Technology, 225,</w:t>
      </w:r>
      <w:r w:rsidRPr="00E46D6B">
        <w:rPr>
          <w:rFonts w:ascii="Arial" w:eastAsia="Times New Roman" w:hAnsi="Arial" w:cs="Arial"/>
          <w:sz w:val="20"/>
          <w:szCs w:val="20"/>
          <w:lang w:eastAsia="en-IN"/>
        </w:rPr>
        <w:t xml:space="preserve"> 24–30. </w:t>
      </w:r>
    </w:p>
    <w:p w:rsidR="00DD487D" w:rsidRPr="00E46D6B" w:rsidRDefault="00DD487D">
      <w:pPr>
        <w:spacing w:after="0" w:line="240" w:lineRule="auto"/>
        <w:jc w:val="both"/>
        <w:rPr>
          <w:rFonts w:ascii="Arial" w:hAnsi="Arial" w:cs="Arial"/>
          <w:sz w:val="20"/>
          <w:szCs w:val="20"/>
        </w:rPr>
      </w:pPr>
    </w:p>
    <w:p w:rsidR="00DD487D" w:rsidRPr="00E46D6B" w:rsidRDefault="00EE66B4">
      <w:pPr>
        <w:spacing w:after="0" w:line="240" w:lineRule="auto"/>
        <w:jc w:val="both"/>
        <w:rPr>
          <w:rFonts w:ascii="Arial" w:hAnsi="Arial" w:cs="Arial"/>
          <w:sz w:val="20"/>
          <w:szCs w:val="20"/>
        </w:rPr>
      </w:pPr>
      <w:r w:rsidRPr="00E46D6B">
        <w:rPr>
          <w:rFonts w:ascii="Arial" w:hAnsi="Arial" w:cs="Arial"/>
          <w:sz w:val="20"/>
          <w:szCs w:val="20"/>
        </w:rPr>
        <w:t>Roy, D. C., &amp; Tamang, L. (2020). Evaluation of protein requirement in Chocolate Mahseer (</w:t>
      </w:r>
      <w:r w:rsidRPr="00E46D6B">
        <w:rPr>
          <w:rFonts w:ascii="Arial" w:hAnsi="Arial" w:cs="Arial"/>
          <w:i/>
          <w:iCs/>
          <w:sz w:val="20"/>
          <w:szCs w:val="20"/>
        </w:rPr>
        <w:t>Neolissochilushexagonolepis</w:t>
      </w:r>
      <w:r w:rsidRPr="00E46D6B">
        <w:rPr>
          <w:rFonts w:ascii="Arial" w:hAnsi="Arial" w:cs="Arial"/>
          <w:sz w:val="20"/>
          <w:szCs w:val="20"/>
        </w:rPr>
        <w:t xml:space="preserve">). </w:t>
      </w:r>
      <w:r w:rsidRPr="00E46D6B">
        <w:rPr>
          <w:rFonts w:ascii="Arial" w:hAnsi="Arial" w:cs="Arial"/>
          <w:i/>
          <w:iCs/>
          <w:sz w:val="20"/>
          <w:szCs w:val="20"/>
        </w:rPr>
        <w:t>Int. J. Fish. Aquat. Stud.</w:t>
      </w:r>
      <w:r w:rsidRPr="00E46D6B">
        <w:rPr>
          <w:rFonts w:ascii="Arial" w:hAnsi="Arial" w:cs="Arial"/>
          <w:sz w:val="20"/>
          <w:szCs w:val="20"/>
        </w:rPr>
        <w:t>, 8(2), 12–15.</w:t>
      </w:r>
    </w:p>
    <w:p w:rsidR="00DD487D" w:rsidRPr="00E46D6B" w:rsidRDefault="00DD487D">
      <w:pPr>
        <w:spacing w:after="0" w:line="240" w:lineRule="auto"/>
        <w:jc w:val="both"/>
        <w:rPr>
          <w:rFonts w:ascii="Arial" w:hAnsi="Arial" w:cs="Arial"/>
          <w:sz w:val="20"/>
          <w:szCs w:val="20"/>
        </w:rPr>
      </w:pPr>
    </w:p>
    <w:p w:rsidR="00DD487D" w:rsidRPr="00E46D6B" w:rsidRDefault="00EE66B4">
      <w:pPr>
        <w:spacing w:after="0" w:line="240" w:lineRule="auto"/>
        <w:jc w:val="both"/>
        <w:rPr>
          <w:rFonts w:ascii="Arial" w:eastAsia="Times New Roman" w:hAnsi="Arial" w:cs="Arial"/>
          <w:sz w:val="20"/>
          <w:szCs w:val="20"/>
          <w:lang w:eastAsia="en-IN"/>
        </w:rPr>
      </w:pPr>
      <w:r w:rsidRPr="00E46D6B">
        <w:rPr>
          <w:rFonts w:ascii="Arial" w:eastAsia="Times New Roman" w:hAnsi="Arial" w:cs="Arial"/>
          <w:sz w:val="20"/>
          <w:szCs w:val="20"/>
          <w:lang w:eastAsia="en-IN"/>
        </w:rPr>
        <w:t xml:space="preserve">Rumpold, B. A., &amp; Schlüter, O. K. (2013). Nutritional composition and safety aspects of edible insects. </w:t>
      </w:r>
      <w:r w:rsidRPr="00E46D6B">
        <w:rPr>
          <w:rFonts w:ascii="Arial" w:eastAsia="Times New Roman" w:hAnsi="Arial" w:cs="Arial"/>
          <w:i/>
          <w:iCs/>
          <w:sz w:val="20"/>
          <w:szCs w:val="20"/>
          <w:lang w:eastAsia="en-IN"/>
        </w:rPr>
        <w:t>Molecular Nutrition &amp; Food Research, 57</w:t>
      </w:r>
      <w:r w:rsidRPr="00E46D6B">
        <w:rPr>
          <w:rFonts w:ascii="Arial" w:eastAsia="Times New Roman" w:hAnsi="Arial" w:cs="Arial"/>
          <w:sz w:val="20"/>
          <w:szCs w:val="20"/>
          <w:lang w:eastAsia="en-IN"/>
        </w:rPr>
        <w:t>(5), 802–823.</w:t>
      </w:r>
    </w:p>
    <w:p w:rsidR="00DD487D" w:rsidRPr="00E46D6B" w:rsidRDefault="00DD487D">
      <w:pPr>
        <w:spacing w:after="0" w:line="240" w:lineRule="auto"/>
        <w:jc w:val="both"/>
        <w:rPr>
          <w:rFonts w:ascii="Arial" w:eastAsia="Times New Roman" w:hAnsi="Arial" w:cs="Arial"/>
          <w:sz w:val="20"/>
          <w:szCs w:val="20"/>
          <w:lang w:eastAsia="en-IN"/>
        </w:rPr>
      </w:pPr>
    </w:p>
    <w:p w:rsidR="00DD487D" w:rsidRPr="00E46D6B" w:rsidRDefault="00EE66B4">
      <w:pPr>
        <w:spacing w:after="0" w:line="240" w:lineRule="auto"/>
        <w:jc w:val="both"/>
        <w:rPr>
          <w:rFonts w:ascii="Arial" w:hAnsi="Arial" w:cs="Arial"/>
          <w:sz w:val="20"/>
          <w:szCs w:val="20"/>
        </w:rPr>
      </w:pPr>
      <w:r w:rsidRPr="00E46D6B">
        <w:rPr>
          <w:rFonts w:ascii="Arial" w:eastAsia="Times New Roman" w:hAnsi="Arial" w:cs="Arial"/>
          <w:sz w:val="20"/>
          <w:szCs w:val="20"/>
          <w:lang w:eastAsia="en-IN"/>
        </w:rPr>
        <w:t xml:space="preserve">Sánchez-Muros, M. J., Barroso, F. G., &amp; Manzano-Agugliaro, F. (2014). Insect meal as renewable source of food for animal feeding: A review. </w:t>
      </w:r>
      <w:r w:rsidRPr="00E46D6B">
        <w:rPr>
          <w:rFonts w:ascii="Arial" w:eastAsia="Times New Roman" w:hAnsi="Arial" w:cs="Arial"/>
          <w:i/>
          <w:iCs/>
          <w:sz w:val="20"/>
          <w:szCs w:val="20"/>
          <w:lang w:eastAsia="en-IN"/>
        </w:rPr>
        <w:t>Journal of Cleaner Production, 65,</w:t>
      </w:r>
      <w:r w:rsidRPr="00E46D6B">
        <w:rPr>
          <w:rFonts w:ascii="Arial" w:eastAsia="Times New Roman" w:hAnsi="Arial" w:cs="Arial"/>
          <w:sz w:val="20"/>
          <w:szCs w:val="20"/>
          <w:lang w:eastAsia="en-IN"/>
        </w:rPr>
        <w:t xml:space="preserve"> 16–27. </w:t>
      </w:r>
    </w:p>
    <w:p w:rsidR="00DD487D" w:rsidRPr="00E46D6B" w:rsidRDefault="00DD487D">
      <w:pPr>
        <w:spacing w:after="0" w:line="240" w:lineRule="auto"/>
        <w:jc w:val="both"/>
        <w:rPr>
          <w:rFonts w:ascii="Arial" w:hAnsi="Arial" w:cs="Arial"/>
          <w:sz w:val="20"/>
          <w:szCs w:val="20"/>
        </w:rPr>
      </w:pPr>
    </w:p>
    <w:p w:rsidR="00DD487D" w:rsidRPr="00E46D6B" w:rsidRDefault="00EE66B4">
      <w:pPr>
        <w:spacing w:line="240" w:lineRule="auto"/>
        <w:jc w:val="both"/>
        <w:rPr>
          <w:rFonts w:ascii="Arial" w:hAnsi="Arial" w:cs="Arial"/>
          <w:sz w:val="20"/>
          <w:szCs w:val="20"/>
        </w:rPr>
      </w:pPr>
      <w:r w:rsidRPr="00E46D6B">
        <w:rPr>
          <w:rFonts w:ascii="Arial" w:eastAsia="Times New Roman" w:hAnsi="Arial" w:cs="Arial"/>
          <w:sz w:val="20"/>
          <w:szCs w:val="20"/>
          <w:lang w:eastAsia="en-IN"/>
        </w:rPr>
        <w:t xml:space="preserve">Seal, T. (2011). Determination of nutritive value, mineral contents, and antioxidant activity of some wild edible plants from Meghalaya State, India. </w:t>
      </w:r>
      <w:r w:rsidRPr="00E46D6B">
        <w:rPr>
          <w:rFonts w:ascii="Arial" w:eastAsia="Times New Roman" w:hAnsi="Arial" w:cs="Arial"/>
          <w:i/>
          <w:iCs/>
          <w:sz w:val="20"/>
          <w:szCs w:val="20"/>
          <w:lang w:eastAsia="en-IN"/>
        </w:rPr>
        <w:t>Asian Journal of Applied Sciences, 4</w:t>
      </w:r>
      <w:r w:rsidRPr="00E46D6B">
        <w:rPr>
          <w:rFonts w:ascii="Arial" w:eastAsia="Times New Roman" w:hAnsi="Arial" w:cs="Arial"/>
          <w:sz w:val="20"/>
          <w:szCs w:val="20"/>
          <w:lang w:eastAsia="en-IN"/>
        </w:rPr>
        <w:t>(3), 238–246.</w:t>
      </w:r>
    </w:p>
    <w:p w:rsidR="00DD487D" w:rsidRPr="00E46D6B" w:rsidRDefault="00EE66B4">
      <w:pPr>
        <w:spacing w:after="0" w:line="240" w:lineRule="auto"/>
        <w:jc w:val="both"/>
        <w:rPr>
          <w:rFonts w:ascii="Arial" w:hAnsi="Arial" w:cs="Arial"/>
          <w:sz w:val="20"/>
          <w:szCs w:val="20"/>
        </w:rPr>
      </w:pPr>
      <w:r w:rsidRPr="00E46D6B">
        <w:rPr>
          <w:rFonts w:ascii="Arial" w:eastAsia="Times New Roman" w:hAnsi="Arial" w:cs="Arial"/>
          <w:sz w:val="20"/>
          <w:szCs w:val="20"/>
          <w:lang w:eastAsia="en-IN"/>
        </w:rPr>
        <w:t xml:space="preserve">Singh, P., Nayak, S. K., Reang, D., &amp; Singh, R. (2017). To study the survivability of </w:t>
      </w:r>
      <w:r w:rsidRPr="00E46D6B">
        <w:rPr>
          <w:rFonts w:ascii="Arial" w:eastAsia="Times New Roman" w:hAnsi="Arial" w:cs="Arial"/>
          <w:i/>
          <w:iCs/>
          <w:sz w:val="20"/>
          <w:szCs w:val="20"/>
          <w:lang w:eastAsia="en-IN"/>
        </w:rPr>
        <w:t>Ompokpabda</w:t>
      </w:r>
      <w:r w:rsidRPr="00E46D6B">
        <w:rPr>
          <w:rFonts w:ascii="Arial" w:eastAsia="Times New Roman" w:hAnsi="Arial" w:cs="Arial"/>
          <w:sz w:val="20"/>
          <w:szCs w:val="20"/>
          <w:lang w:eastAsia="en-IN"/>
        </w:rPr>
        <w:t xml:space="preserve"> (Hamilton 1822) fingerlings fed with different ingredients under earthen ponds like rice bran, mustard oil cake, fish meal, and floating feed. </w:t>
      </w:r>
      <w:r w:rsidRPr="00E46D6B">
        <w:rPr>
          <w:rFonts w:ascii="Arial" w:eastAsia="Times New Roman" w:hAnsi="Arial" w:cs="Arial"/>
          <w:i/>
          <w:iCs/>
          <w:sz w:val="20"/>
          <w:szCs w:val="20"/>
          <w:lang w:eastAsia="en-IN"/>
        </w:rPr>
        <w:t>International Journal of Fisheries and Aquaculture Sciences, 7</w:t>
      </w:r>
      <w:r w:rsidRPr="00E46D6B">
        <w:rPr>
          <w:rFonts w:ascii="Arial" w:eastAsia="Times New Roman" w:hAnsi="Arial" w:cs="Arial"/>
          <w:sz w:val="20"/>
          <w:szCs w:val="20"/>
          <w:lang w:eastAsia="en-IN"/>
        </w:rPr>
        <w:t>(1), 23–32.</w:t>
      </w:r>
    </w:p>
    <w:p w:rsidR="00DD487D" w:rsidRPr="00E46D6B" w:rsidRDefault="00DD487D">
      <w:pPr>
        <w:spacing w:after="0" w:line="240" w:lineRule="auto"/>
        <w:jc w:val="both"/>
        <w:rPr>
          <w:rFonts w:ascii="Arial" w:hAnsi="Arial" w:cs="Arial"/>
          <w:sz w:val="20"/>
          <w:szCs w:val="20"/>
        </w:rPr>
      </w:pPr>
    </w:p>
    <w:p w:rsidR="00DD487D" w:rsidRPr="00E46D6B" w:rsidRDefault="00EE66B4">
      <w:pPr>
        <w:spacing w:after="0" w:line="240" w:lineRule="auto"/>
        <w:jc w:val="both"/>
        <w:rPr>
          <w:rFonts w:ascii="Arial" w:hAnsi="Arial" w:cs="Arial"/>
          <w:sz w:val="20"/>
          <w:szCs w:val="20"/>
        </w:rPr>
      </w:pPr>
      <w:r w:rsidRPr="00E46D6B">
        <w:rPr>
          <w:rFonts w:ascii="Arial" w:eastAsia="Times New Roman" w:hAnsi="Arial" w:cs="Arial"/>
          <w:sz w:val="20"/>
          <w:szCs w:val="20"/>
          <w:lang w:eastAsia="en-IN"/>
        </w:rPr>
        <w:t xml:space="preserve">Singh, R., Singh, P., Nayak, S. K., Reang, D., &amp; Tripathi, G. (2017). To study the acceptability of different feed ingredients like rice bran, fish meal, mustard oil cake, and floating feed in earthen pond fed via </w:t>
      </w:r>
      <w:r w:rsidRPr="00E46D6B">
        <w:rPr>
          <w:rFonts w:ascii="Arial" w:eastAsia="Times New Roman" w:hAnsi="Arial" w:cs="Arial"/>
          <w:i/>
          <w:iCs/>
          <w:sz w:val="20"/>
          <w:szCs w:val="20"/>
          <w:lang w:eastAsia="en-IN"/>
        </w:rPr>
        <w:t>Tor tor</w:t>
      </w:r>
      <w:r w:rsidRPr="00E46D6B">
        <w:rPr>
          <w:rFonts w:ascii="Arial" w:eastAsia="Times New Roman" w:hAnsi="Arial" w:cs="Arial"/>
          <w:sz w:val="20"/>
          <w:szCs w:val="20"/>
          <w:lang w:eastAsia="en-IN"/>
        </w:rPr>
        <w:t xml:space="preserve"> (Hamilton 1822) fingerlings. </w:t>
      </w:r>
      <w:r w:rsidRPr="00E46D6B">
        <w:rPr>
          <w:rFonts w:ascii="Arial" w:eastAsia="Times New Roman" w:hAnsi="Arial" w:cs="Arial"/>
          <w:i/>
          <w:iCs/>
          <w:sz w:val="20"/>
          <w:szCs w:val="20"/>
          <w:lang w:eastAsia="en-IN"/>
        </w:rPr>
        <w:t>International Journal of Fisheries and Aquatic Studies, 5</w:t>
      </w:r>
      <w:r w:rsidRPr="00E46D6B">
        <w:rPr>
          <w:rFonts w:ascii="Arial" w:eastAsia="Times New Roman" w:hAnsi="Arial" w:cs="Arial"/>
          <w:sz w:val="20"/>
          <w:szCs w:val="20"/>
          <w:lang w:eastAsia="en-IN"/>
        </w:rPr>
        <w:t>(5), 135–139.</w:t>
      </w:r>
    </w:p>
    <w:p w:rsidR="00DD487D" w:rsidRPr="00E46D6B" w:rsidRDefault="00DD487D">
      <w:pPr>
        <w:spacing w:after="0" w:line="240" w:lineRule="auto"/>
        <w:jc w:val="both"/>
        <w:rPr>
          <w:rFonts w:ascii="Arial" w:hAnsi="Arial" w:cs="Arial"/>
          <w:sz w:val="20"/>
          <w:szCs w:val="20"/>
        </w:rPr>
      </w:pPr>
    </w:p>
    <w:p w:rsidR="00DD487D" w:rsidRPr="00E46D6B" w:rsidRDefault="00EE66B4">
      <w:pPr>
        <w:spacing w:after="0" w:line="240" w:lineRule="auto"/>
        <w:jc w:val="both"/>
        <w:rPr>
          <w:rFonts w:ascii="Arial" w:hAnsi="Arial" w:cs="Arial"/>
          <w:sz w:val="20"/>
          <w:szCs w:val="20"/>
        </w:rPr>
      </w:pPr>
      <w:r w:rsidRPr="00E46D6B">
        <w:rPr>
          <w:rFonts w:ascii="Arial" w:hAnsi="Arial" w:cs="Arial"/>
          <w:sz w:val="20"/>
          <w:szCs w:val="20"/>
        </w:rPr>
        <w:t xml:space="preserve">Syiem, D., Syngai, G. G., Kharbuli, B., Kayang, H., &amp;Khongwir, B. S. (2002). Hypolipidemic and anti-oxidant properties of </w:t>
      </w:r>
      <w:r w:rsidRPr="00E46D6B">
        <w:rPr>
          <w:rFonts w:ascii="Arial" w:hAnsi="Arial" w:cs="Arial"/>
          <w:i/>
          <w:iCs/>
          <w:sz w:val="20"/>
          <w:szCs w:val="20"/>
        </w:rPr>
        <w:t>Clerodendroncolebrookianum</w:t>
      </w:r>
      <w:r w:rsidRPr="00E46D6B">
        <w:rPr>
          <w:rFonts w:ascii="Arial" w:hAnsi="Arial" w:cs="Arial"/>
          <w:sz w:val="20"/>
          <w:szCs w:val="20"/>
        </w:rPr>
        <w:t xml:space="preserve"> leaves in rats fed with high fat diet. </w:t>
      </w:r>
      <w:r w:rsidRPr="00E46D6B">
        <w:rPr>
          <w:rFonts w:ascii="Arial" w:hAnsi="Arial" w:cs="Arial"/>
          <w:i/>
          <w:iCs/>
          <w:sz w:val="20"/>
          <w:szCs w:val="20"/>
        </w:rPr>
        <w:t>Journal of Ethnopharmacology</w:t>
      </w:r>
      <w:r w:rsidRPr="00E46D6B">
        <w:rPr>
          <w:rFonts w:ascii="Arial" w:hAnsi="Arial" w:cs="Arial"/>
          <w:sz w:val="20"/>
          <w:szCs w:val="20"/>
        </w:rPr>
        <w:t>, 83(3), 305–308.</w:t>
      </w:r>
    </w:p>
    <w:p w:rsidR="00DD487D" w:rsidRPr="00E46D6B" w:rsidRDefault="00DD487D">
      <w:pPr>
        <w:spacing w:after="0" w:line="240" w:lineRule="auto"/>
        <w:jc w:val="both"/>
        <w:rPr>
          <w:rFonts w:ascii="Arial" w:hAnsi="Arial" w:cs="Arial"/>
          <w:sz w:val="20"/>
          <w:szCs w:val="20"/>
        </w:rPr>
      </w:pPr>
    </w:p>
    <w:p w:rsidR="00DD487D" w:rsidRPr="00E46D6B" w:rsidRDefault="00EE66B4">
      <w:pPr>
        <w:spacing w:after="0" w:line="240" w:lineRule="auto"/>
        <w:jc w:val="both"/>
        <w:rPr>
          <w:rFonts w:ascii="Arial" w:hAnsi="Arial" w:cs="Arial"/>
          <w:sz w:val="20"/>
          <w:szCs w:val="20"/>
        </w:rPr>
      </w:pPr>
      <w:r w:rsidRPr="00E46D6B">
        <w:rPr>
          <w:rFonts w:ascii="Arial" w:eastAsia="Times New Roman" w:hAnsi="Arial" w:cs="Arial"/>
          <w:sz w:val="20"/>
          <w:szCs w:val="20"/>
          <w:lang w:eastAsia="en-IN"/>
        </w:rPr>
        <w:t xml:space="preserve">Tacon, A. G. J., &amp; Metian, M. (2008). Global overview on the use of fish meal and fish oil in industrially compounded aquafeeds: Trends and future prospects. </w:t>
      </w:r>
      <w:r w:rsidRPr="00E46D6B">
        <w:rPr>
          <w:rFonts w:ascii="Arial" w:eastAsia="Times New Roman" w:hAnsi="Arial" w:cs="Arial"/>
          <w:i/>
          <w:iCs/>
          <w:sz w:val="20"/>
          <w:szCs w:val="20"/>
          <w:lang w:eastAsia="en-IN"/>
        </w:rPr>
        <w:t>Aquaculture, 285</w:t>
      </w:r>
      <w:r w:rsidRPr="00E46D6B">
        <w:rPr>
          <w:rFonts w:ascii="Arial" w:eastAsia="Times New Roman" w:hAnsi="Arial" w:cs="Arial"/>
          <w:sz w:val="20"/>
          <w:szCs w:val="20"/>
          <w:lang w:eastAsia="en-IN"/>
        </w:rPr>
        <w:t xml:space="preserve">(1–4), 146–158. </w:t>
      </w:r>
    </w:p>
    <w:p w:rsidR="00DD487D" w:rsidRPr="00E46D6B" w:rsidRDefault="00DD487D">
      <w:pPr>
        <w:spacing w:after="0" w:line="240" w:lineRule="auto"/>
        <w:jc w:val="both"/>
        <w:rPr>
          <w:rFonts w:ascii="Arial" w:hAnsi="Arial" w:cs="Arial"/>
          <w:sz w:val="20"/>
          <w:szCs w:val="20"/>
        </w:rPr>
      </w:pPr>
    </w:p>
    <w:p w:rsidR="00DD487D" w:rsidRPr="00E46D6B" w:rsidRDefault="00EE66B4">
      <w:pPr>
        <w:spacing w:after="0" w:line="240" w:lineRule="auto"/>
        <w:jc w:val="both"/>
        <w:rPr>
          <w:rFonts w:ascii="Arial" w:eastAsia="Times New Roman" w:hAnsi="Arial" w:cs="Arial"/>
          <w:sz w:val="20"/>
          <w:szCs w:val="20"/>
          <w:lang w:eastAsia="en-IN"/>
        </w:rPr>
      </w:pPr>
      <w:r w:rsidRPr="00E46D6B">
        <w:rPr>
          <w:rFonts w:ascii="Arial" w:eastAsia="Times New Roman" w:hAnsi="Arial" w:cs="Arial"/>
          <w:sz w:val="20"/>
          <w:szCs w:val="20"/>
          <w:lang w:eastAsia="en-IN"/>
        </w:rPr>
        <w:t xml:space="preserve">Tynsong, H., &amp; Tiwari, B. K. (2008). Traditional knowledge associated with fish harvesting practices of War Khasi community in Meghalaya. </w:t>
      </w:r>
      <w:r w:rsidRPr="00E46D6B">
        <w:rPr>
          <w:rFonts w:ascii="Arial" w:eastAsia="Times New Roman" w:hAnsi="Arial" w:cs="Arial"/>
          <w:i/>
          <w:iCs/>
          <w:sz w:val="20"/>
          <w:szCs w:val="20"/>
          <w:lang w:eastAsia="en-IN"/>
        </w:rPr>
        <w:t>Indian Journal of Traditional Knowledge, 7</w:t>
      </w:r>
      <w:r w:rsidRPr="00E46D6B">
        <w:rPr>
          <w:rFonts w:ascii="Arial" w:eastAsia="Times New Roman" w:hAnsi="Arial" w:cs="Arial"/>
          <w:sz w:val="20"/>
          <w:szCs w:val="20"/>
          <w:lang w:eastAsia="en-IN"/>
        </w:rPr>
        <w:t>(4), 618–623.</w:t>
      </w:r>
    </w:p>
    <w:p w:rsidR="00DD487D" w:rsidRPr="00E46D6B" w:rsidRDefault="00DD487D">
      <w:pPr>
        <w:spacing w:after="0" w:line="240" w:lineRule="auto"/>
        <w:jc w:val="both"/>
        <w:rPr>
          <w:rFonts w:ascii="Arial" w:eastAsia="Times New Roman" w:hAnsi="Arial" w:cs="Arial"/>
          <w:sz w:val="20"/>
          <w:szCs w:val="20"/>
          <w:lang w:eastAsia="en-IN"/>
        </w:rPr>
      </w:pPr>
    </w:p>
    <w:p w:rsidR="00DD487D" w:rsidRPr="00E46D6B" w:rsidRDefault="00EE66B4">
      <w:pPr>
        <w:spacing w:after="0" w:line="240" w:lineRule="auto"/>
        <w:jc w:val="both"/>
        <w:rPr>
          <w:rFonts w:ascii="Arial" w:hAnsi="Arial" w:cs="Arial"/>
          <w:sz w:val="20"/>
          <w:szCs w:val="20"/>
        </w:rPr>
      </w:pPr>
      <w:r w:rsidRPr="00E46D6B">
        <w:rPr>
          <w:rFonts w:ascii="Arial" w:hAnsi="Arial" w:cs="Arial"/>
          <w:sz w:val="20"/>
          <w:szCs w:val="20"/>
        </w:rPr>
        <w:t xml:space="preserve">Tippayadara, N., Dawood, M. A. O., Krutmuang, P., Hoseinifar, S. H., Doan, H. V., &amp; Paolucci, M. (2021). Replacement of Fish Meal by Black Soldier Fly (Hermetiaillucens) Larvae Meal: Effects on Growth, Haematology, and Skin Mucus Immunity of Nile Tilapia, Oreochromis niloticus. </w:t>
      </w:r>
      <w:r w:rsidRPr="00E46D6B">
        <w:rPr>
          <w:rFonts w:ascii="Arial" w:hAnsi="Arial" w:cs="Arial"/>
          <w:i/>
          <w:iCs/>
          <w:sz w:val="20"/>
          <w:szCs w:val="20"/>
        </w:rPr>
        <w:t>Animals</w:t>
      </w:r>
      <w:r w:rsidRPr="00E46D6B">
        <w:rPr>
          <w:rFonts w:ascii="Arial" w:hAnsi="Arial" w:cs="Arial"/>
          <w:sz w:val="20"/>
          <w:szCs w:val="20"/>
        </w:rPr>
        <w:t xml:space="preserve">, </w:t>
      </w:r>
      <w:r w:rsidRPr="00E46D6B">
        <w:rPr>
          <w:rFonts w:ascii="Arial" w:hAnsi="Arial" w:cs="Arial"/>
          <w:i/>
          <w:iCs/>
          <w:sz w:val="20"/>
          <w:szCs w:val="20"/>
        </w:rPr>
        <w:t>11</w:t>
      </w:r>
      <w:r w:rsidRPr="00E46D6B">
        <w:rPr>
          <w:rFonts w:ascii="Arial" w:hAnsi="Arial" w:cs="Arial"/>
          <w:sz w:val="20"/>
          <w:szCs w:val="20"/>
        </w:rPr>
        <w:t>(1), 193.</w:t>
      </w:r>
    </w:p>
    <w:p w:rsidR="00DD487D" w:rsidRPr="00E46D6B" w:rsidRDefault="00DD487D">
      <w:pPr>
        <w:spacing w:after="0" w:line="240" w:lineRule="auto"/>
        <w:jc w:val="both"/>
        <w:rPr>
          <w:rFonts w:ascii="Arial" w:hAnsi="Arial" w:cs="Arial"/>
          <w:sz w:val="20"/>
          <w:szCs w:val="20"/>
        </w:rPr>
      </w:pPr>
    </w:p>
    <w:p w:rsidR="00DD487D" w:rsidRPr="00E46D6B" w:rsidRDefault="00EE66B4">
      <w:pPr>
        <w:spacing w:after="0" w:line="240" w:lineRule="auto"/>
        <w:jc w:val="both"/>
        <w:rPr>
          <w:rFonts w:ascii="Arial" w:hAnsi="Arial" w:cs="Arial"/>
          <w:sz w:val="20"/>
          <w:szCs w:val="20"/>
        </w:rPr>
        <w:sectPr w:rsidR="00DD487D" w:rsidRPr="00E46D6B">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8" w:footer="708" w:gutter="0"/>
          <w:cols w:space="708"/>
          <w:docGrid w:linePitch="360"/>
        </w:sectPr>
      </w:pPr>
      <w:r w:rsidRPr="00E46D6B">
        <w:rPr>
          <w:rFonts w:ascii="Arial" w:hAnsi="Arial" w:cs="Arial"/>
          <w:sz w:val="20"/>
          <w:szCs w:val="20"/>
        </w:rPr>
        <w:t>Zulkifli, N. F. N. M., Seok-Kian, A. Y., Seng, L. L., Mustafa, S., Kim, Y. S., &amp;Shapawi, R. (2022). Nutritional value of black soldier fly (</w:t>
      </w:r>
      <w:r w:rsidRPr="00E46D6B">
        <w:rPr>
          <w:rFonts w:ascii="Arial" w:hAnsi="Arial" w:cs="Arial"/>
          <w:i/>
          <w:iCs/>
          <w:sz w:val="20"/>
          <w:szCs w:val="20"/>
        </w:rPr>
        <w:t>Hermetiaillucens</w:t>
      </w:r>
      <w:r w:rsidRPr="00E46D6B">
        <w:rPr>
          <w:rFonts w:ascii="Arial" w:hAnsi="Arial" w:cs="Arial"/>
          <w:sz w:val="20"/>
          <w:szCs w:val="20"/>
        </w:rPr>
        <w:t>) larvae processed by different methods. </w:t>
      </w:r>
      <w:r w:rsidRPr="00E46D6B">
        <w:rPr>
          <w:rFonts w:ascii="Arial" w:hAnsi="Arial" w:cs="Arial"/>
          <w:i/>
          <w:iCs/>
          <w:sz w:val="20"/>
          <w:szCs w:val="20"/>
        </w:rPr>
        <w:t>Plos one</w:t>
      </w:r>
      <w:r w:rsidRPr="00E46D6B">
        <w:rPr>
          <w:rFonts w:ascii="Arial" w:hAnsi="Arial" w:cs="Arial"/>
          <w:sz w:val="20"/>
          <w:szCs w:val="20"/>
        </w:rPr>
        <w:t>, </w:t>
      </w:r>
      <w:r w:rsidRPr="00E46D6B">
        <w:rPr>
          <w:rFonts w:ascii="Arial" w:hAnsi="Arial" w:cs="Arial"/>
          <w:i/>
          <w:iCs/>
          <w:sz w:val="20"/>
          <w:szCs w:val="20"/>
        </w:rPr>
        <w:t>17</w:t>
      </w:r>
      <w:r w:rsidRPr="00E46D6B">
        <w:rPr>
          <w:rFonts w:ascii="Arial" w:hAnsi="Arial" w:cs="Arial"/>
          <w:sz w:val="20"/>
          <w:szCs w:val="20"/>
        </w:rPr>
        <w:t>(2), e0263</w:t>
      </w:r>
    </w:p>
    <w:p w:rsidR="004F1099" w:rsidRDefault="004F1099" w:rsidP="004F1099">
      <w:pPr>
        <w:rPr>
          <w:sz w:val="32"/>
          <w:szCs w:val="32"/>
          <w:lang w:val="en-US"/>
        </w:rPr>
      </w:pPr>
    </w:p>
    <w:sectPr w:rsidR="004F1099" w:rsidSect="00DD487D">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E77" w:rsidRDefault="00376E77" w:rsidP="004F1099">
      <w:pPr>
        <w:spacing w:after="0" w:line="240" w:lineRule="auto"/>
      </w:pPr>
      <w:r>
        <w:separator/>
      </w:r>
    </w:p>
  </w:endnote>
  <w:endnote w:type="continuationSeparator" w:id="1">
    <w:p w:rsidR="00376E77" w:rsidRDefault="00376E77" w:rsidP="004F1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99" w:rsidRDefault="004F10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99" w:rsidRDefault="004F10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99" w:rsidRDefault="004F10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E77" w:rsidRDefault="00376E77" w:rsidP="004F1099">
      <w:pPr>
        <w:spacing w:after="0" w:line="240" w:lineRule="auto"/>
      </w:pPr>
      <w:r>
        <w:separator/>
      </w:r>
    </w:p>
  </w:footnote>
  <w:footnote w:type="continuationSeparator" w:id="1">
    <w:p w:rsidR="00376E77" w:rsidRDefault="00376E77" w:rsidP="004F10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99" w:rsidRDefault="002006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6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99" w:rsidRDefault="002006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6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99" w:rsidRDefault="002006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6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9ACCCB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0000002"/>
    <w:multiLevelType w:val="hybridMultilevel"/>
    <w:tmpl w:val="8C5419CE"/>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3"/>
    <w:multiLevelType w:val="hybridMultilevel"/>
    <w:tmpl w:val="1402F5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B9502C"/>
    <w:multiLevelType w:val="multilevel"/>
    <w:tmpl w:val="CB8E8BD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7D8D5CD8"/>
    <w:multiLevelType w:val="hybridMultilevel"/>
    <w:tmpl w:val="E54665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DD487D"/>
    <w:rsid w:val="000C6E1C"/>
    <w:rsid w:val="001D3326"/>
    <w:rsid w:val="00200625"/>
    <w:rsid w:val="00227E3D"/>
    <w:rsid w:val="00376E77"/>
    <w:rsid w:val="00423170"/>
    <w:rsid w:val="00446DE1"/>
    <w:rsid w:val="0045652C"/>
    <w:rsid w:val="004D6E19"/>
    <w:rsid w:val="004F1099"/>
    <w:rsid w:val="00744EAC"/>
    <w:rsid w:val="00805F9E"/>
    <w:rsid w:val="00C1442D"/>
    <w:rsid w:val="00C703AC"/>
    <w:rsid w:val="00CB09F4"/>
    <w:rsid w:val="00D45E08"/>
    <w:rsid w:val="00DB5EF0"/>
    <w:rsid w:val="00DC651A"/>
    <w:rsid w:val="00DD487D"/>
    <w:rsid w:val="00E11A7B"/>
    <w:rsid w:val="00E330FA"/>
    <w:rsid w:val="00E46D6B"/>
    <w:rsid w:val="00EE66B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87D"/>
  </w:style>
  <w:style w:type="paragraph" w:styleId="Heading1">
    <w:name w:val="heading 1"/>
    <w:basedOn w:val="Normal"/>
    <w:next w:val="Normal"/>
    <w:link w:val="Heading1Char"/>
    <w:uiPriority w:val="9"/>
    <w:qFormat/>
    <w:rsid w:val="00DD487D"/>
    <w:pPr>
      <w:keepNext/>
      <w:keepLines/>
      <w:spacing w:before="400" w:after="40" w:line="240" w:lineRule="auto"/>
      <w:outlineLvl w:val="0"/>
    </w:pPr>
    <w:rPr>
      <w:rFonts w:ascii="Calibri Light" w:hAnsi="Calibri Light"/>
      <w:color w:val="1F3864"/>
      <w:sz w:val="36"/>
      <w:szCs w:val="36"/>
    </w:rPr>
  </w:style>
  <w:style w:type="paragraph" w:styleId="Heading2">
    <w:name w:val="heading 2"/>
    <w:basedOn w:val="Normal"/>
    <w:next w:val="Normal"/>
    <w:link w:val="Heading2Char"/>
    <w:uiPriority w:val="9"/>
    <w:qFormat/>
    <w:rsid w:val="00DD487D"/>
    <w:pPr>
      <w:keepNext/>
      <w:keepLines/>
      <w:spacing w:before="40" w:after="0" w:line="240" w:lineRule="auto"/>
      <w:outlineLvl w:val="1"/>
    </w:pPr>
    <w:rPr>
      <w:rFonts w:ascii="Calibri Light" w:hAnsi="Calibri Light"/>
      <w:color w:val="2F5496"/>
      <w:sz w:val="32"/>
      <w:szCs w:val="32"/>
    </w:rPr>
  </w:style>
  <w:style w:type="paragraph" w:styleId="Heading3">
    <w:name w:val="heading 3"/>
    <w:basedOn w:val="Normal"/>
    <w:next w:val="Normal"/>
    <w:link w:val="Heading3Char"/>
    <w:uiPriority w:val="9"/>
    <w:qFormat/>
    <w:rsid w:val="00DD487D"/>
    <w:pPr>
      <w:keepNext/>
      <w:keepLines/>
      <w:spacing w:before="40" w:after="0" w:line="240" w:lineRule="auto"/>
      <w:outlineLvl w:val="2"/>
    </w:pPr>
    <w:rPr>
      <w:rFonts w:ascii="Calibri Light" w:hAnsi="Calibri Light"/>
      <w:color w:val="2F5496"/>
      <w:sz w:val="28"/>
      <w:szCs w:val="28"/>
    </w:rPr>
  </w:style>
  <w:style w:type="paragraph" w:styleId="Heading4">
    <w:name w:val="heading 4"/>
    <w:basedOn w:val="Normal"/>
    <w:next w:val="Normal"/>
    <w:link w:val="Heading4Char"/>
    <w:uiPriority w:val="9"/>
    <w:qFormat/>
    <w:rsid w:val="00DD487D"/>
    <w:pPr>
      <w:keepNext/>
      <w:keepLines/>
      <w:spacing w:before="40" w:after="0"/>
      <w:outlineLvl w:val="3"/>
    </w:pPr>
    <w:rPr>
      <w:rFonts w:ascii="Calibri Light" w:hAnsi="Calibri Light"/>
      <w:color w:val="2F5496"/>
      <w:sz w:val="24"/>
      <w:szCs w:val="24"/>
    </w:rPr>
  </w:style>
  <w:style w:type="paragraph" w:styleId="Heading5">
    <w:name w:val="heading 5"/>
    <w:basedOn w:val="Normal"/>
    <w:next w:val="Normal"/>
    <w:link w:val="Heading5Char"/>
    <w:uiPriority w:val="9"/>
    <w:qFormat/>
    <w:rsid w:val="00DD487D"/>
    <w:pPr>
      <w:keepNext/>
      <w:keepLines/>
      <w:spacing w:before="40" w:after="0"/>
      <w:outlineLvl w:val="4"/>
    </w:pPr>
    <w:rPr>
      <w:rFonts w:ascii="Calibri Light" w:hAnsi="Calibri Light"/>
      <w:caps/>
      <w:color w:val="2F5496"/>
    </w:rPr>
  </w:style>
  <w:style w:type="paragraph" w:styleId="Heading6">
    <w:name w:val="heading 6"/>
    <w:basedOn w:val="Normal"/>
    <w:next w:val="Normal"/>
    <w:link w:val="Heading6Char"/>
    <w:uiPriority w:val="9"/>
    <w:qFormat/>
    <w:rsid w:val="00DD487D"/>
    <w:pPr>
      <w:keepNext/>
      <w:keepLines/>
      <w:spacing w:before="40" w:after="0"/>
      <w:outlineLvl w:val="5"/>
    </w:pPr>
    <w:rPr>
      <w:rFonts w:ascii="Calibri Light" w:hAnsi="Calibri Light"/>
      <w:i/>
      <w:iCs/>
      <w:caps/>
      <w:color w:val="1F3864"/>
    </w:rPr>
  </w:style>
  <w:style w:type="paragraph" w:styleId="Heading7">
    <w:name w:val="heading 7"/>
    <w:basedOn w:val="Normal"/>
    <w:next w:val="Normal"/>
    <w:link w:val="Heading7Char"/>
    <w:uiPriority w:val="9"/>
    <w:qFormat/>
    <w:rsid w:val="00DD487D"/>
    <w:pPr>
      <w:keepNext/>
      <w:keepLines/>
      <w:spacing w:before="40" w:after="0"/>
      <w:outlineLvl w:val="6"/>
    </w:pPr>
    <w:rPr>
      <w:rFonts w:ascii="Calibri Light" w:hAnsi="Calibri Light"/>
      <w:b/>
      <w:bCs/>
      <w:color w:val="1F3864"/>
    </w:rPr>
  </w:style>
  <w:style w:type="paragraph" w:styleId="Heading8">
    <w:name w:val="heading 8"/>
    <w:basedOn w:val="Normal"/>
    <w:next w:val="Normal"/>
    <w:link w:val="Heading8Char"/>
    <w:uiPriority w:val="9"/>
    <w:qFormat/>
    <w:rsid w:val="00DD487D"/>
    <w:pPr>
      <w:keepNext/>
      <w:keepLines/>
      <w:spacing w:before="40" w:after="0"/>
      <w:outlineLvl w:val="7"/>
    </w:pPr>
    <w:rPr>
      <w:rFonts w:ascii="Calibri Light" w:hAnsi="Calibri Light"/>
      <w:b/>
      <w:bCs/>
      <w:i/>
      <w:iCs/>
      <w:color w:val="1F3864"/>
    </w:rPr>
  </w:style>
  <w:style w:type="paragraph" w:styleId="Heading9">
    <w:name w:val="heading 9"/>
    <w:basedOn w:val="Normal"/>
    <w:next w:val="Normal"/>
    <w:link w:val="Heading9Char"/>
    <w:uiPriority w:val="9"/>
    <w:qFormat/>
    <w:rsid w:val="00DD487D"/>
    <w:pPr>
      <w:keepNext/>
      <w:keepLines/>
      <w:spacing w:before="40" w:after="0"/>
      <w:outlineLvl w:val="8"/>
    </w:pPr>
    <w:rPr>
      <w:rFonts w:ascii="Calibri Light" w:hAnsi="Calibri Light"/>
      <w:i/>
      <w:iCs/>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87D"/>
    <w:rPr>
      <w:rFonts w:ascii="Calibri Light" w:eastAsia="SimSun" w:hAnsi="Calibri Light" w:cs="SimSun"/>
      <w:color w:val="1F3864"/>
      <w:sz w:val="36"/>
      <w:szCs w:val="36"/>
    </w:rPr>
  </w:style>
  <w:style w:type="character" w:customStyle="1" w:styleId="Heading2Char">
    <w:name w:val="Heading 2 Char"/>
    <w:basedOn w:val="DefaultParagraphFont"/>
    <w:link w:val="Heading2"/>
    <w:uiPriority w:val="9"/>
    <w:rsid w:val="00DD487D"/>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sid w:val="00DD487D"/>
    <w:rPr>
      <w:rFonts w:ascii="Calibri Light" w:eastAsia="SimSun" w:hAnsi="Calibri Light" w:cs="SimSun"/>
      <w:color w:val="2F5496"/>
      <w:sz w:val="28"/>
      <w:szCs w:val="28"/>
    </w:rPr>
  </w:style>
  <w:style w:type="character" w:customStyle="1" w:styleId="Heading4Char">
    <w:name w:val="Heading 4 Char"/>
    <w:basedOn w:val="DefaultParagraphFont"/>
    <w:link w:val="Heading4"/>
    <w:uiPriority w:val="9"/>
    <w:rsid w:val="00DD487D"/>
    <w:rPr>
      <w:rFonts w:ascii="Calibri Light" w:eastAsia="SimSun" w:hAnsi="Calibri Light" w:cs="SimSun"/>
      <w:color w:val="2F5496"/>
      <w:sz w:val="24"/>
      <w:szCs w:val="24"/>
    </w:rPr>
  </w:style>
  <w:style w:type="character" w:customStyle="1" w:styleId="Heading5Char">
    <w:name w:val="Heading 5 Char"/>
    <w:basedOn w:val="DefaultParagraphFont"/>
    <w:link w:val="Heading5"/>
    <w:uiPriority w:val="9"/>
    <w:rsid w:val="00DD487D"/>
    <w:rPr>
      <w:rFonts w:ascii="Calibri Light" w:eastAsia="SimSun" w:hAnsi="Calibri Light" w:cs="SimSun"/>
      <w:caps/>
      <w:color w:val="2F5496"/>
    </w:rPr>
  </w:style>
  <w:style w:type="character" w:customStyle="1" w:styleId="Heading6Char">
    <w:name w:val="Heading 6 Char"/>
    <w:basedOn w:val="DefaultParagraphFont"/>
    <w:link w:val="Heading6"/>
    <w:uiPriority w:val="9"/>
    <w:rsid w:val="00DD487D"/>
    <w:rPr>
      <w:rFonts w:ascii="Calibri Light" w:eastAsia="SimSun" w:hAnsi="Calibri Light" w:cs="SimSun"/>
      <w:i/>
      <w:iCs/>
      <w:caps/>
      <w:color w:val="1F3864"/>
    </w:rPr>
  </w:style>
  <w:style w:type="character" w:customStyle="1" w:styleId="Heading7Char">
    <w:name w:val="Heading 7 Char"/>
    <w:basedOn w:val="DefaultParagraphFont"/>
    <w:link w:val="Heading7"/>
    <w:uiPriority w:val="9"/>
    <w:rsid w:val="00DD487D"/>
    <w:rPr>
      <w:rFonts w:ascii="Calibri Light" w:eastAsia="SimSun" w:hAnsi="Calibri Light" w:cs="SimSun"/>
      <w:b/>
      <w:bCs/>
      <w:color w:val="1F3864"/>
    </w:rPr>
  </w:style>
  <w:style w:type="character" w:customStyle="1" w:styleId="Heading8Char">
    <w:name w:val="Heading 8 Char"/>
    <w:basedOn w:val="DefaultParagraphFont"/>
    <w:link w:val="Heading8"/>
    <w:uiPriority w:val="9"/>
    <w:rsid w:val="00DD487D"/>
    <w:rPr>
      <w:rFonts w:ascii="Calibri Light" w:eastAsia="SimSun" w:hAnsi="Calibri Light" w:cs="SimSun"/>
      <w:b/>
      <w:bCs/>
      <w:i/>
      <w:iCs/>
      <w:color w:val="1F3864"/>
    </w:rPr>
  </w:style>
  <w:style w:type="character" w:customStyle="1" w:styleId="Heading9Char">
    <w:name w:val="Heading 9 Char"/>
    <w:basedOn w:val="DefaultParagraphFont"/>
    <w:link w:val="Heading9"/>
    <w:uiPriority w:val="9"/>
    <w:rsid w:val="00DD487D"/>
    <w:rPr>
      <w:rFonts w:ascii="Calibri Light" w:eastAsia="SimSun" w:hAnsi="Calibri Light" w:cs="SimSun"/>
      <w:i/>
      <w:iCs/>
      <w:color w:val="1F3864"/>
    </w:rPr>
  </w:style>
  <w:style w:type="paragraph" w:styleId="Title">
    <w:name w:val="Title"/>
    <w:basedOn w:val="Normal"/>
    <w:next w:val="Normal"/>
    <w:link w:val="TitleChar"/>
    <w:uiPriority w:val="10"/>
    <w:qFormat/>
    <w:rsid w:val="00DD487D"/>
    <w:pPr>
      <w:spacing w:after="0" w:line="204" w:lineRule="auto"/>
      <w:contextualSpacing/>
    </w:pPr>
    <w:rPr>
      <w:rFonts w:ascii="Calibri Light" w:hAnsi="Calibri Light"/>
      <w:caps/>
      <w:color w:val="44546A"/>
      <w:spacing w:val="-15"/>
      <w:sz w:val="72"/>
      <w:szCs w:val="72"/>
    </w:rPr>
  </w:style>
  <w:style w:type="character" w:customStyle="1" w:styleId="TitleChar">
    <w:name w:val="Title Char"/>
    <w:basedOn w:val="DefaultParagraphFont"/>
    <w:link w:val="Title"/>
    <w:uiPriority w:val="10"/>
    <w:rsid w:val="00DD487D"/>
    <w:rPr>
      <w:rFonts w:ascii="Calibri Light" w:eastAsia="SimSun" w:hAnsi="Calibri Light" w:cs="SimSun"/>
      <w:caps/>
      <w:color w:val="44546A"/>
      <w:spacing w:val="-15"/>
      <w:sz w:val="72"/>
      <w:szCs w:val="72"/>
    </w:rPr>
  </w:style>
  <w:style w:type="paragraph" w:styleId="Subtitle">
    <w:name w:val="Subtitle"/>
    <w:basedOn w:val="Normal"/>
    <w:next w:val="Normal"/>
    <w:link w:val="SubtitleChar"/>
    <w:uiPriority w:val="11"/>
    <w:qFormat/>
    <w:rsid w:val="00DD487D"/>
    <w:pPr>
      <w:numPr>
        <w:ilvl w:val="1"/>
      </w:numPr>
      <w:spacing w:after="240" w:line="240" w:lineRule="auto"/>
    </w:pPr>
    <w:rPr>
      <w:rFonts w:ascii="Calibri Light" w:hAnsi="Calibri Light"/>
      <w:color w:val="4472C4"/>
      <w:sz w:val="28"/>
      <w:szCs w:val="28"/>
    </w:rPr>
  </w:style>
  <w:style w:type="character" w:customStyle="1" w:styleId="SubtitleChar">
    <w:name w:val="Subtitle Char"/>
    <w:basedOn w:val="DefaultParagraphFont"/>
    <w:link w:val="Subtitle"/>
    <w:uiPriority w:val="11"/>
    <w:rsid w:val="00DD487D"/>
    <w:rPr>
      <w:rFonts w:ascii="Calibri Light" w:eastAsia="SimSun" w:hAnsi="Calibri Light" w:cs="SimSun"/>
      <w:color w:val="4472C4"/>
      <w:sz w:val="28"/>
      <w:szCs w:val="28"/>
    </w:rPr>
  </w:style>
  <w:style w:type="paragraph" w:styleId="Quote">
    <w:name w:val="Quote"/>
    <w:basedOn w:val="Normal"/>
    <w:next w:val="Normal"/>
    <w:link w:val="QuoteChar"/>
    <w:uiPriority w:val="29"/>
    <w:qFormat/>
    <w:rsid w:val="00DD487D"/>
    <w:pPr>
      <w:spacing w:before="120" w:after="120"/>
      <w:ind w:left="720"/>
    </w:pPr>
    <w:rPr>
      <w:color w:val="44546A"/>
      <w:sz w:val="24"/>
      <w:szCs w:val="24"/>
    </w:rPr>
  </w:style>
  <w:style w:type="character" w:customStyle="1" w:styleId="QuoteChar">
    <w:name w:val="Quote Char"/>
    <w:basedOn w:val="DefaultParagraphFont"/>
    <w:link w:val="Quote"/>
    <w:uiPriority w:val="29"/>
    <w:rsid w:val="00DD487D"/>
    <w:rPr>
      <w:color w:val="44546A"/>
      <w:sz w:val="24"/>
      <w:szCs w:val="24"/>
    </w:rPr>
  </w:style>
  <w:style w:type="paragraph" w:styleId="ListParagraph">
    <w:name w:val="List Paragraph"/>
    <w:basedOn w:val="Normal"/>
    <w:uiPriority w:val="34"/>
    <w:qFormat/>
    <w:rsid w:val="00DD487D"/>
    <w:pPr>
      <w:ind w:left="720"/>
      <w:contextualSpacing/>
    </w:pPr>
  </w:style>
  <w:style w:type="character" w:styleId="IntenseEmphasis">
    <w:name w:val="Intense Emphasis"/>
    <w:basedOn w:val="DefaultParagraphFont"/>
    <w:uiPriority w:val="21"/>
    <w:qFormat/>
    <w:rsid w:val="00DD487D"/>
    <w:rPr>
      <w:b/>
      <w:bCs/>
      <w:i/>
      <w:iCs/>
    </w:rPr>
  </w:style>
  <w:style w:type="paragraph" w:styleId="IntenseQuote">
    <w:name w:val="Intense Quote"/>
    <w:basedOn w:val="Normal"/>
    <w:next w:val="Normal"/>
    <w:link w:val="IntenseQuoteChar"/>
    <w:uiPriority w:val="30"/>
    <w:qFormat/>
    <w:rsid w:val="00DD487D"/>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basedOn w:val="DefaultParagraphFont"/>
    <w:link w:val="IntenseQuote"/>
    <w:uiPriority w:val="30"/>
    <w:rsid w:val="00DD487D"/>
    <w:rPr>
      <w:rFonts w:ascii="Calibri Light" w:eastAsia="SimSun" w:hAnsi="Calibri Light" w:cs="SimSun"/>
      <w:color w:val="44546A"/>
      <w:spacing w:val="-6"/>
      <w:sz w:val="32"/>
      <w:szCs w:val="32"/>
    </w:rPr>
  </w:style>
  <w:style w:type="character" w:styleId="IntenseReference">
    <w:name w:val="Intense Reference"/>
    <w:basedOn w:val="DefaultParagraphFont"/>
    <w:uiPriority w:val="32"/>
    <w:qFormat/>
    <w:rsid w:val="00DD487D"/>
    <w:rPr>
      <w:b/>
      <w:bCs/>
      <w:smallCaps/>
      <w:color w:val="44546A"/>
      <w:u w:val="single"/>
    </w:rPr>
  </w:style>
  <w:style w:type="table" w:styleId="TableGrid">
    <w:name w:val="Table Grid"/>
    <w:basedOn w:val="TableNormal"/>
    <w:uiPriority w:val="39"/>
    <w:rsid w:val="00DD4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D4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87D"/>
  </w:style>
  <w:style w:type="paragraph" w:styleId="Footer">
    <w:name w:val="footer"/>
    <w:basedOn w:val="Normal"/>
    <w:link w:val="FooterChar"/>
    <w:uiPriority w:val="99"/>
    <w:rsid w:val="00DD4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87D"/>
  </w:style>
  <w:style w:type="paragraph" w:styleId="Caption">
    <w:name w:val="caption"/>
    <w:basedOn w:val="Normal"/>
    <w:next w:val="Normal"/>
    <w:uiPriority w:val="35"/>
    <w:qFormat/>
    <w:rsid w:val="00DD487D"/>
    <w:pPr>
      <w:spacing w:line="240" w:lineRule="auto"/>
    </w:pPr>
    <w:rPr>
      <w:b/>
      <w:bCs/>
      <w:smallCaps/>
      <w:color w:val="44546A"/>
    </w:rPr>
  </w:style>
  <w:style w:type="character" w:styleId="Strong">
    <w:name w:val="Strong"/>
    <w:basedOn w:val="DefaultParagraphFont"/>
    <w:uiPriority w:val="22"/>
    <w:qFormat/>
    <w:rsid w:val="00DD487D"/>
    <w:rPr>
      <w:b/>
      <w:bCs/>
    </w:rPr>
  </w:style>
  <w:style w:type="character" w:styleId="Emphasis">
    <w:name w:val="Emphasis"/>
    <w:basedOn w:val="DefaultParagraphFont"/>
    <w:uiPriority w:val="20"/>
    <w:qFormat/>
    <w:rsid w:val="00DD487D"/>
    <w:rPr>
      <w:i/>
      <w:iCs/>
    </w:rPr>
  </w:style>
  <w:style w:type="paragraph" w:styleId="NoSpacing">
    <w:name w:val="No Spacing"/>
    <w:uiPriority w:val="1"/>
    <w:qFormat/>
    <w:rsid w:val="00DD487D"/>
    <w:pPr>
      <w:spacing w:after="0" w:line="240" w:lineRule="auto"/>
    </w:pPr>
  </w:style>
  <w:style w:type="character" w:styleId="SubtleEmphasis">
    <w:name w:val="Subtle Emphasis"/>
    <w:basedOn w:val="DefaultParagraphFont"/>
    <w:uiPriority w:val="19"/>
    <w:qFormat/>
    <w:rsid w:val="00DD487D"/>
    <w:rPr>
      <w:i/>
      <w:iCs/>
      <w:color w:val="595959"/>
    </w:rPr>
  </w:style>
  <w:style w:type="character" w:styleId="SubtleReference">
    <w:name w:val="Subtle Reference"/>
    <w:basedOn w:val="DefaultParagraphFont"/>
    <w:uiPriority w:val="31"/>
    <w:qFormat/>
    <w:rsid w:val="00DD487D"/>
    <w:rPr>
      <w:smallCaps/>
      <w:color w:val="595959"/>
      <w:u w:val="none" w:color="7F7F7F"/>
      <w:bdr w:val="none" w:sz="0" w:space="0" w:color="auto"/>
    </w:rPr>
  </w:style>
  <w:style w:type="character" w:styleId="BookTitle">
    <w:name w:val="Book Title"/>
    <w:basedOn w:val="DefaultParagraphFont"/>
    <w:uiPriority w:val="33"/>
    <w:qFormat/>
    <w:rsid w:val="00DD487D"/>
    <w:rPr>
      <w:b/>
      <w:bCs/>
      <w:smallCaps/>
      <w:spacing w:val="10"/>
    </w:rPr>
  </w:style>
  <w:style w:type="paragraph" w:styleId="TOCHeading">
    <w:name w:val="TOC Heading"/>
    <w:basedOn w:val="Heading1"/>
    <w:next w:val="Normal"/>
    <w:uiPriority w:val="39"/>
    <w:qFormat/>
    <w:rsid w:val="00DD487D"/>
    <w:pPr>
      <w:outlineLvl w:val="9"/>
    </w:pPr>
  </w:style>
  <w:style w:type="character" w:styleId="Hyperlink">
    <w:name w:val="Hyperlink"/>
    <w:basedOn w:val="DefaultParagraphFont"/>
    <w:uiPriority w:val="99"/>
    <w:rsid w:val="00DD487D"/>
    <w:rPr>
      <w:color w:val="0563C1"/>
      <w:u w:val="single"/>
    </w:rPr>
  </w:style>
  <w:style w:type="character" w:customStyle="1" w:styleId="UnresolvedMention1">
    <w:name w:val="Unresolved Mention1"/>
    <w:basedOn w:val="DefaultParagraphFont"/>
    <w:uiPriority w:val="99"/>
    <w:rsid w:val="00DD487D"/>
    <w:rPr>
      <w:color w:val="605E5C"/>
      <w:shd w:val="clear" w:color="auto" w:fill="E1DFDD"/>
    </w:rPr>
  </w:style>
  <w:style w:type="character" w:styleId="PlaceholderText">
    <w:name w:val="Placeholder Text"/>
    <w:basedOn w:val="DefaultParagraphFont"/>
    <w:uiPriority w:val="99"/>
    <w:rsid w:val="00DD487D"/>
    <w:rPr>
      <w:color w:val="666666"/>
    </w:rPr>
  </w:style>
  <w:style w:type="paragraph" w:styleId="BalloonText">
    <w:name w:val="Balloon Text"/>
    <w:basedOn w:val="Normal"/>
    <w:link w:val="BalloonTextChar"/>
    <w:uiPriority w:val="99"/>
    <w:semiHidden/>
    <w:unhideWhenUsed/>
    <w:rsid w:val="00E46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D6B"/>
    <w:rPr>
      <w:rFonts w:ascii="Tahoma" w:hAnsi="Tahoma" w:cs="Tahoma"/>
      <w:sz w:val="16"/>
      <w:szCs w:val="16"/>
    </w:rPr>
  </w:style>
  <w:style w:type="character" w:customStyle="1" w:styleId="UnresolvedMention">
    <w:name w:val="Unresolved Mention"/>
    <w:basedOn w:val="DefaultParagraphFont"/>
    <w:uiPriority w:val="99"/>
    <w:semiHidden/>
    <w:unhideWhenUsed/>
    <w:rsid w:val="00227E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ohn_McClelland_(docto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IN"/>
  <c:chart>
    <c:autoTitleDeleted val="1"/>
    <c:plotArea>
      <c:layout/>
      <c:barChart>
        <c:barDir val="col"/>
        <c:grouping val="clustered"/>
        <c:ser>
          <c:idx val="0"/>
          <c:order val="0"/>
          <c:spPr>
            <a:solidFill>
              <a:schemeClr val="accent1"/>
            </a:solidFill>
            <a:ln>
              <a:noFill/>
            </a:ln>
            <a:effectLst/>
          </c:spPr>
          <c:errBars>
            <c:errBarType val="both"/>
            <c:errValType val="cust"/>
            <c:plus>
              <c:numRef>
                <c:f>Sheet1!$C$2:$C$7</c:f>
                <c:numCache>
                  <c:formatCode>General</c:formatCode>
                  <c:ptCount val="6"/>
                  <c:pt idx="0">
                    <c:v>0.59499999999999997</c:v>
                  </c:pt>
                  <c:pt idx="1">
                    <c:v>0.51500000000000001</c:v>
                  </c:pt>
                  <c:pt idx="2">
                    <c:v>0.58799999999999997</c:v>
                  </c:pt>
                  <c:pt idx="3">
                    <c:v>0.45900000000000002</c:v>
                  </c:pt>
                  <c:pt idx="4">
                    <c:v>0.51500000000000001</c:v>
                  </c:pt>
                  <c:pt idx="5">
                    <c:v>0.55700000000000005</c:v>
                  </c:pt>
                </c:numCache>
              </c:numRef>
            </c:plus>
            <c:minus>
              <c:numRef>
                <c:f>Sheet1!$C$2:$C$7</c:f>
                <c:numCache>
                  <c:formatCode>General</c:formatCode>
                  <c:ptCount val="6"/>
                  <c:pt idx="0">
                    <c:v>0.59499999999999997</c:v>
                  </c:pt>
                  <c:pt idx="1">
                    <c:v>0.51500000000000001</c:v>
                  </c:pt>
                  <c:pt idx="2">
                    <c:v>0.58799999999999997</c:v>
                  </c:pt>
                  <c:pt idx="3">
                    <c:v>0.45900000000000002</c:v>
                  </c:pt>
                  <c:pt idx="4">
                    <c:v>0.51500000000000001</c:v>
                  </c:pt>
                  <c:pt idx="5">
                    <c:v>0.55700000000000005</c:v>
                  </c:pt>
                </c:numCache>
              </c:numRef>
            </c:minus>
            <c:spPr>
              <a:noFill/>
              <a:ln w="15875" cap="flat" cmpd="sng" algn="ctr">
                <a:solidFill>
                  <a:schemeClr val="tx1"/>
                </a:solidFill>
                <a:round/>
              </a:ln>
              <a:effectLst/>
            </c:spPr>
          </c:errBars>
          <c:cat>
            <c:strRef>
              <c:f>Sheet1!$A$2:$A$7</c:f>
              <c:strCache>
                <c:ptCount val="6"/>
                <c:pt idx="0">
                  <c:v>C1</c:v>
                </c:pt>
                <c:pt idx="1">
                  <c:v>C2</c:v>
                </c:pt>
                <c:pt idx="2">
                  <c:v>C3</c:v>
                </c:pt>
                <c:pt idx="3">
                  <c:v>T1</c:v>
                </c:pt>
                <c:pt idx="4">
                  <c:v>T2</c:v>
                </c:pt>
                <c:pt idx="5">
                  <c:v>T3</c:v>
                </c:pt>
              </c:strCache>
            </c:strRef>
          </c:cat>
          <c:val>
            <c:numRef>
              <c:f>Sheet1!$B$2:$B$7</c:f>
              <c:numCache>
                <c:formatCode>General</c:formatCode>
                <c:ptCount val="6"/>
                <c:pt idx="0">
                  <c:v>30</c:v>
                </c:pt>
                <c:pt idx="1">
                  <c:v>36</c:v>
                </c:pt>
                <c:pt idx="2">
                  <c:v>34</c:v>
                </c:pt>
                <c:pt idx="3">
                  <c:v>53</c:v>
                </c:pt>
                <c:pt idx="4">
                  <c:v>55</c:v>
                </c:pt>
                <c:pt idx="5">
                  <c:v>49</c:v>
                </c:pt>
              </c:numCache>
            </c:numRef>
          </c:val>
          <c:extLst xmlns:c16r2="http://schemas.microsoft.com/office/drawing/2015/06/chart">
            <c:ext xmlns:c16="http://schemas.microsoft.com/office/drawing/2014/chart" uri="{C3380CC4-5D6E-409C-BE32-E72D297353CC}">
              <c16:uniqueId val="{00000000-4743-4B0A-80DC-8FF6A442FEB8}"/>
            </c:ext>
          </c:extLst>
        </c:ser>
        <c:gapWidth val="64"/>
        <c:overlap val="-10"/>
        <c:axId val="79082240"/>
        <c:axId val="79084160"/>
      </c:barChart>
      <c:catAx>
        <c:axId val="79082240"/>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Groups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9084160"/>
        <c:crosses val="autoZero"/>
        <c:auto val="1"/>
        <c:lblAlgn val="ctr"/>
        <c:lblOffset val="100"/>
      </c:catAx>
      <c:valAx>
        <c:axId val="7908416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 Mean</a:t>
                </a:r>
                <a:r>
                  <a:rPr lang="en-IN" baseline="0"/>
                  <a:t> Weight gain (g)</a:t>
                </a:r>
                <a:endParaRPr lang="en-IN"/>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9082240"/>
        <c:crosses val="autoZero"/>
        <c:crossBetween val="between"/>
        <c:majorUnit val="5"/>
        <c:minorUnit val="0.5"/>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864CC-A259-49F3-A475-DE10A247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Basansingh Diengdoh</dc:creator>
  <cp:lastModifiedBy>MICROSOFT</cp:lastModifiedBy>
  <cp:revision>2</cp:revision>
  <dcterms:created xsi:type="dcterms:W3CDTF">2025-05-29T10:17:00Z</dcterms:created>
  <dcterms:modified xsi:type="dcterms:W3CDTF">2025-05-29T10:17:00Z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6ae5594d-d2e0-41a1-b1f3-912aa0e55fd5</vt:lpwstr>
  </property>
</Properties>
</file>