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4740" w14:textId="77777777" w:rsidR="002E0FAD" w:rsidRPr="002E0FAD" w:rsidRDefault="002E0FAD" w:rsidP="002E0FAD">
      <w:pPr>
        <w:pStyle w:val="Author"/>
        <w:rPr>
          <w:rFonts w:ascii="Arial" w:hAnsi="Arial" w:cs="Arial"/>
          <w:bCs/>
          <w:i/>
          <w:iCs/>
          <w:kern w:val="28"/>
          <w:sz w:val="32"/>
          <w:szCs w:val="18"/>
          <w:u w:val="single"/>
        </w:rPr>
      </w:pPr>
      <w:r w:rsidRPr="002E0FAD">
        <w:rPr>
          <w:rFonts w:ascii="Arial" w:hAnsi="Arial" w:cs="Arial"/>
          <w:bCs/>
          <w:i/>
          <w:iCs/>
          <w:kern w:val="28"/>
          <w:sz w:val="32"/>
          <w:szCs w:val="18"/>
          <w:u w:val="single"/>
        </w:rPr>
        <w:t xml:space="preserve">Case report </w:t>
      </w:r>
    </w:p>
    <w:p w14:paraId="74583A80" w14:textId="77777777" w:rsidR="002E0FAD" w:rsidRDefault="002E0FAD" w:rsidP="00441B6F">
      <w:pPr>
        <w:pStyle w:val="Author"/>
        <w:spacing w:line="240" w:lineRule="auto"/>
        <w:rPr>
          <w:rFonts w:ascii="Arial" w:hAnsi="Arial" w:cs="Arial"/>
          <w:bCs/>
          <w:iCs/>
          <w:kern w:val="28"/>
          <w:sz w:val="36"/>
        </w:rPr>
      </w:pPr>
    </w:p>
    <w:p w14:paraId="3AA8A452" w14:textId="7B751589" w:rsidR="00A258C3" w:rsidRDefault="00382B86" w:rsidP="00441B6F">
      <w:pPr>
        <w:pStyle w:val="Author"/>
        <w:spacing w:line="240" w:lineRule="auto"/>
        <w:jc w:val="both"/>
        <w:rPr>
          <w:rFonts w:ascii="Arial" w:hAnsi="Arial" w:cs="Arial"/>
          <w:bCs/>
          <w:iCs/>
          <w:kern w:val="28"/>
          <w:sz w:val="36"/>
        </w:rPr>
      </w:pPr>
      <w:r w:rsidRPr="00382B86">
        <w:rPr>
          <w:rFonts w:ascii="Arial" w:hAnsi="Arial" w:cs="Arial"/>
          <w:bCs/>
          <w:iCs/>
          <w:kern w:val="28"/>
          <w:sz w:val="36"/>
          <w:highlight w:val="yellow"/>
        </w:rPr>
        <w:t>Modifications and Clinical Use of Sub-Tenon's Anesthesia in Canine Ophthalmic Surgery: A Case Report</w:t>
      </w:r>
    </w:p>
    <w:p w14:paraId="55C816EA" w14:textId="77777777" w:rsidR="00382B86" w:rsidRPr="00790ADA" w:rsidRDefault="00382B86" w:rsidP="00441B6F">
      <w:pPr>
        <w:pStyle w:val="Author"/>
        <w:spacing w:line="240" w:lineRule="auto"/>
        <w:jc w:val="both"/>
        <w:rPr>
          <w:rFonts w:ascii="Arial" w:hAnsi="Arial" w:cs="Arial"/>
          <w:sz w:val="36"/>
        </w:rPr>
      </w:pPr>
    </w:p>
    <w:p w14:paraId="7D0B3298" w14:textId="77777777" w:rsidR="00B01FCD" w:rsidRPr="00FB3A86" w:rsidRDefault="002417B8" w:rsidP="00441B6F">
      <w:pPr>
        <w:pStyle w:val="Copyright"/>
        <w:spacing w:after="0" w:line="240" w:lineRule="auto"/>
        <w:jc w:val="both"/>
        <w:rPr>
          <w:rFonts w:ascii="Arial" w:hAnsi="Arial" w:cs="Arial"/>
        </w:rPr>
        <w:sectPr w:rsidR="00B01FCD" w:rsidRPr="00FB3A86" w:rsidSect="00BF11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34554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EEB4E4" w14:textId="77777777" w:rsidTr="007016DF">
        <w:tc>
          <w:tcPr>
            <w:tcW w:w="8424" w:type="dxa"/>
            <w:shd w:val="clear" w:color="auto" w:fill="F2F2F2"/>
          </w:tcPr>
          <w:p w14:paraId="0D11CCD3" w14:textId="77777777" w:rsidR="00A03B96" w:rsidRDefault="00A03B96" w:rsidP="00441B6F">
            <w:pPr>
              <w:pStyle w:val="Body"/>
              <w:spacing w:after="0"/>
              <w:rPr>
                <w:rFonts w:ascii="Arial" w:eastAsia="Calibri" w:hAnsi="Arial" w:cs="Arial"/>
                <w:szCs w:val="22"/>
              </w:rPr>
            </w:pPr>
            <w:bookmarkStart w:id="0" w:name="_Hlk198071815"/>
          </w:p>
          <w:p w14:paraId="2AA485E0" w14:textId="38B85C85" w:rsidR="00E3114E" w:rsidRPr="006279AA" w:rsidRDefault="00E3114E" w:rsidP="00441B6F">
            <w:pPr>
              <w:pStyle w:val="Body"/>
              <w:spacing w:after="0"/>
              <w:rPr>
                <w:rFonts w:ascii="Arial" w:eastAsia="Calibri" w:hAnsi="Arial" w:cs="Arial"/>
                <w:b/>
                <w:bCs/>
                <w:szCs w:val="22"/>
              </w:rPr>
            </w:pPr>
            <w:r w:rsidRPr="006279AA">
              <w:rPr>
                <w:rFonts w:ascii="Arial" w:eastAsia="Calibri" w:hAnsi="Arial" w:cs="Arial"/>
                <w:b/>
                <w:bCs/>
                <w:szCs w:val="22"/>
              </w:rPr>
              <w:t>ABSTRACT:</w:t>
            </w:r>
          </w:p>
          <w:p w14:paraId="04B0AB22" w14:textId="77777777" w:rsidR="00E3114E" w:rsidRDefault="00E3114E" w:rsidP="00441B6F">
            <w:pPr>
              <w:pStyle w:val="Body"/>
              <w:spacing w:after="0"/>
              <w:rPr>
                <w:rFonts w:ascii="Arial" w:eastAsia="Calibri" w:hAnsi="Arial" w:cs="Arial"/>
                <w:b/>
                <w:szCs w:val="22"/>
              </w:rPr>
            </w:pPr>
          </w:p>
          <w:p w14:paraId="57145431" w14:textId="655E1D82" w:rsidR="00505F06" w:rsidRPr="00BA1B01" w:rsidRDefault="00450B8E" w:rsidP="007016DF">
            <w:pPr>
              <w:pStyle w:val="Body"/>
              <w:spacing w:after="0"/>
              <w:rPr>
                <w:rFonts w:ascii="Arial" w:eastAsia="Calibri" w:hAnsi="Arial" w:cs="Arial"/>
                <w:szCs w:val="22"/>
              </w:rPr>
            </w:pPr>
            <w:r w:rsidRPr="00450B8E">
              <w:rPr>
                <w:rFonts w:ascii="Arial" w:eastAsia="Calibri" w:hAnsi="Arial" w:cs="Arial"/>
                <w:bCs/>
                <w:szCs w:val="22"/>
              </w:rPr>
              <w:t xml:space="preserve">This case report details the successful application of a specifically adapted sub-Tenon's block (STB) technique in a four-year-old male Shih Tzu undergoing dermoid cyst excision with concurrent left eye discomfort. While sub-Tenon's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is a well-established and advantageous regional </w:t>
            </w:r>
            <w:proofErr w:type="spellStart"/>
            <w:r w:rsidRPr="00450B8E">
              <w:rPr>
                <w:rFonts w:ascii="Arial" w:eastAsia="Calibri" w:hAnsi="Arial" w:cs="Arial"/>
                <w:bCs/>
                <w:szCs w:val="22"/>
              </w:rPr>
              <w:t>anaesthetic</w:t>
            </w:r>
            <w:proofErr w:type="spellEnd"/>
            <w:r w:rsidRPr="00450B8E">
              <w:rPr>
                <w:rFonts w:ascii="Arial" w:eastAsia="Calibri" w:hAnsi="Arial" w:cs="Arial"/>
                <w:bCs/>
                <w:szCs w:val="22"/>
              </w:rPr>
              <w:t xml:space="preserve"> technique in human ophthalmology, known for its efficacy in providing both anesthesia and analgesia while minimizing potential complications, its clinical application in veterinary medicine, particularly in dogs, remains relatively unexplored, with limited published data available. In this instance, the STB, in conjunction with systemic analgesics, effectively managed post-operative pain and provided adequate intraoperative akinesia, thereby negating the need for systemic neuromuscular blockade. This outcome is significant, as systemic neuromuscular blockade often necessitates mechanical ventilation and intensive monitoring, potentially increasing the complexity and risks associated with the procedure. The successful application of STB in this case underscores its potential as a valuable alternative for regional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in canine ophthalmic procedures. This approach mirrors the reduced complication rates, such as globe perforation and retrobulbar hemorrhage, and the efficacy observed in human patients, suggesting a potential for improved safety and outcomes in veterinary patients as well. This preliminary report advocates for further investigation into the broader applicability and safety profile of sub-Tenon's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in veterinary ophthalmology. Future studies should aim to evaluate the technique across a larger sample size, encompassing various canine breeds and different types of ophthalmic surgeries, to establish standardized protocols and optimal drug dosages.</w:t>
            </w:r>
          </w:p>
        </w:tc>
      </w:tr>
    </w:tbl>
    <w:p w14:paraId="7D9E678A" w14:textId="77777777" w:rsidR="00636EB2" w:rsidRDefault="00636EB2" w:rsidP="00441B6F">
      <w:pPr>
        <w:pStyle w:val="Body"/>
        <w:spacing w:after="0"/>
        <w:rPr>
          <w:rFonts w:ascii="Arial" w:hAnsi="Arial" w:cs="Arial"/>
          <w:i/>
        </w:rPr>
      </w:pPr>
    </w:p>
    <w:p w14:paraId="62EFC5D9" w14:textId="0A06A4E8" w:rsidR="00790ADA" w:rsidRDefault="00A24E7E" w:rsidP="00441B6F">
      <w:pPr>
        <w:pStyle w:val="Body"/>
        <w:spacing w:after="0"/>
        <w:rPr>
          <w:rFonts w:ascii="Arial" w:hAnsi="Arial" w:cs="Arial"/>
          <w:i/>
        </w:rPr>
      </w:pPr>
      <w:r>
        <w:rPr>
          <w:rFonts w:ascii="Arial" w:hAnsi="Arial" w:cs="Arial"/>
          <w:i/>
        </w:rPr>
        <w:t xml:space="preserve">Keywords: </w:t>
      </w:r>
      <w:r w:rsidR="007016DF" w:rsidRPr="006279AA">
        <w:rPr>
          <w:rFonts w:ascii="Arial" w:eastAsia="Calibri" w:hAnsi="Arial" w:cs="Arial"/>
          <w:bCs/>
          <w:szCs w:val="22"/>
        </w:rPr>
        <w:t>Sub-Tenon's</w:t>
      </w:r>
      <w:r w:rsidR="007016DF">
        <w:rPr>
          <w:rFonts w:ascii="Arial" w:eastAsia="Calibri" w:hAnsi="Arial" w:cs="Arial"/>
          <w:bCs/>
          <w:szCs w:val="22"/>
        </w:rPr>
        <w:t xml:space="preserve">, </w:t>
      </w:r>
      <w:r w:rsidR="00382B86" w:rsidRPr="00382B86">
        <w:rPr>
          <w:rFonts w:ascii="Arial" w:eastAsia="Calibri" w:hAnsi="Arial" w:cs="Arial"/>
          <w:bCs/>
          <w:szCs w:val="22"/>
        </w:rPr>
        <w:t>ophthalmic surgeries</w:t>
      </w:r>
      <w:r w:rsidR="00382B86">
        <w:rPr>
          <w:rFonts w:ascii="Arial" w:eastAsia="Calibri" w:hAnsi="Arial" w:cs="Arial"/>
          <w:bCs/>
          <w:szCs w:val="22"/>
        </w:rPr>
        <w:t xml:space="preserve">, </w:t>
      </w:r>
      <w:proofErr w:type="spellStart"/>
      <w:r w:rsidR="00382B86" w:rsidRPr="00382B86">
        <w:rPr>
          <w:rFonts w:ascii="Arial" w:eastAsia="Calibri" w:hAnsi="Arial" w:cs="Arial"/>
          <w:bCs/>
          <w:szCs w:val="22"/>
        </w:rPr>
        <w:t>anaesthesia</w:t>
      </w:r>
      <w:proofErr w:type="spellEnd"/>
      <w:r w:rsidR="00382B86">
        <w:rPr>
          <w:rFonts w:ascii="Arial" w:eastAsia="Calibri" w:hAnsi="Arial" w:cs="Arial"/>
          <w:bCs/>
          <w:szCs w:val="22"/>
        </w:rPr>
        <w:t xml:space="preserve">, </w:t>
      </w:r>
      <w:r w:rsidR="00382B86" w:rsidRPr="00382B86">
        <w:rPr>
          <w:rFonts w:ascii="Arial" w:eastAsia="Calibri" w:hAnsi="Arial" w:cs="Arial"/>
          <w:bCs/>
          <w:szCs w:val="22"/>
        </w:rPr>
        <w:t>veterinary ophthalmology</w:t>
      </w:r>
    </w:p>
    <w:p w14:paraId="1A96C600" w14:textId="77777777" w:rsidR="0024282C" w:rsidRDefault="0024282C" w:rsidP="00441B6F">
      <w:pPr>
        <w:pStyle w:val="Body"/>
        <w:spacing w:after="0"/>
        <w:rPr>
          <w:rFonts w:ascii="Arial" w:hAnsi="Arial" w:cs="Arial"/>
          <w:i/>
          <w:sz w:val="18"/>
        </w:rPr>
      </w:pPr>
    </w:p>
    <w:p w14:paraId="2536A97F" w14:textId="77777777" w:rsidR="00505F06" w:rsidRPr="00A24E7E" w:rsidRDefault="00505F06" w:rsidP="00441B6F">
      <w:pPr>
        <w:pStyle w:val="Body"/>
        <w:spacing w:after="0"/>
        <w:rPr>
          <w:rFonts w:ascii="Arial" w:hAnsi="Arial" w:cs="Arial"/>
          <w:i/>
        </w:rPr>
      </w:pPr>
    </w:p>
    <w:p w14:paraId="3D112928" w14:textId="0D8D6F06" w:rsidR="007F7B32" w:rsidRDefault="00902823" w:rsidP="00441B6F">
      <w:pPr>
        <w:pStyle w:val="AbstHead"/>
        <w:spacing w:after="0"/>
        <w:jc w:val="both"/>
        <w:rPr>
          <w:rFonts w:ascii="Arial" w:hAnsi="Arial" w:cs="Arial"/>
        </w:rPr>
      </w:pPr>
      <w:bookmarkStart w:id="1" w:name="_Hlk198071412"/>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64A9F6" w14:textId="77777777" w:rsidR="00790ADA" w:rsidRPr="00FB3A86" w:rsidRDefault="00790ADA" w:rsidP="00441B6F">
      <w:pPr>
        <w:pStyle w:val="AbstHead"/>
        <w:spacing w:after="0"/>
        <w:jc w:val="both"/>
        <w:rPr>
          <w:rFonts w:ascii="Arial" w:hAnsi="Arial" w:cs="Arial"/>
        </w:rPr>
      </w:pPr>
    </w:p>
    <w:p w14:paraId="0EE4F4E1" w14:textId="76751202" w:rsidR="007050C6" w:rsidRPr="007050C6" w:rsidRDefault="007050C6" w:rsidP="00246096">
      <w:pPr>
        <w:pStyle w:val="Body"/>
        <w:ind w:firstLine="720"/>
        <w:rPr>
          <w:rFonts w:ascii="Arial" w:hAnsi="Arial" w:cs="Arial"/>
          <w:lang w:val="en-IN"/>
        </w:rPr>
      </w:pPr>
      <w:r w:rsidRPr="007050C6">
        <w:rPr>
          <w:rFonts w:ascii="Arial" w:hAnsi="Arial" w:cs="Arial"/>
          <w:lang w:val="en-IN"/>
        </w:rPr>
        <w:t xml:space="preserve">Regional anaesthesia plays a crucial role in ophthalmic surgery, aiming to provide adequate analgesia and akinesia, thereby facilitating surgical manipulation and improving patient comfort both intra- and post-operatively. In human ophthalmology, sub-Tenon's anaesthesia has emerged as a preferred technique over peribulbar and retrobulbar injections due to its comparable efficacy and significantly lower risk of sight-threatening complications such as globe perforation, retrobulbar haemorrhage, and optic nerve </w:t>
      </w:r>
      <w:proofErr w:type="gramStart"/>
      <w:r w:rsidRPr="007050C6">
        <w:rPr>
          <w:rFonts w:ascii="Arial" w:hAnsi="Arial" w:cs="Arial"/>
          <w:lang w:val="en-IN"/>
        </w:rPr>
        <w:t>damage</w:t>
      </w:r>
      <w:r w:rsidR="00B93CFB">
        <w:rPr>
          <w:rFonts w:ascii="Arial" w:hAnsi="Arial" w:cs="Arial"/>
          <w:vertAlign w:val="superscript"/>
          <w:lang w:val="en-IN"/>
        </w:rPr>
        <w:t>(</w:t>
      </w:r>
      <w:proofErr w:type="gramEnd"/>
      <w:r w:rsidR="008F2C0C">
        <w:rPr>
          <w:rFonts w:ascii="Arial" w:hAnsi="Arial" w:cs="Arial"/>
          <w:vertAlign w:val="superscript"/>
          <w:lang w:val="en-IN"/>
        </w:rPr>
        <w:t>4</w:t>
      </w:r>
      <w:r w:rsidR="00E17C21" w:rsidRPr="001F0D93">
        <w:rPr>
          <w:rFonts w:ascii="Arial" w:hAnsi="Arial" w:cs="Arial"/>
          <w:vertAlign w:val="superscript"/>
          <w:lang w:val="en-IN"/>
        </w:rPr>
        <w:t xml:space="preserve">, </w:t>
      </w:r>
      <w:r w:rsidR="008F2C0C">
        <w:rPr>
          <w:rFonts w:ascii="Arial" w:hAnsi="Arial" w:cs="Arial"/>
          <w:vertAlign w:val="superscript"/>
          <w:lang w:val="en-IN"/>
        </w:rPr>
        <w:t>8</w:t>
      </w:r>
      <w:r w:rsidR="00B93CFB">
        <w:rPr>
          <w:rFonts w:ascii="Arial" w:hAnsi="Arial" w:cs="Arial"/>
          <w:vertAlign w:val="superscript"/>
          <w:lang w:val="en-IN"/>
        </w:rPr>
        <w:t>)</w:t>
      </w:r>
      <w:r w:rsidRPr="007050C6">
        <w:rPr>
          <w:rFonts w:ascii="Arial" w:hAnsi="Arial" w:cs="Arial"/>
          <w:vertAlign w:val="superscript"/>
          <w:lang w:val="en-IN"/>
        </w:rPr>
        <w:t>.</w:t>
      </w:r>
      <w:r w:rsidRPr="007050C6">
        <w:rPr>
          <w:rFonts w:ascii="Arial" w:hAnsi="Arial" w:cs="Arial"/>
          <w:lang w:val="en-IN"/>
        </w:rPr>
        <w:t xml:space="preserve"> The sub-Tenon's space, located between the sclera and Tenon's capsule, allows for the relatively atraumatic delivery of local anaesthetic agents, bathing the extraocular muscles and sensory nerves supplying the globe and adnexa </w:t>
      </w:r>
      <w:r w:rsidR="00B93CFB">
        <w:rPr>
          <w:rFonts w:ascii="Arial" w:hAnsi="Arial" w:cs="Arial"/>
          <w:vertAlign w:val="superscript"/>
          <w:lang w:val="en-IN"/>
        </w:rPr>
        <w:t>(</w:t>
      </w:r>
      <w:r w:rsidR="00E17C21" w:rsidRPr="00E17C21">
        <w:rPr>
          <w:rFonts w:ascii="Arial" w:hAnsi="Arial" w:cs="Arial"/>
          <w:vertAlign w:val="superscript"/>
          <w:lang w:val="en-IN"/>
        </w:rPr>
        <w:t>1</w:t>
      </w:r>
      <w:r w:rsidR="008F2C0C">
        <w:rPr>
          <w:rFonts w:ascii="Arial" w:hAnsi="Arial" w:cs="Arial"/>
          <w:vertAlign w:val="superscript"/>
          <w:lang w:val="en-IN"/>
        </w:rPr>
        <w:t>1</w:t>
      </w:r>
      <w:r w:rsidR="00B93CFB">
        <w:rPr>
          <w:rFonts w:ascii="Arial" w:hAnsi="Arial" w:cs="Arial"/>
          <w:vertAlign w:val="superscript"/>
          <w:lang w:val="en-IN"/>
        </w:rPr>
        <w:t>)</w:t>
      </w:r>
      <w:r w:rsidRPr="007050C6">
        <w:rPr>
          <w:rFonts w:ascii="Arial" w:hAnsi="Arial" w:cs="Arial"/>
          <w:vertAlign w:val="superscript"/>
          <w:lang w:val="en-IN"/>
        </w:rPr>
        <w:t>.</w:t>
      </w:r>
    </w:p>
    <w:p w14:paraId="00931836" w14:textId="4F49AE53" w:rsidR="007050C6" w:rsidRPr="007050C6" w:rsidRDefault="007050C6" w:rsidP="00450B8E">
      <w:pPr>
        <w:pStyle w:val="Body"/>
        <w:ind w:firstLine="720"/>
        <w:rPr>
          <w:rFonts w:ascii="Arial" w:hAnsi="Arial" w:cs="Arial"/>
          <w:lang w:val="en-IN"/>
        </w:rPr>
      </w:pPr>
      <w:r w:rsidRPr="007050C6">
        <w:rPr>
          <w:rFonts w:ascii="Arial" w:hAnsi="Arial" w:cs="Arial"/>
          <w:lang w:val="en-IN"/>
        </w:rPr>
        <w:t xml:space="preserve">Despite the established benefits in human medicine, the application of sub-Tenon's anaesthesia in veterinary ophthalmology remains largely unexplored. While systemic </w:t>
      </w:r>
      <w:r w:rsidRPr="007050C6">
        <w:rPr>
          <w:rFonts w:ascii="Arial" w:hAnsi="Arial" w:cs="Arial"/>
          <w:lang w:val="en-IN"/>
        </w:rPr>
        <w:lastRenderedPageBreak/>
        <w:t>anaesthesia with or without neuromuscular blockade is commonly employed for canine ophthalmic procedures, it carries inherent risks and may not be ideal for all patients or surgical scenarios. This case report presents the successful application of a specifically developed sub-Tenon's block</w:t>
      </w:r>
      <w:r w:rsidR="00246096">
        <w:rPr>
          <w:rFonts w:ascii="Arial" w:hAnsi="Arial" w:cs="Arial"/>
          <w:lang w:val="en-IN"/>
        </w:rPr>
        <w:t xml:space="preserve"> (STB)</w:t>
      </w:r>
      <w:r w:rsidRPr="007050C6">
        <w:rPr>
          <w:rFonts w:ascii="Arial" w:hAnsi="Arial" w:cs="Arial"/>
          <w:lang w:val="en-IN"/>
        </w:rPr>
        <w:t xml:space="preserve"> technique in a canine patient undergoing ophthalmic surgery, highlighting its potential as a safe and effective regional anaesthetic modality in this species.</w:t>
      </w:r>
    </w:p>
    <w:p w14:paraId="2EA3BBC2" w14:textId="0F77ADAC" w:rsidR="00B93CFB" w:rsidRPr="00246096" w:rsidRDefault="006279AA" w:rsidP="00246096">
      <w:pPr>
        <w:pStyle w:val="Body"/>
        <w:spacing w:before="240" w:after="0"/>
        <w:ind w:firstLine="720"/>
        <w:rPr>
          <w:rFonts w:ascii="Arial" w:hAnsi="Arial" w:cs="Arial"/>
        </w:rPr>
      </w:pPr>
      <w:r w:rsidRPr="006279AA">
        <w:rPr>
          <w:rFonts w:ascii="Arial" w:hAnsi="Arial" w:cs="Arial"/>
        </w:rPr>
        <w:t>The successful application of sub-Tenon's anesthesia</w:t>
      </w:r>
      <w:r w:rsidR="009C0C84">
        <w:rPr>
          <w:rFonts w:ascii="Arial" w:hAnsi="Arial" w:cs="Arial"/>
        </w:rPr>
        <w:t xml:space="preserve"> </w:t>
      </w:r>
      <w:r w:rsidR="009C0C84" w:rsidRPr="009C0C84">
        <w:rPr>
          <w:rFonts w:ascii="Arial" w:hAnsi="Arial" w:cs="Arial"/>
          <w:vertAlign w:val="superscript"/>
        </w:rPr>
        <w:t>(1)</w:t>
      </w:r>
      <w:r w:rsidRPr="006279AA">
        <w:rPr>
          <w:rFonts w:ascii="Arial" w:hAnsi="Arial" w:cs="Arial"/>
        </w:rPr>
        <w:t xml:space="preserve"> in the presented canine case underscores its potential as a valuable tool, mirroring the effective and lower-risk regional anesthesia observed in human </w:t>
      </w:r>
      <w:r w:rsidR="007477C4" w:rsidRPr="006279AA">
        <w:rPr>
          <w:rFonts w:ascii="Arial" w:hAnsi="Arial" w:cs="Arial"/>
        </w:rPr>
        <w:t>medicine</w:t>
      </w:r>
      <w:r w:rsidR="007477C4" w:rsidRPr="007477C4">
        <w:rPr>
          <w:rFonts w:ascii="Arial" w:hAnsi="Arial" w:cs="Arial"/>
        </w:rPr>
        <w:t xml:space="preserve"> </w:t>
      </w:r>
      <w:r w:rsidR="00B93CFB">
        <w:rPr>
          <w:rFonts w:ascii="Arial" w:hAnsi="Arial" w:cs="Arial"/>
          <w:vertAlign w:val="superscript"/>
        </w:rPr>
        <w:t>(</w:t>
      </w:r>
      <w:r w:rsidR="008F2C0C">
        <w:rPr>
          <w:rFonts w:ascii="Arial" w:hAnsi="Arial" w:cs="Arial"/>
          <w:vertAlign w:val="superscript"/>
        </w:rPr>
        <w:t>3,5</w:t>
      </w:r>
      <w:r w:rsidR="001F0D93">
        <w:rPr>
          <w:rFonts w:ascii="Arial" w:hAnsi="Arial" w:cs="Arial"/>
          <w:vertAlign w:val="superscript"/>
        </w:rPr>
        <w:t xml:space="preserve">, </w:t>
      </w:r>
      <w:r w:rsidR="008F2C0C">
        <w:rPr>
          <w:rFonts w:ascii="Arial" w:hAnsi="Arial" w:cs="Arial"/>
          <w:vertAlign w:val="superscript"/>
        </w:rPr>
        <w:t>6</w:t>
      </w:r>
      <w:r w:rsidR="001F0D93">
        <w:rPr>
          <w:rFonts w:ascii="Arial" w:hAnsi="Arial" w:cs="Arial"/>
          <w:vertAlign w:val="superscript"/>
        </w:rPr>
        <w:t xml:space="preserve">, </w:t>
      </w:r>
      <w:r w:rsidR="008F2C0C">
        <w:rPr>
          <w:rFonts w:ascii="Arial" w:hAnsi="Arial" w:cs="Arial"/>
          <w:vertAlign w:val="superscript"/>
        </w:rPr>
        <w:t>7</w:t>
      </w:r>
      <w:r w:rsidR="001F0D93">
        <w:rPr>
          <w:rFonts w:ascii="Arial" w:hAnsi="Arial" w:cs="Arial"/>
          <w:vertAlign w:val="superscript"/>
        </w:rPr>
        <w:t xml:space="preserve">, </w:t>
      </w:r>
      <w:r w:rsidR="008F2C0C">
        <w:rPr>
          <w:rFonts w:ascii="Arial" w:hAnsi="Arial" w:cs="Arial"/>
          <w:vertAlign w:val="superscript"/>
        </w:rPr>
        <w:t>10</w:t>
      </w:r>
      <w:r w:rsidR="007477C4" w:rsidRPr="009C0C84">
        <w:rPr>
          <w:rFonts w:ascii="Arial" w:hAnsi="Arial" w:cs="Arial"/>
          <w:vertAlign w:val="superscript"/>
        </w:rPr>
        <w:t>)</w:t>
      </w:r>
      <w:r w:rsidRPr="007F7931">
        <w:rPr>
          <w:rFonts w:ascii="Arial" w:hAnsi="Arial" w:cs="Arial"/>
        </w:rPr>
        <w:t>.</w:t>
      </w:r>
    </w:p>
    <w:p w14:paraId="17FFB457" w14:textId="40A00BBC" w:rsidR="00B93CFB" w:rsidRPr="00B93CFB" w:rsidRDefault="00902823" w:rsidP="007E6306">
      <w:pPr>
        <w:pStyle w:val="Body"/>
        <w:spacing w:before="240" w:after="0"/>
        <w:rPr>
          <w:rFonts w:ascii="Arial" w:hAnsi="Arial" w:cs="Arial"/>
          <w:b/>
          <w:bCs/>
        </w:rPr>
      </w:pPr>
      <w:r w:rsidRPr="00B93CFB">
        <w:rPr>
          <w:rFonts w:ascii="Arial" w:hAnsi="Arial" w:cs="Arial"/>
          <w:b/>
          <w:bCs/>
          <w:sz w:val="22"/>
          <w:szCs w:val="22"/>
        </w:rPr>
        <w:t xml:space="preserve">2. </w:t>
      </w:r>
      <w:r w:rsidR="00B93CFB" w:rsidRPr="00B93CFB">
        <w:rPr>
          <w:rFonts w:ascii="Arial" w:hAnsi="Arial" w:cs="Arial"/>
          <w:b/>
          <w:bCs/>
        </w:rPr>
        <w:t xml:space="preserve">PRESENTATION OF CASE </w:t>
      </w:r>
    </w:p>
    <w:p w14:paraId="32124BFE" w14:textId="148605B5" w:rsidR="007E6306" w:rsidRPr="007E6306" w:rsidRDefault="007E6306" w:rsidP="00B93CFB">
      <w:pPr>
        <w:pStyle w:val="Head1"/>
        <w:ind w:firstLine="720"/>
        <w:jc w:val="both"/>
        <w:rPr>
          <w:rFonts w:ascii="Arial" w:hAnsi="Arial" w:cs="Arial"/>
          <w:b w:val="0"/>
          <w:bCs/>
          <w:sz w:val="20"/>
          <w:lang w:val="en-IN"/>
        </w:rPr>
      </w:pPr>
      <w:r w:rsidRPr="007E6306">
        <w:rPr>
          <w:rFonts w:ascii="Arial" w:hAnsi="Arial" w:cs="Arial"/>
          <w:b w:val="0"/>
          <w:bCs/>
          <w:caps w:val="0"/>
          <w:sz w:val="20"/>
          <w:lang w:val="en-IN"/>
        </w:rPr>
        <w:lastRenderedPageBreak/>
        <w:t xml:space="preserve">The preparation for the four-year-old shih tzu's corneal dermoid cyst surgery involved several key steps to ensure patient safety and optimal surgical conditions. Initially, the patient received premedication with atropine </w:t>
      </w:r>
      <w:proofErr w:type="spellStart"/>
      <w:r w:rsidRPr="007E6306">
        <w:rPr>
          <w:rFonts w:ascii="Arial" w:hAnsi="Arial" w:cs="Arial"/>
          <w:b w:val="0"/>
          <w:bCs/>
          <w:caps w:val="0"/>
          <w:sz w:val="20"/>
          <w:lang w:val="en-IN"/>
        </w:rPr>
        <w:t>sulfate</w:t>
      </w:r>
      <w:proofErr w:type="spellEnd"/>
      <w:r w:rsidRPr="007E6306">
        <w:rPr>
          <w:rFonts w:ascii="Arial" w:hAnsi="Arial" w:cs="Arial"/>
          <w:b w:val="0"/>
          <w:bCs/>
          <w:caps w:val="0"/>
          <w:sz w:val="20"/>
          <w:lang w:val="en-IN"/>
        </w:rPr>
        <w:t xml:space="preserve"> to manage potential bradycardia and reduce salivary secretions. Anaesthesia was induced using midazolam and ketamine, providing sedation and analgesia, and was maintained with propofol, allowing for controlled depth of anaesthesia throughout the procedure. To maintain hydration and facilitate intravenous drug administration, intravenous fluids were administered. Prophylactic antibiotics, specifically amoxicillin-clavulanate, were given to minimize the risk of post-operative infection, considering the surgical manipulation involved. Corneal </w:t>
      </w:r>
      <w:proofErr w:type="spellStart"/>
      <w:r w:rsidRPr="007E6306">
        <w:rPr>
          <w:rFonts w:ascii="Arial" w:hAnsi="Arial" w:cs="Arial"/>
          <w:b w:val="0"/>
          <w:bCs/>
          <w:caps w:val="0"/>
          <w:sz w:val="20"/>
          <w:lang w:val="en-IN"/>
        </w:rPr>
        <w:t>dermoids</w:t>
      </w:r>
      <w:proofErr w:type="spellEnd"/>
      <w:r w:rsidRPr="007E6306">
        <w:rPr>
          <w:rFonts w:ascii="Arial" w:hAnsi="Arial" w:cs="Arial"/>
          <w:b w:val="0"/>
          <w:bCs/>
          <w:caps w:val="0"/>
          <w:sz w:val="20"/>
          <w:lang w:val="en-IN"/>
        </w:rPr>
        <w:t xml:space="preserve"> are congenital growths consisting of skin-like tissue on the cornea, citing references </w:t>
      </w:r>
      <w:r w:rsidRPr="007E6306">
        <w:rPr>
          <w:rFonts w:ascii="Arial" w:hAnsi="Arial" w:cs="Arial"/>
          <w:b w:val="0"/>
          <w:bCs/>
          <w:caps w:val="0"/>
          <w:sz w:val="20"/>
          <w:vertAlign w:val="superscript"/>
          <w:lang w:val="en-IN"/>
        </w:rPr>
        <w:t xml:space="preserve">(2, </w:t>
      </w:r>
      <w:r w:rsidR="008F2C0C">
        <w:rPr>
          <w:rFonts w:ascii="Arial" w:hAnsi="Arial" w:cs="Arial"/>
          <w:b w:val="0"/>
          <w:bCs/>
          <w:caps w:val="0"/>
          <w:sz w:val="20"/>
          <w:vertAlign w:val="superscript"/>
          <w:lang w:val="en-IN"/>
        </w:rPr>
        <w:t>9</w:t>
      </w:r>
      <w:r w:rsidRPr="007E6306">
        <w:rPr>
          <w:rFonts w:ascii="Arial" w:hAnsi="Arial" w:cs="Arial"/>
          <w:b w:val="0"/>
          <w:bCs/>
          <w:caps w:val="0"/>
          <w:sz w:val="20"/>
          <w:vertAlign w:val="superscript"/>
          <w:lang w:val="en-IN"/>
        </w:rPr>
        <w:t>)</w:t>
      </w:r>
      <w:r w:rsidRPr="007E6306">
        <w:rPr>
          <w:rFonts w:ascii="Arial" w:hAnsi="Arial" w:cs="Arial"/>
          <w:b w:val="0"/>
          <w:bCs/>
          <w:caps w:val="0"/>
          <w:sz w:val="20"/>
          <w:lang w:val="en-IN"/>
        </w:rPr>
        <w:t xml:space="preserve"> likely present in the original source.</w:t>
      </w:r>
    </w:p>
    <w:p w14:paraId="02FA1004" w14:textId="2559A6B2" w:rsidR="007E6306" w:rsidRPr="007E6306" w:rsidRDefault="007E6306" w:rsidP="007E6306">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To achieve adequate immobilization of the eye, a STB using 2% lignocaine was performed. The procedure commenced with the preparation of standard ophthalmic surgical instruments, as depicted in figure 1. This basic set included curved mosquito </w:t>
      </w:r>
      <w:proofErr w:type="spellStart"/>
      <w:r w:rsidRPr="007E6306">
        <w:rPr>
          <w:rFonts w:ascii="Arial" w:hAnsi="Arial" w:cs="Arial"/>
          <w:b w:val="0"/>
          <w:bCs/>
          <w:caps w:val="0"/>
          <w:sz w:val="20"/>
          <w:lang w:val="en-IN"/>
        </w:rPr>
        <w:t>hemostats</w:t>
      </w:r>
      <w:proofErr w:type="spellEnd"/>
      <w:r w:rsidRPr="007E6306">
        <w:rPr>
          <w:rFonts w:ascii="Arial" w:hAnsi="Arial" w:cs="Arial"/>
          <w:b w:val="0"/>
          <w:bCs/>
          <w:caps w:val="0"/>
          <w:sz w:val="20"/>
          <w:lang w:val="en-IN"/>
        </w:rPr>
        <w:t>, 0.5mm rat-toothed thumb forceps, curved conjunctival scissors, an eyelid speculum, and a 20g curved sub-tenon's cannula</w:t>
      </w:r>
      <w:r w:rsidR="00246096">
        <w:rPr>
          <w:rFonts w:ascii="Arial" w:hAnsi="Arial" w:cs="Arial"/>
          <w:b w:val="0"/>
          <w:bCs/>
          <w:caps w:val="0"/>
          <w:sz w:val="20"/>
          <w:lang w:val="en-IN"/>
        </w:rPr>
        <w:t xml:space="preserve"> respectively shown in figure 1</w:t>
      </w:r>
      <w:r w:rsidRPr="007E6306">
        <w:rPr>
          <w:rFonts w:ascii="Arial" w:hAnsi="Arial" w:cs="Arial"/>
          <w:b w:val="0"/>
          <w:bCs/>
          <w:caps w:val="0"/>
          <w:sz w:val="20"/>
          <w:lang w:val="en-IN"/>
        </w:rPr>
        <w:t xml:space="preserve">. Lignocaine 2% was the chosen local anaesthetic agent for the </w:t>
      </w:r>
      <w:r>
        <w:rPr>
          <w:rFonts w:ascii="Arial" w:hAnsi="Arial" w:cs="Arial"/>
          <w:b w:val="0"/>
          <w:bCs/>
          <w:caps w:val="0"/>
          <w:sz w:val="20"/>
          <w:lang w:val="en-IN"/>
        </w:rPr>
        <w:t>STB</w:t>
      </w:r>
      <w:r w:rsidRPr="007E6306">
        <w:rPr>
          <w:rFonts w:ascii="Arial" w:hAnsi="Arial" w:cs="Arial"/>
          <w:b w:val="0"/>
          <w:bCs/>
          <w:caps w:val="0"/>
          <w:sz w:val="20"/>
          <w:lang w:val="en-IN"/>
        </w:rPr>
        <w:t xml:space="preserve"> technique.</w:t>
      </w:r>
    </w:p>
    <w:p w14:paraId="4C17AC46" w14:textId="71F8E254" w:rsidR="007E6306" w:rsidRPr="007E6306" w:rsidRDefault="007E6306" w:rsidP="00B93CFB">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The initial step in the </w:t>
      </w:r>
      <w:r>
        <w:rPr>
          <w:rFonts w:ascii="Arial" w:hAnsi="Arial" w:cs="Arial"/>
          <w:b w:val="0"/>
          <w:bCs/>
          <w:caps w:val="0"/>
          <w:sz w:val="20"/>
          <w:lang w:val="en-IN"/>
        </w:rPr>
        <w:t>STB</w:t>
      </w:r>
      <w:r w:rsidRPr="007E6306">
        <w:rPr>
          <w:rFonts w:ascii="Arial" w:hAnsi="Arial" w:cs="Arial"/>
          <w:b w:val="0"/>
          <w:bCs/>
          <w:caps w:val="0"/>
          <w:sz w:val="20"/>
          <w:lang w:val="en-IN"/>
        </w:rPr>
        <w:t xml:space="preserve"> procedure involved the insertion of an eyelid speculum to retract the eyelids and provide a clear surgical field. Subsequently, as illustrated in figure 2, curved mosquito </w:t>
      </w:r>
      <w:proofErr w:type="spellStart"/>
      <w:r w:rsidRPr="007E6306">
        <w:rPr>
          <w:rFonts w:ascii="Arial" w:hAnsi="Arial" w:cs="Arial"/>
          <w:b w:val="0"/>
          <w:bCs/>
          <w:caps w:val="0"/>
          <w:sz w:val="20"/>
          <w:lang w:val="en-IN"/>
        </w:rPr>
        <w:t>hemostats</w:t>
      </w:r>
      <w:proofErr w:type="spellEnd"/>
      <w:r w:rsidRPr="007E6306">
        <w:rPr>
          <w:rFonts w:ascii="Arial" w:hAnsi="Arial" w:cs="Arial"/>
          <w:b w:val="0"/>
          <w:bCs/>
          <w:caps w:val="0"/>
          <w:sz w:val="20"/>
          <w:lang w:val="en-IN"/>
        </w:rPr>
        <w:t xml:space="preserve"> were secured to the perilimbal dorsolateral bulbar conjunctiva. This </w:t>
      </w:r>
      <w:proofErr w:type="spellStart"/>
      <w:r w:rsidRPr="007E6306">
        <w:rPr>
          <w:rFonts w:ascii="Arial" w:hAnsi="Arial" w:cs="Arial"/>
          <w:b w:val="0"/>
          <w:bCs/>
          <w:caps w:val="0"/>
          <w:sz w:val="20"/>
          <w:lang w:val="en-IN"/>
        </w:rPr>
        <w:t>maneuver</w:t>
      </w:r>
      <w:proofErr w:type="spellEnd"/>
      <w:r w:rsidRPr="007E6306">
        <w:rPr>
          <w:rFonts w:ascii="Arial" w:hAnsi="Arial" w:cs="Arial"/>
          <w:b w:val="0"/>
          <w:bCs/>
          <w:caps w:val="0"/>
          <w:sz w:val="20"/>
          <w:lang w:val="en-IN"/>
        </w:rPr>
        <w:t xml:space="preserve"> effectively immobilized the globe, positioning it in a ventromedially rotated orientation, providing optimal access to the surgical site for the subsequent steps of the block. Following globe fixation, a small snip incision was made in the dorsolateral bulbar conjunctiva, approximately 5mm posterior to the limbus, as shown in figure 3. A minimal amount of local anaesthetic, precisely 0.1ml of 2% lignocaine, was then carefully injected into tenon's capsule, deep to the conjunctival incision. This initial, small volume of anaesthetic served to hydrate the connective tissue layers, aiding in the clearer identification and dissection of tenon's capsule. Next, as depicted in figure 4, tenon's capsule was grasped with forceps and meticulously dissected bluntly using the curved conjunctival scissors to expose the underlying sclera. Following this exposure, the tips of the scissors were carefully angled posteriorly, maintaining a trajectory along the 'line of latitude' situated between the dorsal rectus and lateral rectus extraocular muscles, immediately external to the sclera. This precise positioning allowed for controlled access to the sub-tenon's space. Blunt dissection was continued to create a sub-tenon's tunnel, extending posteriorly until the scissor tips advanced beyond the globe's equator. This typically occurred when the hinge of the scissors aligned with the initial conjunctival incision, providing a visual guide for the extent of dissection.</w:t>
      </w:r>
    </w:p>
    <w:p w14:paraId="4338D43E" w14:textId="3455741D" w:rsidR="007E6306" w:rsidRPr="007E6306" w:rsidRDefault="007E6306" w:rsidP="007E6306">
      <w:pPr>
        <w:pStyle w:val="Head1"/>
        <w:ind w:firstLine="720"/>
        <w:jc w:val="both"/>
        <w:rPr>
          <w:rFonts w:ascii="Arial" w:hAnsi="Arial" w:cs="Arial"/>
          <w:b w:val="0"/>
          <w:bCs/>
          <w:sz w:val="20"/>
          <w:lang w:val="en-IN"/>
        </w:rPr>
      </w:pPr>
      <w:r w:rsidRPr="007E6306">
        <w:rPr>
          <w:rFonts w:ascii="Arial" w:hAnsi="Arial" w:cs="Arial"/>
          <w:b w:val="0"/>
          <w:bCs/>
          <w:caps w:val="0"/>
          <w:sz w:val="20"/>
          <w:lang w:val="en-IN"/>
        </w:rPr>
        <w:t>A 20g curved flattened sub-tenon's cannula, connected to a syringe prefilled with 2ml of the 2% lignocaine local anaesthetic, was then carefully introduced into the sub-tenon's tunnel. As shown in figure 5, this cannula was gently guided along the curvature of the globe until its tip was positioned posterior to the globe's equator, ensuring adequate distribution of the anaesthetic agent to affect the extraocular muscles and sensory nerves. The anaesthetic solution was then slowly infused into the sub-tenon's space, with the cannula tip being rotated during the infusion to maximize the spread of the solution throughout the targeted area. Upon completion of the anaesthetic infusion, the cannula was carefully withdrawn.</w:t>
      </w:r>
    </w:p>
    <w:p w14:paraId="76332E0E" w14:textId="1E196104" w:rsidR="007E6306" w:rsidRPr="007E6306" w:rsidRDefault="007E6306" w:rsidP="007E6306">
      <w:pPr>
        <w:pStyle w:val="Head1"/>
        <w:spacing w:after="0"/>
        <w:ind w:firstLine="720"/>
        <w:jc w:val="both"/>
        <w:rPr>
          <w:rFonts w:ascii="Arial" w:hAnsi="Arial" w:cs="Arial"/>
          <w:b w:val="0"/>
          <w:bCs/>
          <w:sz w:val="20"/>
          <w:lang w:val="en-IN"/>
        </w:rPr>
      </w:pPr>
      <w:r w:rsidRPr="007E6306">
        <w:rPr>
          <w:rFonts w:ascii="Arial" w:hAnsi="Arial" w:cs="Arial"/>
          <w:b w:val="0"/>
          <w:bCs/>
          <w:caps w:val="0"/>
          <w:sz w:val="20"/>
          <w:lang w:val="en-IN"/>
        </w:rPr>
        <w:t xml:space="preserve">The successful </w:t>
      </w:r>
      <w:r w:rsidR="00B93CFB">
        <w:rPr>
          <w:rFonts w:ascii="Arial" w:hAnsi="Arial" w:cs="Arial"/>
          <w:b w:val="0"/>
          <w:bCs/>
          <w:caps w:val="0"/>
          <w:sz w:val="20"/>
          <w:lang w:val="en-IN"/>
        </w:rPr>
        <w:t>STB</w:t>
      </w:r>
      <w:r w:rsidRPr="007E6306">
        <w:rPr>
          <w:rFonts w:ascii="Arial" w:hAnsi="Arial" w:cs="Arial"/>
          <w:b w:val="0"/>
          <w:bCs/>
          <w:caps w:val="0"/>
          <w:sz w:val="20"/>
          <w:lang w:val="en-IN"/>
        </w:rPr>
        <w:t xml:space="preserve"> resulted in globe centralization, indicating effective paralysis of the eye-moving muscles due to the absence of muscle tone. Additionally, pupillary dilation (mydriasis) was observed. While mydriasis alone does not definitively confirm muscle </w:t>
      </w:r>
      <w:r w:rsidRPr="007E6306">
        <w:rPr>
          <w:rFonts w:ascii="Arial" w:hAnsi="Arial" w:cs="Arial"/>
          <w:b w:val="0"/>
          <w:bCs/>
          <w:caps w:val="0"/>
          <w:sz w:val="20"/>
          <w:lang w:val="en-IN"/>
        </w:rPr>
        <w:lastRenderedPageBreak/>
        <w:t>paralysis, it strongly suggests that the local anaesthetic reached the orbital area. This would block the ciliary nerves, leading to paralysis of the pupillary sphincter muscle and consequently, pupillary dilation. This observation of mydriasis, therefore, serves as an indirect indicator that the local anaesthetic was appropriately positioned to also affect the extraocular muscles responsible for eye movement.</w:t>
      </w:r>
    </w:p>
    <w:p w14:paraId="33D90FAD" w14:textId="77777777" w:rsidR="00513471" w:rsidRPr="007016DF" w:rsidRDefault="00513471" w:rsidP="007016DF">
      <w:pPr>
        <w:pStyle w:val="Head1"/>
        <w:spacing w:after="0"/>
        <w:jc w:val="both"/>
        <w:rPr>
          <w:rFonts w:ascii="Arial" w:hAnsi="Arial" w:cs="Arial"/>
          <w:b w:val="0"/>
          <w:bCs/>
          <w:lang w:val="en-IN"/>
        </w:rPr>
      </w:pPr>
    </w:p>
    <w:p w14:paraId="248D3F44" w14:textId="1B92381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7E8E717C"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The sub-Tenon's block (STB) is a technique used to provide local </w:t>
      </w:r>
      <w:proofErr w:type="spellStart"/>
      <w:r w:rsidRPr="005148EE">
        <w:rPr>
          <w:rFonts w:ascii="Arial" w:hAnsi="Arial" w:cs="Arial"/>
          <w:lang w:val="en-IN"/>
        </w:rPr>
        <w:t>anesthesia</w:t>
      </w:r>
      <w:proofErr w:type="spellEnd"/>
      <w:r w:rsidRPr="005148EE">
        <w:rPr>
          <w:rFonts w:ascii="Arial" w:hAnsi="Arial" w:cs="Arial"/>
          <w:lang w:val="en-IN"/>
        </w:rPr>
        <w:t xml:space="preserve"> and akinesia—or lack of movement—of the eye, crucial for certain types of eye surgery. While the fundamental goal of STB remains consistent across species, its application and assessment vary considerably between humans and dogs. These differences are primarily attributed to anatomical variations and the challenges of evaluating </w:t>
      </w:r>
      <w:proofErr w:type="spellStart"/>
      <w:r w:rsidRPr="005148EE">
        <w:rPr>
          <w:rFonts w:ascii="Arial" w:hAnsi="Arial" w:cs="Arial"/>
          <w:lang w:val="en-IN"/>
        </w:rPr>
        <w:t>anesthesia</w:t>
      </w:r>
      <w:proofErr w:type="spellEnd"/>
      <w:r w:rsidRPr="005148EE">
        <w:rPr>
          <w:rFonts w:ascii="Arial" w:hAnsi="Arial" w:cs="Arial"/>
          <w:lang w:val="en-IN"/>
        </w:rPr>
        <w:t xml:space="preserve"> in non-verbal subjects.</w:t>
      </w:r>
    </w:p>
    <w:p w14:paraId="39A49A15"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In human patients, the ventromedial area is the preferred site for STB administration. This approach is </w:t>
      </w:r>
      <w:proofErr w:type="spellStart"/>
      <w:r w:rsidRPr="005148EE">
        <w:rPr>
          <w:rFonts w:ascii="Arial" w:hAnsi="Arial" w:cs="Arial"/>
          <w:lang w:val="en-IN"/>
        </w:rPr>
        <w:t>favored</w:t>
      </w:r>
      <w:proofErr w:type="spellEnd"/>
      <w:r w:rsidRPr="005148EE">
        <w:rPr>
          <w:rFonts w:ascii="Arial" w:hAnsi="Arial" w:cs="Arial"/>
          <w:lang w:val="en-IN"/>
        </w:rPr>
        <w:t xml:space="preserve"> due to its minimal interference with subsequent cataract surgery, a common procedure in humans. Specifically, any potential bruising or swelling resulting from the injection at this site is unlikely to obstruct the surgical field or impede the surgeon's access to the eye, both of which are critical for the precision required in cataract procedures.</w:t>
      </w:r>
    </w:p>
    <w:p w14:paraId="7AB7F12A"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However, the ventromedial approach presents significant challenges in anesthetized dogs. The natural downward and inward rotation of the canine eyeball under general </w:t>
      </w:r>
      <w:proofErr w:type="spellStart"/>
      <w:r w:rsidRPr="005148EE">
        <w:rPr>
          <w:rFonts w:ascii="Arial" w:hAnsi="Arial" w:cs="Arial"/>
          <w:lang w:val="en-IN"/>
        </w:rPr>
        <w:t>anesthesia</w:t>
      </w:r>
      <w:proofErr w:type="spellEnd"/>
      <w:r w:rsidRPr="005148EE">
        <w:rPr>
          <w:rFonts w:ascii="Arial" w:hAnsi="Arial" w:cs="Arial"/>
          <w:lang w:val="en-IN"/>
        </w:rPr>
        <w:t>, combined with the presence of the third eyelid, complicates access to this region. Consequently, veterinary ophthalmologists have adapted the STB technique for dogs, opting for the dorsolateral—or upper-outer—region of the eye. This area offers greater accessibility in dogs, and while there's a theoretical risk of swelling near a cataract surgery incision, it's generally not expected to cause substantial complications.</w:t>
      </w:r>
    </w:p>
    <w:p w14:paraId="7DABDAC8"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Beyond the procedural differences in STB placement, a notable divergence exists in how the effectiveness of the block is assessed. Human patients can readily communicate their ability or inability to move their eyes, providing direct feedback on the efficacy of the </w:t>
      </w:r>
      <w:proofErr w:type="spellStart"/>
      <w:r w:rsidRPr="005148EE">
        <w:rPr>
          <w:rFonts w:ascii="Arial" w:hAnsi="Arial" w:cs="Arial"/>
          <w:lang w:val="en-IN"/>
        </w:rPr>
        <w:t>anesthesia</w:t>
      </w:r>
      <w:proofErr w:type="spellEnd"/>
      <w:r w:rsidRPr="005148EE">
        <w:rPr>
          <w:rFonts w:ascii="Arial" w:hAnsi="Arial" w:cs="Arial"/>
          <w:lang w:val="en-IN"/>
        </w:rPr>
        <w:t>. This straightforward assessment is not possible in dogs. Instead, veterinarians rely on indirect clinical signs to evaluate the success of STB.</w:t>
      </w:r>
    </w:p>
    <w:p w14:paraId="44F514AE"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Two primary indicators are used in canine patients: globe centralization and pupillary dilation, or mydriasis. Globe centralization, where the eye rests in a central position within the orbit, suggests effective paralysis of the extraocular muscles responsible for eye movement. In contrast, mydriasis, while not a direct confirmation of eye muscle paralysis, indicates that the local </w:t>
      </w:r>
      <w:proofErr w:type="spellStart"/>
      <w:r w:rsidRPr="005148EE">
        <w:rPr>
          <w:rFonts w:ascii="Arial" w:hAnsi="Arial" w:cs="Arial"/>
          <w:lang w:val="en-IN"/>
        </w:rPr>
        <w:t>anesthetic</w:t>
      </w:r>
      <w:proofErr w:type="spellEnd"/>
      <w:r w:rsidRPr="005148EE">
        <w:rPr>
          <w:rFonts w:ascii="Arial" w:hAnsi="Arial" w:cs="Arial"/>
          <w:lang w:val="en-IN"/>
        </w:rPr>
        <w:t xml:space="preserve"> has reached the orbital area. Specifically, it suggests the </w:t>
      </w:r>
      <w:proofErr w:type="spellStart"/>
      <w:r w:rsidRPr="005148EE">
        <w:rPr>
          <w:rFonts w:ascii="Arial" w:hAnsi="Arial" w:cs="Arial"/>
          <w:lang w:val="en-IN"/>
        </w:rPr>
        <w:t>anesthetic</w:t>
      </w:r>
      <w:proofErr w:type="spellEnd"/>
      <w:r w:rsidRPr="005148EE">
        <w:rPr>
          <w:rFonts w:ascii="Arial" w:hAnsi="Arial" w:cs="Arial"/>
          <w:lang w:val="en-IN"/>
        </w:rPr>
        <w:t xml:space="preserve"> is blocking the ciliary nerves, which control the pupillary sphincter muscle. The presence of mydriasis, therefore, implies that the </w:t>
      </w:r>
      <w:proofErr w:type="spellStart"/>
      <w:r w:rsidRPr="005148EE">
        <w:rPr>
          <w:rFonts w:ascii="Arial" w:hAnsi="Arial" w:cs="Arial"/>
          <w:lang w:val="en-IN"/>
        </w:rPr>
        <w:t>anesthetic</w:t>
      </w:r>
      <w:proofErr w:type="spellEnd"/>
      <w:r w:rsidRPr="005148EE">
        <w:rPr>
          <w:rFonts w:ascii="Arial" w:hAnsi="Arial" w:cs="Arial"/>
          <w:lang w:val="en-IN"/>
        </w:rPr>
        <w:t xml:space="preserve"> is in the vicinity of the extraocular muscles and likely affecting them as well.</w:t>
      </w:r>
    </w:p>
    <w:p w14:paraId="134CC7DB" w14:textId="77777777" w:rsidR="009A1634" w:rsidRPr="0076544A" w:rsidRDefault="009A1634" w:rsidP="0076544A">
      <w:pPr>
        <w:pStyle w:val="Body"/>
        <w:spacing w:after="0"/>
        <w:ind w:firstLine="720"/>
        <w:rPr>
          <w:rFonts w:ascii="Arial" w:hAnsi="Arial" w:cs="Arial"/>
          <w:lang w:val="en-IN"/>
        </w:rPr>
      </w:pPr>
    </w:p>
    <w:tbl>
      <w:tblPr>
        <w:tblStyle w:val="TableGrid"/>
        <w:tblW w:w="8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648"/>
      </w:tblGrid>
      <w:tr w:rsidR="009A1634" w14:paraId="7E5CE6DB" w14:textId="77777777" w:rsidTr="007F7931">
        <w:trPr>
          <w:trHeight w:val="2655"/>
        </w:trPr>
        <w:tc>
          <w:tcPr>
            <w:tcW w:w="4373" w:type="dxa"/>
          </w:tcPr>
          <w:p w14:paraId="6F9C61E7" w14:textId="24006C59" w:rsidR="00214B69" w:rsidRDefault="00DE6B7C" w:rsidP="0076544A">
            <w:pPr>
              <w:pStyle w:val="Body"/>
              <w:spacing w:after="0"/>
              <w:rPr>
                <w:rFonts w:ascii="Arial" w:hAnsi="Arial" w:cs="Arial"/>
                <w:lang w:val="en-IN"/>
              </w:rPr>
            </w:pPr>
            <w:r>
              <w:rPr>
                <w:rFonts w:ascii="Arial" w:hAnsi="Arial" w:cs="Arial"/>
                <w:noProof/>
                <w:lang w:val="en-IN"/>
              </w:rPr>
              <w:lastRenderedPageBreak/>
              <w:drawing>
                <wp:inline distT="0" distB="0" distL="0" distR="0" wp14:anchorId="3F4960EF" wp14:editId="757D4803">
                  <wp:extent cx="2712719" cy="1676400"/>
                  <wp:effectExtent l="0" t="0" r="0" b="0"/>
                  <wp:docPr id="8939168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6816" name="Picture 893916816"/>
                          <pic:cNvPicPr/>
                        </pic:nvPicPr>
                        <pic:blipFill rotWithShape="1">
                          <a:blip r:embed="rId14" cstate="print">
                            <a:extLst>
                              <a:ext uri="{28A0092B-C50C-407E-A947-70E740481C1C}">
                                <a14:useLocalDpi xmlns:a14="http://schemas.microsoft.com/office/drawing/2010/main" val="0"/>
                              </a:ext>
                            </a:extLst>
                          </a:blip>
                          <a:srcRect l="4093" t="7927" r="1955" b="14659"/>
                          <a:stretch/>
                        </pic:blipFill>
                        <pic:spPr bwMode="auto">
                          <a:xfrm>
                            <a:off x="0" y="0"/>
                            <a:ext cx="2724015" cy="1683381"/>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5D64C816" w14:textId="2670CC09"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5050478A" wp14:editId="34792496">
                  <wp:extent cx="2814320" cy="1640840"/>
                  <wp:effectExtent l="0" t="0" r="0" b="0"/>
                  <wp:docPr id="1186600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00320" name="Picture 1186600320"/>
                          <pic:cNvPicPr/>
                        </pic:nvPicPr>
                        <pic:blipFill rotWithShape="1">
                          <a:blip r:embed="rId15" cstate="print">
                            <a:extLst>
                              <a:ext uri="{28A0092B-C50C-407E-A947-70E740481C1C}">
                                <a14:useLocalDpi xmlns:a14="http://schemas.microsoft.com/office/drawing/2010/main" val="0"/>
                              </a:ext>
                            </a:extLst>
                          </a:blip>
                          <a:srcRect l="15822" t="27159" r="14895" b="26566"/>
                          <a:stretch/>
                        </pic:blipFill>
                        <pic:spPr bwMode="auto">
                          <a:xfrm>
                            <a:off x="0" y="0"/>
                            <a:ext cx="2815434" cy="1641490"/>
                          </a:xfrm>
                          <a:prstGeom prst="rect">
                            <a:avLst/>
                          </a:prstGeom>
                          <a:ln>
                            <a:noFill/>
                          </a:ln>
                          <a:extLst>
                            <a:ext uri="{53640926-AAD7-44D8-BBD7-CCE9431645EC}">
                              <a14:shadowObscured xmlns:a14="http://schemas.microsoft.com/office/drawing/2010/main"/>
                            </a:ext>
                          </a:extLst>
                        </pic:spPr>
                      </pic:pic>
                    </a:graphicData>
                  </a:graphic>
                </wp:inline>
              </w:drawing>
            </w:r>
          </w:p>
        </w:tc>
      </w:tr>
      <w:tr w:rsidR="009A1634" w14:paraId="3EEB4C7C" w14:textId="77777777" w:rsidTr="007F7931">
        <w:trPr>
          <w:trHeight w:val="562"/>
        </w:trPr>
        <w:tc>
          <w:tcPr>
            <w:tcW w:w="4373" w:type="dxa"/>
          </w:tcPr>
          <w:p w14:paraId="4D114ADB" w14:textId="381F397F" w:rsidR="00214B69" w:rsidRDefault="00DE6B7C" w:rsidP="0076544A">
            <w:pPr>
              <w:pStyle w:val="Body"/>
              <w:spacing w:after="0"/>
              <w:rPr>
                <w:rFonts w:ascii="Arial" w:hAnsi="Arial" w:cs="Arial"/>
                <w:lang w:val="en-IN"/>
              </w:rPr>
            </w:pPr>
            <w:r>
              <w:rPr>
                <w:rFonts w:ascii="Arial" w:hAnsi="Arial" w:cs="Arial"/>
                <w:lang w:val="en-IN"/>
              </w:rPr>
              <w:t xml:space="preserve">Fig.1: </w:t>
            </w:r>
            <w:r w:rsidRPr="00ED5B4C">
              <w:rPr>
                <w:rFonts w:ascii="Arial" w:hAnsi="Arial" w:cs="Arial"/>
              </w:rPr>
              <w:t>Surgical instrumentation</w:t>
            </w:r>
            <w:r>
              <w:rPr>
                <w:rFonts w:ascii="Arial" w:hAnsi="Arial" w:cs="Arial"/>
              </w:rPr>
              <w:t xml:space="preserve"> used for STB</w:t>
            </w:r>
          </w:p>
        </w:tc>
        <w:tc>
          <w:tcPr>
            <w:tcW w:w="4529" w:type="dxa"/>
          </w:tcPr>
          <w:p w14:paraId="2B719198" w14:textId="7D4DF2BA" w:rsidR="00214B69" w:rsidRDefault="00DE6B7C" w:rsidP="0076544A">
            <w:pPr>
              <w:pStyle w:val="Body"/>
              <w:spacing w:after="0"/>
              <w:rPr>
                <w:rFonts w:ascii="Arial" w:hAnsi="Arial" w:cs="Arial"/>
                <w:lang w:val="en-IN"/>
              </w:rPr>
            </w:pPr>
            <w:r>
              <w:rPr>
                <w:rFonts w:ascii="Arial" w:hAnsi="Arial" w:cs="Arial"/>
                <w:lang w:val="en-IN"/>
              </w:rPr>
              <w:t xml:space="preserve">Fig. 2: Fixing the globe with mosquito </w:t>
            </w:r>
            <w:proofErr w:type="spellStart"/>
            <w:r>
              <w:rPr>
                <w:rFonts w:ascii="Arial" w:hAnsi="Arial" w:cs="Arial"/>
                <w:lang w:val="en-IN"/>
              </w:rPr>
              <w:t>hemostat</w:t>
            </w:r>
            <w:proofErr w:type="spellEnd"/>
          </w:p>
        </w:tc>
      </w:tr>
      <w:tr w:rsidR="009A1634" w14:paraId="2ADBE5A3" w14:textId="77777777" w:rsidTr="007F7931">
        <w:trPr>
          <w:trHeight w:val="546"/>
        </w:trPr>
        <w:tc>
          <w:tcPr>
            <w:tcW w:w="4373" w:type="dxa"/>
          </w:tcPr>
          <w:p w14:paraId="63E209D6" w14:textId="263F9D06"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7177B16A" wp14:editId="02268666">
                  <wp:extent cx="2428239" cy="1778000"/>
                  <wp:effectExtent l="0" t="0" r="0" b="0"/>
                  <wp:docPr id="1069239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39389" name="Picture 1069239389"/>
                          <pic:cNvPicPr/>
                        </pic:nvPicPr>
                        <pic:blipFill rotWithShape="1">
                          <a:blip r:embed="rId16" cstate="print">
                            <a:extLst>
                              <a:ext uri="{28A0092B-C50C-407E-A947-70E740481C1C}">
                                <a14:useLocalDpi xmlns:a14="http://schemas.microsoft.com/office/drawing/2010/main" val="0"/>
                              </a:ext>
                            </a:extLst>
                          </a:blip>
                          <a:srcRect l="-1363" t="18353" r="-511" b="21360"/>
                          <a:stretch/>
                        </pic:blipFill>
                        <pic:spPr bwMode="auto">
                          <a:xfrm>
                            <a:off x="0" y="0"/>
                            <a:ext cx="2439059" cy="1785923"/>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71A039F2" w14:textId="01BF6090"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25E82731" wp14:editId="6BF86CF7">
                  <wp:extent cx="2768600" cy="1755718"/>
                  <wp:effectExtent l="0" t="0" r="0" b="0"/>
                  <wp:docPr id="145071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1196" name="Picture 145071196"/>
                          <pic:cNvPicPr/>
                        </pic:nvPicPr>
                        <pic:blipFill rotWithShape="1">
                          <a:blip r:embed="rId17" cstate="print">
                            <a:extLst>
                              <a:ext uri="{28A0092B-C50C-407E-A947-70E740481C1C}">
                                <a14:useLocalDpi xmlns:a14="http://schemas.microsoft.com/office/drawing/2010/main" val="0"/>
                              </a:ext>
                            </a:extLst>
                          </a:blip>
                          <a:srcRect l="1111" t="39860" b="13354"/>
                          <a:stretch/>
                        </pic:blipFill>
                        <pic:spPr bwMode="auto">
                          <a:xfrm>
                            <a:off x="0" y="0"/>
                            <a:ext cx="2792190" cy="1770678"/>
                          </a:xfrm>
                          <a:prstGeom prst="rect">
                            <a:avLst/>
                          </a:prstGeom>
                          <a:ln>
                            <a:noFill/>
                          </a:ln>
                          <a:extLst>
                            <a:ext uri="{53640926-AAD7-44D8-BBD7-CCE9431645EC}">
                              <a14:shadowObscured xmlns:a14="http://schemas.microsoft.com/office/drawing/2010/main"/>
                            </a:ext>
                          </a:extLst>
                        </pic:spPr>
                      </pic:pic>
                    </a:graphicData>
                  </a:graphic>
                </wp:inline>
              </w:drawing>
            </w:r>
          </w:p>
        </w:tc>
      </w:tr>
      <w:tr w:rsidR="009A1634" w14:paraId="57977E5B" w14:textId="77777777" w:rsidTr="007F7931">
        <w:trPr>
          <w:trHeight w:val="546"/>
        </w:trPr>
        <w:tc>
          <w:tcPr>
            <w:tcW w:w="4373" w:type="dxa"/>
          </w:tcPr>
          <w:p w14:paraId="51056745" w14:textId="7B909E64" w:rsidR="00214B69" w:rsidRDefault="002A4060" w:rsidP="0076544A">
            <w:pPr>
              <w:pStyle w:val="Body"/>
              <w:spacing w:after="0"/>
              <w:rPr>
                <w:rFonts w:ascii="Arial" w:hAnsi="Arial" w:cs="Arial"/>
                <w:lang w:val="en-IN"/>
              </w:rPr>
            </w:pPr>
            <w:r>
              <w:rPr>
                <w:rFonts w:ascii="Arial" w:hAnsi="Arial" w:cs="Arial"/>
                <w:lang w:val="en-IN"/>
              </w:rPr>
              <w:t xml:space="preserve">Fig. 3: </w:t>
            </w:r>
            <w:r w:rsidRPr="0019655F">
              <w:rPr>
                <w:rFonts w:ascii="Arial" w:hAnsi="Arial" w:cs="Arial"/>
                <w:sz w:val="20"/>
              </w:rPr>
              <w:t>Minor snip incision was created in the dorsolateral bulbar conjunctiva using scissors</w:t>
            </w:r>
          </w:p>
        </w:tc>
        <w:tc>
          <w:tcPr>
            <w:tcW w:w="4529" w:type="dxa"/>
          </w:tcPr>
          <w:p w14:paraId="57579FBA" w14:textId="1FF75365" w:rsidR="00214B69" w:rsidRDefault="002A4060" w:rsidP="0076544A">
            <w:pPr>
              <w:pStyle w:val="Body"/>
              <w:spacing w:after="0"/>
              <w:rPr>
                <w:rFonts w:ascii="Arial" w:hAnsi="Arial" w:cs="Arial"/>
                <w:lang w:val="en-IN"/>
              </w:rPr>
            </w:pPr>
            <w:r>
              <w:rPr>
                <w:rFonts w:ascii="Arial" w:hAnsi="Arial" w:cs="Arial"/>
                <w:lang w:val="en-IN"/>
              </w:rPr>
              <w:t xml:space="preserve">Fig.4: showing </w:t>
            </w:r>
            <w:r w:rsidRPr="0019655F">
              <w:rPr>
                <w:rFonts w:ascii="Arial" w:hAnsi="Arial" w:cs="Arial"/>
                <w:sz w:val="20"/>
              </w:rPr>
              <w:t>Tenon's capsule was</w:t>
            </w:r>
            <w:r>
              <w:rPr>
                <w:rFonts w:ascii="Arial" w:hAnsi="Arial" w:cs="Arial"/>
                <w:sz w:val="20"/>
              </w:rPr>
              <w:t xml:space="preserve"> </w:t>
            </w:r>
            <w:r w:rsidRPr="0019655F">
              <w:rPr>
                <w:rFonts w:ascii="Arial" w:hAnsi="Arial" w:cs="Arial"/>
                <w:sz w:val="20"/>
              </w:rPr>
              <w:t>held with forceps and carefully dissected bluntly with scissors to expose the sclera</w:t>
            </w:r>
            <w:r>
              <w:rPr>
                <w:rFonts w:ascii="Arial" w:hAnsi="Arial" w:cs="Arial"/>
                <w:sz w:val="20"/>
              </w:rPr>
              <w:t>.</w:t>
            </w:r>
          </w:p>
        </w:tc>
      </w:tr>
      <w:tr w:rsidR="001D6B0C" w14:paraId="7BFDA92D" w14:textId="77777777" w:rsidTr="007F7931">
        <w:trPr>
          <w:trHeight w:val="546"/>
        </w:trPr>
        <w:tc>
          <w:tcPr>
            <w:tcW w:w="8903" w:type="dxa"/>
            <w:gridSpan w:val="2"/>
          </w:tcPr>
          <w:p w14:paraId="73DCE302" w14:textId="44ABE01D" w:rsidR="001D6B0C" w:rsidRDefault="001D6B0C" w:rsidP="0076544A">
            <w:pPr>
              <w:pStyle w:val="Body"/>
              <w:spacing w:after="0"/>
              <w:rPr>
                <w:rFonts w:ascii="Arial" w:hAnsi="Arial" w:cs="Arial"/>
                <w:lang w:val="en-IN"/>
              </w:rPr>
            </w:pPr>
            <w:r>
              <w:rPr>
                <w:rFonts w:ascii="Arial" w:hAnsi="Arial" w:cs="Arial"/>
                <w:noProof/>
                <w:lang w:val="en-IN"/>
              </w:rPr>
              <w:drawing>
                <wp:anchor distT="0" distB="0" distL="114300" distR="114300" simplePos="0" relativeHeight="251661824" behindDoc="0" locked="0" layoutInCell="1" allowOverlap="1" wp14:anchorId="10C1979F" wp14:editId="1070111C">
                  <wp:simplePos x="0" y="0"/>
                  <wp:positionH relativeFrom="margin">
                    <wp:posOffset>1457960</wp:posOffset>
                  </wp:positionH>
                  <wp:positionV relativeFrom="margin">
                    <wp:posOffset>-635</wp:posOffset>
                  </wp:positionV>
                  <wp:extent cx="2199640" cy="1604010"/>
                  <wp:effectExtent l="0" t="0" r="0" b="0"/>
                  <wp:wrapSquare wrapText="bothSides"/>
                  <wp:docPr id="4783118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11832" name="Picture 478311832"/>
                          <pic:cNvPicPr/>
                        </pic:nvPicPr>
                        <pic:blipFill rotWithShape="1">
                          <a:blip r:embed="rId18" cstate="print">
                            <a:extLst>
                              <a:ext uri="{28A0092B-C50C-407E-A947-70E740481C1C}">
                                <a14:useLocalDpi xmlns:a14="http://schemas.microsoft.com/office/drawing/2010/main" val="0"/>
                              </a:ext>
                            </a:extLst>
                          </a:blip>
                          <a:srcRect l="-1" t="14704" r="-455" b="9134"/>
                          <a:stretch/>
                        </pic:blipFill>
                        <pic:spPr bwMode="auto">
                          <a:xfrm>
                            <a:off x="0" y="0"/>
                            <a:ext cx="2199640" cy="160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A4060" w14:paraId="7EEC2B5F" w14:textId="77777777" w:rsidTr="007F7931">
        <w:trPr>
          <w:trHeight w:val="546"/>
        </w:trPr>
        <w:tc>
          <w:tcPr>
            <w:tcW w:w="8903" w:type="dxa"/>
            <w:gridSpan w:val="2"/>
          </w:tcPr>
          <w:p w14:paraId="6A34995B" w14:textId="78E5B02E" w:rsidR="002A4060" w:rsidRDefault="00F44915" w:rsidP="00F44915">
            <w:pPr>
              <w:pStyle w:val="Body"/>
              <w:spacing w:after="0"/>
              <w:jc w:val="center"/>
              <w:rPr>
                <w:rFonts w:ascii="Arial" w:hAnsi="Arial" w:cs="Arial"/>
                <w:lang w:val="en-IN"/>
              </w:rPr>
            </w:pPr>
            <w:r>
              <w:rPr>
                <w:rFonts w:ascii="Arial" w:hAnsi="Arial" w:cs="Arial"/>
                <w:lang w:val="en-IN"/>
              </w:rPr>
              <w:t xml:space="preserve">Fig. 5: </w:t>
            </w:r>
            <w:r w:rsidRPr="0019655F">
              <w:rPr>
                <w:rFonts w:ascii="Arial" w:hAnsi="Arial" w:cs="Arial"/>
                <w:sz w:val="20"/>
              </w:rPr>
              <w:t>Infus</w:t>
            </w:r>
            <w:r>
              <w:rPr>
                <w:rFonts w:ascii="Arial" w:hAnsi="Arial" w:cs="Arial"/>
                <w:sz w:val="20"/>
              </w:rPr>
              <w:t>ion of 2% lignocaine</w:t>
            </w:r>
            <w:r w:rsidRPr="0019655F">
              <w:rPr>
                <w:rFonts w:ascii="Arial" w:hAnsi="Arial" w:cs="Arial"/>
                <w:sz w:val="20"/>
              </w:rPr>
              <w:t xml:space="preserve"> into the sub-Tenon's space</w:t>
            </w:r>
          </w:p>
        </w:tc>
      </w:tr>
    </w:tbl>
    <w:p w14:paraId="484F916F" w14:textId="77777777" w:rsidR="0076544A" w:rsidRPr="0076544A" w:rsidRDefault="0076544A" w:rsidP="0076544A">
      <w:pPr>
        <w:pStyle w:val="Body"/>
        <w:spacing w:after="0"/>
        <w:ind w:firstLine="720"/>
        <w:rPr>
          <w:rFonts w:ascii="Arial" w:hAnsi="Arial" w:cs="Arial"/>
          <w:lang w:val="en-IN"/>
        </w:rPr>
      </w:pPr>
    </w:p>
    <w:p w14:paraId="0A222378" w14:textId="77777777" w:rsidR="00ED0CA3" w:rsidRDefault="00ED0CA3" w:rsidP="0076544A">
      <w:pPr>
        <w:pStyle w:val="Body"/>
        <w:spacing w:after="0"/>
        <w:rPr>
          <w:rFonts w:ascii="Arial" w:hAnsi="Arial" w:cs="Arial"/>
          <w:b/>
          <w:bCs/>
          <w:sz w:val="22"/>
          <w:szCs w:val="22"/>
        </w:rPr>
      </w:pPr>
    </w:p>
    <w:p w14:paraId="5FCDC747" w14:textId="348FC26A" w:rsidR="0076544A" w:rsidRDefault="00000F8F" w:rsidP="0076544A">
      <w:pPr>
        <w:pStyle w:val="Body"/>
        <w:spacing w:after="0"/>
        <w:rPr>
          <w:rFonts w:ascii="Arial" w:hAnsi="Arial" w:cs="Arial"/>
          <w:b/>
          <w:bCs/>
          <w:sz w:val="22"/>
          <w:szCs w:val="22"/>
        </w:rPr>
      </w:pPr>
      <w:r w:rsidRPr="0076544A">
        <w:rPr>
          <w:rFonts w:ascii="Arial" w:hAnsi="Arial" w:cs="Arial"/>
          <w:b/>
          <w:bCs/>
          <w:sz w:val="22"/>
          <w:szCs w:val="22"/>
        </w:rPr>
        <w:t xml:space="preserve">4. </w:t>
      </w:r>
      <w:r w:rsidR="0076544A" w:rsidRPr="0076544A">
        <w:rPr>
          <w:rFonts w:ascii="Arial" w:hAnsi="Arial" w:cs="Arial"/>
          <w:b/>
          <w:bCs/>
          <w:sz w:val="22"/>
          <w:szCs w:val="22"/>
        </w:rPr>
        <w:t>CONCLUSION</w:t>
      </w:r>
      <w:bookmarkEnd w:id="1"/>
    </w:p>
    <w:bookmarkEnd w:id="0"/>
    <w:p w14:paraId="3818A4D5" w14:textId="5580E31B" w:rsidR="005148EE" w:rsidRDefault="005148EE" w:rsidP="005148EE">
      <w:pPr>
        <w:pStyle w:val="ReferHead"/>
        <w:ind w:firstLine="720"/>
        <w:jc w:val="both"/>
        <w:rPr>
          <w:rFonts w:ascii="Arial" w:hAnsi="Arial" w:cs="Arial"/>
          <w:b w:val="0"/>
          <w:caps w:val="0"/>
          <w:sz w:val="20"/>
        </w:rPr>
      </w:pPr>
      <w:r w:rsidRPr="005148EE">
        <w:rPr>
          <w:rFonts w:ascii="Arial" w:hAnsi="Arial" w:cs="Arial"/>
          <w:b w:val="0"/>
          <w:caps w:val="0"/>
          <w:sz w:val="20"/>
        </w:rPr>
        <w:t xml:space="preserve">The adaptation of the </w:t>
      </w:r>
      <w:r w:rsidR="00B15E15">
        <w:rPr>
          <w:rFonts w:ascii="Arial" w:hAnsi="Arial" w:cs="Arial"/>
          <w:b w:val="0"/>
          <w:caps w:val="0"/>
          <w:sz w:val="20"/>
        </w:rPr>
        <w:t>STB</w:t>
      </w:r>
      <w:r w:rsidRPr="005148EE">
        <w:rPr>
          <w:rFonts w:ascii="Arial" w:hAnsi="Arial" w:cs="Arial"/>
          <w:b w:val="0"/>
          <w:caps w:val="0"/>
          <w:sz w:val="20"/>
        </w:rPr>
        <w:t xml:space="preserve"> technique from human to canine subjects represents a valuable advancement in veterinary ophthalmology. The established human STB technique served as a strong foundation for developing an effective STB method for dogs, demonstrating the potential for cross-species application of regional anesthesia techniques. Sub-Tenon's anesthesia holds significant promise in providing both anesthesia and analgesia, potentially improving patient comfort and surgical outcomes in a range of canine ophthalmic procedures. However, to fully determine its clinical utility in canine ophthalmology, future research should focus on evaluating this novel STB technique across </w:t>
      </w:r>
      <w:r w:rsidRPr="005148EE">
        <w:rPr>
          <w:rFonts w:ascii="Arial" w:hAnsi="Arial" w:cs="Arial"/>
          <w:b w:val="0"/>
          <w:caps w:val="0"/>
          <w:sz w:val="20"/>
        </w:rPr>
        <w:lastRenderedPageBreak/>
        <w:t>a broader population of dogs, encompassing diverse breeds and various ophthalmic procedures. Such studies would help to standardize the procedure, optimize drug dosages, and further refine the assessment of block efficacy in veterinary patients.</w:t>
      </w:r>
    </w:p>
    <w:p w14:paraId="39879893" w14:textId="77777777" w:rsidR="00342007" w:rsidRPr="00342007" w:rsidRDefault="00342007" w:rsidP="00342007">
      <w:pPr>
        <w:pStyle w:val="ReferHead"/>
        <w:ind w:firstLine="720"/>
        <w:jc w:val="both"/>
        <w:rPr>
          <w:rFonts w:ascii="Arial" w:hAnsi="Arial" w:cs="Arial"/>
          <w:b w:val="0"/>
          <w:caps w:val="0"/>
          <w:sz w:val="20"/>
        </w:rPr>
      </w:pPr>
      <w:r w:rsidRPr="00342007">
        <w:rPr>
          <w:rFonts w:ascii="Arial" w:hAnsi="Arial" w:cs="Arial"/>
          <w:b w:val="0"/>
          <w:caps w:val="0"/>
          <w:sz w:val="20"/>
        </w:rPr>
        <w:t>Ethical Approval</w:t>
      </w:r>
    </w:p>
    <w:p w14:paraId="4C955455" w14:textId="21F51978" w:rsidR="00342007" w:rsidRDefault="00342007" w:rsidP="00342007">
      <w:pPr>
        <w:pStyle w:val="ReferHead"/>
        <w:ind w:firstLine="720"/>
        <w:jc w:val="both"/>
        <w:rPr>
          <w:rFonts w:ascii="Arial" w:hAnsi="Arial" w:cs="Arial"/>
          <w:b w:val="0"/>
          <w:caps w:val="0"/>
          <w:sz w:val="20"/>
        </w:rPr>
      </w:pPr>
      <w:r w:rsidRPr="00342007">
        <w:rPr>
          <w:rFonts w:ascii="Arial" w:hAnsi="Arial" w:cs="Arial"/>
          <w:b w:val="0"/>
          <w:caps w:val="0"/>
          <w:sz w:val="20"/>
        </w:rPr>
        <w:t>Animal Ethic committee approval has been collected and preserved by the author(s)</w:t>
      </w:r>
      <w:bookmarkStart w:id="2" w:name="_GoBack"/>
      <w:bookmarkEnd w:id="2"/>
    </w:p>
    <w:p w14:paraId="6B90AC4B" w14:textId="282EA6DE" w:rsidR="00C70225" w:rsidRDefault="00C70225" w:rsidP="005148EE">
      <w:pPr>
        <w:pStyle w:val="ReferHead"/>
        <w:ind w:firstLine="720"/>
        <w:jc w:val="both"/>
        <w:rPr>
          <w:rFonts w:ascii="Arial" w:hAnsi="Arial" w:cs="Arial"/>
          <w:b w:val="0"/>
          <w:caps w:val="0"/>
          <w:sz w:val="20"/>
        </w:rPr>
      </w:pPr>
    </w:p>
    <w:p w14:paraId="4C780F88"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Disclaimer (Artificial intelligence)</w:t>
      </w:r>
    </w:p>
    <w:p w14:paraId="34F8A422"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 xml:space="preserve">Option 1: </w:t>
      </w:r>
    </w:p>
    <w:p w14:paraId="41BD6A05"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Author(s) hereby declare that NO generative AI technologies such as Large Language Models (</w:t>
      </w:r>
      <w:proofErr w:type="spellStart"/>
      <w:r w:rsidRPr="00C70225">
        <w:rPr>
          <w:rFonts w:ascii="Arial" w:hAnsi="Arial" w:cs="Arial"/>
          <w:b w:val="0"/>
          <w:caps w:val="0"/>
          <w:sz w:val="20"/>
        </w:rPr>
        <w:t>ChatGPT</w:t>
      </w:r>
      <w:proofErr w:type="spellEnd"/>
      <w:r w:rsidRPr="00C70225">
        <w:rPr>
          <w:rFonts w:ascii="Arial" w:hAnsi="Arial" w:cs="Arial"/>
          <w:b w:val="0"/>
          <w:caps w:val="0"/>
          <w:sz w:val="20"/>
        </w:rPr>
        <w:t xml:space="preserve">, COPILOT, etc.) and text-to-image generators have been used during the writing or editing of this manuscript. </w:t>
      </w:r>
    </w:p>
    <w:p w14:paraId="1A99081A"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 xml:space="preserve">Option 2: </w:t>
      </w:r>
    </w:p>
    <w:p w14:paraId="7BD88F74"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045651"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Details of the AI usage are given below:</w:t>
      </w:r>
    </w:p>
    <w:p w14:paraId="477040F6"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1.</w:t>
      </w:r>
    </w:p>
    <w:p w14:paraId="3878E78C" w14:textId="77777777" w:rsidR="00C70225" w:rsidRPr="00C70225" w:rsidRDefault="00C70225" w:rsidP="00C70225">
      <w:pPr>
        <w:pStyle w:val="ReferHead"/>
        <w:ind w:firstLine="720"/>
        <w:jc w:val="both"/>
        <w:rPr>
          <w:rFonts w:ascii="Arial" w:hAnsi="Arial" w:cs="Arial"/>
          <w:b w:val="0"/>
          <w:caps w:val="0"/>
          <w:sz w:val="20"/>
        </w:rPr>
      </w:pPr>
      <w:r w:rsidRPr="00C70225">
        <w:rPr>
          <w:rFonts w:ascii="Arial" w:hAnsi="Arial" w:cs="Arial"/>
          <w:b w:val="0"/>
          <w:caps w:val="0"/>
          <w:sz w:val="20"/>
        </w:rPr>
        <w:t>2.</w:t>
      </w:r>
    </w:p>
    <w:p w14:paraId="20C46299" w14:textId="1157B8F5" w:rsidR="00C70225" w:rsidRPr="00C70225" w:rsidRDefault="00C70225" w:rsidP="00C70225">
      <w:pPr>
        <w:pStyle w:val="ReferHead"/>
        <w:ind w:firstLine="720"/>
        <w:jc w:val="both"/>
        <w:rPr>
          <w:rFonts w:ascii="Arial" w:hAnsi="Arial" w:cs="Arial"/>
          <w:caps w:val="0"/>
          <w:sz w:val="20"/>
        </w:rPr>
      </w:pPr>
      <w:r w:rsidRPr="00C70225">
        <w:rPr>
          <w:rFonts w:ascii="Arial" w:hAnsi="Arial" w:cs="Arial"/>
          <w:b w:val="0"/>
          <w:caps w:val="0"/>
          <w:sz w:val="20"/>
        </w:rPr>
        <w:t>3.</w:t>
      </w:r>
    </w:p>
    <w:p w14:paraId="3FF42F45" w14:textId="5CAEC717" w:rsidR="00B01FCD" w:rsidRDefault="00B01FCD" w:rsidP="00441B6F">
      <w:pPr>
        <w:pStyle w:val="ReferHead"/>
        <w:spacing w:after="0"/>
        <w:jc w:val="both"/>
        <w:rPr>
          <w:rFonts w:ascii="Arial" w:hAnsi="Arial" w:cs="Arial"/>
        </w:rPr>
      </w:pPr>
      <w:r w:rsidRPr="00FB3A86">
        <w:rPr>
          <w:rFonts w:ascii="Arial" w:hAnsi="Arial" w:cs="Arial"/>
        </w:rPr>
        <w:t>References</w:t>
      </w:r>
    </w:p>
    <w:p w14:paraId="15C63CDD" w14:textId="77777777" w:rsidR="00790ADA" w:rsidRPr="00FB3A86" w:rsidRDefault="00790ADA" w:rsidP="00441B6F">
      <w:pPr>
        <w:pStyle w:val="ReferHead"/>
        <w:spacing w:after="0"/>
        <w:jc w:val="both"/>
        <w:rPr>
          <w:rFonts w:ascii="Arial" w:hAnsi="Arial" w:cs="Arial"/>
        </w:rPr>
      </w:pPr>
    </w:p>
    <w:p w14:paraId="23E440A4" w14:textId="07E484F9" w:rsidR="007050C6" w:rsidRPr="004230ED" w:rsidRDefault="007050C6" w:rsidP="007050C6">
      <w:pPr>
        <w:pStyle w:val="Body"/>
        <w:numPr>
          <w:ilvl w:val="0"/>
          <w:numId w:val="34"/>
        </w:numPr>
        <w:rPr>
          <w:rFonts w:ascii="Arial" w:hAnsi="Arial" w:cs="Arial"/>
          <w:lang w:val="en-IN"/>
        </w:rPr>
      </w:pPr>
      <w:r w:rsidRPr="004230ED">
        <w:rPr>
          <w:rFonts w:ascii="Arial" w:hAnsi="Arial" w:cs="Arial"/>
          <w:lang w:val="en-IN"/>
        </w:rPr>
        <w:t>Bayley</w:t>
      </w:r>
      <w:r>
        <w:rPr>
          <w:rFonts w:ascii="Arial" w:hAnsi="Arial" w:cs="Arial"/>
          <w:lang w:val="en-IN"/>
        </w:rPr>
        <w:t>,</w:t>
      </w:r>
      <w:r w:rsidRPr="004230ED">
        <w:rPr>
          <w:rFonts w:ascii="Arial" w:hAnsi="Arial" w:cs="Arial"/>
          <w:lang w:val="en-IN"/>
        </w:rPr>
        <w:t xml:space="preserve"> K</w:t>
      </w:r>
      <w:r>
        <w:rPr>
          <w:rFonts w:ascii="Arial" w:hAnsi="Arial" w:cs="Arial"/>
          <w:lang w:val="en-IN"/>
        </w:rPr>
        <w:t>.</w:t>
      </w:r>
      <w:r w:rsidRPr="004230ED">
        <w:rPr>
          <w:rFonts w:ascii="Arial" w:hAnsi="Arial" w:cs="Arial"/>
          <w:lang w:val="en-IN"/>
        </w:rPr>
        <w:t>D</w:t>
      </w:r>
      <w:r>
        <w:rPr>
          <w:rFonts w:ascii="Arial" w:hAnsi="Arial" w:cs="Arial"/>
          <w:lang w:val="en-IN"/>
        </w:rPr>
        <w:t>.</w:t>
      </w:r>
      <w:r w:rsidRPr="004230ED">
        <w:rPr>
          <w:rFonts w:ascii="Arial" w:hAnsi="Arial" w:cs="Arial"/>
          <w:lang w:val="en-IN"/>
        </w:rPr>
        <w:t>,</w:t>
      </w:r>
      <w:r>
        <w:rPr>
          <w:rFonts w:ascii="Arial" w:hAnsi="Arial" w:cs="Arial"/>
          <w:lang w:val="en-IN"/>
        </w:rPr>
        <w:t xml:space="preserve"> </w:t>
      </w:r>
      <w:r w:rsidRPr="004230ED">
        <w:rPr>
          <w:rFonts w:ascii="Arial" w:hAnsi="Arial" w:cs="Arial"/>
          <w:lang w:val="en-IN"/>
        </w:rPr>
        <w:t>&amp; Read</w:t>
      </w:r>
      <w:r>
        <w:rPr>
          <w:rFonts w:ascii="Arial" w:hAnsi="Arial" w:cs="Arial"/>
          <w:lang w:val="en-IN"/>
        </w:rPr>
        <w:t>,</w:t>
      </w:r>
      <w:r w:rsidRPr="004230ED">
        <w:rPr>
          <w:rFonts w:ascii="Arial" w:hAnsi="Arial" w:cs="Arial"/>
          <w:lang w:val="en-IN"/>
        </w:rPr>
        <w:t xml:space="preserve"> R</w:t>
      </w:r>
      <w:r>
        <w:rPr>
          <w:rFonts w:ascii="Arial" w:hAnsi="Arial" w:cs="Arial"/>
          <w:lang w:val="en-IN"/>
        </w:rPr>
        <w:t>.</w:t>
      </w:r>
      <w:r w:rsidRPr="004230ED">
        <w:rPr>
          <w:rFonts w:ascii="Arial" w:hAnsi="Arial" w:cs="Arial"/>
          <w:lang w:val="en-IN"/>
        </w:rPr>
        <w:t>A.</w:t>
      </w:r>
      <w:r w:rsidR="00B15E15" w:rsidRPr="00B15E15">
        <w:rPr>
          <w:rFonts w:ascii="Arial" w:hAnsi="Arial" w:cs="Arial"/>
          <w:lang w:val="en-IN"/>
        </w:rPr>
        <w:t xml:space="preserve"> </w:t>
      </w:r>
      <w:r w:rsidR="00B15E15">
        <w:rPr>
          <w:rFonts w:ascii="Arial" w:hAnsi="Arial" w:cs="Arial"/>
          <w:lang w:val="en-IN"/>
        </w:rPr>
        <w:t>(</w:t>
      </w:r>
      <w:r w:rsidR="00B15E15" w:rsidRPr="004230ED">
        <w:rPr>
          <w:rFonts w:ascii="Arial" w:hAnsi="Arial" w:cs="Arial"/>
          <w:lang w:val="en-IN"/>
        </w:rPr>
        <w:t>2018</w:t>
      </w:r>
      <w:r w:rsidR="00B15E15">
        <w:rPr>
          <w:rFonts w:ascii="Arial" w:hAnsi="Arial" w:cs="Arial"/>
          <w:lang w:val="en-IN"/>
        </w:rPr>
        <w:t>)</w:t>
      </w:r>
      <w:r w:rsidRPr="004230ED">
        <w:rPr>
          <w:rFonts w:ascii="Arial" w:hAnsi="Arial" w:cs="Arial"/>
          <w:lang w:val="en-IN"/>
        </w:rPr>
        <w:t xml:space="preserve"> Sub-Tenon's </w:t>
      </w:r>
      <w:proofErr w:type="spellStart"/>
      <w:r w:rsidRPr="004230ED">
        <w:rPr>
          <w:rFonts w:ascii="Arial" w:hAnsi="Arial" w:cs="Arial"/>
          <w:lang w:val="en-IN"/>
        </w:rPr>
        <w:t>anesthesia</w:t>
      </w:r>
      <w:proofErr w:type="spellEnd"/>
      <w:r w:rsidRPr="004230ED">
        <w:rPr>
          <w:rFonts w:ascii="Arial" w:hAnsi="Arial" w:cs="Arial"/>
          <w:lang w:val="en-IN"/>
        </w:rPr>
        <w:t xml:space="preserve"> for canine cataract surgery. Vet </w:t>
      </w:r>
      <w:proofErr w:type="spellStart"/>
      <w:r w:rsidRPr="004230ED">
        <w:rPr>
          <w:rFonts w:ascii="Arial" w:hAnsi="Arial" w:cs="Arial"/>
          <w:lang w:val="en-IN"/>
        </w:rPr>
        <w:t>Ophthalmol</w:t>
      </w:r>
      <w:proofErr w:type="spellEnd"/>
      <w:r w:rsidRPr="004230ED">
        <w:rPr>
          <w:rFonts w:ascii="Arial" w:hAnsi="Arial" w:cs="Arial"/>
          <w:lang w:val="en-IN"/>
        </w:rPr>
        <w:t xml:space="preserve">. Nov;21(6):601-611. </w:t>
      </w:r>
      <w:proofErr w:type="spellStart"/>
      <w:r w:rsidRPr="004230ED">
        <w:rPr>
          <w:rFonts w:ascii="Arial" w:hAnsi="Arial" w:cs="Arial"/>
          <w:lang w:val="en-IN"/>
        </w:rPr>
        <w:t>doi</w:t>
      </w:r>
      <w:proofErr w:type="spellEnd"/>
      <w:r w:rsidRPr="004230ED">
        <w:rPr>
          <w:rFonts w:ascii="Arial" w:hAnsi="Arial" w:cs="Arial"/>
          <w:lang w:val="en-IN"/>
        </w:rPr>
        <w:t xml:space="preserve">: 10.1111/vop.12554. </w:t>
      </w:r>
      <w:proofErr w:type="spellStart"/>
      <w:r w:rsidRPr="004230ED">
        <w:rPr>
          <w:rFonts w:ascii="Arial" w:hAnsi="Arial" w:cs="Arial"/>
          <w:lang w:val="en-IN"/>
        </w:rPr>
        <w:t>Epub</w:t>
      </w:r>
      <w:proofErr w:type="spellEnd"/>
      <w:r w:rsidRPr="004230ED">
        <w:rPr>
          <w:rFonts w:ascii="Arial" w:hAnsi="Arial" w:cs="Arial"/>
          <w:lang w:val="en-IN"/>
        </w:rPr>
        <w:t xml:space="preserve"> 2018 Feb 6. PMID: 29411508.</w:t>
      </w:r>
      <w:r>
        <w:rPr>
          <w:rFonts w:ascii="Arial" w:hAnsi="Arial" w:cs="Arial"/>
          <w:lang w:val="en-IN"/>
        </w:rPr>
        <w:t xml:space="preserve">    1</w:t>
      </w:r>
    </w:p>
    <w:p w14:paraId="06908A0E" w14:textId="23ADF69A" w:rsidR="007050C6" w:rsidRDefault="007050C6" w:rsidP="007050C6">
      <w:pPr>
        <w:pStyle w:val="Body"/>
        <w:numPr>
          <w:ilvl w:val="0"/>
          <w:numId w:val="34"/>
        </w:numPr>
        <w:rPr>
          <w:rFonts w:ascii="Arial" w:hAnsi="Arial" w:cs="Arial"/>
        </w:rPr>
      </w:pPr>
      <w:proofErr w:type="spellStart"/>
      <w:r w:rsidRPr="0045604A">
        <w:rPr>
          <w:rFonts w:ascii="Arial" w:hAnsi="Arial" w:cs="Arial"/>
        </w:rPr>
        <w:t>Horikiri</w:t>
      </w:r>
      <w:proofErr w:type="spellEnd"/>
      <w:r w:rsidRPr="0045604A">
        <w:rPr>
          <w:rFonts w:ascii="Arial" w:hAnsi="Arial" w:cs="Arial"/>
        </w:rPr>
        <w:t xml:space="preserve"> K, Ozaki K, </w:t>
      </w:r>
      <w:proofErr w:type="spellStart"/>
      <w:r w:rsidRPr="0045604A">
        <w:rPr>
          <w:rFonts w:ascii="Arial" w:hAnsi="Arial" w:cs="Arial"/>
        </w:rPr>
        <w:t>Maeba</w:t>
      </w:r>
      <w:proofErr w:type="spellEnd"/>
      <w:r w:rsidRPr="0045604A">
        <w:rPr>
          <w:rFonts w:ascii="Arial" w:hAnsi="Arial" w:cs="Arial"/>
        </w:rPr>
        <w:t xml:space="preserve"> H, </w:t>
      </w:r>
      <w:proofErr w:type="spellStart"/>
      <w:r w:rsidRPr="0045604A">
        <w:rPr>
          <w:rFonts w:ascii="Arial" w:hAnsi="Arial" w:cs="Arial"/>
        </w:rPr>
        <w:t>Narama</w:t>
      </w:r>
      <w:proofErr w:type="spellEnd"/>
      <w:r w:rsidRPr="0045604A">
        <w:rPr>
          <w:rFonts w:ascii="Arial" w:hAnsi="Arial" w:cs="Arial"/>
        </w:rPr>
        <w:t xml:space="preserve"> I.</w:t>
      </w:r>
      <w:r w:rsidR="00B15E15" w:rsidRPr="00B15E15">
        <w:rPr>
          <w:rFonts w:ascii="Arial" w:hAnsi="Arial" w:cs="Arial"/>
        </w:rPr>
        <w:t xml:space="preserve"> </w:t>
      </w:r>
      <w:r w:rsidR="00B15E15">
        <w:rPr>
          <w:rFonts w:ascii="Arial" w:hAnsi="Arial" w:cs="Arial"/>
        </w:rPr>
        <w:t>(</w:t>
      </w:r>
      <w:r w:rsidR="00B15E15" w:rsidRPr="0045604A">
        <w:rPr>
          <w:rFonts w:ascii="Arial" w:hAnsi="Arial" w:cs="Arial"/>
        </w:rPr>
        <w:t>1994</w:t>
      </w:r>
      <w:r w:rsidR="00B15E15">
        <w:rPr>
          <w:rFonts w:ascii="Arial" w:hAnsi="Arial" w:cs="Arial"/>
        </w:rPr>
        <w:t>)</w:t>
      </w:r>
      <w:r w:rsidRPr="0045604A">
        <w:rPr>
          <w:rFonts w:ascii="Arial" w:hAnsi="Arial" w:cs="Arial"/>
        </w:rPr>
        <w:t xml:space="preserve"> Corneal</w:t>
      </w:r>
      <w:r>
        <w:rPr>
          <w:rFonts w:ascii="Arial" w:hAnsi="Arial" w:cs="Arial"/>
        </w:rPr>
        <w:t xml:space="preserve"> </w:t>
      </w:r>
      <w:r w:rsidRPr="0045604A">
        <w:rPr>
          <w:rFonts w:ascii="Arial" w:hAnsi="Arial" w:cs="Arial"/>
        </w:rPr>
        <w:t>dermoid in two laboratory Beagle dogs. Experimental Animal</w:t>
      </w:r>
      <w:r>
        <w:rPr>
          <w:rFonts w:ascii="Arial" w:hAnsi="Arial" w:cs="Arial"/>
        </w:rPr>
        <w:t>s</w:t>
      </w:r>
      <w:r w:rsidRPr="0045604A">
        <w:rPr>
          <w:rFonts w:ascii="Arial" w:hAnsi="Arial" w:cs="Arial"/>
        </w:rPr>
        <w:t>, 43,</w:t>
      </w:r>
      <w:r w:rsidRPr="00F825CE">
        <w:rPr>
          <w:rFonts w:ascii="Arial" w:hAnsi="Arial" w:cs="Arial"/>
        </w:rPr>
        <w:t xml:space="preserve"> </w:t>
      </w:r>
      <w:r w:rsidRPr="0045604A">
        <w:rPr>
          <w:rFonts w:ascii="Arial" w:hAnsi="Arial" w:cs="Arial"/>
        </w:rPr>
        <w:t>417-420.</w:t>
      </w:r>
      <w:r>
        <w:rPr>
          <w:rFonts w:ascii="Arial" w:hAnsi="Arial" w:cs="Arial"/>
        </w:rPr>
        <w:t xml:space="preserve">   2</w:t>
      </w:r>
    </w:p>
    <w:p w14:paraId="4884D8DC" w14:textId="43B43596" w:rsidR="00BA2025" w:rsidRDefault="00BA2025" w:rsidP="007050C6">
      <w:pPr>
        <w:pStyle w:val="Body"/>
        <w:numPr>
          <w:ilvl w:val="0"/>
          <w:numId w:val="34"/>
        </w:numPr>
        <w:rPr>
          <w:rFonts w:ascii="Arial" w:hAnsi="Arial" w:cs="Arial"/>
        </w:rPr>
      </w:pPr>
      <w:r w:rsidRPr="00BA2025">
        <w:rPr>
          <w:rFonts w:ascii="Arial" w:hAnsi="Arial" w:cs="Arial"/>
        </w:rPr>
        <w:t xml:space="preserve">Kılıç, Y., </w:t>
      </w:r>
      <w:proofErr w:type="spellStart"/>
      <w:r w:rsidRPr="00BA2025">
        <w:rPr>
          <w:rFonts w:ascii="Arial" w:hAnsi="Arial" w:cs="Arial"/>
        </w:rPr>
        <w:t>Gürsoy</w:t>
      </w:r>
      <w:proofErr w:type="spellEnd"/>
      <w:r w:rsidRPr="00BA2025">
        <w:rPr>
          <w:rFonts w:ascii="Arial" w:hAnsi="Arial" w:cs="Arial"/>
        </w:rPr>
        <w:t xml:space="preserve">, H.H., </w:t>
      </w:r>
      <w:proofErr w:type="spellStart"/>
      <w:r w:rsidRPr="00BA2025">
        <w:rPr>
          <w:rFonts w:ascii="Arial" w:hAnsi="Arial" w:cs="Arial"/>
        </w:rPr>
        <w:t>Bilgeç</w:t>
      </w:r>
      <w:proofErr w:type="spellEnd"/>
      <w:r w:rsidRPr="00BA2025">
        <w:rPr>
          <w:rFonts w:ascii="Arial" w:hAnsi="Arial" w:cs="Arial"/>
        </w:rPr>
        <w:t>, M.D. </w:t>
      </w:r>
      <w:proofErr w:type="spellStart"/>
      <w:r w:rsidRPr="00BA2025">
        <w:rPr>
          <w:rFonts w:ascii="Arial" w:hAnsi="Arial" w:cs="Arial"/>
        </w:rPr>
        <w:t>Ayten</w:t>
      </w:r>
      <w:proofErr w:type="spellEnd"/>
      <w:r w:rsidRPr="00BA2025">
        <w:rPr>
          <w:rFonts w:ascii="Arial" w:hAnsi="Arial" w:cs="Arial"/>
        </w:rPr>
        <w:t xml:space="preserve"> </w:t>
      </w:r>
      <w:proofErr w:type="spellStart"/>
      <w:r w:rsidRPr="00BA2025">
        <w:rPr>
          <w:rFonts w:ascii="Arial" w:hAnsi="Arial" w:cs="Arial"/>
        </w:rPr>
        <w:t>Bilir</w:t>
      </w:r>
      <w:proofErr w:type="spellEnd"/>
      <w:r w:rsidRPr="00BA2025">
        <w:rPr>
          <w:rFonts w:ascii="Arial" w:hAnsi="Arial" w:cs="Arial"/>
        </w:rPr>
        <w:t xml:space="preserve"> and Mehmet </w:t>
      </w:r>
      <w:proofErr w:type="spellStart"/>
      <w:r w:rsidRPr="00BA2025">
        <w:rPr>
          <w:rFonts w:ascii="Arial" w:hAnsi="Arial" w:cs="Arial"/>
        </w:rPr>
        <w:t>Sacit</w:t>
      </w:r>
      <w:proofErr w:type="spellEnd"/>
      <w:r w:rsidRPr="00BA2025">
        <w:rPr>
          <w:rFonts w:ascii="Arial" w:hAnsi="Arial" w:cs="Arial"/>
        </w:rPr>
        <w:t xml:space="preserve"> </w:t>
      </w:r>
      <w:proofErr w:type="spellStart"/>
      <w:r w:rsidRPr="00BA2025">
        <w:rPr>
          <w:rFonts w:ascii="Arial" w:hAnsi="Arial" w:cs="Arial"/>
        </w:rPr>
        <w:t>Güleç</w:t>
      </w:r>
      <w:proofErr w:type="spellEnd"/>
      <w:r w:rsidRPr="00BA2025">
        <w:rPr>
          <w:rFonts w:ascii="Arial" w:hAnsi="Arial" w:cs="Arial"/>
          <w:i/>
          <w:iCs/>
        </w:rPr>
        <w:t xml:space="preserve"> </w:t>
      </w:r>
      <w:r w:rsidRPr="00BA2025">
        <w:rPr>
          <w:rFonts w:ascii="Arial" w:hAnsi="Arial" w:cs="Arial"/>
        </w:rPr>
        <w:t>(2024)</w:t>
      </w:r>
      <w:r>
        <w:rPr>
          <w:rFonts w:ascii="Arial" w:hAnsi="Arial" w:cs="Arial"/>
        </w:rPr>
        <w:t xml:space="preserve">. </w:t>
      </w:r>
      <w:r w:rsidRPr="00BA2025">
        <w:rPr>
          <w:rFonts w:ascii="Arial" w:hAnsi="Arial" w:cs="Arial"/>
        </w:rPr>
        <w:t>Peribulbar vs. incisionless sub-Tenon's blocks: a retrospective cohort study. </w:t>
      </w:r>
      <w:r w:rsidRPr="00BA2025">
        <w:rPr>
          <w:rFonts w:ascii="Arial" w:hAnsi="Arial" w:cs="Arial"/>
          <w:i/>
          <w:iCs/>
        </w:rPr>
        <w:t>Eur J Med Res</w:t>
      </w:r>
      <w:r w:rsidRPr="00BA2025">
        <w:rPr>
          <w:rFonts w:ascii="Arial" w:hAnsi="Arial" w:cs="Arial"/>
        </w:rPr>
        <w:t> </w:t>
      </w:r>
      <w:r w:rsidRPr="00BA2025">
        <w:rPr>
          <w:rFonts w:ascii="Arial" w:hAnsi="Arial" w:cs="Arial"/>
          <w:b/>
          <w:bCs/>
        </w:rPr>
        <w:t>29</w:t>
      </w:r>
      <w:r w:rsidRPr="00BA2025">
        <w:rPr>
          <w:rFonts w:ascii="Arial" w:hAnsi="Arial" w:cs="Arial"/>
        </w:rPr>
        <w:t>, 635. https://doi.org/10.1186/s40001-024-02251-2</w:t>
      </w:r>
    </w:p>
    <w:p w14:paraId="720CF095" w14:textId="7DF33E76" w:rsidR="007050C6" w:rsidRDefault="007050C6" w:rsidP="007050C6">
      <w:pPr>
        <w:pStyle w:val="Body"/>
        <w:numPr>
          <w:ilvl w:val="0"/>
          <w:numId w:val="34"/>
        </w:numPr>
      </w:pPr>
      <w:r w:rsidRPr="007050C6">
        <w:t xml:space="preserve">Kumar, C. M., Dodds, C., &amp; Esfahani, M. R. (2006). Sub-Tenon's </w:t>
      </w:r>
      <w:proofErr w:type="spellStart"/>
      <w:r w:rsidRPr="007050C6">
        <w:t>anaesthesia</w:t>
      </w:r>
      <w:proofErr w:type="spellEnd"/>
      <w:r w:rsidRPr="007050C6">
        <w:t xml:space="preserve">: a safe and effective alternative to retrobulbar and peribulbar blocks. </w:t>
      </w:r>
      <w:r w:rsidRPr="007050C6">
        <w:rPr>
          <w:i/>
          <w:iCs/>
        </w:rPr>
        <w:t>Journal of Cataract &amp; Refractive Surgery</w:t>
      </w:r>
      <w:r w:rsidRPr="007050C6">
        <w:t xml:space="preserve">, </w:t>
      </w:r>
      <w:r w:rsidRPr="007050C6">
        <w:rPr>
          <w:i/>
          <w:iCs/>
        </w:rPr>
        <w:t>32</w:t>
      </w:r>
      <w:r w:rsidRPr="007050C6">
        <w:t xml:space="preserve">(12), 2141-2146. </w:t>
      </w:r>
    </w:p>
    <w:p w14:paraId="7576787D" w14:textId="0B7D84AB" w:rsidR="007050C6" w:rsidRDefault="007050C6" w:rsidP="007050C6">
      <w:pPr>
        <w:pStyle w:val="Body"/>
        <w:numPr>
          <w:ilvl w:val="0"/>
          <w:numId w:val="34"/>
        </w:numPr>
        <w:rPr>
          <w:rFonts w:ascii="Arial" w:hAnsi="Arial" w:cs="Arial"/>
        </w:rPr>
      </w:pPr>
      <w:r w:rsidRPr="00B15E15">
        <w:rPr>
          <w:rFonts w:ascii="Arial" w:hAnsi="Arial" w:cs="Arial"/>
          <w:lang w:val="en-IN"/>
        </w:rPr>
        <w:lastRenderedPageBreak/>
        <w:t xml:space="preserve">Liu, P., Feldman, H. S., Covino, B. M., </w:t>
      </w:r>
      <w:proofErr w:type="spellStart"/>
      <w:r w:rsidRPr="00B15E15">
        <w:rPr>
          <w:rFonts w:ascii="Arial" w:hAnsi="Arial" w:cs="Arial"/>
          <w:lang w:val="en-IN"/>
        </w:rPr>
        <w:t>Giasi</w:t>
      </w:r>
      <w:proofErr w:type="spellEnd"/>
      <w:r w:rsidRPr="00B15E15">
        <w:rPr>
          <w:rFonts w:ascii="Arial" w:hAnsi="Arial" w:cs="Arial"/>
          <w:lang w:val="en-IN"/>
        </w:rPr>
        <w:t xml:space="preserve"> R., &amp; Covino BG. </w:t>
      </w:r>
      <w:r w:rsidR="00B15E15">
        <w:rPr>
          <w:rFonts w:ascii="Arial" w:hAnsi="Arial" w:cs="Arial"/>
          <w:lang w:val="en-IN"/>
        </w:rPr>
        <w:t>(</w:t>
      </w:r>
      <w:r w:rsidR="00B15E15" w:rsidRPr="009A1634">
        <w:rPr>
          <w:rFonts w:ascii="Arial" w:hAnsi="Arial" w:cs="Arial"/>
        </w:rPr>
        <w:t>1982</w:t>
      </w:r>
      <w:r w:rsidR="00B15E15">
        <w:rPr>
          <w:rFonts w:ascii="Arial" w:hAnsi="Arial" w:cs="Arial"/>
        </w:rPr>
        <w:t xml:space="preserve">) </w:t>
      </w:r>
      <w:r w:rsidRPr="009A1634">
        <w:rPr>
          <w:rFonts w:ascii="Arial" w:hAnsi="Arial" w:cs="Arial"/>
        </w:rPr>
        <w:t>Acute cardiovascular toxicity of intravenous amide local-anesthetics in anesthetized ventilated dogs. Anesthesia and Analgesia.;61(4):317-22.</w:t>
      </w:r>
      <w:r>
        <w:rPr>
          <w:rFonts w:ascii="Arial" w:hAnsi="Arial" w:cs="Arial"/>
        </w:rPr>
        <w:t xml:space="preserve">   3</w:t>
      </w:r>
    </w:p>
    <w:p w14:paraId="5CF9570F" w14:textId="79E8CF01" w:rsidR="007050C6" w:rsidRDefault="007050C6" w:rsidP="007050C6">
      <w:pPr>
        <w:pStyle w:val="Body"/>
        <w:numPr>
          <w:ilvl w:val="0"/>
          <w:numId w:val="34"/>
        </w:numPr>
        <w:rPr>
          <w:rFonts w:ascii="Arial" w:hAnsi="Arial" w:cs="Arial"/>
        </w:rPr>
      </w:pPr>
      <w:proofErr w:type="spellStart"/>
      <w:r w:rsidRPr="0045604A">
        <w:rPr>
          <w:rFonts w:ascii="Arial" w:hAnsi="Arial" w:cs="Arial"/>
        </w:rPr>
        <w:t>Ripart</w:t>
      </w:r>
      <w:proofErr w:type="spellEnd"/>
      <w:r>
        <w:rPr>
          <w:rFonts w:ascii="Arial" w:hAnsi="Arial" w:cs="Arial"/>
        </w:rPr>
        <w:t>,</w:t>
      </w:r>
      <w:r w:rsidRPr="0045604A">
        <w:rPr>
          <w:rFonts w:ascii="Arial" w:hAnsi="Arial" w:cs="Arial"/>
        </w:rPr>
        <w:t xml:space="preserve"> J</w:t>
      </w:r>
      <w:r>
        <w:rPr>
          <w:rFonts w:ascii="Arial" w:hAnsi="Arial" w:cs="Arial"/>
        </w:rPr>
        <w:t>.</w:t>
      </w:r>
      <w:r w:rsidRPr="0045604A">
        <w:rPr>
          <w:rFonts w:ascii="Arial" w:hAnsi="Arial" w:cs="Arial"/>
        </w:rPr>
        <w:t>, Prat-</w:t>
      </w:r>
      <w:proofErr w:type="spellStart"/>
      <w:r w:rsidRPr="0045604A">
        <w:rPr>
          <w:rFonts w:ascii="Arial" w:hAnsi="Arial" w:cs="Arial"/>
        </w:rPr>
        <w:t>Pradal</w:t>
      </w:r>
      <w:proofErr w:type="spellEnd"/>
      <w:r>
        <w:rPr>
          <w:rFonts w:ascii="Arial" w:hAnsi="Arial" w:cs="Arial"/>
        </w:rPr>
        <w:t>,</w:t>
      </w:r>
      <w:r w:rsidRPr="0045604A">
        <w:rPr>
          <w:rFonts w:ascii="Arial" w:hAnsi="Arial" w:cs="Arial"/>
        </w:rPr>
        <w:t xml:space="preserve"> D</w:t>
      </w:r>
      <w:r>
        <w:rPr>
          <w:rFonts w:ascii="Arial" w:hAnsi="Arial" w:cs="Arial"/>
        </w:rPr>
        <w:t>.</w:t>
      </w:r>
      <w:r w:rsidRPr="0045604A">
        <w:rPr>
          <w:rFonts w:ascii="Arial" w:hAnsi="Arial" w:cs="Arial"/>
        </w:rPr>
        <w:t>, Vivien</w:t>
      </w:r>
      <w:r>
        <w:rPr>
          <w:rFonts w:ascii="Arial" w:hAnsi="Arial" w:cs="Arial"/>
        </w:rPr>
        <w:t>,</w:t>
      </w:r>
      <w:r w:rsidRPr="0045604A">
        <w:rPr>
          <w:rFonts w:ascii="Arial" w:hAnsi="Arial" w:cs="Arial"/>
        </w:rPr>
        <w:t xml:space="preserve"> B</w:t>
      </w:r>
      <w:r>
        <w:rPr>
          <w:rFonts w:ascii="Arial" w:hAnsi="Arial" w:cs="Arial"/>
        </w:rPr>
        <w:t>.</w:t>
      </w:r>
      <w:r w:rsidRPr="0045604A">
        <w:rPr>
          <w:rFonts w:ascii="Arial" w:hAnsi="Arial" w:cs="Arial"/>
        </w:rPr>
        <w:t xml:space="preserve">, </w:t>
      </w:r>
      <w:proofErr w:type="spellStart"/>
      <w:r w:rsidRPr="0045604A">
        <w:rPr>
          <w:rFonts w:ascii="Arial" w:hAnsi="Arial" w:cs="Arial"/>
        </w:rPr>
        <w:t>Charavel</w:t>
      </w:r>
      <w:proofErr w:type="spellEnd"/>
      <w:r>
        <w:rPr>
          <w:rFonts w:ascii="Arial" w:hAnsi="Arial" w:cs="Arial"/>
        </w:rPr>
        <w:t>,</w:t>
      </w:r>
      <w:r w:rsidRPr="0045604A">
        <w:rPr>
          <w:rFonts w:ascii="Arial" w:hAnsi="Arial" w:cs="Arial"/>
        </w:rPr>
        <w:t xml:space="preserve"> P</w:t>
      </w:r>
      <w:r>
        <w:rPr>
          <w:rFonts w:ascii="Arial" w:hAnsi="Arial" w:cs="Arial"/>
        </w:rPr>
        <w:t>.</w:t>
      </w:r>
      <w:r w:rsidRPr="0045604A">
        <w:rPr>
          <w:rFonts w:ascii="Arial" w:hAnsi="Arial" w:cs="Arial"/>
        </w:rPr>
        <w:t xml:space="preserve">, </w:t>
      </w:r>
      <w:r w:rsidRPr="008641ED">
        <w:rPr>
          <w:rFonts w:ascii="Arial" w:hAnsi="Arial" w:cs="Arial"/>
        </w:rPr>
        <w:t>&amp;</w:t>
      </w:r>
      <w:r w:rsidRPr="0045604A">
        <w:rPr>
          <w:rFonts w:ascii="Arial" w:hAnsi="Arial" w:cs="Arial"/>
        </w:rPr>
        <w:t xml:space="preserve"> </w:t>
      </w:r>
      <w:proofErr w:type="spellStart"/>
      <w:r w:rsidRPr="0045604A">
        <w:rPr>
          <w:rFonts w:ascii="Arial" w:hAnsi="Arial" w:cs="Arial"/>
        </w:rPr>
        <w:t>Eledjam</w:t>
      </w:r>
      <w:proofErr w:type="spellEnd"/>
      <w:r w:rsidRPr="0045604A">
        <w:rPr>
          <w:rFonts w:ascii="Arial" w:hAnsi="Arial" w:cs="Arial"/>
        </w:rPr>
        <w:t xml:space="preserve"> JJ. </w:t>
      </w:r>
      <w:r w:rsidR="00B15E15">
        <w:rPr>
          <w:rFonts w:ascii="Arial" w:hAnsi="Arial" w:cs="Arial"/>
        </w:rPr>
        <w:t>(</w:t>
      </w:r>
      <w:r w:rsidR="00B15E15" w:rsidRPr="0045604A">
        <w:rPr>
          <w:rFonts w:ascii="Arial" w:hAnsi="Arial" w:cs="Arial"/>
        </w:rPr>
        <w:t>1998</w:t>
      </w:r>
      <w:r w:rsidR="00B15E15">
        <w:rPr>
          <w:rFonts w:ascii="Arial" w:hAnsi="Arial" w:cs="Arial"/>
        </w:rPr>
        <w:t xml:space="preserve">) </w:t>
      </w:r>
      <w:r w:rsidRPr="0045604A">
        <w:rPr>
          <w:rFonts w:ascii="Arial" w:hAnsi="Arial" w:cs="Arial"/>
        </w:rPr>
        <w:t xml:space="preserve">Medial canthus episcleral (sub Tenon) anesthesia imaging. Clinical Anatomy.;11(6):390-5. </w:t>
      </w:r>
      <w:r>
        <w:rPr>
          <w:rFonts w:ascii="Arial" w:hAnsi="Arial" w:cs="Arial"/>
        </w:rPr>
        <w:t xml:space="preserve">     4   </w:t>
      </w:r>
    </w:p>
    <w:p w14:paraId="648DB9D5" w14:textId="3283909A" w:rsidR="007050C6" w:rsidRDefault="007050C6" w:rsidP="007050C6">
      <w:pPr>
        <w:pStyle w:val="Body"/>
        <w:numPr>
          <w:ilvl w:val="0"/>
          <w:numId w:val="34"/>
        </w:numPr>
        <w:rPr>
          <w:rFonts w:ascii="Arial" w:hAnsi="Arial" w:cs="Arial"/>
        </w:rPr>
      </w:pPr>
      <w:r w:rsidRPr="0045604A">
        <w:rPr>
          <w:rFonts w:ascii="Arial" w:hAnsi="Arial" w:cs="Arial"/>
        </w:rPr>
        <w:t>Roman</w:t>
      </w:r>
      <w:r w:rsidR="00B15E15">
        <w:rPr>
          <w:rFonts w:ascii="Arial" w:hAnsi="Arial" w:cs="Arial"/>
        </w:rPr>
        <w:t>,</w:t>
      </w:r>
      <w:r w:rsidRPr="0045604A">
        <w:rPr>
          <w:rFonts w:ascii="Arial" w:hAnsi="Arial" w:cs="Arial"/>
        </w:rPr>
        <w:t xml:space="preserve"> S</w:t>
      </w:r>
      <w:r w:rsidR="00B15E15">
        <w:rPr>
          <w:rFonts w:ascii="Arial" w:hAnsi="Arial" w:cs="Arial"/>
        </w:rPr>
        <w:t>.</w:t>
      </w:r>
      <w:r w:rsidRPr="0045604A">
        <w:rPr>
          <w:rFonts w:ascii="Arial" w:hAnsi="Arial" w:cs="Arial"/>
        </w:rPr>
        <w:t>J</w:t>
      </w:r>
      <w:r w:rsidR="00B15E15">
        <w:rPr>
          <w:rFonts w:ascii="Arial" w:hAnsi="Arial" w:cs="Arial"/>
        </w:rPr>
        <w:t>.</w:t>
      </w:r>
      <w:r w:rsidRPr="0045604A">
        <w:rPr>
          <w:rFonts w:ascii="Arial" w:hAnsi="Arial" w:cs="Arial"/>
        </w:rPr>
        <w:t xml:space="preserve">, Sit DAC, </w:t>
      </w:r>
      <w:proofErr w:type="spellStart"/>
      <w:r w:rsidRPr="0045604A">
        <w:rPr>
          <w:rFonts w:ascii="Arial" w:hAnsi="Arial" w:cs="Arial"/>
        </w:rPr>
        <w:t>Boureau</w:t>
      </w:r>
      <w:proofErr w:type="spellEnd"/>
      <w:r w:rsidRPr="0045604A">
        <w:rPr>
          <w:rFonts w:ascii="Arial" w:hAnsi="Arial" w:cs="Arial"/>
        </w:rPr>
        <w:t xml:space="preserve"> C</w:t>
      </w:r>
      <w:r w:rsidR="00B15E15">
        <w:rPr>
          <w:rFonts w:ascii="Arial" w:hAnsi="Arial" w:cs="Arial"/>
        </w:rPr>
        <w:t>.</w:t>
      </w:r>
      <w:r w:rsidRPr="0045604A">
        <w:rPr>
          <w:rFonts w:ascii="Arial" w:hAnsi="Arial" w:cs="Arial"/>
        </w:rPr>
        <w:t>M</w:t>
      </w:r>
      <w:r w:rsidR="00B15E15">
        <w:rPr>
          <w:rFonts w:ascii="Arial" w:hAnsi="Arial" w:cs="Arial"/>
        </w:rPr>
        <w:t>.</w:t>
      </w:r>
      <w:r w:rsidRPr="0045604A">
        <w:rPr>
          <w:rFonts w:ascii="Arial" w:hAnsi="Arial" w:cs="Arial"/>
        </w:rPr>
        <w:t xml:space="preserve">, </w:t>
      </w:r>
      <w:proofErr w:type="spellStart"/>
      <w:r w:rsidRPr="0045604A">
        <w:rPr>
          <w:rFonts w:ascii="Arial" w:hAnsi="Arial" w:cs="Arial"/>
        </w:rPr>
        <w:t>Auclin</w:t>
      </w:r>
      <w:proofErr w:type="spellEnd"/>
      <w:r w:rsidRPr="0045604A">
        <w:rPr>
          <w:rFonts w:ascii="Arial" w:hAnsi="Arial" w:cs="Arial"/>
        </w:rPr>
        <w:t xml:space="preserve"> F</w:t>
      </w:r>
      <w:r w:rsidR="00B15E15">
        <w:rPr>
          <w:rFonts w:ascii="Arial" w:hAnsi="Arial" w:cs="Arial"/>
        </w:rPr>
        <w:t>.</w:t>
      </w:r>
      <w:r w:rsidRPr="0045604A">
        <w:rPr>
          <w:rFonts w:ascii="Arial" w:hAnsi="Arial" w:cs="Arial"/>
        </w:rPr>
        <w:t>X</w:t>
      </w:r>
      <w:r w:rsidR="00B15E15">
        <w:rPr>
          <w:rFonts w:ascii="Arial" w:hAnsi="Arial" w:cs="Arial"/>
        </w:rPr>
        <w:t>.</w:t>
      </w:r>
      <w:r w:rsidRPr="0045604A">
        <w:rPr>
          <w:rFonts w:ascii="Arial" w:hAnsi="Arial" w:cs="Arial"/>
        </w:rPr>
        <w:t xml:space="preserve">, </w:t>
      </w:r>
      <w:proofErr w:type="spellStart"/>
      <w:r w:rsidRPr="0045604A">
        <w:rPr>
          <w:rFonts w:ascii="Arial" w:hAnsi="Arial" w:cs="Arial"/>
        </w:rPr>
        <w:t>Ullern</w:t>
      </w:r>
      <w:proofErr w:type="spellEnd"/>
      <w:r w:rsidRPr="0045604A">
        <w:rPr>
          <w:rFonts w:ascii="Arial" w:hAnsi="Arial" w:cs="Arial"/>
        </w:rPr>
        <w:t xml:space="preserve"> M</w:t>
      </w:r>
      <w:r w:rsidR="00B15E15">
        <w:rPr>
          <w:rFonts w:ascii="Arial" w:hAnsi="Arial" w:cs="Arial"/>
        </w:rPr>
        <w:t>.</w:t>
      </w:r>
      <w:r w:rsidRPr="0045604A">
        <w:rPr>
          <w:rFonts w:ascii="Arial" w:hAnsi="Arial" w:cs="Arial"/>
        </w:rPr>
        <w:t xml:space="preserve">M. Sub-Tenon's </w:t>
      </w:r>
      <w:proofErr w:type="spellStart"/>
      <w:r w:rsidRPr="0045604A">
        <w:rPr>
          <w:rFonts w:ascii="Arial" w:hAnsi="Arial" w:cs="Arial"/>
        </w:rPr>
        <w:t>anaesthesia</w:t>
      </w:r>
      <w:proofErr w:type="spellEnd"/>
      <w:r w:rsidRPr="0045604A">
        <w:rPr>
          <w:rFonts w:ascii="Arial" w:hAnsi="Arial" w:cs="Arial"/>
        </w:rPr>
        <w:t>: an efficient and safe technique. British Journal of Ophthalmology. 1997;81(8):673-6.</w:t>
      </w:r>
      <w:r>
        <w:rPr>
          <w:rFonts w:ascii="Arial" w:hAnsi="Arial" w:cs="Arial"/>
        </w:rPr>
        <w:t xml:space="preserve">    169.    5</w:t>
      </w:r>
    </w:p>
    <w:p w14:paraId="2C1F02FC" w14:textId="413C49B6" w:rsidR="007050C6" w:rsidRDefault="007050C6" w:rsidP="007050C6">
      <w:pPr>
        <w:pStyle w:val="Body"/>
        <w:numPr>
          <w:ilvl w:val="0"/>
          <w:numId w:val="34"/>
        </w:numPr>
      </w:pPr>
      <w:r w:rsidRPr="007050C6">
        <w:t xml:space="preserve">Romanowski, R. R., &amp; Nevin, T. R. (2007). Sub-Tenon's anesthesia: a review. </w:t>
      </w:r>
      <w:r w:rsidRPr="007050C6">
        <w:rPr>
          <w:i/>
          <w:iCs/>
        </w:rPr>
        <w:t>Current Opinion in Ophthalmology</w:t>
      </w:r>
      <w:r w:rsidRPr="007050C6">
        <w:t xml:space="preserve">, </w:t>
      </w:r>
      <w:r w:rsidRPr="007050C6">
        <w:rPr>
          <w:i/>
          <w:iCs/>
        </w:rPr>
        <w:t>18</w:t>
      </w:r>
      <w:r w:rsidRPr="007050C6">
        <w:t>(3), 207-211.</w:t>
      </w:r>
    </w:p>
    <w:p w14:paraId="3CC258E3" w14:textId="005EA3F2" w:rsidR="007050C6" w:rsidRDefault="007050C6" w:rsidP="007050C6">
      <w:pPr>
        <w:pStyle w:val="Body"/>
        <w:numPr>
          <w:ilvl w:val="0"/>
          <w:numId w:val="34"/>
        </w:numPr>
        <w:rPr>
          <w:rFonts w:ascii="Arial" w:hAnsi="Arial" w:cs="Arial"/>
        </w:rPr>
      </w:pPr>
      <w:r w:rsidRPr="0045604A">
        <w:rPr>
          <w:rFonts w:ascii="Arial" w:hAnsi="Arial" w:cs="Arial"/>
        </w:rPr>
        <w:t>Slatter</w:t>
      </w:r>
      <w:r>
        <w:rPr>
          <w:rFonts w:ascii="Arial" w:hAnsi="Arial" w:cs="Arial"/>
        </w:rPr>
        <w:t>,</w:t>
      </w:r>
      <w:r w:rsidRPr="0045604A">
        <w:rPr>
          <w:rFonts w:ascii="Arial" w:hAnsi="Arial" w:cs="Arial"/>
        </w:rPr>
        <w:t xml:space="preserve"> D. Fundamentals of Veterinary Ophthalmology. 3</w:t>
      </w:r>
      <w:r w:rsidRPr="0045604A">
        <w:rPr>
          <w:rFonts w:ascii="Arial" w:hAnsi="Arial" w:cs="Arial"/>
          <w:vertAlign w:val="superscript"/>
        </w:rPr>
        <w:t>rd</w:t>
      </w:r>
      <w:r>
        <w:rPr>
          <w:rFonts w:ascii="Arial" w:hAnsi="Arial" w:cs="Arial"/>
        </w:rPr>
        <w:t xml:space="preserve"> </w:t>
      </w:r>
      <w:r w:rsidRPr="0045604A">
        <w:rPr>
          <w:rFonts w:ascii="Arial" w:hAnsi="Arial" w:cs="Arial"/>
        </w:rPr>
        <w:t>ed. pp. 208, Saunders, Philadelphia, 2001</w:t>
      </w:r>
      <w:r>
        <w:rPr>
          <w:rFonts w:ascii="Arial" w:hAnsi="Arial" w:cs="Arial"/>
        </w:rPr>
        <w:t>.    6</w:t>
      </w:r>
    </w:p>
    <w:p w14:paraId="06D8C00E" w14:textId="0711BFC8" w:rsidR="007050C6" w:rsidRDefault="007050C6" w:rsidP="007050C6">
      <w:pPr>
        <w:pStyle w:val="Body"/>
        <w:numPr>
          <w:ilvl w:val="0"/>
          <w:numId w:val="34"/>
        </w:numPr>
        <w:rPr>
          <w:rFonts w:ascii="Arial" w:hAnsi="Arial" w:cs="Arial"/>
        </w:rPr>
      </w:pPr>
      <w:r w:rsidRPr="009A1634">
        <w:rPr>
          <w:rFonts w:ascii="Arial" w:hAnsi="Arial" w:cs="Arial"/>
        </w:rPr>
        <w:t>Stevens</w:t>
      </w:r>
      <w:r>
        <w:rPr>
          <w:rFonts w:ascii="Arial" w:hAnsi="Arial" w:cs="Arial"/>
        </w:rPr>
        <w:t>,</w:t>
      </w:r>
      <w:r w:rsidRPr="009A1634">
        <w:rPr>
          <w:rFonts w:ascii="Arial" w:hAnsi="Arial" w:cs="Arial"/>
        </w:rPr>
        <w:t xml:space="preserve"> J</w:t>
      </w:r>
      <w:r>
        <w:rPr>
          <w:rFonts w:ascii="Arial" w:hAnsi="Arial" w:cs="Arial"/>
        </w:rPr>
        <w:t xml:space="preserve">. </w:t>
      </w:r>
      <w:r w:rsidRPr="009A1634">
        <w:rPr>
          <w:rFonts w:ascii="Arial" w:hAnsi="Arial" w:cs="Arial"/>
        </w:rPr>
        <w:t>D.</w:t>
      </w:r>
      <w:r w:rsidR="00B15E15" w:rsidRPr="00B15E15">
        <w:rPr>
          <w:rFonts w:ascii="Arial" w:hAnsi="Arial" w:cs="Arial"/>
        </w:rPr>
        <w:t xml:space="preserve"> </w:t>
      </w:r>
      <w:r w:rsidR="00B15E15">
        <w:rPr>
          <w:rFonts w:ascii="Arial" w:hAnsi="Arial" w:cs="Arial"/>
        </w:rPr>
        <w:t>(</w:t>
      </w:r>
      <w:r w:rsidR="00B15E15" w:rsidRPr="009A1634">
        <w:rPr>
          <w:rFonts w:ascii="Arial" w:hAnsi="Arial" w:cs="Arial"/>
        </w:rPr>
        <w:t>1992</w:t>
      </w:r>
      <w:r w:rsidR="00B15E15">
        <w:rPr>
          <w:rFonts w:ascii="Arial" w:hAnsi="Arial" w:cs="Arial"/>
        </w:rPr>
        <w:t>).</w:t>
      </w:r>
      <w:r w:rsidRPr="009A1634">
        <w:rPr>
          <w:rFonts w:ascii="Arial" w:hAnsi="Arial" w:cs="Arial"/>
        </w:rPr>
        <w:t xml:space="preserve"> A new local-anesthesia technique for cataract-extraction by one quadrant sub-Tenons infiltration British Journal of Ophthalmology.;76(11):670-4.</w:t>
      </w:r>
      <w:r>
        <w:rPr>
          <w:rFonts w:ascii="Arial" w:hAnsi="Arial" w:cs="Arial"/>
        </w:rPr>
        <w:t xml:space="preserve">      7</w:t>
      </w:r>
    </w:p>
    <w:p w14:paraId="444C866B" w14:textId="13739E0D" w:rsidR="007050C6" w:rsidRDefault="007050C6" w:rsidP="007050C6">
      <w:pPr>
        <w:pStyle w:val="Body"/>
        <w:numPr>
          <w:ilvl w:val="0"/>
          <w:numId w:val="34"/>
        </w:numPr>
        <w:spacing w:after="0"/>
      </w:pPr>
      <w:r w:rsidRPr="007050C6">
        <w:t xml:space="preserve">Williamson, T. H. (1999). Sub-Tenon's local </w:t>
      </w:r>
      <w:proofErr w:type="spellStart"/>
      <w:r w:rsidRPr="007050C6">
        <w:t>anaesthesia</w:t>
      </w:r>
      <w:proofErr w:type="spellEnd"/>
      <w:r w:rsidRPr="007050C6">
        <w:t xml:space="preserve"> in ophthalmic surgery. </w:t>
      </w:r>
      <w:r w:rsidRPr="007050C6">
        <w:rPr>
          <w:i/>
          <w:iCs/>
        </w:rPr>
        <w:t>British Journal of Ophthalmology</w:t>
      </w:r>
      <w:r w:rsidRPr="007050C6">
        <w:t xml:space="preserve">, </w:t>
      </w:r>
      <w:r w:rsidRPr="007050C6">
        <w:rPr>
          <w:i/>
          <w:iCs/>
        </w:rPr>
        <w:t>83</w:t>
      </w:r>
      <w:r w:rsidRPr="007050C6">
        <w:t>(1), 1-2.</w:t>
      </w:r>
    </w:p>
    <w:sectPr w:rsidR="007050C6" w:rsidSect="00BF1157">
      <w:type w:val="continuous"/>
      <w:pgSz w:w="12240" w:h="15840"/>
      <w:pgMar w:top="1440" w:right="2016" w:bottom="2016" w:left="2016" w:header="720" w:footer="1123"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E393" w16cex:dateUtc="2025-05-21T20:43:00Z"/>
  <w16cex:commentExtensible w16cex:durableId="2BD8E481" w16cex:dateUtc="2025-05-21T20:47:00Z"/>
  <w16cex:commentExtensible w16cex:durableId="2BDA420D" w16cex:dateUtc="2025-05-22T2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7E744" w14:textId="77777777" w:rsidR="002417B8" w:rsidRDefault="002417B8" w:rsidP="00C37E61">
      <w:r>
        <w:separator/>
      </w:r>
    </w:p>
  </w:endnote>
  <w:endnote w:type="continuationSeparator" w:id="0">
    <w:p w14:paraId="2D5CEC8B" w14:textId="77777777" w:rsidR="002417B8" w:rsidRDefault="002417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7E79D" w14:textId="77777777" w:rsidR="005F0012" w:rsidRDefault="005F0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09CA" w14:textId="77777777" w:rsidR="005F0012" w:rsidRDefault="005F0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12AE" w14:textId="77777777" w:rsidR="009E048A" w:rsidRDefault="009E048A">
    <w:pPr>
      <w:pStyle w:val="Footer"/>
      <w:rPr>
        <w:rFonts w:ascii="Arial" w:hAnsi="Arial" w:cs="Arial"/>
        <w:sz w:val="16"/>
      </w:rPr>
    </w:pPr>
  </w:p>
  <w:p w14:paraId="134565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84E9DEA" w14:textId="77777777" w:rsidR="009E048A" w:rsidRDefault="009E048A">
    <w:pPr>
      <w:pStyle w:val="Footer"/>
      <w:rPr>
        <w:rFonts w:ascii="Arial" w:hAnsi="Arial" w:cs="Arial"/>
        <w:sz w:val="16"/>
      </w:rPr>
    </w:pPr>
  </w:p>
  <w:p w14:paraId="2B0D00E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6843" w14:textId="77777777" w:rsidR="002417B8" w:rsidRDefault="002417B8" w:rsidP="00C37E61">
      <w:r>
        <w:separator/>
      </w:r>
    </w:p>
  </w:footnote>
  <w:footnote w:type="continuationSeparator" w:id="0">
    <w:p w14:paraId="0785DD61" w14:textId="77777777" w:rsidR="002417B8" w:rsidRDefault="002417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531C" w14:textId="639AEC52" w:rsidR="005F0012" w:rsidRDefault="002417B8">
    <w:pPr>
      <w:pStyle w:val="Header"/>
    </w:pPr>
    <w:r>
      <w:rPr>
        <w:noProof/>
      </w:rPr>
      <w:pict w14:anchorId="5AE6C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25D5" w14:textId="01F870D7" w:rsidR="005F0012" w:rsidRDefault="002417B8">
    <w:pPr>
      <w:pStyle w:val="Header"/>
    </w:pPr>
    <w:r>
      <w:rPr>
        <w:noProof/>
      </w:rPr>
      <w:pict w14:anchorId="24EF0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EC57" w14:textId="6835D401" w:rsidR="00296529" w:rsidRPr="00296529" w:rsidRDefault="002417B8" w:rsidP="00296529">
    <w:pPr>
      <w:ind w:left="2160"/>
      <w:jc w:val="center"/>
      <w:rPr>
        <w:rFonts w:ascii="Times New Roman" w:eastAsia="Calibri" w:hAnsi="Times New Roman"/>
        <w:i/>
        <w:sz w:val="18"/>
        <w:szCs w:val="22"/>
      </w:rPr>
    </w:pPr>
    <w:r>
      <w:rPr>
        <w:noProof/>
      </w:rPr>
      <w:pict w14:anchorId="0956F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89A59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A25F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35D26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619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9B609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D463F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5421D9"/>
    <w:multiLevelType w:val="hybridMultilevel"/>
    <w:tmpl w:val="D0B8D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044ACD"/>
    <w:multiLevelType w:val="multilevel"/>
    <w:tmpl w:val="AF8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B1EB0"/>
    <w:multiLevelType w:val="hybridMultilevel"/>
    <w:tmpl w:val="610C9B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88135E"/>
    <w:multiLevelType w:val="hybridMultilevel"/>
    <w:tmpl w:val="9B9C1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7"/>
  </w:num>
  <w:num w:numId="30">
    <w:abstractNumId w:val="11"/>
  </w:num>
  <w:num w:numId="31">
    <w:abstractNumId w:val="16"/>
  </w:num>
  <w:num w:numId="32">
    <w:abstractNumId w:val="19"/>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07F1"/>
    <w:rsid w:val="000D689F"/>
    <w:rsid w:val="000E3A2F"/>
    <w:rsid w:val="000E7B7B"/>
    <w:rsid w:val="000E7D62"/>
    <w:rsid w:val="00103357"/>
    <w:rsid w:val="00110585"/>
    <w:rsid w:val="001201B9"/>
    <w:rsid w:val="00123C9F"/>
    <w:rsid w:val="00126190"/>
    <w:rsid w:val="00130F17"/>
    <w:rsid w:val="001320BF"/>
    <w:rsid w:val="00136B71"/>
    <w:rsid w:val="00163BC4"/>
    <w:rsid w:val="00165181"/>
    <w:rsid w:val="00191062"/>
    <w:rsid w:val="00192B72"/>
    <w:rsid w:val="0019655F"/>
    <w:rsid w:val="001A29D8"/>
    <w:rsid w:val="001A5CAA"/>
    <w:rsid w:val="001B0427"/>
    <w:rsid w:val="001C3F72"/>
    <w:rsid w:val="001D3A51"/>
    <w:rsid w:val="001D6B0C"/>
    <w:rsid w:val="001E10D2"/>
    <w:rsid w:val="001E25B4"/>
    <w:rsid w:val="001E44FE"/>
    <w:rsid w:val="001F0D93"/>
    <w:rsid w:val="00200595"/>
    <w:rsid w:val="00204835"/>
    <w:rsid w:val="00212967"/>
    <w:rsid w:val="00212B97"/>
    <w:rsid w:val="00214B69"/>
    <w:rsid w:val="0021664A"/>
    <w:rsid w:val="0021706D"/>
    <w:rsid w:val="00231920"/>
    <w:rsid w:val="0023195C"/>
    <w:rsid w:val="00237940"/>
    <w:rsid w:val="002417B8"/>
    <w:rsid w:val="0024282C"/>
    <w:rsid w:val="00246096"/>
    <w:rsid w:val="002460DC"/>
    <w:rsid w:val="00250985"/>
    <w:rsid w:val="002556F6"/>
    <w:rsid w:val="00283105"/>
    <w:rsid w:val="00284C4C"/>
    <w:rsid w:val="00287E68"/>
    <w:rsid w:val="00296529"/>
    <w:rsid w:val="002A4060"/>
    <w:rsid w:val="002B27FB"/>
    <w:rsid w:val="002B685A"/>
    <w:rsid w:val="002C30A5"/>
    <w:rsid w:val="002C57D2"/>
    <w:rsid w:val="002E0D56"/>
    <w:rsid w:val="002E0FAD"/>
    <w:rsid w:val="0030778F"/>
    <w:rsid w:val="00315186"/>
    <w:rsid w:val="0033343E"/>
    <w:rsid w:val="00342007"/>
    <w:rsid w:val="003512C2"/>
    <w:rsid w:val="00371FB6"/>
    <w:rsid w:val="00372D70"/>
    <w:rsid w:val="003763C1"/>
    <w:rsid w:val="00376BBE"/>
    <w:rsid w:val="00382B86"/>
    <w:rsid w:val="0039224F"/>
    <w:rsid w:val="003A43A4"/>
    <w:rsid w:val="003A7E18"/>
    <w:rsid w:val="003C4C86"/>
    <w:rsid w:val="003C6258"/>
    <w:rsid w:val="003D097C"/>
    <w:rsid w:val="003E0F0B"/>
    <w:rsid w:val="003E2904"/>
    <w:rsid w:val="00401927"/>
    <w:rsid w:val="004064FD"/>
    <w:rsid w:val="0041027F"/>
    <w:rsid w:val="00412475"/>
    <w:rsid w:val="004230ED"/>
    <w:rsid w:val="00423789"/>
    <w:rsid w:val="0043089E"/>
    <w:rsid w:val="00440F43"/>
    <w:rsid w:val="00441B6F"/>
    <w:rsid w:val="00446221"/>
    <w:rsid w:val="00450B8E"/>
    <w:rsid w:val="00450E62"/>
    <w:rsid w:val="004539DB"/>
    <w:rsid w:val="0045604A"/>
    <w:rsid w:val="00471A80"/>
    <w:rsid w:val="004B0E97"/>
    <w:rsid w:val="004D305E"/>
    <w:rsid w:val="004D4277"/>
    <w:rsid w:val="004D747F"/>
    <w:rsid w:val="004E1631"/>
    <w:rsid w:val="00502516"/>
    <w:rsid w:val="00505F06"/>
    <w:rsid w:val="00506828"/>
    <w:rsid w:val="005103A2"/>
    <w:rsid w:val="00513471"/>
    <w:rsid w:val="005148EE"/>
    <w:rsid w:val="0053056E"/>
    <w:rsid w:val="00554063"/>
    <w:rsid w:val="00554FDA"/>
    <w:rsid w:val="00576814"/>
    <w:rsid w:val="005C784C"/>
    <w:rsid w:val="005D17F6"/>
    <w:rsid w:val="005E5539"/>
    <w:rsid w:val="005E6D4E"/>
    <w:rsid w:val="005F0012"/>
    <w:rsid w:val="00602BF5"/>
    <w:rsid w:val="00617FDD"/>
    <w:rsid w:val="006279AA"/>
    <w:rsid w:val="00633614"/>
    <w:rsid w:val="00633F68"/>
    <w:rsid w:val="00636EB2"/>
    <w:rsid w:val="006375B8"/>
    <w:rsid w:val="0066510A"/>
    <w:rsid w:val="00673F9F"/>
    <w:rsid w:val="00680587"/>
    <w:rsid w:val="00686953"/>
    <w:rsid w:val="00687CA2"/>
    <w:rsid w:val="00687DEA"/>
    <w:rsid w:val="00687E67"/>
    <w:rsid w:val="00690068"/>
    <w:rsid w:val="006967F7"/>
    <w:rsid w:val="006A250C"/>
    <w:rsid w:val="006B21D3"/>
    <w:rsid w:val="006B57D0"/>
    <w:rsid w:val="006B7613"/>
    <w:rsid w:val="006D30FF"/>
    <w:rsid w:val="006D6940"/>
    <w:rsid w:val="006E4014"/>
    <w:rsid w:val="006F11EC"/>
    <w:rsid w:val="0070082C"/>
    <w:rsid w:val="007014D3"/>
    <w:rsid w:val="007016DF"/>
    <w:rsid w:val="007050C6"/>
    <w:rsid w:val="007369E6"/>
    <w:rsid w:val="00746E59"/>
    <w:rsid w:val="007477C4"/>
    <w:rsid w:val="00754C9A"/>
    <w:rsid w:val="0075599A"/>
    <w:rsid w:val="00761D52"/>
    <w:rsid w:val="0076544A"/>
    <w:rsid w:val="0077749E"/>
    <w:rsid w:val="00790ADA"/>
    <w:rsid w:val="00793BA1"/>
    <w:rsid w:val="007A246E"/>
    <w:rsid w:val="007A3D08"/>
    <w:rsid w:val="007D2288"/>
    <w:rsid w:val="007D7D63"/>
    <w:rsid w:val="007E088F"/>
    <w:rsid w:val="007E6306"/>
    <w:rsid w:val="007F7931"/>
    <w:rsid w:val="007F7B32"/>
    <w:rsid w:val="0080263D"/>
    <w:rsid w:val="0080464E"/>
    <w:rsid w:val="00804BC2"/>
    <w:rsid w:val="00813C7D"/>
    <w:rsid w:val="0081431A"/>
    <w:rsid w:val="0083216F"/>
    <w:rsid w:val="00860000"/>
    <w:rsid w:val="00863BD3"/>
    <w:rsid w:val="008641ED"/>
    <w:rsid w:val="00866D66"/>
    <w:rsid w:val="008671C6"/>
    <w:rsid w:val="0087184B"/>
    <w:rsid w:val="00875803"/>
    <w:rsid w:val="008875B5"/>
    <w:rsid w:val="008B2F96"/>
    <w:rsid w:val="008B459E"/>
    <w:rsid w:val="008E13AE"/>
    <w:rsid w:val="008E1506"/>
    <w:rsid w:val="008E710C"/>
    <w:rsid w:val="008F2C0C"/>
    <w:rsid w:val="008F69D6"/>
    <w:rsid w:val="00902823"/>
    <w:rsid w:val="00915CA6"/>
    <w:rsid w:val="00921C7A"/>
    <w:rsid w:val="00927834"/>
    <w:rsid w:val="00927C6F"/>
    <w:rsid w:val="009354FD"/>
    <w:rsid w:val="009500A6"/>
    <w:rsid w:val="00954288"/>
    <w:rsid w:val="00957C18"/>
    <w:rsid w:val="009659BA"/>
    <w:rsid w:val="00971063"/>
    <w:rsid w:val="00983040"/>
    <w:rsid w:val="0098547D"/>
    <w:rsid w:val="009A1634"/>
    <w:rsid w:val="009B3FB9"/>
    <w:rsid w:val="009C0C84"/>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9D2"/>
    <w:rsid w:val="00AC6BB8"/>
    <w:rsid w:val="00AE008F"/>
    <w:rsid w:val="00B01FCD"/>
    <w:rsid w:val="00B14FFA"/>
    <w:rsid w:val="00B15E15"/>
    <w:rsid w:val="00B1776C"/>
    <w:rsid w:val="00B52583"/>
    <w:rsid w:val="00B52896"/>
    <w:rsid w:val="00B848DF"/>
    <w:rsid w:val="00B93CFB"/>
    <w:rsid w:val="00B95236"/>
    <w:rsid w:val="00B96BD9"/>
    <w:rsid w:val="00BA1B01"/>
    <w:rsid w:val="00BA2025"/>
    <w:rsid w:val="00BA2641"/>
    <w:rsid w:val="00BB37AA"/>
    <w:rsid w:val="00BC53A0"/>
    <w:rsid w:val="00BD47E7"/>
    <w:rsid w:val="00BE62AD"/>
    <w:rsid w:val="00BF1157"/>
    <w:rsid w:val="00BF121F"/>
    <w:rsid w:val="00BF1F80"/>
    <w:rsid w:val="00C166EF"/>
    <w:rsid w:val="00C17EB0"/>
    <w:rsid w:val="00C20C87"/>
    <w:rsid w:val="00C27F5F"/>
    <w:rsid w:val="00C30A0F"/>
    <w:rsid w:val="00C37E61"/>
    <w:rsid w:val="00C70225"/>
    <w:rsid w:val="00C70F1B"/>
    <w:rsid w:val="00C71A47"/>
    <w:rsid w:val="00C7464C"/>
    <w:rsid w:val="00C85588"/>
    <w:rsid w:val="00CD6755"/>
    <w:rsid w:val="00CD6856"/>
    <w:rsid w:val="00CE0089"/>
    <w:rsid w:val="00CE5AC9"/>
    <w:rsid w:val="00CE793C"/>
    <w:rsid w:val="00CF193C"/>
    <w:rsid w:val="00D1307C"/>
    <w:rsid w:val="00D165DF"/>
    <w:rsid w:val="00D173F1"/>
    <w:rsid w:val="00D202C8"/>
    <w:rsid w:val="00D74CB0"/>
    <w:rsid w:val="00D76058"/>
    <w:rsid w:val="00D8295D"/>
    <w:rsid w:val="00DA4280"/>
    <w:rsid w:val="00DC2A65"/>
    <w:rsid w:val="00DE15F0"/>
    <w:rsid w:val="00DE5663"/>
    <w:rsid w:val="00DE6B7C"/>
    <w:rsid w:val="00DE78AA"/>
    <w:rsid w:val="00E053D0"/>
    <w:rsid w:val="00E15994"/>
    <w:rsid w:val="00E17C21"/>
    <w:rsid w:val="00E3114E"/>
    <w:rsid w:val="00E31A70"/>
    <w:rsid w:val="00E32556"/>
    <w:rsid w:val="00E35B02"/>
    <w:rsid w:val="00E66496"/>
    <w:rsid w:val="00E66B35"/>
    <w:rsid w:val="00E66E10"/>
    <w:rsid w:val="00E769F6"/>
    <w:rsid w:val="00E8407C"/>
    <w:rsid w:val="00E84F3C"/>
    <w:rsid w:val="00E93038"/>
    <w:rsid w:val="00EA012C"/>
    <w:rsid w:val="00EC6A55"/>
    <w:rsid w:val="00ED0288"/>
    <w:rsid w:val="00ED0CA3"/>
    <w:rsid w:val="00ED5B4C"/>
    <w:rsid w:val="00EE52CB"/>
    <w:rsid w:val="00EF581D"/>
    <w:rsid w:val="00EF7FD8"/>
    <w:rsid w:val="00F06F59"/>
    <w:rsid w:val="00F17988"/>
    <w:rsid w:val="00F21754"/>
    <w:rsid w:val="00F44915"/>
    <w:rsid w:val="00F469F0"/>
    <w:rsid w:val="00F53273"/>
    <w:rsid w:val="00F755E4"/>
    <w:rsid w:val="00F77D02"/>
    <w:rsid w:val="00F825C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A0EC3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8B2F96"/>
    <w:rPr>
      <w:rFonts w:ascii="Helvetica" w:hAnsi="Helvetica"/>
      <w:b/>
      <w:bCs/>
      <w:lang w:val="en-US" w:eastAsia="en-US"/>
    </w:rPr>
  </w:style>
  <w:style w:type="character" w:customStyle="1" w:styleId="CommentSubjectChar">
    <w:name w:val="Comment Subject Char"/>
    <w:basedOn w:val="CommentTextChar"/>
    <w:link w:val="CommentSubject"/>
    <w:semiHidden/>
    <w:rsid w:val="008B2F96"/>
    <w:rPr>
      <w:rFonts w:ascii="Helvetica" w:hAnsi="Helvetica"/>
      <w:b/>
      <w:bCs/>
      <w:lang w:val="nb-NO" w:eastAsia="nb-NO"/>
    </w:rPr>
  </w:style>
  <w:style w:type="paragraph" w:styleId="NormalWeb">
    <w:name w:val="Normal (Web)"/>
    <w:basedOn w:val="Normal"/>
    <w:uiPriority w:val="99"/>
    <w:semiHidden/>
    <w:unhideWhenUsed/>
    <w:rsid w:val="0021296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3357383">
      <w:bodyDiv w:val="1"/>
      <w:marLeft w:val="0"/>
      <w:marRight w:val="0"/>
      <w:marTop w:val="0"/>
      <w:marBottom w:val="0"/>
      <w:divBdr>
        <w:top w:val="none" w:sz="0" w:space="0" w:color="auto"/>
        <w:left w:val="none" w:sz="0" w:space="0" w:color="auto"/>
        <w:bottom w:val="none" w:sz="0" w:space="0" w:color="auto"/>
        <w:right w:val="none" w:sz="0" w:space="0" w:color="auto"/>
      </w:divBdr>
      <w:divsChild>
        <w:div w:id="7036734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018025">
      <w:bodyDiv w:val="1"/>
      <w:marLeft w:val="0"/>
      <w:marRight w:val="0"/>
      <w:marTop w:val="0"/>
      <w:marBottom w:val="0"/>
      <w:divBdr>
        <w:top w:val="none" w:sz="0" w:space="0" w:color="auto"/>
        <w:left w:val="none" w:sz="0" w:space="0" w:color="auto"/>
        <w:bottom w:val="none" w:sz="0" w:space="0" w:color="auto"/>
        <w:right w:val="none" w:sz="0" w:space="0" w:color="auto"/>
      </w:divBdr>
    </w:div>
    <w:div w:id="301157835">
      <w:bodyDiv w:val="1"/>
      <w:marLeft w:val="0"/>
      <w:marRight w:val="0"/>
      <w:marTop w:val="0"/>
      <w:marBottom w:val="0"/>
      <w:divBdr>
        <w:top w:val="none" w:sz="0" w:space="0" w:color="auto"/>
        <w:left w:val="none" w:sz="0" w:space="0" w:color="auto"/>
        <w:bottom w:val="none" w:sz="0" w:space="0" w:color="auto"/>
        <w:right w:val="none" w:sz="0" w:space="0" w:color="auto"/>
      </w:divBdr>
    </w:div>
    <w:div w:id="599141346">
      <w:bodyDiv w:val="1"/>
      <w:marLeft w:val="0"/>
      <w:marRight w:val="0"/>
      <w:marTop w:val="0"/>
      <w:marBottom w:val="0"/>
      <w:divBdr>
        <w:top w:val="none" w:sz="0" w:space="0" w:color="auto"/>
        <w:left w:val="none" w:sz="0" w:space="0" w:color="auto"/>
        <w:bottom w:val="none" w:sz="0" w:space="0" w:color="auto"/>
        <w:right w:val="none" w:sz="0" w:space="0" w:color="auto"/>
      </w:divBdr>
      <w:divsChild>
        <w:div w:id="13436293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040728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8406414">
      <w:bodyDiv w:val="1"/>
      <w:marLeft w:val="0"/>
      <w:marRight w:val="0"/>
      <w:marTop w:val="0"/>
      <w:marBottom w:val="0"/>
      <w:divBdr>
        <w:top w:val="none" w:sz="0" w:space="0" w:color="auto"/>
        <w:left w:val="none" w:sz="0" w:space="0" w:color="auto"/>
        <w:bottom w:val="none" w:sz="0" w:space="0" w:color="auto"/>
        <w:right w:val="none" w:sz="0" w:space="0" w:color="auto"/>
      </w:divBdr>
    </w:div>
    <w:div w:id="752358765">
      <w:bodyDiv w:val="1"/>
      <w:marLeft w:val="0"/>
      <w:marRight w:val="0"/>
      <w:marTop w:val="0"/>
      <w:marBottom w:val="0"/>
      <w:divBdr>
        <w:top w:val="none" w:sz="0" w:space="0" w:color="auto"/>
        <w:left w:val="none" w:sz="0" w:space="0" w:color="auto"/>
        <w:bottom w:val="none" w:sz="0" w:space="0" w:color="auto"/>
        <w:right w:val="none" w:sz="0" w:space="0" w:color="auto"/>
      </w:divBdr>
    </w:div>
    <w:div w:id="782193381">
      <w:bodyDiv w:val="1"/>
      <w:marLeft w:val="0"/>
      <w:marRight w:val="0"/>
      <w:marTop w:val="0"/>
      <w:marBottom w:val="0"/>
      <w:divBdr>
        <w:top w:val="none" w:sz="0" w:space="0" w:color="auto"/>
        <w:left w:val="none" w:sz="0" w:space="0" w:color="auto"/>
        <w:bottom w:val="none" w:sz="0" w:space="0" w:color="auto"/>
        <w:right w:val="none" w:sz="0" w:space="0" w:color="auto"/>
      </w:divBdr>
    </w:div>
    <w:div w:id="832797706">
      <w:bodyDiv w:val="1"/>
      <w:marLeft w:val="0"/>
      <w:marRight w:val="0"/>
      <w:marTop w:val="0"/>
      <w:marBottom w:val="0"/>
      <w:divBdr>
        <w:top w:val="none" w:sz="0" w:space="0" w:color="auto"/>
        <w:left w:val="none" w:sz="0" w:space="0" w:color="auto"/>
        <w:bottom w:val="none" w:sz="0" w:space="0" w:color="auto"/>
        <w:right w:val="none" w:sz="0" w:space="0" w:color="auto"/>
      </w:divBdr>
      <w:divsChild>
        <w:div w:id="12811039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4025814">
      <w:bodyDiv w:val="1"/>
      <w:marLeft w:val="0"/>
      <w:marRight w:val="0"/>
      <w:marTop w:val="0"/>
      <w:marBottom w:val="0"/>
      <w:divBdr>
        <w:top w:val="none" w:sz="0" w:space="0" w:color="auto"/>
        <w:left w:val="none" w:sz="0" w:space="0" w:color="auto"/>
        <w:bottom w:val="none" w:sz="0" w:space="0" w:color="auto"/>
        <w:right w:val="none" w:sz="0" w:space="0" w:color="auto"/>
      </w:divBdr>
      <w:divsChild>
        <w:div w:id="110823969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5697730">
      <w:bodyDiv w:val="1"/>
      <w:marLeft w:val="0"/>
      <w:marRight w:val="0"/>
      <w:marTop w:val="0"/>
      <w:marBottom w:val="0"/>
      <w:divBdr>
        <w:top w:val="none" w:sz="0" w:space="0" w:color="auto"/>
        <w:left w:val="none" w:sz="0" w:space="0" w:color="auto"/>
        <w:bottom w:val="none" w:sz="0" w:space="0" w:color="auto"/>
        <w:right w:val="none" w:sz="0" w:space="0" w:color="auto"/>
      </w:divBdr>
    </w:div>
    <w:div w:id="16652762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6436588">
      <w:bodyDiv w:val="1"/>
      <w:marLeft w:val="0"/>
      <w:marRight w:val="0"/>
      <w:marTop w:val="0"/>
      <w:marBottom w:val="0"/>
      <w:divBdr>
        <w:top w:val="none" w:sz="0" w:space="0" w:color="auto"/>
        <w:left w:val="none" w:sz="0" w:space="0" w:color="auto"/>
        <w:bottom w:val="none" w:sz="0" w:space="0" w:color="auto"/>
        <w:right w:val="none" w:sz="0" w:space="0" w:color="auto"/>
      </w:divBdr>
    </w:div>
    <w:div w:id="1876310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597573">
      <w:bodyDiv w:val="1"/>
      <w:marLeft w:val="0"/>
      <w:marRight w:val="0"/>
      <w:marTop w:val="0"/>
      <w:marBottom w:val="0"/>
      <w:divBdr>
        <w:top w:val="none" w:sz="0" w:space="0" w:color="auto"/>
        <w:left w:val="none" w:sz="0" w:space="0" w:color="auto"/>
        <w:bottom w:val="none" w:sz="0" w:space="0" w:color="auto"/>
        <w:right w:val="none" w:sz="0" w:space="0" w:color="auto"/>
      </w:divBdr>
    </w:div>
    <w:div w:id="21147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fi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f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1F08-7E71-4930-9146-4772EAA8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1532</TotalTime>
  <Pages>7</Pages>
  <Words>2217</Words>
  <Characters>12640</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14828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49</cp:revision>
  <cp:lastPrinted>1999-07-06T11:00:00Z</cp:lastPrinted>
  <dcterms:created xsi:type="dcterms:W3CDTF">2014-10-25T14:34:00Z</dcterms:created>
  <dcterms:modified xsi:type="dcterms:W3CDTF">2025-05-29T08:43:00Z</dcterms:modified>
</cp:coreProperties>
</file>