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868" w:rsidRPr="00BD6868" w:rsidRDefault="00BD6868" w:rsidP="007D7941">
      <w:pPr>
        <w:spacing w:line="360" w:lineRule="auto"/>
        <w:jc w:val="center"/>
        <w:rPr>
          <w:rStyle w:val="Strong"/>
          <w:rFonts w:ascii="Times New Roman" w:eastAsia="Arial Unicode MS" w:hAnsi="Times New Roman" w:cs="Times New Roman"/>
          <w:sz w:val="24"/>
          <w:szCs w:val="20"/>
        </w:rPr>
      </w:pPr>
      <w:r w:rsidRPr="00BD6868">
        <w:rPr>
          <w:rStyle w:val="Strong"/>
          <w:rFonts w:ascii="Times New Roman" w:eastAsia="Arial Unicode MS" w:hAnsi="Times New Roman" w:cs="Times New Roman"/>
          <w:sz w:val="24"/>
          <w:szCs w:val="20"/>
        </w:rPr>
        <w:t xml:space="preserve">Quantitative Assessment of Polyphenols, Flavonoids, and Antioxidant Activity in Ethanol Extracts of </w:t>
      </w:r>
      <w:r w:rsidRPr="00BD6868">
        <w:rPr>
          <w:rStyle w:val="Strong"/>
          <w:rFonts w:ascii="Times New Roman" w:eastAsia="Arial Unicode MS" w:hAnsi="Times New Roman" w:cs="Times New Roman"/>
          <w:i/>
          <w:sz w:val="24"/>
          <w:szCs w:val="20"/>
        </w:rPr>
        <w:t xml:space="preserve">Artemisia </w:t>
      </w:r>
      <w:proofErr w:type="spellStart"/>
      <w:r w:rsidRPr="00BD6868">
        <w:rPr>
          <w:rStyle w:val="Strong"/>
          <w:rFonts w:ascii="Times New Roman" w:eastAsia="Arial Unicode MS" w:hAnsi="Times New Roman" w:cs="Times New Roman"/>
          <w:i/>
          <w:sz w:val="24"/>
          <w:szCs w:val="20"/>
        </w:rPr>
        <w:t>absinthium</w:t>
      </w:r>
      <w:proofErr w:type="spellEnd"/>
      <w:r w:rsidRPr="00BD6868">
        <w:rPr>
          <w:rStyle w:val="Strong"/>
          <w:rFonts w:ascii="Times New Roman" w:eastAsia="Arial Unicode MS" w:hAnsi="Times New Roman" w:cs="Times New Roman"/>
          <w:i/>
          <w:sz w:val="24"/>
          <w:szCs w:val="20"/>
        </w:rPr>
        <w:t xml:space="preserve"> </w:t>
      </w:r>
      <w:r w:rsidRPr="00BD6868">
        <w:rPr>
          <w:rStyle w:val="Strong"/>
          <w:rFonts w:ascii="Times New Roman" w:eastAsia="Arial Unicode MS" w:hAnsi="Times New Roman" w:cs="Times New Roman"/>
          <w:sz w:val="24"/>
          <w:szCs w:val="20"/>
        </w:rPr>
        <w:t xml:space="preserve">and </w:t>
      </w:r>
      <w:proofErr w:type="spellStart"/>
      <w:r w:rsidRPr="00BD6868">
        <w:rPr>
          <w:rStyle w:val="Strong"/>
          <w:rFonts w:ascii="Times New Roman" w:eastAsia="Arial Unicode MS" w:hAnsi="Times New Roman" w:cs="Times New Roman"/>
          <w:i/>
          <w:sz w:val="24"/>
          <w:szCs w:val="20"/>
        </w:rPr>
        <w:t>Acorus</w:t>
      </w:r>
      <w:proofErr w:type="spellEnd"/>
      <w:r w:rsidRPr="00BD6868">
        <w:rPr>
          <w:rStyle w:val="Strong"/>
          <w:rFonts w:ascii="Times New Roman" w:eastAsia="Arial Unicode MS" w:hAnsi="Times New Roman" w:cs="Times New Roman"/>
          <w:i/>
          <w:sz w:val="24"/>
          <w:szCs w:val="20"/>
        </w:rPr>
        <w:t xml:space="preserve"> calamus </w:t>
      </w:r>
      <w:r>
        <w:rPr>
          <w:rStyle w:val="Strong"/>
          <w:rFonts w:ascii="Times New Roman" w:eastAsia="Arial Unicode MS" w:hAnsi="Times New Roman" w:cs="Times New Roman"/>
          <w:sz w:val="24"/>
          <w:szCs w:val="20"/>
        </w:rPr>
        <w:t>from Kashmir</w:t>
      </w:r>
    </w:p>
    <w:p w:rsidR="00F35181" w:rsidRPr="00F35181" w:rsidRDefault="00142DDE" w:rsidP="00F3518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ABSTRACT</w:t>
      </w:r>
    </w:p>
    <w:p w:rsidR="00CB7F3C" w:rsidRPr="00CB7F3C" w:rsidRDefault="00CB7F3C" w:rsidP="00CB7F3C">
      <w:pPr>
        <w:ind w:firstLine="720"/>
        <w:jc w:val="both"/>
        <w:rPr>
          <w:rFonts w:ascii="Times New Roman" w:hAnsi="Times New Roman" w:cs="Times New Roman"/>
          <w:sz w:val="24"/>
        </w:rPr>
      </w:pPr>
      <w:r w:rsidRPr="00CB7F3C">
        <w:rPr>
          <w:rFonts w:ascii="Times New Roman" w:hAnsi="Times New Roman" w:cs="Times New Roman"/>
          <w:sz w:val="24"/>
        </w:rPr>
        <w:t xml:space="preserve">The present study aimed to quantify the total polyphenolic content (TPC), total flavonoid content (TFC), and antioxidant activity of </w:t>
      </w:r>
      <w:r w:rsidR="009D103E">
        <w:rPr>
          <w:rFonts w:ascii="Times New Roman" w:hAnsi="Times New Roman" w:cs="Times New Roman"/>
          <w:i/>
          <w:sz w:val="24"/>
        </w:rPr>
        <w:t>Artemisia</w:t>
      </w:r>
      <w:r w:rsidR="009D103E" w:rsidRPr="009D103E">
        <w:rPr>
          <w:rFonts w:ascii="Times New Roman" w:hAnsi="Times New Roman" w:cs="Times New Roman"/>
          <w:i/>
          <w:sz w:val="24"/>
        </w:rPr>
        <w:t xml:space="preserve"> </w:t>
      </w:r>
      <w:proofErr w:type="spellStart"/>
      <w:r w:rsidR="009D103E" w:rsidRPr="009D103E">
        <w:rPr>
          <w:rFonts w:ascii="Times New Roman" w:hAnsi="Times New Roman" w:cs="Times New Roman"/>
          <w:i/>
          <w:sz w:val="24"/>
        </w:rPr>
        <w:t>absinthium</w:t>
      </w:r>
      <w:proofErr w:type="spellEnd"/>
      <w:r w:rsidR="009D103E" w:rsidRPr="009D103E">
        <w:rPr>
          <w:rFonts w:ascii="Times New Roman" w:hAnsi="Times New Roman" w:cs="Times New Roman"/>
          <w:i/>
          <w:sz w:val="24"/>
        </w:rPr>
        <w:t xml:space="preserve"> </w:t>
      </w:r>
      <w:r w:rsidRPr="00CB7F3C">
        <w:rPr>
          <w:rFonts w:ascii="Times New Roman" w:hAnsi="Times New Roman" w:cs="Times New Roman"/>
          <w:sz w:val="24"/>
        </w:rPr>
        <w:t xml:space="preserve">L. and </w:t>
      </w:r>
      <w:proofErr w:type="spellStart"/>
      <w:r w:rsidR="00B07655" w:rsidRPr="00B07655">
        <w:rPr>
          <w:rFonts w:ascii="Times New Roman" w:hAnsi="Times New Roman" w:cs="Times New Roman"/>
          <w:i/>
          <w:sz w:val="24"/>
        </w:rPr>
        <w:t>A</w:t>
      </w:r>
      <w:r w:rsidR="00B07655">
        <w:rPr>
          <w:rFonts w:ascii="Times New Roman" w:hAnsi="Times New Roman" w:cs="Times New Roman"/>
          <w:i/>
          <w:sz w:val="24"/>
        </w:rPr>
        <w:t>corus</w:t>
      </w:r>
      <w:proofErr w:type="spellEnd"/>
      <w:r w:rsidR="00B07655" w:rsidRPr="00B07655">
        <w:rPr>
          <w:rFonts w:ascii="Times New Roman" w:hAnsi="Times New Roman" w:cs="Times New Roman"/>
          <w:i/>
          <w:sz w:val="24"/>
        </w:rPr>
        <w:t xml:space="preserve"> calamus</w:t>
      </w:r>
      <w:r w:rsidRPr="00CB7F3C">
        <w:rPr>
          <w:rFonts w:ascii="Times New Roman" w:hAnsi="Times New Roman" w:cs="Times New Roman"/>
          <w:sz w:val="24"/>
        </w:rPr>
        <w:t xml:space="preserve"> L., collected from the northern and southern regions of the Kashmir Valley. Ethanol extracts of both plant species were prepared using a magnetic stirrer-assisted maceration method. TPC was determined using the </w:t>
      </w:r>
      <w:proofErr w:type="spellStart"/>
      <w:r w:rsidRPr="00CB7F3C">
        <w:rPr>
          <w:rFonts w:ascii="Times New Roman" w:hAnsi="Times New Roman" w:cs="Times New Roman"/>
          <w:sz w:val="24"/>
        </w:rPr>
        <w:t>Folin</w:t>
      </w:r>
      <w:proofErr w:type="spellEnd"/>
      <w:r w:rsidRPr="00CB7F3C">
        <w:rPr>
          <w:rFonts w:ascii="Times New Roman" w:hAnsi="Times New Roman" w:cs="Times New Roman"/>
          <w:sz w:val="24"/>
        </w:rPr>
        <w:t>–</w:t>
      </w:r>
      <w:proofErr w:type="spellStart"/>
      <w:r w:rsidRPr="00CB7F3C">
        <w:rPr>
          <w:rFonts w:ascii="Times New Roman" w:hAnsi="Times New Roman" w:cs="Times New Roman"/>
          <w:sz w:val="24"/>
        </w:rPr>
        <w:t>Ciocalteu</w:t>
      </w:r>
      <w:proofErr w:type="spellEnd"/>
      <w:r w:rsidRPr="00CB7F3C">
        <w:rPr>
          <w:rFonts w:ascii="Times New Roman" w:hAnsi="Times New Roman" w:cs="Times New Roman"/>
          <w:sz w:val="24"/>
        </w:rPr>
        <w:t xml:space="preserve"> assay, while TFC was assessed via the aluminum chloride colorimetric method. Antioxidant activity was evaluated using the 2,</w:t>
      </w:r>
      <w:r w:rsidR="003B0AC0">
        <w:rPr>
          <w:rFonts w:ascii="Times New Roman" w:hAnsi="Times New Roman" w:cs="Times New Roman"/>
          <w:sz w:val="24"/>
        </w:rPr>
        <w:t xml:space="preserve"> </w:t>
      </w:r>
      <w:r w:rsidRPr="00CB7F3C">
        <w:rPr>
          <w:rFonts w:ascii="Times New Roman" w:hAnsi="Times New Roman" w:cs="Times New Roman"/>
          <w:sz w:val="24"/>
        </w:rPr>
        <w:t xml:space="preserve">2-diphenyl-1-picrylhydrazyl (DPPH) radical scavenging assay. Results demonstrated that </w:t>
      </w:r>
      <w:r w:rsidR="009D103E" w:rsidRPr="009D103E">
        <w:rPr>
          <w:rFonts w:ascii="Times New Roman" w:hAnsi="Times New Roman" w:cs="Times New Roman"/>
          <w:i/>
          <w:sz w:val="24"/>
        </w:rPr>
        <w:t xml:space="preserve">A. </w:t>
      </w:r>
      <w:proofErr w:type="spellStart"/>
      <w:r w:rsidR="009D103E" w:rsidRPr="009D103E">
        <w:rPr>
          <w:rFonts w:ascii="Times New Roman" w:hAnsi="Times New Roman" w:cs="Times New Roman"/>
          <w:i/>
          <w:sz w:val="24"/>
        </w:rPr>
        <w:t>absinthium</w:t>
      </w:r>
      <w:proofErr w:type="spellEnd"/>
      <w:r w:rsidR="009D103E" w:rsidRPr="009D103E">
        <w:rPr>
          <w:rFonts w:ascii="Times New Roman" w:hAnsi="Times New Roman" w:cs="Times New Roman"/>
          <w:i/>
          <w:sz w:val="24"/>
        </w:rPr>
        <w:t xml:space="preserve"> </w:t>
      </w:r>
      <w:r w:rsidRPr="00CB7F3C">
        <w:rPr>
          <w:rFonts w:ascii="Times New Roman" w:hAnsi="Times New Roman" w:cs="Times New Roman"/>
          <w:sz w:val="24"/>
        </w:rPr>
        <w:t xml:space="preserve">exhibited significantly higher levels of bioactive compounds, with TPC and TFC values of 128.4 mg gallic acid equivalents (GAE)/g and 18.27 mg quercetin equivalents (QE)/g dry weight, respectively. In contrast, </w:t>
      </w:r>
      <w:r w:rsidR="00B07655" w:rsidRPr="00B07655">
        <w:rPr>
          <w:rFonts w:ascii="Times New Roman" w:hAnsi="Times New Roman" w:cs="Times New Roman"/>
          <w:i/>
          <w:sz w:val="24"/>
        </w:rPr>
        <w:t>A. calamus</w:t>
      </w:r>
      <w:r w:rsidRPr="00CB7F3C">
        <w:rPr>
          <w:rFonts w:ascii="Times New Roman" w:hAnsi="Times New Roman" w:cs="Times New Roman"/>
          <w:sz w:val="24"/>
        </w:rPr>
        <w:t xml:space="preserve"> recorded lower values, with 12.02 mg GAE/g and 5.65 mg QE/g dry weight. Furthermore, </w:t>
      </w:r>
      <w:r w:rsidR="009D103E" w:rsidRPr="009D103E">
        <w:rPr>
          <w:rFonts w:ascii="Times New Roman" w:hAnsi="Times New Roman" w:cs="Times New Roman"/>
          <w:i/>
          <w:sz w:val="24"/>
        </w:rPr>
        <w:t xml:space="preserve">A. </w:t>
      </w:r>
      <w:proofErr w:type="spellStart"/>
      <w:r w:rsidR="009D103E" w:rsidRPr="009D103E">
        <w:rPr>
          <w:rFonts w:ascii="Times New Roman" w:hAnsi="Times New Roman" w:cs="Times New Roman"/>
          <w:i/>
          <w:sz w:val="24"/>
        </w:rPr>
        <w:t>absinthium</w:t>
      </w:r>
      <w:proofErr w:type="spellEnd"/>
      <w:r w:rsidR="009D103E" w:rsidRPr="009D103E">
        <w:rPr>
          <w:rFonts w:ascii="Times New Roman" w:hAnsi="Times New Roman" w:cs="Times New Roman"/>
          <w:i/>
          <w:sz w:val="24"/>
        </w:rPr>
        <w:t xml:space="preserve"> </w:t>
      </w:r>
      <w:r w:rsidRPr="00CB7F3C">
        <w:rPr>
          <w:rFonts w:ascii="Times New Roman" w:hAnsi="Times New Roman" w:cs="Times New Roman"/>
          <w:sz w:val="24"/>
        </w:rPr>
        <w:t>exhibited a notably higher antioxidant capaci</w:t>
      </w:r>
      <w:r w:rsidR="00B07655">
        <w:rPr>
          <w:rFonts w:ascii="Times New Roman" w:hAnsi="Times New Roman" w:cs="Times New Roman"/>
          <w:sz w:val="24"/>
        </w:rPr>
        <w:t>ty, achieving 63</w:t>
      </w:r>
      <w:r w:rsidRPr="00CB7F3C">
        <w:rPr>
          <w:rFonts w:ascii="Times New Roman" w:hAnsi="Times New Roman" w:cs="Times New Roman"/>
          <w:sz w:val="24"/>
        </w:rPr>
        <w:t xml:space="preserve">.40% DPPH radical scavenging activity, compared to 38.7% in </w:t>
      </w:r>
      <w:r w:rsidR="00B07655" w:rsidRPr="00B07655">
        <w:rPr>
          <w:rFonts w:ascii="Times New Roman" w:hAnsi="Times New Roman" w:cs="Times New Roman"/>
          <w:i/>
          <w:sz w:val="24"/>
        </w:rPr>
        <w:t>A. calamus</w:t>
      </w:r>
      <w:r w:rsidRPr="00CB7F3C">
        <w:rPr>
          <w:rFonts w:ascii="Times New Roman" w:hAnsi="Times New Roman" w:cs="Times New Roman"/>
          <w:sz w:val="24"/>
        </w:rPr>
        <w:t xml:space="preserve">. These findings suggest that </w:t>
      </w:r>
      <w:r w:rsidR="009D103E" w:rsidRPr="009D103E">
        <w:rPr>
          <w:rFonts w:ascii="Times New Roman" w:hAnsi="Times New Roman" w:cs="Times New Roman"/>
          <w:i/>
          <w:sz w:val="24"/>
        </w:rPr>
        <w:t xml:space="preserve">A. </w:t>
      </w:r>
      <w:proofErr w:type="spellStart"/>
      <w:r w:rsidR="009D103E" w:rsidRPr="009D103E">
        <w:rPr>
          <w:rFonts w:ascii="Times New Roman" w:hAnsi="Times New Roman" w:cs="Times New Roman"/>
          <w:i/>
          <w:sz w:val="24"/>
        </w:rPr>
        <w:t>absinthium</w:t>
      </w:r>
      <w:proofErr w:type="spellEnd"/>
      <w:r w:rsidR="009D103E" w:rsidRPr="009D103E">
        <w:rPr>
          <w:rFonts w:ascii="Times New Roman" w:hAnsi="Times New Roman" w:cs="Times New Roman"/>
          <w:i/>
          <w:sz w:val="24"/>
        </w:rPr>
        <w:t xml:space="preserve"> </w:t>
      </w:r>
      <w:r w:rsidRPr="00CB7F3C">
        <w:rPr>
          <w:rFonts w:ascii="Times New Roman" w:hAnsi="Times New Roman" w:cs="Times New Roman"/>
          <w:sz w:val="24"/>
        </w:rPr>
        <w:t>is a potent natural source of polyphenols and flavonoids with strong antioxidant potential. Its superior phytochemical profile highlights its promise for further exploration in pharmaceutical and nutraceutical applications, particularly in the development of natural antioxidants.</w:t>
      </w:r>
    </w:p>
    <w:p w:rsidR="00142DDE" w:rsidRDefault="00F35181" w:rsidP="00142DDE">
      <w:pPr>
        <w:pStyle w:val="Default"/>
        <w:spacing w:before="240" w:line="360" w:lineRule="auto"/>
        <w:jc w:val="both"/>
        <w:rPr>
          <w:i/>
          <w:color w:val="auto"/>
        </w:rPr>
      </w:pPr>
      <w:r>
        <w:rPr>
          <w:b/>
          <w:bCs/>
        </w:rPr>
        <w:t xml:space="preserve">Keywords:  </w:t>
      </w:r>
      <w:r w:rsidR="007D7941">
        <w:rPr>
          <w:bCs/>
          <w:i/>
        </w:rPr>
        <w:t xml:space="preserve">Artemisia </w:t>
      </w:r>
      <w:proofErr w:type="spellStart"/>
      <w:r w:rsidR="007D7941">
        <w:rPr>
          <w:bCs/>
          <w:i/>
        </w:rPr>
        <w:t>absinthium</w:t>
      </w:r>
      <w:proofErr w:type="spellEnd"/>
      <w:r w:rsidRPr="00EC2A4D">
        <w:rPr>
          <w:bCs/>
          <w:i/>
        </w:rPr>
        <w:t xml:space="preserve">, </w:t>
      </w:r>
      <w:proofErr w:type="spellStart"/>
      <w:r w:rsidR="00B07655" w:rsidRPr="00B07655">
        <w:rPr>
          <w:bCs/>
          <w:i/>
        </w:rPr>
        <w:t>A</w:t>
      </w:r>
      <w:r w:rsidR="00EC08D5">
        <w:rPr>
          <w:bCs/>
          <w:i/>
        </w:rPr>
        <w:t>corus</w:t>
      </w:r>
      <w:proofErr w:type="spellEnd"/>
      <w:r w:rsidR="00B07655" w:rsidRPr="00B07655">
        <w:rPr>
          <w:bCs/>
          <w:i/>
        </w:rPr>
        <w:t xml:space="preserve"> </w:t>
      </w:r>
      <w:r w:rsidR="00B07655" w:rsidRPr="00EC08D5">
        <w:rPr>
          <w:bCs/>
          <w:i/>
        </w:rPr>
        <w:t>calamus</w:t>
      </w:r>
      <w:r w:rsidRPr="00EC08D5">
        <w:rPr>
          <w:bCs/>
          <w:i/>
        </w:rPr>
        <w:t xml:space="preserve">, Polyphenols, Flavonoids, </w:t>
      </w:r>
      <w:r w:rsidR="007D7941" w:rsidRPr="00EC08D5">
        <w:rPr>
          <w:i/>
          <w:color w:val="auto"/>
        </w:rPr>
        <w:t>DPPH</w:t>
      </w:r>
      <w:proofErr w:type="gramStart"/>
      <w:r w:rsidR="007D7941" w:rsidRPr="00EC08D5">
        <w:rPr>
          <w:i/>
          <w:color w:val="auto"/>
        </w:rPr>
        <w:t>, .</w:t>
      </w:r>
      <w:proofErr w:type="gramEnd"/>
    </w:p>
    <w:p w:rsidR="007C72E5" w:rsidRPr="00142DDE" w:rsidRDefault="00142DDE" w:rsidP="00142DDE">
      <w:pPr>
        <w:pStyle w:val="Default"/>
        <w:spacing w:before="240" w:line="360" w:lineRule="auto"/>
        <w:jc w:val="both"/>
        <w:rPr>
          <w:i/>
          <w:color w:val="auto"/>
        </w:rPr>
      </w:pPr>
      <w:r>
        <w:rPr>
          <w:b/>
          <w:color w:val="auto"/>
        </w:rPr>
        <w:t xml:space="preserve">1. </w:t>
      </w:r>
      <w:r w:rsidRPr="00617D5C">
        <w:rPr>
          <w:b/>
        </w:rPr>
        <w:t>INTRODUCTION</w:t>
      </w:r>
    </w:p>
    <w:p w:rsidR="00987FC6" w:rsidRPr="00F35181" w:rsidRDefault="009D103E" w:rsidP="00617D5C">
      <w:pPr>
        <w:ind w:firstLine="720"/>
        <w:jc w:val="both"/>
        <w:rPr>
          <w:rFonts w:ascii="Times New Roman" w:hAnsi="Times New Roman" w:cs="Times New Roman"/>
          <w:sz w:val="24"/>
        </w:rPr>
      </w:pPr>
      <w:r w:rsidRPr="009D103E">
        <w:rPr>
          <w:rFonts w:ascii="Times New Roman" w:hAnsi="Times New Roman" w:cs="Times New Roman"/>
          <w:i/>
          <w:sz w:val="24"/>
        </w:rPr>
        <w:t xml:space="preserve">A. </w:t>
      </w:r>
      <w:proofErr w:type="spellStart"/>
      <w:r w:rsidRPr="009D103E">
        <w:rPr>
          <w:rFonts w:ascii="Times New Roman" w:hAnsi="Times New Roman" w:cs="Times New Roman"/>
          <w:i/>
          <w:sz w:val="24"/>
        </w:rPr>
        <w:t>absinthium</w:t>
      </w:r>
      <w:proofErr w:type="spellEnd"/>
      <w:r w:rsidRPr="009D103E">
        <w:rPr>
          <w:rFonts w:ascii="Times New Roman" w:hAnsi="Times New Roman" w:cs="Times New Roman"/>
          <w:i/>
          <w:sz w:val="24"/>
        </w:rPr>
        <w:t xml:space="preserve"> </w:t>
      </w:r>
      <w:r w:rsidR="00987FC6" w:rsidRPr="00F35181">
        <w:rPr>
          <w:rFonts w:ascii="Times New Roman" w:hAnsi="Times New Roman" w:cs="Times New Roman"/>
          <w:sz w:val="24"/>
        </w:rPr>
        <w:t xml:space="preserve">and </w:t>
      </w:r>
      <w:r w:rsidR="00B07655" w:rsidRPr="00B07655">
        <w:rPr>
          <w:rFonts w:ascii="Times New Roman" w:hAnsi="Times New Roman" w:cs="Times New Roman"/>
          <w:i/>
          <w:sz w:val="24"/>
        </w:rPr>
        <w:t>A. calamus</w:t>
      </w:r>
      <w:r w:rsidR="00987FC6" w:rsidRPr="00F35181">
        <w:rPr>
          <w:rFonts w:ascii="Times New Roman" w:hAnsi="Times New Roman" w:cs="Times New Roman"/>
          <w:sz w:val="24"/>
        </w:rPr>
        <w:t xml:space="preserve"> are well-known medicinal plants traditionally used in various systems of medicine across Asia and Europe. The genus </w:t>
      </w:r>
      <w:r w:rsidR="007D7941">
        <w:rPr>
          <w:rFonts w:ascii="Times New Roman" w:hAnsi="Times New Roman" w:cs="Times New Roman"/>
          <w:sz w:val="24"/>
        </w:rPr>
        <w:t xml:space="preserve">Artemisia </w:t>
      </w:r>
      <w:r w:rsidR="00987FC6" w:rsidRPr="00F35181">
        <w:rPr>
          <w:rFonts w:ascii="Times New Roman" w:hAnsi="Times New Roman" w:cs="Times New Roman"/>
          <w:sz w:val="24"/>
        </w:rPr>
        <w:t>includes more than 500 species, many of which are used in folk medicine for their anti-inflammatory, anti</w:t>
      </w:r>
      <w:r w:rsidR="00F93978">
        <w:rPr>
          <w:rFonts w:ascii="Times New Roman" w:hAnsi="Times New Roman" w:cs="Times New Roman"/>
          <w:sz w:val="24"/>
        </w:rPr>
        <w:t>-</w:t>
      </w:r>
      <w:r w:rsidR="00987FC6" w:rsidRPr="00F35181">
        <w:rPr>
          <w:rFonts w:ascii="Times New Roman" w:hAnsi="Times New Roman" w:cs="Times New Roman"/>
          <w:sz w:val="24"/>
        </w:rPr>
        <w:t xml:space="preserve">malarial, and antimicrobial properties (Abad </w:t>
      </w:r>
      <w:r w:rsidR="00617D5C" w:rsidRPr="00617D5C">
        <w:rPr>
          <w:rFonts w:ascii="Times New Roman" w:hAnsi="Times New Roman" w:cs="Times New Roman"/>
          <w:i/>
          <w:sz w:val="24"/>
        </w:rPr>
        <w:t>et al.,</w:t>
      </w:r>
      <w:r w:rsidR="00987FC6" w:rsidRPr="00F35181">
        <w:rPr>
          <w:rFonts w:ascii="Times New Roman" w:hAnsi="Times New Roman" w:cs="Times New Roman"/>
          <w:sz w:val="24"/>
        </w:rPr>
        <w:t xml:space="preserve"> 2012). </w:t>
      </w:r>
      <w:r w:rsidR="007D7941" w:rsidRPr="00B07655">
        <w:rPr>
          <w:rFonts w:ascii="Times New Roman" w:hAnsi="Times New Roman" w:cs="Times New Roman"/>
          <w:i/>
          <w:sz w:val="24"/>
        </w:rPr>
        <w:t xml:space="preserve">Artemisia </w:t>
      </w:r>
      <w:proofErr w:type="spellStart"/>
      <w:r w:rsidR="00987FC6" w:rsidRPr="00B07655">
        <w:rPr>
          <w:rFonts w:ascii="Times New Roman" w:hAnsi="Times New Roman" w:cs="Times New Roman"/>
          <w:i/>
          <w:sz w:val="24"/>
        </w:rPr>
        <w:t>annua</w:t>
      </w:r>
      <w:proofErr w:type="spellEnd"/>
      <w:r w:rsidR="00987FC6" w:rsidRPr="00F35181">
        <w:rPr>
          <w:rFonts w:ascii="Times New Roman" w:hAnsi="Times New Roman" w:cs="Times New Roman"/>
          <w:sz w:val="24"/>
        </w:rPr>
        <w:t xml:space="preserve">, in particular, has gained global attention due to its active compound artemisinin, widely used in the treatment of malaria (Tu, 2011). Similarly, </w:t>
      </w:r>
      <w:r w:rsidR="00B07655" w:rsidRPr="00B07655">
        <w:rPr>
          <w:rFonts w:ascii="Times New Roman" w:hAnsi="Times New Roman" w:cs="Times New Roman"/>
          <w:i/>
          <w:sz w:val="24"/>
        </w:rPr>
        <w:t>A. calamus</w:t>
      </w:r>
      <w:r w:rsidR="00987FC6" w:rsidRPr="00F35181">
        <w:rPr>
          <w:rFonts w:ascii="Times New Roman" w:hAnsi="Times New Roman" w:cs="Times New Roman"/>
          <w:sz w:val="24"/>
        </w:rPr>
        <w:t xml:space="preserve">, commonly known as sweet flag, has long been employed in Ayurveda and traditional Chinese medicine for its effects on digestion, cognition, and respiratory ailments (Ghosh, 2014). Both plants are reported to be rich in phytochemicals including alkaloids, terpenoids, flavonoids, and polyphenols, which are known to exert diverse biological activities (Singh </w:t>
      </w:r>
      <w:r w:rsidR="00617D5C" w:rsidRPr="00617D5C">
        <w:rPr>
          <w:rFonts w:ascii="Times New Roman" w:hAnsi="Times New Roman" w:cs="Times New Roman"/>
          <w:i/>
          <w:sz w:val="24"/>
        </w:rPr>
        <w:t>et al.,</w:t>
      </w:r>
      <w:r w:rsidR="00987FC6" w:rsidRPr="00F35181">
        <w:rPr>
          <w:rFonts w:ascii="Times New Roman" w:hAnsi="Times New Roman" w:cs="Times New Roman"/>
          <w:sz w:val="24"/>
        </w:rPr>
        <w:t xml:space="preserve"> 2016; </w:t>
      </w:r>
      <w:proofErr w:type="spellStart"/>
      <w:r w:rsidR="00987FC6" w:rsidRPr="00F35181">
        <w:rPr>
          <w:rFonts w:ascii="Times New Roman" w:hAnsi="Times New Roman" w:cs="Times New Roman"/>
          <w:sz w:val="24"/>
        </w:rPr>
        <w:t>Koffi-Nevry</w:t>
      </w:r>
      <w:proofErr w:type="spellEnd"/>
      <w:r w:rsidR="001F50C7">
        <w:rPr>
          <w:rFonts w:ascii="Times New Roman" w:hAnsi="Times New Roman" w:cs="Times New Roman"/>
          <w:sz w:val="24"/>
        </w:rPr>
        <w:t xml:space="preserve"> </w:t>
      </w:r>
      <w:r w:rsidR="00617D5C" w:rsidRPr="00617D5C">
        <w:rPr>
          <w:rFonts w:ascii="Times New Roman" w:hAnsi="Times New Roman" w:cs="Times New Roman"/>
          <w:i/>
          <w:sz w:val="24"/>
        </w:rPr>
        <w:t>et al.,</w:t>
      </w:r>
      <w:r w:rsidR="00987FC6" w:rsidRPr="00F35181">
        <w:rPr>
          <w:rFonts w:ascii="Times New Roman" w:hAnsi="Times New Roman" w:cs="Times New Roman"/>
          <w:sz w:val="24"/>
        </w:rPr>
        <w:t xml:space="preserve"> 2012).</w:t>
      </w:r>
    </w:p>
    <w:p w:rsidR="00987FC6" w:rsidRPr="00F35181" w:rsidRDefault="00987FC6" w:rsidP="00617D5C">
      <w:pPr>
        <w:ind w:firstLine="720"/>
        <w:jc w:val="both"/>
        <w:rPr>
          <w:rFonts w:ascii="Times New Roman" w:hAnsi="Times New Roman" w:cs="Times New Roman"/>
          <w:sz w:val="24"/>
        </w:rPr>
      </w:pPr>
      <w:r w:rsidRPr="00F35181">
        <w:rPr>
          <w:rFonts w:ascii="Times New Roman" w:hAnsi="Times New Roman" w:cs="Times New Roman"/>
          <w:sz w:val="24"/>
        </w:rPr>
        <w:t xml:space="preserve">Among these phytochemicals, polyphenols and flavonoids have garnered increasing attention due to their significant antioxidant potential, which plays a vital role in protecting cells from oxidative stress and associated diseases such as cancer, cardiovascular disorders, and neurodegeneration (Kumar &amp; Pandey, 2013; </w:t>
      </w:r>
      <w:proofErr w:type="spellStart"/>
      <w:r w:rsidRPr="00F35181">
        <w:rPr>
          <w:rFonts w:ascii="Times New Roman" w:hAnsi="Times New Roman" w:cs="Times New Roman"/>
          <w:sz w:val="24"/>
        </w:rPr>
        <w:t>Działo</w:t>
      </w:r>
      <w:proofErr w:type="spellEnd"/>
      <w:r w:rsidR="001F50C7">
        <w:rPr>
          <w:rFonts w:ascii="Times New Roman" w:hAnsi="Times New Roman" w:cs="Times New Roman"/>
          <w:sz w:val="24"/>
        </w:rPr>
        <w:t xml:space="preserve"> </w:t>
      </w:r>
      <w:r w:rsidR="00617D5C" w:rsidRPr="00617D5C">
        <w:rPr>
          <w:rFonts w:ascii="Times New Roman" w:hAnsi="Times New Roman" w:cs="Times New Roman"/>
          <w:i/>
          <w:sz w:val="24"/>
        </w:rPr>
        <w:t>et al.,</w:t>
      </w:r>
      <w:r w:rsidRPr="00F35181">
        <w:rPr>
          <w:rFonts w:ascii="Times New Roman" w:hAnsi="Times New Roman" w:cs="Times New Roman"/>
          <w:sz w:val="24"/>
        </w:rPr>
        <w:t xml:space="preserve"> 2016). The antioxidant activity of plant-derived compounds is mainly attributed to their ability to donate hydrogen atoms or </w:t>
      </w:r>
      <w:r w:rsidRPr="00F35181">
        <w:rPr>
          <w:rFonts w:ascii="Times New Roman" w:hAnsi="Times New Roman" w:cs="Times New Roman"/>
          <w:sz w:val="24"/>
        </w:rPr>
        <w:lastRenderedPageBreak/>
        <w:t>electrons and stabilize free radicals. In recent years, the demand for natural antioxidants has increased over synthetic alternatives, due to their safer and more biocompatible nature (</w:t>
      </w:r>
      <w:proofErr w:type="gramStart"/>
      <w:r w:rsidRPr="00F35181">
        <w:rPr>
          <w:rFonts w:ascii="Times New Roman" w:hAnsi="Times New Roman" w:cs="Times New Roman"/>
          <w:sz w:val="24"/>
        </w:rPr>
        <w:t>Abdalla</w:t>
      </w:r>
      <w:r w:rsidR="001F50C7">
        <w:rPr>
          <w:rFonts w:ascii="Times New Roman" w:hAnsi="Times New Roman" w:cs="Times New Roman"/>
          <w:sz w:val="24"/>
        </w:rPr>
        <w:t xml:space="preserve"> </w:t>
      </w:r>
      <w:r w:rsidRPr="00F35181">
        <w:rPr>
          <w:rFonts w:ascii="Times New Roman" w:hAnsi="Times New Roman" w:cs="Times New Roman"/>
          <w:sz w:val="24"/>
        </w:rPr>
        <w:t xml:space="preserve"> &amp;</w:t>
      </w:r>
      <w:proofErr w:type="gramEnd"/>
      <w:r w:rsidR="001F50C7">
        <w:rPr>
          <w:rFonts w:ascii="Times New Roman" w:hAnsi="Times New Roman" w:cs="Times New Roman"/>
          <w:sz w:val="24"/>
        </w:rPr>
        <w:t xml:space="preserve"> </w:t>
      </w:r>
      <w:proofErr w:type="spellStart"/>
      <w:r w:rsidRPr="00F35181">
        <w:rPr>
          <w:rFonts w:ascii="Times New Roman" w:hAnsi="Times New Roman" w:cs="Times New Roman"/>
          <w:sz w:val="24"/>
        </w:rPr>
        <w:t>Roozen</w:t>
      </w:r>
      <w:proofErr w:type="spellEnd"/>
      <w:r w:rsidRPr="00F35181">
        <w:rPr>
          <w:rFonts w:ascii="Times New Roman" w:hAnsi="Times New Roman" w:cs="Times New Roman"/>
          <w:sz w:val="24"/>
        </w:rPr>
        <w:t>, 1999). The DPPH (2,</w:t>
      </w:r>
      <w:r w:rsidR="003B0AC0">
        <w:rPr>
          <w:rFonts w:ascii="Times New Roman" w:hAnsi="Times New Roman" w:cs="Times New Roman"/>
          <w:sz w:val="24"/>
        </w:rPr>
        <w:t xml:space="preserve"> </w:t>
      </w:r>
      <w:r w:rsidRPr="00F35181">
        <w:rPr>
          <w:rFonts w:ascii="Times New Roman" w:hAnsi="Times New Roman" w:cs="Times New Roman"/>
          <w:sz w:val="24"/>
        </w:rPr>
        <w:t>2-diphenyl-1-picrylhydrazyl) radical scavenging assay is among the most commonly used methods for evaluating antioxidant activity due to its accuracy and reproducibility (Sanchez-Moreno, 2002).</w:t>
      </w:r>
    </w:p>
    <w:p w:rsidR="00987FC6" w:rsidRPr="00AD3CDA" w:rsidRDefault="00987FC6" w:rsidP="00617D5C">
      <w:pPr>
        <w:ind w:firstLine="720"/>
        <w:jc w:val="both"/>
        <w:rPr>
          <w:rFonts w:ascii="Times New Roman" w:hAnsi="Times New Roman" w:cs="Times New Roman"/>
          <w:sz w:val="24"/>
        </w:rPr>
      </w:pPr>
      <w:r w:rsidRPr="00F35181">
        <w:rPr>
          <w:rFonts w:ascii="Times New Roman" w:hAnsi="Times New Roman" w:cs="Times New Roman"/>
          <w:sz w:val="24"/>
        </w:rPr>
        <w:t xml:space="preserve">Despite the widespread use of </w:t>
      </w:r>
      <w:r w:rsidR="009D103E" w:rsidRPr="009D103E">
        <w:rPr>
          <w:rFonts w:ascii="Times New Roman" w:hAnsi="Times New Roman" w:cs="Times New Roman"/>
          <w:i/>
          <w:sz w:val="24"/>
        </w:rPr>
        <w:t xml:space="preserve">A. </w:t>
      </w:r>
      <w:proofErr w:type="spellStart"/>
      <w:r w:rsidR="009D103E" w:rsidRPr="009D103E">
        <w:rPr>
          <w:rFonts w:ascii="Times New Roman" w:hAnsi="Times New Roman" w:cs="Times New Roman"/>
          <w:i/>
          <w:sz w:val="24"/>
        </w:rPr>
        <w:t>absinthium</w:t>
      </w:r>
      <w:proofErr w:type="spellEnd"/>
      <w:r w:rsidR="009D103E" w:rsidRPr="009D103E">
        <w:rPr>
          <w:rFonts w:ascii="Times New Roman" w:hAnsi="Times New Roman" w:cs="Times New Roman"/>
          <w:i/>
          <w:sz w:val="24"/>
        </w:rPr>
        <w:t xml:space="preserve"> </w:t>
      </w:r>
      <w:r w:rsidRPr="00F35181">
        <w:rPr>
          <w:rFonts w:ascii="Times New Roman" w:hAnsi="Times New Roman" w:cs="Times New Roman"/>
          <w:sz w:val="24"/>
        </w:rPr>
        <w:t xml:space="preserve">and </w:t>
      </w:r>
      <w:r w:rsidR="00B07655" w:rsidRPr="00B07655">
        <w:rPr>
          <w:rFonts w:ascii="Times New Roman" w:hAnsi="Times New Roman" w:cs="Times New Roman"/>
          <w:i/>
          <w:sz w:val="24"/>
        </w:rPr>
        <w:t>A. calamus</w:t>
      </w:r>
      <w:r w:rsidRPr="00F35181">
        <w:rPr>
          <w:rFonts w:ascii="Times New Roman" w:hAnsi="Times New Roman" w:cs="Times New Roman"/>
          <w:sz w:val="24"/>
        </w:rPr>
        <w:t xml:space="preserve"> in traditional remedies, comprehensive studies on their comparative polyphenolic and flavonoid content and corresponding antioxidant activities are limited. Hence, the present investigation was undertaken to extract, quantify, and compare the antioxidant potential of these two medicinal plants using DPPH assay, with particular focus on their flavonoid and polyphenolic constituents.</w:t>
      </w:r>
    </w:p>
    <w:p w:rsidR="00987FC6" w:rsidRPr="00617D5C" w:rsidRDefault="00142DDE" w:rsidP="00987FC6">
      <w:pPr>
        <w:pStyle w:val="Default"/>
        <w:rPr>
          <w:b/>
          <w:bCs/>
        </w:rPr>
      </w:pPr>
      <w:r>
        <w:rPr>
          <w:b/>
          <w:bCs/>
        </w:rPr>
        <w:t>2. MATERIALS AND METHODS</w:t>
      </w:r>
    </w:p>
    <w:p w:rsidR="00987FC6" w:rsidRPr="00142DDE" w:rsidRDefault="00142DDE" w:rsidP="00617D5C">
      <w:pPr>
        <w:autoSpaceDE w:val="0"/>
        <w:autoSpaceDN w:val="0"/>
        <w:adjustRightInd w:val="0"/>
        <w:spacing w:before="240" w:after="0" w:line="360" w:lineRule="auto"/>
        <w:jc w:val="both"/>
        <w:rPr>
          <w:rFonts w:ascii="Times New Roman" w:hAnsi="Times New Roman" w:cs="Times New Roman"/>
          <w:b/>
          <w:bCs/>
          <w:color w:val="FF0000"/>
          <w:sz w:val="24"/>
          <w:szCs w:val="24"/>
        </w:rPr>
      </w:pPr>
      <w:r w:rsidRPr="00142DDE">
        <w:rPr>
          <w:rFonts w:ascii="Times New Roman" w:hAnsi="Times New Roman" w:cs="Times New Roman"/>
          <w:b/>
          <w:bCs/>
          <w:sz w:val="24"/>
          <w:szCs w:val="24"/>
        </w:rPr>
        <w:t xml:space="preserve">2.1 </w:t>
      </w:r>
      <w:r w:rsidR="00EC08D5" w:rsidRPr="00142DDE">
        <w:rPr>
          <w:rFonts w:ascii="Times New Roman" w:hAnsi="Times New Roman" w:cs="Times New Roman"/>
          <w:b/>
          <w:bCs/>
          <w:sz w:val="24"/>
          <w:szCs w:val="24"/>
        </w:rPr>
        <w:t>Collection Site and Samples</w:t>
      </w:r>
    </w:p>
    <w:p w:rsidR="00987FC6" w:rsidRDefault="00987FC6" w:rsidP="00617D5C">
      <w:pPr>
        <w:autoSpaceDE w:val="0"/>
        <w:autoSpaceDN w:val="0"/>
        <w:adjustRightInd w:val="0"/>
        <w:spacing w:after="0"/>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w:t>
      </w:r>
      <w:r w:rsidR="00907E77">
        <w:rPr>
          <w:rFonts w:ascii="Times New Roman" w:hAnsi="Times New Roman" w:cs="Times New Roman"/>
          <w:sz w:val="24"/>
          <w:szCs w:val="24"/>
        </w:rPr>
        <w:t xml:space="preserve">samples of </w:t>
      </w:r>
      <w:r w:rsidR="009D103E" w:rsidRPr="009D103E">
        <w:rPr>
          <w:rFonts w:ascii="Times New Roman" w:hAnsi="Times New Roman" w:cs="Times New Roman"/>
          <w:i/>
          <w:sz w:val="24"/>
          <w:szCs w:val="24"/>
        </w:rPr>
        <w:t xml:space="preserve">A. </w:t>
      </w:r>
      <w:proofErr w:type="spellStart"/>
      <w:r w:rsidR="009D103E" w:rsidRPr="009D103E">
        <w:rPr>
          <w:rFonts w:ascii="Times New Roman" w:hAnsi="Times New Roman" w:cs="Times New Roman"/>
          <w:i/>
          <w:sz w:val="24"/>
          <w:szCs w:val="24"/>
        </w:rPr>
        <w:t>absinthium</w:t>
      </w:r>
      <w:proofErr w:type="spellEnd"/>
      <w:r w:rsidR="009D103E" w:rsidRPr="009D103E">
        <w:rPr>
          <w:rFonts w:ascii="Times New Roman" w:hAnsi="Times New Roman" w:cs="Times New Roman"/>
          <w:i/>
          <w:sz w:val="24"/>
          <w:szCs w:val="24"/>
        </w:rPr>
        <w:t xml:space="preserve"> </w:t>
      </w:r>
      <w:r w:rsidR="009D103E">
        <w:rPr>
          <w:rFonts w:ascii="Times New Roman" w:hAnsi="Times New Roman" w:cs="Times New Roman"/>
          <w:sz w:val="24"/>
          <w:szCs w:val="24"/>
        </w:rPr>
        <w:t xml:space="preserve">and </w:t>
      </w:r>
      <w:r w:rsidR="00B07655" w:rsidRPr="00B07655">
        <w:rPr>
          <w:rFonts w:ascii="Times New Roman" w:hAnsi="Times New Roman" w:cs="Times New Roman"/>
          <w:i/>
          <w:sz w:val="24"/>
          <w:szCs w:val="24"/>
        </w:rPr>
        <w:t>A. calamus</w:t>
      </w:r>
      <w:r w:rsidR="00907E77">
        <w:rPr>
          <w:rFonts w:ascii="Times New Roman" w:hAnsi="Times New Roman" w:cs="Times New Roman"/>
          <w:sz w:val="24"/>
          <w:szCs w:val="24"/>
        </w:rPr>
        <w:t xml:space="preserve"> </w:t>
      </w:r>
      <w:r w:rsidR="00F35181">
        <w:rPr>
          <w:rFonts w:ascii="Times New Roman" w:hAnsi="Times New Roman" w:cs="Times New Roman"/>
          <w:sz w:val="24"/>
          <w:szCs w:val="24"/>
        </w:rPr>
        <w:t xml:space="preserve">were collected from </w:t>
      </w:r>
      <w:r w:rsidR="00907E77">
        <w:rPr>
          <w:rFonts w:ascii="Times New Roman" w:hAnsi="Times New Roman" w:cs="Times New Roman"/>
          <w:sz w:val="24"/>
          <w:szCs w:val="24"/>
        </w:rPr>
        <w:t>north Kashmir (</w:t>
      </w:r>
      <w:proofErr w:type="spellStart"/>
      <w:r w:rsidR="00907E77">
        <w:rPr>
          <w:rFonts w:ascii="Times New Roman" w:hAnsi="Times New Roman" w:cs="Times New Roman"/>
          <w:sz w:val="24"/>
          <w:szCs w:val="24"/>
        </w:rPr>
        <w:t>Walur</w:t>
      </w:r>
      <w:proofErr w:type="spellEnd"/>
      <w:r w:rsidR="00907E77">
        <w:rPr>
          <w:rFonts w:ascii="Times New Roman" w:hAnsi="Times New Roman" w:cs="Times New Roman"/>
          <w:sz w:val="24"/>
          <w:szCs w:val="24"/>
        </w:rPr>
        <w:t xml:space="preserve"> and Gulmarg) and south Kashmir (</w:t>
      </w:r>
      <w:proofErr w:type="spellStart"/>
      <w:r w:rsidR="00907E77">
        <w:rPr>
          <w:rFonts w:ascii="Times New Roman" w:hAnsi="Times New Roman" w:cs="Times New Roman"/>
          <w:sz w:val="24"/>
          <w:szCs w:val="24"/>
        </w:rPr>
        <w:t>Kokernag</w:t>
      </w:r>
      <w:proofErr w:type="spellEnd"/>
      <w:r w:rsidR="00907E77">
        <w:rPr>
          <w:rFonts w:ascii="Times New Roman" w:hAnsi="Times New Roman" w:cs="Times New Roman"/>
          <w:sz w:val="24"/>
          <w:szCs w:val="24"/>
        </w:rPr>
        <w:t xml:space="preserve"> and </w:t>
      </w:r>
      <w:proofErr w:type="spellStart"/>
      <w:r w:rsidR="00907E77">
        <w:rPr>
          <w:rFonts w:ascii="Times New Roman" w:hAnsi="Times New Roman" w:cs="Times New Roman"/>
          <w:sz w:val="24"/>
          <w:szCs w:val="24"/>
        </w:rPr>
        <w:t>Achabal</w:t>
      </w:r>
      <w:proofErr w:type="spellEnd"/>
      <w:r w:rsidR="00907E77">
        <w:rPr>
          <w:rFonts w:ascii="Times New Roman" w:hAnsi="Times New Roman" w:cs="Times New Roman"/>
          <w:sz w:val="24"/>
          <w:szCs w:val="24"/>
        </w:rPr>
        <w:t xml:space="preserve">). The samples </w:t>
      </w:r>
      <w:r>
        <w:rPr>
          <w:rFonts w:ascii="Times New Roman" w:hAnsi="Times New Roman" w:cs="Times New Roman"/>
          <w:sz w:val="24"/>
          <w:szCs w:val="24"/>
        </w:rPr>
        <w:t xml:space="preserve">comprising of almost equal proportion </w:t>
      </w:r>
      <w:r w:rsidR="006B7220">
        <w:rPr>
          <w:rFonts w:ascii="Times New Roman" w:hAnsi="Times New Roman" w:cs="Times New Roman"/>
          <w:sz w:val="24"/>
          <w:szCs w:val="24"/>
        </w:rPr>
        <w:t xml:space="preserve">from both </w:t>
      </w:r>
      <w:r w:rsidR="00907E77">
        <w:rPr>
          <w:rFonts w:ascii="Times New Roman" w:hAnsi="Times New Roman" w:cs="Times New Roman"/>
          <w:sz w:val="24"/>
          <w:szCs w:val="24"/>
        </w:rPr>
        <w:t xml:space="preserve">and </w:t>
      </w:r>
      <w:r>
        <w:rPr>
          <w:rFonts w:ascii="Times New Roman" w:hAnsi="Times New Roman" w:cs="Times New Roman"/>
          <w:sz w:val="24"/>
          <w:szCs w:val="24"/>
        </w:rPr>
        <w:t>were taken</w:t>
      </w:r>
      <w:r w:rsidR="00131426">
        <w:rPr>
          <w:rFonts w:ascii="Times New Roman" w:hAnsi="Times New Roman" w:cs="Times New Roman"/>
          <w:sz w:val="24"/>
          <w:szCs w:val="24"/>
        </w:rPr>
        <w:t xml:space="preserve"> from all sides of the plant</w:t>
      </w:r>
      <w:r w:rsidR="000A12C4">
        <w:rPr>
          <w:rFonts w:ascii="Times New Roman" w:hAnsi="Times New Roman" w:cs="Times New Roman"/>
          <w:sz w:val="24"/>
          <w:szCs w:val="24"/>
        </w:rPr>
        <w:t xml:space="preserve"> by following standard procedure.</w:t>
      </w:r>
    </w:p>
    <w:p w:rsidR="00987FC6" w:rsidRPr="00142DDE" w:rsidRDefault="00142DDE" w:rsidP="00617D5C">
      <w:pPr>
        <w:autoSpaceDE w:val="0"/>
        <w:autoSpaceDN w:val="0"/>
        <w:adjustRightInd w:val="0"/>
        <w:spacing w:before="240"/>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EC08D5" w:rsidRPr="00142DDE">
        <w:rPr>
          <w:rFonts w:ascii="Times New Roman" w:hAnsi="Times New Roman" w:cs="Times New Roman"/>
          <w:b/>
          <w:bCs/>
          <w:sz w:val="24"/>
          <w:szCs w:val="24"/>
        </w:rPr>
        <w:t xml:space="preserve">Processing </w:t>
      </w:r>
      <w:proofErr w:type="gramStart"/>
      <w:r w:rsidR="00EC08D5" w:rsidRPr="00142DDE">
        <w:rPr>
          <w:rFonts w:ascii="Times New Roman" w:hAnsi="Times New Roman" w:cs="Times New Roman"/>
          <w:b/>
          <w:bCs/>
          <w:sz w:val="24"/>
          <w:szCs w:val="24"/>
        </w:rPr>
        <w:t>Of</w:t>
      </w:r>
      <w:proofErr w:type="gramEnd"/>
      <w:r w:rsidR="00EC08D5" w:rsidRPr="00142DDE">
        <w:rPr>
          <w:rFonts w:ascii="Times New Roman" w:hAnsi="Times New Roman" w:cs="Times New Roman"/>
          <w:b/>
          <w:bCs/>
          <w:sz w:val="24"/>
          <w:szCs w:val="24"/>
        </w:rPr>
        <w:t xml:space="preserve"> Samples</w:t>
      </w:r>
    </w:p>
    <w:p w:rsidR="00987FC6" w:rsidRDefault="00987FC6" w:rsidP="00617D5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The samples after collection were first washed with running tap water to decontaminate leaves from dust and other foreign materials followed by washing with distilled water. The samples were air dried on filter papers and then oven dried at 60- 65</w:t>
      </w:r>
      <w:r>
        <w:rPr>
          <w:rFonts w:ascii="Times New Roman" w:hAnsi="Times New Roman" w:cs="Times New Roman"/>
          <w:sz w:val="24"/>
          <w:szCs w:val="24"/>
          <w:vertAlign w:val="superscript"/>
        </w:rPr>
        <w:t>o</w:t>
      </w:r>
      <w:r>
        <w:rPr>
          <w:rFonts w:ascii="Times New Roman" w:hAnsi="Times New Roman" w:cs="Times New Roman"/>
          <w:sz w:val="24"/>
          <w:szCs w:val="24"/>
        </w:rPr>
        <w:t>C (Chapman, 1964) till constant weight was obtained. The samples were crushed in stainless steel blender and sieved through 2 mm mesh sieve and were stored in labeled paper envelops for subsequent analysis.</w:t>
      </w:r>
    </w:p>
    <w:p w:rsidR="00987FC6" w:rsidRPr="00142DDE" w:rsidRDefault="00142DDE" w:rsidP="00617D5C">
      <w:pPr>
        <w:pStyle w:val="Default"/>
        <w:spacing w:before="240" w:after="240" w:line="276" w:lineRule="auto"/>
        <w:jc w:val="both"/>
        <w:rPr>
          <w:b/>
          <w:bCs/>
        </w:rPr>
      </w:pPr>
      <w:r w:rsidRPr="00142DDE">
        <w:rPr>
          <w:b/>
          <w:bCs/>
        </w:rPr>
        <w:t xml:space="preserve">2.3 </w:t>
      </w:r>
      <w:r w:rsidR="00EC08D5" w:rsidRPr="00142DDE">
        <w:rPr>
          <w:b/>
          <w:bCs/>
        </w:rPr>
        <w:t>Preparation of Extracts</w:t>
      </w:r>
    </w:p>
    <w:p w:rsidR="00987FC6" w:rsidRDefault="00987FC6" w:rsidP="00641919">
      <w:pPr>
        <w:pStyle w:val="Default"/>
        <w:spacing w:line="276" w:lineRule="auto"/>
        <w:ind w:firstLine="720"/>
        <w:jc w:val="both"/>
        <w:rPr>
          <w:b/>
        </w:rPr>
      </w:pPr>
      <w:r>
        <w:rPr>
          <w:bCs/>
        </w:rPr>
        <w:t>For preparation of the extract, 0.5g from each sample were dissolved in 10ml of 80% ethanol and kept at room temperature for 24 hours. Sample concentrations of 50mg/ml were diluted with 80% ethanol to make 25, 50, 100 and 200µg/ml concentrations.</w:t>
      </w:r>
    </w:p>
    <w:p w:rsidR="00987FC6" w:rsidRPr="00142DDE" w:rsidRDefault="00142DDE" w:rsidP="00641919">
      <w:pPr>
        <w:pStyle w:val="Default"/>
        <w:spacing w:before="240" w:after="240" w:line="276" w:lineRule="auto"/>
        <w:jc w:val="both"/>
        <w:rPr>
          <w:b/>
        </w:rPr>
      </w:pPr>
      <w:r>
        <w:rPr>
          <w:b/>
        </w:rPr>
        <w:t>2</w:t>
      </w:r>
      <w:r w:rsidRPr="00142DDE">
        <w:rPr>
          <w:b/>
        </w:rPr>
        <w:t xml:space="preserve">.4 </w:t>
      </w:r>
      <w:r w:rsidR="00EC08D5" w:rsidRPr="00142DDE">
        <w:rPr>
          <w:b/>
        </w:rPr>
        <w:t>Determination of Total Polyphenolic Content (TPC)</w:t>
      </w:r>
    </w:p>
    <w:p w:rsidR="00987FC6" w:rsidRPr="00641919" w:rsidRDefault="00131426" w:rsidP="00641919">
      <w:pPr>
        <w:autoSpaceDE w:val="0"/>
        <w:autoSpaceDN w:val="0"/>
        <w:adjustRightInd w:val="0"/>
        <w:spacing w:before="240" w:after="240"/>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TPC of </w:t>
      </w:r>
      <w:r w:rsidR="009D103E" w:rsidRPr="009D103E">
        <w:rPr>
          <w:rFonts w:ascii="Times New Roman" w:hAnsi="Times New Roman" w:cs="Times New Roman"/>
          <w:i/>
          <w:sz w:val="24"/>
          <w:szCs w:val="24"/>
        </w:rPr>
        <w:t xml:space="preserve">A. </w:t>
      </w:r>
      <w:proofErr w:type="spellStart"/>
      <w:r w:rsidR="009D103E" w:rsidRPr="009D103E">
        <w:rPr>
          <w:rFonts w:ascii="Times New Roman" w:hAnsi="Times New Roman" w:cs="Times New Roman"/>
          <w:i/>
          <w:sz w:val="24"/>
          <w:szCs w:val="24"/>
        </w:rPr>
        <w:t>absinthium</w:t>
      </w:r>
      <w:proofErr w:type="spellEnd"/>
      <w:r w:rsidR="009D103E" w:rsidRPr="009D103E">
        <w:rPr>
          <w:rFonts w:ascii="Times New Roman" w:hAnsi="Times New Roman" w:cs="Times New Roman"/>
          <w:i/>
          <w:sz w:val="24"/>
          <w:szCs w:val="24"/>
        </w:rPr>
        <w:t xml:space="preserve"> </w:t>
      </w:r>
      <w:r>
        <w:rPr>
          <w:rFonts w:ascii="Times New Roman" w:hAnsi="Times New Roman" w:cs="Times New Roman"/>
          <w:sz w:val="24"/>
          <w:szCs w:val="24"/>
        </w:rPr>
        <w:t xml:space="preserve">and </w:t>
      </w:r>
      <w:r w:rsidR="00B07655" w:rsidRPr="00B07655">
        <w:rPr>
          <w:rFonts w:ascii="Times New Roman" w:hAnsi="Times New Roman" w:cs="Times New Roman"/>
          <w:i/>
          <w:sz w:val="24"/>
          <w:szCs w:val="24"/>
        </w:rPr>
        <w:t>A. calamus</w:t>
      </w:r>
      <w:r w:rsidR="00987FC6">
        <w:rPr>
          <w:rFonts w:ascii="Times New Roman" w:hAnsi="Times New Roman" w:cs="Times New Roman"/>
          <w:sz w:val="24"/>
          <w:szCs w:val="24"/>
        </w:rPr>
        <w:t xml:space="preserve"> was determined by using the </w:t>
      </w:r>
      <w:proofErr w:type="spellStart"/>
      <w:r w:rsidR="00987FC6">
        <w:rPr>
          <w:rFonts w:ascii="Times New Roman" w:hAnsi="Times New Roman" w:cs="Times New Roman"/>
          <w:sz w:val="24"/>
          <w:szCs w:val="24"/>
        </w:rPr>
        <w:t>Folin</w:t>
      </w:r>
      <w:proofErr w:type="spellEnd"/>
      <w:r w:rsidR="00987FC6">
        <w:rPr>
          <w:rFonts w:ascii="Times New Roman" w:hAnsi="Times New Roman" w:cs="Times New Roman"/>
          <w:sz w:val="24"/>
          <w:szCs w:val="24"/>
        </w:rPr>
        <w:t>–</w:t>
      </w:r>
      <w:proofErr w:type="spellStart"/>
      <w:r w:rsidR="00987FC6">
        <w:rPr>
          <w:rFonts w:ascii="Times New Roman" w:hAnsi="Times New Roman" w:cs="Times New Roman"/>
          <w:sz w:val="24"/>
          <w:szCs w:val="24"/>
        </w:rPr>
        <w:t>denis</w:t>
      </w:r>
      <w:proofErr w:type="spellEnd"/>
      <w:r w:rsidR="00987FC6">
        <w:rPr>
          <w:rFonts w:ascii="Times New Roman" w:hAnsi="Times New Roman" w:cs="Times New Roman"/>
          <w:sz w:val="24"/>
          <w:szCs w:val="24"/>
        </w:rPr>
        <w:t xml:space="preserve"> colorimetric method described by Kim </w:t>
      </w:r>
      <w:r w:rsidR="00617D5C" w:rsidRPr="00617D5C">
        <w:rPr>
          <w:rFonts w:ascii="Times New Roman" w:hAnsi="Times New Roman" w:cs="Times New Roman"/>
          <w:i/>
          <w:sz w:val="24"/>
          <w:szCs w:val="24"/>
        </w:rPr>
        <w:t>et al.,</w:t>
      </w:r>
      <w:r w:rsidR="00987FC6">
        <w:rPr>
          <w:rFonts w:ascii="Times New Roman" w:hAnsi="Times New Roman" w:cs="Times New Roman"/>
          <w:sz w:val="24"/>
          <w:szCs w:val="24"/>
        </w:rPr>
        <w:t xml:space="preserve"> (2009). About 100</w:t>
      </w:r>
      <w:r>
        <w:rPr>
          <w:rFonts w:ascii="Times New Roman" w:hAnsi="Times New Roman" w:cs="Times New Roman"/>
          <w:sz w:val="24"/>
          <w:szCs w:val="24"/>
        </w:rPr>
        <w:t xml:space="preserve">µl of the </w:t>
      </w:r>
      <w:r w:rsidR="00987FC6">
        <w:rPr>
          <w:rFonts w:ascii="Times New Roman" w:hAnsi="Times New Roman" w:cs="Times New Roman"/>
          <w:sz w:val="24"/>
          <w:szCs w:val="24"/>
        </w:rPr>
        <w:t>extracts from different concentrations (</w:t>
      </w:r>
      <w:proofErr w:type="spellStart"/>
      <w:r w:rsidR="00987FC6">
        <w:rPr>
          <w:rFonts w:ascii="Times New Roman" w:hAnsi="Times New Roman" w:cs="Times New Roman"/>
          <w:sz w:val="24"/>
          <w:szCs w:val="24"/>
        </w:rPr>
        <w:t>i.e</w:t>
      </w:r>
      <w:proofErr w:type="spellEnd"/>
      <w:r w:rsidR="00987FC6">
        <w:rPr>
          <w:rFonts w:ascii="Times New Roman" w:hAnsi="Times New Roman" w:cs="Times New Roman"/>
          <w:sz w:val="24"/>
          <w:szCs w:val="24"/>
        </w:rPr>
        <w:t>, 6.25, 12.50, 25 and 50 mg/ml) were taken and mixed with 2ml of 2% Na</w:t>
      </w:r>
      <w:r w:rsidR="00987FC6">
        <w:rPr>
          <w:rFonts w:ascii="Times New Roman" w:hAnsi="Times New Roman" w:cs="Times New Roman"/>
          <w:sz w:val="24"/>
          <w:szCs w:val="24"/>
          <w:vertAlign w:val="subscript"/>
        </w:rPr>
        <w:t>2</w:t>
      </w:r>
      <w:r w:rsidR="00987FC6">
        <w:rPr>
          <w:rFonts w:ascii="Times New Roman" w:hAnsi="Times New Roman" w:cs="Times New Roman"/>
          <w:sz w:val="24"/>
          <w:szCs w:val="24"/>
        </w:rPr>
        <w:t>CO</w:t>
      </w:r>
      <w:r w:rsidR="00987FC6">
        <w:rPr>
          <w:rFonts w:ascii="Times New Roman" w:hAnsi="Times New Roman" w:cs="Times New Roman"/>
          <w:sz w:val="24"/>
          <w:szCs w:val="24"/>
          <w:vertAlign w:val="subscript"/>
        </w:rPr>
        <w:t xml:space="preserve">3 </w:t>
      </w:r>
      <w:r w:rsidR="00987FC6">
        <w:rPr>
          <w:rFonts w:ascii="Times New Roman" w:hAnsi="Times New Roman" w:cs="Times New Roman"/>
          <w:sz w:val="24"/>
          <w:szCs w:val="24"/>
        </w:rPr>
        <w:t xml:space="preserve">and100µl of 50% </w:t>
      </w:r>
      <w:proofErr w:type="spellStart"/>
      <w:r w:rsidR="00987FC6">
        <w:rPr>
          <w:rFonts w:ascii="Times New Roman" w:hAnsi="Times New Roman" w:cs="Times New Roman"/>
          <w:sz w:val="24"/>
          <w:szCs w:val="24"/>
        </w:rPr>
        <w:t>Folin-Ciocalteu</w:t>
      </w:r>
      <w:proofErr w:type="spellEnd"/>
      <w:r w:rsidR="00987FC6">
        <w:rPr>
          <w:rFonts w:ascii="Times New Roman" w:hAnsi="Times New Roman" w:cs="Times New Roman"/>
          <w:sz w:val="24"/>
          <w:szCs w:val="24"/>
        </w:rPr>
        <w:t xml:space="preserve"> reagent (FCR). The mixture was left for 30min to react at room temperature and absorbance was measured at 720 nm using Hitachi U-1800 UV-Vis spectrophotometer. A calibration curve of standard reference was established using gallic </w:t>
      </w:r>
      <w:r w:rsidR="00987FC6">
        <w:rPr>
          <w:rFonts w:ascii="Times New Roman" w:hAnsi="Times New Roman" w:cs="Times New Roman"/>
          <w:sz w:val="24"/>
          <w:szCs w:val="24"/>
        </w:rPr>
        <w:lastRenderedPageBreak/>
        <w:t>acid (range of concentration from 0 to 500μg/ml). TPC was revealed as gallic acid equivalents in milligrams per 100g of dry weight (mg GAE/100g DW).</w:t>
      </w:r>
    </w:p>
    <w:p w:rsidR="00987FC6" w:rsidRPr="00142DDE" w:rsidRDefault="00142DDE" w:rsidP="00617D5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2.5 </w:t>
      </w:r>
      <w:r w:rsidR="00EC08D5" w:rsidRPr="00142DDE">
        <w:rPr>
          <w:rFonts w:ascii="Times New Roman" w:hAnsi="Times New Roman" w:cs="Times New Roman"/>
          <w:b/>
          <w:sz w:val="24"/>
          <w:szCs w:val="24"/>
        </w:rPr>
        <w:t xml:space="preserve">Determination of Total Flavonoid Content </w:t>
      </w:r>
      <w:r w:rsidRPr="00142DDE">
        <w:rPr>
          <w:rFonts w:ascii="Times New Roman" w:hAnsi="Times New Roman" w:cs="Times New Roman"/>
          <w:b/>
          <w:sz w:val="24"/>
          <w:szCs w:val="24"/>
        </w:rPr>
        <w:t>(TFC)</w:t>
      </w:r>
    </w:p>
    <w:p w:rsidR="00987FC6" w:rsidRDefault="00987FC6" w:rsidP="00641919">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TFC of </w:t>
      </w:r>
      <w:r w:rsidR="009D103E" w:rsidRPr="009D103E">
        <w:rPr>
          <w:rFonts w:ascii="Times New Roman" w:hAnsi="Times New Roman" w:cs="Times New Roman"/>
          <w:i/>
          <w:sz w:val="24"/>
          <w:szCs w:val="24"/>
        </w:rPr>
        <w:t xml:space="preserve">A. </w:t>
      </w:r>
      <w:proofErr w:type="spellStart"/>
      <w:r w:rsidR="009D103E" w:rsidRPr="009D103E">
        <w:rPr>
          <w:rFonts w:ascii="Times New Roman" w:hAnsi="Times New Roman" w:cs="Times New Roman"/>
          <w:i/>
          <w:sz w:val="24"/>
          <w:szCs w:val="24"/>
        </w:rPr>
        <w:t>absinthium</w:t>
      </w:r>
      <w:proofErr w:type="spellEnd"/>
      <w:r w:rsidR="009D103E" w:rsidRPr="009D103E">
        <w:rPr>
          <w:rFonts w:ascii="Times New Roman" w:hAnsi="Times New Roman" w:cs="Times New Roman"/>
          <w:i/>
          <w:sz w:val="24"/>
          <w:szCs w:val="24"/>
        </w:rPr>
        <w:t xml:space="preserve"> </w:t>
      </w:r>
      <w:r w:rsidR="00131426">
        <w:rPr>
          <w:rFonts w:ascii="Times New Roman" w:hAnsi="Times New Roman" w:cs="Times New Roman"/>
          <w:sz w:val="24"/>
          <w:szCs w:val="24"/>
        </w:rPr>
        <w:t xml:space="preserve">and </w:t>
      </w:r>
      <w:r w:rsidR="00B07655" w:rsidRPr="00B07655">
        <w:rPr>
          <w:rFonts w:ascii="Times New Roman" w:hAnsi="Times New Roman" w:cs="Times New Roman"/>
          <w:i/>
          <w:sz w:val="24"/>
          <w:szCs w:val="24"/>
        </w:rPr>
        <w:t>A. calamus</w:t>
      </w:r>
      <w:r w:rsidR="00131426">
        <w:rPr>
          <w:rFonts w:ascii="Times New Roman" w:hAnsi="Times New Roman" w:cs="Times New Roman"/>
          <w:sz w:val="24"/>
          <w:szCs w:val="24"/>
        </w:rPr>
        <w:t xml:space="preserve"> was </w:t>
      </w:r>
      <w:r>
        <w:rPr>
          <w:rFonts w:ascii="Times New Roman" w:hAnsi="Times New Roman" w:cs="Times New Roman"/>
          <w:sz w:val="24"/>
          <w:szCs w:val="24"/>
        </w:rPr>
        <w:t xml:space="preserve">determined by aluminum chloride colorimetric assay. 1 ml of sample (different concentrations of 0.25, 0.50, 0.75, 1mg/ml) from each </w:t>
      </w:r>
      <w:r w:rsidR="00131426">
        <w:rPr>
          <w:rFonts w:ascii="Times New Roman" w:hAnsi="Times New Roman" w:cs="Times New Roman"/>
          <w:sz w:val="24"/>
          <w:szCs w:val="24"/>
        </w:rPr>
        <w:t>sample</w:t>
      </w:r>
      <w:r>
        <w:rPr>
          <w:rFonts w:ascii="Times New Roman" w:hAnsi="Times New Roman" w:cs="Times New Roman"/>
          <w:sz w:val="24"/>
          <w:szCs w:val="24"/>
        </w:rPr>
        <w:t xml:space="preserve"> and 4ml of distilled water were taken in test tubes, 0.3ml of 5% NaNO2 was added and the mixture was allowed to react for 5 min at room temperature followed by addition of 0.3ml of 10% AlCl3, the mixture was again left to react for 5-6 minutes at room temperature. Further, 2ml of 1M NaOH and 2.4ml distilled water was added to each test tube to make the final volume of 10ml. Absorbance was taken at 510nm using Hitachi U-1800 UV-Vis spectrophotometer. The total </w:t>
      </w:r>
      <w:r w:rsidR="00447BC5">
        <w:rPr>
          <w:rFonts w:ascii="Times New Roman" w:hAnsi="Times New Roman" w:cs="Times New Roman"/>
          <w:sz w:val="24"/>
          <w:szCs w:val="24"/>
        </w:rPr>
        <w:t>flavonoid</w:t>
      </w:r>
      <w:r>
        <w:rPr>
          <w:rFonts w:ascii="Times New Roman" w:hAnsi="Times New Roman" w:cs="Times New Roman"/>
          <w:sz w:val="24"/>
          <w:szCs w:val="24"/>
        </w:rPr>
        <w:t xml:space="preserve"> content was measured from the standard Quercetin curve </w:t>
      </w:r>
      <w:r>
        <w:rPr>
          <w:rFonts w:ascii="Times New Roman" w:hAnsi="Times New Roman" w:cs="Times New Roman"/>
          <w:sz w:val="24"/>
          <w:szCs w:val="24"/>
          <w:lang w:val="en-IN"/>
        </w:rPr>
        <w:t>(0-1mg/ml)</w:t>
      </w:r>
      <w:r>
        <w:rPr>
          <w:rFonts w:ascii="Times New Roman" w:hAnsi="Times New Roman" w:cs="Times New Roman"/>
          <w:sz w:val="24"/>
          <w:szCs w:val="24"/>
        </w:rPr>
        <w:t>. TFC was revealed as quercetin equivalent in milligram per gram dry weight (mg</w:t>
      </w:r>
      <w:r w:rsidR="003B0AC0">
        <w:rPr>
          <w:rFonts w:ascii="Times New Roman" w:hAnsi="Times New Roman" w:cs="Times New Roman"/>
          <w:sz w:val="24"/>
          <w:szCs w:val="24"/>
        </w:rPr>
        <w:t xml:space="preserve"> </w:t>
      </w:r>
      <w:r>
        <w:rPr>
          <w:rFonts w:ascii="Times New Roman" w:hAnsi="Times New Roman" w:cs="Times New Roman"/>
          <w:sz w:val="24"/>
          <w:szCs w:val="24"/>
        </w:rPr>
        <w:t>QE/g DW).</w:t>
      </w:r>
    </w:p>
    <w:p w:rsidR="00987FC6" w:rsidRPr="00142DDE" w:rsidRDefault="00142DDE" w:rsidP="00641919">
      <w:pPr>
        <w:pStyle w:val="Default"/>
        <w:spacing w:before="240" w:after="240" w:line="276" w:lineRule="auto"/>
        <w:jc w:val="both"/>
      </w:pPr>
      <w:r>
        <w:rPr>
          <w:b/>
          <w:bCs/>
        </w:rPr>
        <w:t xml:space="preserve">2.6 </w:t>
      </w:r>
      <w:r w:rsidR="00EC08D5" w:rsidRPr="00142DDE">
        <w:rPr>
          <w:b/>
          <w:bCs/>
        </w:rPr>
        <w:t>Determination of DPPH Radial Scavenging Activity</w:t>
      </w:r>
    </w:p>
    <w:p w:rsidR="00987FC6" w:rsidRDefault="00987FC6" w:rsidP="00617D5C">
      <w:pPr>
        <w:pStyle w:val="Default"/>
        <w:spacing w:line="276" w:lineRule="auto"/>
        <w:jc w:val="both"/>
        <w:rPr>
          <w:color w:val="auto"/>
        </w:rPr>
      </w:pPr>
      <w:r>
        <w:t>The DPPH</w:t>
      </w:r>
      <w:r w:rsidR="003B0AC0">
        <w:t xml:space="preserve"> (</w:t>
      </w:r>
      <w:r w:rsidR="003B0AC0" w:rsidRPr="00CB7F3C">
        <w:t>2,</w:t>
      </w:r>
      <w:r w:rsidR="003B0AC0">
        <w:t xml:space="preserve"> </w:t>
      </w:r>
      <w:r w:rsidR="003B0AC0" w:rsidRPr="00CB7F3C">
        <w:t>2-diphenyl-1-picrylhydrazyl</w:t>
      </w:r>
      <w:r w:rsidR="003B0AC0">
        <w:t>)</w:t>
      </w:r>
      <w:r>
        <w:t xml:space="preserve"> free radical scavenging activity was analyzed </w:t>
      </w:r>
      <w:r>
        <w:rPr>
          <w:color w:val="000000" w:themeColor="text1"/>
        </w:rPr>
        <w:t xml:space="preserve">by the method described by </w:t>
      </w:r>
      <w:proofErr w:type="spellStart"/>
      <w:r>
        <w:rPr>
          <w:color w:val="auto"/>
        </w:rPr>
        <w:t>Nithiananthian</w:t>
      </w:r>
      <w:proofErr w:type="spellEnd"/>
      <w:r w:rsidR="001F50C7">
        <w:rPr>
          <w:color w:val="auto"/>
        </w:rPr>
        <w:t xml:space="preserve"> </w:t>
      </w:r>
      <w:r w:rsidR="00617D5C" w:rsidRPr="00617D5C">
        <w:rPr>
          <w:i/>
          <w:color w:val="auto"/>
        </w:rPr>
        <w:t>et al.,</w:t>
      </w:r>
      <w:r>
        <w:rPr>
          <w:color w:val="auto"/>
        </w:rPr>
        <w:t xml:space="preserve"> (2011)</w:t>
      </w:r>
      <w:r w:rsidR="0021493A">
        <w:rPr>
          <w:color w:val="auto"/>
        </w:rPr>
        <w:t xml:space="preserve"> </w:t>
      </w:r>
      <w:r>
        <w:rPr>
          <w:color w:val="000000" w:themeColor="text1"/>
        </w:rPr>
        <w:t>with slight modification. Different concentrations (25, 50, 100 and 200μg/ml) of sample extracts were taken for analysis. 2ml of DPPH (0.1mM/ml or 0.004%)</w:t>
      </w:r>
      <w:r>
        <w:t xml:space="preserve"> solution was added to 2ml of sample extracts of each concentration. In case of control, 2ml of sample extract was replaced by 80% </w:t>
      </w:r>
      <w:r>
        <w:rPr>
          <w:color w:val="auto"/>
        </w:rPr>
        <w:t xml:space="preserve">ethanol. All the mixtures were mixed and left to incubate in dark for 30 minutes at room temperature. Absorbance was measured at 517nm on UV/VIS spectrophotometer </w:t>
      </w:r>
      <w:r w:rsidR="003B0AC0">
        <w:t>(Hitachi U-1800)</w:t>
      </w:r>
      <w:r>
        <w:t xml:space="preserve"> </w:t>
      </w:r>
      <w:r>
        <w:rPr>
          <w:color w:val="auto"/>
        </w:rPr>
        <w:t>and scavenging activity percen</w:t>
      </w:r>
      <w:r w:rsidR="003B0AC0">
        <w:rPr>
          <w:color w:val="auto"/>
        </w:rPr>
        <w:t>tage was calculated as follows:</w:t>
      </w:r>
    </w:p>
    <w:p w:rsidR="00987FC6" w:rsidRDefault="00987FC6" w:rsidP="00617D5C">
      <w:pPr>
        <w:pStyle w:val="Default"/>
        <w:spacing w:line="276" w:lineRule="auto"/>
        <w:jc w:val="both"/>
        <w:rPr>
          <w:color w:val="auto"/>
        </w:rPr>
      </w:pPr>
      <w:r>
        <w:rPr>
          <w:color w:val="auto"/>
        </w:rPr>
        <w:t>I % = [(</w:t>
      </w:r>
      <w:proofErr w:type="spellStart"/>
      <w:r>
        <w:rPr>
          <w:color w:val="auto"/>
        </w:rPr>
        <w:t>Ao</w:t>
      </w:r>
      <w:proofErr w:type="spellEnd"/>
      <w:r>
        <w:rPr>
          <w:color w:val="auto"/>
        </w:rPr>
        <w:t xml:space="preserve"> – As)/</w:t>
      </w:r>
      <w:proofErr w:type="spellStart"/>
      <w:r>
        <w:rPr>
          <w:color w:val="auto"/>
        </w:rPr>
        <w:t>Ao</w:t>
      </w:r>
      <w:proofErr w:type="spellEnd"/>
      <w:r>
        <w:rPr>
          <w:color w:val="auto"/>
        </w:rPr>
        <w:t xml:space="preserve">] x 100 </w:t>
      </w:r>
    </w:p>
    <w:p w:rsidR="00987FC6" w:rsidRDefault="00987FC6" w:rsidP="00617D5C">
      <w:pPr>
        <w:pStyle w:val="Default"/>
        <w:spacing w:line="276" w:lineRule="auto"/>
        <w:jc w:val="both"/>
        <w:rPr>
          <w:color w:val="auto"/>
        </w:rPr>
      </w:pPr>
      <w:r>
        <w:rPr>
          <w:color w:val="auto"/>
        </w:rPr>
        <w:t xml:space="preserve">Where, </w:t>
      </w:r>
    </w:p>
    <w:p w:rsidR="00987FC6" w:rsidRDefault="00987FC6" w:rsidP="00617D5C">
      <w:pPr>
        <w:pStyle w:val="Default"/>
        <w:spacing w:line="276" w:lineRule="auto"/>
        <w:jc w:val="both"/>
        <w:rPr>
          <w:color w:val="auto"/>
        </w:rPr>
      </w:pPr>
      <w:proofErr w:type="spellStart"/>
      <w:r>
        <w:rPr>
          <w:color w:val="auto"/>
        </w:rPr>
        <w:t>Ao</w:t>
      </w:r>
      <w:proofErr w:type="spellEnd"/>
      <w:r>
        <w:rPr>
          <w:color w:val="auto"/>
        </w:rPr>
        <w:t xml:space="preserve"> represent the absorbance value of the control reaction. </w:t>
      </w:r>
    </w:p>
    <w:p w:rsidR="00987FC6" w:rsidRDefault="00987FC6" w:rsidP="00617D5C">
      <w:pPr>
        <w:pStyle w:val="Default"/>
        <w:spacing w:line="276" w:lineRule="auto"/>
        <w:jc w:val="both"/>
        <w:rPr>
          <w:color w:val="auto"/>
        </w:rPr>
      </w:pPr>
      <w:r>
        <w:rPr>
          <w:color w:val="auto"/>
        </w:rPr>
        <w:t xml:space="preserve">As represent the absorbance value of the sample extract. </w:t>
      </w:r>
    </w:p>
    <w:p w:rsidR="004F28DF" w:rsidRPr="00907E77" w:rsidRDefault="00987FC6" w:rsidP="00617D5C">
      <w:pPr>
        <w:jc w:val="both"/>
        <w:rPr>
          <w:rFonts w:ascii="Times New Roman" w:hAnsi="Times New Roman" w:cs="Times New Roman"/>
          <w:sz w:val="24"/>
          <w:szCs w:val="24"/>
        </w:rPr>
      </w:pPr>
      <w:r>
        <w:rPr>
          <w:rFonts w:ascii="Times New Roman" w:hAnsi="Times New Roman" w:cs="Times New Roman"/>
          <w:sz w:val="24"/>
          <w:szCs w:val="24"/>
        </w:rPr>
        <w:t xml:space="preserve">I% represent the percentage inhibition. </w:t>
      </w:r>
    </w:p>
    <w:p w:rsidR="004F28DF" w:rsidRDefault="00142DDE" w:rsidP="00617D5C">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3. RESULTS AND DISCUSSION</w:t>
      </w:r>
    </w:p>
    <w:p w:rsidR="00907E77" w:rsidRPr="00142DDE" w:rsidRDefault="00142DDE" w:rsidP="00641919">
      <w:pPr>
        <w:spacing w:before="240"/>
        <w:jc w:val="both"/>
        <w:rPr>
          <w:rFonts w:ascii="Times New Roman" w:hAnsi="Times New Roman" w:cs="Times New Roman"/>
          <w:b/>
          <w:sz w:val="24"/>
        </w:rPr>
      </w:pPr>
      <w:r w:rsidRPr="00142DDE">
        <w:rPr>
          <w:rFonts w:ascii="Times New Roman" w:hAnsi="Times New Roman" w:cs="Times New Roman"/>
          <w:b/>
          <w:sz w:val="24"/>
        </w:rPr>
        <w:t xml:space="preserve">3.1 </w:t>
      </w:r>
      <w:r w:rsidR="00EC08D5" w:rsidRPr="00142DDE">
        <w:rPr>
          <w:rFonts w:ascii="Times New Roman" w:hAnsi="Times New Roman" w:cs="Times New Roman"/>
          <w:b/>
          <w:sz w:val="24"/>
        </w:rPr>
        <w:t>Total Polyphenolic and Flavonoid Content</w:t>
      </w:r>
    </w:p>
    <w:p w:rsidR="00907E77" w:rsidRPr="00907E77" w:rsidRDefault="00907E77" w:rsidP="00641919">
      <w:pPr>
        <w:spacing w:before="240"/>
        <w:ind w:firstLine="720"/>
        <w:jc w:val="both"/>
        <w:rPr>
          <w:rFonts w:ascii="Times New Roman" w:hAnsi="Times New Roman" w:cs="Times New Roman"/>
          <w:sz w:val="24"/>
        </w:rPr>
      </w:pPr>
      <w:r w:rsidRPr="00907E77">
        <w:rPr>
          <w:rFonts w:ascii="Times New Roman" w:hAnsi="Times New Roman" w:cs="Times New Roman"/>
          <w:sz w:val="24"/>
        </w:rPr>
        <w:t xml:space="preserve">The total polyphenolic content (TPC) and total flavonoid content (TFC) of </w:t>
      </w:r>
      <w:r w:rsidR="009D103E" w:rsidRPr="009D103E">
        <w:rPr>
          <w:rFonts w:ascii="Times New Roman" w:hAnsi="Times New Roman" w:cs="Times New Roman"/>
          <w:i/>
          <w:sz w:val="24"/>
        </w:rPr>
        <w:t xml:space="preserve">A. </w:t>
      </w:r>
      <w:proofErr w:type="spellStart"/>
      <w:r w:rsidR="009D103E" w:rsidRPr="009D103E">
        <w:rPr>
          <w:rFonts w:ascii="Times New Roman" w:hAnsi="Times New Roman" w:cs="Times New Roman"/>
          <w:i/>
          <w:sz w:val="24"/>
        </w:rPr>
        <w:t>absinthium</w:t>
      </w:r>
      <w:proofErr w:type="spellEnd"/>
      <w:r w:rsidR="009D103E" w:rsidRPr="009D103E">
        <w:rPr>
          <w:rFonts w:ascii="Times New Roman" w:hAnsi="Times New Roman" w:cs="Times New Roman"/>
          <w:i/>
          <w:sz w:val="24"/>
        </w:rPr>
        <w:t xml:space="preserve"> </w:t>
      </w:r>
      <w:r w:rsidRPr="00907E77">
        <w:rPr>
          <w:rFonts w:ascii="Times New Roman" w:hAnsi="Times New Roman" w:cs="Times New Roman"/>
          <w:sz w:val="24"/>
        </w:rPr>
        <w:t xml:space="preserve">and </w:t>
      </w:r>
      <w:r w:rsidR="00B07655" w:rsidRPr="00B07655">
        <w:rPr>
          <w:rFonts w:ascii="Times New Roman" w:hAnsi="Times New Roman" w:cs="Times New Roman"/>
          <w:i/>
          <w:sz w:val="24"/>
        </w:rPr>
        <w:t>A. calamus</w:t>
      </w:r>
      <w:r w:rsidRPr="00907E77">
        <w:rPr>
          <w:rFonts w:ascii="Times New Roman" w:hAnsi="Times New Roman" w:cs="Times New Roman"/>
          <w:sz w:val="24"/>
        </w:rPr>
        <w:t xml:space="preserve"> are presented in Table 1 and Figure 1. The TPC of </w:t>
      </w:r>
      <w:r w:rsidR="009D103E" w:rsidRPr="009D103E">
        <w:rPr>
          <w:rFonts w:ascii="Times New Roman" w:hAnsi="Times New Roman" w:cs="Times New Roman"/>
          <w:i/>
          <w:sz w:val="24"/>
        </w:rPr>
        <w:t xml:space="preserve">A. </w:t>
      </w:r>
      <w:proofErr w:type="spellStart"/>
      <w:r w:rsidR="009D103E" w:rsidRPr="009D103E">
        <w:rPr>
          <w:rFonts w:ascii="Times New Roman" w:hAnsi="Times New Roman" w:cs="Times New Roman"/>
          <w:i/>
          <w:sz w:val="24"/>
        </w:rPr>
        <w:t>absinthium</w:t>
      </w:r>
      <w:proofErr w:type="spellEnd"/>
      <w:r w:rsidR="009D103E" w:rsidRPr="009D103E">
        <w:rPr>
          <w:rFonts w:ascii="Times New Roman" w:hAnsi="Times New Roman" w:cs="Times New Roman"/>
          <w:i/>
          <w:sz w:val="24"/>
        </w:rPr>
        <w:t xml:space="preserve"> </w:t>
      </w:r>
      <w:r w:rsidRPr="00907E77">
        <w:rPr>
          <w:rFonts w:ascii="Times New Roman" w:hAnsi="Times New Roman" w:cs="Times New Roman"/>
          <w:sz w:val="24"/>
        </w:rPr>
        <w:t xml:space="preserve">was significantly higher at 128.4 mg GAE/g, compared to 12.02 mg GAE/g in </w:t>
      </w:r>
      <w:r w:rsidR="00B07655" w:rsidRPr="00B07655">
        <w:rPr>
          <w:rFonts w:ascii="Times New Roman" w:hAnsi="Times New Roman" w:cs="Times New Roman"/>
          <w:i/>
          <w:sz w:val="24"/>
        </w:rPr>
        <w:t>A. calamus</w:t>
      </w:r>
      <w:r w:rsidRPr="00907E77">
        <w:rPr>
          <w:rFonts w:ascii="Times New Roman" w:hAnsi="Times New Roman" w:cs="Times New Roman"/>
          <w:sz w:val="24"/>
        </w:rPr>
        <w:t xml:space="preserve">, indicating a much richer phenolic composition in </w:t>
      </w:r>
      <w:r w:rsidR="003B0AC0">
        <w:rPr>
          <w:rFonts w:ascii="Times New Roman" w:hAnsi="Times New Roman" w:cs="Times New Roman"/>
          <w:i/>
          <w:sz w:val="24"/>
        </w:rPr>
        <w:t>A.</w:t>
      </w:r>
      <w:r w:rsidR="007D7941" w:rsidRPr="003B0AC0">
        <w:rPr>
          <w:rFonts w:ascii="Times New Roman" w:hAnsi="Times New Roman" w:cs="Times New Roman"/>
          <w:i/>
          <w:sz w:val="24"/>
        </w:rPr>
        <w:t xml:space="preserve"> </w:t>
      </w:r>
      <w:proofErr w:type="spellStart"/>
      <w:r w:rsidR="007D7941" w:rsidRPr="003B0AC0">
        <w:rPr>
          <w:rFonts w:ascii="Times New Roman" w:hAnsi="Times New Roman" w:cs="Times New Roman"/>
          <w:i/>
          <w:sz w:val="24"/>
        </w:rPr>
        <w:t>absinthium</w:t>
      </w:r>
      <w:proofErr w:type="spellEnd"/>
      <w:r w:rsidRPr="00907E77">
        <w:rPr>
          <w:rFonts w:ascii="Times New Roman" w:hAnsi="Times New Roman" w:cs="Times New Roman"/>
          <w:sz w:val="24"/>
        </w:rPr>
        <w:t xml:space="preserve">. This is consistent with earlier studies reporting high polyphenol content in </w:t>
      </w:r>
      <w:r w:rsidR="009D103E" w:rsidRPr="003B0AC0">
        <w:rPr>
          <w:rFonts w:ascii="Times New Roman" w:hAnsi="Times New Roman" w:cs="Times New Roman"/>
          <w:i/>
          <w:sz w:val="24"/>
        </w:rPr>
        <w:t>Artemisia</w:t>
      </w:r>
      <w:r w:rsidRPr="003B0AC0">
        <w:rPr>
          <w:rFonts w:ascii="Times New Roman" w:hAnsi="Times New Roman" w:cs="Times New Roman"/>
          <w:i/>
          <w:sz w:val="24"/>
        </w:rPr>
        <w:t xml:space="preserve"> </w:t>
      </w:r>
      <w:proofErr w:type="spellStart"/>
      <w:r w:rsidRPr="003B0AC0">
        <w:rPr>
          <w:rFonts w:ascii="Times New Roman" w:hAnsi="Times New Roman" w:cs="Times New Roman"/>
          <w:i/>
          <w:sz w:val="24"/>
        </w:rPr>
        <w:t>annua</w:t>
      </w:r>
      <w:proofErr w:type="spellEnd"/>
      <w:r w:rsidRPr="00907E77">
        <w:rPr>
          <w:rFonts w:ascii="Times New Roman" w:hAnsi="Times New Roman" w:cs="Times New Roman"/>
          <w:sz w:val="24"/>
        </w:rPr>
        <w:t xml:space="preserve"> and </w:t>
      </w:r>
      <w:r w:rsidR="007D7941" w:rsidRPr="003B0AC0">
        <w:rPr>
          <w:rFonts w:ascii="Times New Roman" w:hAnsi="Times New Roman" w:cs="Times New Roman"/>
          <w:i/>
          <w:sz w:val="24"/>
        </w:rPr>
        <w:t xml:space="preserve">Artemisia </w:t>
      </w:r>
      <w:r w:rsidRPr="003B0AC0">
        <w:rPr>
          <w:rFonts w:ascii="Times New Roman" w:hAnsi="Times New Roman" w:cs="Times New Roman"/>
          <w:i/>
          <w:sz w:val="24"/>
        </w:rPr>
        <w:t>vulgaris</w:t>
      </w:r>
      <w:r w:rsidRPr="00907E77">
        <w:rPr>
          <w:rFonts w:ascii="Times New Roman" w:hAnsi="Times New Roman" w:cs="Times New Roman"/>
          <w:sz w:val="24"/>
        </w:rPr>
        <w:t xml:space="preserve"> (Ferreira </w:t>
      </w:r>
      <w:r w:rsidR="00617D5C" w:rsidRPr="00617D5C">
        <w:rPr>
          <w:rFonts w:ascii="Times New Roman" w:hAnsi="Times New Roman" w:cs="Times New Roman"/>
          <w:i/>
          <w:sz w:val="24"/>
        </w:rPr>
        <w:t>et al.,</w:t>
      </w:r>
      <w:r w:rsidRPr="00907E77">
        <w:rPr>
          <w:rFonts w:ascii="Times New Roman" w:hAnsi="Times New Roman" w:cs="Times New Roman"/>
          <w:sz w:val="24"/>
        </w:rPr>
        <w:t xml:space="preserve"> 2010; Shah </w:t>
      </w:r>
      <w:r w:rsidR="00617D5C" w:rsidRPr="00617D5C">
        <w:rPr>
          <w:rFonts w:ascii="Times New Roman" w:hAnsi="Times New Roman" w:cs="Times New Roman"/>
          <w:i/>
          <w:sz w:val="24"/>
        </w:rPr>
        <w:t>et al.,</w:t>
      </w:r>
      <w:r w:rsidRPr="00907E77">
        <w:rPr>
          <w:rFonts w:ascii="Times New Roman" w:hAnsi="Times New Roman" w:cs="Times New Roman"/>
          <w:sz w:val="24"/>
        </w:rPr>
        <w:t xml:space="preserve"> 2020). Polyphenols are known for their antioxidant, antimicrobial, and anti-</w:t>
      </w:r>
      <w:r w:rsidRPr="00907E77">
        <w:rPr>
          <w:rFonts w:ascii="Times New Roman" w:hAnsi="Times New Roman" w:cs="Times New Roman"/>
          <w:sz w:val="24"/>
        </w:rPr>
        <w:lastRenderedPageBreak/>
        <w:t>inflammatory activities due to their redox properties (</w:t>
      </w:r>
      <w:proofErr w:type="spellStart"/>
      <w:r w:rsidRPr="00907E77">
        <w:rPr>
          <w:rFonts w:ascii="Times New Roman" w:hAnsi="Times New Roman" w:cs="Times New Roman"/>
          <w:sz w:val="24"/>
        </w:rPr>
        <w:t>Shoib</w:t>
      </w:r>
      <w:proofErr w:type="spellEnd"/>
      <w:r w:rsidR="001F50C7">
        <w:rPr>
          <w:rFonts w:ascii="Times New Roman" w:hAnsi="Times New Roman" w:cs="Times New Roman"/>
          <w:sz w:val="24"/>
        </w:rPr>
        <w:t xml:space="preserve"> </w:t>
      </w:r>
      <w:r w:rsidRPr="00907E77">
        <w:rPr>
          <w:rFonts w:ascii="Times New Roman" w:hAnsi="Times New Roman" w:cs="Times New Roman"/>
          <w:sz w:val="24"/>
        </w:rPr>
        <w:t xml:space="preserve">&amp; Shahid, 2015; </w:t>
      </w:r>
      <w:proofErr w:type="spellStart"/>
      <w:r w:rsidRPr="00907E77">
        <w:rPr>
          <w:rFonts w:ascii="Times New Roman" w:hAnsi="Times New Roman" w:cs="Times New Roman"/>
          <w:sz w:val="24"/>
        </w:rPr>
        <w:t>Soobrattee</w:t>
      </w:r>
      <w:proofErr w:type="spellEnd"/>
      <w:r w:rsidR="001F50C7">
        <w:rPr>
          <w:rFonts w:ascii="Times New Roman" w:hAnsi="Times New Roman" w:cs="Times New Roman"/>
          <w:sz w:val="24"/>
        </w:rPr>
        <w:t xml:space="preserve"> </w:t>
      </w:r>
      <w:r w:rsidR="00617D5C" w:rsidRPr="00617D5C">
        <w:rPr>
          <w:rFonts w:ascii="Times New Roman" w:hAnsi="Times New Roman" w:cs="Times New Roman"/>
          <w:i/>
          <w:sz w:val="24"/>
        </w:rPr>
        <w:t>et al.,</w:t>
      </w:r>
      <w:r w:rsidRPr="00907E77">
        <w:rPr>
          <w:rFonts w:ascii="Times New Roman" w:hAnsi="Times New Roman" w:cs="Times New Roman"/>
          <w:sz w:val="24"/>
        </w:rPr>
        <w:t xml:space="preserve"> 2005).</w:t>
      </w:r>
    </w:p>
    <w:p w:rsidR="00907E77" w:rsidRPr="00AD3CDA" w:rsidRDefault="00907E77" w:rsidP="00641919">
      <w:pPr>
        <w:ind w:firstLine="720"/>
        <w:jc w:val="both"/>
        <w:rPr>
          <w:rFonts w:ascii="Times New Roman" w:hAnsi="Times New Roman" w:cs="Times New Roman"/>
          <w:sz w:val="24"/>
        </w:rPr>
      </w:pPr>
      <w:r w:rsidRPr="00907E77">
        <w:rPr>
          <w:rFonts w:ascii="Times New Roman" w:hAnsi="Times New Roman" w:cs="Times New Roman"/>
          <w:sz w:val="24"/>
        </w:rPr>
        <w:t xml:space="preserve">The TFC also followed a similar trend, with </w:t>
      </w:r>
      <w:r w:rsidR="009D103E" w:rsidRPr="009D103E">
        <w:rPr>
          <w:rFonts w:ascii="Times New Roman" w:hAnsi="Times New Roman" w:cs="Times New Roman"/>
          <w:i/>
          <w:sz w:val="24"/>
        </w:rPr>
        <w:t xml:space="preserve">A. </w:t>
      </w:r>
      <w:proofErr w:type="spellStart"/>
      <w:r w:rsidR="009D103E" w:rsidRPr="009D103E">
        <w:rPr>
          <w:rFonts w:ascii="Times New Roman" w:hAnsi="Times New Roman" w:cs="Times New Roman"/>
          <w:i/>
          <w:sz w:val="24"/>
        </w:rPr>
        <w:t>absinthium</w:t>
      </w:r>
      <w:proofErr w:type="spellEnd"/>
      <w:r w:rsidR="009D103E" w:rsidRPr="009D103E">
        <w:rPr>
          <w:rFonts w:ascii="Times New Roman" w:hAnsi="Times New Roman" w:cs="Times New Roman"/>
          <w:i/>
          <w:sz w:val="24"/>
        </w:rPr>
        <w:t xml:space="preserve"> </w:t>
      </w:r>
      <w:r w:rsidRPr="00907E77">
        <w:rPr>
          <w:rFonts w:ascii="Times New Roman" w:hAnsi="Times New Roman" w:cs="Times New Roman"/>
          <w:sz w:val="24"/>
        </w:rPr>
        <w:t xml:space="preserve">showing 18.0 mg QE/g and </w:t>
      </w:r>
      <w:r w:rsidR="00B07655" w:rsidRPr="00B07655">
        <w:rPr>
          <w:rFonts w:ascii="Times New Roman" w:hAnsi="Times New Roman" w:cs="Times New Roman"/>
          <w:i/>
          <w:sz w:val="24"/>
        </w:rPr>
        <w:t>A. calamus</w:t>
      </w:r>
      <w:r w:rsidRPr="00907E77">
        <w:rPr>
          <w:rFonts w:ascii="Times New Roman" w:hAnsi="Times New Roman" w:cs="Times New Roman"/>
          <w:sz w:val="24"/>
        </w:rPr>
        <w:t xml:space="preserve"> showing 5.65 mg QE/g. These results align with reports by Shah et al. (2020), who observed higher flavonoid concentrations in methanolic extracts of </w:t>
      </w:r>
      <w:r w:rsidR="009D103E" w:rsidRPr="009D103E">
        <w:rPr>
          <w:rFonts w:ascii="Times New Roman" w:hAnsi="Times New Roman" w:cs="Times New Roman"/>
          <w:i/>
          <w:sz w:val="24"/>
        </w:rPr>
        <w:t xml:space="preserve">A. </w:t>
      </w:r>
      <w:proofErr w:type="spellStart"/>
      <w:r w:rsidR="009D103E" w:rsidRPr="009D103E">
        <w:rPr>
          <w:rFonts w:ascii="Times New Roman" w:hAnsi="Times New Roman" w:cs="Times New Roman"/>
          <w:i/>
          <w:sz w:val="24"/>
        </w:rPr>
        <w:t>absinthium</w:t>
      </w:r>
      <w:proofErr w:type="spellEnd"/>
      <w:r w:rsidR="009D103E" w:rsidRPr="009D103E">
        <w:rPr>
          <w:rFonts w:ascii="Times New Roman" w:hAnsi="Times New Roman" w:cs="Times New Roman"/>
          <w:i/>
          <w:sz w:val="24"/>
        </w:rPr>
        <w:t xml:space="preserve"> </w:t>
      </w:r>
      <w:r w:rsidRPr="00907E77">
        <w:rPr>
          <w:rFonts w:ascii="Times New Roman" w:hAnsi="Times New Roman" w:cs="Times New Roman"/>
          <w:sz w:val="24"/>
        </w:rPr>
        <w:t xml:space="preserve">species. Flavonoids in </w:t>
      </w:r>
      <w:r w:rsidR="009D103E" w:rsidRPr="009D103E">
        <w:rPr>
          <w:rFonts w:ascii="Times New Roman" w:hAnsi="Times New Roman" w:cs="Times New Roman"/>
          <w:i/>
          <w:sz w:val="24"/>
        </w:rPr>
        <w:t xml:space="preserve">A. </w:t>
      </w:r>
      <w:proofErr w:type="spellStart"/>
      <w:r w:rsidR="009D103E" w:rsidRPr="009D103E">
        <w:rPr>
          <w:rFonts w:ascii="Times New Roman" w:hAnsi="Times New Roman" w:cs="Times New Roman"/>
          <w:i/>
          <w:sz w:val="24"/>
        </w:rPr>
        <w:t>absinthium</w:t>
      </w:r>
      <w:proofErr w:type="spellEnd"/>
      <w:r w:rsidR="009D103E" w:rsidRPr="009D103E">
        <w:rPr>
          <w:rFonts w:ascii="Times New Roman" w:hAnsi="Times New Roman" w:cs="Times New Roman"/>
          <w:i/>
          <w:sz w:val="24"/>
        </w:rPr>
        <w:t xml:space="preserve"> </w:t>
      </w:r>
      <w:r w:rsidRPr="00907E77">
        <w:rPr>
          <w:rFonts w:ascii="Times New Roman" w:hAnsi="Times New Roman" w:cs="Times New Roman"/>
          <w:sz w:val="24"/>
        </w:rPr>
        <w:t xml:space="preserve">contribute to several biological functions including antioxidant, hepatoprotective, and anti-cancer properties (Kumar &amp; Pandey, 2013). In contrast, although </w:t>
      </w:r>
      <w:r w:rsidR="00B07655" w:rsidRPr="00B07655">
        <w:rPr>
          <w:rFonts w:ascii="Times New Roman" w:hAnsi="Times New Roman" w:cs="Times New Roman"/>
          <w:i/>
          <w:sz w:val="24"/>
        </w:rPr>
        <w:t>A. calamus</w:t>
      </w:r>
      <w:r w:rsidRPr="00907E77">
        <w:rPr>
          <w:rFonts w:ascii="Times New Roman" w:hAnsi="Times New Roman" w:cs="Times New Roman"/>
          <w:sz w:val="24"/>
        </w:rPr>
        <w:t xml:space="preserve"> contains various </w:t>
      </w:r>
      <w:proofErr w:type="spellStart"/>
      <w:r w:rsidRPr="00907E77">
        <w:rPr>
          <w:rFonts w:ascii="Times New Roman" w:hAnsi="Times New Roman" w:cs="Times New Roman"/>
          <w:sz w:val="24"/>
        </w:rPr>
        <w:t>bioactives</w:t>
      </w:r>
      <w:proofErr w:type="spellEnd"/>
      <w:r w:rsidRPr="00907E77">
        <w:rPr>
          <w:rFonts w:ascii="Times New Roman" w:hAnsi="Times New Roman" w:cs="Times New Roman"/>
          <w:sz w:val="24"/>
        </w:rPr>
        <w:t xml:space="preserve">, its comparatively lower flavonoid content may result in reduced antioxidant potential (Singh </w:t>
      </w:r>
      <w:r w:rsidR="00617D5C" w:rsidRPr="00617D5C">
        <w:rPr>
          <w:rFonts w:ascii="Times New Roman" w:hAnsi="Times New Roman" w:cs="Times New Roman"/>
          <w:i/>
          <w:sz w:val="24"/>
        </w:rPr>
        <w:t>et al.,</w:t>
      </w:r>
      <w:r w:rsidRPr="00907E77">
        <w:rPr>
          <w:rFonts w:ascii="Times New Roman" w:hAnsi="Times New Roman" w:cs="Times New Roman"/>
          <w:sz w:val="24"/>
        </w:rPr>
        <w:t xml:space="preserve"> 2016).</w:t>
      </w:r>
    </w:p>
    <w:p w:rsidR="004F28DF" w:rsidRPr="00447BC5" w:rsidRDefault="004F28DF" w:rsidP="00447BC5">
      <w:pPr>
        <w:pStyle w:val="BodyText"/>
        <w:spacing w:line="360" w:lineRule="auto"/>
        <w:ind w:left="0"/>
        <w:rPr>
          <w:bCs/>
        </w:rPr>
      </w:pPr>
      <w:r w:rsidRPr="00447BC5">
        <w:rPr>
          <w:b/>
          <w:bCs/>
        </w:rPr>
        <w:t>Table</w:t>
      </w:r>
      <w:r w:rsidR="00AD3CDA" w:rsidRPr="00447BC5">
        <w:rPr>
          <w:b/>
          <w:bCs/>
        </w:rPr>
        <w:t xml:space="preserve"> 1</w:t>
      </w:r>
      <w:r w:rsidRPr="00447BC5">
        <w:rPr>
          <w:b/>
          <w:bCs/>
        </w:rPr>
        <w:t xml:space="preserve">: </w:t>
      </w:r>
      <w:r w:rsidRPr="00447BC5">
        <w:t xml:space="preserve">Total polyphenolic content </w:t>
      </w:r>
      <w:r w:rsidR="001F50C7">
        <w:t xml:space="preserve">(TPC) </w:t>
      </w:r>
      <w:r w:rsidRPr="00447BC5">
        <w:t xml:space="preserve">of </w:t>
      </w:r>
      <w:r w:rsidRPr="00447BC5">
        <w:rPr>
          <w:bCs/>
        </w:rPr>
        <w:t xml:space="preserve">sample extracts of </w:t>
      </w:r>
      <w:r w:rsidR="009D103E" w:rsidRPr="009D103E">
        <w:rPr>
          <w:bCs/>
          <w:i/>
        </w:rPr>
        <w:t xml:space="preserve">A. </w:t>
      </w:r>
      <w:proofErr w:type="spellStart"/>
      <w:r w:rsidR="009D103E" w:rsidRPr="009D103E">
        <w:rPr>
          <w:bCs/>
          <w:i/>
        </w:rPr>
        <w:t>absinthium</w:t>
      </w:r>
      <w:proofErr w:type="spellEnd"/>
      <w:r w:rsidR="009D103E" w:rsidRPr="009D103E">
        <w:rPr>
          <w:bCs/>
          <w:i/>
        </w:rPr>
        <w:t xml:space="preserve"> </w:t>
      </w:r>
      <w:r w:rsidRPr="00447BC5">
        <w:rPr>
          <w:bCs/>
        </w:rPr>
        <w:t xml:space="preserve">and </w:t>
      </w:r>
      <w:r w:rsidR="00B07655" w:rsidRPr="00B07655">
        <w:rPr>
          <w:bCs/>
          <w:i/>
        </w:rPr>
        <w:t>A. calamus</w:t>
      </w:r>
      <w:r w:rsidRPr="00447BC5">
        <w:rPr>
          <w:bCs/>
        </w:rPr>
        <w:t>.</w:t>
      </w:r>
      <w:r w:rsidR="0021493A">
        <w:rPr>
          <w:bCs/>
        </w:rPr>
        <w:t xml:space="preserve"> </w:t>
      </w:r>
      <w:r w:rsidRPr="00447BC5">
        <w:rPr>
          <w:bCs/>
        </w:rPr>
        <w:t>(mg GAE/g)</w:t>
      </w:r>
    </w:p>
    <w:tbl>
      <w:tblPr>
        <w:tblStyle w:val="TableGrid"/>
        <w:tblpPr w:leftFromText="180" w:rightFromText="180" w:vertAnchor="text" w:horzAnchor="page" w:tblpXSpec="center" w:tblpY="198"/>
        <w:tblOverlap w:val="never"/>
        <w:tblW w:w="0" w:type="auto"/>
        <w:tblLayout w:type="fixed"/>
        <w:tblLook w:val="04A0" w:firstRow="1" w:lastRow="0" w:firstColumn="1" w:lastColumn="0" w:noHBand="0" w:noVBand="1"/>
      </w:tblPr>
      <w:tblGrid>
        <w:gridCol w:w="2235"/>
        <w:gridCol w:w="1696"/>
        <w:gridCol w:w="1416"/>
        <w:gridCol w:w="1332"/>
        <w:gridCol w:w="1249"/>
        <w:gridCol w:w="916"/>
      </w:tblGrid>
      <w:tr w:rsidR="004F28DF" w:rsidTr="003C3082">
        <w:trPr>
          <w:trHeight w:val="362"/>
        </w:trPr>
        <w:tc>
          <w:tcPr>
            <w:tcW w:w="2235" w:type="dxa"/>
            <w:vMerge w:val="restart"/>
            <w:vAlign w:val="center"/>
          </w:tcPr>
          <w:p w:rsidR="004F28DF" w:rsidRPr="00293929" w:rsidRDefault="004F28DF" w:rsidP="003C3082">
            <w:pPr>
              <w:spacing w:line="276" w:lineRule="auto"/>
              <w:rPr>
                <w:rFonts w:ascii="Times New Roman" w:hAnsi="Times New Roman" w:cs="Times New Roman"/>
                <w:b/>
                <w:sz w:val="24"/>
                <w:szCs w:val="24"/>
              </w:rPr>
            </w:pPr>
          </w:p>
          <w:p w:rsidR="004F28DF" w:rsidRPr="00293929" w:rsidRDefault="004F28DF" w:rsidP="00FA21C3">
            <w:pPr>
              <w:spacing w:line="276" w:lineRule="auto"/>
              <w:jc w:val="center"/>
              <w:rPr>
                <w:rFonts w:ascii="Times New Roman" w:hAnsi="Times New Roman" w:cs="Times New Roman"/>
                <w:b/>
                <w:sz w:val="24"/>
                <w:szCs w:val="24"/>
              </w:rPr>
            </w:pPr>
          </w:p>
          <w:p w:rsidR="004F28DF" w:rsidRPr="00293929" w:rsidRDefault="004F28DF" w:rsidP="00FA21C3">
            <w:pPr>
              <w:spacing w:line="276" w:lineRule="auto"/>
              <w:jc w:val="center"/>
              <w:rPr>
                <w:rFonts w:ascii="Times New Roman" w:hAnsi="Times New Roman" w:cs="Times New Roman"/>
                <w:b/>
                <w:sz w:val="24"/>
                <w:szCs w:val="24"/>
              </w:rPr>
            </w:pPr>
            <w:r w:rsidRPr="00293929">
              <w:rPr>
                <w:rFonts w:ascii="Times New Roman" w:hAnsi="Times New Roman" w:cs="Times New Roman"/>
                <w:b/>
                <w:sz w:val="24"/>
                <w:szCs w:val="24"/>
              </w:rPr>
              <w:t>Sample</w:t>
            </w:r>
          </w:p>
        </w:tc>
        <w:tc>
          <w:tcPr>
            <w:tcW w:w="6609" w:type="dxa"/>
            <w:gridSpan w:val="5"/>
            <w:tcBorders>
              <w:bottom w:val="single" w:sz="4" w:space="0" w:color="auto"/>
              <w:right w:val="single" w:sz="4" w:space="0" w:color="auto"/>
            </w:tcBorders>
            <w:vAlign w:val="center"/>
          </w:tcPr>
          <w:p w:rsidR="004F28DF" w:rsidRPr="00293929" w:rsidRDefault="004F28DF" w:rsidP="00FA21C3">
            <w:pPr>
              <w:spacing w:line="276" w:lineRule="auto"/>
              <w:jc w:val="center"/>
              <w:rPr>
                <w:rFonts w:ascii="Times New Roman" w:hAnsi="Times New Roman" w:cs="Times New Roman"/>
                <w:b/>
                <w:sz w:val="24"/>
                <w:szCs w:val="24"/>
              </w:rPr>
            </w:pPr>
            <w:r w:rsidRPr="00293929">
              <w:rPr>
                <w:rFonts w:ascii="Times New Roman" w:hAnsi="Times New Roman" w:cs="Times New Roman"/>
                <w:b/>
                <w:bCs/>
                <w:sz w:val="24"/>
                <w:szCs w:val="24"/>
              </w:rPr>
              <w:t>Concentration mg GAE /g</w:t>
            </w:r>
          </w:p>
        </w:tc>
      </w:tr>
      <w:tr w:rsidR="004F28DF" w:rsidTr="003C3082">
        <w:trPr>
          <w:trHeight w:val="532"/>
        </w:trPr>
        <w:tc>
          <w:tcPr>
            <w:tcW w:w="2235" w:type="dxa"/>
            <w:vMerge/>
            <w:vAlign w:val="center"/>
          </w:tcPr>
          <w:p w:rsidR="004F28DF" w:rsidRPr="00293929" w:rsidRDefault="004F28DF" w:rsidP="00FA21C3">
            <w:pPr>
              <w:spacing w:line="276" w:lineRule="auto"/>
              <w:jc w:val="center"/>
              <w:rPr>
                <w:rFonts w:ascii="Times New Roman" w:hAnsi="Times New Roman" w:cs="Times New Roman"/>
                <w:b/>
                <w:sz w:val="24"/>
                <w:szCs w:val="24"/>
              </w:rPr>
            </w:pPr>
          </w:p>
        </w:tc>
        <w:tc>
          <w:tcPr>
            <w:tcW w:w="1696" w:type="dxa"/>
            <w:tcBorders>
              <w:top w:val="single" w:sz="4" w:space="0" w:color="auto"/>
            </w:tcBorders>
            <w:vAlign w:val="center"/>
          </w:tcPr>
          <w:p w:rsidR="00617D5C"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 xml:space="preserve">6.25 </w:t>
            </w:r>
          </w:p>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bCs/>
                <w:sz w:val="24"/>
                <w:szCs w:val="24"/>
              </w:rPr>
              <w:t>(</w:t>
            </w:r>
            <w:r w:rsidRPr="003C3082">
              <w:rPr>
                <w:rFonts w:ascii="Times New Roman" w:hAnsi="Times New Roman" w:cs="Times New Roman"/>
                <w:sz w:val="24"/>
                <w:szCs w:val="24"/>
              </w:rPr>
              <w:t>mg/ml</w:t>
            </w:r>
            <w:r w:rsidRPr="003C3082">
              <w:rPr>
                <w:rFonts w:ascii="Times New Roman" w:hAnsi="Times New Roman" w:cs="Times New Roman"/>
                <w:bCs/>
                <w:sz w:val="24"/>
                <w:szCs w:val="24"/>
              </w:rPr>
              <w:t>)</w:t>
            </w:r>
          </w:p>
        </w:tc>
        <w:tc>
          <w:tcPr>
            <w:tcW w:w="1416" w:type="dxa"/>
            <w:tcBorders>
              <w:top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 xml:space="preserve">12.5 </w:t>
            </w:r>
            <w:r w:rsidRPr="003C3082">
              <w:rPr>
                <w:rFonts w:ascii="Times New Roman" w:hAnsi="Times New Roman" w:cs="Times New Roman"/>
                <w:bCs/>
                <w:sz w:val="24"/>
                <w:szCs w:val="24"/>
              </w:rPr>
              <w:t>(</w:t>
            </w:r>
            <w:r w:rsidRPr="003C3082">
              <w:rPr>
                <w:rFonts w:ascii="Times New Roman" w:hAnsi="Times New Roman" w:cs="Times New Roman"/>
                <w:sz w:val="24"/>
                <w:szCs w:val="24"/>
              </w:rPr>
              <w:t>mg/ml</w:t>
            </w:r>
            <w:r w:rsidRPr="003C3082">
              <w:rPr>
                <w:rFonts w:ascii="Times New Roman" w:hAnsi="Times New Roman" w:cs="Times New Roman"/>
                <w:bCs/>
                <w:sz w:val="24"/>
                <w:szCs w:val="24"/>
              </w:rPr>
              <w:t>)</w:t>
            </w:r>
          </w:p>
        </w:tc>
        <w:tc>
          <w:tcPr>
            <w:tcW w:w="1332" w:type="dxa"/>
            <w:tcBorders>
              <w:top w:val="single" w:sz="4" w:space="0" w:color="auto"/>
              <w:bottom w:val="single" w:sz="4" w:space="0" w:color="auto"/>
              <w:right w:val="single" w:sz="4" w:space="0" w:color="auto"/>
            </w:tcBorders>
            <w:vAlign w:val="center"/>
          </w:tcPr>
          <w:p w:rsidR="00617D5C"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 xml:space="preserve">25 </w:t>
            </w:r>
          </w:p>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bCs/>
                <w:sz w:val="24"/>
                <w:szCs w:val="24"/>
              </w:rPr>
              <w:t>(</w:t>
            </w:r>
            <w:r w:rsidRPr="003C3082">
              <w:rPr>
                <w:rFonts w:ascii="Times New Roman" w:hAnsi="Times New Roman" w:cs="Times New Roman"/>
                <w:sz w:val="24"/>
                <w:szCs w:val="24"/>
              </w:rPr>
              <w:t>mg/ml</w:t>
            </w:r>
            <w:r w:rsidRPr="003C3082">
              <w:rPr>
                <w:rFonts w:ascii="Times New Roman" w:hAnsi="Times New Roman" w:cs="Times New Roman"/>
                <w:bCs/>
                <w:sz w:val="24"/>
                <w:szCs w:val="24"/>
              </w:rPr>
              <w:t>)</w:t>
            </w:r>
          </w:p>
        </w:tc>
        <w:tc>
          <w:tcPr>
            <w:tcW w:w="1249" w:type="dxa"/>
            <w:tcBorders>
              <w:top w:val="single" w:sz="4" w:space="0" w:color="auto"/>
              <w:left w:val="single" w:sz="4" w:space="0" w:color="auto"/>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 xml:space="preserve">50 </w:t>
            </w:r>
            <w:r w:rsidRPr="003C3082">
              <w:rPr>
                <w:rFonts w:ascii="Times New Roman" w:hAnsi="Times New Roman" w:cs="Times New Roman"/>
                <w:bCs/>
                <w:sz w:val="24"/>
                <w:szCs w:val="24"/>
              </w:rPr>
              <w:t>(</w:t>
            </w:r>
            <w:r w:rsidRPr="003C3082">
              <w:rPr>
                <w:rFonts w:ascii="Times New Roman" w:hAnsi="Times New Roman" w:cs="Times New Roman"/>
                <w:sz w:val="24"/>
                <w:szCs w:val="24"/>
              </w:rPr>
              <w:t>mg/ml</w:t>
            </w:r>
            <w:r w:rsidRPr="003C3082">
              <w:rPr>
                <w:rFonts w:ascii="Times New Roman" w:hAnsi="Times New Roman" w:cs="Times New Roman"/>
                <w:bCs/>
                <w:sz w:val="24"/>
                <w:szCs w:val="24"/>
              </w:rPr>
              <w:t>)</w:t>
            </w:r>
          </w:p>
        </w:tc>
        <w:tc>
          <w:tcPr>
            <w:tcW w:w="916" w:type="dxa"/>
            <w:tcBorders>
              <w:top w:val="single" w:sz="4" w:space="0" w:color="auto"/>
              <w:left w:val="single" w:sz="4" w:space="0" w:color="auto"/>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Mean</w:t>
            </w:r>
          </w:p>
        </w:tc>
      </w:tr>
      <w:tr w:rsidR="004F28DF" w:rsidTr="003C3082">
        <w:trPr>
          <w:trHeight w:val="527"/>
        </w:trPr>
        <w:tc>
          <w:tcPr>
            <w:tcW w:w="2235" w:type="dxa"/>
            <w:vAlign w:val="center"/>
          </w:tcPr>
          <w:p w:rsidR="004F28DF" w:rsidRPr="003C3082" w:rsidRDefault="009D103E" w:rsidP="00FA21C3">
            <w:pPr>
              <w:spacing w:line="276" w:lineRule="auto"/>
              <w:jc w:val="center"/>
              <w:rPr>
                <w:rFonts w:ascii="Times New Roman" w:hAnsi="Times New Roman" w:cs="Times New Roman"/>
                <w:sz w:val="24"/>
                <w:szCs w:val="24"/>
              </w:rPr>
            </w:pPr>
            <w:r w:rsidRPr="009D103E">
              <w:rPr>
                <w:rFonts w:ascii="Times New Roman" w:hAnsi="Times New Roman" w:cs="Times New Roman"/>
                <w:i/>
                <w:sz w:val="24"/>
                <w:szCs w:val="24"/>
              </w:rPr>
              <w:t xml:space="preserve">A. </w:t>
            </w:r>
            <w:proofErr w:type="spellStart"/>
            <w:r w:rsidRPr="009D103E">
              <w:rPr>
                <w:rFonts w:ascii="Times New Roman" w:hAnsi="Times New Roman" w:cs="Times New Roman"/>
                <w:i/>
                <w:sz w:val="24"/>
                <w:szCs w:val="24"/>
              </w:rPr>
              <w:t>absinthium</w:t>
            </w:r>
            <w:proofErr w:type="spellEnd"/>
            <w:r w:rsidRPr="009D103E">
              <w:rPr>
                <w:rFonts w:ascii="Times New Roman" w:hAnsi="Times New Roman" w:cs="Times New Roman"/>
                <w:i/>
                <w:sz w:val="24"/>
                <w:szCs w:val="24"/>
              </w:rPr>
              <w:t xml:space="preserve"> </w:t>
            </w:r>
          </w:p>
        </w:tc>
        <w:tc>
          <w:tcPr>
            <w:tcW w:w="1696" w:type="dxa"/>
            <w:tcBorders>
              <w:bottom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30.8</w:t>
            </w:r>
          </w:p>
        </w:tc>
        <w:tc>
          <w:tcPr>
            <w:tcW w:w="1416" w:type="dxa"/>
            <w:tcBorders>
              <w:bottom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110.8</w:t>
            </w:r>
          </w:p>
        </w:tc>
        <w:tc>
          <w:tcPr>
            <w:tcW w:w="1332" w:type="dxa"/>
            <w:tcBorders>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175.5</w:t>
            </w:r>
          </w:p>
        </w:tc>
        <w:tc>
          <w:tcPr>
            <w:tcW w:w="1249" w:type="dxa"/>
            <w:tcBorders>
              <w:left w:val="single" w:sz="4" w:space="0" w:color="auto"/>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196.6</w:t>
            </w:r>
          </w:p>
        </w:tc>
        <w:tc>
          <w:tcPr>
            <w:tcW w:w="916" w:type="dxa"/>
            <w:tcBorders>
              <w:left w:val="single" w:sz="4" w:space="0" w:color="auto"/>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128.4</w:t>
            </w:r>
          </w:p>
        </w:tc>
      </w:tr>
      <w:tr w:rsidR="004F28DF" w:rsidTr="003C3082">
        <w:trPr>
          <w:trHeight w:val="377"/>
        </w:trPr>
        <w:tc>
          <w:tcPr>
            <w:tcW w:w="2235" w:type="dxa"/>
            <w:vAlign w:val="center"/>
          </w:tcPr>
          <w:p w:rsidR="004F28DF" w:rsidRPr="003C3082" w:rsidRDefault="00B07655" w:rsidP="00617D5C">
            <w:pPr>
              <w:spacing w:line="276" w:lineRule="auto"/>
              <w:jc w:val="center"/>
              <w:rPr>
                <w:rFonts w:ascii="Times New Roman" w:hAnsi="Times New Roman" w:cs="Times New Roman"/>
                <w:sz w:val="24"/>
                <w:szCs w:val="24"/>
              </w:rPr>
            </w:pPr>
            <w:r w:rsidRPr="00B07655">
              <w:rPr>
                <w:rFonts w:ascii="Times New Roman" w:hAnsi="Times New Roman" w:cs="Times New Roman"/>
                <w:i/>
                <w:sz w:val="24"/>
                <w:szCs w:val="24"/>
              </w:rPr>
              <w:t>A. calamus</w:t>
            </w:r>
          </w:p>
        </w:tc>
        <w:tc>
          <w:tcPr>
            <w:tcW w:w="1696" w:type="dxa"/>
            <w:tcBorders>
              <w:bottom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3.3</w:t>
            </w:r>
          </w:p>
        </w:tc>
        <w:tc>
          <w:tcPr>
            <w:tcW w:w="1416" w:type="dxa"/>
            <w:tcBorders>
              <w:bottom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10.7</w:t>
            </w:r>
          </w:p>
        </w:tc>
        <w:tc>
          <w:tcPr>
            <w:tcW w:w="1332" w:type="dxa"/>
            <w:tcBorders>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15.6</w:t>
            </w:r>
          </w:p>
        </w:tc>
        <w:tc>
          <w:tcPr>
            <w:tcW w:w="1249" w:type="dxa"/>
            <w:tcBorders>
              <w:left w:val="single" w:sz="4" w:space="0" w:color="auto"/>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18.5</w:t>
            </w:r>
          </w:p>
        </w:tc>
        <w:tc>
          <w:tcPr>
            <w:tcW w:w="916" w:type="dxa"/>
            <w:tcBorders>
              <w:left w:val="single" w:sz="4" w:space="0" w:color="auto"/>
              <w:bottom w:val="single" w:sz="4" w:space="0" w:color="auto"/>
              <w:right w:val="single" w:sz="4" w:space="0" w:color="auto"/>
            </w:tcBorders>
            <w:vAlign w:val="center"/>
          </w:tcPr>
          <w:p w:rsidR="004F28DF" w:rsidRPr="003C3082" w:rsidRDefault="004F28DF" w:rsidP="00FA21C3">
            <w:pPr>
              <w:pStyle w:val="PlainText"/>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12.02</w:t>
            </w:r>
          </w:p>
        </w:tc>
      </w:tr>
    </w:tbl>
    <w:p w:rsidR="003B0AC0" w:rsidRDefault="003B0AC0" w:rsidP="003C3082">
      <w:pPr>
        <w:pStyle w:val="BodyText"/>
        <w:spacing w:before="240" w:after="240" w:line="360" w:lineRule="auto"/>
        <w:ind w:left="0"/>
        <w:jc w:val="both"/>
        <w:rPr>
          <w:b/>
          <w:bCs/>
        </w:rPr>
      </w:pPr>
    </w:p>
    <w:p w:rsidR="004F28DF" w:rsidRPr="003C3082" w:rsidRDefault="00AD3CDA" w:rsidP="003C3082">
      <w:pPr>
        <w:pStyle w:val="BodyText"/>
        <w:spacing w:before="240" w:after="240" w:line="360" w:lineRule="auto"/>
        <w:ind w:left="0"/>
        <w:jc w:val="both"/>
        <w:rPr>
          <w:b/>
          <w:bCs/>
        </w:rPr>
      </w:pPr>
      <w:r>
        <w:rPr>
          <w:b/>
          <w:bCs/>
        </w:rPr>
        <w:t>Table 2</w:t>
      </w:r>
      <w:r w:rsidR="004F28DF">
        <w:rPr>
          <w:b/>
          <w:bCs/>
        </w:rPr>
        <w:t xml:space="preserve">:  </w:t>
      </w:r>
      <w:r w:rsidR="004F28DF">
        <w:t xml:space="preserve">Total flavonoid content </w:t>
      </w:r>
      <w:r w:rsidR="001F50C7">
        <w:t xml:space="preserve">(TFC) </w:t>
      </w:r>
      <w:r w:rsidR="004F28DF">
        <w:t xml:space="preserve">of </w:t>
      </w:r>
      <w:r w:rsidR="004F28DF">
        <w:rPr>
          <w:bCs/>
        </w:rPr>
        <w:t xml:space="preserve">sample extracts of </w:t>
      </w:r>
      <w:r w:rsidR="009D103E" w:rsidRPr="009D103E">
        <w:rPr>
          <w:bCs/>
          <w:i/>
        </w:rPr>
        <w:t xml:space="preserve">A. </w:t>
      </w:r>
      <w:proofErr w:type="spellStart"/>
      <w:r w:rsidR="009D103E" w:rsidRPr="009D103E">
        <w:rPr>
          <w:bCs/>
          <w:i/>
        </w:rPr>
        <w:t>absinthium</w:t>
      </w:r>
      <w:proofErr w:type="spellEnd"/>
      <w:r w:rsidR="009D103E" w:rsidRPr="009D103E">
        <w:rPr>
          <w:bCs/>
          <w:i/>
        </w:rPr>
        <w:t xml:space="preserve"> </w:t>
      </w:r>
      <w:r w:rsidR="004F28DF">
        <w:rPr>
          <w:bCs/>
        </w:rPr>
        <w:t xml:space="preserve">and </w:t>
      </w:r>
      <w:r w:rsidR="00B07655" w:rsidRPr="00B07655">
        <w:rPr>
          <w:bCs/>
          <w:i/>
        </w:rPr>
        <w:t>A. calamus</w:t>
      </w:r>
      <w:r w:rsidR="004F28DF">
        <w:rPr>
          <w:bCs/>
        </w:rPr>
        <w:t xml:space="preserve">. </w:t>
      </w:r>
      <w:r w:rsidR="004F28DF">
        <w:t>(mg QE/g)</w:t>
      </w:r>
    </w:p>
    <w:tbl>
      <w:tblPr>
        <w:tblStyle w:val="TableGrid"/>
        <w:tblpPr w:leftFromText="180" w:rightFromText="180" w:vertAnchor="text" w:tblpXSpec="center" w:tblpY="1"/>
        <w:tblOverlap w:val="never"/>
        <w:tblW w:w="9044" w:type="dxa"/>
        <w:tblLayout w:type="fixed"/>
        <w:tblLook w:val="04A0" w:firstRow="1" w:lastRow="0" w:firstColumn="1" w:lastColumn="0" w:noHBand="0" w:noVBand="1"/>
      </w:tblPr>
      <w:tblGrid>
        <w:gridCol w:w="2235"/>
        <w:gridCol w:w="1740"/>
        <w:gridCol w:w="1346"/>
        <w:gridCol w:w="1346"/>
        <w:gridCol w:w="1346"/>
        <w:gridCol w:w="1031"/>
      </w:tblGrid>
      <w:tr w:rsidR="004F28DF" w:rsidTr="003C3082">
        <w:trPr>
          <w:trHeight w:val="378"/>
        </w:trPr>
        <w:tc>
          <w:tcPr>
            <w:tcW w:w="2235" w:type="dxa"/>
            <w:vMerge w:val="restart"/>
            <w:vAlign w:val="center"/>
          </w:tcPr>
          <w:p w:rsidR="004F28DF" w:rsidRDefault="004F28DF" w:rsidP="003C3082">
            <w:pPr>
              <w:spacing w:line="276" w:lineRule="auto"/>
              <w:rPr>
                <w:rFonts w:ascii="Times New Roman" w:hAnsi="Times New Roman" w:cs="Times New Roman"/>
                <w:b/>
                <w:sz w:val="24"/>
                <w:szCs w:val="24"/>
              </w:rPr>
            </w:pPr>
          </w:p>
          <w:p w:rsidR="004F28DF" w:rsidRDefault="004F28DF" w:rsidP="00FA21C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Sample</w:t>
            </w:r>
          </w:p>
        </w:tc>
        <w:tc>
          <w:tcPr>
            <w:tcW w:w="6809" w:type="dxa"/>
            <w:gridSpan w:val="5"/>
            <w:tcBorders>
              <w:bottom w:val="single" w:sz="4" w:space="0" w:color="auto"/>
              <w:right w:val="single" w:sz="4" w:space="0" w:color="auto"/>
            </w:tcBorders>
            <w:vAlign w:val="center"/>
          </w:tcPr>
          <w:p w:rsidR="004F28DF" w:rsidRDefault="004F28DF" w:rsidP="00FA21C3">
            <w:pPr>
              <w:spacing w:line="276" w:lineRule="auto"/>
              <w:jc w:val="center"/>
              <w:rPr>
                <w:rFonts w:ascii="Times New Roman" w:hAnsi="Times New Roman" w:cs="Times New Roman"/>
                <w:b/>
                <w:sz w:val="24"/>
                <w:szCs w:val="24"/>
              </w:rPr>
            </w:pPr>
            <w:r>
              <w:rPr>
                <w:rFonts w:ascii="Times New Roman" w:hAnsi="Times New Roman" w:cs="Times New Roman"/>
                <w:b/>
                <w:bCs/>
                <w:sz w:val="24"/>
                <w:szCs w:val="24"/>
              </w:rPr>
              <w:t>Concentration (mg QE/g)</w:t>
            </w:r>
          </w:p>
        </w:tc>
      </w:tr>
      <w:tr w:rsidR="004F28DF" w:rsidTr="003C3082">
        <w:trPr>
          <w:trHeight w:val="561"/>
        </w:trPr>
        <w:tc>
          <w:tcPr>
            <w:tcW w:w="2235" w:type="dxa"/>
            <w:vMerge/>
            <w:vAlign w:val="center"/>
          </w:tcPr>
          <w:p w:rsidR="004F28DF" w:rsidRDefault="004F28DF" w:rsidP="00FA21C3">
            <w:pPr>
              <w:spacing w:line="276" w:lineRule="auto"/>
              <w:jc w:val="center"/>
              <w:rPr>
                <w:rFonts w:ascii="Times New Roman" w:hAnsi="Times New Roman" w:cs="Times New Roman"/>
                <w:b/>
                <w:sz w:val="24"/>
                <w:szCs w:val="24"/>
              </w:rPr>
            </w:pPr>
          </w:p>
        </w:tc>
        <w:tc>
          <w:tcPr>
            <w:tcW w:w="1740" w:type="dxa"/>
            <w:tcBorders>
              <w:top w:val="single" w:sz="4" w:space="0" w:color="auto"/>
            </w:tcBorders>
            <w:vAlign w:val="center"/>
          </w:tcPr>
          <w:p w:rsidR="00617D5C"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 xml:space="preserve">0.25 </w:t>
            </w:r>
          </w:p>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(mg/ml)</w:t>
            </w:r>
          </w:p>
        </w:tc>
        <w:tc>
          <w:tcPr>
            <w:tcW w:w="1346" w:type="dxa"/>
            <w:tcBorders>
              <w:top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0.50 (mg/ml)</w:t>
            </w:r>
          </w:p>
        </w:tc>
        <w:tc>
          <w:tcPr>
            <w:tcW w:w="1346" w:type="dxa"/>
            <w:tcBorders>
              <w:top w:val="single" w:sz="4" w:space="0" w:color="auto"/>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0.75 (mg/ml)</w:t>
            </w:r>
          </w:p>
        </w:tc>
        <w:tc>
          <w:tcPr>
            <w:tcW w:w="1346" w:type="dxa"/>
            <w:tcBorders>
              <w:top w:val="single" w:sz="4" w:space="0" w:color="auto"/>
              <w:left w:val="single" w:sz="4" w:space="0" w:color="auto"/>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1.00 (mg/ml)</w:t>
            </w:r>
          </w:p>
        </w:tc>
        <w:tc>
          <w:tcPr>
            <w:tcW w:w="1031" w:type="dxa"/>
            <w:tcBorders>
              <w:top w:val="single" w:sz="4" w:space="0" w:color="auto"/>
              <w:left w:val="single" w:sz="4" w:space="0" w:color="auto"/>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Mean</w:t>
            </w:r>
          </w:p>
        </w:tc>
      </w:tr>
      <w:tr w:rsidR="004F28DF" w:rsidTr="003C3082">
        <w:trPr>
          <w:trHeight w:val="555"/>
        </w:trPr>
        <w:tc>
          <w:tcPr>
            <w:tcW w:w="2235" w:type="dxa"/>
            <w:vAlign w:val="center"/>
          </w:tcPr>
          <w:p w:rsidR="004F28DF" w:rsidRPr="003C3082" w:rsidRDefault="009D103E" w:rsidP="00FA21C3">
            <w:pPr>
              <w:spacing w:line="276" w:lineRule="auto"/>
              <w:jc w:val="center"/>
              <w:rPr>
                <w:rFonts w:ascii="Times New Roman" w:hAnsi="Times New Roman" w:cs="Times New Roman"/>
                <w:sz w:val="24"/>
                <w:szCs w:val="24"/>
              </w:rPr>
            </w:pPr>
            <w:r w:rsidRPr="009D103E">
              <w:rPr>
                <w:rFonts w:ascii="Times New Roman" w:hAnsi="Times New Roman" w:cs="Times New Roman"/>
                <w:i/>
                <w:sz w:val="24"/>
                <w:szCs w:val="24"/>
              </w:rPr>
              <w:t xml:space="preserve">A. </w:t>
            </w:r>
            <w:proofErr w:type="spellStart"/>
            <w:r w:rsidRPr="009D103E">
              <w:rPr>
                <w:rFonts w:ascii="Times New Roman" w:hAnsi="Times New Roman" w:cs="Times New Roman"/>
                <w:i/>
                <w:sz w:val="24"/>
                <w:szCs w:val="24"/>
              </w:rPr>
              <w:t>absinthium</w:t>
            </w:r>
            <w:proofErr w:type="spellEnd"/>
            <w:r w:rsidRPr="009D103E">
              <w:rPr>
                <w:rFonts w:ascii="Times New Roman" w:hAnsi="Times New Roman" w:cs="Times New Roman"/>
                <w:i/>
                <w:sz w:val="24"/>
                <w:szCs w:val="24"/>
              </w:rPr>
              <w:t xml:space="preserve"> </w:t>
            </w:r>
          </w:p>
        </w:tc>
        <w:tc>
          <w:tcPr>
            <w:tcW w:w="1740" w:type="dxa"/>
            <w:tcBorders>
              <w:bottom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8.4</w:t>
            </w:r>
          </w:p>
        </w:tc>
        <w:tc>
          <w:tcPr>
            <w:tcW w:w="1346" w:type="dxa"/>
            <w:tcBorders>
              <w:bottom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16.4</w:t>
            </w:r>
          </w:p>
        </w:tc>
        <w:tc>
          <w:tcPr>
            <w:tcW w:w="1346" w:type="dxa"/>
            <w:tcBorders>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21.5</w:t>
            </w:r>
          </w:p>
        </w:tc>
        <w:tc>
          <w:tcPr>
            <w:tcW w:w="1346" w:type="dxa"/>
            <w:tcBorders>
              <w:left w:val="single" w:sz="4" w:space="0" w:color="auto"/>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26.8</w:t>
            </w:r>
          </w:p>
        </w:tc>
        <w:tc>
          <w:tcPr>
            <w:tcW w:w="1031" w:type="dxa"/>
            <w:tcBorders>
              <w:left w:val="single" w:sz="4" w:space="0" w:color="auto"/>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18.27</w:t>
            </w:r>
          </w:p>
        </w:tc>
      </w:tr>
      <w:tr w:rsidR="004F28DF" w:rsidTr="003C3082">
        <w:trPr>
          <w:trHeight w:val="397"/>
        </w:trPr>
        <w:tc>
          <w:tcPr>
            <w:tcW w:w="2235" w:type="dxa"/>
            <w:vAlign w:val="center"/>
          </w:tcPr>
          <w:p w:rsidR="004F28DF" w:rsidRPr="003C3082" w:rsidRDefault="00B07655" w:rsidP="00FA21C3">
            <w:pPr>
              <w:spacing w:line="276" w:lineRule="auto"/>
              <w:jc w:val="center"/>
              <w:rPr>
                <w:rFonts w:ascii="Times New Roman" w:hAnsi="Times New Roman" w:cs="Times New Roman"/>
                <w:sz w:val="24"/>
                <w:szCs w:val="24"/>
              </w:rPr>
            </w:pPr>
            <w:r w:rsidRPr="00B07655">
              <w:rPr>
                <w:rFonts w:ascii="Times New Roman" w:hAnsi="Times New Roman" w:cs="Times New Roman"/>
                <w:i/>
                <w:sz w:val="24"/>
                <w:szCs w:val="24"/>
              </w:rPr>
              <w:t>A. calamus</w:t>
            </w:r>
          </w:p>
        </w:tc>
        <w:tc>
          <w:tcPr>
            <w:tcW w:w="1740" w:type="dxa"/>
            <w:tcBorders>
              <w:bottom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2.1</w:t>
            </w:r>
          </w:p>
        </w:tc>
        <w:tc>
          <w:tcPr>
            <w:tcW w:w="1346" w:type="dxa"/>
            <w:tcBorders>
              <w:bottom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3.5</w:t>
            </w:r>
          </w:p>
        </w:tc>
        <w:tc>
          <w:tcPr>
            <w:tcW w:w="1346" w:type="dxa"/>
            <w:tcBorders>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7.4</w:t>
            </w:r>
          </w:p>
        </w:tc>
        <w:tc>
          <w:tcPr>
            <w:tcW w:w="1346" w:type="dxa"/>
            <w:tcBorders>
              <w:left w:val="single" w:sz="4" w:space="0" w:color="auto"/>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9.6</w:t>
            </w:r>
          </w:p>
        </w:tc>
        <w:tc>
          <w:tcPr>
            <w:tcW w:w="1031" w:type="dxa"/>
            <w:tcBorders>
              <w:left w:val="single" w:sz="4" w:space="0" w:color="auto"/>
              <w:bottom w:val="single" w:sz="4" w:space="0" w:color="auto"/>
              <w:right w:val="single" w:sz="4" w:space="0" w:color="auto"/>
            </w:tcBorders>
            <w:vAlign w:val="center"/>
          </w:tcPr>
          <w:p w:rsidR="004F28DF" w:rsidRPr="003C3082" w:rsidRDefault="004F28DF" w:rsidP="00FA21C3">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5.65</w:t>
            </w:r>
          </w:p>
        </w:tc>
      </w:tr>
    </w:tbl>
    <w:p w:rsidR="003C3082" w:rsidRDefault="003C3082" w:rsidP="00907E77">
      <w:pPr>
        <w:jc w:val="both"/>
        <w:rPr>
          <w:rFonts w:ascii="Times New Roman" w:hAnsi="Times New Roman" w:cs="Times New Roman"/>
          <w:sz w:val="24"/>
          <w:szCs w:val="24"/>
        </w:rPr>
      </w:pPr>
    </w:p>
    <w:p w:rsidR="003C3082" w:rsidRDefault="003C3082" w:rsidP="00907E77">
      <w:pPr>
        <w:jc w:val="both"/>
        <w:rPr>
          <w:rFonts w:ascii="Times New Roman" w:hAnsi="Times New Roman" w:cs="Times New Roman"/>
          <w:sz w:val="24"/>
          <w:szCs w:val="24"/>
        </w:rPr>
      </w:pPr>
      <w:r w:rsidRPr="003C3082">
        <w:rPr>
          <w:rFonts w:ascii="Times New Roman" w:hAnsi="Times New Roman" w:cs="Times New Roman"/>
          <w:noProof/>
          <w:sz w:val="24"/>
          <w:szCs w:val="24"/>
        </w:rPr>
        <w:lastRenderedPageBreak/>
        <w:drawing>
          <wp:inline distT="0" distB="0" distL="0" distR="0">
            <wp:extent cx="5812407" cy="3200400"/>
            <wp:effectExtent l="19050" t="0" r="16893"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3082" w:rsidRDefault="003C3082" w:rsidP="00907E77">
      <w:pPr>
        <w:jc w:val="both"/>
        <w:rPr>
          <w:rFonts w:ascii="Times New Roman" w:hAnsi="Times New Roman" w:cs="Times New Roman"/>
          <w:sz w:val="24"/>
          <w:szCs w:val="24"/>
        </w:rPr>
      </w:pPr>
      <w:r w:rsidRPr="00617D5C">
        <w:rPr>
          <w:rFonts w:ascii="Times New Roman" w:hAnsi="Times New Roman" w:cs="Times New Roman"/>
          <w:b/>
          <w:sz w:val="24"/>
          <w:szCs w:val="24"/>
        </w:rPr>
        <w:t>Figure 1:</w:t>
      </w:r>
      <w:r>
        <w:rPr>
          <w:rFonts w:ascii="Times New Roman" w:hAnsi="Times New Roman" w:cs="Times New Roman"/>
          <w:sz w:val="24"/>
          <w:szCs w:val="24"/>
        </w:rPr>
        <w:t xml:space="preserve"> Graphical </w:t>
      </w:r>
      <w:r w:rsidRPr="002933CB">
        <w:rPr>
          <w:rFonts w:ascii="Times New Roman" w:hAnsi="Times New Roman" w:cs="Times New Roman"/>
          <w:sz w:val="24"/>
          <w:szCs w:val="24"/>
        </w:rPr>
        <w:t>representation of</w:t>
      </w:r>
      <w:r w:rsidR="002933CB" w:rsidRPr="002933CB">
        <w:rPr>
          <w:rFonts w:ascii="Times New Roman" w:hAnsi="Times New Roman" w:cs="Times New Roman"/>
          <w:sz w:val="24"/>
          <w:szCs w:val="24"/>
        </w:rPr>
        <w:t xml:space="preserve"> Total polyphenolic content</w:t>
      </w:r>
      <w:r>
        <w:rPr>
          <w:rFonts w:ascii="Times New Roman" w:hAnsi="Times New Roman" w:cs="Times New Roman"/>
          <w:sz w:val="24"/>
          <w:szCs w:val="24"/>
        </w:rPr>
        <w:t xml:space="preserve"> </w:t>
      </w:r>
      <w:r w:rsidR="002933CB">
        <w:rPr>
          <w:rFonts w:ascii="Times New Roman" w:hAnsi="Times New Roman" w:cs="Times New Roman"/>
          <w:sz w:val="24"/>
          <w:szCs w:val="24"/>
        </w:rPr>
        <w:t>(</w:t>
      </w:r>
      <w:r>
        <w:rPr>
          <w:rFonts w:ascii="Times New Roman" w:hAnsi="Times New Roman" w:cs="Times New Roman"/>
          <w:sz w:val="24"/>
          <w:szCs w:val="24"/>
        </w:rPr>
        <w:t>TPC</w:t>
      </w:r>
      <w:r w:rsidR="002933CB">
        <w:rPr>
          <w:rFonts w:ascii="Times New Roman" w:hAnsi="Times New Roman" w:cs="Times New Roman"/>
          <w:sz w:val="24"/>
          <w:szCs w:val="24"/>
        </w:rPr>
        <w:t>)</w:t>
      </w:r>
      <w:r>
        <w:rPr>
          <w:rFonts w:ascii="Times New Roman" w:hAnsi="Times New Roman" w:cs="Times New Roman"/>
          <w:sz w:val="24"/>
          <w:szCs w:val="24"/>
        </w:rPr>
        <w:t xml:space="preserve"> and </w:t>
      </w:r>
      <w:r w:rsidR="002933CB" w:rsidRPr="002933CB">
        <w:rPr>
          <w:rFonts w:ascii="Times New Roman" w:hAnsi="Times New Roman" w:cs="Times New Roman"/>
          <w:sz w:val="24"/>
          <w:szCs w:val="24"/>
        </w:rPr>
        <w:t>Total flavonoid content (</w:t>
      </w:r>
      <w:r w:rsidRPr="002933CB">
        <w:rPr>
          <w:rFonts w:ascii="Times New Roman" w:hAnsi="Times New Roman" w:cs="Times New Roman"/>
          <w:sz w:val="24"/>
          <w:szCs w:val="24"/>
        </w:rPr>
        <w:t>TFC</w:t>
      </w:r>
      <w:r w:rsidR="002933CB" w:rsidRPr="002933CB">
        <w:rPr>
          <w:rFonts w:ascii="Times New Roman" w:hAnsi="Times New Roman" w:cs="Times New Roman"/>
          <w:sz w:val="24"/>
          <w:szCs w:val="24"/>
        </w:rPr>
        <w:t>)</w:t>
      </w:r>
      <w:r w:rsidRPr="002933CB">
        <w:rPr>
          <w:rFonts w:ascii="Times New Roman" w:hAnsi="Times New Roman" w:cs="Times New Roman"/>
          <w:sz w:val="24"/>
          <w:szCs w:val="24"/>
        </w:rPr>
        <w:t xml:space="preserve"> in</w:t>
      </w:r>
      <w:r>
        <w:rPr>
          <w:rFonts w:ascii="Times New Roman" w:hAnsi="Times New Roman" w:cs="Times New Roman"/>
          <w:sz w:val="24"/>
          <w:szCs w:val="24"/>
        </w:rPr>
        <w:t xml:space="preserve"> </w:t>
      </w:r>
      <w:r w:rsidR="009D103E" w:rsidRPr="009D103E">
        <w:rPr>
          <w:rFonts w:ascii="Times New Roman" w:hAnsi="Times New Roman" w:cs="Times New Roman"/>
          <w:i/>
          <w:sz w:val="24"/>
          <w:szCs w:val="24"/>
        </w:rPr>
        <w:t xml:space="preserve">A. </w:t>
      </w:r>
      <w:proofErr w:type="spellStart"/>
      <w:r w:rsidR="009D103E" w:rsidRPr="009D103E">
        <w:rPr>
          <w:rFonts w:ascii="Times New Roman" w:hAnsi="Times New Roman" w:cs="Times New Roman"/>
          <w:i/>
          <w:sz w:val="24"/>
          <w:szCs w:val="24"/>
        </w:rPr>
        <w:t>absinthium</w:t>
      </w:r>
      <w:proofErr w:type="spellEnd"/>
      <w:r w:rsidR="009D103E" w:rsidRPr="009D103E">
        <w:rPr>
          <w:rFonts w:ascii="Times New Roman" w:hAnsi="Times New Roman" w:cs="Times New Roman"/>
          <w:i/>
          <w:sz w:val="24"/>
          <w:szCs w:val="24"/>
        </w:rPr>
        <w:t xml:space="preserve"> </w:t>
      </w:r>
      <w:r>
        <w:rPr>
          <w:rFonts w:ascii="Times New Roman" w:hAnsi="Times New Roman" w:cs="Times New Roman"/>
          <w:sz w:val="24"/>
          <w:szCs w:val="24"/>
        </w:rPr>
        <w:t xml:space="preserve">and </w:t>
      </w:r>
      <w:r w:rsidR="00B07655" w:rsidRPr="00B07655">
        <w:rPr>
          <w:rFonts w:ascii="Times New Roman" w:hAnsi="Times New Roman" w:cs="Times New Roman"/>
          <w:i/>
          <w:sz w:val="24"/>
          <w:szCs w:val="24"/>
        </w:rPr>
        <w:t>A. calamus</w:t>
      </w:r>
      <w:r>
        <w:rPr>
          <w:rFonts w:ascii="Times New Roman" w:hAnsi="Times New Roman" w:cs="Times New Roman"/>
          <w:sz w:val="24"/>
          <w:szCs w:val="24"/>
        </w:rPr>
        <w:t>.</w:t>
      </w:r>
    </w:p>
    <w:p w:rsidR="00907E77" w:rsidRPr="003C3082" w:rsidRDefault="00EC08D5" w:rsidP="00641919">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3.2 </w:t>
      </w:r>
      <w:r w:rsidR="00907E77" w:rsidRPr="003C3082">
        <w:rPr>
          <w:rFonts w:ascii="Times New Roman" w:hAnsi="Times New Roman" w:cs="Times New Roman"/>
          <w:b/>
          <w:sz w:val="24"/>
          <w:szCs w:val="24"/>
        </w:rPr>
        <w:t>DPPH Scavenging Activity</w:t>
      </w:r>
    </w:p>
    <w:p w:rsidR="00907E77" w:rsidRPr="00907E77" w:rsidRDefault="00907E77" w:rsidP="00641919">
      <w:pPr>
        <w:spacing w:before="240"/>
        <w:ind w:firstLine="720"/>
        <w:jc w:val="both"/>
        <w:rPr>
          <w:rFonts w:ascii="Times New Roman" w:hAnsi="Times New Roman" w:cs="Times New Roman"/>
          <w:sz w:val="24"/>
          <w:szCs w:val="24"/>
        </w:rPr>
      </w:pPr>
      <w:r w:rsidRPr="00907E77">
        <w:rPr>
          <w:rFonts w:ascii="Times New Roman" w:hAnsi="Times New Roman" w:cs="Times New Roman"/>
          <w:sz w:val="24"/>
          <w:szCs w:val="24"/>
        </w:rPr>
        <w:t xml:space="preserve">The DPPH radical scavenging activity of </w:t>
      </w:r>
      <w:r w:rsidR="009D103E" w:rsidRPr="009D103E">
        <w:rPr>
          <w:rFonts w:ascii="Times New Roman" w:hAnsi="Times New Roman" w:cs="Times New Roman"/>
          <w:i/>
          <w:sz w:val="24"/>
          <w:szCs w:val="24"/>
        </w:rPr>
        <w:t xml:space="preserve">A. </w:t>
      </w:r>
      <w:proofErr w:type="spellStart"/>
      <w:r w:rsidR="009D103E" w:rsidRPr="009D103E">
        <w:rPr>
          <w:rFonts w:ascii="Times New Roman" w:hAnsi="Times New Roman" w:cs="Times New Roman"/>
          <w:i/>
          <w:sz w:val="24"/>
          <w:szCs w:val="24"/>
        </w:rPr>
        <w:t>absinthium</w:t>
      </w:r>
      <w:proofErr w:type="spellEnd"/>
      <w:r w:rsidR="009D103E" w:rsidRPr="009D103E">
        <w:rPr>
          <w:rFonts w:ascii="Times New Roman" w:hAnsi="Times New Roman" w:cs="Times New Roman"/>
          <w:i/>
          <w:sz w:val="24"/>
          <w:szCs w:val="24"/>
        </w:rPr>
        <w:t xml:space="preserve"> </w:t>
      </w:r>
      <w:r w:rsidRPr="00907E77">
        <w:rPr>
          <w:rFonts w:ascii="Times New Roman" w:hAnsi="Times New Roman" w:cs="Times New Roman"/>
          <w:sz w:val="24"/>
          <w:szCs w:val="24"/>
        </w:rPr>
        <w:t xml:space="preserve">and </w:t>
      </w:r>
      <w:r w:rsidR="00B07655" w:rsidRPr="00B07655">
        <w:rPr>
          <w:rFonts w:ascii="Times New Roman" w:hAnsi="Times New Roman" w:cs="Times New Roman"/>
          <w:i/>
          <w:sz w:val="24"/>
          <w:szCs w:val="24"/>
        </w:rPr>
        <w:t>A. calamus</w:t>
      </w:r>
      <w:r w:rsidRPr="00907E77">
        <w:rPr>
          <w:rFonts w:ascii="Times New Roman" w:hAnsi="Times New Roman" w:cs="Times New Roman"/>
          <w:sz w:val="24"/>
          <w:szCs w:val="24"/>
        </w:rPr>
        <w:t xml:space="preserve"> extracts is presented in Table 3 and Figure</w:t>
      </w:r>
      <w:r w:rsidR="002933CB">
        <w:rPr>
          <w:rFonts w:ascii="Times New Roman" w:hAnsi="Times New Roman" w:cs="Times New Roman"/>
          <w:sz w:val="24"/>
          <w:szCs w:val="24"/>
        </w:rPr>
        <w:t xml:space="preserve"> 2</w:t>
      </w:r>
      <w:r w:rsidRPr="00907E77">
        <w:rPr>
          <w:rFonts w:ascii="Times New Roman" w:hAnsi="Times New Roman" w:cs="Times New Roman"/>
          <w:sz w:val="24"/>
          <w:szCs w:val="24"/>
        </w:rPr>
        <w:t xml:space="preserve">. The antioxidant activity, as measured by percent inhibition of DPPH radicals, was significantly higher in </w:t>
      </w:r>
      <w:r w:rsidR="009D103E" w:rsidRPr="009D103E">
        <w:rPr>
          <w:rFonts w:ascii="Times New Roman" w:hAnsi="Times New Roman" w:cs="Times New Roman"/>
          <w:i/>
          <w:sz w:val="24"/>
          <w:szCs w:val="24"/>
        </w:rPr>
        <w:t xml:space="preserve">A. </w:t>
      </w:r>
      <w:proofErr w:type="spellStart"/>
      <w:r w:rsidR="009D103E" w:rsidRPr="009D103E">
        <w:rPr>
          <w:rFonts w:ascii="Times New Roman" w:hAnsi="Times New Roman" w:cs="Times New Roman"/>
          <w:i/>
          <w:sz w:val="24"/>
          <w:szCs w:val="24"/>
        </w:rPr>
        <w:t>absinthium</w:t>
      </w:r>
      <w:proofErr w:type="spellEnd"/>
      <w:r w:rsidR="009D103E" w:rsidRPr="009D103E">
        <w:rPr>
          <w:rFonts w:ascii="Times New Roman" w:hAnsi="Times New Roman" w:cs="Times New Roman"/>
          <w:i/>
          <w:sz w:val="24"/>
          <w:szCs w:val="24"/>
        </w:rPr>
        <w:t xml:space="preserve"> </w:t>
      </w:r>
      <w:r w:rsidR="00234C6C">
        <w:rPr>
          <w:rFonts w:ascii="Times New Roman" w:hAnsi="Times New Roman" w:cs="Times New Roman"/>
          <w:sz w:val="24"/>
          <w:szCs w:val="24"/>
        </w:rPr>
        <w:t>(63</w:t>
      </w:r>
      <w:r w:rsidRPr="00907E77">
        <w:rPr>
          <w:rFonts w:ascii="Times New Roman" w:hAnsi="Times New Roman" w:cs="Times New Roman"/>
          <w:sz w:val="24"/>
          <w:szCs w:val="24"/>
        </w:rPr>
        <w:t xml:space="preserve">.40%) compared to </w:t>
      </w:r>
      <w:r w:rsidR="00B07655" w:rsidRPr="00B07655">
        <w:rPr>
          <w:rFonts w:ascii="Times New Roman" w:hAnsi="Times New Roman" w:cs="Times New Roman"/>
          <w:i/>
          <w:sz w:val="24"/>
          <w:szCs w:val="24"/>
        </w:rPr>
        <w:t>A. calamus</w:t>
      </w:r>
      <w:r w:rsidRPr="00907E77">
        <w:rPr>
          <w:rFonts w:ascii="Times New Roman" w:hAnsi="Times New Roman" w:cs="Times New Roman"/>
          <w:sz w:val="24"/>
          <w:szCs w:val="24"/>
        </w:rPr>
        <w:t xml:space="preserve"> (38.7%), indicating a stronger free radical neutralizing potential in </w:t>
      </w:r>
      <w:r w:rsidR="009865C9">
        <w:rPr>
          <w:rFonts w:ascii="Times New Roman" w:hAnsi="Times New Roman" w:cs="Times New Roman"/>
          <w:i/>
          <w:sz w:val="24"/>
          <w:szCs w:val="24"/>
        </w:rPr>
        <w:t>A.</w:t>
      </w:r>
      <w:r w:rsidR="007D7941" w:rsidRPr="009865C9">
        <w:rPr>
          <w:rFonts w:ascii="Times New Roman" w:hAnsi="Times New Roman" w:cs="Times New Roman"/>
          <w:i/>
          <w:sz w:val="24"/>
          <w:szCs w:val="24"/>
        </w:rPr>
        <w:t xml:space="preserve"> </w:t>
      </w:r>
      <w:proofErr w:type="spellStart"/>
      <w:r w:rsidR="007D7941" w:rsidRPr="009865C9">
        <w:rPr>
          <w:rFonts w:ascii="Times New Roman" w:hAnsi="Times New Roman" w:cs="Times New Roman"/>
          <w:i/>
          <w:sz w:val="24"/>
          <w:szCs w:val="24"/>
        </w:rPr>
        <w:t>absinthium</w:t>
      </w:r>
      <w:proofErr w:type="spellEnd"/>
      <w:r w:rsidRPr="00907E77">
        <w:rPr>
          <w:rFonts w:ascii="Times New Roman" w:hAnsi="Times New Roman" w:cs="Times New Roman"/>
          <w:sz w:val="24"/>
          <w:szCs w:val="24"/>
        </w:rPr>
        <w:t xml:space="preserve">. These findings are supported by previous studies, which report DPPH scavenging activity in </w:t>
      </w:r>
      <w:r w:rsidR="007D7941" w:rsidRPr="009865C9">
        <w:rPr>
          <w:rFonts w:ascii="Times New Roman" w:hAnsi="Times New Roman" w:cs="Times New Roman"/>
          <w:i/>
          <w:sz w:val="24"/>
          <w:szCs w:val="24"/>
        </w:rPr>
        <w:t xml:space="preserve">Artemisia </w:t>
      </w:r>
      <w:proofErr w:type="spellStart"/>
      <w:r w:rsidRPr="009865C9">
        <w:rPr>
          <w:rFonts w:ascii="Times New Roman" w:hAnsi="Times New Roman" w:cs="Times New Roman"/>
          <w:i/>
          <w:sz w:val="24"/>
          <w:szCs w:val="24"/>
        </w:rPr>
        <w:t>annua</w:t>
      </w:r>
      <w:proofErr w:type="spellEnd"/>
      <w:r w:rsidRPr="009865C9">
        <w:rPr>
          <w:rFonts w:ascii="Times New Roman" w:hAnsi="Times New Roman" w:cs="Times New Roman"/>
          <w:i/>
          <w:sz w:val="24"/>
          <w:szCs w:val="24"/>
        </w:rPr>
        <w:t xml:space="preserve"> </w:t>
      </w:r>
      <w:r w:rsidRPr="00907E77">
        <w:rPr>
          <w:rFonts w:ascii="Times New Roman" w:hAnsi="Times New Roman" w:cs="Times New Roman"/>
          <w:sz w:val="24"/>
          <w:szCs w:val="24"/>
        </w:rPr>
        <w:t xml:space="preserve">and </w:t>
      </w:r>
      <w:r w:rsidR="009D103E" w:rsidRPr="009D103E">
        <w:rPr>
          <w:rFonts w:ascii="Times New Roman" w:hAnsi="Times New Roman" w:cs="Times New Roman"/>
          <w:i/>
          <w:sz w:val="24"/>
          <w:szCs w:val="24"/>
        </w:rPr>
        <w:t xml:space="preserve">A. </w:t>
      </w:r>
      <w:proofErr w:type="spellStart"/>
      <w:r w:rsidR="009D103E" w:rsidRPr="009D103E">
        <w:rPr>
          <w:rFonts w:ascii="Times New Roman" w:hAnsi="Times New Roman" w:cs="Times New Roman"/>
          <w:i/>
          <w:sz w:val="24"/>
          <w:szCs w:val="24"/>
        </w:rPr>
        <w:t>absinthium</w:t>
      </w:r>
      <w:proofErr w:type="spellEnd"/>
      <w:r w:rsidR="009D103E" w:rsidRPr="009D103E">
        <w:rPr>
          <w:rFonts w:ascii="Times New Roman" w:hAnsi="Times New Roman" w:cs="Times New Roman"/>
          <w:i/>
          <w:sz w:val="24"/>
          <w:szCs w:val="24"/>
        </w:rPr>
        <w:t xml:space="preserve"> </w:t>
      </w:r>
      <w:r w:rsidRPr="00907E77">
        <w:rPr>
          <w:rFonts w:ascii="Times New Roman" w:hAnsi="Times New Roman" w:cs="Times New Roman"/>
          <w:sz w:val="24"/>
          <w:szCs w:val="24"/>
        </w:rPr>
        <w:t xml:space="preserve">ranging between 75% and 87% depending on the extract and conditions (Ferreira </w:t>
      </w:r>
      <w:r w:rsidR="00617D5C" w:rsidRPr="00617D5C">
        <w:rPr>
          <w:rFonts w:ascii="Times New Roman" w:hAnsi="Times New Roman" w:cs="Times New Roman"/>
          <w:i/>
          <w:sz w:val="24"/>
          <w:szCs w:val="24"/>
        </w:rPr>
        <w:t>et al.,</w:t>
      </w:r>
      <w:r w:rsidRPr="00907E77">
        <w:rPr>
          <w:rFonts w:ascii="Times New Roman" w:hAnsi="Times New Roman" w:cs="Times New Roman"/>
          <w:sz w:val="24"/>
          <w:szCs w:val="24"/>
        </w:rPr>
        <w:t xml:space="preserve"> 2010; Shah </w:t>
      </w:r>
      <w:r w:rsidR="00617D5C" w:rsidRPr="00617D5C">
        <w:rPr>
          <w:rFonts w:ascii="Times New Roman" w:hAnsi="Times New Roman" w:cs="Times New Roman"/>
          <w:i/>
          <w:sz w:val="24"/>
          <w:szCs w:val="24"/>
        </w:rPr>
        <w:t>et al.,</w:t>
      </w:r>
      <w:r w:rsidRPr="00907E77">
        <w:rPr>
          <w:rFonts w:ascii="Times New Roman" w:hAnsi="Times New Roman" w:cs="Times New Roman"/>
          <w:sz w:val="24"/>
          <w:szCs w:val="24"/>
        </w:rPr>
        <w:t xml:space="preserve"> 2020).</w:t>
      </w:r>
      <w:r w:rsidR="009865C9">
        <w:rPr>
          <w:rFonts w:ascii="Times New Roman" w:hAnsi="Times New Roman" w:cs="Times New Roman"/>
          <w:sz w:val="24"/>
          <w:szCs w:val="24"/>
        </w:rPr>
        <w:t xml:space="preserve"> There is slightly less antioxidant activity percentage comparing to these previous studies, </w:t>
      </w:r>
      <w:r w:rsidR="009F205A">
        <w:rPr>
          <w:rFonts w:ascii="Times New Roman" w:hAnsi="Times New Roman" w:cs="Times New Roman"/>
          <w:sz w:val="24"/>
          <w:szCs w:val="24"/>
        </w:rPr>
        <w:t>this</w:t>
      </w:r>
      <w:r w:rsidR="009865C9">
        <w:rPr>
          <w:rFonts w:ascii="Times New Roman" w:hAnsi="Times New Roman" w:cs="Times New Roman"/>
          <w:sz w:val="24"/>
          <w:szCs w:val="24"/>
        </w:rPr>
        <w:t xml:space="preserve"> can be attributed to some environmental and geographical factors of a particular location. </w:t>
      </w:r>
    </w:p>
    <w:p w:rsidR="004F28DF" w:rsidRPr="003C3082" w:rsidRDefault="00907E77" w:rsidP="00641919">
      <w:pPr>
        <w:ind w:firstLine="720"/>
        <w:jc w:val="both"/>
        <w:rPr>
          <w:rFonts w:ascii="Times New Roman" w:hAnsi="Times New Roman" w:cs="Times New Roman"/>
          <w:sz w:val="24"/>
          <w:szCs w:val="24"/>
        </w:rPr>
      </w:pPr>
      <w:r w:rsidRPr="00907E77">
        <w:rPr>
          <w:rFonts w:ascii="Times New Roman" w:hAnsi="Times New Roman" w:cs="Times New Roman"/>
          <w:sz w:val="24"/>
          <w:szCs w:val="24"/>
        </w:rPr>
        <w:t xml:space="preserve">In contrast, the DPPH scavenging activity of </w:t>
      </w:r>
      <w:r w:rsidR="00B07655" w:rsidRPr="00B07655">
        <w:rPr>
          <w:rFonts w:ascii="Times New Roman" w:hAnsi="Times New Roman" w:cs="Times New Roman"/>
          <w:i/>
          <w:sz w:val="24"/>
          <w:szCs w:val="24"/>
        </w:rPr>
        <w:t>A. calamus</w:t>
      </w:r>
      <w:r w:rsidRPr="00907E77">
        <w:rPr>
          <w:rFonts w:ascii="Times New Roman" w:hAnsi="Times New Roman" w:cs="Times New Roman"/>
          <w:sz w:val="24"/>
          <w:szCs w:val="24"/>
        </w:rPr>
        <w:t xml:space="preserve"> has been observed to range between 30% and 42%, reflecting comparatively lower antioxidant potential (Singh </w:t>
      </w:r>
      <w:r w:rsidR="00617D5C" w:rsidRPr="00617D5C">
        <w:rPr>
          <w:rFonts w:ascii="Times New Roman" w:hAnsi="Times New Roman" w:cs="Times New Roman"/>
          <w:i/>
          <w:sz w:val="24"/>
          <w:szCs w:val="24"/>
        </w:rPr>
        <w:t>et al.,</w:t>
      </w:r>
      <w:r w:rsidRPr="00907E77">
        <w:rPr>
          <w:rFonts w:ascii="Times New Roman" w:hAnsi="Times New Roman" w:cs="Times New Roman"/>
          <w:sz w:val="24"/>
          <w:szCs w:val="24"/>
        </w:rPr>
        <w:t xml:space="preserve"> 2016; Tiwari </w:t>
      </w:r>
      <w:r w:rsidR="00617D5C" w:rsidRPr="00617D5C">
        <w:rPr>
          <w:rFonts w:ascii="Times New Roman" w:hAnsi="Times New Roman" w:cs="Times New Roman"/>
          <w:i/>
          <w:sz w:val="24"/>
          <w:szCs w:val="24"/>
        </w:rPr>
        <w:t>et al.,</w:t>
      </w:r>
      <w:r w:rsidRPr="00907E77">
        <w:rPr>
          <w:rFonts w:ascii="Times New Roman" w:hAnsi="Times New Roman" w:cs="Times New Roman"/>
          <w:sz w:val="24"/>
          <w:szCs w:val="24"/>
        </w:rPr>
        <w:t xml:space="preserve"> 2014). The significant difference in activity corresponds well with the total polyphenol and flavonoid content of the two plants. As antioxidants act by donating electrons to neutralize free radicals like DPPH, the higher concentration of phenolic compounds in </w:t>
      </w:r>
      <w:r w:rsidR="009D103E" w:rsidRPr="009D103E">
        <w:rPr>
          <w:rFonts w:ascii="Times New Roman" w:hAnsi="Times New Roman" w:cs="Times New Roman"/>
          <w:i/>
          <w:sz w:val="24"/>
          <w:szCs w:val="24"/>
        </w:rPr>
        <w:t xml:space="preserve">A. </w:t>
      </w:r>
      <w:proofErr w:type="spellStart"/>
      <w:r w:rsidR="009D103E" w:rsidRPr="009D103E">
        <w:rPr>
          <w:rFonts w:ascii="Times New Roman" w:hAnsi="Times New Roman" w:cs="Times New Roman"/>
          <w:i/>
          <w:sz w:val="24"/>
          <w:szCs w:val="24"/>
        </w:rPr>
        <w:t>absinthium</w:t>
      </w:r>
      <w:proofErr w:type="spellEnd"/>
      <w:r w:rsidR="009D103E" w:rsidRPr="009D103E">
        <w:rPr>
          <w:rFonts w:ascii="Times New Roman" w:hAnsi="Times New Roman" w:cs="Times New Roman"/>
          <w:i/>
          <w:sz w:val="24"/>
          <w:szCs w:val="24"/>
        </w:rPr>
        <w:t xml:space="preserve"> </w:t>
      </w:r>
      <w:r w:rsidR="00C902B4" w:rsidRPr="00907E77">
        <w:rPr>
          <w:rFonts w:ascii="Times New Roman" w:hAnsi="Times New Roman" w:cs="Times New Roman"/>
          <w:sz w:val="24"/>
          <w:szCs w:val="24"/>
        </w:rPr>
        <w:t>contributes</w:t>
      </w:r>
      <w:r w:rsidRPr="00907E77">
        <w:rPr>
          <w:rFonts w:ascii="Times New Roman" w:hAnsi="Times New Roman" w:cs="Times New Roman"/>
          <w:sz w:val="24"/>
          <w:szCs w:val="24"/>
        </w:rPr>
        <w:t xml:space="preserve"> to its superior antioxidant capacity (</w:t>
      </w:r>
      <w:proofErr w:type="spellStart"/>
      <w:r w:rsidRPr="00907E77">
        <w:rPr>
          <w:rFonts w:ascii="Times New Roman" w:hAnsi="Times New Roman" w:cs="Times New Roman"/>
          <w:sz w:val="24"/>
          <w:szCs w:val="24"/>
        </w:rPr>
        <w:t>Soobrattee</w:t>
      </w:r>
      <w:proofErr w:type="spellEnd"/>
      <w:r w:rsidR="001F50C7">
        <w:rPr>
          <w:rFonts w:ascii="Times New Roman" w:hAnsi="Times New Roman" w:cs="Times New Roman"/>
          <w:sz w:val="24"/>
          <w:szCs w:val="24"/>
        </w:rPr>
        <w:t xml:space="preserve"> </w:t>
      </w:r>
      <w:r w:rsidR="00617D5C" w:rsidRPr="00617D5C">
        <w:rPr>
          <w:rFonts w:ascii="Times New Roman" w:hAnsi="Times New Roman" w:cs="Times New Roman"/>
          <w:i/>
          <w:sz w:val="24"/>
          <w:szCs w:val="24"/>
        </w:rPr>
        <w:t>et al.,</w:t>
      </w:r>
      <w:r w:rsidRPr="00907E77">
        <w:rPr>
          <w:rFonts w:ascii="Times New Roman" w:hAnsi="Times New Roman" w:cs="Times New Roman"/>
          <w:sz w:val="24"/>
          <w:szCs w:val="24"/>
        </w:rPr>
        <w:t xml:space="preserve"> 2005).</w:t>
      </w:r>
    </w:p>
    <w:p w:rsidR="004F28DF" w:rsidRDefault="004F28DF" w:rsidP="004F28DF">
      <w:pPr>
        <w:pStyle w:val="BodyText"/>
        <w:spacing w:before="183" w:line="360" w:lineRule="auto"/>
        <w:ind w:left="0"/>
        <w:jc w:val="both"/>
        <w:rPr>
          <w:bCs/>
        </w:rPr>
      </w:pPr>
      <w:bookmarkStart w:id="0" w:name="_GoBack"/>
      <w:r>
        <w:rPr>
          <w:b/>
          <w:bCs/>
        </w:rPr>
        <w:t>Table</w:t>
      </w:r>
      <w:bookmarkEnd w:id="0"/>
      <w:r w:rsidR="00AD3CDA">
        <w:rPr>
          <w:b/>
          <w:bCs/>
        </w:rPr>
        <w:t xml:space="preserve"> 3</w:t>
      </w:r>
      <w:r>
        <w:rPr>
          <w:b/>
          <w:bCs/>
        </w:rPr>
        <w:t>:</w:t>
      </w:r>
      <w:r>
        <w:rPr>
          <w:bCs/>
        </w:rPr>
        <w:t xml:space="preserve"> DPPH radial scavenging activity </w:t>
      </w:r>
      <w:r>
        <w:t xml:space="preserve">content of </w:t>
      </w:r>
      <w:r>
        <w:rPr>
          <w:bCs/>
        </w:rPr>
        <w:t xml:space="preserve">sample extracts of </w:t>
      </w:r>
      <w:r w:rsidR="009D103E" w:rsidRPr="009D103E">
        <w:rPr>
          <w:bCs/>
          <w:i/>
        </w:rPr>
        <w:t xml:space="preserve">A. </w:t>
      </w:r>
      <w:proofErr w:type="spellStart"/>
      <w:r w:rsidR="009D103E" w:rsidRPr="009D103E">
        <w:rPr>
          <w:bCs/>
          <w:i/>
        </w:rPr>
        <w:t>absinthium</w:t>
      </w:r>
      <w:proofErr w:type="spellEnd"/>
      <w:r w:rsidR="009D103E" w:rsidRPr="009D103E">
        <w:rPr>
          <w:bCs/>
          <w:i/>
        </w:rPr>
        <w:t xml:space="preserve"> </w:t>
      </w:r>
      <w:r w:rsidR="00C902B4">
        <w:rPr>
          <w:bCs/>
        </w:rPr>
        <w:t>and</w:t>
      </w:r>
      <w:r>
        <w:rPr>
          <w:bCs/>
        </w:rPr>
        <w:t xml:space="preserve"> </w:t>
      </w:r>
      <w:r w:rsidR="00B07655" w:rsidRPr="00B07655">
        <w:rPr>
          <w:bCs/>
          <w:i/>
        </w:rPr>
        <w:t>A. calamus</w:t>
      </w:r>
      <w:r>
        <w:rPr>
          <w:bCs/>
        </w:rPr>
        <w:t>. (</w:t>
      </w:r>
      <w:r>
        <w:t>%</w:t>
      </w:r>
      <w:r>
        <w:rPr>
          <w:bCs/>
        </w:rPr>
        <w:t>)</w:t>
      </w:r>
    </w:p>
    <w:tbl>
      <w:tblPr>
        <w:tblStyle w:val="TableGrid"/>
        <w:tblpPr w:leftFromText="180" w:rightFromText="180" w:vertAnchor="text" w:tblpXSpec="center" w:tblpY="1"/>
        <w:tblOverlap w:val="never"/>
        <w:tblW w:w="9828" w:type="dxa"/>
        <w:tblLayout w:type="fixed"/>
        <w:tblLook w:val="04A0" w:firstRow="1" w:lastRow="0" w:firstColumn="1" w:lastColumn="0" w:noHBand="0" w:noVBand="1"/>
      </w:tblPr>
      <w:tblGrid>
        <w:gridCol w:w="2628"/>
        <w:gridCol w:w="1350"/>
        <w:gridCol w:w="1350"/>
        <w:gridCol w:w="1440"/>
        <w:gridCol w:w="1440"/>
        <w:gridCol w:w="1620"/>
      </w:tblGrid>
      <w:tr w:rsidR="004F28DF" w:rsidTr="00FA21C3">
        <w:trPr>
          <w:trHeight w:val="347"/>
        </w:trPr>
        <w:tc>
          <w:tcPr>
            <w:tcW w:w="2628" w:type="dxa"/>
            <w:vMerge w:val="restart"/>
            <w:vAlign w:val="center"/>
          </w:tcPr>
          <w:p w:rsidR="004F28DF" w:rsidRDefault="004F28DF" w:rsidP="00FA21C3">
            <w:pPr>
              <w:jc w:val="center"/>
              <w:rPr>
                <w:rFonts w:ascii="Times New Roman" w:hAnsi="Times New Roman" w:cs="Times New Roman"/>
                <w:b/>
                <w:sz w:val="24"/>
                <w:szCs w:val="24"/>
              </w:rPr>
            </w:pPr>
          </w:p>
          <w:p w:rsidR="004F28DF" w:rsidRDefault="004F28DF" w:rsidP="00FA21C3">
            <w:pPr>
              <w:jc w:val="center"/>
              <w:rPr>
                <w:rFonts w:ascii="Times New Roman" w:hAnsi="Times New Roman" w:cs="Times New Roman"/>
                <w:b/>
                <w:sz w:val="24"/>
                <w:szCs w:val="24"/>
              </w:rPr>
            </w:pPr>
            <w:r>
              <w:rPr>
                <w:rFonts w:ascii="Times New Roman" w:hAnsi="Times New Roman" w:cs="Times New Roman"/>
                <w:b/>
                <w:sz w:val="24"/>
                <w:szCs w:val="24"/>
              </w:rPr>
              <w:t>Sample</w:t>
            </w:r>
          </w:p>
        </w:tc>
        <w:tc>
          <w:tcPr>
            <w:tcW w:w="7200" w:type="dxa"/>
            <w:gridSpan w:val="5"/>
            <w:tcBorders>
              <w:bottom w:val="single" w:sz="4" w:space="0" w:color="auto"/>
              <w:right w:val="single" w:sz="4" w:space="0" w:color="auto"/>
            </w:tcBorders>
            <w:vAlign w:val="center"/>
          </w:tcPr>
          <w:p w:rsidR="004F28DF" w:rsidRDefault="004F28DF" w:rsidP="00FA21C3">
            <w:pPr>
              <w:jc w:val="center"/>
              <w:rPr>
                <w:rFonts w:ascii="Times New Roman" w:hAnsi="Times New Roman" w:cs="Times New Roman"/>
                <w:b/>
                <w:sz w:val="24"/>
                <w:szCs w:val="24"/>
              </w:rPr>
            </w:pPr>
            <w:r>
              <w:rPr>
                <w:rFonts w:ascii="Times New Roman" w:hAnsi="Times New Roman" w:cs="Times New Roman"/>
                <w:b/>
                <w:sz w:val="24"/>
                <w:szCs w:val="24"/>
              </w:rPr>
              <w:t>Scavenging (%)</w:t>
            </w:r>
          </w:p>
        </w:tc>
      </w:tr>
      <w:tr w:rsidR="004F28DF" w:rsidTr="00FA21C3">
        <w:trPr>
          <w:trHeight w:val="356"/>
        </w:trPr>
        <w:tc>
          <w:tcPr>
            <w:tcW w:w="2628" w:type="dxa"/>
            <w:vMerge/>
            <w:vAlign w:val="center"/>
          </w:tcPr>
          <w:p w:rsidR="004F28DF" w:rsidRDefault="004F28DF" w:rsidP="00FA21C3">
            <w:pPr>
              <w:jc w:val="center"/>
              <w:rPr>
                <w:rFonts w:ascii="Times New Roman" w:hAnsi="Times New Roman" w:cs="Times New Roman"/>
                <w:b/>
                <w:sz w:val="24"/>
                <w:szCs w:val="24"/>
              </w:rPr>
            </w:pPr>
          </w:p>
        </w:tc>
        <w:tc>
          <w:tcPr>
            <w:tcW w:w="1350" w:type="dxa"/>
            <w:tcBorders>
              <w:top w:val="single" w:sz="4" w:space="0" w:color="auto"/>
            </w:tcBorders>
            <w:vAlign w:val="center"/>
          </w:tcPr>
          <w:p w:rsidR="004F28DF" w:rsidRPr="003C3082" w:rsidRDefault="004F28DF" w:rsidP="00FA21C3">
            <w:pPr>
              <w:jc w:val="center"/>
              <w:rPr>
                <w:rFonts w:ascii="Times New Roman" w:hAnsi="Times New Roman" w:cs="Times New Roman"/>
                <w:sz w:val="24"/>
                <w:szCs w:val="24"/>
              </w:rPr>
            </w:pPr>
            <w:r w:rsidRPr="003C3082">
              <w:rPr>
                <w:rFonts w:ascii="Times New Roman" w:hAnsi="Times New Roman" w:cs="Times New Roman"/>
                <w:sz w:val="24"/>
                <w:szCs w:val="24"/>
              </w:rPr>
              <w:t xml:space="preserve">25 </w:t>
            </w:r>
            <w:r w:rsidRPr="003C3082">
              <w:rPr>
                <w:rFonts w:ascii="Times New Roman" w:hAnsi="Times New Roman" w:cs="Times New Roman"/>
                <w:bCs/>
                <w:sz w:val="24"/>
                <w:szCs w:val="24"/>
              </w:rPr>
              <w:t>(</w:t>
            </w:r>
            <w:r w:rsidRPr="003C3082">
              <w:rPr>
                <w:rFonts w:ascii="Times New Roman" w:hAnsi="Times New Roman" w:cs="Times New Roman"/>
                <w:sz w:val="24"/>
                <w:szCs w:val="24"/>
              </w:rPr>
              <w:t>µg/ml</w:t>
            </w:r>
            <w:r w:rsidRPr="003C3082">
              <w:rPr>
                <w:rFonts w:ascii="Times New Roman" w:hAnsi="Times New Roman" w:cs="Times New Roman"/>
                <w:bCs/>
                <w:sz w:val="24"/>
                <w:szCs w:val="24"/>
              </w:rPr>
              <w:t>)</w:t>
            </w:r>
          </w:p>
        </w:tc>
        <w:tc>
          <w:tcPr>
            <w:tcW w:w="1350" w:type="dxa"/>
            <w:tcBorders>
              <w:top w:val="single" w:sz="4" w:space="0" w:color="auto"/>
            </w:tcBorders>
            <w:vAlign w:val="center"/>
          </w:tcPr>
          <w:p w:rsidR="004F28DF" w:rsidRPr="003C3082" w:rsidRDefault="004F28DF" w:rsidP="00FA21C3">
            <w:pPr>
              <w:jc w:val="center"/>
              <w:rPr>
                <w:rFonts w:ascii="Times New Roman" w:hAnsi="Times New Roman" w:cs="Times New Roman"/>
                <w:sz w:val="24"/>
                <w:szCs w:val="24"/>
              </w:rPr>
            </w:pPr>
            <w:r w:rsidRPr="003C3082">
              <w:rPr>
                <w:rFonts w:ascii="Times New Roman" w:hAnsi="Times New Roman" w:cs="Times New Roman"/>
                <w:sz w:val="24"/>
                <w:szCs w:val="24"/>
              </w:rPr>
              <w:t xml:space="preserve">50 </w:t>
            </w:r>
            <w:r w:rsidRPr="003C3082">
              <w:rPr>
                <w:rFonts w:ascii="Times New Roman" w:hAnsi="Times New Roman" w:cs="Times New Roman"/>
                <w:bCs/>
                <w:sz w:val="24"/>
                <w:szCs w:val="24"/>
              </w:rPr>
              <w:t>(</w:t>
            </w:r>
            <w:r w:rsidRPr="003C3082">
              <w:rPr>
                <w:rFonts w:ascii="Times New Roman" w:hAnsi="Times New Roman" w:cs="Times New Roman"/>
                <w:sz w:val="24"/>
                <w:szCs w:val="24"/>
              </w:rPr>
              <w:t>µg/ml</w:t>
            </w:r>
            <w:r w:rsidRPr="003C3082">
              <w:rPr>
                <w:rFonts w:ascii="Times New Roman" w:hAnsi="Times New Roman" w:cs="Times New Roman"/>
                <w:bCs/>
                <w:sz w:val="24"/>
                <w:szCs w:val="24"/>
              </w:rPr>
              <w:t>)</w:t>
            </w:r>
          </w:p>
        </w:tc>
        <w:tc>
          <w:tcPr>
            <w:tcW w:w="1440" w:type="dxa"/>
            <w:tcBorders>
              <w:top w:val="single" w:sz="4" w:space="0" w:color="auto"/>
              <w:bottom w:val="single" w:sz="4" w:space="0" w:color="auto"/>
              <w:right w:val="single" w:sz="4" w:space="0" w:color="auto"/>
            </w:tcBorders>
            <w:vAlign w:val="center"/>
          </w:tcPr>
          <w:p w:rsidR="004F28DF" w:rsidRPr="003C3082" w:rsidRDefault="004F28DF" w:rsidP="00FA21C3">
            <w:pPr>
              <w:jc w:val="center"/>
              <w:rPr>
                <w:rFonts w:ascii="Times New Roman" w:hAnsi="Times New Roman" w:cs="Times New Roman"/>
                <w:sz w:val="24"/>
                <w:szCs w:val="24"/>
              </w:rPr>
            </w:pPr>
            <w:r w:rsidRPr="003C3082">
              <w:rPr>
                <w:rFonts w:ascii="Times New Roman" w:hAnsi="Times New Roman" w:cs="Times New Roman"/>
                <w:sz w:val="24"/>
                <w:szCs w:val="24"/>
              </w:rPr>
              <w:t xml:space="preserve">100 </w:t>
            </w:r>
            <w:r w:rsidRPr="003C3082">
              <w:rPr>
                <w:rFonts w:ascii="Times New Roman" w:hAnsi="Times New Roman" w:cs="Times New Roman"/>
                <w:bCs/>
                <w:sz w:val="24"/>
                <w:szCs w:val="24"/>
              </w:rPr>
              <w:t>(</w:t>
            </w:r>
            <w:r w:rsidRPr="003C3082">
              <w:rPr>
                <w:rFonts w:ascii="Times New Roman" w:hAnsi="Times New Roman" w:cs="Times New Roman"/>
                <w:sz w:val="24"/>
                <w:szCs w:val="24"/>
              </w:rPr>
              <w:t>µg/ml</w:t>
            </w:r>
            <w:r w:rsidRPr="003C3082">
              <w:rPr>
                <w:rFonts w:ascii="Times New Roman" w:hAnsi="Times New Roman" w:cs="Times New Roman"/>
                <w:bCs/>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4F28DF" w:rsidRPr="003C3082" w:rsidRDefault="004F28DF" w:rsidP="00FA21C3">
            <w:pPr>
              <w:jc w:val="center"/>
              <w:rPr>
                <w:rFonts w:ascii="Times New Roman" w:hAnsi="Times New Roman" w:cs="Times New Roman"/>
                <w:sz w:val="24"/>
                <w:szCs w:val="24"/>
              </w:rPr>
            </w:pPr>
            <w:r w:rsidRPr="003C3082">
              <w:rPr>
                <w:rFonts w:ascii="Times New Roman" w:hAnsi="Times New Roman" w:cs="Times New Roman"/>
                <w:sz w:val="24"/>
                <w:szCs w:val="24"/>
              </w:rPr>
              <w:t xml:space="preserve">200 </w:t>
            </w:r>
            <w:r w:rsidRPr="003C3082">
              <w:rPr>
                <w:rFonts w:ascii="Times New Roman" w:hAnsi="Times New Roman" w:cs="Times New Roman"/>
                <w:bCs/>
                <w:sz w:val="24"/>
                <w:szCs w:val="24"/>
              </w:rPr>
              <w:t>(</w:t>
            </w:r>
            <w:r w:rsidRPr="003C3082">
              <w:rPr>
                <w:rFonts w:ascii="Times New Roman" w:hAnsi="Times New Roman" w:cs="Times New Roman"/>
                <w:sz w:val="24"/>
                <w:szCs w:val="24"/>
              </w:rPr>
              <w:t>µg/ml</w:t>
            </w:r>
            <w:r w:rsidRPr="003C3082">
              <w:rPr>
                <w:rFonts w:ascii="Times New Roman" w:hAnsi="Times New Roman" w:cs="Times New Roman"/>
                <w:bCs/>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4F28DF" w:rsidRPr="003C3082" w:rsidRDefault="004F28DF" w:rsidP="00FA21C3">
            <w:pPr>
              <w:jc w:val="center"/>
              <w:rPr>
                <w:rFonts w:ascii="Times New Roman" w:hAnsi="Times New Roman" w:cs="Times New Roman"/>
                <w:sz w:val="24"/>
                <w:szCs w:val="24"/>
              </w:rPr>
            </w:pPr>
            <w:r w:rsidRPr="003C3082">
              <w:rPr>
                <w:rFonts w:ascii="Times New Roman" w:hAnsi="Times New Roman" w:cs="Times New Roman"/>
                <w:sz w:val="24"/>
                <w:szCs w:val="24"/>
              </w:rPr>
              <w:t>Mean</w:t>
            </w:r>
          </w:p>
        </w:tc>
      </w:tr>
      <w:tr w:rsidR="004F28DF" w:rsidTr="00FA21C3">
        <w:trPr>
          <w:trHeight w:val="510"/>
        </w:trPr>
        <w:tc>
          <w:tcPr>
            <w:tcW w:w="2628" w:type="dxa"/>
            <w:vAlign w:val="center"/>
          </w:tcPr>
          <w:p w:rsidR="004F28DF" w:rsidRPr="003C3082" w:rsidRDefault="009D103E" w:rsidP="00FA21C3">
            <w:pPr>
              <w:jc w:val="center"/>
              <w:rPr>
                <w:rFonts w:ascii="Times New Roman" w:hAnsi="Times New Roman" w:cs="Times New Roman"/>
                <w:sz w:val="24"/>
                <w:szCs w:val="24"/>
              </w:rPr>
            </w:pPr>
            <w:r w:rsidRPr="009D103E">
              <w:rPr>
                <w:rFonts w:ascii="Times New Roman" w:hAnsi="Times New Roman" w:cs="Times New Roman"/>
                <w:i/>
                <w:sz w:val="24"/>
                <w:szCs w:val="24"/>
              </w:rPr>
              <w:t xml:space="preserve">A. </w:t>
            </w:r>
            <w:proofErr w:type="spellStart"/>
            <w:r w:rsidRPr="009D103E">
              <w:rPr>
                <w:rFonts w:ascii="Times New Roman" w:hAnsi="Times New Roman" w:cs="Times New Roman"/>
                <w:i/>
                <w:sz w:val="24"/>
                <w:szCs w:val="24"/>
              </w:rPr>
              <w:t>absinthium</w:t>
            </w:r>
            <w:proofErr w:type="spellEnd"/>
            <w:r w:rsidRPr="009D103E">
              <w:rPr>
                <w:rFonts w:ascii="Times New Roman" w:hAnsi="Times New Roman" w:cs="Times New Roman"/>
                <w:i/>
                <w:sz w:val="24"/>
                <w:szCs w:val="24"/>
              </w:rPr>
              <w:t xml:space="preserve"> </w:t>
            </w:r>
          </w:p>
        </w:tc>
        <w:tc>
          <w:tcPr>
            <w:tcW w:w="1350" w:type="dxa"/>
            <w:tcBorders>
              <w:bottom w:val="single" w:sz="4" w:space="0" w:color="auto"/>
            </w:tcBorders>
            <w:vAlign w:val="center"/>
          </w:tcPr>
          <w:p w:rsidR="004F28DF" w:rsidRPr="003C3082" w:rsidRDefault="004F28DF" w:rsidP="00FA21C3">
            <w:pPr>
              <w:jc w:val="center"/>
              <w:rPr>
                <w:rFonts w:ascii="Times New Roman" w:hAnsi="Times New Roman" w:cs="Times New Roman"/>
                <w:sz w:val="24"/>
                <w:szCs w:val="24"/>
              </w:rPr>
            </w:pPr>
            <w:r w:rsidRPr="003C3082">
              <w:rPr>
                <w:rFonts w:ascii="Times New Roman" w:hAnsi="Times New Roman" w:cs="Times New Roman"/>
                <w:sz w:val="24"/>
                <w:szCs w:val="24"/>
              </w:rPr>
              <w:t>25.12</w:t>
            </w:r>
          </w:p>
        </w:tc>
        <w:tc>
          <w:tcPr>
            <w:tcW w:w="1350" w:type="dxa"/>
            <w:tcBorders>
              <w:bottom w:val="single" w:sz="4" w:space="0" w:color="auto"/>
            </w:tcBorders>
            <w:vAlign w:val="center"/>
          </w:tcPr>
          <w:p w:rsidR="004F28DF" w:rsidRPr="003C3082" w:rsidRDefault="004F28DF" w:rsidP="00FA21C3">
            <w:pPr>
              <w:jc w:val="center"/>
              <w:rPr>
                <w:rFonts w:ascii="Times New Roman" w:hAnsi="Times New Roman" w:cs="Times New Roman"/>
                <w:sz w:val="24"/>
                <w:szCs w:val="24"/>
              </w:rPr>
            </w:pPr>
            <w:r w:rsidRPr="003C3082">
              <w:rPr>
                <w:rFonts w:ascii="Times New Roman" w:hAnsi="Times New Roman" w:cs="Times New Roman"/>
                <w:sz w:val="24"/>
                <w:szCs w:val="24"/>
              </w:rPr>
              <w:t>45.34</w:t>
            </w:r>
          </w:p>
        </w:tc>
        <w:tc>
          <w:tcPr>
            <w:tcW w:w="1440" w:type="dxa"/>
            <w:tcBorders>
              <w:bottom w:val="single" w:sz="4" w:space="0" w:color="auto"/>
              <w:right w:val="single" w:sz="4" w:space="0" w:color="auto"/>
            </w:tcBorders>
            <w:vAlign w:val="center"/>
          </w:tcPr>
          <w:p w:rsidR="004F28DF" w:rsidRPr="003C3082" w:rsidRDefault="004F28DF" w:rsidP="00FA21C3">
            <w:pPr>
              <w:jc w:val="center"/>
              <w:rPr>
                <w:rFonts w:ascii="Times New Roman" w:hAnsi="Times New Roman" w:cs="Times New Roman"/>
                <w:sz w:val="24"/>
                <w:szCs w:val="24"/>
              </w:rPr>
            </w:pPr>
            <w:r w:rsidRPr="003C3082">
              <w:rPr>
                <w:rFonts w:ascii="Times New Roman" w:hAnsi="Times New Roman" w:cs="Times New Roman"/>
                <w:sz w:val="24"/>
                <w:szCs w:val="24"/>
              </w:rPr>
              <w:t>86.50</w:t>
            </w:r>
          </w:p>
        </w:tc>
        <w:tc>
          <w:tcPr>
            <w:tcW w:w="1440" w:type="dxa"/>
            <w:tcBorders>
              <w:left w:val="single" w:sz="4" w:space="0" w:color="auto"/>
              <w:bottom w:val="single" w:sz="4" w:space="0" w:color="auto"/>
              <w:right w:val="single" w:sz="4" w:space="0" w:color="auto"/>
            </w:tcBorders>
            <w:vAlign w:val="center"/>
          </w:tcPr>
          <w:p w:rsidR="004F28DF" w:rsidRPr="003C3082" w:rsidRDefault="0000306F" w:rsidP="00FA21C3">
            <w:pPr>
              <w:jc w:val="center"/>
              <w:rPr>
                <w:rFonts w:ascii="Times New Roman" w:hAnsi="Times New Roman" w:cs="Times New Roman"/>
                <w:sz w:val="24"/>
                <w:szCs w:val="24"/>
              </w:rPr>
            </w:pPr>
            <w:r>
              <w:rPr>
                <w:rFonts w:ascii="Times New Roman" w:hAnsi="Times New Roman" w:cs="Times New Roman"/>
                <w:sz w:val="24"/>
                <w:szCs w:val="24"/>
              </w:rPr>
              <w:t>96</w:t>
            </w:r>
            <w:r w:rsidR="004F28DF" w:rsidRPr="003C3082">
              <w:rPr>
                <w:rFonts w:ascii="Times New Roman" w:hAnsi="Times New Roman" w:cs="Times New Roman"/>
                <w:sz w:val="24"/>
                <w:szCs w:val="24"/>
              </w:rPr>
              <w:t>.67</w:t>
            </w:r>
          </w:p>
        </w:tc>
        <w:tc>
          <w:tcPr>
            <w:tcW w:w="1620" w:type="dxa"/>
            <w:tcBorders>
              <w:left w:val="single" w:sz="4" w:space="0" w:color="auto"/>
              <w:bottom w:val="single" w:sz="4" w:space="0" w:color="auto"/>
              <w:right w:val="single" w:sz="4" w:space="0" w:color="auto"/>
            </w:tcBorders>
            <w:vAlign w:val="center"/>
          </w:tcPr>
          <w:p w:rsidR="004F28DF" w:rsidRPr="003C3082" w:rsidRDefault="0000306F" w:rsidP="00FA21C3">
            <w:pPr>
              <w:jc w:val="center"/>
              <w:rPr>
                <w:rFonts w:ascii="Times New Roman" w:hAnsi="Times New Roman" w:cs="Times New Roman"/>
                <w:sz w:val="24"/>
                <w:szCs w:val="24"/>
              </w:rPr>
            </w:pPr>
            <w:r>
              <w:rPr>
                <w:rFonts w:ascii="Times New Roman" w:hAnsi="Times New Roman" w:cs="Times New Roman"/>
                <w:sz w:val="24"/>
                <w:szCs w:val="24"/>
              </w:rPr>
              <w:t>63</w:t>
            </w:r>
            <w:r w:rsidR="004F28DF" w:rsidRPr="003C3082">
              <w:rPr>
                <w:rFonts w:ascii="Times New Roman" w:hAnsi="Times New Roman" w:cs="Times New Roman"/>
                <w:sz w:val="24"/>
                <w:szCs w:val="24"/>
              </w:rPr>
              <w:t>.40</w:t>
            </w:r>
          </w:p>
        </w:tc>
      </w:tr>
      <w:tr w:rsidR="004F28DF" w:rsidTr="00FA21C3">
        <w:trPr>
          <w:trHeight w:val="365"/>
        </w:trPr>
        <w:tc>
          <w:tcPr>
            <w:tcW w:w="2628" w:type="dxa"/>
            <w:vAlign w:val="center"/>
          </w:tcPr>
          <w:p w:rsidR="004F28DF" w:rsidRPr="003C3082" w:rsidRDefault="00B07655" w:rsidP="00FA21C3">
            <w:pPr>
              <w:jc w:val="center"/>
              <w:rPr>
                <w:rFonts w:ascii="Times New Roman" w:hAnsi="Times New Roman" w:cs="Times New Roman"/>
                <w:sz w:val="24"/>
                <w:szCs w:val="24"/>
              </w:rPr>
            </w:pPr>
            <w:r w:rsidRPr="00B07655">
              <w:rPr>
                <w:rFonts w:ascii="Times New Roman" w:hAnsi="Times New Roman" w:cs="Times New Roman"/>
                <w:i/>
                <w:sz w:val="24"/>
                <w:szCs w:val="24"/>
              </w:rPr>
              <w:t>A. calamus</w:t>
            </w:r>
          </w:p>
        </w:tc>
        <w:tc>
          <w:tcPr>
            <w:tcW w:w="1350" w:type="dxa"/>
            <w:tcBorders>
              <w:bottom w:val="single" w:sz="4" w:space="0" w:color="auto"/>
            </w:tcBorders>
            <w:vAlign w:val="center"/>
          </w:tcPr>
          <w:p w:rsidR="004F28DF" w:rsidRPr="003C3082" w:rsidRDefault="004F28DF" w:rsidP="00FA21C3">
            <w:pPr>
              <w:jc w:val="center"/>
              <w:rPr>
                <w:rFonts w:ascii="Times New Roman" w:hAnsi="Times New Roman" w:cs="Times New Roman"/>
                <w:sz w:val="24"/>
                <w:szCs w:val="24"/>
              </w:rPr>
            </w:pPr>
            <w:r w:rsidRPr="003C3082">
              <w:rPr>
                <w:rFonts w:ascii="Times New Roman" w:hAnsi="Times New Roman" w:cs="Times New Roman"/>
                <w:sz w:val="24"/>
                <w:szCs w:val="24"/>
              </w:rPr>
              <w:t>12.21</w:t>
            </w:r>
          </w:p>
        </w:tc>
        <w:tc>
          <w:tcPr>
            <w:tcW w:w="1350" w:type="dxa"/>
            <w:tcBorders>
              <w:bottom w:val="single" w:sz="4" w:space="0" w:color="auto"/>
            </w:tcBorders>
            <w:vAlign w:val="center"/>
          </w:tcPr>
          <w:p w:rsidR="004F28DF" w:rsidRPr="003C3082" w:rsidRDefault="004F28DF" w:rsidP="00FA21C3">
            <w:pPr>
              <w:jc w:val="center"/>
              <w:rPr>
                <w:rFonts w:ascii="Times New Roman" w:hAnsi="Times New Roman" w:cs="Times New Roman"/>
                <w:sz w:val="24"/>
                <w:szCs w:val="24"/>
              </w:rPr>
            </w:pPr>
            <w:r w:rsidRPr="003C3082">
              <w:rPr>
                <w:rFonts w:ascii="Times New Roman" w:hAnsi="Times New Roman" w:cs="Times New Roman"/>
                <w:sz w:val="24"/>
                <w:szCs w:val="24"/>
              </w:rPr>
              <w:t>23.36</w:t>
            </w:r>
          </w:p>
        </w:tc>
        <w:tc>
          <w:tcPr>
            <w:tcW w:w="1440" w:type="dxa"/>
            <w:tcBorders>
              <w:bottom w:val="single" w:sz="4" w:space="0" w:color="auto"/>
              <w:right w:val="single" w:sz="4" w:space="0" w:color="auto"/>
            </w:tcBorders>
            <w:vAlign w:val="center"/>
          </w:tcPr>
          <w:p w:rsidR="004F28DF" w:rsidRPr="003C3082" w:rsidRDefault="004F28DF" w:rsidP="00FA21C3">
            <w:pPr>
              <w:jc w:val="center"/>
              <w:rPr>
                <w:rFonts w:ascii="Times New Roman" w:hAnsi="Times New Roman" w:cs="Times New Roman"/>
                <w:sz w:val="24"/>
                <w:szCs w:val="24"/>
              </w:rPr>
            </w:pPr>
            <w:r w:rsidRPr="003C3082">
              <w:rPr>
                <w:rFonts w:ascii="Times New Roman" w:hAnsi="Times New Roman" w:cs="Times New Roman"/>
                <w:sz w:val="24"/>
                <w:szCs w:val="24"/>
              </w:rPr>
              <w:t>40.30</w:t>
            </w:r>
          </w:p>
        </w:tc>
        <w:tc>
          <w:tcPr>
            <w:tcW w:w="1440" w:type="dxa"/>
            <w:tcBorders>
              <w:left w:val="single" w:sz="4" w:space="0" w:color="auto"/>
              <w:bottom w:val="single" w:sz="4" w:space="0" w:color="auto"/>
              <w:right w:val="single" w:sz="4" w:space="0" w:color="auto"/>
            </w:tcBorders>
            <w:vAlign w:val="center"/>
          </w:tcPr>
          <w:p w:rsidR="004F28DF" w:rsidRPr="003C3082" w:rsidRDefault="004F28DF" w:rsidP="00FA21C3">
            <w:pPr>
              <w:jc w:val="center"/>
              <w:rPr>
                <w:rFonts w:ascii="Times New Roman" w:hAnsi="Times New Roman" w:cs="Times New Roman"/>
                <w:sz w:val="24"/>
                <w:szCs w:val="24"/>
              </w:rPr>
            </w:pPr>
            <w:r w:rsidRPr="003C3082">
              <w:rPr>
                <w:rFonts w:ascii="Times New Roman" w:hAnsi="Times New Roman" w:cs="Times New Roman"/>
                <w:sz w:val="24"/>
                <w:szCs w:val="24"/>
              </w:rPr>
              <w:t>78.93</w:t>
            </w:r>
          </w:p>
        </w:tc>
        <w:tc>
          <w:tcPr>
            <w:tcW w:w="1620" w:type="dxa"/>
            <w:tcBorders>
              <w:left w:val="single" w:sz="4" w:space="0" w:color="auto"/>
              <w:bottom w:val="single" w:sz="4" w:space="0" w:color="auto"/>
              <w:right w:val="single" w:sz="4" w:space="0" w:color="auto"/>
            </w:tcBorders>
            <w:vAlign w:val="center"/>
          </w:tcPr>
          <w:p w:rsidR="004F28DF" w:rsidRPr="003C3082" w:rsidRDefault="004F28DF" w:rsidP="00FA21C3">
            <w:pPr>
              <w:jc w:val="center"/>
              <w:rPr>
                <w:rFonts w:ascii="Times New Roman" w:hAnsi="Times New Roman" w:cs="Times New Roman"/>
                <w:sz w:val="24"/>
                <w:szCs w:val="24"/>
              </w:rPr>
            </w:pPr>
            <w:r w:rsidRPr="003C3082">
              <w:rPr>
                <w:rFonts w:ascii="Times New Roman" w:hAnsi="Times New Roman" w:cs="Times New Roman"/>
                <w:sz w:val="24"/>
                <w:szCs w:val="24"/>
              </w:rPr>
              <w:t>38.7</w:t>
            </w:r>
          </w:p>
        </w:tc>
      </w:tr>
    </w:tbl>
    <w:p w:rsidR="004F28DF" w:rsidRDefault="004F28DF" w:rsidP="004F28DF">
      <w:pPr>
        <w:pStyle w:val="PlainText"/>
        <w:widowControl w:val="0"/>
        <w:tabs>
          <w:tab w:val="left" w:pos="709"/>
        </w:tabs>
        <w:spacing w:line="276" w:lineRule="auto"/>
        <w:jc w:val="both"/>
        <w:rPr>
          <w:rFonts w:ascii="Times New Roman" w:eastAsia="Calibri" w:hAnsi="Times New Roman" w:cs="Times New Roman"/>
          <w:bCs/>
          <w:sz w:val="20"/>
          <w:szCs w:val="20"/>
        </w:rPr>
      </w:pPr>
    </w:p>
    <w:p w:rsidR="009F68D7" w:rsidRDefault="009F68D7" w:rsidP="00987FC6"/>
    <w:p w:rsidR="004F28DF" w:rsidRDefault="004F28DF" w:rsidP="004F28DF"/>
    <w:p w:rsidR="004F28DF" w:rsidRDefault="003C3082" w:rsidP="004F28DF">
      <w:r>
        <w:rPr>
          <w:noProof/>
        </w:rPr>
        <w:drawing>
          <wp:inline distT="0" distB="0" distL="0" distR="0">
            <wp:extent cx="5915924" cy="3200400"/>
            <wp:effectExtent l="19050" t="0" r="27676"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3082" w:rsidRDefault="003C3082" w:rsidP="00617D5C">
      <w:pPr>
        <w:pStyle w:val="BodyText"/>
        <w:spacing w:before="183" w:line="276" w:lineRule="auto"/>
        <w:ind w:left="0"/>
        <w:jc w:val="both"/>
        <w:rPr>
          <w:bCs/>
        </w:rPr>
      </w:pPr>
      <w:r w:rsidRPr="00617D5C">
        <w:rPr>
          <w:b/>
        </w:rPr>
        <w:t>Figure 2:</w:t>
      </w:r>
      <w:r>
        <w:t xml:space="preserve"> Graphical representation of </w:t>
      </w:r>
      <w:r>
        <w:rPr>
          <w:bCs/>
        </w:rPr>
        <w:t xml:space="preserve">DPPH radial scavenging activity </w:t>
      </w:r>
      <w:r>
        <w:t xml:space="preserve">content of </w:t>
      </w:r>
      <w:r>
        <w:rPr>
          <w:bCs/>
        </w:rPr>
        <w:t xml:space="preserve">sample extracts of </w:t>
      </w:r>
      <w:r w:rsidR="009D103E" w:rsidRPr="009D103E">
        <w:rPr>
          <w:bCs/>
          <w:i/>
        </w:rPr>
        <w:t xml:space="preserve">A. </w:t>
      </w:r>
      <w:proofErr w:type="spellStart"/>
      <w:r w:rsidR="009D103E" w:rsidRPr="009D103E">
        <w:rPr>
          <w:bCs/>
          <w:i/>
        </w:rPr>
        <w:t>absinthium</w:t>
      </w:r>
      <w:proofErr w:type="spellEnd"/>
      <w:r w:rsidR="009D103E" w:rsidRPr="009D103E">
        <w:rPr>
          <w:bCs/>
          <w:i/>
        </w:rPr>
        <w:t xml:space="preserve"> </w:t>
      </w:r>
      <w:r>
        <w:rPr>
          <w:bCs/>
        </w:rPr>
        <w:t xml:space="preserve">and </w:t>
      </w:r>
      <w:r w:rsidR="00B07655" w:rsidRPr="00B07655">
        <w:rPr>
          <w:bCs/>
          <w:i/>
        </w:rPr>
        <w:t>A. calamus</w:t>
      </w:r>
      <w:r>
        <w:rPr>
          <w:bCs/>
        </w:rPr>
        <w:t>. (</w:t>
      </w:r>
      <w:r>
        <w:t>%</w:t>
      </w:r>
      <w:r>
        <w:rPr>
          <w:bCs/>
        </w:rPr>
        <w:t>)</w:t>
      </w:r>
    </w:p>
    <w:p w:rsidR="00353419" w:rsidRPr="008B4C5F" w:rsidRDefault="00EC08D5" w:rsidP="00353419">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4. </w:t>
      </w:r>
      <w:r w:rsidRPr="008B4C5F">
        <w:rPr>
          <w:rFonts w:ascii="Times New Roman" w:hAnsi="Times New Roman" w:cs="Times New Roman"/>
          <w:b/>
          <w:sz w:val="24"/>
          <w:szCs w:val="24"/>
        </w:rPr>
        <w:t>CONCLUSION</w:t>
      </w:r>
    </w:p>
    <w:p w:rsidR="00353419" w:rsidRPr="008B4C5F" w:rsidRDefault="00353419" w:rsidP="00353419">
      <w:pPr>
        <w:jc w:val="both"/>
        <w:rPr>
          <w:rFonts w:ascii="Times New Roman" w:hAnsi="Times New Roman" w:cs="Times New Roman"/>
          <w:sz w:val="24"/>
          <w:szCs w:val="24"/>
        </w:rPr>
      </w:pPr>
      <w:r w:rsidRPr="008B4C5F">
        <w:rPr>
          <w:rFonts w:ascii="Times New Roman" w:hAnsi="Times New Roman" w:cs="Times New Roman"/>
          <w:sz w:val="24"/>
          <w:szCs w:val="24"/>
        </w:rPr>
        <w:t>The comparative phytochemical and antioxidant pro</w:t>
      </w:r>
      <w:r>
        <w:rPr>
          <w:rFonts w:ascii="Times New Roman" w:hAnsi="Times New Roman" w:cs="Times New Roman"/>
          <w:sz w:val="24"/>
          <w:szCs w:val="24"/>
        </w:rPr>
        <w:t xml:space="preserve">filing of </w:t>
      </w:r>
      <w:r w:rsidR="009D103E" w:rsidRPr="009D103E">
        <w:rPr>
          <w:rFonts w:ascii="Times New Roman" w:hAnsi="Times New Roman" w:cs="Times New Roman"/>
          <w:i/>
          <w:sz w:val="24"/>
          <w:szCs w:val="24"/>
        </w:rPr>
        <w:t xml:space="preserve">A. </w:t>
      </w:r>
      <w:proofErr w:type="spellStart"/>
      <w:r w:rsidR="009D103E" w:rsidRPr="009D103E">
        <w:rPr>
          <w:rFonts w:ascii="Times New Roman" w:hAnsi="Times New Roman" w:cs="Times New Roman"/>
          <w:i/>
          <w:sz w:val="24"/>
          <w:szCs w:val="24"/>
        </w:rPr>
        <w:t>absinthium</w:t>
      </w:r>
      <w:proofErr w:type="spellEnd"/>
      <w:r w:rsidR="009D103E" w:rsidRPr="009D103E">
        <w:rPr>
          <w:rFonts w:ascii="Times New Roman" w:hAnsi="Times New Roman" w:cs="Times New Roman"/>
          <w:i/>
          <w:sz w:val="24"/>
          <w:szCs w:val="24"/>
        </w:rPr>
        <w:t xml:space="preserve"> </w:t>
      </w:r>
      <w:r w:rsidR="00C902B4">
        <w:rPr>
          <w:rFonts w:ascii="Times New Roman" w:hAnsi="Times New Roman" w:cs="Times New Roman"/>
          <w:sz w:val="24"/>
          <w:szCs w:val="24"/>
        </w:rPr>
        <w:t>and</w:t>
      </w:r>
      <w:r>
        <w:rPr>
          <w:rFonts w:ascii="Times New Roman" w:hAnsi="Times New Roman" w:cs="Times New Roman"/>
          <w:sz w:val="24"/>
          <w:szCs w:val="24"/>
        </w:rPr>
        <w:t xml:space="preserve"> </w:t>
      </w:r>
      <w:r w:rsidR="00B07655" w:rsidRPr="00B07655">
        <w:rPr>
          <w:rFonts w:ascii="Times New Roman" w:hAnsi="Times New Roman" w:cs="Times New Roman"/>
          <w:i/>
          <w:sz w:val="24"/>
          <w:szCs w:val="24"/>
        </w:rPr>
        <w:t>A. calamus</w:t>
      </w:r>
      <w:r w:rsidRPr="008B4C5F">
        <w:rPr>
          <w:rFonts w:ascii="Times New Roman" w:hAnsi="Times New Roman" w:cs="Times New Roman"/>
          <w:sz w:val="24"/>
          <w:szCs w:val="24"/>
        </w:rPr>
        <w:t xml:space="preserve"> highlights a pronounced superiority of </w:t>
      </w:r>
      <w:r w:rsidR="009D103E" w:rsidRPr="009D103E">
        <w:rPr>
          <w:rFonts w:ascii="Times New Roman" w:hAnsi="Times New Roman" w:cs="Times New Roman"/>
          <w:i/>
          <w:sz w:val="24"/>
          <w:szCs w:val="24"/>
        </w:rPr>
        <w:t xml:space="preserve">A. </w:t>
      </w:r>
      <w:proofErr w:type="spellStart"/>
      <w:r w:rsidR="009D103E" w:rsidRPr="009D103E">
        <w:rPr>
          <w:rFonts w:ascii="Times New Roman" w:hAnsi="Times New Roman" w:cs="Times New Roman"/>
          <w:i/>
          <w:sz w:val="24"/>
          <w:szCs w:val="24"/>
        </w:rPr>
        <w:t>absinthium</w:t>
      </w:r>
      <w:proofErr w:type="spellEnd"/>
      <w:r w:rsidR="009D103E" w:rsidRPr="009D103E">
        <w:rPr>
          <w:rFonts w:ascii="Times New Roman" w:hAnsi="Times New Roman" w:cs="Times New Roman"/>
          <w:i/>
          <w:sz w:val="24"/>
          <w:szCs w:val="24"/>
        </w:rPr>
        <w:t xml:space="preserve"> </w:t>
      </w:r>
      <w:r w:rsidR="00C902B4" w:rsidRPr="008B4C5F">
        <w:rPr>
          <w:rFonts w:ascii="Times New Roman" w:hAnsi="Times New Roman" w:cs="Times New Roman"/>
          <w:sz w:val="24"/>
          <w:szCs w:val="24"/>
        </w:rPr>
        <w:t>in</w:t>
      </w:r>
      <w:r w:rsidRPr="008B4C5F">
        <w:rPr>
          <w:rFonts w:ascii="Times New Roman" w:hAnsi="Times New Roman" w:cs="Times New Roman"/>
          <w:sz w:val="24"/>
          <w:szCs w:val="24"/>
        </w:rPr>
        <w:t xml:space="preserve"> terms of its total polyphenolic content, flavonoid concentration, and DPPH free radical scavenging activity. Specifically, </w:t>
      </w:r>
      <w:r w:rsidR="009D103E" w:rsidRPr="009D103E">
        <w:rPr>
          <w:rFonts w:ascii="Times New Roman" w:hAnsi="Times New Roman" w:cs="Times New Roman"/>
          <w:i/>
          <w:sz w:val="24"/>
          <w:szCs w:val="24"/>
        </w:rPr>
        <w:t xml:space="preserve">A. </w:t>
      </w:r>
      <w:proofErr w:type="spellStart"/>
      <w:proofErr w:type="gramStart"/>
      <w:r w:rsidR="009D103E" w:rsidRPr="009D103E">
        <w:rPr>
          <w:rFonts w:ascii="Times New Roman" w:hAnsi="Times New Roman" w:cs="Times New Roman"/>
          <w:i/>
          <w:sz w:val="24"/>
          <w:szCs w:val="24"/>
        </w:rPr>
        <w:t>absinthium</w:t>
      </w:r>
      <w:proofErr w:type="spellEnd"/>
      <w:r w:rsidR="009D103E" w:rsidRPr="009D103E">
        <w:rPr>
          <w:rFonts w:ascii="Times New Roman" w:hAnsi="Times New Roman" w:cs="Times New Roman"/>
          <w:i/>
          <w:sz w:val="24"/>
          <w:szCs w:val="24"/>
        </w:rPr>
        <w:t xml:space="preserve"> </w:t>
      </w:r>
      <w:r w:rsidRPr="008B4C5F">
        <w:rPr>
          <w:rFonts w:ascii="Times New Roman" w:hAnsi="Times New Roman" w:cs="Times New Roman"/>
          <w:sz w:val="24"/>
          <w:szCs w:val="24"/>
        </w:rPr>
        <w:t xml:space="preserve"> exhibited</w:t>
      </w:r>
      <w:proofErr w:type="gramEnd"/>
      <w:r w:rsidRPr="008B4C5F">
        <w:rPr>
          <w:rFonts w:ascii="Times New Roman" w:hAnsi="Times New Roman" w:cs="Times New Roman"/>
          <w:sz w:val="24"/>
          <w:szCs w:val="24"/>
        </w:rPr>
        <w:t xml:space="preserve"> significantly higher levels of polyphenols (128.4 mg GAE/g) and flavonoids (18 mg QE/g), along with potent antioxidant capacit</w:t>
      </w:r>
      <w:r w:rsidR="009865C9">
        <w:rPr>
          <w:rFonts w:ascii="Times New Roman" w:hAnsi="Times New Roman" w:cs="Times New Roman"/>
          <w:sz w:val="24"/>
          <w:szCs w:val="24"/>
        </w:rPr>
        <w:t>y (63</w:t>
      </w:r>
      <w:r>
        <w:rPr>
          <w:rFonts w:ascii="Times New Roman" w:hAnsi="Times New Roman" w:cs="Times New Roman"/>
          <w:sz w:val="24"/>
          <w:szCs w:val="24"/>
        </w:rPr>
        <w:t xml:space="preserve">.40%), compared to </w:t>
      </w:r>
      <w:r w:rsidR="00B07655" w:rsidRPr="00B07655">
        <w:rPr>
          <w:rFonts w:ascii="Times New Roman" w:hAnsi="Times New Roman" w:cs="Times New Roman"/>
          <w:i/>
          <w:sz w:val="24"/>
          <w:szCs w:val="24"/>
        </w:rPr>
        <w:t>A. calamus</w:t>
      </w:r>
      <w:r w:rsidRPr="008B4C5F">
        <w:rPr>
          <w:rFonts w:ascii="Times New Roman" w:hAnsi="Times New Roman" w:cs="Times New Roman"/>
          <w:sz w:val="24"/>
          <w:szCs w:val="24"/>
        </w:rPr>
        <w:t xml:space="preserve">, which recorded 12.02 mg GAE/g polyphenols, 5.65 mg QE/g flavonoids, and 38.7% DPPH activity. These biochemical markers are well-established indicators of antioxidant potential, suggesting that </w:t>
      </w:r>
      <w:r w:rsidR="009D103E" w:rsidRPr="009D103E">
        <w:rPr>
          <w:rFonts w:ascii="Times New Roman" w:hAnsi="Times New Roman" w:cs="Times New Roman"/>
          <w:i/>
          <w:sz w:val="24"/>
          <w:szCs w:val="24"/>
        </w:rPr>
        <w:t xml:space="preserve">A. </w:t>
      </w:r>
      <w:proofErr w:type="spellStart"/>
      <w:r w:rsidR="009D103E" w:rsidRPr="009D103E">
        <w:rPr>
          <w:rFonts w:ascii="Times New Roman" w:hAnsi="Times New Roman" w:cs="Times New Roman"/>
          <w:i/>
          <w:sz w:val="24"/>
          <w:szCs w:val="24"/>
        </w:rPr>
        <w:t>absinthium</w:t>
      </w:r>
      <w:proofErr w:type="spellEnd"/>
      <w:r w:rsidR="009D103E" w:rsidRPr="009D103E">
        <w:rPr>
          <w:rFonts w:ascii="Times New Roman" w:hAnsi="Times New Roman" w:cs="Times New Roman"/>
          <w:i/>
          <w:sz w:val="24"/>
          <w:szCs w:val="24"/>
        </w:rPr>
        <w:t xml:space="preserve"> </w:t>
      </w:r>
      <w:r w:rsidR="00C902B4" w:rsidRPr="008B4C5F">
        <w:rPr>
          <w:rFonts w:ascii="Times New Roman" w:hAnsi="Times New Roman" w:cs="Times New Roman"/>
          <w:sz w:val="24"/>
          <w:szCs w:val="24"/>
        </w:rPr>
        <w:t>holds</w:t>
      </w:r>
      <w:r w:rsidRPr="008B4C5F">
        <w:rPr>
          <w:rFonts w:ascii="Times New Roman" w:hAnsi="Times New Roman" w:cs="Times New Roman"/>
          <w:sz w:val="24"/>
          <w:szCs w:val="24"/>
        </w:rPr>
        <w:t xml:space="preserve"> greater promise as a source of natural antioxidants.</w:t>
      </w:r>
    </w:p>
    <w:p w:rsidR="00B903C7" w:rsidRPr="00353419" w:rsidRDefault="00353419" w:rsidP="00353419">
      <w:pPr>
        <w:jc w:val="both"/>
        <w:rPr>
          <w:rFonts w:ascii="Times New Roman" w:hAnsi="Times New Roman" w:cs="Times New Roman"/>
          <w:sz w:val="24"/>
          <w:szCs w:val="24"/>
        </w:rPr>
      </w:pPr>
      <w:r w:rsidRPr="008B4C5F">
        <w:rPr>
          <w:rFonts w:ascii="Times New Roman" w:hAnsi="Times New Roman" w:cs="Times New Roman"/>
          <w:sz w:val="24"/>
          <w:szCs w:val="24"/>
        </w:rPr>
        <w:t xml:space="preserve">The results are consistent with previous studies that have documented the rich bioactive profile of </w:t>
      </w:r>
      <w:r w:rsidR="009D103E" w:rsidRPr="009D103E">
        <w:rPr>
          <w:rFonts w:ascii="Times New Roman" w:hAnsi="Times New Roman" w:cs="Times New Roman"/>
          <w:i/>
          <w:sz w:val="24"/>
          <w:szCs w:val="24"/>
        </w:rPr>
        <w:t xml:space="preserve">A. </w:t>
      </w:r>
      <w:proofErr w:type="spellStart"/>
      <w:r w:rsidR="009D103E" w:rsidRPr="009D103E">
        <w:rPr>
          <w:rFonts w:ascii="Times New Roman" w:hAnsi="Times New Roman" w:cs="Times New Roman"/>
          <w:i/>
          <w:sz w:val="24"/>
          <w:szCs w:val="24"/>
        </w:rPr>
        <w:t>absinthium</w:t>
      </w:r>
      <w:proofErr w:type="spellEnd"/>
      <w:r w:rsidR="009D103E" w:rsidRPr="009D103E">
        <w:rPr>
          <w:rFonts w:ascii="Times New Roman" w:hAnsi="Times New Roman" w:cs="Times New Roman"/>
          <w:i/>
          <w:sz w:val="24"/>
          <w:szCs w:val="24"/>
        </w:rPr>
        <w:t xml:space="preserve"> </w:t>
      </w:r>
      <w:r w:rsidR="00C902B4" w:rsidRPr="008B4C5F">
        <w:rPr>
          <w:rFonts w:ascii="Times New Roman" w:hAnsi="Times New Roman" w:cs="Times New Roman"/>
          <w:sz w:val="24"/>
          <w:szCs w:val="24"/>
        </w:rPr>
        <w:t>species</w:t>
      </w:r>
      <w:r w:rsidRPr="008B4C5F">
        <w:rPr>
          <w:rFonts w:ascii="Times New Roman" w:hAnsi="Times New Roman" w:cs="Times New Roman"/>
          <w:sz w:val="24"/>
          <w:szCs w:val="24"/>
        </w:rPr>
        <w:t xml:space="preserve">, including their anti-inflammatory, antimicrobial, and anticancer </w:t>
      </w:r>
      <w:r w:rsidRPr="008B4C5F">
        <w:rPr>
          <w:rFonts w:ascii="Times New Roman" w:hAnsi="Times New Roman" w:cs="Times New Roman"/>
          <w:sz w:val="24"/>
          <w:szCs w:val="24"/>
        </w:rPr>
        <w:lastRenderedPageBreak/>
        <w:t xml:space="preserve">activities (Wang et al., 2020; </w:t>
      </w:r>
      <w:proofErr w:type="spellStart"/>
      <w:r w:rsidRPr="008B4C5F">
        <w:rPr>
          <w:rFonts w:ascii="Times New Roman" w:hAnsi="Times New Roman" w:cs="Times New Roman"/>
          <w:sz w:val="24"/>
          <w:szCs w:val="24"/>
        </w:rPr>
        <w:t>Tayarani-Najaran</w:t>
      </w:r>
      <w:proofErr w:type="spellEnd"/>
      <w:r w:rsidRPr="008B4C5F">
        <w:rPr>
          <w:rFonts w:ascii="Times New Roman" w:hAnsi="Times New Roman" w:cs="Times New Roman"/>
          <w:sz w:val="24"/>
          <w:szCs w:val="24"/>
        </w:rPr>
        <w:t xml:space="preserve"> et al., 2021)</w:t>
      </w:r>
      <w:r>
        <w:rPr>
          <w:rFonts w:ascii="Times New Roman" w:hAnsi="Times New Roman" w:cs="Times New Roman"/>
          <w:sz w:val="24"/>
          <w:szCs w:val="24"/>
        </w:rPr>
        <w:t xml:space="preserve">. In contrast, although </w:t>
      </w:r>
      <w:r w:rsidR="00B07655" w:rsidRPr="00B07655">
        <w:rPr>
          <w:rFonts w:ascii="Times New Roman" w:hAnsi="Times New Roman" w:cs="Times New Roman"/>
          <w:i/>
          <w:sz w:val="24"/>
          <w:szCs w:val="24"/>
        </w:rPr>
        <w:t>A. calamus</w:t>
      </w:r>
      <w:r w:rsidRPr="008B4C5F">
        <w:rPr>
          <w:rFonts w:ascii="Times New Roman" w:hAnsi="Times New Roman" w:cs="Times New Roman"/>
          <w:sz w:val="24"/>
          <w:szCs w:val="24"/>
        </w:rPr>
        <w:t xml:space="preserve"> has traditional medicinal relevance, particularly in Ayurvedic and traditional Chinese medicine, its comparatively lower antioxidant metrics may limit its efficacy in modern therapeutic or nutraceutical applications unless used in combination with other potent agents (Ahmed et al., 2022).</w:t>
      </w:r>
      <w:r>
        <w:rPr>
          <w:rFonts w:ascii="Times New Roman" w:hAnsi="Times New Roman" w:cs="Times New Roman"/>
          <w:sz w:val="24"/>
          <w:szCs w:val="24"/>
        </w:rPr>
        <w:t xml:space="preserve"> </w:t>
      </w:r>
      <w:r w:rsidRPr="008B4C5F">
        <w:rPr>
          <w:rFonts w:ascii="Times New Roman" w:hAnsi="Times New Roman" w:cs="Times New Roman"/>
          <w:sz w:val="24"/>
          <w:szCs w:val="24"/>
        </w:rPr>
        <w:t xml:space="preserve">In light of growing global interest in plant-based antioxidants for disease prevention and health promotion, </w:t>
      </w:r>
      <w:r w:rsidR="009D103E" w:rsidRPr="009D103E">
        <w:rPr>
          <w:rFonts w:ascii="Times New Roman" w:hAnsi="Times New Roman" w:cs="Times New Roman"/>
          <w:i/>
          <w:sz w:val="24"/>
          <w:szCs w:val="24"/>
        </w:rPr>
        <w:t xml:space="preserve">A. </w:t>
      </w:r>
      <w:proofErr w:type="spellStart"/>
      <w:r w:rsidR="009D103E" w:rsidRPr="009D103E">
        <w:rPr>
          <w:rFonts w:ascii="Times New Roman" w:hAnsi="Times New Roman" w:cs="Times New Roman"/>
          <w:i/>
          <w:sz w:val="24"/>
          <w:szCs w:val="24"/>
        </w:rPr>
        <w:t>absinthium</w:t>
      </w:r>
      <w:proofErr w:type="spellEnd"/>
      <w:r w:rsidR="009D103E" w:rsidRPr="009D103E">
        <w:rPr>
          <w:rFonts w:ascii="Times New Roman" w:hAnsi="Times New Roman" w:cs="Times New Roman"/>
          <w:i/>
          <w:sz w:val="24"/>
          <w:szCs w:val="24"/>
        </w:rPr>
        <w:t xml:space="preserve"> </w:t>
      </w:r>
      <w:r w:rsidRPr="008B4C5F">
        <w:rPr>
          <w:rFonts w:ascii="Times New Roman" w:hAnsi="Times New Roman" w:cs="Times New Roman"/>
          <w:sz w:val="24"/>
          <w:szCs w:val="24"/>
        </w:rPr>
        <w:t xml:space="preserve">may serve as a superior candidate for further development in pharmaceutical, cosmetic, and functional food industries. Future research should focus on isolating specific bioactive compounds from </w:t>
      </w:r>
      <w:r w:rsidR="007D7941" w:rsidRPr="009865C9">
        <w:rPr>
          <w:rFonts w:ascii="Times New Roman" w:hAnsi="Times New Roman" w:cs="Times New Roman"/>
          <w:i/>
          <w:sz w:val="24"/>
          <w:szCs w:val="24"/>
        </w:rPr>
        <w:t>A</w:t>
      </w:r>
      <w:r w:rsidR="009865C9" w:rsidRPr="009865C9">
        <w:rPr>
          <w:rFonts w:ascii="Times New Roman" w:hAnsi="Times New Roman" w:cs="Times New Roman"/>
          <w:i/>
          <w:sz w:val="24"/>
          <w:szCs w:val="24"/>
        </w:rPr>
        <w:t xml:space="preserve">. </w:t>
      </w:r>
      <w:proofErr w:type="spellStart"/>
      <w:r w:rsidR="009D103E" w:rsidRPr="009865C9">
        <w:rPr>
          <w:rFonts w:ascii="Times New Roman" w:hAnsi="Times New Roman" w:cs="Times New Roman"/>
          <w:i/>
          <w:sz w:val="24"/>
          <w:szCs w:val="24"/>
        </w:rPr>
        <w:t>absinthium</w:t>
      </w:r>
      <w:proofErr w:type="spellEnd"/>
      <w:r w:rsidR="009D103E">
        <w:rPr>
          <w:rFonts w:ascii="Times New Roman" w:hAnsi="Times New Roman" w:cs="Times New Roman"/>
          <w:sz w:val="24"/>
          <w:szCs w:val="24"/>
        </w:rPr>
        <w:t>,</w:t>
      </w:r>
      <w:r w:rsidRPr="008B4C5F">
        <w:rPr>
          <w:rFonts w:ascii="Times New Roman" w:hAnsi="Times New Roman" w:cs="Times New Roman"/>
          <w:sz w:val="24"/>
          <w:szCs w:val="24"/>
        </w:rPr>
        <w:t xml:space="preserve"> conducting in vivo studies, and exploring formulation-based applications for targeted therapeutic benefits.</w:t>
      </w:r>
    </w:p>
    <w:p w:rsidR="00B903C7" w:rsidRPr="00320E4D" w:rsidRDefault="00B903C7" w:rsidP="00B903C7">
      <w:pPr>
        <w:rPr>
          <w:rFonts w:ascii="Times New Roman" w:eastAsia="Calibri" w:hAnsi="Times New Roman" w:cs="Times New Roman"/>
          <w:b/>
          <w:kern w:val="2"/>
          <w:sz w:val="24"/>
          <w:szCs w:val="24"/>
        </w:rPr>
      </w:pPr>
      <w:r w:rsidRPr="00320E4D">
        <w:rPr>
          <w:rFonts w:ascii="Times New Roman" w:eastAsia="Calibri" w:hAnsi="Times New Roman" w:cs="Times New Roman"/>
          <w:b/>
          <w:kern w:val="2"/>
          <w:sz w:val="24"/>
          <w:szCs w:val="24"/>
        </w:rPr>
        <w:t>Disclaimer (Artificial intelligence)</w:t>
      </w:r>
    </w:p>
    <w:p w:rsidR="00B903C7" w:rsidRPr="00320E4D" w:rsidRDefault="00B903C7" w:rsidP="00B903C7">
      <w:pPr>
        <w:rPr>
          <w:rFonts w:ascii="Times New Roman" w:eastAsia="Calibri" w:hAnsi="Times New Roman" w:cs="Times New Roman"/>
          <w:kern w:val="2"/>
          <w:sz w:val="24"/>
          <w:szCs w:val="24"/>
        </w:rPr>
      </w:pPr>
      <w:r w:rsidRPr="00320E4D">
        <w:rPr>
          <w:rFonts w:ascii="Times New Roman" w:eastAsia="Calibri" w:hAnsi="Times New Roman" w:cs="Times New Roman"/>
          <w:kern w:val="2"/>
          <w:sz w:val="24"/>
          <w:szCs w:val="24"/>
        </w:rPr>
        <w:t xml:space="preserve">Option 1: </w:t>
      </w:r>
    </w:p>
    <w:p w:rsidR="00B903C7" w:rsidRPr="00320E4D" w:rsidRDefault="00B903C7" w:rsidP="00B903C7">
      <w:pPr>
        <w:rPr>
          <w:rFonts w:ascii="Times New Roman" w:eastAsia="Calibri" w:hAnsi="Times New Roman" w:cs="Times New Roman"/>
          <w:kern w:val="2"/>
          <w:sz w:val="24"/>
          <w:szCs w:val="24"/>
        </w:rPr>
      </w:pPr>
      <w:r w:rsidRPr="00320E4D">
        <w:rPr>
          <w:rFonts w:ascii="Times New Roman" w:eastAsia="Calibri" w:hAnsi="Times New Roman" w:cs="Times New Roman"/>
          <w:kern w:val="2"/>
          <w:sz w:val="24"/>
          <w:szCs w:val="24"/>
        </w:rPr>
        <w:t>Author(s) hereby declare that NO generative AI technologies such as Large Language Models (</w:t>
      </w:r>
      <w:proofErr w:type="spellStart"/>
      <w:r w:rsidRPr="00320E4D">
        <w:rPr>
          <w:rFonts w:ascii="Times New Roman" w:eastAsia="Calibri" w:hAnsi="Times New Roman" w:cs="Times New Roman"/>
          <w:kern w:val="2"/>
          <w:sz w:val="24"/>
          <w:szCs w:val="24"/>
        </w:rPr>
        <w:t>ChatGPT</w:t>
      </w:r>
      <w:proofErr w:type="spellEnd"/>
      <w:r w:rsidRPr="00320E4D">
        <w:rPr>
          <w:rFonts w:ascii="Times New Roman" w:eastAsia="Calibri" w:hAnsi="Times New Roman" w:cs="Times New Roman"/>
          <w:kern w:val="2"/>
          <w:sz w:val="24"/>
          <w:szCs w:val="24"/>
        </w:rPr>
        <w:t xml:space="preserve">, COPILOT, etc.) and text-to-image generators have been used during the writing or editing of this manuscript. </w:t>
      </w:r>
    </w:p>
    <w:p w:rsidR="00B903C7" w:rsidRPr="00B903C7" w:rsidRDefault="00B903C7" w:rsidP="00B903C7">
      <w:pPr>
        <w:rPr>
          <w:rFonts w:ascii="Calibri" w:eastAsia="Calibri" w:hAnsi="Calibri" w:cs="Times New Roman"/>
          <w:kern w:val="2"/>
          <w:highlight w:val="yellow"/>
        </w:rPr>
      </w:pPr>
      <w:r w:rsidRPr="00B903C7">
        <w:rPr>
          <w:rFonts w:ascii="Calibri" w:eastAsia="Calibri" w:hAnsi="Calibri" w:cs="Times New Roman"/>
          <w:kern w:val="2"/>
          <w:highlight w:val="yellow"/>
        </w:rPr>
        <w:t xml:space="preserve">Option 2: </w:t>
      </w:r>
    </w:p>
    <w:p w:rsidR="00B903C7" w:rsidRPr="00B903C7" w:rsidRDefault="00B903C7" w:rsidP="00B903C7">
      <w:pPr>
        <w:rPr>
          <w:rFonts w:ascii="Calibri" w:eastAsia="Calibri" w:hAnsi="Calibri" w:cs="Times New Roman"/>
          <w:kern w:val="2"/>
          <w:highlight w:val="yellow"/>
        </w:rPr>
      </w:pPr>
      <w:r w:rsidRPr="00B903C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903C7" w:rsidRPr="00B903C7" w:rsidRDefault="00B903C7" w:rsidP="00B903C7">
      <w:pPr>
        <w:rPr>
          <w:rFonts w:ascii="Calibri" w:eastAsia="Calibri" w:hAnsi="Calibri" w:cs="Times New Roman"/>
          <w:kern w:val="2"/>
          <w:highlight w:val="yellow"/>
        </w:rPr>
      </w:pPr>
      <w:r w:rsidRPr="00B903C7">
        <w:rPr>
          <w:rFonts w:ascii="Calibri" w:eastAsia="Calibri" w:hAnsi="Calibri" w:cs="Times New Roman"/>
          <w:kern w:val="2"/>
          <w:highlight w:val="yellow"/>
        </w:rPr>
        <w:t>Details of the AI usage are given below:</w:t>
      </w:r>
    </w:p>
    <w:p w:rsidR="00B903C7" w:rsidRPr="00B903C7" w:rsidRDefault="00B903C7" w:rsidP="00B903C7">
      <w:pPr>
        <w:rPr>
          <w:rFonts w:ascii="Calibri" w:eastAsia="Calibri" w:hAnsi="Calibri" w:cs="Times New Roman"/>
          <w:kern w:val="2"/>
          <w:highlight w:val="yellow"/>
        </w:rPr>
      </w:pPr>
      <w:r w:rsidRPr="00B903C7">
        <w:rPr>
          <w:rFonts w:ascii="Calibri" w:eastAsia="Calibri" w:hAnsi="Calibri" w:cs="Times New Roman"/>
          <w:kern w:val="2"/>
          <w:highlight w:val="yellow"/>
        </w:rPr>
        <w:t>1.</w:t>
      </w:r>
    </w:p>
    <w:p w:rsidR="00B903C7" w:rsidRPr="00B903C7" w:rsidRDefault="00B903C7" w:rsidP="00B903C7">
      <w:pPr>
        <w:rPr>
          <w:rFonts w:ascii="Calibri" w:eastAsia="Calibri" w:hAnsi="Calibri" w:cs="Times New Roman"/>
          <w:kern w:val="2"/>
          <w:highlight w:val="yellow"/>
        </w:rPr>
      </w:pPr>
      <w:r w:rsidRPr="00B903C7">
        <w:rPr>
          <w:rFonts w:ascii="Calibri" w:eastAsia="Calibri" w:hAnsi="Calibri" w:cs="Times New Roman"/>
          <w:kern w:val="2"/>
          <w:highlight w:val="yellow"/>
        </w:rPr>
        <w:t>2.</w:t>
      </w:r>
    </w:p>
    <w:p w:rsidR="00B903C7" w:rsidRPr="00320E4D" w:rsidRDefault="00B903C7" w:rsidP="00320E4D">
      <w:pPr>
        <w:rPr>
          <w:rFonts w:ascii="Calibri" w:eastAsia="Calibri" w:hAnsi="Calibri" w:cs="Times New Roman"/>
          <w:kern w:val="2"/>
        </w:rPr>
      </w:pPr>
      <w:r w:rsidRPr="00B903C7">
        <w:rPr>
          <w:rFonts w:ascii="Calibri" w:eastAsia="Calibri" w:hAnsi="Calibri" w:cs="Times New Roman"/>
          <w:kern w:val="2"/>
          <w:highlight w:val="yellow"/>
        </w:rPr>
        <w:t>3.</w:t>
      </w:r>
    </w:p>
    <w:p w:rsidR="00320E4D" w:rsidRPr="00320E4D" w:rsidRDefault="00320E4D" w:rsidP="00617D5C">
      <w:pPr>
        <w:rPr>
          <w:rFonts w:ascii="Times New Roman" w:hAnsi="Times New Roman" w:cs="Times New Roman"/>
          <w:b/>
          <w:sz w:val="24"/>
        </w:rPr>
      </w:pPr>
      <w:r w:rsidRPr="00320E4D">
        <w:rPr>
          <w:rFonts w:ascii="Times New Roman" w:hAnsi="Times New Roman" w:cs="Times New Roman"/>
          <w:b/>
          <w:sz w:val="24"/>
        </w:rPr>
        <w:t xml:space="preserve">COMPETING INTERESTS </w:t>
      </w:r>
    </w:p>
    <w:p w:rsidR="00320E4D" w:rsidRPr="00320E4D" w:rsidRDefault="00320E4D" w:rsidP="00617D5C">
      <w:pPr>
        <w:rPr>
          <w:rFonts w:ascii="Times New Roman" w:hAnsi="Times New Roman" w:cs="Times New Roman"/>
          <w:b/>
          <w:sz w:val="28"/>
        </w:rPr>
      </w:pPr>
      <w:r w:rsidRPr="00320E4D">
        <w:rPr>
          <w:rFonts w:ascii="Times New Roman" w:hAnsi="Times New Roman" w:cs="Times New Roman"/>
          <w:sz w:val="24"/>
        </w:rPr>
        <w:t>Authors have declared that no competing interests exist.</w:t>
      </w:r>
    </w:p>
    <w:p w:rsidR="00907E77" w:rsidRPr="000A12C4" w:rsidRDefault="00EC08D5" w:rsidP="00617D5C">
      <w:pPr>
        <w:rPr>
          <w:rFonts w:ascii="Times New Roman" w:hAnsi="Times New Roman" w:cs="Times New Roman"/>
          <w:b/>
          <w:sz w:val="24"/>
        </w:rPr>
      </w:pPr>
      <w:r w:rsidRPr="000A12C4">
        <w:rPr>
          <w:rFonts w:ascii="Times New Roman" w:hAnsi="Times New Roman" w:cs="Times New Roman"/>
          <w:b/>
          <w:sz w:val="24"/>
        </w:rPr>
        <w:t>REFERENCES</w:t>
      </w:r>
    </w:p>
    <w:p w:rsidR="00EC08D5" w:rsidRPr="00617D5C" w:rsidRDefault="00EC08D5" w:rsidP="00617D5C">
      <w:pPr>
        <w:rPr>
          <w:rFonts w:ascii="Times New Roman" w:hAnsi="Times New Roman" w:cs="Times New Roman"/>
          <w:sz w:val="24"/>
          <w:szCs w:val="24"/>
        </w:rPr>
      </w:pPr>
    </w:p>
    <w:p w:rsidR="00EC08D5" w:rsidRPr="000A12C4" w:rsidRDefault="00EC08D5" w:rsidP="00617D5C">
      <w:pPr>
        <w:rPr>
          <w:rFonts w:ascii="Times New Roman" w:hAnsi="Times New Roman" w:cs="Times New Roman"/>
          <w:sz w:val="24"/>
          <w:szCs w:val="24"/>
        </w:rPr>
      </w:pPr>
      <w:r w:rsidRPr="000A12C4">
        <w:rPr>
          <w:rFonts w:ascii="Times New Roman" w:hAnsi="Times New Roman" w:cs="Times New Roman"/>
          <w:sz w:val="24"/>
          <w:szCs w:val="24"/>
        </w:rPr>
        <w:t xml:space="preserve">Abad, M. J., Bedoya, L. M., </w:t>
      </w:r>
      <w:proofErr w:type="spellStart"/>
      <w:r w:rsidRPr="000A12C4">
        <w:rPr>
          <w:rFonts w:ascii="Times New Roman" w:hAnsi="Times New Roman" w:cs="Times New Roman"/>
          <w:sz w:val="24"/>
          <w:szCs w:val="24"/>
        </w:rPr>
        <w:t>Apaza</w:t>
      </w:r>
      <w:proofErr w:type="spellEnd"/>
      <w:r w:rsidRPr="000A12C4">
        <w:rPr>
          <w:rFonts w:ascii="Times New Roman" w:hAnsi="Times New Roman" w:cs="Times New Roman"/>
          <w:sz w:val="24"/>
          <w:szCs w:val="24"/>
        </w:rPr>
        <w:t xml:space="preserve">, L., &amp; Bermejo, P. (2012). The </w:t>
      </w:r>
      <w:r w:rsidRPr="009D103E">
        <w:rPr>
          <w:rFonts w:ascii="Times New Roman" w:hAnsi="Times New Roman" w:cs="Times New Roman"/>
          <w:i/>
          <w:sz w:val="24"/>
          <w:szCs w:val="24"/>
        </w:rPr>
        <w:t xml:space="preserve">A. </w:t>
      </w:r>
      <w:proofErr w:type="spellStart"/>
      <w:proofErr w:type="gramStart"/>
      <w:r w:rsidRPr="009D103E">
        <w:rPr>
          <w:rFonts w:ascii="Times New Roman" w:hAnsi="Times New Roman" w:cs="Times New Roman"/>
          <w:i/>
          <w:sz w:val="24"/>
          <w:szCs w:val="24"/>
        </w:rPr>
        <w:t>absinthium</w:t>
      </w:r>
      <w:proofErr w:type="spellEnd"/>
      <w:r w:rsidRPr="009D103E">
        <w:rPr>
          <w:rFonts w:ascii="Times New Roman" w:hAnsi="Times New Roman" w:cs="Times New Roman"/>
          <w:i/>
          <w:sz w:val="24"/>
          <w:szCs w:val="24"/>
        </w:rPr>
        <w:t xml:space="preserve"> </w:t>
      </w:r>
      <w:r w:rsidRPr="000A12C4">
        <w:rPr>
          <w:rFonts w:ascii="Times New Roman" w:hAnsi="Times New Roman" w:cs="Times New Roman"/>
          <w:sz w:val="24"/>
          <w:szCs w:val="24"/>
        </w:rPr>
        <w:t xml:space="preserve"> L.</w:t>
      </w:r>
      <w:proofErr w:type="gramEnd"/>
      <w:r w:rsidRPr="000A12C4">
        <w:rPr>
          <w:rFonts w:ascii="Times New Roman" w:hAnsi="Times New Roman" w:cs="Times New Roman"/>
          <w:sz w:val="24"/>
          <w:szCs w:val="24"/>
        </w:rPr>
        <w:t xml:space="preserve"> genus: A review of bioactive essential oils. </w:t>
      </w:r>
      <w:r w:rsidRPr="00617D5C">
        <w:rPr>
          <w:rFonts w:ascii="Times New Roman" w:hAnsi="Times New Roman" w:cs="Times New Roman"/>
          <w:i/>
          <w:sz w:val="24"/>
          <w:szCs w:val="24"/>
        </w:rPr>
        <w:t>Molecules,</w:t>
      </w:r>
      <w:r w:rsidRPr="000A12C4">
        <w:rPr>
          <w:rFonts w:ascii="Times New Roman" w:hAnsi="Times New Roman" w:cs="Times New Roman"/>
          <w:sz w:val="24"/>
          <w:szCs w:val="24"/>
        </w:rPr>
        <w:t xml:space="preserve"> 17(3), 2542–2566.</w:t>
      </w:r>
      <w:hyperlink r:id="rId10" w:history="1">
        <w:r w:rsidRPr="000A12C4">
          <w:rPr>
            <w:rStyle w:val="Hyperlink"/>
            <w:rFonts w:ascii="Times New Roman" w:hAnsi="Times New Roman" w:cs="Times New Roman"/>
            <w:sz w:val="24"/>
            <w:szCs w:val="24"/>
          </w:rPr>
          <w:t>https://doi.org/10.3390/molecules17032542</w:t>
        </w:r>
      </w:hyperlink>
    </w:p>
    <w:p w:rsidR="00EC08D5" w:rsidRPr="000A12C4" w:rsidRDefault="00EC08D5" w:rsidP="00617D5C">
      <w:pPr>
        <w:rPr>
          <w:rFonts w:ascii="Times New Roman" w:hAnsi="Times New Roman" w:cs="Times New Roman"/>
          <w:sz w:val="24"/>
          <w:szCs w:val="24"/>
        </w:rPr>
      </w:pPr>
      <w:r w:rsidRPr="000A12C4">
        <w:rPr>
          <w:rFonts w:ascii="Times New Roman" w:hAnsi="Times New Roman" w:cs="Times New Roman"/>
          <w:sz w:val="24"/>
          <w:szCs w:val="24"/>
        </w:rPr>
        <w:lastRenderedPageBreak/>
        <w:t>Abdalla, A. E., &amp;</w:t>
      </w:r>
      <w:proofErr w:type="spellStart"/>
      <w:r w:rsidRPr="000A12C4">
        <w:rPr>
          <w:rFonts w:ascii="Times New Roman" w:hAnsi="Times New Roman" w:cs="Times New Roman"/>
          <w:sz w:val="24"/>
          <w:szCs w:val="24"/>
        </w:rPr>
        <w:t>Roozen</w:t>
      </w:r>
      <w:proofErr w:type="spellEnd"/>
      <w:r w:rsidRPr="000A12C4">
        <w:rPr>
          <w:rFonts w:ascii="Times New Roman" w:hAnsi="Times New Roman" w:cs="Times New Roman"/>
          <w:sz w:val="24"/>
          <w:szCs w:val="24"/>
        </w:rPr>
        <w:t xml:space="preserve">, J. P. (1999). Effect of plant extracts on the oxidative stability of sunflower oil and emulsion. </w:t>
      </w:r>
      <w:r w:rsidRPr="00617D5C">
        <w:rPr>
          <w:rFonts w:ascii="Times New Roman" w:hAnsi="Times New Roman" w:cs="Times New Roman"/>
          <w:i/>
          <w:sz w:val="24"/>
          <w:szCs w:val="24"/>
        </w:rPr>
        <w:t>Food Chemistry</w:t>
      </w:r>
      <w:r w:rsidRPr="000A12C4">
        <w:rPr>
          <w:rFonts w:ascii="Times New Roman" w:hAnsi="Times New Roman" w:cs="Times New Roman"/>
          <w:sz w:val="24"/>
          <w:szCs w:val="24"/>
        </w:rPr>
        <w:t xml:space="preserve">, 64(3), 323–329. </w:t>
      </w:r>
      <w:hyperlink r:id="rId11" w:history="1">
        <w:r w:rsidRPr="000A12C4">
          <w:rPr>
            <w:rStyle w:val="Hyperlink"/>
            <w:rFonts w:ascii="Times New Roman" w:hAnsi="Times New Roman" w:cs="Times New Roman"/>
            <w:sz w:val="24"/>
            <w:szCs w:val="24"/>
          </w:rPr>
          <w:t>https://doi.org/10.1016/S0308-8146(98)00126-9</w:t>
        </w:r>
      </w:hyperlink>
    </w:p>
    <w:p w:rsidR="00EC08D5" w:rsidRPr="008B4C5F" w:rsidRDefault="00EC08D5" w:rsidP="00353419">
      <w:pPr>
        <w:rPr>
          <w:rFonts w:ascii="Times New Roman" w:hAnsi="Times New Roman" w:cs="Times New Roman"/>
          <w:sz w:val="24"/>
          <w:szCs w:val="24"/>
        </w:rPr>
      </w:pPr>
      <w:r w:rsidRPr="008B4C5F">
        <w:rPr>
          <w:rFonts w:ascii="Times New Roman" w:hAnsi="Times New Roman" w:cs="Times New Roman"/>
          <w:sz w:val="24"/>
          <w:szCs w:val="24"/>
        </w:rPr>
        <w:t xml:space="preserve">Ahmed, A., Khan, M. A., Iqbal, Z., &amp; Mehmood, Z. (2022). Phytochemical evaluation and therapeutic potential of </w:t>
      </w:r>
      <w:r w:rsidRPr="00B07655">
        <w:rPr>
          <w:rFonts w:ascii="Times New Roman" w:hAnsi="Times New Roman" w:cs="Times New Roman"/>
          <w:i/>
          <w:sz w:val="24"/>
          <w:szCs w:val="24"/>
        </w:rPr>
        <w:t>A. calamus</w:t>
      </w:r>
      <w:r w:rsidRPr="008B4C5F">
        <w:rPr>
          <w:rFonts w:ascii="Times New Roman" w:hAnsi="Times New Roman" w:cs="Times New Roman"/>
          <w:sz w:val="24"/>
          <w:szCs w:val="24"/>
        </w:rPr>
        <w:t xml:space="preserve">: An updated review. Journal of Herbal Medicine, 32, 100558. </w:t>
      </w:r>
      <w:hyperlink r:id="rId12" w:history="1">
        <w:r w:rsidRPr="0009676F">
          <w:rPr>
            <w:rStyle w:val="Hyperlink"/>
            <w:rFonts w:ascii="Times New Roman" w:hAnsi="Times New Roman" w:cs="Times New Roman"/>
            <w:sz w:val="24"/>
            <w:szCs w:val="24"/>
          </w:rPr>
          <w:t>https://doi.org/10.1016/j.hermed.2022.100558</w:t>
        </w:r>
      </w:hyperlink>
      <w:r>
        <w:rPr>
          <w:rFonts w:ascii="Times New Roman" w:hAnsi="Times New Roman" w:cs="Times New Roman"/>
          <w:sz w:val="24"/>
          <w:szCs w:val="24"/>
        </w:rPr>
        <w:t xml:space="preserve"> </w:t>
      </w:r>
    </w:p>
    <w:p w:rsidR="00EC08D5" w:rsidRPr="000A12C4" w:rsidRDefault="00EC08D5" w:rsidP="00617D5C">
      <w:pPr>
        <w:rPr>
          <w:rFonts w:ascii="Times New Roman" w:hAnsi="Times New Roman" w:cs="Times New Roman"/>
          <w:sz w:val="24"/>
          <w:szCs w:val="24"/>
        </w:rPr>
      </w:pPr>
      <w:r w:rsidRPr="000A12C4">
        <w:rPr>
          <w:rFonts w:ascii="Times New Roman" w:hAnsi="Times New Roman" w:cs="Times New Roman"/>
          <w:sz w:val="24"/>
          <w:szCs w:val="24"/>
        </w:rPr>
        <w:t xml:space="preserve">Andreu, L., </w:t>
      </w:r>
      <w:proofErr w:type="spellStart"/>
      <w:r w:rsidRPr="000A12C4">
        <w:rPr>
          <w:rFonts w:ascii="Times New Roman" w:hAnsi="Times New Roman" w:cs="Times New Roman"/>
          <w:sz w:val="24"/>
          <w:szCs w:val="24"/>
        </w:rPr>
        <w:t>Nún͂ez</w:t>
      </w:r>
      <w:proofErr w:type="spellEnd"/>
      <w:r w:rsidRPr="000A12C4">
        <w:rPr>
          <w:rFonts w:ascii="Times New Roman" w:hAnsi="Times New Roman" w:cs="Times New Roman"/>
          <w:sz w:val="24"/>
          <w:szCs w:val="24"/>
        </w:rPr>
        <w:t>, Ó., &amp;</w:t>
      </w:r>
      <w:proofErr w:type="spellStart"/>
      <w:r w:rsidRPr="000A12C4">
        <w:rPr>
          <w:rFonts w:ascii="Times New Roman" w:hAnsi="Times New Roman" w:cs="Times New Roman"/>
          <w:sz w:val="24"/>
          <w:szCs w:val="24"/>
        </w:rPr>
        <w:t>Saurina</w:t>
      </w:r>
      <w:proofErr w:type="spellEnd"/>
      <w:r w:rsidRPr="000A12C4">
        <w:rPr>
          <w:rFonts w:ascii="Times New Roman" w:hAnsi="Times New Roman" w:cs="Times New Roman"/>
          <w:sz w:val="24"/>
          <w:szCs w:val="24"/>
        </w:rPr>
        <w:t xml:space="preserve">, J. (2018). LC-DAD and LC-UV fingerprinting strategies for the authentication and classification of botanicals: A review. </w:t>
      </w:r>
      <w:proofErr w:type="spellStart"/>
      <w:r w:rsidRPr="000A12C4">
        <w:rPr>
          <w:rFonts w:ascii="Times New Roman" w:hAnsi="Times New Roman" w:cs="Times New Roman"/>
          <w:sz w:val="24"/>
          <w:szCs w:val="24"/>
        </w:rPr>
        <w:t>TrAC</w:t>
      </w:r>
      <w:r w:rsidRPr="00617D5C">
        <w:rPr>
          <w:rFonts w:ascii="Times New Roman" w:hAnsi="Times New Roman" w:cs="Times New Roman"/>
          <w:i/>
          <w:sz w:val="24"/>
          <w:szCs w:val="24"/>
        </w:rPr>
        <w:t>Trends</w:t>
      </w:r>
      <w:proofErr w:type="spellEnd"/>
      <w:r w:rsidRPr="00617D5C">
        <w:rPr>
          <w:rFonts w:ascii="Times New Roman" w:hAnsi="Times New Roman" w:cs="Times New Roman"/>
          <w:i/>
          <w:sz w:val="24"/>
          <w:szCs w:val="24"/>
        </w:rPr>
        <w:t xml:space="preserve"> in Analytical Chemistry, </w:t>
      </w:r>
      <w:r w:rsidRPr="000A12C4">
        <w:rPr>
          <w:rFonts w:ascii="Times New Roman" w:hAnsi="Times New Roman" w:cs="Times New Roman"/>
          <w:sz w:val="24"/>
          <w:szCs w:val="24"/>
        </w:rPr>
        <w:t xml:space="preserve">108, 25–40. </w:t>
      </w:r>
      <w:hyperlink r:id="rId13" w:history="1">
        <w:r w:rsidRPr="000A12C4">
          <w:rPr>
            <w:rStyle w:val="Hyperlink"/>
            <w:rFonts w:ascii="Times New Roman" w:hAnsi="Times New Roman" w:cs="Times New Roman"/>
            <w:sz w:val="24"/>
            <w:szCs w:val="24"/>
          </w:rPr>
          <w:t>https://doi.org/10.1016/j.trac.2018.08.002</w:t>
        </w:r>
      </w:hyperlink>
    </w:p>
    <w:p w:rsidR="00EC08D5" w:rsidRPr="000A12C4" w:rsidRDefault="00EC08D5" w:rsidP="00617D5C">
      <w:pPr>
        <w:tabs>
          <w:tab w:val="left" w:pos="770"/>
        </w:tabs>
        <w:autoSpaceDE w:val="0"/>
        <w:autoSpaceDN w:val="0"/>
        <w:adjustRightInd w:val="0"/>
        <w:spacing w:before="240" w:after="0"/>
        <w:jc w:val="both"/>
        <w:rPr>
          <w:rFonts w:ascii="Times New Roman" w:hAnsi="Times New Roman" w:cs="Times New Roman"/>
          <w:sz w:val="24"/>
          <w:szCs w:val="24"/>
        </w:rPr>
      </w:pPr>
      <w:r w:rsidRPr="000A12C4">
        <w:rPr>
          <w:rFonts w:ascii="Times New Roman" w:hAnsi="Times New Roman" w:cs="Times New Roman"/>
          <w:sz w:val="24"/>
          <w:szCs w:val="24"/>
        </w:rPr>
        <w:t xml:space="preserve">Chapman, H.D. (1964). Suggested foliar sampling and handling techniques for determining the nutritional status of some field, horticultural and plantation crops. </w:t>
      </w:r>
      <w:r w:rsidRPr="000A12C4">
        <w:rPr>
          <w:rFonts w:ascii="Times New Roman" w:hAnsi="Times New Roman" w:cs="Times New Roman"/>
          <w:i/>
          <w:iCs/>
          <w:sz w:val="24"/>
          <w:szCs w:val="24"/>
        </w:rPr>
        <w:t xml:space="preserve">Indian Journal of Horticulture; </w:t>
      </w:r>
      <w:r w:rsidRPr="000A12C4">
        <w:rPr>
          <w:rFonts w:ascii="Times New Roman" w:hAnsi="Times New Roman" w:cs="Times New Roman"/>
          <w:b/>
          <w:bCs/>
          <w:sz w:val="24"/>
          <w:szCs w:val="24"/>
        </w:rPr>
        <w:t>21</w:t>
      </w:r>
      <w:r w:rsidRPr="000A12C4">
        <w:rPr>
          <w:rFonts w:ascii="Times New Roman" w:hAnsi="Times New Roman" w:cs="Times New Roman"/>
          <w:sz w:val="24"/>
          <w:szCs w:val="24"/>
        </w:rPr>
        <w:t>: 97-119.</w:t>
      </w:r>
    </w:p>
    <w:p w:rsidR="00EC08D5" w:rsidRPr="000A12C4" w:rsidRDefault="00EC08D5" w:rsidP="00617D5C">
      <w:pPr>
        <w:spacing w:before="240"/>
        <w:rPr>
          <w:rFonts w:ascii="Times New Roman" w:hAnsi="Times New Roman" w:cs="Times New Roman"/>
          <w:sz w:val="24"/>
          <w:szCs w:val="24"/>
        </w:rPr>
      </w:pPr>
      <w:r w:rsidRPr="000A12C4">
        <w:rPr>
          <w:rFonts w:ascii="Times New Roman" w:hAnsi="Times New Roman" w:cs="Times New Roman"/>
          <w:sz w:val="24"/>
          <w:szCs w:val="24"/>
        </w:rPr>
        <w:t xml:space="preserve">Chen, A. Y., Chen, Y. C. (2015). A review of the dietary flavonoid, kaempferol on human health and cancer chemoprevention. </w:t>
      </w:r>
      <w:r w:rsidRPr="00617D5C">
        <w:rPr>
          <w:rFonts w:ascii="Times New Roman" w:hAnsi="Times New Roman" w:cs="Times New Roman"/>
          <w:i/>
          <w:sz w:val="24"/>
          <w:szCs w:val="24"/>
        </w:rPr>
        <w:t>Food Chemistry,</w:t>
      </w:r>
      <w:r w:rsidRPr="000A12C4">
        <w:rPr>
          <w:rFonts w:ascii="Times New Roman" w:hAnsi="Times New Roman" w:cs="Times New Roman"/>
          <w:sz w:val="24"/>
          <w:szCs w:val="24"/>
        </w:rPr>
        <w:t xml:space="preserve"> 138(4), 2099–2107. </w:t>
      </w:r>
      <w:hyperlink r:id="rId14" w:history="1">
        <w:r w:rsidRPr="000A12C4">
          <w:rPr>
            <w:rStyle w:val="Hyperlink"/>
            <w:rFonts w:ascii="Times New Roman" w:hAnsi="Times New Roman" w:cs="Times New Roman"/>
            <w:sz w:val="24"/>
            <w:szCs w:val="24"/>
          </w:rPr>
          <w:t>https://doi.org/10.1016/j.foodchem.2012.11.139</w:t>
        </w:r>
      </w:hyperlink>
    </w:p>
    <w:p w:rsidR="00EC08D5" w:rsidRPr="000A12C4" w:rsidRDefault="00EC08D5" w:rsidP="00617D5C">
      <w:pPr>
        <w:rPr>
          <w:rFonts w:ascii="Times New Roman" w:hAnsi="Times New Roman" w:cs="Times New Roman"/>
          <w:sz w:val="24"/>
          <w:szCs w:val="24"/>
        </w:rPr>
      </w:pPr>
      <w:proofErr w:type="spellStart"/>
      <w:r w:rsidRPr="000A12C4">
        <w:rPr>
          <w:rFonts w:ascii="Times New Roman" w:hAnsi="Times New Roman" w:cs="Times New Roman"/>
          <w:sz w:val="24"/>
          <w:szCs w:val="24"/>
        </w:rPr>
        <w:t>Działo</w:t>
      </w:r>
      <w:proofErr w:type="spellEnd"/>
      <w:r w:rsidRPr="000A12C4">
        <w:rPr>
          <w:rFonts w:ascii="Times New Roman" w:hAnsi="Times New Roman" w:cs="Times New Roman"/>
          <w:sz w:val="24"/>
          <w:szCs w:val="24"/>
        </w:rPr>
        <w:t xml:space="preserve">, M., </w:t>
      </w:r>
      <w:proofErr w:type="spellStart"/>
      <w:r w:rsidRPr="000A12C4">
        <w:rPr>
          <w:rFonts w:ascii="Times New Roman" w:hAnsi="Times New Roman" w:cs="Times New Roman"/>
          <w:sz w:val="24"/>
          <w:szCs w:val="24"/>
        </w:rPr>
        <w:t>Mierziak</w:t>
      </w:r>
      <w:proofErr w:type="spellEnd"/>
      <w:r w:rsidRPr="000A12C4">
        <w:rPr>
          <w:rFonts w:ascii="Times New Roman" w:hAnsi="Times New Roman" w:cs="Times New Roman"/>
          <w:sz w:val="24"/>
          <w:szCs w:val="24"/>
        </w:rPr>
        <w:t xml:space="preserve">, J., </w:t>
      </w:r>
      <w:proofErr w:type="spellStart"/>
      <w:r w:rsidRPr="000A12C4">
        <w:rPr>
          <w:rFonts w:ascii="Times New Roman" w:hAnsi="Times New Roman" w:cs="Times New Roman"/>
          <w:sz w:val="24"/>
          <w:szCs w:val="24"/>
        </w:rPr>
        <w:t>Korzun</w:t>
      </w:r>
      <w:proofErr w:type="spellEnd"/>
      <w:r w:rsidRPr="000A12C4">
        <w:rPr>
          <w:rFonts w:ascii="Times New Roman" w:hAnsi="Times New Roman" w:cs="Times New Roman"/>
          <w:sz w:val="24"/>
          <w:szCs w:val="24"/>
        </w:rPr>
        <w:t xml:space="preserve">, U., </w:t>
      </w:r>
      <w:proofErr w:type="spellStart"/>
      <w:r w:rsidRPr="000A12C4">
        <w:rPr>
          <w:rFonts w:ascii="Times New Roman" w:hAnsi="Times New Roman" w:cs="Times New Roman"/>
          <w:sz w:val="24"/>
          <w:szCs w:val="24"/>
        </w:rPr>
        <w:t>Preisner</w:t>
      </w:r>
      <w:proofErr w:type="spellEnd"/>
      <w:r w:rsidRPr="000A12C4">
        <w:rPr>
          <w:rFonts w:ascii="Times New Roman" w:hAnsi="Times New Roman" w:cs="Times New Roman"/>
          <w:sz w:val="24"/>
          <w:szCs w:val="24"/>
        </w:rPr>
        <w:t xml:space="preserve">, M., </w:t>
      </w:r>
      <w:proofErr w:type="spellStart"/>
      <w:r w:rsidRPr="000A12C4">
        <w:rPr>
          <w:rFonts w:ascii="Times New Roman" w:hAnsi="Times New Roman" w:cs="Times New Roman"/>
          <w:sz w:val="24"/>
          <w:szCs w:val="24"/>
        </w:rPr>
        <w:t>Szopa</w:t>
      </w:r>
      <w:proofErr w:type="spellEnd"/>
      <w:r w:rsidRPr="000A12C4">
        <w:rPr>
          <w:rFonts w:ascii="Times New Roman" w:hAnsi="Times New Roman" w:cs="Times New Roman"/>
          <w:sz w:val="24"/>
          <w:szCs w:val="24"/>
        </w:rPr>
        <w:t>, J., &amp;</w:t>
      </w:r>
      <w:proofErr w:type="spellStart"/>
      <w:r w:rsidRPr="000A12C4">
        <w:rPr>
          <w:rFonts w:ascii="Times New Roman" w:hAnsi="Times New Roman" w:cs="Times New Roman"/>
          <w:sz w:val="24"/>
          <w:szCs w:val="24"/>
        </w:rPr>
        <w:t>Kulma</w:t>
      </w:r>
      <w:proofErr w:type="spellEnd"/>
      <w:r w:rsidRPr="000A12C4">
        <w:rPr>
          <w:rFonts w:ascii="Times New Roman" w:hAnsi="Times New Roman" w:cs="Times New Roman"/>
          <w:sz w:val="24"/>
          <w:szCs w:val="24"/>
        </w:rPr>
        <w:t xml:space="preserve">, A. (2016). The potential of plant phenolics in prevention and therapy of skin disorders. </w:t>
      </w:r>
      <w:r w:rsidRPr="00617D5C">
        <w:rPr>
          <w:rFonts w:ascii="Times New Roman" w:hAnsi="Times New Roman" w:cs="Times New Roman"/>
          <w:i/>
          <w:sz w:val="24"/>
          <w:szCs w:val="24"/>
        </w:rPr>
        <w:t>International Journal of Molecular Sciences,</w:t>
      </w:r>
      <w:r w:rsidRPr="000A12C4">
        <w:rPr>
          <w:rFonts w:ascii="Times New Roman" w:hAnsi="Times New Roman" w:cs="Times New Roman"/>
          <w:sz w:val="24"/>
          <w:szCs w:val="24"/>
        </w:rPr>
        <w:t xml:space="preserve"> 17(2), 160. </w:t>
      </w:r>
      <w:hyperlink r:id="rId15" w:history="1">
        <w:r w:rsidRPr="000A12C4">
          <w:rPr>
            <w:rStyle w:val="Hyperlink"/>
            <w:rFonts w:ascii="Times New Roman" w:hAnsi="Times New Roman" w:cs="Times New Roman"/>
            <w:sz w:val="24"/>
            <w:szCs w:val="24"/>
          </w:rPr>
          <w:t>https://doi.org/10.3390/ijms17020160</w:t>
        </w:r>
      </w:hyperlink>
    </w:p>
    <w:p w:rsidR="00EC08D5" w:rsidRPr="000A12C4" w:rsidRDefault="00EC08D5" w:rsidP="00617D5C">
      <w:pPr>
        <w:rPr>
          <w:rFonts w:ascii="Times New Roman" w:hAnsi="Times New Roman" w:cs="Times New Roman"/>
          <w:sz w:val="24"/>
          <w:szCs w:val="24"/>
        </w:rPr>
      </w:pPr>
      <w:r w:rsidRPr="000A12C4">
        <w:rPr>
          <w:rFonts w:ascii="Times New Roman" w:hAnsi="Times New Roman" w:cs="Times New Roman"/>
          <w:sz w:val="24"/>
          <w:szCs w:val="24"/>
        </w:rPr>
        <w:t xml:space="preserve">Ferreira, J. F. S., </w:t>
      </w:r>
      <w:proofErr w:type="spellStart"/>
      <w:r w:rsidRPr="000A12C4">
        <w:rPr>
          <w:rFonts w:ascii="Times New Roman" w:hAnsi="Times New Roman" w:cs="Times New Roman"/>
          <w:sz w:val="24"/>
          <w:szCs w:val="24"/>
        </w:rPr>
        <w:t>Luthria</w:t>
      </w:r>
      <w:proofErr w:type="spellEnd"/>
      <w:r w:rsidRPr="000A12C4">
        <w:rPr>
          <w:rFonts w:ascii="Times New Roman" w:hAnsi="Times New Roman" w:cs="Times New Roman"/>
          <w:sz w:val="24"/>
          <w:szCs w:val="24"/>
        </w:rPr>
        <w:t>, D. L., Sasaki, T., &amp;</w:t>
      </w:r>
      <w:proofErr w:type="spellStart"/>
      <w:r w:rsidRPr="000A12C4">
        <w:rPr>
          <w:rFonts w:ascii="Times New Roman" w:hAnsi="Times New Roman" w:cs="Times New Roman"/>
          <w:sz w:val="24"/>
          <w:szCs w:val="24"/>
        </w:rPr>
        <w:t>Heyerick</w:t>
      </w:r>
      <w:proofErr w:type="spellEnd"/>
      <w:r w:rsidRPr="000A12C4">
        <w:rPr>
          <w:rFonts w:ascii="Times New Roman" w:hAnsi="Times New Roman" w:cs="Times New Roman"/>
          <w:sz w:val="24"/>
          <w:szCs w:val="24"/>
        </w:rPr>
        <w:t xml:space="preserve">, A. (2010). Flavonoids from </w:t>
      </w:r>
      <w:r w:rsidRPr="009D103E">
        <w:rPr>
          <w:rFonts w:ascii="Times New Roman" w:hAnsi="Times New Roman" w:cs="Times New Roman"/>
          <w:i/>
          <w:sz w:val="24"/>
          <w:szCs w:val="24"/>
        </w:rPr>
        <w:t xml:space="preserve">A. </w:t>
      </w:r>
      <w:proofErr w:type="spellStart"/>
      <w:proofErr w:type="gramStart"/>
      <w:r w:rsidRPr="009D103E">
        <w:rPr>
          <w:rFonts w:ascii="Times New Roman" w:hAnsi="Times New Roman" w:cs="Times New Roman"/>
          <w:i/>
          <w:sz w:val="24"/>
          <w:szCs w:val="24"/>
        </w:rPr>
        <w:t>absinthium</w:t>
      </w:r>
      <w:proofErr w:type="spellEnd"/>
      <w:r w:rsidRPr="009D103E">
        <w:rPr>
          <w:rFonts w:ascii="Times New Roman" w:hAnsi="Times New Roman" w:cs="Times New Roman"/>
          <w:i/>
          <w:sz w:val="24"/>
          <w:szCs w:val="24"/>
        </w:rPr>
        <w:t xml:space="preserve"> </w:t>
      </w:r>
      <w:r w:rsidRPr="000A12C4">
        <w:rPr>
          <w:rFonts w:ascii="Times New Roman" w:hAnsi="Times New Roman" w:cs="Times New Roman"/>
          <w:sz w:val="24"/>
          <w:szCs w:val="24"/>
        </w:rPr>
        <w:t xml:space="preserve"> </w:t>
      </w:r>
      <w:proofErr w:type="spellStart"/>
      <w:r w:rsidRPr="000A12C4">
        <w:rPr>
          <w:rFonts w:ascii="Times New Roman" w:hAnsi="Times New Roman" w:cs="Times New Roman"/>
          <w:sz w:val="24"/>
          <w:szCs w:val="24"/>
        </w:rPr>
        <w:t>annua</w:t>
      </w:r>
      <w:proofErr w:type="spellEnd"/>
      <w:proofErr w:type="gramEnd"/>
      <w:r w:rsidRPr="000A12C4">
        <w:rPr>
          <w:rFonts w:ascii="Times New Roman" w:hAnsi="Times New Roman" w:cs="Times New Roman"/>
          <w:sz w:val="24"/>
          <w:szCs w:val="24"/>
        </w:rPr>
        <w:t xml:space="preserve"> L.: A review. Molecules, 15(5), 3135–3170. </w:t>
      </w:r>
      <w:hyperlink r:id="rId16" w:history="1">
        <w:r w:rsidRPr="000A12C4">
          <w:rPr>
            <w:rStyle w:val="Hyperlink"/>
            <w:rFonts w:ascii="Times New Roman" w:hAnsi="Times New Roman" w:cs="Times New Roman"/>
            <w:sz w:val="24"/>
            <w:szCs w:val="24"/>
          </w:rPr>
          <w:t>https://doi.org/10.3390/molecules15053135</w:t>
        </w:r>
      </w:hyperlink>
    </w:p>
    <w:p w:rsidR="00EC08D5" w:rsidRPr="008B4C5F" w:rsidRDefault="00EC08D5" w:rsidP="00353419">
      <w:pPr>
        <w:rPr>
          <w:rFonts w:ascii="Times New Roman" w:hAnsi="Times New Roman" w:cs="Times New Roman"/>
          <w:sz w:val="24"/>
          <w:szCs w:val="24"/>
        </w:rPr>
      </w:pPr>
      <w:proofErr w:type="spellStart"/>
      <w:r w:rsidRPr="008B4C5F">
        <w:rPr>
          <w:rFonts w:ascii="Times New Roman" w:hAnsi="Times New Roman" w:cs="Times New Roman"/>
          <w:sz w:val="24"/>
          <w:szCs w:val="24"/>
        </w:rPr>
        <w:t>Ghasemzadeh</w:t>
      </w:r>
      <w:proofErr w:type="spellEnd"/>
      <w:r w:rsidRPr="008B4C5F">
        <w:rPr>
          <w:rFonts w:ascii="Times New Roman" w:hAnsi="Times New Roman" w:cs="Times New Roman"/>
          <w:sz w:val="24"/>
          <w:szCs w:val="24"/>
        </w:rPr>
        <w:t xml:space="preserve">, A., Jaafar, H. Z. E., &amp; </w:t>
      </w:r>
      <w:proofErr w:type="spellStart"/>
      <w:r w:rsidRPr="008B4C5F">
        <w:rPr>
          <w:rFonts w:ascii="Times New Roman" w:hAnsi="Times New Roman" w:cs="Times New Roman"/>
          <w:sz w:val="24"/>
          <w:szCs w:val="24"/>
        </w:rPr>
        <w:t>Rahmat</w:t>
      </w:r>
      <w:proofErr w:type="spellEnd"/>
      <w:r w:rsidRPr="008B4C5F">
        <w:rPr>
          <w:rFonts w:ascii="Times New Roman" w:hAnsi="Times New Roman" w:cs="Times New Roman"/>
          <w:sz w:val="24"/>
          <w:szCs w:val="24"/>
        </w:rPr>
        <w:t xml:space="preserve">, A. (2015). Antioxidant activities, total phenolics and flavonoids content in two varieties of </w:t>
      </w:r>
      <w:r w:rsidRPr="00B07655">
        <w:rPr>
          <w:rFonts w:ascii="Times New Roman" w:hAnsi="Times New Roman" w:cs="Times New Roman"/>
          <w:i/>
          <w:sz w:val="24"/>
          <w:szCs w:val="24"/>
        </w:rPr>
        <w:t>A. calamus</w:t>
      </w:r>
      <w:r w:rsidRPr="008B4C5F">
        <w:rPr>
          <w:rFonts w:ascii="Times New Roman" w:hAnsi="Times New Roman" w:cs="Times New Roman"/>
          <w:sz w:val="24"/>
          <w:szCs w:val="24"/>
        </w:rPr>
        <w:t xml:space="preserve"> rhizome. BMC Complementary and Alternative Medicine, 15(1), 1-8. </w:t>
      </w:r>
      <w:hyperlink r:id="rId17" w:history="1">
        <w:r w:rsidRPr="0009676F">
          <w:rPr>
            <w:rStyle w:val="Hyperlink"/>
            <w:rFonts w:ascii="Times New Roman" w:hAnsi="Times New Roman" w:cs="Times New Roman"/>
            <w:sz w:val="24"/>
            <w:szCs w:val="24"/>
          </w:rPr>
          <w:t>https://doi.org/10.1186/s12906-015-0783-1</w:t>
        </w:r>
      </w:hyperlink>
      <w:r>
        <w:rPr>
          <w:rFonts w:ascii="Times New Roman" w:hAnsi="Times New Roman" w:cs="Times New Roman"/>
          <w:sz w:val="24"/>
          <w:szCs w:val="24"/>
        </w:rPr>
        <w:t xml:space="preserve"> </w:t>
      </w:r>
    </w:p>
    <w:p w:rsidR="00EC08D5" w:rsidRPr="000A12C4" w:rsidRDefault="00EC08D5" w:rsidP="00617D5C">
      <w:pPr>
        <w:rPr>
          <w:rFonts w:ascii="Times New Roman" w:hAnsi="Times New Roman" w:cs="Times New Roman"/>
          <w:sz w:val="24"/>
          <w:szCs w:val="24"/>
        </w:rPr>
      </w:pPr>
      <w:r w:rsidRPr="000A12C4">
        <w:rPr>
          <w:rFonts w:ascii="Times New Roman" w:hAnsi="Times New Roman" w:cs="Times New Roman"/>
          <w:sz w:val="24"/>
          <w:szCs w:val="24"/>
        </w:rPr>
        <w:t xml:space="preserve">Ghosh, A. (2014). Ethnomedicinal, phytochemical, and pharmacological review of </w:t>
      </w:r>
      <w:r w:rsidRPr="00B07655">
        <w:rPr>
          <w:rFonts w:ascii="Times New Roman" w:hAnsi="Times New Roman" w:cs="Times New Roman"/>
          <w:i/>
          <w:sz w:val="24"/>
          <w:szCs w:val="24"/>
        </w:rPr>
        <w:t>A. calamus</w:t>
      </w:r>
      <w:r w:rsidRPr="000A12C4">
        <w:rPr>
          <w:rFonts w:ascii="Times New Roman" w:hAnsi="Times New Roman" w:cs="Times New Roman"/>
          <w:sz w:val="24"/>
          <w:szCs w:val="24"/>
        </w:rPr>
        <w:t xml:space="preserve"> L. </w:t>
      </w:r>
      <w:r w:rsidRPr="00617D5C">
        <w:rPr>
          <w:rFonts w:ascii="Times New Roman" w:hAnsi="Times New Roman" w:cs="Times New Roman"/>
          <w:i/>
          <w:sz w:val="24"/>
          <w:szCs w:val="24"/>
        </w:rPr>
        <w:t>International Journal of Green Pharmacy</w:t>
      </w:r>
      <w:r w:rsidRPr="000A12C4">
        <w:rPr>
          <w:rFonts w:ascii="Times New Roman" w:hAnsi="Times New Roman" w:cs="Times New Roman"/>
          <w:sz w:val="24"/>
          <w:szCs w:val="24"/>
        </w:rPr>
        <w:t xml:space="preserve">, 8(2), 69–74. </w:t>
      </w:r>
      <w:hyperlink r:id="rId18" w:history="1">
        <w:r w:rsidRPr="000A12C4">
          <w:rPr>
            <w:rStyle w:val="Hyperlink"/>
            <w:rFonts w:ascii="Times New Roman" w:hAnsi="Times New Roman" w:cs="Times New Roman"/>
            <w:sz w:val="24"/>
            <w:szCs w:val="24"/>
          </w:rPr>
          <w:t>https://doi.org/10.4103/0973-8258.129636</w:t>
        </w:r>
      </w:hyperlink>
    </w:p>
    <w:p w:rsidR="00EC08D5" w:rsidRPr="000A12C4" w:rsidRDefault="00EC08D5" w:rsidP="00617D5C">
      <w:pPr>
        <w:tabs>
          <w:tab w:val="left" w:pos="770"/>
        </w:tabs>
        <w:autoSpaceDE w:val="0"/>
        <w:autoSpaceDN w:val="0"/>
        <w:adjustRightInd w:val="0"/>
        <w:spacing w:before="240" w:after="240"/>
        <w:jc w:val="both"/>
        <w:rPr>
          <w:rFonts w:ascii="Times New Roman" w:hAnsi="Times New Roman" w:cs="Times New Roman"/>
          <w:sz w:val="24"/>
          <w:szCs w:val="24"/>
        </w:rPr>
      </w:pPr>
      <w:r w:rsidRPr="000A12C4">
        <w:rPr>
          <w:rFonts w:ascii="Times New Roman" w:hAnsi="Times New Roman" w:cs="Times New Roman"/>
          <w:sz w:val="24"/>
          <w:szCs w:val="24"/>
        </w:rPr>
        <w:t xml:space="preserve">Kim, M. J., Song Y. J., Kim, H. R., Lee, S. R., </w:t>
      </w:r>
      <w:proofErr w:type="spellStart"/>
      <w:r w:rsidRPr="000A12C4">
        <w:rPr>
          <w:rFonts w:ascii="Times New Roman" w:hAnsi="Times New Roman" w:cs="Times New Roman"/>
          <w:sz w:val="24"/>
          <w:szCs w:val="24"/>
        </w:rPr>
        <w:t>Sok</w:t>
      </w:r>
      <w:proofErr w:type="spellEnd"/>
      <w:r w:rsidRPr="000A12C4">
        <w:rPr>
          <w:rFonts w:ascii="Times New Roman" w:hAnsi="Times New Roman" w:cs="Times New Roman"/>
          <w:sz w:val="24"/>
          <w:szCs w:val="24"/>
        </w:rPr>
        <w:t xml:space="preserve">, D. E., Kim, S., Kim, M. R., (2009). Polyphenol and phytate contents and their relationship to antioxidative activity in soybeans. </w:t>
      </w:r>
      <w:r w:rsidRPr="000A12C4">
        <w:rPr>
          <w:rFonts w:ascii="Times New Roman" w:hAnsi="Times New Roman" w:cs="Times New Roman"/>
          <w:i/>
          <w:sz w:val="24"/>
          <w:szCs w:val="24"/>
        </w:rPr>
        <w:t>Journal of East Asian Soc Diet Life</w:t>
      </w:r>
      <w:r w:rsidRPr="000A12C4">
        <w:rPr>
          <w:rFonts w:ascii="Times New Roman" w:hAnsi="Times New Roman" w:cs="Times New Roman"/>
          <w:sz w:val="24"/>
          <w:szCs w:val="24"/>
        </w:rPr>
        <w:t>; (19): 975- 980.</w:t>
      </w:r>
    </w:p>
    <w:p w:rsidR="00EC08D5" w:rsidRPr="000A12C4" w:rsidRDefault="00EC08D5" w:rsidP="00617D5C">
      <w:pPr>
        <w:rPr>
          <w:rFonts w:ascii="Times New Roman" w:hAnsi="Times New Roman" w:cs="Times New Roman"/>
          <w:sz w:val="24"/>
          <w:szCs w:val="24"/>
        </w:rPr>
      </w:pPr>
      <w:proofErr w:type="spellStart"/>
      <w:r w:rsidRPr="000A12C4">
        <w:rPr>
          <w:rFonts w:ascii="Times New Roman" w:hAnsi="Times New Roman" w:cs="Times New Roman"/>
          <w:sz w:val="24"/>
          <w:szCs w:val="24"/>
        </w:rPr>
        <w:t>Koffi-Nevry</w:t>
      </w:r>
      <w:proofErr w:type="spellEnd"/>
      <w:r w:rsidRPr="000A12C4">
        <w:rPr>
          <w:rFonts w:ascii="Times New Roman" w:hAnsi="Times New Roman" w:cs="Times New Roman"/>
          <w:sz w:val="24"/>
          <w:szCs w:val="24"/>
        </w:rPr>
        <w:t xml:space="preserve">, R., </w:t>
      </w:r>
      <w:proofErr w:type="spellStart"/>
      <w:r w:rsidRPr="000A12C4">
        <w:rPr>
          <w:rFonts w:ascii="Times New Roman" w:hAnsi="Times New Roman" w:cs="Times New Roman"/>
          <w:sz w:val="24"/>
          <w:szCs w:val="24"/>
        </w:rPr>
        <w:t>Kouassi</w:t>
      </w:r>
      <w:proofErr w:type="spellEnd"/>
      <w:r w:rsidRPr="000A12C4">
        <w:rPr>
          <w:rFonts w:ascii="Times New Roman" w:hAnsi="Times New Roman" w:cs="Times New Roman"/>
          <w:sz w:val="24"/>
          <w:szCs w:val="24"/>
        </w:rPr>
        <w:t xml:space="preserve">, K. C., </w:t>
      </w:r>
      <w:proofErr w:type="spellStart"/>
      <w:r w:rsidRPr="000A12C4">
        <w:rPr>
          <w:rFonts w:ascii="Times New Roman" w:hAnsi="Times New Roman" w:cs="Times New Roman"/>
          <w:sz w:val="24"/>
          <w:szCs w:val="24"/>
        </w:rPr>
        <w:t>N’Guessan</w:t>
      </w:r>
      <w:proofErr w:type="spellEnd"/>
      <w:r w:rsidRPr="000A12C4">
        <w:rPr>
          <w:rFonts w:ascii="Times New Roman" w:hAnsi="Times New Roman" w:cs="Times New Roman"/>
          <w:sz w:val="24"/>
          <w:szCs w:val="24"/>
        </w:rPr>
        <w:t xml:space="preserve">, K. F., </w:t>
      </w:r>
      <w:proofErr w:type="spellStart"/>
      <w:r w:rsidRPr="000A12C4">
        <w:rPr>
          <w:rFonts w:ascii="Times New Roman" w:hAnsi="Times New Roman" w:cs="Times New Roman"/>
          <w:sz w:val="24"/>
          <w:szCs w:val="24"/>
        </w:rPr>
        <w:t>Koussemon</w:t>
      </w:r>
      <w:proofErr w:type="spellEnd"/>
      <w:r w:rsidRPr="000A12C4">
        <w:rPr>
          <w:rFonts w:ascii="Times New Roman" w:hAnsi="Times New Roman" w:cs="Times New Roman"/>
          <w:sz w:val="24"/>
          <w:szCs w:val="24"/>
        </w:rPr>
        <w:t>, M., &amp;</w:t>
      </w:r>
      <w:proofErr w:type="spellStart"/>
      <w:r w:rsidRPr="000A12C4">
        <w:rPr>
          <w:rFonts w:ascii="Times New Roman" w:hAnsi="Times New Roman" w:cs="Times New Roman"/>
          <w:sz w:val="24"/>
          <w:szCs w:val="24"/>
        </w:rPr>
        <w:t>Loukou</w:t>
      </w:r>
      <w:proofErr w:type="spellEnd"/>
      <w:r w:rsidRPr="000A12C4">
        <w:rPr>
          <w:rFonts w:ascii="Times New Roman" w:hAnsi="Times New Roman" w:cs="Times New Roman"/>
          <w:sz w:val="24"/>
          <w:szCs w:val="24"/>
        </w:rPr>
        <w:t xml:space="preserve">, Y. G. (2012). </w:t>
      </w:r>
      <w:r w:rsidRPr="00B07655">
        <w:rPr>
          <w:rFonts w:ascii="Times New Roman" w:hAnsi="Times New Roman" w:cs="Times New Roman"/>
          <w:i/>
          <w:sz w:val="24"/>
          <w:szCs w:val="24"/>
        </w:rPr>
        <w:t>A. calamus</w:t>
      </w:r>
      <w:r w:rsidRPr="000A12C4">
        <w:rPr>
          <w:rFonts w:ascii="Times New Roman" w:hAnsi="Times New Roman" w:cs="Times New Roman"/>
          <w:sz w:val="24"/>
          <w:szCs w:val="24"/>
        </w:rPr>
        <w:t xml:space="preserve">: A medicinal plant with promising antioxidant and antimicrobial activity. </w:t>
      </w:r>
      <w:r w:rsidRPr="00617D5C">
        <w:rPr>
          <w:rFonts w:ascii="Times New Roman" w:hAnsi="Times New Roman" w:cs="Times New Roman"/>
          <w:i/>
          <w:sz w:val="24"/>
          <w:szCs w:val="24"/>
        </w:rPr>
        <w:t>Journal of Chemical and Pharmaceutical Research</w:t>
      </w:r>
      <w:r w:rsidRPr="000A12C4">
        <w:rPr>
          <w:rFonts w:ascii="Times New Roman" w:hAnsi="Times New Roman" w:cs="Times New Roman"/>
          <w:sz w:val="24"/>
          <w:szCs w:val="24"/>
        </w:rPr>
        <w:t xml:space="preserve">, 4(2), 1216–1220. </w:t>
      </w:r>
    </w:p>
    <w:p w:rsidR="00EC08D5" w:rsidRPr="000A12C4" w:rsidRDefault="00EC08D5" w:rsidP="00617D5C">
      <w:pPr>
        <w:rPr>
          <w:rFonts w:ascii="Times New Roman" w:hAnsi="Times New Roman" w:cs="Times New Roman"/>
          <w:sz w:val="24"/>
          <w:szCs w:val="24"/>
        </w:rPr>
      </w:pPr>
      <w:r w:rsidRPr="000A12C4">
        <w:rPr>
          <w:rFonts w:ascii="Times New Roman" w:hAnsi="Times New Roman" w:cs="Times New Roman"/>
          <w:sz w:val="24"/>
          <w:szCs w:val="24"/>
        </w:rPr>
        <w:lastRenderedPageBreak/>
        <w:t xml:space="preserve">Kumar, S., &amp; Pandey, A. K. (2013). Chemistry and biological activities of flavonoids: An overview. </w:t>
      </w:r>
      <w:r w:rsidRPr="00617D5C">
        <w:rPr>
          <w:rFonts w:ascii="Times New Roman" w:hAnsi="Times New Roman" w:cs="Times New Roman"/>
          <w:i/>
          <w:sz w:val="24"/>
          <w:szCs w:val="24"/>
        </w:rPr>
        <w:t>The Scientific World Journal</w:t>
      </w:r>
      <w:r w:rsidRPr="000A12C4">
        <w:rPr>
          <w:rFonts w:ascii="Times New Roman" w:hAnsi="Times New Roman" w:cs="Times New Roman"/>
          <w:sz w:val="24"/>
          <w:szCs w:val="24"/>
        </w:rPr>
        <w:t xml:space="preserve">, 2013, 162750. </w:t>
      </w:r>
      <w:hyperlink r:id="rId19" w:history="1">
        <w:r w:rsidRPr="000A12C4">
          <w:rPr>
            <w:rStyle w:val="Hyperlink"/>
            <w:rFonts w:ascii="Times New Roman" w:hAnsi="Times New Roman" w:cs="Times New Roman"/>
            <w:sz w:val="24"/>
            <w:szCs w:val="24"/>
          </w:rPr>
          <w:t>https://doi.org/10.1155/2013/162750</w:t>
        </w:r>
      </w:hyperlink>
    </w:p>
    <w:p w:rsidR="00EC08D5" w:rsidRPr="000A12C4" w:rsidRDefault="00EC08D5" w:rsidP="00617D5C">
      <w:pPr>
        <w:tabs>
          <w:tab w:val="left" w:pos="770"/>
        </w:tabs>
        <w:autoSpaceDE w:val="0"/>
        <w:autoSpaceDN w:val="0"/>
        <w:adjustRightInd w:val="0"/>
        <w:spacing w:before="240" w:after="0"/>
        <w:jc w:val="both"/>
        <w:rPr>
          <w:rFonts w:ascii="Times New Roman" w:hAnsi="Times New Roman" w:cs="Times New Roman"/>
          <w:sz w:val="24"/>
          <w:szCs w:val="24"/>
        </w:rPr>
      </w:pPr>
      <w:proofErr w:type="spellStart"/>
      <w:r w:rsidRPr="000A12C4">
        <w:rPr>
          <w:rFonts w:ascii="Times New Roman" w:hAnsi="Times New Roman" w:cs="Times New Roman"/>
          <w:sz w:val="24"/>
          <w:szCs w:val="24"/>
        </w:rPr>
        <w:t>Nithianantham</w:t>
      </w:r>
      <w:proofErr w:type="spellEnd"/>
      <w:r w:rsidRPr="000A12C4">
        <w:rPr>
          <w:rFonts w:ascii="Times New Roman" w:hAnsi="Times New Roman" w:cs="Times New Roman"/>
          <w:sz w:val="24"/>
          <w:szCs w:val="24"/>
        </w:rPr>
        <w:t xml:space="preserve">, K., </w:t>
      </w:r>
      <w:proofErr w:type="spellStart"/>
      <w:r w:rsidRPr="000A12C4">
        <w:rPr>
          <w:rFonts w:ascii="Times New Roman" w:hAnsi="Times New Roman" w:cs="Times New Roman"/>
          <w:sz w:val="24"/>
          <w:szCs w:val="24"/>
        </w:rPr>
        <w:t>Shyamala</w:t>
      </w:r>
      <w:proofErr w:type="spellEnd"/>
      <w:r w:rsidRPr="000A12C4">
        <w:rPr>
          <w:rFonts w:ascii="Times New Roman" w:hAnsi="Times New Roman" w:cs="Times New Roman"/>
          <w:sz w:val="24"/>
          <w:szCs w:val="24"/>
        </w:rPr>
        <w:t xml:space="preserve">, M., Chen, Y., </w:t>
      </w:r>
      <w:proofErr w:type="spellStart"/>
      <w:r w:rsidRPr="000A12C4">
        <w:rPr>
          <w:rFonts w:ascii="Times New Roman" w:hAnsi="Times New Roman" w:cs="Times New Roman"/>
          <w:sz w:val="24"/>
          <w:szCs w:val="24"/>
        </w:rPr>
        <w:t>Latha</w:t>
      </w:r>
      <w:proofErr w:type="spellEnd"/>
      <w:r w:rsidRPr="000A12C4">
        <w:rPr>
          <w:rFonts w:ascii="Times New Roman" w:hAnsi="Times New Roman" w:cs="Times New Roman"/>
          <w:sz w:val="24"/>
          <w:szCs w:val="24"/>
        </w:rPr>
        <w:t xml:space="preserve">, L.Y., </w:t>
      </w:r>
      <w:proofErr w:type="spellStart"/>
      <w:r w:rsidRPr="000A12C4">
        <w:rPr>
          <w:rFonts w:ascii="Times New Roman" w:hAnsi="Times New Roman" w:cs="Times New Roman"/>
          <w:sz w:val="24"/>
          <w:szCs w:val="24"/>
        </w:rPr>
        <w:t>Jothy</w:t>
      </w:r>
      <w:proofErr w:type="spellEnd"/>
      <w:r w:rsidRPr="000A12C4">
        <w:rPr>
          <w:rFonts w:ascii="Times New Roman" w:hAnsi="Times New Roman" w:cs="Times New Roman"/>
          <w:sz w:val="24"/>
          <w:szCs w:val="24"/>
        </w:rPr>
        <w:t xml:space="preserve">, S.L., and </w:t>
      </w:r>
      <w:proofErr w:type="spellStart"/>
      <w:r w:rsidRPr="000A12C4">
        <w:rPr>
          <w:rFonts w:ascii="Times New Roman" w:hAnsi="Times New Roman" w:cs="Times New Roman"/>
          <w:sz w:val="24"/>
          <w:szCs w:val="24"/>
        </w:rPr>
        <w:t>Sasidharan</w:t>
      </w:r>
      <w:proofErr w:type="spellEnd"/>
      <w:r w:rsidRPr="000A12C4">
        <w:rPr>
          <w:rFonts w:ascii="Times New Roman" w:hAnsi="Times New Roman" w:cs="Times New Roman"/>
          <w:sz w:val="24"/>
          <w:szCs w:val="24"/>
        </w:rPr>
        <w:t xml:space="preserve">, S., (2011). Hepatoprotective potential of </w:t>
      </w:r>
      <w:proofErr w:type="spellStart"/>
      <w:r w:rsidRPr="000A12C4">
        <w:rPr>
          <w:rFonts w:ascii="Times New Roman" w:hAnsi="Times New Roman" w:cs="Times New Roman"/>
          <w:i/>
          <w:sz w:val="24"/>
          <w:szCs w:val="24"/>
        </w:rPr>
        <w:t>Clitoriaternatea</w:t>
      </w:r>
      <w:r w:rsidRPr="000A12C4">
        <w:rPr>
          <w:rFonts w:ascii="Times New Roman" w:hAnsi="Times New Roman" w:cs="Times New Roman"/>
          <w:sz w:val="24"/>
          <w:szCs w:val="24"/>
        </w:rPr>
        <w:t>leafextract</w:t>
      </w:r>
      <w:proofErr w:type="spellEnd"/>
      <w:r w:rsidRPr="000A12C4">
        <w:rPr>
          <w:rFonts w:ascii="Times New Roman" w:hAnsi="Times New Roman" w:cs="Times New Roman"/>
          <w:sz w:val="24"/>
          <w:szCs w:val="24"/>
        </w:rPr>
        <w:t xml:space="preserve"> against paracetamol induced damage in mice. </w:t>
      </w:r>
      <w:r w:rsidRPr="000A12C4">
        <w:rPr>
          <w:rFonts w:ascii="Times New Roman" w:hAnsi="Times New Roman" w:cs="Times New Roman"/>
          <w:i/>
          <w:sz w:val="24"/>
          <w:szCs w:val="24"/>
        </w:rPr>
        <w:t>Molecules</w:t>
      </w:r>
      <w:r w:rsidRPr="000A12C4">
        <w:rPr>
          <w:rFonts w:ascii="Times New Roman" w:hAnsi="Times New Roman" w:cs="Times New Roman"/>
          <w:sz w:val="24"/>
          <w:szCs w:val="24"/>
        </w:rPr>
        <w:t>; 16 (12): 10134-10145.</w:t>
      </w:r>
    </w:p>
    <w:p w:rsidR="00EC08D5" w:rsidRPr="000A12C4" w:rsidRDefault="00EC08D5" w:rsidP="00617D5C">
      <w:pPr>
        <w:spacing w:before="240"/>
        <w:rPr>
          <w:rFonts w:ascii="Times New Roman" w:hAnsi="Times New Roman" w:cs="Times New Roman"/>
          <w:sz w:val="24"/>
          <w:szCs w:val="24"/>
        </w:rPr>
      </w:pPr>
      <w:r w:rsidRPr="000A12C4">
        <w:rPr>
          <w:rFonts w:ascii="Times New Roman" w:hAnsi="Times New Roman" w:cs="Times New Roman"/>
          <w:sz w:val="24"/>
          <w:szCs w:val="24"/>
        </w:rPr>
        <w:t xml:space="preserve">Sanchez-Moreno, C. (2002). Review: Methods used to evaluate the free radical scavenging activity in foods and biological systems. </w:t>
      </w:r>
      <w:r w:rsidRPr="00617D5C">
        <w:rPr>
          <w:rFonts w:ascii="Times New Roman" w:hAnsi="Times New Roman" w:cs="Times New Roman"/>
          <w:i/>
          <w:sz w:val="24"/>
          <w:szCs w:val="24"/>
        </w:rPr>
        <w:t>Food Science and Technology International</w:t>
      </w:r>
      <w:r w:rsidRPr="000A12C4">
        <w:rPr>
          <w:rFonts w:ascii="Times New Roman" w:hAnsi="Times New Roman" w:cs="Times New Roman"/>
          <w:sz w:val="24"/>
          <w:szCs w:val="24"/>
        </w:rPr>
        <w:t xml:space="preserve">, 8(3), 121–137. </w:t>
      </w:r>
      <w:hyperlink r:id="rId20" w:history="1">
        <w:r w:rsidRPr="000A12C4">
          <w:rPr>
            <w:rStyle w:val="Hyperlink"/>
            <w:rFonts w:ascii="Times New Roman" w:hAnsi="Times New Roman" w:cs="Times New Roman"/>
            <w:sz w:val="24"/>
            <w:szCs w:val="24"/>
          </w:rPr>
          <w:t>https://doi.org/10.1106/108201302026770</w:t>
        </w:r>
      </w:hyperlink>
    </w:p>
    <w:p w:rsidR="00EC08D5" w:rsidRPr="000A12C4" w:rsidRDefault="00EC08D5" w:rsidP="00617D5C">
      <w:pPr>
        <w:rPr>
          <w:rFonts w:ascii="Times New Roman" w:hAnsi="Times New Roman" w:cs="Times New Roman"/>
          <w:sz w:val="24"/>
          <w:szCs w:val="24"/>
        </w:rPr>
      </w:pPr>
      <w:r w:rsidRPr="000A12C4">
        <w:rPr>
          <w:rFonts w:ascii="Times New Roman" w:hAnsi="Times New Roman" w:cs="Times New Roman"/>
          <w:sz w:val="24"/>
          <w:szCs w:val="24"/>
        </w:rPr>
        <w:t xml:space="preserve">Shah, M., Mir, M. R., </w:t>
      </w:r>
      <w:proofErr w:type="spellStart"/>
      <w:r w:rsidRPr="000A12C4">
        <w:rPr>
          <w:rFonts w:ascii="Times New Roman" w:hAnsi="Times New Roman" w:cs="Times New Roman"/>
          <w:sz w:val="24"/>
          <w:szCs w:val="24"/>
        </w:rPr>
        <w:t>Qadri</w:t>
      </w:r>
      <w:proofErr w:type="spellEnd"/>
      <w:r w:rsidRPr="000A12C4">
        <w:rPr>
          <w:rFonts w:ascii="Times New Roman" w:hAnsi="Times New Roman" w:cs="Times New Roman"/>
          <w:sz w:val="24"/>
          <w:szCs w:val="24"/>
        </w:rPr>
        <w:t>, R. A., &amp;</w:t>
      </w:r>
      <w:proofErr w:type="spellStart"/>
      <w:r w:rsidRPr="000A12C4">
        <w:rPr>
          <w:rFonts w:ascii="Times New Roman" w:hAnsi="Times New Roman" w:cs="Times New Roman"/>
          <w:sz w:val="24"/>
          <w:szCs w:val="24"/>
        </w:rPr>
        <w:t>Ganai</w:t>
      </w:r>
      <w:proofErr w:type="spellEnd"/>
      <w:r w:rsidRPr="000A12C4">
        <w:rPr>
          <w:rFonts w:ascii="Times New Roman" w:hAnsi="Times New Roman" w:cs="Times New Roman"/>
          <w:sz w:val="24"/>
          <w:szCs w:val="24"/>
        </w:rPr>
        <w:t xml:space="preserve">, B. A. (2020). Comparative phytochemical and antioxidant analysis of </w:t>
      </w:r>
      <w:r w:rsidRPr="009D103E">
        <w:rPr>
          <w:rFonts w:ascii="Times New Roman" w:hAnsi="Times New Roman" w:cs="Times New Roman"/>
          <w:i/>
          <w:sz w:val="24"/>
          <w:szCs w:val="24"/>
        </w:rPr>
        <w:t xml:space="preserve">A. </w:t>
      </w:r>
      <w:proofErr w:type="spellStart"/>
      <w:proofErr w:type="gramStart"/>
      <w:r w:rsidRPr="009D103E">
        <w:rPr>
          <w:rFonts w:ascii="Times New Roman" w:hAnsi="Times New Roman" w:cs="Times New Roman"/>
          <w:i/>
          <w:sz w:val="24"/>
          <w:szCs w:val="24"/>
        </w:rPr>
        <w:t>absinthium</w:t>
      </w:r>
      <w:proofErr w:type="spellEnd"/>
      <w:r w:rsidRPr="009D103E">
        <w:rPr>
          <w:rFonts w:ascii="Times New Roman" w:hAnsi="Times New Roman" w:cs="Times New Roman"/>
          <w:i/>
          <w:sz w:val="24"/>
          <w:szCs w:val="24"/>
        </w:rPr>
        <w:t xml:space="preserve"> </w:t>
      </w:r>
      <w:r w:rsidRPr="000A12C4">
        <w:rPr>
          <w:rFonts w:ascii="Times New Roman" w:hAnsi="Times New Roman" w:cs="Times New Roman"/>
          <w:sz w:val="24"/>
          <w:szCs w:val="24"/>
        </w:rPr>
        <w:t xml:space="preserve"> </w:t>
      </w:r>
      <w:proofErr w:type="spellStart"/>
      <w:r w:rsidRPr="000A12C4">
        <w:rPr>
          <w:rFonts w:ascii="Times New Roman" w:hAnsi="Times New Roman" w:cs="Times New Roman"/>
          <w:sz w:val="24"/>
          <w:szCs w:val="24"/>
        </w:rPr>
        <w:t>absinthium</w:t>
      </w:r>
      <w:proofErr w:type="spellEnd"/>
      <w:proofErr w:type="gramEnd"/>
      <w:r w:rsidRPr="000A12C4">
        <w:rPr>
          <w:rFonts w:ascii="Times New Roman" w:hAnsi="Times New Roman" w:cs="Times New Roman"/>
          <w:sz w:val="24"/>
          <w:szCs w:val="24"/>
        </w:rPr>
        <w:t xml:space="preserve"> and </w:t>
      </w:r>
      <w:r w:rsidRPr="009D103E">
        <w:rPr>
          <w:rFonts w:ascii="Times New Roman" w:hAnsi="Times New Roman" w:cs="Times New Roman"/>
          <w:i/>
          <w:sz w:val="24"/>
          <w:szCs w:val="24"/>
        </w:rPr>
        <w:t xml:space="preserve">A. </w:t>
      </w:r>
      <w:proofErr w:type="spellStart"/>
      <w:r w:rsidRPr="009D103E">
        <w:rPr>
          <w:rFonts w:ascii="Times New Roman" w:hAnsi="Times New Roman" w:cs="Times New Roman"/>
          <w:i/>
          <w:sz w:val="24"/>
          <w:szCs w:val="24"/>
        </w:rPr>
        <w:t>absinthium</w:t>
      </w:r>
      <w:proofErr w:type="spellEnd"/>
      <w:r w:rsidRPr="009D103E">
        <w:rPr>
          <w:rFonts w:ascii="Times New Roman" w:hAnsi="Times New Roman" w:cs="Times New Roman"/>
          <w:i/>
          <w:sz w:val="24"/>
          <w:szCs w:val="24"/>
        </w:rPr>
        <w:t xml:space="preserve"> </w:t>
      </w:r>
      <w:r w:rsidRPr="000A12C4">
        <w:rPr>
          <w:rFonts w:ascii="Times New Roman" w:hAnsi="Times New Roman" w:cs="Times New Roman"/>
          <w:sz w:val="24"/>
          <w:szCs w:val="24"/>
        </w:rPr>
        <w:t xml:space="preserve"> vulgaris from Kashmir Himalaya. </w:t>
      </w:r>
      <w:r w:rsidRPr="00617D5C">
        <w:rPr>
          <w:rFonts w:ascii="Times New Roman" w:hAnsi="Times New Roman" w:cs="Times New Roman"/>
          <w:i/>
          <w:sz w:val="24"/>
          <w:szCs w:val="24"/>
        </w:rPr>
        <w:t>Plant Archives</w:t>
      </w:r>
      <w:r w:rsidRPr="000A12C4">
        <w:rPr>
          <w:rFonts w:ascii="Times New Roman" w:hAnsi="Times New Roman" w:cs="Times New Roman"/>
          <w:sz w:val="24"/>
          <w:szCs w:val="24"/>
        </w:rPr>
        <w:t>, 20(1), 2368–2374.</w:t>
      </w:r>
    </w:p>
    <w:p w:rsidR="00EC08D5" w:rsidRPr="000A12C4" w:rsidRDefault="00EC08D5" w:rsidP="00617D5C">
      <w:pPr>
        <w:rPr>
          <w:rFonts w:ascii="Times New Roman" w:hAnsi="Times New Roman" w:cs="Times New Roman"/>
          <w:sz w:val="24"/>
          <w:szCs w:val="24"/>
        </w:rPr>
      </w:pPr>
      <w:proofErr w:type="spellStart"/>
      <w:r w:rsidRPr="000A12C4">
        <w:rPr>
          <w:rFonts w:ascii="Times New Roman" w:hAnsi="Times New Roman" w:cs="Times New Roman"/>
          <w:sz w:val="24"/>
          <w:szCs w:val="24"/>
        </w:rPr>
        <w:t>Shoib</w:t>
      </w:r>
      <w:proofErr w:type="spellEnd"/>
      <w:r w:rsidRPr="000A12C4">
        <w:rPr>
          <w:rFonts w:ascii="Times New Roman" w:hAnsi="Times New Roman" w:cs="Times New Roman"/>
          <w:sz w:val="24"/>
          <w:szCs w:val="24"/>
        </w:rPr>
        <w:t xml:space="preserve">, A., &amp; Shahid, M. (2015). Role of polyphenols and flavonoids in health and disease. </w:t>
      </w:r>
      <w:r w:rsidRPr="00617D5C">
        <w:rPr>
          <w:rFonts w:ascii="Times New Roman" w:hAnsi="Times New Roman" w:cs="Times New Roman"/>
          <w:i/>
          <w:sz w:val="24"/>
          <w:szCs w:val="24"/>
        </w:rPr>
        <w:t>International Journal of Current Pharmaceutical Review and Research,</w:t>
      </w:r>
      <w:r w:rsidRPr="000A12C4">
        <w:rPr>
          <w:rFonts w:ascii="Times New Roman" w:hAnsi="Times New Roman" w:cs="Times New Roman"/>
          <w:sz w:val="24"/>
          <w:szCs w:val="24"/>
        </w:rPr>
        <w:t xml:space="preserve"> 6(1), 1–5.</w:t>
      </w:r>
    </w:p>
    <w:p w:rsidR="00EC08D5" w:rsidRPr="000A12C4" w:rsidRDefault="00EC08D5" w:rsidP="00617D5C">
      <w:pPr>
        <w:rPr>
          <w:rFonts w:ascii="Times New Roman" w:hAnsi="Times New Roman" w:cs="Times New Roman"/>
          <w:sz w:val="24"/>
          <w:szCs w:val="24"/>
        </w:rPr>
      </w:pPr>
      <w:r w:rsidRPr="000A12C4">
        <w:rPr>
          <w:rFonts w:ascii="Times New Roman" w:hAnsi="Times New Roman" w:cs="Times New Roman"/>
          <w:sz w:val="24"/>
          <w:szCs w:val="24"/>
        </w:rPr>
        <w:t xml:space="preserve">Singh, R., Singh, G., &amp; Sharma, B. (2016). Phytochemical analysis and antioxidant activity of </w:t>
      </w:r>
      <w:r w:rsidRPr="00B07655">
        <w:rPr>
          <w:rFonts w:ascii="Times New Roman" w:hAnsi="Times New Roman" w:cs="Times New Roman"/>
          <w:i/>
          <w:sz w:val="24"/>
          <w:szCs w:val="24"/>
        </w:rPr>
        <w:t>A. calamus</w:t>
      </w:r>
      <w:r w:rsidRPr="000A12C4">
        <w:rPr>
          <w:rFonts w:ascii="Times New Roman" w:hAnsi="Times New Roman" w:cs="Times New Roman"/>
          <w:sz w:val="24"/>
          <w:szCs w:val="24"/>
        </w:rPr>
        <w:t xml:space="preserve">. </w:t>
      </w:r>
      <w:r w:rsidRPr="00617D5C">
        <w:rPr>
          <w:rFonts w:ascii="Times New Roman" w:hAnsi="Times New Roman" w:cs="Times New Roman"/>
          <w:i/>
          <w:sz w:val="24"/>
          <w:szCs w:val="24"/>
        </w:rPr>
        <w:t>Indian Journal of Pharmaceutical Sciences,</w:t>
      </w:r>
      <w:r w:rsidRPr="000A12C4">
        <w:rPr>
          <w:rFonts w:ascii="Times New Roman" w:hAnsi="Times New Roman" w:cs="Times New Roman"/>
          <w:sz w:val="24"/>
          <w:szCs w:val="24"/>
        </w:rPr>
        <w:t xml:space="preserve"> 78(1), 42–47.</w:t>
      </w:r>
    </w:p>
    <w:p w:rsidR="00EC08D5" w:rsidRPr="000A12C4" w:rsidRDefault="00EC08D5" w:rsidP="00617D5C">
      <w:pPr>
        <w:rPr>
          <w:rFonts w:ascii="Times New Roman" w:hAnsi="Times New Roman" w:cs="Times New Roman"/>
          <w:sz w:val="24"/>
          <w:szCs w:val="24"/>
        </w:rPr>
      </w:pPr>
      <w:proofErr w:type="spellStart"/>
      <w:r w:rsidRPr="000A12C4">
        <w:rPr>
          <w:rFonts w:ascii="Times New Roman" w:hAnsi="Times New Roman" w:cs="Times New Roman"/>
          <w:sz w:val="24"/>
          <w:szCs w:val="24"/>
        </w:rPr>
        <w:t>Soobrattee</w:t>
      </w:r>
      <w:proofErr w:type="spellEnd"/>
      <w:r w:rsidRPr="000A12C4">
        <w:rPr>
          <w:rFonts w:ascii="Times New Roman" w:hAnsi="Times New Roman" w:cs="Times New Roman"/>
          <w:sz w:val="24"/>
          <w:szCs w:val="24"/>
        </w:rPr>
        <w:t xml:space="preserve">, M. A., </w:t>
      </w:r>
      <w:proofErr w:type="spellStart"/>
      <w:r w:rsidRPr="000A12C4">
        <w:rPr>
          <w:rFonts w:ascii="Times New Roman" w:hAnsi="Times New Roman" w:cs="Times New Roman"/>
          <w:sz w:val="24"/>
          <w:szCs w:val="24"/>
        </w:rPr>
        <w:t>Neergheen</w:t>
      </w:r>
      <w:proofErr w:type="spellEnd"/>
      <w:r w:rsidRPr="000A12C4">
        <w:rPr>
          <w:rFonts w:ascii="Times New Roman" w:hAnsi="Times New Roman" w:cs="Times New Roman"/>
          <w:sz w:val="24"/>
          <w:szCs w:val="24"/>
        </w:rPr>
        <w:t xml:space="preserve">, V. S., </w:t>
      </w:r>
      <w:proofErr w:type="spellStart"/>
      <w:r w:rsidRPr="000A12C4">
        <w:rPr>
          <w:rFonts w:ascii="Times New Roman" w:hAnsi="Times New Roman" w:cs="Times New Roman"/>
          <w:sz w:val="24"/>
          <w:szCs w:val="24"/>
        </w:rPr>
        <w:t>Luximon-Ramma</w:t>
      </w:r>
      <w:proofErr w:type="spellEnd"/>
      <w:r w:rsidRPr="000A12C4">
        <w:rPr>
          <w:rFonts w:ascii="Times New Roman" w:hAnsi="Times New Roman" w:cs="Times New Roman"/>
          <w:sz w:val="24"/>
          <w:szCs w:val="24"/>
        </w:rPr>
        <w:t xml:space="preserve">, A., </w:t>
      </w:r>
      <w:proofErr w:type="spellStart"/>
      <w:r w:rsidRPr="000A12C4">
        <w:rPr>
          <w:rFonts w:ascii="Times New Roman" w:hAnsi="Times New Roman" w:cs="Times New Roman"/>
          <w:sz w:val="24"/>
          <w:szCs w:val="24"/>
        </w:rPr>
        <w:t>Aruoma</w:t>
      </w:r>
      <w:proofErr w:type="spellEnd"/>
      <w:r w:rsidRPr="000A12C4">
        <w:rPr>
          <w:rFonts w:ascii="Times New Roman" w:hAnsi="Times New Roman" w:cs="Times New Roman"/>
          <w:sz w:val="24"/>
          <w:szCs w:val="24"/>
        </w:rPr>
        <w:t>, O. I., &amp;</w:t>
      </w:r>
      <w:proofErr w:type="spellStart"/>
      <w:r w:rsidRPr="000A12C4">
        <w:rPr>
          <w:rFonts w:ascii="Times New Roman" w:hAnsi="Times New Roman" w:cs="Times New Roman"/>
          <w:sz w:val="24"/>
          <w:szCs w:val="24"/>
        </w:rPr>
        <w:t>Bahorun</w:t>
      </w:r>
      <w:proofErr w:type="spellEnd"/>
      <w:r w:rsidRPr="000A12C4">
        <w:rPr>
          <w:rFonts w:ascii="Times New Roman" w:hAnsi="Times New Roman" w:cs="Times New Roman"/>
          <w:sz w:val="24"/>
          <w:szCs w:val="24"/>
        </w:rPr>
        <w:t xml:space="preserve">, T. (2005). Phenolics as potential antioxidant therapeutic agents: Mechanism and actions. </w:t>
      </w:r>
      <w:r w:rsidRPr="00617D5C">
        <w:rPr>
          <w:rFonts w:ascii="Times New Roman" w:hAnsi="Times New Roman" w:cs="Times New Roman"/>
          <w:i/>
          <w:sz w:val="24"/>
          <w:szCs w:val="24"/>
        </w:rPr>
        <w:t>Mutation Research/Fundamental and Molecular Mechanisms of Mutagenesis,</w:t>
      </w:r>
      <w:r w:rsidRPr="000A12C4">
        <w:rPr>
          <w:rFonts w:ascii="Times New Roman" w:hAnsi="Times New Roman" w:cs="Times New Roman"/>
          <w:sz w:val="24"/>
          <w:szCs w:val="24"/>
        </w:rPr>
        <w:t xml:space="preserve"> 579(1–2), 200–213. </w:t>
      </w:r>
      <w:hyperlink r:id="rId21" w:history="1">
        <w:r w:rsidRPr="000A12C4">
          <w:rPr>
            <w:rStyle w:val="Hyperlink"/>
            <w:rFonts w:ascii="Times New Roman" w:hAnsi="Times New Roman" w:cs="Times New Roman"/>
            <w:sz w:val="24"/>
            <w:szCs w:val="24"/>
          </w:rPr>
          <w:t>https://doi.org/10.1016/j.mrfmmm.2005.03.023</w:t>
        </w:r>
      </w:hyperlink>
    </w:p>
    <w:p w:rsidR="00EC08D5" w:rsidRPr="008B4C5F" w:rsidRDefault="00EC08D5" w:rsidP="00353419">
      <w:pPr>
        <w:rPr>
          <w:rFonts w:ascii="Times New Roman" w:hAnsi="Times New Roman" w:cs="Times New Roman"/>
          <w:sz w:val="24"/>
          <w:szCs w:val="24"/>
        </w:rPr>
      </w:pPr>
      <w:proofErr w:type="spellStart"/>
      <w:r w:rsidRPr="008B4C5F">
        <w:rPr>
          <w:rFonts w:ascii="Times New Roman" w:hAnsi="Times New Roman" w:cs="Times New Roman"/>
          <w:sz w:val="24"/>
          <w:szCs w:val="24"/>
        </w:rPr>
        <w:t>Tayarani-Najaran</w:t>
      </w:r>
      <w:proofErr w:type="spellEnd"/>
      <w:r w:rsidRPr="008B4C5F">
        <w:rPr>
          <w:rFonts w:ascii="Times New Roman" w:hAnsi="Times New Roman" w:cs="Times New Roman"/>
          <w:sz w:val="24"/>
          <w:szCs w:val="24"/>
        </w:rPr>
        <w:t xml:space="preserve">, Z., </w:t>
      </w:r>
      <w:proofErr w:type="spellStart"/>
      <w:r w:rsidRPr="008B4C5F">
        <w:rPr>
          <w:rFonts w:ascii="Times New Roman" w:hAnsi="Times New Roman" w:cs="Times New Roman"/>
          <w:sz w:val="24"/>
          <w:szCs w:val="24"/>
        </w:rPr>
        <w:t>Talebi</w:t>
      </w:r>
      <w:proofErr w:type="spellEnd"/>
      <w:r w:rsidRPr="008B4C5F">
        <w:rPr>
          <w:rFonts w:ascii="Times New Roman" w:hAnsi="Times New Roman" w:cs="Times New Roman"/>
          <w:sz w:val="24"/>
          <w:szCs w:val="24"/>
        </w:rPr>
        <w:t xml:space="preserve">, A., &amp; </w:t>
      </w:r>
      <w:proofErr w:type="spellStart"/>
      <w:r w:rsidRPr="008B4C5F">
        <w:rPr>
          <w:rFonts w:ascii="Times New Roman" w:hAnsi="Times New Roman" w:cs="Times New Roman"/>
          <w:sz w:val="24"/>
          <w:szCs w:val="24"/>
        </w:rPr>
        <w:t>Jalali</w:t>
      </w:r>
      <w:proofErr w:type="spellEnd"/>
      <w:r w:rsidRPr="008B4C5F">
        <w:rPr>
          <w:rFonts w:ascii="Times New Roman" w:hAnsi="Times New Roman" w:cs="Times New Roman"/>
          <w:sz w:val="24"/>
          <w:szCs w:val="24"/>
        </w:rPr>
        <w:t xml:space="preserve">, A. (2021). The role of </w:t>
      </w:r>
      <w:r w:rsidRPr="009D103E">
        <w:rPr>
          <w:rFonts w:ascii="Times New Roman" w:hAnsi="Times New Roman" w:cs="Times New Roman"/>
          <w:i/>
          <w:sz w:val="24"/>
          <w:szCs w:val="24"/>
        </w:rPr>
        <w:t xml:space="preserve">A. </w:t>
      </w:r>
      <w:proofErr w:type="spellStart"/>
      <w:proofErr w:type="gramStart"/>
      <w:r w:rsidRPr="009D103E">
        <w:rPr>
          <w:rFonts w:ascii="Times New Roman" w:hAnsi="Times New Roman" w:cs="Times New Roman"/>
          <w:i/>
          <w:sz w:val="24"/>
          <w:szCs w:val="24"/>
        </w:rPr>
        <w:t>absinthium</w:t>
      </w:r>
      <w:proofErr w:type="spellEnd"/>
      <w:r w:rsidRPr="009D103E">
        <w:rPr>
          <w:rFonts w:ascii="Times New Roman" w:hAnsi="Times New Roman" w:cs="Times New Roman"/>
          <w:i/>
          <w:sz w:val="24"/>
          <w:szCs w:val="24"/>
        </w:rPr>
        <w:t xml:space="preserve"> </w:t>
      </w:r>
      <w:r w:rsidRPr="008B4C5F">
        <w:rPr>
          <w:rFonts w:ascii="Times New Roman" w:hAnsi="Times New Roman" w:cs="Times New Roman"/>
          <w:sz w:val="24"/>
          <w:szCs w:val="24"/>
        </w:rPr>
        <w:t xml:space="preserve"> species</w:t>
      </w:r>
      <w:proofErr w:type="gramEnd"/>
      <w:r w:rsidRPr="008B4C5F">
        <w:rPr>
          <w:rFonts w:ascii="Times New Roman" w:hAnsi="Times New Roman" w:cs="Times New Roman"/>
          <w:sz w:val="24"/>
          <w:szCs w:val="24"/>
        </w:rPr>
        <w:t xml:space="preserve"> in cancer therapy: A systematic review of in vitro and in vivo studies. Journal of Ethnopharmacology, 276, 114194. </w:t>
      </w:r>
      <w:hyperlink r:id="rId22" w:history="1">
        <w:r w:rsidRPr="0009676F">
          <w:rPr>
            <w:rStyle w:val="Hyperlink"/>
            <w:rFonts w:ascii="Times New Roman" w:hAnsi="Times New Roman" w:cs="Times New Roman"/>
            <w:sz w:val="24"/>
            <w:szCs w:val="24"/>
          </w:rPr>
          <w:t>https://doi.org/10.1016/j.jep.2021.114194</w:t>
        </w:r>
      </w:hyperlink>
      <w:r>
        <w:rPr>
          <w:rFonts w:ascii="Times New Roman" w:hAnsi="Times New Roman" w:cs="Times New Roman"/>
          <w:sz w:val="24"/>
          <w:szCs w:val="24"/>
        </w:rPr>
        <w:t xml:space="preserve"> </w:t>
      </w:r>
    </w:p>
    <w:p w:rsidR="00EC08D5" w:rsidRPr="000A12C4" w:rsidRDefault="00EC08D5" w:rsidP="00617D5C">
      <w:pPr>
        <w:rPr>
          <w:rFonts w:ascii="Times New Roman" w:hAnsi="Times New Roman" w:cs="Times New Roman"/>
          <w:sz w:val="24"/>
          <w:szCs w:val="24"/>
        </w:rPr>
      </w:pPr>
      <w:r w:rsidRPr="000A12C4">
        <w:rPr>
          <w:rFonts w:ascii="Times New Roman" w:hAnsi="Times New Roman" w:cs="Times New Roman"/>
          <w:sz w:val="24"/>
          <w:szCs w:val="24"/>
        </w:rPr>
        <w:t xml:space="preserve">Tiwari, P., </w:t>
      </w:r>
      <w:proofErr w:type="spellStart"/>
      <w:r w:rsidRPr="000A12C4">
        <w:rPr>
          <w:rFonts w:ascii="Times New Roman" w:hAnsi="Times New Roman" w:cs="Times New Roman"/>
          <w:sz w:val="24"/>
          <w:szCs w:val="24"/>
        </w:rPr>
        <w:t>Bimlesh</w:t>
      </w:r>
      <w:proofErr w:type="spellEnd"/>
      <w:r w:rsidRPr="000A12C4">
        <w:rPr>
          <w:rFonts w:ascii="Times New Roman" w:hAnsi="Times New Roman" w:cs="Times New Roman"/>
          <w:sz w:val="24"/>
          <w:szCs w:val="24"/>
        </w:rPr>
        <w:t xml:space="preserve">, K., Kaur, H., Kaur, R., &amp; Kaur, H. (2014). Phytochemical screening and extraction: A review. </w:t>
      </w:r>
      <w:proofErr w:type="spellStart"/>
      <w:r w:rsidRPr="00617D5C">
        <w:rPr>
          <w:rFonts w:ascii="Times New Roman" w:hAnsi="Times New Roman" w:cs="Times New Roman"/>
          <w:i/>
          <w:sz w:val="24"/>
          <w:szCs w:val="24"/>
        </w:rPr>
        <w:t>InternationalePharmaceuticaSciencia</w:t>
      </w:r>
      <w:proofErr w:type="spellEnd"/>
      <w:r w:rsidRPr="00617D5C">
        <w:rPr>
          <w:rFonts w:ascii="Times New Roman" w:hAnsi="Times New Roman" w:cs="Times New Roman"/>
          <w:i/>
          <w:sz w:val="24"/>
          <w:szCs w:val="24"/>
        </w:rPr>
        <w:t>,</w:t>
      </w:r>
      <w:r w:rsidRPr="000A12C4">
        <w:rPr>
          <w:rFonts w:ascii="Times New Roman" w:hAnsi="Times New Roman" w:cs="Times New Roman"/>
          <w:sz w:val="24"/>
          <w:szCs w:val="24"/>
        </w:rPr>
        <w:t xml:space="preserve"> 1(1), 98–106.</w:t>
      </w:r>
    </w:p>
    <w:p w:rsidR="00EC08D5" w:rsidRDefault="00EC08D5" w:rsidP="00617D5C">
      <w:r w:rsidRPr="000A12C4">
        <w:rPr>
          <w:rFonts w:ascii="Times New Roman" w:hAnsi="Times New Roman" w:cs="Times New Roman"/>
          <w:sz w:val="24"/>
          <w:szCs w:val="24"/>
        </w:rPr>
        <w:t>Tu, Y. (2011). The discovery of artemisinin (</w:t>
      </w:r>
      <w:proofErr w:type="spellStart"/>
      <w:r w:rsidRPr="000A12C4">
        <w:rPr>
          <w:rFonts w:ascii="Times New Roman" w:hAnsi="Times New Roman" w:cs="Times New Roman"/>
          <w:sz w:val="24"/>
          <w:szCs w:val="24"/>
        </w:rPr>
        <w:t>qinghaosu</w:t>
      </w:r>
      <w:proofErr w:type="spellEnd"/>
      <w:r w:rsidRPr="000A12C4">
        <w:rPr>
          <w:rFonts w:ascii="Times New Roman" w:hAnsi="Times New Roman" w:cs="Times New Roman"/>
          <w:sz w:val="24"/>
          <w:szCs w:val="24"/>
        </w:rPr>
        <w:t xml:space="preserve">) and gifts from Chinese medicine. </w:t>
      </w:r>
      <w:r w:rsidRPr="00617D5C">
        <w:rPr>
          <w:rFonts w:ascii="Times New Roman" w:hAnsi="Times New Roman" w:cs="Times New Roman"/>
          <w:i/>
          <w:sz w:val="24"/>
          <w:szCs w:val="24"/>
        </w:rPr>
        <w:t>Nature Medicine</w:t>
      </w:r>
      <w:r w:rsidRPr="000A12C4">
        <w:rPr>
          <w:rFonts w:ascii="Times New Roman" w:hAnsi="Times New Roman" w:cs="Times New Roman"/>
          <w:sz w:val="24"/>
          <w:szCs w:val="24"/>
        </w:rPr>
        <w:t xml:space="preserve">, 17, 1217–1220. </w:t>
      </w:r>
      <w:hyperlink r:id="rId23" w:history="1">
        <w:r w:rsidRPr="000A12C4">
          <w:rPr>
            <w:rStyle w:val="Hyperlink"/>
            <w:rFonts w:ascii="Times New Roman" w:hAnsi="Times New Roman" w:cs="Times New Roman"/>
            <w:sz w:val="24"/>
            <w:szCs w:val="24"/>
          </w:rPr>
          <w:t>https://doi.org/10.1038/nm.2471</w:t>
        </w:r>
      </w:hyperlink>
    </w:p>
    <w:p w:rsidR="00EC08D5" w:rsidRPr="008B4C5F" w:rsidRDefault="00EC08D5" w:rsidP="00353419">
      <w:pPr>
        <w:rPr>
          <w:rFonts w:ascii="Times New Roman" w:hAnsi="Times New Roman" w:cs="Times New Roman"/>
          <w:sz w:val="24"/>
          <w:szCs w:val="24"/>
        </w:rPr>
      </w:pPr>
      <w:r w:rsidRPr="008B4C5F">
        <w:rPr>
          <w:rFonts w:ascii="Times New Roman" w:hAnsi="Times New Roman" w:cs="Times New Roman"/>
          <w:sz w:val="24"/>
          <w:szCs w:val="24"/>
        </w:rPr>
        <w:t xml:space="preserve">Wang, J., Li, Y., Yang, X., &amp; Yang, Z. (2020). Phytochemical constituents and biological activities of </w:t>
      </w:r>
      <w:r w:rsidRPr="009D103E">
        <w:rPr>
          <w:rFonts w:ascii="Times New Roman" w:hAnsi="Times New Roman" w:cs="Times New Roman"/>
          <w:i/>
          <w:sz w:val="24"/>
          <w:szCs w:val="24"/>
        </w:rPr>
        <w:t xml:space="preserve">A. </w:t>
      </w:r>
      <w:proofErr w:type="spellStart"/>
      <w:proofErr w:type="gramStart"/>
      <w:r w:rsidRPr="009D103E">
        <w:rPr>
          <w:rFonts w:ascii="Times New Roman" w:hAnsi="Times New Roman" w:cs="Times New Roman"/>
          <w:i/>
          <w:sz w:val="24"/>
          <w:szCs w:val="24"/>
        </w:rPr>
        <w:t>absinthium</w:t>
      </w:r>
      <w:proofErr w:type="spellEnd"/>
      <w:r w:rsidRPr="009D103E">
        <w:rPr>
          <w:rFonts w:ascii="Times New Roman" w:hAnsi="Times New Roman" w:cs="Times New Roman"/>
          <w:i/>
          <w:sz w:val="24"/>
          <w:szCs w:val="24"/>
        </w:rPr>
        <w:t xml:space="preserve"> </w:t>
      </w:r>
      <w:r w:rsidRPr="008B4C5F">
        <w:rPr>
          <w:rFonts w:ascii="Times New Roman" w:hAnsi="Times New Roman" w:cs="Times New Roman"/>
          <w:sz w:val="24"/>
          <w:szCs w:val="24"/>
        </w:rPr>
        <w:t xml:space="preserve"> species</w:t>
      </w:r>
      <w:proofErr w:type="gramEnd"/>
      <w:r w:rsidRPr="008B4C5F">
        <w:rPr>
          <w:rFonts w:ascii="Times New Roman" w:hAnsi="Times New Roman" w:cs="Times New Roman"/>
          <w:sz w:val="24"/>
          <w:szCs w:val="24"/>
        </w:rPr>
        <w:t xml:space="preserve">. Frontiers in Pharmacology, 11, 594982. </w:t>
      </w:r>
      <w:hyperlink r:id="rId24" w:history="1">
        <w:r w:rsidRPr="0009676F">
          <w:rPr>
            <w:rStyle w:val="Hyperlink"/>
            <w:rFonts w:ascii="Times New Roman" w:hAnsi="Times New Roman" w:cs="Times New Roman"/>
            <w:sz w:val="24"/>
            <w:szCs w:val="24"/>
          </w:rPr>
          <w:t>https://doi.org/10.3389/fphar.2020.594982</w:t>
        </w:r>
      </w:hyperlink>
      <w:r>
        <w:rPr>
          <w:rFonts w:ascii="Times New Roman" w:hAnsi="Times New Roman" w:cs="Times New Roman"/>
          <w:sz w:val="24"/>
          <w:szCs w:val="24"/>
        </w:rPr>
        <w:t xml:space="preserve"> </w:t>
      </w:r>
    </w:p>
    <w:sectPr w:rsidR="00EC08D5" w:rsidRPr="008B4C5F" w:rsidSect="00B134A8">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1A8" w:rsidRDefault="001971A8" w:rsidP="00F35181">
      <w:pPr>
        <w:spacing w:after="0" w:line="240" w:lineRule="auto"/>
      </w:pPr>
      <w:r>
        <w:separator/>
      </w:r>
    </w:p>
  </w:endnote>
  <w:endnote w:type="continuationSeparator" w:id="0">
    <w:p w:rsidR="001971A8" w:rsidRDefault="001971A8" w:rsidP="00F3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1C3" w:rsidRDefault="00FA2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1C3" w:rsidRDefault="00FA2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1C3" w:rsidRDefault="00FA2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1A8" w:rsidRDefault="001971A8" w:rsidP="00F35181">
      <w:pPr>
        <w:spacing w:after="0" w:line="240" w:lineRule="auto"/>
      </w:pPr>
      <w:r>
        <w:separator/>
      </w:r>
    </w:p>
  </w:footnote>
  <w:footnote w:type="continuationSeparator" w:id="0">
    <w:p w:rsidR="001971A8" w:rsidRDefault="001971A8" w:rsidP="00F35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1C3" w:rsidRDefault="001971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96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1C3" w:rsidRDefault="001971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96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1C3" w:rsidRDefault="001971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96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315"/>
    <w:multiLevelType w:val="hybridMultilevel"/>
    <w:tmpl w:val="138C41EE"/>
    <w:lvl w:ilvl="0" w:tplc="B6124D3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7FC6"/>
    <w:rsid w:val="0000306F"/>
    <w:rsid w:val="000A12C4"/>
    <w:rsid w:val="00131426"/>
    <w:rsid w:val="00142A09"/>
    <w:rsid w:val="00142DDE"/>
    <w:rsid w:val="001971A8"/>
    <w:rsid w:val="001D6F64"/>
    <w:rsid w:val="001E0127"/>
    <w:rsid w:val="001F50C7"/>
    <w:rsid w:val="0021493A"/>
    <w:rsid w:val="00217E80"/>
    <w:rsid w:val="00234C6C"/>
    <w:rsid w:val="00242ED4"/>
    <w:rsid w:val="002933CB"/>
    <w:rsid w:val="00320E4D"/>
    <w:rsid w:val="00353419"/>
    <w:rsid w:val="003B0AC0"/>
    <w:rsid w:val="003C3082"/>
    <w:rsid w:val="004227E1"/>
    <w:rsid w:val="00444283"/>
    <w:rsid w:val="00447BC5"/>
    <w:rsid w:val="00487FC9"/>
    <w:rsid w:val="004F28DF"/>
    <w:rsid w:val="00536036"/>
    <w:rsid w:val="005C28C4"/>
    <w:rsid w:val="00617D5C"/>
    <w:rsid w:val="00640AF4"/>
    <w:rsid w:val="00641919"/>
    <w:rsid w:val="00683B61"/>
    <w:rsid w:val="006B7220"/>
    <w:rsid w:val="006D4723"/>
    <w:rsid w:val="007C72E5"/>
    <w:rsid w:val="007D7941"/>
    <w:rsid w:val="00832B3A"/>
    <w:rsid w:val="00907E77"/>
    <w:rsid w:val="009445F6"/>
    <w:rsid w:val="00954456"/>
    <w:rsid w:val="0097244B"/>
    <w:rsid w:val="009865C9"/>
    <w:rsid w:val="00987FC6"/>
    <w:rsid w:val="009D103E"/>
    <w:rsid w:val="009F205A"/>
    <w:rsid w:val="009F68D7"/>
    <w:rsid w:val="00AD3CDA"/>
    <w:rsid w:val="00B0083E"/>
    <w:rsid w:val="00B07655"/>
    <w:rsid w:val="00B134A8"/>
    <w:rsid w:val="00B903C7"/>
    <w:rsid w:val="00BC1698"/>
    <w:rsid w:val="00BD083E"/>
    <w:rsid w:val="00BD6868"/>
    <w:rsid w:val="00C641F8"/>
    <w:rsid w:val="00C902B4"/>
    <w:rsid w:val="00CB7F3C"/>
    <w:rsid w:val="00CD43ED"/>
    <w:rsid w:val="00CD48FC"/>
    <w:rsid w:val="00DB1107"/>
    <w:rsid w:val="00E261F4"/>
    <w:rsid w:val="00E57571"/>
    <w:rsid w:val="00EC08D5"/>
    <w:rsid w:val="00F0678C"/>
    <w:rsid w:val="00F11DEE"/>
    <w:rsid w:val="00F35181"/>
    <w:rsid w:val="00F825BA"/>
    <w:rsid w:val="00F93978"/>
    <w:rsid w:val="00FA21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795E0E"/>
  <w15:docId w15:val="{82768943-B5B8-4242-B58A-1772EBBE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FC6"/>
    <w:rPr>
      <w:color w:val="0000FF" w:themeColor="hyperlink"/>
      <w:u w:val="single"/>
    </w:rPr>
  </w:style>
  <w:style w:type="paragraph" w:customStyle="1" w:styleId="Default">
    <w:name w:val="Default"/>
    <w:rsid w:val="00987FC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F2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4F28D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4F28DF"/>
    <w:rPr>
      <w:rFonts w:ascii="Consolas" w:eastAsiaTheme="minorHAnsi" w:hAnsi="Consolas"/>
      <w:sz w:val="21"/>
      <w:szCs w:val="21"/>
    </w:rPr>
  </w:style>
  <w:style w:type="paragraph" w:styleId="BodyText">
    <w:name w:val="Body Text"/>
    <w:basedOn w:val="Normal"/>
    <w:link w:val="BodyTextChar"/>
    <w:uiPriority w:val="1"/>
    <w:qFormat/>
    <w:rsid w:val="004F28DF"/>
    <w:pPr>
      <w:widowControl w:val="0"/>
      <w:autoSpaceDE w:val="0"/>
      <w:autoSpaceDN w:val="0"/>
      <w:spacing w:after="0" w:line="240" w:lineRule="auto"/>
      <w:ind w:left="111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F28D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181"/>
  </w:style>
  <w:style w:type="paragraph" w:styleId="Footer">
    <w:name w:val="footer"/>
    <w:basedOn w:val="Normal"/>
    <w:link w:val="FooterChar"/>
    <w:uiPriority w:val="99"/>
    <w:unhideWhenUsed/>
    <w:rsid w:val="00F3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181"/>
  </w:style>
  <w:style w:type="paragraph" w:styleId="BalloonText">
    <w:name w:val="Balloon Text"/>
    <w:basedOn w:val="Normal"/>
    <w:link w:val="BalloonTextChar"/>
    <w:uiPriority w:val="99"/>
    <w:semiHidden/>
    <w:unhideWhenUsed/>
    <w:rsid w:val="00AD3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CDA"/>
    <w:rPr>
      <w:rFonts w:ascii="Tahoma" w:hAnsi="Tahoma" w:cs="Tahoma"/>
      <w:sz w:val="16"/>
      <w:szCs w:val="16"/>
    </w:rPr>
  </w:style>
  <w:style w:type="paragraph" w:styleId="ListParagraph">
    <w:name w:val="List Paragraph"/>
    <w:basedOn w:val="Normal"/>
    <w:uiPriority w:val="34"/>
    <w:qFormat/>
    <w:rsid w:val="000A12C4"/>
    <w:pPr>
      <w:ind w:left="720"/>
      <w:contextualSpacing/>
    </w:pPr>
  </w:style>
  <w:style w:type="character" w:styleId="Emphasis">
    <w:name w:val="Emphasis"/>
    <w:uiPriority w:val="20"/>
    <w:qFormat/>
    <w:rsid w:val="007D7941"/>
    <w:rPr>
      <w:i/>
      <w:iCs/>
    </w:rPr>
  </w:style>
  <w:style w:type="character" w:styleId="Strong">
    <w:name w:val="Strong"/>
    <w:uiPriority w:val="22"/>
    <w:qFormat/>
    <w:rsid w:val="007D7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trac.2018.08.002" TargetMode="External"/><Relationship Id="rId18" Type="http://schemas.openxmlformats.org/officeDocument/2006/relationships/hyperlink" Target="https://doi.org/10.4103/0973-8258.12963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16/j.mrfmmm.2005.03.023" TargetMode="External"/><Relationship Id="rId7" Type="http://schemas.openxmlformats.org/officeDocument/2006/relationships/endnotes" Target="endnotes.xml"/><Relationship Id="rId12" Type="http://schemas.openxmlformats.org/officeDocument/2006/relationships/hyperlink" Target="https://doi.org/10.1016/j.hermed.2022.100558" TargetMode="External"/><Relationship Id="rId17" Type="http://schemas.openxmlformats.org/officeDocument/2006/relationships/hyperlink" Target="https://doi.org/10.1186/s12906-015-0783-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390/molecules15053135" TargetMode="External"/><Relationship Id="rId20" Type="http://schemas.openxmlformats.org/officeDocument/2006/relationships/hyperlink" Target="https://doi.org/10.1106/10820130202677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308-8146(98)00126-9" TargetMode="External"/><Relationship Id="rId24" Type="http://schemas.openxmlformats.org/officeDocument/2006/relationships/hyperlink" Target="https://doi.org/10.3389/fphar.2020.59498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90/ijms17020160" TargetMode="External"/><Relationship Id="rId23" Type="http://schemas.openxmlformats.org/officeDocument/2006/relationships/hyperlink" Target="https://doi.org/10.1038/nm.2471" TargetMode="External"/><Relationship Id="rId28" Type="http://schemas.openxmlformats.org/officeDocument/2006/relationships/footer" Target="footer2.xml"/><Relationship Id="rId10" Type="http://schemas.openxmlformats.org/officeDocument/2006/relationships/hyperlink" Target="https://doi.org/10.3390/molecules17032542" TargetMode="External"/><Relationship Id="rId19" Type="http://schemas.openxmlformats.org/officeDocument/2006/relationships/hyperlink" Target="https://doi.org/10.1155/2013/16275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016/j.foodchem.2012.11.139" TargetMode="External"/><Relationship Id="rId22" Type="http://schemas.openxmlformats.org/officeDocument/2006/relationships/hyperlink" Target="https://doi.org/10.1016/j.jep.2021.114194"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clustered"/>
        <c:varyColors val="0"/>
        <c:ser>
          <c:idx val="0"/>
          <c:order val="0"/>
          <c:tx>
            <c:strRef>
              <c:f>Sheet1!$B$1</c:f>
              <c:strCache>
                <c:ptCount val="1"/>
                <c:pt idx="0">
                  <c:v>TPC</c:v>
                </c:pt>
              </c:strCache>
            </c:strRef>
          </c:tx>
          <c:invertIfNegative val="0"/>
          <c:cat>
            <c:strRef>
              <c:f>Sheet1!$A$2:$A$3</c:f>
              <c:strCache>
                <c:ptCount val="2"/>
                <c:pt idx="0">
                  <c:v>A. absinthium</c:v>
                </c:pt>
                <c:pt idx="1">
                  <c:v>A. calamus</c:v>
                </c:pt>
              </c:strCache>
            </c:strRef>
          </c:cat>
          <c:val>
            <c:numRef>
              <c:f>Sheet1!$B$2:$B$3</c:f>
              <c:numCache>
                <c:formatCode>General</c:formatCode>
                <c:ptCount val="2"/>
                <c:pt idx="0">
                  <c:v>128.4</c:v>
                </c:pt>
                <c:pt idx="1">
                  <c:v>12.02</c:v>
                </c:pt>
              </c:numCache>
            </c:numRef>
          </c:val>
          <c:extLst>
            <c:ext xmlns:c16="http://schemas.microsoft.com/office/drawing/2014/chart" uri="{C3380CC4-5D6E-409C-BE32-E72D297353CC}">
              <c16:uniqueId val="{00000000-EB86-4E5B-BC21-9EC24846E0A1}"/>
            </c:ext>
          </c:extLst>
        </c:ser>
        <c:ser>
          <c:idx val="1"/>
          <c:order val="1"/>
          <c:tx>
            <c:strRef>
              <c:f>Sheet1!$C$1</c:f>
              <c:strCache>
                <c:ptCount val="1"/>
                <c:pt idx="0">
                  <c:v>TFC</c:v>
                </c:pt>
              </c:strCache>
            </c:strRef>
          </c:tx>
          <c:invertIfNegative val="0"/>
          <c:cat>
            <c:strRef>
              <c:f>Sheet1!$A$2:$A$3</c:f>
              <c:strCache>
                <c:ptCount val="2"/>
                <c:pt idx="0">
                  <c:v>A. absinthium</c:v>
                </c:pt>
                <c:pt idx="1">
                  <c:v>A. calamus</c:v>
                </c:pt>
              </c:strCache>
            </c:strRef>
          </c:cat>
          <c:val>
            <c:numRef>
              <c:f>Sheet1!$C$2:$C$3</c:f>
              <c:numCache>
                <c:formatCode>General</c:formatCode>
                <c:ptCount val="2"/>
                <c:pt idx="0">
                  <c:v>18.27</c:v>
                </c:pt>
                <c:pt idx="1">
                  <c:v>5.6499999999999995</c:v>
                </c:pt>
              </c:numCache>
            </c:numRef>
          </c:val>
          <c:extLst>
            <c:ext xmlns:c16="http://schemas.microsoft.com/office/drawing/2014/chart" uri="{C3380CC4-5D6E-409C-BE32-E72D297353CC}">
              <c16:uniqueId val="{00000001-EB86-4E5B-BC21-9EC24846E0A1}"/>
            </c:ext>
          </c:extLst>
        </c:ser>
        <c:dLbls>
          <c:showLegendKey val="0"/>
          <c:showVal val="0"/>
          <c:showCatName val="0"/>
          <c:showSerName val="0"/>
          <c:showPercent val="0"/>
          <c:showBubbleSize val="0"/>
        </c:dLbls>
        <c:gapWidth val="150"/>
        <c:axId val="83240064"/>
        <c:axId val="83241984"/>
      </c:barChart>
      <c:catAx>
        <c:axId val="83240064"/>
        <c:scaling>
          <c:orientation val="minMax"/>
        </c:scaling>
        <c:delete val="0"/>
        <c:axPos val="l"/>
        <c:minorGridlines/>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Plant sample</a:t>
                </a:r>
              </a:p>
            </c:rich>
          </c:tx>
          <c:overlay val="0"/>
        </c:title>
        <c:numFmt formatCode="General" sourceLinked="0"/>
        <c:majorTickMark val="out"/>
        <c:minorTickMark val="none"/>
        <c:tickLblPos val="nextTo"/>
        <c:crossAx val="83241984"/>
        <c:crosses val="autoZero"/>
        <c:auto val="1"/>
        <c:lblAlgn val="ctr"/>
        <c:lblOffset val="100"/>
        <c:noMultiLvlLbl val="0"/>
      </c:catAx>
      <c:valAx>
        <c:axId val="83241984"/>
        <c:scaling>
          <c:orientation val="minMax"/>
        </c:scaling>
        <c:delete val="0"/>
        <c:axPos val="b"/>
        <c:minorGridlines/>
        <c:title>
          <c:tx>
            <c:rich>
              <a:bodyPr/>
              <a:lstStyle/>
              <a:p>
                <a:pPr>
                  <a:defRPr/>
                </a:pPr>
                <a:r>
                  <a:rPr lang="en-US" b="0">
                    <a:latin typeface="Times New Roman" pitchFamily="18" charset="0"/>
                    <a:cs typeface="Times New Roman" pitchFamily="18" charset="0"/>
                  </a:rPr>
                  <a:t>Total polyphenolic  (mg GAE/g) and Total flavonoid content (mg QE/g) </a:t>
                </a:r>
              </a:p>
            </c:rich>
          </c:tx>
          <c:overlay val="0"/>
        </c:title>
        <c:numFmt formatCode="General" sourceLinked="1"/>
        <c:majorTickMark val="out"/>
        <c:minorTickMark val="none"/>
        <c:tickLblPos val="nextTo"/>
        <c:crossAx val="832400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barChart>
        <c:barDir val="bar"/>
        <c:grouping val="clustered"/>
        <c:varyColors val="0"/>
        <c:ser>
          <c:idx val="0"/>
          <c:order val="0"/>
          <c:tx>
            <c:strRef>
              <c:f>Sheet1!$B$1</c:f>
              <c:strCache>
                <c:ptCount val="1"/>
                <c:pt idx="0">
                  <c:v>DPPH Activity</c:v>
                </c:pt>
              </c:strCache>
            </c:strRef>
          </c:tx>
          <c:invertIfNegative val="0"/>
          <c:cat>
            <c:strRef>
              <c:f>Sheet1!$A$2:$A$3</c:f>
              <c:strCache>
                <c:ptCount val="2"/>
                <c:pt idx="0">
                  <c:v>A. absinthium </c:v>
                </c:pt>
                <c:pt idx="1">
                  <c:v>A. calamus</c:v>
                </c:pt>
              </c:strCache>
            </c:strRef>
          </c:cat>
          <c:val>
            <c:numRef>
              <c:f>Sheet1!$B$2:$B$3</c:f>
              <c:numCache>
                <c:formatCode>General</c:formatCode>
                <c:ptCount val="2"/>
                <c:pt idx="0">
                  <c:v>63.4</c:v>
                </c:pt>
                <c:pt idx="1">
                  <c:v>38.700000000000003</c:v>
                </c:pt>
              </c:numCache>
            </c:numRef>
          </c:val>
          <c:extLst>
            <c:ext xmlns:c16="http://schemas.microsoft.com/office/drawing/2014/chart" uri="{C3380CC4-5D6E-409C-BE32-E72D297353CC}">
              <c16:uniqueId val="{00000000-42A1-4BE4-9267-3B145F132D0C}"/>
            </c:ext>
          </c:extLst>
        </c:ser>
        <c:dLbls>
          <c:showLegendKey val="0"/>
          <c:showVal val="0"/>
          <c:showCatName val="0"/>
          <c:showSerName val="0"/>
          <c:showPercent val="0"/>
          <c:showBubbleSize val="0"/>
        </c:dLbls>
        <c:gapWidth val="150"/>
        <c:axId val="83257984"/>
        <c:axId val="83260160"/>
      </c:barChart>
      <c:catAx>
        <c:axId val="83257984"/>
        <c:scaling>
          <c:orientation val="minMax"/>
        </c:scaling>
        <c:delete val="0"/>
        <c:axPos val="l"/>
        <c:minorGridlines/>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Plant Sample</a:t>
                </a:r>
              </a:p>
            </c:rich>
          </c:tx>
          <c:overlay val="0"/>
        </c:title>
        <c:numFmt formatCode="General" sourceLinked="0"/>
        <c:majorTickMark val="out"/>
        <c:minorTickMark val="none"/>
        <c:tickLblPos val="nextTo"/>
        <c:crossAx val="83260160"/>
        <c:crosses val="autoZero"/>
        <c:auto val="1"/>
        <c:lblAlgn val="ctr"/>
        <c:lblOffset val="100"/>
        <c:noMultiLvlLbl val="0"/>
      </c:catAx>
      <c:valAx>
        <c:axId val="83260160"/>
        <c:scaling>
          <c:orientation val="minMax"/>
        </c:scaling>
        <c:delete val="0"/>
        <c:axPos val="b"/>
        <c:minorGridlines/>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DPPH radical scavenging activity of A. absinthium and A. calamus (%)</a:t>
                </a:r>
              </a:p>
            </c:rich>
          </c:tx>
          <c:overlay val="0"/>
        </c:title>
        <c:numFmt formatCode="General" sourceLinked="1"/>
        <c:majorTickMark val="out"/>
        <c:minorTickMark val="none"/>
        <c:tickLblPos val="nextTo"/>
        <c:crossAx val="832579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854A2-E446-4F9E-9D93-DB6946F8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9</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dc:creator>
  <cp:keywords/>
  <dc:description/>
  <cp:lastModifiedBy>SDI 1089</cp:lastModifiedBy>
  <cp:revision>23</cp:revision>
  <dcterms:created xsi:type="dcterms:W3CDTF">2025-04-17T06:31:00Z</dcterms:created>
  <dcterms:modified xsi:type="dcterms:W3CDTF">2025-06-05T07:55:00Z</dcterms:modified>
</cp:coreProperties>
</file>