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8CF65" w14:textId="77777777" w:rsidR="0088348D" w:rsidRDefault="0088348D" w:rsidP="0088348D">
      <w:pPr>
        <w:jc w:val="center"/>
        <w:rPr>
          <w:rFonts w:ascii="Times New Roman" w:hAnsi="Times New Roman" w:cs="Times New Roman"/>
          <w:b/>
          <w:sz w:val="24"/>
        </w:rPr>
      </w:pPr>
      <w:r w:rsidRPr="0088348D">
        <w:rPr>
          <w:rFonts w:ascii="Times New Roman" w:hAnsi="Times New Roman" w:cs="Times New Roman"/>
          <w:b/>
          <w:sz w:val="24"/>
        </w:rPr>
        <w:t>Assessment of Borehole Water Quality and Health Risks in Enugu North Local Government Area, Nigeria</w:t>
      </w:r>
    </w:p>
    <w:p w14:paraId="6E504CA1" w14:textId="77777777" w:rsidR="007C0581" w:rsidRPr="0088348D" w:rsidRDefault="007C0581" w:rsidP="0088348D">
      <w:pPr>
        <w:jc w:val="center"/>
        <w:rPr>
          <w:rFonts w:ascii="Times New Roman" w:hAnsi="Times New Roman" w:cs="Times New Roman"/>
          <w:b/>
        </w:rPr>
      </w:pPr>
    </w:p>
    <w:p w14:paraId="2F03567F" w14:textId="763AB8B4" w:rsidR="00DB03CF" w:rsidRPr="002411FF" w:rsidRDefault="00C97947" w:rsidP="00DB03CF">
      <w:pPr>
        <w:pStyle w:val="NormalWeb"/>
        <w:jc w:val="both"/>
        <w:rPr>
          <w:sz w:val="20"/>
        </w:rPr>
      </w:pPr>
      <w:r w:rsidRPr="00C97947">
        <w:rPr>
          <w:b/>
          <w:sz w:val="20"/>
          <w:szCs w:val="20"/>
        </w:rPr>
        <w:t>Abstract:</w:t>
      </w:r>
      <w:r>
        <w:rPr>
          <w:sz w:val="20"/>
          <w:szCs w:val="20"/>
        </w:rPr>
        <w:t xml:space="preserve"> </w:t>
      </w:r>
      <w:r w:rsidR="00DB03CF" w:rsidRPr="002411FF">
        <w:rPr>
          <w:sz w:val="20"/>
        </w:rPr>
        <w:t xml:space="preserve">This study investigates the water quality of selected boreholes in Enugu North Local Government Area, Enugu State, Nigeria, focusing on both the </w:t>
      </w:r>
      <w:proofErr w:type="spellStart"/>
      <w:r w:rsidR="00DB03CF" w:rsidRPr="002411FF">
        <w:rPr>
          <w:sz w:val="20"/>
        </w:rPr>
        <w:t>physico</w:t>
      </w:r>
      <w:proofErr w:type="spellEnd"/>
      <w:r w:rsidR="00DB03CF" w:rsidRPr="002411FF">
        <w:rPr>
          <w:sz w:val="20"/>
        </w:rPr>
        <w:t>-chemical as well as the concentrations of heavy metals and their associated health risks.</w:t>
      </w:r>
      <w:r w:rsidR="00CA6C42">
        <w:rPr>
          <w:sz w:val="20"/>
        </w:rPr>
        <w:t xml:space="preserve"> </w:t>
      </w:r>
      <w:r w:rsidR="00CA6C42" w:rsidRPr="00CA6C42">
        <w:rPr>
          <w:sz w:val="20"/>
        </w:rPr>
        <w:t>A cross-sectional analytical design was adopted to evaluate the current state of borehole water in the area</w:t>
      </w:r>
      <w:r w:rsidR="00C50679">
        <w:rPr>
          <w:sz w:val="20"/>
        </w:rPr>
        <w:t xml:space="preserve"> for a duration of six months</w:t>
      </w:r>
      <w:r w:rsidR="00CA6C42" w:rsidRPr="00CA6C42">
        <w:rPr>
          <w:sz w:val="20"/>
        </w:rPr>
        <w:t>.</w:t>
      </w:r>
      <w:r w:rsidR="00DB03CF" w:rsidRPr="002411FF">
        <w:rPr>
          <w:sz w:val="20"/>
        </w:rPr>
        <w:t xml:space="preserve"> A total of twelve borehole water samples were collected and analyzed for heavy metals, including manganese (Mn), cadmium (Cd), lead (Pb), nickel (Ni), copper (Cu), zinc (Zn), chromium (Cr), and iron (Fe). The study assessed the potential health ri</w:t>
      </w:r>
      <w:r w:rsidR="00DE498B">
        <w:rPr>
          <w:sz w:val="20"/>
        </w:rPr>
        <w:t xml:space="preserve">sks posed by these heavy metals by </w:t>
      </w:r>
      <w:r w:rsidR="00DB03CF" w:rsidRPr="002411FF">
        <w:rPr>
          <w:sz w:val="20"/>
        </w:rPr>
        <w:t xml:space="preserve">evaluating the Chronic Daily Intake (CDI) for both ingestion and dermal exposure, as well as the Cancer Risk (CR) for ingestion and dermal exposure based on standard guidelines. The results revealed varying concentrations of heavy metals across the samples, with some exceeding </w:t>
      </w:r>
      <w:r w:rsidR="00763DBC">
        <w:rPr>
          <w:sz w:val="20"/>
        </w:rPr>
        <w:t>safe</w:t>
      </w:r>
      <w:r w:rsidR="00DB03CF" w:rsidRPr="002411FF">
        <w:rPr>
          <w:sz w:val="20"/>
        </w:rPr>
        <w:t xml:space="preserve"> limits for safe drinking water, particularly for </w:t>
      </w:r>
      <w:r w:rsidR="00DE498B">
        <w:rPr>
          <w:sz w:val="20"/>
        </w:rPr>
        <w:t>Ni</w:t>
      </w:r>
      <w:r w:rsidR="00DB03CF" w:rsidRPr="002411FF">
        <w:rPr>
          <w:sz w:val="20"/>
        </w:rPr>
        <w:t xml:space="preserve"> and </w:t>
      </w:r>
      <w:r w:rsidR="00DE498B">
        <w:rPr>
          <w:sz w:val="20"/>
        </w:rPr>
        <w:t>Cr</w:t>
      </w:r>
      <w:r w:rsidR="00DB03CF" w:rsidRPr="002411FF">
        <w:rPr>
          <w:sz w:val="20"/>
        </w:rPr>
        <w:t>. Health risk assessments indicated that certain borehole water samples posed significant risks, especially for children, due to higher concentrations of toxic m</w:t>
      </w:r>
      <w:r w:rsidR="00763DBC">
        <w:rPr>
          <w:sz w:val="20"/>
        </w:rPr>
        <w:t>etals. The Hazard Quotients</w:t>
      </w:r>
      <w:r w:rsidR="00DB03CF" w:rsidRPr="002411FF">
        <w:rPr>
          <w:sz w:val="20"/>
        </w:rPr>
        <w:t xml:space="preserve"> for both adults and children, as</w:t>
      </w:r>
      <w:r w:rsidR="00763DBC">
        <w:rPr>
          <w:sz w:val="20"/>
        </w:rPr>
        <w:t xml:space="preserve"> well as the Hazard Indices</w:t>
      </w:r>
      <w:r w:rsidR="00DB03CF" w:rsidRPr="002411FF">
        <w:rPr>
          <w:sz w:val="20"/>
        </w:rPr>
        <w:t>, suggested that the water from some of the boreholes could potentially result in adverse health effects over prolonged exposure. Cancer risk values for both ingestion and dermal exposure further emphasized the potential long-term risks associated with consuming or using water from certain boreholes. The findings highlight the need for continuous monitoring and regulation of water quality in the study area</w:t>
      </w:r>
      <w:r w:rsidR="00DE498B">
        <w:rPr>
          <w:sz w:val="20"/>
        </w:rPr>
        <w:t xml:space="preserve"> and</w:t>
      </w:r>
      <w:r w:rsidR="00DB03CF" w:rsidRPr="002411FF">
        <w:rPr>
          <w:sz w:val="20"/>
        </w:rPr>
        <w:t xml:space="preserve"> recommended that water treatment syst</w:t>
      </w:r>
      <w:r w:rsidR="00763DBC">
        <w:rPr>
          <w:sz w:val="20"/>
        </w:rPr>
        <w:t>ems be implemented</w:t>
      </w:r>
      <w:r w:rsidR="00DB03CF" w:rsidRPr="002411FF">
        <w:rPr>
          <w:sz w:val="20"/>
        </w:rPr>
        <w:t xml:space="preserve"> in areas with elev</w:t>
      </w:r>
      <w:r w:rsidR="00DE498B">
        <w:rPr>
          <w:sz w:val="20"/>
        </w:rPr>
        <w:t>ated heavy metal concentrations</w:t>
      </w:r>
      <w:r w:rsidR="00DB03CF" w:rsidRPr="002411FF">
        <w:rPr>
          <w:sz w:val="20"/>
        </w:rPr>
        <w:t xml:space="preserve">. This study </w:t>
      </w:r>
      <w:r w:rsidR="00DE498B">
        <w:rPr>
          <w:sz w:val="20"/>
        </w:rPr>
        <w:t>reveals</w:t>
      </w:r>
      <w:r w:rsidR="00DB03CF" w:rsidRPr="002411FF">
        <w:rPr>
          <w:sz w:val="20"/>
        </w:rPr>
        <w:t xml:space="preserve"> the importance of ensuring safe drinking water for public health protection in Enugu North LGA and similar regions in Nigeria.</w:t>
      </w:r>
    </w:p>
    <w:p w14:paraId="2E1A0A8C" w14:textId="77777777" w:rsidR="00A05925" w:rsidRPr="00084991" w:rsidRDefault="009A0049" w:rsidP="00084991">
      <w:pPr>
        <w:pStyle w:val="BodyText2"/>
        <w:spacing w:after="120"/>
        <w:rPr>
          <w:sz w:val="16"/>
          <w:szCs w:val="20"/>
        </w:rPr>
      </w:pPr>
      <w:r w:rsidRPr="001523D2">
        <w:rPr>
          <w:b/>
          <w:sz w:val="20"/>
        </w:rPr>
        <w:t>Keywords:</w:t>
      </w:r>
      <w:r>
        <w:rPr>
          <w:sz w:val="20"/>
        </w:rPr>
        <w:t xml:space="preserve"> </w:t>
      </w:r>
      <w:r w:rsidR="001523D2">
        <w:rPr>
          <w:sz w:val="20"/>
        </w:rPr>
        <w:t>Borehole water qu</w:t>
      </w:r>
      <w:r w:rsidR="00084991">
        <w:rPr>
          <w:sz w:val="20"/>
        </w:rPr>
        <w:t>ality, Heavy metals</w:t>
      </w:r>
      <w:r w:rsidR="001523D2">
        <w:rPr>
          <w:sz w:val="20"/>
        </w:rPr>
        <w:t xml:space="preserve">, Health risk assessment, </w:t>
      </w:r>
      <w:r w:rsidR="00084991">
        <w:rPr>
          <w:sz w:val="20"/>
        </w:rPr>
        <w:t>Chronic daily intake, Cancer risk</w:t>
      </w:r>
    </w:p>
    <w:p w14:paraId="3813707B" w14:textId="77777777" w:rsidR="00CF3123" w:rsidRPr="00CE7561" w:rsidRDefault="00462073"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1. </w:t>
      </w:r>
      <w:r w:rsidR="00A05925" w:rsidRPr="00CE7561">
        <w:rPr>
          <w:rFonts w:ascii="Times New Roman" w:hAnsi="Times New Roman" w:cs="Times New Roman"/>
          <w:b/>
          <w:sz w:val="20"/>
          <w:szCs w:val="20"/>
        </w:rPr>
        <w:t xml:space="preserve">Introduction </w:t>
      </w:r>
    </w:p>
    <w:p w14:paraId="5CCEED6F" w14:textId="6CC3493E"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An important environmental component is water, which is essential for the sustainability and survival of every life</w:t>
      </w:r>
      <w:r w:rsidR="00E45BF4">
        <w:rPr>
          <w:rFonts w:ascii="Times New Roman" w:hAnsi="Times New Roman" w:cs="Times New Roman"/>
          <w:sz w:val="20"/>
          <w:szCs w:val="20"/>
        </w:rPr>
        <w:t xml:space="preserve"> form on Earth [1]</w:t>
      </w:r>
      <w:r w:rsidR="00C76133">
        <w:rPr>
          <w:rFonts w:ascii="Times New Roman" w:hAnsi="Times New Roman" w:cs="Times New Roman"/>
          <w:sz w:val="20"/>
          <w:szCs w:val="20"/>
        </w:rPr>
        <w:t>; [2]</w:t>
      </w:r>
      <w:r w:rsidRPr="00CE7561">
        <w:rPr>
          <w:rFonts w:ascii="Times New Roman" w:hAnsi="Times New Roman" w:cs="Times New Roman"/>
          <w:sz w:val="20"/>
          <w:szCs w:val="20"/>
        </w:rPr>
        <w:t>. It is the most abundant substance in both plant and animal tissues as well as in the world around us. Over 80% of the Earth’s surface is covered by water, and it accounts for about 70% of the human body, with even higher levels in many g</w:t>
      </w:r>
      <w:r w:rsidR="00624CFE">
        <w:rPr>
          <w:rFonts w:ascii="Times New Roman" w:hAnsi="Times New Roman" w:cs="Times New Roman"/>
          <w:sz w:val="20"/>
          <w:szCs w:val="20"/>
        </w:rPr>
        <w:t>rowing plants [3]; [4]</w:t>
      </w:r>
      <w:r w:rsidRPr="00CE7561">
        <w:rPr>
          <w:rFonts w:ascii="Times New Roman" w:hAnsi="Times New Roman" w:cs="Times New Roman"/>
          <w:sz w:val="20"/>
          <w:szCs w:val="20"/>
        </w:rPr>
        <w:t>. The importance of water to humans and their environment cannot be o</w:t>
      </w:r>
      <w:r w:rsidR="00624CFE">
        <w:rPr>
          <w:rFonts w:ascii="Times New Roman" w:hAnsi="Times New Roman" w:cs="Times New Roman"/>
          <w:sz w:val="20"/>
          <w:szCs w:val="20"/>
        </w:rPr>
        <w:t>verstated [5]</w:t>
      </w:r>
      <w:r w:rsidRPr="00CE7561">
        <w:rPr>
          <w:rFonts w:ascii="Times New Roman" w:hAnsi="Times New Roman" w:cs="Times New Roman"/>
          <w:sz w:val="20"/>
          <w:szCs w:val="20"/>
        </w:rPr>
        <w:t xml:space="preserve">. It is increasingly recognized that providing good quality water is central to meaningful human development. Therefore, the </w:t>
      </w:r>
      <w:r w:rsidR="00462073" w:rsidRPr="00CE7561">
        <w:rPr>
          <w:rFonts w:ascii="Times New Roman" w:hAnsi="Times New Roman" w:cs="Times New Roman"/>
          <w:sz w:val="20"/>
          <w:szCs w:val="20"/>
        </w:rPr>
        <w:t>water demand</w:t>
      </w:r>
      <w:r w:rsidRPr="00CE7561">
        <w:rPr>
          <w:rFonts w:ascii="Times New Roman" w:hAnsi="Times New Roman" w:cs="Times New Roman"/>
          <w:sz w:val="20"/>
          <w:szCs w:val="20"/>
        </w:rPr>
        <w:t xml:space="preserve"> continues to grow due to high rates of population growth, urbanization, and other anthropogenic fa</w:t>
      </w:r>
      <w:r w:rsidR="00624CFE">
        <w:rPr>
          <w:rFonts w:ascii="Times New Roman" w:hAnsi="Times New Roman" w:cs="Times New Roman"/>
          <w:sz w:val="20"/>
          <w:szCs w:val="20"/>
        </w:rPr>
        <w:t>ctors [6]</w:t>
      </w:r>
      <w:r w:rsidRPr="00CE7561">
        <w:rPr>
          <w:rFonts w:ascii="Times New Roman" w:hAnsi="Times New Roman" w:cs="Times New Roman"/>
          <w:sz w:val="20"/>
          <w:szCs w:val="20"/>
        </w:rPr>
        <w:t>.</w:t>
      </w:r>
    </w:p>
    <w:p w14:paraId="0977917F" w14:textId="67FC76B8"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Water is generally sourced naturally from the ground (wells, boreholes) or the surface (streams, rivers, ponds, lakes) of</w:t>
      </w:r>
      <w:r w:rsidR="00624CFE">
        <w:rPr>
          <w:rFonts w:ascii="Times New Roman" w:hAnsi="Times New Roman" w:cs="Times New Roman"/>
          <w:sz w:val="20"/>
          <w:szCs w:val="20"/>
        </w:rPr>
        <w:t xml:space="preserve"> the Earth [7]; [8]</w:t>
      </w:r>
      <w:r w:rsidRPr="00CE7561">
        <w:rPr>
          <w:rFonts w:ascii="Times New Roman" w:hAnsi="Times New Roman" w:cs="Times New Roman"/>
          <w:sz w:val="20"/>
          <w:szCs w:val="20"/>
        </w:rPr>
        <w:t>. Globally, groundwater is the largest and most important source of fresh water. An estimated 1.5 billion people in sub-Saharan Africa depend solely on groundwater for drinking. Over the years, groundwater has been extensively exploited. In Nigeria, more than 120 million people use boreholes as their main source of dri</w:t>
      </w:r>
      <w:r w:rsidR="00624CFE">
        <w:rPr>
          <w:rFonts w:ascii="Times New Roman" w:hAnsi="Times New Roman" w:cs="Times New Roman"/>
          <w:sz w:val="20"/>
          <w:szCs w:val="20"/>
        </w:rPr>
        <w:t>nking water [9]; [10]</w:t>
      </w:r>
      <w:r w:rsidRPr="00CE7561">
        <w:rPr>
          <w:rFonts w:ascii="Times New Roman" w:hAnsi="Times New Roman" w:cs="Times New Roman"/>
          <w:sz w:val="20"/>
          <w:szCs w:val="20"/>
        </w:rPr>
        <w:t xml:space="preserve">. </w:t>
      </w:r>
      <w:r w:rsidR="00462073" w:rsidRPr="00CE7561">
        <w:rPr>
          <w:rFonts w:ascii="Times New Roman" w:hAnsi="Times New Roman" w:cs="Times New Roman"/>
          <w:sz w:val="20"/>
          <w:szCs w:val="20"/>
        </w:rPr>
        <w:t>A</w:t>
      </w:r>
      <w:r w:rsidRPr="00CE7561">
        <w:rPr>
          <w:rFonts w:ascii="Times New Roman" w:hAnsi="Times New Roman" w:cs="Times New Roman"/>
          <w:sz w:val="20"/>
          <w:szCs w:val="20"/>
        </w:rPr>
        <w:t xml:space="preserve"> study revealed that well and borehole water are the primary sources of water in </w:t>
      </w:r>
      <w:proofErr w:type="spellStart"/>
      <w:r w:rsidRPr="00CE7561">
        <w:rPr>
          <w:rFonts w:ascii="Times New Roman" w:hAnsi="Times New Roman" w:cs="Times New Roman"/>
          <w:sz w:val="20"/>
          <w:szCs w:val="20"/>
        </w:rPr>
        <w:t>Ak</w:t>
      </w:r>
      <w:r w:rsidR="006D37AB">
        <w:rPr>
          <w:rFonts w:ascii="Times New Roman" w:hAnsi="Times New Roman" w:cs="Times New Roman"/>
          <w:sz w:val="20"/>
          <w:szCs w:val="20"/>
        </w:rPr>
        <w:t>ure</w:t>
      </w:r>
      <w:proofErr w:type="spellEnd"/>
      <w:r w:rsidR="006D37AB">
        <w:rPr>
          <w:rFonts w:ascii="Times New Roman" w:hAnsi="Times New Roman" w:cs="Times New Roman"/>
          <w:sz w:val="20"/>
          <w:szCs w:val="20"/>
        </w:rPr>
        <w:t xml:space="preserve">, </w:t>
      </w:r>
      <w:proofErr w:type="spellStart"/>
      <w:r w:rsidR="006D37AB">
        <w:rPr>
          <w:rFonts w:ascii="Times New Roman" w:hAnsi="Times New Roman" w:cs="Times New Roman"/>
          <w:sz w:val="20"/>
          <w:szCs w:val="20"/>
        </w:rPr>
        <w:t>Ondo</w:t>
      </w:r>
      <w:proofErr w:type="spellEnd"/>
      <w:r w:rsidR="006D37AB">
        <w:rPr>
          <w:rFonts w:ascii="Times New Roman" w:hAnsi="Times New Roman" w:cs="Times New Roman"/>
          <w:sz w:val="20"/>
          <w:szCs w:val="20"/>
        </w:rPr>
        <w:t xml:space="preserve"> State [36]</w:t>
      </w:r>
      <w:r w:rsidRPr="00CE7561">
        <w:rPr>
          <w:rFonts w:ascii="Times New Roman" w:hAnsi="Times New Roman" w:cs="Times New Roman"/>
          <w:sz w:val="20"/>
          <w:szCs w:val="20"/>
        </w:rPr>
        <w:t>. Generally, groundwater is considered safer and more reliable for domestic use and agricultural irrigation than s</w:t>
      </w:r>
      <w:r w:rsidR="005F6511">
        <w:rPr>
          <w:rFonts w:ascii="Times New Roman" w:hAnsi="Times New Roman" w:cs="Times New Roman"/>
          <w:sz w:val="20"/>
          <w:szCs w:val="20"/>
        </w:rPr>
        <w:t>urface water [11]</w:t>
      </w:r>
      <w:r w:rsidRPr="00CE7561">
        <w:rPr>
          <w:rFonts w:ascii="Times New Roman" w:hAnsi="Times New Roman" w:cs="Times New Roman"/>
          <w:sz w:val="20"/>
          <w:szCs w:val="20"/>
        </w:rPr>
        <w:t>. However, the proximity of pit latrines, landfills, and graves to boreholes, poor agricultural practices, improper well construction, and indiscriminate waste disposal have been identified by many researchers as factors contributing to the contamination of borehol</w:t>
      </w:r>
      <w:r w:rsidR="005F6511">
        <w:rPr>
          <w:rFonts w:ascii="Times New Roman" w:hAnsi="Times New Roman" w:cs="Times New Roman"/>
          <w:sz w:val="20"/>
          <w:szCs w:val="20"/>
        </w:rPr>
        <w:t xml:space="preserve">e water [12] </w:t>
      </w:r>
      <w:r w:rsidRPr="00CE7561">
        <w:rPr>
          <w:rFonts w:ascii="Times New Roman" w:hAnsi="Times New Roman" w:cs="Times New Roman"/>
          <w:sz w:val="20"/>
          <w:szCs w:val="20"/>
        </w:rPr>
        <w:t>;</w:t>
      </w:r>
      <w:r w:rsidR="005F6511">
        <w:rPr>
          <w:rFonts w:ascii="Times New Roman" w:hAnsi="Times New Roman" w:cs="Times New Roman"/>
          <w:sz w:val="20"/>
          <w:szCs w:val="20"/>
        </w:rPr>
        <w:t xml:space="preserve"> [13]</w:t>
      </w:r>
      <w:r w:rsidRPr="00CE7561">
        <w:rPr>
          <w:rFonts w:ascii="Times New Roman" w:hAnsi="Times New Roman" w:cs="Times New Roman"/>
          <w:sz w:val="20"/>
          <w:szCs w:val="20"/>
        </w:rPr>
        <w:t>.</w:t>
      </w:r>
    </w:p>
    <w:p w14:paraId="4B156444" w14:textId="635C90ED" w:rsidR="00562FE4" w:rsidRPr="00CE7561" w:rsidRDefault="00562FE4" w:rsidP="00A0592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Contamination of borehole water has become a serious environmental concern. This issue may arise from a lack of awareness, as groundwater problems are not readily detected, and contamination pathways are often less visible than those af</w:t>
      </w:r>
      <w:r w:rsidR="00967143">
        <w:rPr>
          <w:rFonts w:ascii="Times New Roman" w:hAnsi="Times New Roman" w:cs="Times New Roman"/>
          <w:sz w:val="20"/>
          <w:szCs w:val="20"/>
        </w:rPr>
        <w:t>fecting surface water [14]; [15]</w:t>
      </w:r>
      <w:r w:rsidRPr="00CE7561">
        <w:rPr>
          <w:rFonts w:ascii="Times New Roman" w:hAnsi="Times New Roman" w:cs="Times New Roman"/>
          <w:sz w:val="20"/>
          <w:szCs w:val="20"/>
        </w:rPr>
        <w:t xml:space="preserve">. In recent years, attention has shifted to the increasing concentration of metal elements in groundwater, which corresponds to the rise in land dumping of metal and metal-containing solid wastes. This trend is attributed to human interference, industrial proliferation, and recent developments in agricultural practices in urban and peri-urban areas. Constituents such as metal elements leach from the soil surface and migrate into aquifer systems, thus degrading groundwater quality. Although safe drinking water contains naturally occurring minerals and chemical elements such as calcium, potassium, and sodium, which are beneficial to human health, efforts </w:t>
      </w:r>
      <w:r w:rsidRPr="00CE7561">
        <w:rPr>
          <w:rFonts w:ascii="Times New Roman" w:hAnsi="Times New Roman" w:cs="Times New Roman"/>
          <w:sz w:val="20"/>
          <w:szCs w:val="20"/>
        </w:rPr>
        <w:lastRenderedPageBreak/>
        <w:t xml:space="preserve">must be strengthened to ensure that drinking water is free from diseases, harmful chemical substances, heavy metals, and radioactive matter, while also being aesthetically appealing and devoid of objectionable color or odor </w:t>
      </w:r>
      <w:r w:rsidR="00A02D51">
        <w:rPr>
          <w:rFonts w:ascii="Times New Roman" w:hAnsi="Times New Roman" w:cs="Times New Roman"/>
          <w:sz w:val="20"/>
          <w:szCs w:val="20"/>
        </w:rPr>
        <w:t>[16]</w:t>
      </w:r>
      <w:r w:rsidR="00ED67EE">
        <w:rPr>
          <w:rFonts w:ascii="Times New Roman" w:hAnsi="Times New Roman" w:cs="Times New Roman"/>
          <w:sz w:val="20"/>
          <w:szCs w:val="20"/>
        </w:rPr>
        <w:t xml:space="preserve">; </w:t>
      </w:r>
      <w:r w:rsidR="00A02D51">
        <w:rPr>
          <w:rFonts w:ascii="Times New Roman" w:hAnsi="Times New Roman" w:cs="Times New Roman"/>
          <w:sz w:val="20"/>
          <w:szCs w:val="20"/>
        </w:rPr>
        <w:t>[17]</w:t>
      </w:r>
      <w:r w:rsidRPr="00CE7561">
        <w:rPr>
          <w:rFonts w:ascii="Times New Roman" w:hAnsi="Times New Roman" w:cs="Times New Roman"/>
          <w:sz w:val="20"/>
          <w:szCs w:val="20"/>
        </w:rPr>
        <w:t>. This highlights the imperative to assess water quality parameters of borehole water, with a special focus on Enugu North Local Government Area of Enugu State, Nigeria, to determine their level of purity.</w:t>
      </w:r>
    </w:p>
    <w:p w14:paraId="3A0E9B7C" w14:textId="5D08EFB0" w:rsidR="005A2CC5" w:rsidRPr="00CE7561" w:rsidRDefault="00562FE4" w:rsidP="005A2CC5">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Enugu State is located in the southeastern region of Nigeria and accommodates millions of residents. It features rapidly growing educational, administrative, commercial, and industrial enterprises, increasing the urban population. However, there are significant challenges related to basic amenities such as electricity, housing, and, most importantly, a piped water supply, which has virtually become a thing of the past in the city. In response to the urgent need for alternative water supplies to replace the problematic surface water systems, boreholes have begun to emerge throughout the local government areas. Conversely, the state is littered with large amounts of solid waste, presumably generated by daily human activities. These wastes, influenced by climate factors, could leach down and pollute the boreholes. Consuming contaminated water, regardless of the specific contaminants, can lead to a variety of diseases, including cholera, typhoid, dysentery, skin and mental disorders, morphological disorders, reduced growth, increased mortality, and mutagenic effects </w:t>
      </w:r>
      <w:r w:rsidR="00A02D51">
        <w:rPr>
          <w:rFonts w:ascii="Times New Roman" w:hAnsi="Times New Roman" w:cs="Times New Roman"/>
          <w:sz w:val="20"/>
          <w:szCs w:val="20"/>
        </w:rPr>
        <w:t>[18].</w:t>
      </w:r>
      <w:r w:rsidRPr="00CE7561">
        <w:rPr>
          <w:rFonts w:ascii="Times New Roman" w:hAnsi="Times New Roman" w:cs="Times New Roman"/>
          <w:sz w:val="20"/>
          <w:szCs w:val="20"/>
        </w:rPr>
        <w:t xml:space="preserve"> Recently, several studies have been conducted on the impact of dumpsite leachate on groundwater in various l</w:t>
      </w:r>
      <w:r w:rsidR="00A02D51">
        <w:rPr>
          <w:rFonts w:ascii="Times New Roman" w:hAnsi="Times New Roman" w:cs="Times New Roman"/>
          <w:sz w:val="20"/>
          <w:szCs w:val="20"/>
        </w:rPr>
        <w:t>ocations</w:t>
      </w:r>
      <w:r w:rsidRPr="00CE7561">
        <w:rPr>
          <w:rFonts w:ascii="Times New Roman" w:hAnsi="Times New Roman" w:cs="Times New Roman"/>
          <w:sz w:val="20"/>
          <w:szCs w:val="20"/>
        </w:rPr>
        <w:t xml:space="preserve">. Therefore, to avoid the unnecessary adverse effects of contaminated borehole water, monitoring the quality of these water sources is essential for environmental and health safety. Regular water quality assessments </w:t>
      </w:r>
      <w:r w:rsidR="00866960">
        <w:rPr>
          <w:rFonts w:ascii="Times New Roman" w:hAnsi="Times New Roman" w:cs="Times New Roman"/>
          <w:sz w:val="20"/>
          <w:szCs w:val="20"/>
        </w:rPr>
        <w:t>should be</w:t>
      </w:r>
      <w:r w:rsidRPr="00CE7561">
        <w:rPr>
          <w:rFonts w:ascii="Times New Roman" w:hAnsi="Times New Roman" w:cs="Times New Roman"/>
          <w:sz w:val="20"/>
          <w:szCs w:val="20"/>
        </w:rPr>
        <w:t xml:space="preserve"> conducted to ensure that potable water, such as borehole water, is safe for drinking</w:t>
      </w:r>
      <w:r w:rsidR="00866960">
        <w:rPr>
          <w:rFonts w:ascii="Times New Roman" w:hAnsi="Times New Roman" w:cs="Times New Roman"/>
          <w:sz w:val="20"/>
          <w:szCs w:val="20"/>
        </w:rPr>
        <w:t>.</w:t>
      </w:r>
      <w:r w:rsidR="005737F2">
        <w:rPr>
          <w:rFonts w:ascii="Times New Roman" w:hAnsi="Times New Roman" w:cs="Times New Roman"/>
          <w:sz w:val="20"/>
          <w:szCs w:val="20"/>
        </w:rPr>
        <w:t xml:space="preserve"> </w:t>
      </w:r>
      <w:r w:rsidR="006E0BA6" w:rsidRPr="00CE7561">
        <w:rPr>
          <w:rFonts w:ascii="Times New Roman" w:hAnsi="Times New Roman" w:cs="Times New Roman"/>
          <w:sz w:val="20"/>
          <w:szCs w:val="20"/>
        </w:rPr>
        <w:t>Numerous</w:t>
      </w:r>
      <w:r w:rsidR="005A2CC5" w:rsidRPr="00CE7561">
        <w:rPr>
          <w:rFonts w:ascii="Times New Roman" w:hAnsi="Times New Roman" w:cs="Times New Roman"/>
          <w:sz w:val="20"/>
          <w:szCs w:val="20"/>
        </w:rPr>
        <w:t xml:space="preserve"> reports have been made on the contamination of </w:t>
      </w:r>
      <w:r w:rsidR="00CC1566" w:rsidRPr="00CE7561">
        <w:rPr>
          <w:rFonts w:ascii="Times New Roman" w:hAnsi="Times New Roman" w:cs="Times New Roman"/>
          <w:sz w:val="20"/>
          <w:szCs w:val="20"/>
        </w:rPr>
        <w:t>groundwater</w:t>
      </w:r>
      <w:r w:rsidR="005A2CC5" w:rsidRPr="00CE7561">
        <w:rPr>
          <w:rFonts w:ascii="Times New Roman" w:hAnsi="Times New Roman" w:cs="Times New Roman"/>
          <w:sz w:val="20"/>
          <w:szCs w:val="20"/>
        </w:rPr>
        <w:t xml:space="preserve"> by heavy metals in </w:t>
      </w:r>
      <w:r w:rsidR="00FB5F23">
        <w:rPr>
          <w:rFonts w:ascii="Times New Roman" w:hAnsi="Times New Roman" w:cs="Times New Roman"/>
          <w:sz w:val="20"/>
          <w:szCs w:val="20"/>
        </w:rPr>
        <w:t xml:space="preserve">the </w:t>
      </w:r>
      <w:r w:rsidR="005A2CC5" w:rsidRPr="00CE7561">
        <w:rPr>
          <w:rFonts w:ascii="Times New Roman" w:hAnsi="Times New Roman" w:cs="Times New Roman"/>
          <w:sz w:val="20"/>
          <w:szCs w:val="20"/>
        </w:rPr>
        <w:t xml:space="preserve">southwestern and northern parts </w:t>
      </w:r>
      <w:r w:rsidR="005737F2">
        <w:rPr>
          <w:rFonts w:ascii="Times New Roman" w:hAnsi="Times New Roman" w:cs="Times New Roman"/>
          <w:sz w:val="20"/>
          <w:szCs w:val="20"/>
        </w:rPr>
        <w:t>of Nigeria [19]; [20]</w:t>
      </w:r>
      <w:r w:rsidR="005A2CC5" w:rsidRPr="00CE7561">
        <w:rPr>
          <w:rFonts w:ascii="Times New Roman" w:hAnsi="Times New Roman" w:cs="Times New Roman"/>
          <w:sz w:val="20"/>
          <w:szCs w:val="20"/>
        </w:rPr>
        <w:t>. Metals like iron, cadmium, chromium</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and aluminum have been found in surface water and sa</w:t>
      </w:r>
      <w:r w:rsidR="00B36D44">
        <w:rPr>
          <w:rFonts w:ascii="Times New Roman" w:hAnsi="Times New Roman" w:cs="Times New Roman"/>
          <w:sz w:val="20"/>
          <w:szCs w:val="20"/>
        </w:rPr>
        <w:t>chet-packed water [21]</w:t>
      </w:r>
      <w:r w:rsidR="000916EA">
        <w:rPr>
          <w:rFonts w:ascii="Times New Roman" w:hAnsi="Times New Roman" w:cs="Times New Roman"/>
          <w:sz w:val="20"/>
          <w:szCs w:val="20"/>
        </w:rPr>
        <w:t>; [22]</w:t>
      </w:r>
      <w:r w:rsidR="005A2CC5" w:rsidRPr="00CE7561">
        <w:rPr>
          <w:rFonts w:ascii="Times New Roman" w:hAnsi="Times New Roman" w:cs="Times New Roman"/>
          <w:sz w:val="20"/>
          <w:szCs w:val="20"/>
        </w:rPr>
        <w:t>, and lead, manganese</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and nic</w:t>
      </w:r>
      <w:r w:rsidR="000916EA">
        <w:rPr>
          <w:rFonts w:ascii="Times New Roman" w:hAnsi="Times New Roman" w:cs="Times New Roman"/>
          <w:sz w:val="20"/>
          <w:szCs w:val="20"/>
        </w:rPr>
        <w:t>kel in groundwater [23]</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all above permissible levels for drinking water. Other contaminants such as fluoride </w:t>
      </w:r>
      <w:r w:rsidR="00B36D44">
        <w:rPr>
          <w:rFonts w:ascii="Times New Roman" w:hAnsi="Times New Roman" w:cs="Times New Roman"/>
          <w:sz w:val="20"/>
          <w:szCs w:val="20"/>
        </w:rPr>
        <w:t>[21]</w:t>
      </w:r>
      <w:r w:rsidR="005A2CC5" w:rsidRPr="00CE7561">
        <w:rPr>
          <w:rFonts w:ascii="Times New Roman" w:hAnsi="Times New Roman" w:cs="Times New Roman"/>
          <w:sz w:val="20"/>
          <w:szCs w:val="20"/>
        </w:rPr>
        <w:t xml:space="preserve"> and light polycyclic aromatic hydrocarbons have also been reported to be present in groundwater in levels above permissible limits in some loca</w:t>
      </w:r>
      <w:r w:rsidR="000916EA">
        <w:rPr>
          <w:rFonts w:ascii="Times New Roman" w:hAnsi="Times New Roman" w:cs="Times New Roman"/>
          <w:sz w:val="20"/>
          <w:szCs w:val="20"/>
        </w:rPr>
        <w:t>tions in Nigeria [24]</w:t>
      </w:r>
      <w:r w:rsidR="00ED6754">
        <w:rPr>
          <w:rFonts w:ascii="Times New Roman" w:hAnsi="Times New Roman" w:cs="Times New Roman"/>
          <w:sz w:val="20"/>
          <w:szCs w:val="20"/>
        </w:rPr>
        <w:t xml:space="preserve">; </w:t>
      </w:r>
      <w:r w:rsidR="000916EA">
        <w:rPr>
          <w:rFonts w:ascii="Times New Roman" w:hAnsi="Times New Roman" w:cs="Times New Roman"/>
          <w:sz w:val="20"/>
          <w:szCs w:val="20"/>
        </w:rPr>
        <w:t>[25]</w:t>
      </w:r>
      <w:r w:rsidR="005A2CC5" w:rsidRPr="00CE7561">
        <w:rPr>
          <w:rFonts w:ascii="Times New Roman" w:hAnsi="Times New Roman" w:cs="Times New Roman"/>
          <w:sz w:val="20"/>
          <w:szCs w:val="20"/>
        </w:rPr>
        <w:t xml:space="preserve">. All these features of borehole water need to be evaluated </w:t>
      </w:r>
      <w:r w:rsidR="00CC1566" w:rsidRPr="00CE7561">
        <w:rPr>
          <w:rFonts w:ascii="Times New Roman" w:hAnsi="Times New Roman" w:cs="Times New Roman"/>
          <w:sz w:val="20"/>
          <w:szCs w:val="20"/>
        </w:rPr>
        <w:t>to</w:t>
      </w:r>
      <w:r w:rsidR="005A2CC5" w:rsidRPr="00CE7561">
        <w:rPr>
          <w:rFonts w:ascii="Times New Roman" w:hAnsi="Times New Roman" w:cs="Times New Roman"/>
          <w:sz w:val="20"/>
          <w:szCs w:val="20"/>
        </w:rPr>
        <w:t xml:space="preserve"> achieve and maintain healthy</w:t>
      </w:r>
      <w:r w:rsidR="00CC1566" w:rsidRPr="00CE7561">
        <w:rPr>
          <w:rFonts w:ascii="Times New Roman" w:hAnsi="Times New Roman" w:cs="Times New Roman"/>
          <w:sz w:val="20"/>
          <w:szCs w:val="20"/>
        </w:rPr>
        <w:t>,</w:t>
      </w:r>
      <w:r w:rsidR="005A2CC5" w:rsidRPr="00CE7561">
        <w:rPr>
          <w:rFonts w:ascii="Times New Roman" w:hAnsi="Times New Roman" w:cs="Times New Roman"/>
          <w:sz w:val="20"/>
          <w:szCs w:val="20"/>
        </w:rPr>
        <w:t xml:space="preserve"> clean water. </w:t>
      </w:r>
      <w:r w:rsidR="00CC1566" w:rsidRPr="00CE7561">
        <w:rPr>
          <w:rFonts w:ascii="Times New Roman" w:hAnsi="Times New Roman" w:cs="Times New Roman"/>
          <w:sz w:val="20"/>
          <w:szCs w:val="20"/>
        </w:rPr>
        <w:t xml:space="preserve">This study assesses the quality and health risk of boreholes in </w:t>
      </w:r>
      <w:r w:rsidR="00106EB4" w:rsidRPr="00CE7561">
        <w:rPr>
          <w:rFonts w:ascii="Times New Roman" w:hAnsi="Times New Roman" w:cs="Times New Roman"/>
          <w:sz w:val="20"/>
          <w:szCs w:val="20"/>
        </w:rPr>
        <w:t>Enugu North Local Government Area</w:t>
      </w:r>
      <w:r w:rsidR="007D14FC" w:rsidRPr="00CE7561">
        <w:rPr>
          <w:rFonts w:ascii="Times New Roman" w:hAnsi="Times New Roman" w:cs="Times New Roman"/>
          <w:sz w:val="20"/>
          <w:szCs w:val="20"/>
        </w:rPr>
        <w:t xml:space="preserve">. This study </w:t>
      </w:r>
      <w:r w:rsidR="00C50679">
        <w:rPr>
          <w:rFonts w:ascii="Times New Roman" w:hAnsi="Times New Roman" w:cs="Times New Roman"/>
          <w:sz w:val="20"/>
          <w:szCs w:val="20"/>
        </w:rPr>
        <w:t xml:space="preserve">also </w:t>
      </w:r>
      <w:r w:rsidR="007D14FC" w:rsidRPr="00CE7561">
        <w:rPr>
          <w:rFonts w:ascii="Times New Roman" w:hAnsi="Times New Roman" w:cs="Times New Roman"/>
          <w:sz w:val="20"/>
          <w:szCs w:val="20"/>
        </w:rPr>
        <w:t xml:space="preserve">seeks to determine the </w:t>
      </w:r>
      <w:r w:rsidR="0088348D">
        <w:rPr>
          <w:rFonts w:ascii="Times New Roman" w:hAnsi="Times New Roman" w:cs="Times New Roman"/>
          <w:sz w:val="20"/>
          <w:szCs w:val="20"/>
        </w:rPr>
        <w:t xml:space="preserve">heavy </w:t>
      </w:r>
      <w:r w:rsidR="007D14FC" w:rsidRPr="00CE7561">
        <w:rPr>
          <w:rFonts w:ascii="Times New Roman" w:hAnsi="Times New Roman" w:cs="Times New Roman"/>
          <w:sz w:val="20"/>
          <w:szCs w:val="20"/>
        </w:rPr>
        <w:t>metal</w:t>
      </w:r>
      <w:r w:rsidR="0088348D">
        <w:rPr>
          <w:rFonts w:ascii="Times New Roman" w:hAnsi="Times New Roman" w:cs="Times New Roman"/>
          <w:sz w:val="20"/>
          <w:szCs w:val="20"/>
        </w:rPr>
        <w:t>s and their</w:t>
      </w:r>
      <w:r w:rsidR="007D14FC" w:rsidRPr="00CE7561">
        <w:rPr>
          <w:rFonts w:ascii="Times New Roman" w:hAnsi="Times New Roman" w:cs="Times New Roman"/>
          <w:sz w:val="20"/>
          <w:szCs w:val="20"/>
        </w:rPr>
        <w:t xml:space="preserve"> concentrations in th</w:t>
      </w:r>
      <w:r w:rsidR="0088348D">
        <w:rPr>
          <w:rFonts w:ascii="Times New Roman" w:hAnsi="Times New Roman" w:cs="Times New Roman"/>
          <w:sz w:val="20"/>
          <w:szCs w:val="20"/>
        </w:rPr>
        <w:t xml:space="preserve">e borehole </w:t>
      </w:r>
      <w:r w:rsidR="007D14FC" w:rsidRPr="00CE7561">
        <w:rPr>
          <w:rFonts w:ascii="Times New Roman" w:hAnsi="Times New Roman" w:cs="Times New Roman"/>
          <w:sz w:val="20"/>
          <w:szCs w:val="20"/>
        </w:rPr>
        <w:t xml:space="preserve">during the </w:t>
      </w:r>
      <w:r w:rsidR="00E65A29" w:rsidRPr="00CE7561">
        <w:rPr>
          <w:rFonts w:ascii="Times New Roman" w:hAnsi="Times New Roman" w:cs="Times New Roman"/>
          <w:sz w:val="20"/>
          <w:szCs w:val="20"/>
        </w:rPr>
        <w:t>wet and dry seasons, and</w:t>
      </w:r>
      <w:r w:rsidR="007D14FC" w:rsidRPr="00CE7561">
        <w:rPr>
          <w:rFonts w:ascii="Times New Roman" w:hAnsi="Times New Roman" w:cs="Times New Roman"/>
          <w:sz w:val="20"/>
          <w:szCs w:val="20"/>
        </w:rPr>
        <w:t xml:space="preserve"> </w:t>
      </w:r>
      <w:r w:rsidR="0088348D">
        <w:rPr>
          <w:rFonts w:ascii="Times New Roman" w:hAnsi="Times New Roman" w:cs="Times New Roman"/>
          <w:sz w:val="20"/>
          <w:szCs w:val="20"/>
        </w:rPr>
        <w:t>the</w:t>
      </w:r>
      <w:r w:rsidR="007D14FC" w:rsidRPr="00CE7561">
        <w:rPr>
          <w:rFonts w:ascii="Times New Roman" w:hAnsi="Times New Roman" w:cs="Times New Roman"/>
          <w:sz w:val="20"/>
          <w:szCs w:val="20"/>
        </w:rPr>
        <w:t xml:space="preserve"> potential health risk indices. </w:t>
      </w:r>
    </w:p>
    <w:p w14:paraId="5D6FC2E8" w14:textId="77777777" w:rsidR="00A05925" w:rsidRPr="00CE7561" w:rsidRDefault="00164614"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2. </w:t>
      </w:r>
      <w:r w:rsidR="00A05925" w:rsidRPr="00CE7561">
        <w:rPr>
          <w:rFonts w:ascii="Times New Roman" w:hAnsi="Times New Roman" w:cs="Times New Roman"/>
          <w:b/>
          <w:sz w:val="20"/>
          <w:szCs w:val="20"/>
        </w:rPr>
        <w:t>M</w:t>
      </w:r>
      <w:r w:rsidRPr="00CE7561">
        <w:rPr>
          <w:rFonts w:ascii="Times New Roman" w:hAnsi="Times New Roman" w:cs="Times New Roman"/>
          <w:b/>
          <w:sz w:val="20"/>
          <w:szCs w:val="20"/>
        </w:rPr>
        <w:t>ethodology</w:t>
      </w:r>
    </w:p>
    <w:p w14:paraId="23951679" w14:textId="77777777" w:rsidR="00164614" w:rsidRPr="00CE7561" w:rsidRDefault="00D84F8C"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2.1 </w:t>
      </w:r>
      <w:r w:rsidR="00164614" w:rsidRPr="00CE7561">
        <w:rPr>
          <w:rFonts w:ascii="Times New Roman" w:hAnsi="Times New Roman" w:cs="Times New Roman"/>
          <w:b/>
          <w:sz w:val="20"/>
          <w:szCs w:val="20"/>
        </w:rPr>
        <w:t>Description of Study Area</w:t>
      </w:r>
    </w:p>
    <w:p w14:paraId="298BF1C8" w14:textId="77777777" w:rsidR="00164614" w:rsidRPr="00CE7561" w:rsidRDefault="00164614" w:rsidP="00A05925">
      <w:pPr>
        <w:jc w:val="both"/>
        <w:rPr>
          <w:rFonts w:ascii="Times New Roman" w:hAnsi="Times New Roman" w:cs="Times New Roman"/>
          <w:bCs/>
          <w:color w:val="000000" w:themeColor="text1"/>
          <w:sz w:val="20"/>
          <w:szCs w:val="20"/>
        </w:rPr>
      </w:pPr>
      <w:r w:rsidRPr="00CE7561">
        <w:rPr>
          <w:rFonts w:ascii="Times New Roman" w:hAnsi="Times New Roman" w:cs="Times New Roman"/>
          <w:bCs/>
          <w:color w:val="000000" w:themeColor="text1"/>
          <w:sz w:val="20"/>
          <w:szCs w:val="20"/>
        </w:rPr>
        <w:t xml:space="preserve">The study area is Enugu North Local Government Area of Enugu State, Nigeria.  </w:t>
      </w:r>
      <w:r w:rsidRPr="00CE7561">
        <w:rPr>
          <w:rFonts w:ascii="Times New Roman" w:hAnsi="Times New Roman" w:cs="Times New Roman"/>
          <w:color w:val="000000" w:themeColor="text1"/>
          <w:sz w:val="20"/>
          <w:szCs w:val="20"/>
        </w:rPr>
        <w:t>Enugu North</w:t>
      </w:r>
      <w:r w:rsidRPr="00CE7561">
        <w:rPr>
          <w:rFonts w:ascii="Times New Roman" w:hAnsi="Times New Roman" w:cs="Times New Roman"/>
          <w:bCs/>
          <w:color w:val="000000" w:themeColor="text1"/>
          <w:sz w:val="20"/>
          <w:szCs w:val="20"/>
        </w:rPr>
        <w:t> is a </w:t>
      </w:r>
      <w:hyperlink r:id="rId6" w:tooltip="Local Government Areas of Nigeria" w:history="1">
        <w:r w:rsidRPr="00CE7561">
          <w:rPr>
            <w:rStyle w:val="Hyperlink"/>
            <w:rFonts w:ascii="Times New Roman" w:hAnsi="Times New Roman" w:cs="Times New Roman"/>
            <w:bCs/>
            <w:color w:val="000000" w:themeColor="text1"/>
            <w:sz w:val="20"/>
            <w:szCs w:val="20"/>
            <w:u w:val="none"/>
          </w:rPr>
          <w:t>Local Government Area</w:t>
        </w:r>
      </w:hyperlink>
      <w:r w:rsidRPr="00CE7561">
        <w:rPr>
          <w:rFonts w:ascii="Times New Roman" w:hAnsi="Times New Roman" w:cs="Times New Roman"/>
          <w:bCs/>
          <w:color w:val="000000" w:themeColor="text1"/>
          <w:sz w:val="20"/>
          <w:szCs w:val="20"/>
        </w:rPr>
        <w:t> of </w:t>
      </w:r>
      <w:hyperlink r:id="rId7" w:tooltip="Enugu State" w:history="1">
        <w:r w:rsidRPr="00CE7561">
          <w:rPr>
            <w:rStyle w:val="Hyperlink"/>
            <w:rFonts w:ascii="Times New Roman" w:hAnsi="Times New Roman" w:cs="Times New Roman"/>
            <w:bCs/>
            <w:color w:val="000000" w:themeColor="text1"/>
            <w:sz w:val="20"/>
            <w:szCs w:val="20"/>
            <w:u w:val="none"/>
          </w:rPr>
          <w:t>Enugu State</w:t>
        </w:r>
      </w:hyperlink>
      <w:r w:rsidRPr="00CE7561">
        <w:rPr>
          <w:rFonts w:ascii="Times New Roman" w:hAnsi="Times New Roman" w:cs="Times New Roman"/>
          <w:bCs/>
          <w:color w:val="000000" w:themeColor="text1"/>
          <w:sz w:val="20"/>
          <w:szCs w:val="20"/>
        </w:rPr>
        <w:t>, </w:t>
      </w:r>
      <w:hyperlink r:id="rId8" w:tooltip="Nigeria" w:history="1">
        <w:r w:rsidRPr="00CE7561">
          <w:rPr>
            <w:rStyle w:val="Hyperlink"/>
            <w:rFonts w:ascii="Times New Roman" w:hAnsi="Times New Roman" w:cs="Times New Roman"/>
            <w:bCs/>
            <w:color w:val="000000" w:themeColor="text1"/>
            <w:sz w:val="20"/>
            <w:szCs w:val="20"/>
            <w:u w:val="none"/>
          </w:rPr>
          <w:t>Nigeria</w:t>
        </w:r>
      </w:hyperlink>
      <w:r w:rsidRPr="00CE7561">
        <w:rPr>
          <w:rFonts w:ascii="Times New Roman" w:hAnsi="Times New Roman" w:cs="Times New Roman"/>
          <w:bCs/>
          <w:color w:val="000000" w:themeColor="text1"/>
          <w:sz w:val="20"/>
          <w:szCs w:val="20"/>
        </w:rPr>
        <w:t>. Its headquarters are in the city of </w:t>
      </w:r>
      <w:hyperlink r:id="rId9" w:tooltip="Enugu" w:history="1">
        <w:r w:rsidRPr="00CE7561">
          <w:rPr>
            <w:rStyle w:val="Hyperlink"/>
            <w:rFonts w:ascii="Times New Roman" w:hAnsi="Times New Roman" w:cs="Times New Roman"/>
            <w:bCs/>
            <w:color w:val="000000" w:themeColor="text1"/>
            <w:sz w:val="20"/>
            <w:szCs w:val="20"/>
            <w:u w:val="none"/>
          </w:rPr>
          <w:t>Enugu</w:t>
        </w:r>
      </w:hyperlink>
      <w:r w:rsidRPr="00CE7561">
        <w:rPr>
          <w:rFonts w:ascii="Times New Roman" w:hAnsi="Times New Roman" w:cs="Times New Roman"/>
          <w:b/>
          <w:bCs/>
          <w:color w:val="000000" w:themeColor="text1"/>
          <w:sz w:val="20"/>
          <w:szCs w:val="20"/>
        </w:rPr>
        <w:t> </w:t>
      </w:r>
      <w:r w:rsidRPr="00CE7561">
        <w:rPr>
          <w:rFonts w:ascii="Times New Roman" w:hAnsi="Times New Roman" w:cs="Times New Roman"/>
          <w:bCs/>
          <w:color w:val="000000" w:themeColor="text1"/>
          <w:sz w:val="20"/>
          <w:szCs w:val="20"/>
        </w:rPr>
        <w:t xml:space="preserve">at Okpara Avenue. The LGA is made up of five main district areas: </w:t>
      </w:r>
      <w:proofErr w:type="spellStart"/>
      <w:r w:rsidRPr="00CE7561">
        <w:rPr>
          <w:rFonts w:ascii="Times New Roman" w:hAnsi="Times New Roman" w:cs="Times New Roman"/>
          <w:bCs/>
          <w:color w:val="000000" w:themeColor="text1"/>
          <w:sz w:val="20"/>
          <w:szCs w:val="20"/>
        </w:rPr>
        <w:t>Amaigbo</w:t>
      </w:r>
      <w:proofErr w:type="spellEnd"/>
      <w:r w:rsidRPr="00CE7561">
        <w:rPr>
          <w:rFonts w:ascii="Times New Roman" w:hAnsi="Times New Roman" w:cs="Times New Roman"/>
          <w:bCs/>
          <w:color w:val="000000" w:themeColor="text1"/>
          <w:sz w:val="20"/>
          <w:szCs w:val="20"/>
        </w:rPr>
        <w:t xml:space="preserve"> Lane, </w:t>
      </w:r>
      <w:proofErr w:type="spellStart"/>
      <w:r w:rsidRPr="00CE7561">
        <w:rPr>
          <w:rFonts w:ascii="Times New Roman" w:hAnsi="Times New Roman" w:cs="Times New Roman"/>
          <w:bCs/>
          <w:color w:val="000000" w:themeColor="text1"/>
          <w:sz w:val="20"/>
          <w:szCs w:val="20"/>
        </w:rPr>
        <w:t>Onuato</w:t>
      </w:r>
      <w:proofErr w:type="spellEnd"/>
      <w:r w:rsidRPr="00CE7561">
        <w:rPr>
          <w:rFonts w:ascii="Times New Roman" w:hAnsi="Times New Roman" w:cs="Times New Roman"/>
          <w:bCs/>
          <w:color w:val="000000" w:themeColor="text1"/>
          <w:sz w:val="20"/>
          <w:szCs w:val="20"/>
        </w:rPr>
        <w:t xml:space="preserve">, </w:t>
      </w:r>
      <w:proofErr w:type="spellStart"/>
      <w:r w:rsidRPr="00CE7561">
        <w:rPr>
          <w:rFonts w:ascii="Times New Roman" w:hAnsi="Times New Roman" w:cs="Times New Roman"/>
          <w:bCs/>
          <w:color w:val="000000" w:themeColor="text1"/>
          <w:sz w:val="20"/>
          <w:szCs w:val="20"/>
        </w:rPr>
        <w:t>Umunevo</w:t>
      </w:r>
      <w:proofErr w:type="spellEnd"/>
      <w:r w:rsidRPr="00CE7561">
        <w:rPr>
          <w:rFonts w:ascii="Times New Roman" w:hAnsi="Times New Roman" w:cs="Times New Roman"/>
          <w:bCs/>
          <w:color w:val="000000" w:themeColor="text1"/>
          <w:sz w:val="20"/>
          <w:szCs w:val="20"/>
        </w:rPr>
        <w:t xml:space="preserve">, </w:t>
      </w:r>
      <w:proofErr w:type="spellStart"/>
      <w:r w:rsidRPr="00CE7561">
        <w:rPr>
          <w:rFonts w:ascii="Times New Roman" w:hAnsi="Times New Roman" w:cs="Times New Roman"/>
          <w:bCs/>
          <w:color w:val="000000" w:themeColor="text1"/>
          <w:sz w:val="20"/>
          <w:szCs w:val="20"/>
        </w:rPr>
        <w:t>Enugwu-Ngwo</w:t>
      </w:r>
      <w:proofErr w:type="spellEnd"/>
      <w:r w:rsidRPr="00CE7561">
        <w:rPr>
          <w:rFonts w:ascii="Times New Roman" w:hAnsi="Times New Roman" w:cs="Times New Roman"/>
          <w:bCs/>
          <w:color w:val="000000" w:themeColor="text1"/>
          <w:sz w:val="20"/>
          <w:szCs w:val="20"/>
        </w:rPr>
        <w:t xml:space="preserve">, and </w:t>
      </w:r>
      <w:proofErr w:type="spellStart"/>
      <w:r w:rsidRPr="00CE7561">
        <w:rPr>
          <w:rFonts w:ascii="Times New Roman" w:hAnsi="Times New Roman" w:cs="Times New Roman"/>
          <w:bCs/>
          <w:color w:val="000000" w:themeColor="text1"/>
          <w:sz w:val="20"/>
          <w:szCs w:val="20"/>
        </w:rPr>
        <w:t>Ihenwuzi</w:t>
      </w:r>
      <w:proofErr w:type="spellEnd"/>
      <w:r w:rsidRPr="00CE7561">
        <w:rPr>
          <w:rFonts w:ascii="Times New Roman" w:hAnsi="Times New Roman" w:cs="Times New Roman"/>
          <w:bCs/>
          <w:color w:val="000000" w:themeColor="text1"/>
          <w:sz w:val="20"/>
          <w:szCs w:val="20"/>
        </w:rPr>
        <w:t xml:space="preserve">. Enugu North is one of the seventeen local governments in Enugu state and also one of the three LGAs that make up Enugu Town, including </w:t>
      </w:r>
      <w:hyperlink r:id="rId10" w:tooltip="Enugu East" w:history="1">
        <w:r w:rsidRPr="00CE7561">
          <w:rPr>
            <w:rStyle w:val="Hyperlink"/>
            <w:rFonts w:ascii="Times New Roman" w:hAnsi="Times New Roman" w:cs="Times New Roman"/>
            <w:bCs/>
            <w:color w:val="000000" w:themeColor="text1"/>
            <w:sz w:val="20"/>
            <w:szCs w:val="20"/>
            <w:u w:val="none"/>
          </w:rPr>
          <w:t>Enugu East</w:t>
        </w:r>
      </w:hyperlink>
      <w:r w:rsidRPr="00CE7561">
        <w:rPr>
          <w:rFonts w:ascii="Times New Roman" w:hAnsi="Times New Roman" w:cs="Times New Roman"/>
          <w:bCs/>
          <w:color w:val="000000" w:themeColor="text1"/>
          <w:sz w:val="20"/>
          <w:szCs w:val="20"/>
        </w:rPr>
        <w:t> and </w:t>
      </w:r>
      <w:hyperlink r:id="rId11" w:tooltip="Enugu South" w:history="1">
        <w:r w:rsidRPr="00CE7561">
          <w:rPr>
            <w:rStyle w:val="Hyperlink"/>
            <w:rFonts w:ascii="Times New Roman" w:hAnsi="Times New Roman" w:cs="Times New Roman"/>
            <w:bCs/>
            <w:color w:val="000000" w:themeColor="text1"/>
            <w:sz w:val="20"/>
            <w:szCs w:val="20"/>
            <w:u w:val="none"/>
          </w:rPr>
          <w:t>Enugu South</w:t>
        </w:r>
      </w:hyperlink>
      <w:r w:rsidRPr="00CE7561">
        <w:rPr>
          <w:rFonts w:ascii="Times New Roman" w:hAnsi="Times New Roman" w:cs="Times New Roman"/>
          <w:bCs/>
          <w:color w:val="000000" w:themeColor="text1"/>
          <w:sz w:val="20"/>
          <w:szCs w:val="20"/>
        </w:rPr>
        <w:t>.</w:t>
      </w:r>
      <w:r w:rsidRPr="00CE7561">
        <w:rPr>
          <w:rFonts w:ascii="Times New Roman" w:hAnsi="Times New Roman" w:cs="Times New Roman"/>
          <w:b/>
          <w:bCs/>
          <w:color w:val="000000" w:themeColor="text1"/>
          <w:sz w:val="20"/>
          <w:szCs w:val="20"/>
        </w:rPr>
        <w:t xml:space="preserve"> </w:t>
      </w:r>
      <w:r w:rsidRPr="00CE7561">
        <w:rPr>
          <w:rFonts w:ascii="Times New Roman" w:hAnsi="Times New Roman" w:cs="Times New Roman"/>
          <w:bCs/>
          <w:color w:val="000000" w:themeColor="text1"/>
          <w:sz w:val="20"/>
          <w:szCs w:val="20"/>
        </w:rPr>
        <w:t xml:space="preserve">Geographically, Enugu North LGA lies within longitudes of 7 </w:t>
      </w:r>
      <w:r w:rsidRPr="00CE7561">
        <w:rPr>
          <w:rFonts w:ascii="Times New Roman" w:hAnsi="Times New Roman" w:cs="Times New Roman"/>
          <w:bCs/>
          <w:color w:val="000000" w:themeColor="text1"/>
          <w:sz w:val="20"/>
          <w:szCs w:val="20"/>
          <w:vertAlign w:val="superscript"/>
        </w:rPr>
        <w:t>o</w:t>
      </w:r>
      <w:r w:rsidRPr="00CE7561">
        <w:rPr>
          <w:rFonts w:ascii="Times New Roman" w:hAnsi="Times New Roman" w:cs="Times New Roman"/>
          <w:bCs/>
          <w:color w:val="000000" w:themeColor="text1"/>
          <w:sz w:val="20"/>
          <w:szCs w:val="20"/>
        </w:rPr>
        <w:t>31’ E and latitudes of 6 '</w:t>
      </w:r>
      <w:r w:rsidRPr="00CE7561">
        <w:rPr>
          <w:rFonts w:ascii="Times New Roman" w:hAnsi="Times New Roman" w:cs="Times New Roman"/>
          <w:bCs/>
          <w:color w:val="000000" w:themeColor="text1"/>
          <w:sz w:val="20"/>
          <w:szCs w:val="20"/>
          <w:vertAlign w:val="superscript"/>
        </w:rPr>
        <w:t xml:space="preserve"> o</w:t>
      </w:r>
      <w:r w:rsidRPr="00CE7561">
        <w:rPr>
          <w:rFonts w:ascii="Times New Roman" w:hAnsi="Times New Roman" w:cs="Times New Roman"/>
          <w:bCs/>
          <w:color w:val="000000" w:themeColor="text1"/>
          <w:sz w:val="20"/>
          <w:szCs w:val="20"/>
        </w:rPr>
        <w:t>28’N and has a land size of 106 square kilometers, and a population of 244,852 as at the 2006 population census. It has an average temperature of 27 °C. The area's average humidity is 69 percent, and the LGA has two distinct seasons: dry and rainy season, with a brief harmattan in the dry season.</w:t>
      </w:r>
    </w:p>
    <w:p w14:paraId="78C7469E" w14:textId="77777777" w:rsidR="0062192D" w:rsidRPr="00CE7561" w:rsidRDefault="00D84F8C" w:rsidP="0062192D">
      <w:pPr>
        <w:spacing w:after="120" w:line="276" w:lineRule="auto"/>
        <w:jc w:val="both"/>
        <w:rPr>
          <w:rFonts w:ascii="Times New Roman" w:hAnsi="Times New Roman" w:cs="Times New Roman"/>
          <w:b/>
          <w:bCs/>
          <w:sz w:val="20"/>
          <w:szCs w:val="20"/>
        </w:rPr>
      </w:pPr>
      <w:r w:rsidRPr="00CE7561">
        <w:rPr>
          <w:rFonts w:ascii="Times New Roman" w:hAnsi="Times New Roman" w:cs="Times New Roman"/>
          <w:b/>
          <w:bCs/>
          <w:sz w:val="20"/>
          <w:szCs w:val="20"/>
        </w:rPr>
        <w:t xml:space="preserve">2.2 </w:t>
      </w:r>
      <w:r w:rsidR="0062192D" w:rsidRPr="00CE7561">
        <w:rPr>
          <w:rFonts w:ascii="Times New Roman" w:hAnsi="Times New Roman" w:cs="Times New Roman"/>
          <w:b/>
          <w:bCs/>
          <w:sz w:val="20"/>
          <w:szCs w:val="20"/>
        </w:rPr>
        <w:t>Samples</w:t>
      </w:r>
    </w:p>
    <w:p w14:paraId="0FED07BF" w14:textId="77777777" w:rsidR="0062192D" w:rsidRPr="00CE7561" w:rsidRDefault="0062192D"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Cs/>
          <w:sz w:val="20"/>
          <w:szCs w:val="20"/>
        </w:rPr>
        <w:t xml:space="preserve">Twelve samples of water from boreholes in Enugu </w:t>
      </w:r>
      <w:r w:rsidR="00BD29C5" w:rsidRPr="00CE7561">
        <w:rPr>
          <w:rFonts w:ascii="Times New Roman" w:hAnsi="Times New Roman" w:cs="Times New Roman"/>
          <w:bCs/>
          <w:sz w:val="20"/>
          <w:szCs w:val="20"/>
        </w:rPr>
        <w:t>North</w:t>
      </w:r>
      <w:r w:rsidRPr="00CE7561">
        <w:rPr>
          <w:rFonts w:ascii="Times New Roman" w:hAnsi="Times New Roman" w:cs="Times New Roman"/>
          <w:bCs/>
          <w:sz w:val="20"/>
          <w:szCs w:val="20"/>
        </w:rPr>
        <w:t xml:space="preserve"> were collected from various locations as indicated in the map above. Water sampling was carried out monthly for a period of six (6) months, June 2023 to Jan 2024, during the wet (June – August 2023) and dry season (November - January 2024). This was done between 07:00 and 11:00 a.m.</w:t>
      </w:r>
      <w:r w:rsidRPr="00CE7561">
        <w:rPr>
          <w:rFonts w:ascii="Times New Roman" w:hAnsi="Times New Roman" w:cs="Times New Roman"/>
          <w:b/>
          <w:bCs/>
          <w:sz w:val="20"/>
          <w:szCs w:val="20"/>
        </w:rPr>
        <w:t xml:space="preserve"> </w:t>
      </w:r>
      <w:r w:rsidRPr="00CE7561">
        <w:rPr>
          <w:rFonts w:ascii="Times New Roman" w:hAnsi="Times New Roman" w:cs="Times New Roman"/>
          <w:bCs/>
          <w:sz w:val="20"/>
          <w:szCs w:val="20"/>
        </w:rPr>
        <w:t>During the entire study</w:t>
      </w:r>
      <w:r w:rsidR="00BD29C5"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several field trips were undertaken and six (6) </w:t>
      </w:r>
      <w:r w:rsidR="00BD29C5" w:rsidRPr="00CE7561">
        <w:rPr>
          <w:rFonts w:ascii="Times New Roman" w:hAnsi="Times New Roman" w:cs="Times New Roman"/>
          <w:bCs/>
          <w:sz w:val="20"/>
          <w:szCs w:val="20"/>
        </w:rPr>
        <w:t>sets</w:t>
      </w:r>
      <w:r w:rsidRPr="00CE7561">
        <w:rPr>
          <w:rFonts w:ascii="Times New Roman" w:hAnsi="Times New Roman" w:cs="Times New Roman"/>
          <w:bCs/>
          <w:sz w:val="20"/>
          <w:szCs w:val="20"/>
        </w:rPr>
        <w:t xml:space="preserve"> of samples were taken from each location, which eventually were pooled together to form representative samples for each borehole </w:t>
      </w:r>
      <w:r w:rsidR="00BD29C5" w:rsidRPr="00CE7561">
        <w:rPr>
          <w:rFonts w:ascii="Times New Roman" w:hAnsi="Times New Roman" w:cs="Times New Roman"/>
          <w:bCs/>
          <w:sz w:val="20"/>
          <w:szCs w:val="20"/>
        </w:rPr>
        <w:t>location</w:t>
      </w:r>
      <w:r w:rsidRPr="00CE7561">
        <w:rPr>
          <w:rFonts w:ascii="Times New Roman" w:hAnsi="Times New Roman" w:cs="Times New Roman"/>
          <w:bCs/>
          <w:sz w:val="20"/>
          <w:szCs w:val="20"/>
        </w:rPr>
        <w:t>.</w:t>
      </w:r>
    </w:p>
    <w:p w14:paraId="134EF70B" w14:textId="77777777" w:rsidR="00B75C62" w:rsidRPr="00CE7561" w:rsidRDefault="00B75C62" w:rsidP="00817F14">
      <w:pPr>
        <w:spacing w:after="0" w:line="480" w:lineRule="auto"/>
        <w:jc w:val="center"/>
        <w:rPr>
          <w:rFonts w:ascii="Times New Roman" w:hAnsi="Times New Roman" w:cs="Times New Roman"/>
          <w:bCs/>
          <w:sz w:val="20"/>
          <w:szCs w:val="20"/>
        </w:rPr>
      </w:pPr>
      <w:r w:rsidRPr="00CE7561">
        <w:rPr>
          <w:rFonts w:ascii="Times New Roman" w:hAnsi="Times New Roman" w:cs="Times New Roman"/>
          <w:bCs/>
          <w:noProof/>
          <w:sz w:val="20"/>
          <w:szCs w:val="20"/>
        </w:rPr>
        <w:lastRenderedPageBreak/>
        <w:drawing>
          <wp:inline distT="0" distB="0" distL="0" distR="0" wp14:anchorId="7F77466E" wp14:editId="1DD5D58F">
            <wp:extent cx="4462272" cy="2862072"/>
            <wp:effectExtent l="0" t="0" r="0" b="0"/>
            <wp:docPr id="28" name="Picture 28" descr="C:\Users\Gogoo\Desktop\OBIORA WORK\MAP OF 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goo\Desktop\OBIORA WORK\MAP OF LO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2272" cy="2862072"/>
                    </a:xfrm>
                    <a:prstGeom prst="rect">
                      <a:avLst/>
                    </a:prstGeom>
                    <a:noFill/>
                    <a:ln>
                      <a:noFill/>
                    </a:ln>
                  </pic:spPr>
                </pic:pic>
              </a:graphicData>
            </a:graphic>
          </wp:inline>
        </w:drawing>
      </w:r>
    </w:p>
    <w:p w14:paraId="57680D81" w14:textId="54B92950" w:rsidR="00B75C62" w:rsidRPr="00CE7561" w:rsidRDefault="005957F1" w:rsidP="00817F14">
      <w:pPr>
        <w:spacing w:after="0" w:line="480" w:lineRule="auto"/>
        <w:jc w:val="center"/>
        <w:rPr>
          <w:rFonts w:ascii="Times New Roman" w:hAnsi="Times New Roman" w:cs="Times New Roman"/>
          <w:b/>
          <w:bCs/>
          <w:sz w:val="20"/>
          <w:szCs w:val="20"/>
        </w:rPr>
      </w:pPr>
      <w:bookmarkStart w:id="0" w:name="_Hlk184299753"/>
      <w:r w:rsidRPr="005957F1">
        <w:rPr>
          <w:rFonts w:ascii="Times New Roman" w:hAnsi="Times New Roman" w:cs="Times New Roman"/>
          <w:b/>
          <w:bCs/>
          <w:sz w:val="20"/>
          <w:szCs w:val="20"/>
        </w:rPr>
        <w:t>Map</w:t>
      </w:r>
      <w:r w:rsidR="00B75C62" w:rsidRPr="00CE7561">
        <w:rPr>
          <w:rFonts w:ascii="Times New Roman" w:hAnsi="Times New Roman" w:cs="Times New Roman"/>
          <w:b/>
          <w:bCs/>
          <w:sz w:val="20"/>
          <w:szCs w:val="20"/>
        </w:rPr>
        <w:t xml:space="preserve"> 1. Map of </w:t>
      </w:r>
      <w:r w:rsidR="00DD728C">
        <w:rPr>
          <w:rFonts w:ascii="Times New Roman" w:hAnsi="Times New Roman" w:cs="Times New Roman"/>
          <w:b/>
          <w:bCs/>
          <w:sz w:val="20"/>
          <w:szCs w:val="20"/>
        </w:rPr>
        <w:t>Enugu North</w:t>
      </w:r>
      <w:r w:rsidR="00B75C62" w:rsidRPr="00CE7561">
        <w:rPr>
          <w:rFonts w:ascii="Times New Roman" w:hAnsi="Times New Roman" w:cs="Times New Roman"/>
          <w:b/>
          <w:bCs/>
          <w:sz w:val="20"/>
          <w:szCs w:val="20"/>
        </w:rPr>
        <w:t xml:space="preserve"> showing the borehole locations</w:t>
      </w:r>
      <w:r w:rsidR="000E4AC0">
        <w:rPr>
          <w:rFonts w:ascii="Times New Roman" w:hAnsi="Times New Roman" w:cs="Times New Roman"/>
          <w:b/>
          <w:bCs/>
          <w:sz w:val="20"/>
          <w:szCs w:val="20"/>
        </w:rPr>
        <w:t xml:space="preserve"> </w:t>
      </w:r>
    </w:p>
    <w:p w14:paraId="4DDAE3A8" w14:textId="77777777" w:rsidR="00817F14" w:rsidRPr="00CE7561" w:rsidRDefault="00D84F8C"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
          <w:bCs/>
          <w:sz w:val="20"/>
          <w:szCs w:val="20"/>
        </w:rPr>
        <w:t xml:space="preserve">2.3 </w:t>
      </w:r>
      <w:r w:rsidR="00817F14" w:rsidRPr="00CE7561">
        <w:rPr>
          <w:rFonts w:ascii="Times New Roman" w:hAnsi="Times New Roman" w:cs="Times New Roman"/>
          <w:b/>
          <w:bCs/>
          <w:sz w:val="20"/>
          <w:szCs w:val="20"/>
        </w:rPr>
        <w:t>Determination of the Heavy Metals</w:t>
      </w:r>
      <w:r w:rsidR="00817F14" w:rsidRPr="00CE7561">
        <w:rPr>
          <w:rFonts w:ascii="Times New Roman" w:hAnsi="Times New Roman" w:cs="Times New Roman"/>
          <w:bCs/>
          <w:sz w:val="20"/>
          <w:szCs w:val="20"/>
        </w:rPr>
        <w:t xml:space="preserve"> </w:t>
      </w:r>
    </w:p>
    <w:p w14:paraId="615C7D0B" w14:textId="77777777" w:rsidR="00817F14" w:rsidRPr="00CE7561" w:rsidRDefault="00817F14" w:rsidP="00817F14">
      <w:pPr>
        <w:spacing w:after="120" w:line="276" w:lineRule="auto"/>
        <w:jc w:val="both"/>
        <w:rPr>
          <w:rFonts w:ascii="Times New Roman" w:hAnsi="Times New Roman" w:cs="Times New Roman"/>
          <w:bCs/>
          <w:sz w:val="20"/>
          <w:szCs w:val="20"/>
        </w:rPr>
      </w:pPr>
      <w:r w:rsidRPr="00CE7561">
        <w:rPr>
          <w:rFonts w:ascii="Times New Roman" w:hAnsi="Times New Roman" w:cs="Times New Roman"/>
          <w:bCs/>
          <w:sz w:val="20"/>
          <w:szCs w:val="20"/>
        </w:rPr>
        <w:t>Heavy metals such as Nickel, Iron, Zinc, Copper, Lead, Cadmium, Manganese</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Chromium were determined after digestion of samples using </w:t>
      </w:r>
      <w:r w:rsidR="00C41B5D" w:rsidRPr="00CE7561">
        <w:rPr>
          <w:rFonts w:ascii="Times New Roman" w:hAnsi="Times New Roman" w:cs="Times New Roman"/>
          <w:bCs/>
          <w:sz w:val="20"/>
          <w:szCs w:val="20"/>
        </w:rPr>
        <w:t xml:space="preserve">an </w:t>
      </w:r>
      <w:r w:rsidRPr="00CE7561">
        <w:rPr>
          <w:rFonts w:ascii="Times New Roman" w:hAnsi="Times New Roman" w:cs="Times New Roman"/>
          <w:bCs/>
          <w:sz w:val="20"/>
          <w:szCs w:val="20"/>
        </w:rPr>
        <w:t xml:space="preserve">Atomic Absorption Spectrophotometer (AAS). Water sample digestion was carried out by taking 10 ml of each sample and adding 4 ml of Perchloric acid, 20 ml concentrated </w:t>
      </w:r>
      <w:proofErr w:type="spellStart"/>
      <w:r w:rsidRPr="00CE7561">
        <w:rPr>
          <w:rFonts w:ascii="Times New Roman" w:hAnsi="Times New Roman" w:cs="Times New Roman"/>
          <w:bCs/>
          <w:sz w:val="20"/>
          <w:szCs w:val="20"/>
        </w:rPr>
        <w:t>Trioxonitrate</w:t>
      </w:r>
      <w:proofErr w:type="spellEnd"/>
      <w:r w:rsidRPr="00CE7561">
        <w:rPr>
          <w:rFonts w:ascii="Times New Roman" w:hAnsi="Times New Roman" w:cs="Times New Roman"/>
          <w:bCs/>
          <w:sz w:val="20"/>
          <w:szCs w:val="20"/>
        </w:rPr>
        <w:t xml:space="preserve"> (V) acid</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2 ml concentrated </w:t>
      </w:r>
      <w:proofErr w:type="spellStart"/>
      <w:r w:rsidR="00C41B5D" w:rsidRPr="00CE7561">
        <w:rPr>
          <w:rFonts w:ascii="Times New Roman" w:hAnsi="Times New Roman" w:cs="Times New Roman"/>
          <w:bCs/>
          <w:sz w:val="20"/>
          <w:szCs w:val="20"/>
        </w:rPr>
        <w:t>tetraoxosulfate</w:t>
      </w:r>
      <w:proofErr w:type="spellEnd"/>
      <w:r w:rsidRPr="00CE7561">
        <w:rPr>
          <w:rFonts w:ascii="Times New Roman" w:hAnsi="Times New Roman" w:cs="Times New Roman"/>
          <w:bCs/>
          <w:sz w:val="20"/>
          <w:szCs w:val="20"/>
        </w:rPr>
        <w:t xml:space="preserve"> (VI) acid. This was digested using </w:t>
      </w:r>
      <w:r w:rsidR="00C41B5D" w:rsidRPr="00CE7561">
        <w:rPr>
          <w:rFonts w:ascii="Times New Roman" w:hAnsi="Times New Roman" w:cs="Times New Roman"/>
          <w:bCs/>
          <w:sz w:val="20"/>
          <w:szCs w:val="20"/>
        </w:rPr>
        <w:t xml:space="preserve">an </w:t>
      </w:r>
      <w:r w:rsidRPr="00CE7561">
        <w:rPr>
          <w:rFonts w:ascii="Times New Roman" w:hAnsi="Times New Roman" w:cs="Times New Roman"/>
          <w:bCs/>
          <w:sz w:val="20"/>
          <w:szCs w:val="20"/>
        </w:rPr>
        <w:t xml:space="preserve">aluminum block </w:t>
      </w:r>
      <w:r w:rsidR="00C41B5D" w:rsidRPr="00CE7561">
        <w:rPr>
          <w:rFonts w:ascii="Times New Roman" w:hAnsi="Times New Roman" w:cs="Times New Roman"/>
          <w:bCs/>
          <w:sz w:val="20"/>
          <w:szCs w:val="20"/>
        </w:rPr>
        <w:t xml:space="preserve">with </w:t>
      </w:r>
      <w:r w:rsidRPr="00CE7561">
        <w:rPr>
          <w:rFonts w:ascii="Times New Roman" w:hAnsi="Times New Roman" w:cs="Times New Roman"/>
          <w:bCs/>
          <w:sz w:val="20"/>
          <w:szCs w:val="20"/>
        </w:rPr>
        <w:t xml:space="preserve">30 digesters 110. The mixture was heated until white fumes evolved and clear solutions </w:t>
      </w:r>
      <w:r w:rsidR="00C41B5D" w:rsidRPr="00CE7561">
        <w:rPr>
          <w:rFonts w:ascii="Times New Roman" w:hAnsi="Times New Roman" w:cs="Times New Roman"/>
          <w:bCs/>
          <w:sz w:val="20"/>
          <w:szCs w:val="20"/>
        </w:rPr>
        <w:t xml:space="preserve">were </w:t>
      </w:r>
      <w:r w:rsidRPr="00CE7561">
        <w:rPr>
          <w:rFonts w:ascii="Times New Roman" w:hAnsi="Times New Roman" w:cs="Times New Roman"/>
          <w:bCs/>
          <w:sz w:val="20"/>
          <w:szCs w:val="20"/>
        </w:rPr>
        <w:t>obtained. The essence of the digestion before analysis was to reduce organic matter interference and convert met</w:t>
      </w:r>
      <w:r w:rsidR="00C41B5D" w:rsidRPr="00CE7561">
        <w:rPr>
          <w:rFonts w:ascii="Times New Roman" w:hAnsi="Times New Roman" w:cs="Times New Roman"/>
          <w:bCs/>
          <w:sz w:val="20"/>
          <w:szCs w:val="20"/>
        </w:rPr>
        <w:t>als to a form that can be analyz</w:t>
      </w:r>
      <w:r w:rsidRPr="00CE7561">
        <w:rPr>
          <w:rFonts w:ascii="Times New Roman" w:hAnsi="Times New Roman" w:cs="Times New Roman"/>
          <w:bCs/>
          <w:sz w:val="20"/>
          <w:szCs w:val="20"/>
        </w:rPr>
        <w:t xml:space="preserve">ed by the Atomic Absorption Spectrophotometer. After digestion, the samples for heavy metals were allowed to cool, transferred into </w:t>
      </w:r>
      <w:r w:rsidR="00C41B5D" w:rsidRPr="00CE7561">
        <w:rPr>
          <w:rFonts w:ascii="Times New Roman" w:hAnsi="Times New Roman" w:cs="Times New Roman"/>
          <w:bCs/>
          <w:sz w:val="20"/>
          <w:szCs w:val="20"/>
        </w:rPr>
        <w:t xml:space="preserve">a </w:t>
      </w:r>
      <w:r w:rsidRPr="00CE7561">
        <w:rPr>
          <w:rFonts w:ascii="Times New Roman" w:hAnsi="Times New Roman" w:cs="Times New Roman"/>
          <w:bCs/>
          <w:sz w:val="20"/>
          <w:szCs w:val="20"/>
        </w:rPr>
        <w:t>100 ml volumetric flask, volume made up to 100 ml with distilled water</w:t>
      </w:r>
      <w:r w:rsidR="00C41B5D" w:rsidRPr="00CE7561">
        <w:rPr>
          <w:rFonts w:ascii="Times New Roman" w:hAnsi="Times New Roman" w:cs="Times New Roman"/>
          <w:bCs/>
          <w:sz w:val="20"/>
          <w:szCs w:val="20"/>
        </w:rPr>
        <w:t>,</w:t>
      </w:r>
      <w:r w:rsidRPr="00CE7561">
        <w:rPr>
          <w:rFonts w:ascii="Times New Roman" w:hAnsi="Times New Roman" w:cs="Times New Roman"/>
          <w:bCs/>
          <w:sz w:val="20"/>
          <w:szCs w:val="20"/>
        </w:rPr>
        <w:t xml:space="preserve"> and then thoroughly mixed. The sample was allowed to stand and further centrifuged to separate insoluble materials, and filtered. Heavy metal concentrations in sample filtrates were determined using the Atomic Absorption Spectrophotometer (AAS) at different wavelengths.</w:t>
      </w:r>
    </w:p>
    <w:p w14:paraId="3436071B" w14:textId="77777777" w:rsidR="00ED271F" w:rsidRPr="00CE7561" w:rsidRDefault="00DF7EA9"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2.4</w:t>
      </w:r>
      <w:r w:rsidR="00ED271F" w:rsidRPr="00CE7561">
        <w:rPr>
          <w:rFonts w:ascii="Times New Roman" w:hAnsi="Times New Roman" w:cs="Times New Roman"/>
          <w:b/>
          <w:sz w:val="20"/>
          <w:szCs w:val="20"/>
        </w:rPr>
        <w:t xml:space="preserve"> Health Risk Assessment</w:t>
      </w:r>
    </w:p>
    <w:p w14:paraId="17BB772B" w14:textId="1325D894"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Health risk assessment (HRA) is a systematic process used to evaluate the potential adverse health effects of contaminants in water, particularly heavy metals </w:t>
      </w:r>
      <w:r w:rsidR="003F38B0">
        <w:rPr>
          <w:rFonts w:ascii="Times New Roman" w:hAnsi="Times New Roman" w:cs="Times New Roman"/>
          <w:sz w:val="20"/>
          <w:szCs w:val="20"/>
        </w:rPr>
        <w:t>[26].</w:t>
      </w:r>
      <w:r w:rsidRPr="00CE7561">
        <w:rPr>
          <w:rFonts w:ascii="Times New Roman" w:hAnsi="Times New Roman" w:cs="Times New Roman"/>
          <w:sz w:val="20"/>
          <w:szCs w:val="20"/>
        </w:rPr>
        <w:t xml:space="preserve"> In the context of borehole water quality assessment, HRA is essential for determining the safety of drinking water and identifying risks associated with long-ter</w:t>
      </w:r>
      <w:r w:rsidR="003F38B0">
        <w:rPr>
          <w:rFonts w:ascii="Times New Roman" w:hAnsi="Times New Roman" w:cs="Times New Roman"/>
          <w:sz w:val="20"/>
          <w:szCs w:val="20"/>
        </w:rPr>
        <w:t>m exposure to toxic substances [27]</w:t>
      </w:r>
      <w:r w:rsidRPr="00CE7561">
        <w:rPr>
          <w:rFonts w:ascii="Times New Roman" w:hAnsi="Times New Roman" w:cs="Times New Roman"/>
          <w:sz w:val="20"/>
          <w:szCs w:val="20"/>
        </w:rPr>
        <w:t xml:space="preserve">. It consists of four main components: hazard identification, exposure assessment, dose-response assessment, and risk characterization. </w:t>
      </w:r>
    </w:p>
    <w:p w14:paraId="0DD776BB" w14:textId="570B2D40"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Health risk indices are quantitative measures used to evaluate the potential health risks associated with exposure to contaminants, particularly </w:t>
      </w:r>
      <w:r w:rsidR="003F38B0">
        <w:rPr>
          <w:rFonts w:ascii="Times New Roman" w:hAnsi="Times New Roman" w:cs="Times New Roman"/>
          <w:sz w:val="20"/>
          <w:szCs w:val="20"/>
        </w:rPr>
        <w:t xml:space="preserve">heavy metals in drinking water [28]; </w:t>
      </w:r>
      <w:r w:rsidR="003F38B0">
        <w:rPr>
          <w:rFonts w:ascii="Times New Roman" w:hAnsi="Times New Roman" w:cs="Times New Roman"/>
          <w:color w:val="222222"/>
          <w:sz w:val="20"/>
          <w:szCs w:val="20"/>
          <w:shd w:val="clear" w:color="auto" w:fill="FFFFFF"/>
        </w:rPr>
        <w:t>[29]</w:t>
      </w:r>
      <w:r w:rsidRPr="00CE7561">
        <w:rPr>
          <w:rFonts w:ascii="Times New Roman" w:hAnsi="Times New Roman" w:cs="Times New Roman"/>
          <w:sz w:val="20"/>
          <w:szCs w:val="20"/>
        </w:rPr>
        <w:t xml:space="preserve">. These indices help in determining whether the water is safe for consumption and identifying possible non-carcinogenic and carcinogenic health effects. The key health risk indices include </w:t>
      </w:r>
      <w:r w:rsidRPr="00CE7561">
        <w:rPr>
          <w:rStyle w:val="Strong"/>
          <w:rFonts w:ascii="Times New Roman" w:hAnsi="Times New Roman" w:cs="Times New Roman"/>
          <w:b w:val="0"/>
          <w:sz w:val="20"/>
          <w:szCs w:val="20"/>
        </w:rPr>
        <w:t>Chronic Daily Intake (CDI), Hazard Quotient (HQ), Hazard Index (HI), and Cancer Risk (CR)</w:t>
      </w:r>
      <w:r w:rsidRPr="00CE7561">
        <w:rPr>
          <w:rFonts w:ascii="Times New Roman" w:hAnsi="Times New Roman" w:cs="Times New Roman"/>
          <w:sz w:val="20"/>
          <w:szCs w:val="20"/>
        </w:rPr>
        <w:t>.</w:t>
      </w:r>
    </w:p>
    <w:p w14:paraId="1DF289B3" w14:textId="77777777" w:rsidR="00ED271F" w:rsidRPr="00CE7561" w:rsidRDefault="00A67306"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2.4</w:t>
      </w:r>
      <w:r w:rsidR="00ED271F" w:rsidRPr="00CE7561">
        <w:rPr>
          <w:rFonts w:ascii="Times New Roman" w:hAnsi="Times New Roman" w:cs="Times New Roman"/>
          <w:b/>
          <w:sz w:val="20"/>
          <w:szCs w:val="20"/>
        </w:rPr>
        <w:t>.1 Non-Carcinogenic Health Risk</w:t>
      </w:r>
    </w:p>
    <w:p w14:paraId="7C99607B" w14:textId="181CC8E4" w:rsidR="00ED271F" w:rsidRPr="00CE7561" w:rsidRDefault="00ED271F" w:rsidP="00ED271F">
      <w:pPr>
        <w:spacing w:after="120" w:line="276" w:lineRule="auto"/>
        <w:jc w:val="both"/>
        <w:rPr>
          <w:rStyle w:val="Strong"/>
          <w:rFonts w:ascii="Times New Roman" w:hAnsi="Times New Roman" w:cs="Times New Roman"/>
          <w:b w:val="0"/>
          <w:sz w:val="20"/>
          <w:szCs w:val="20"/>
        </w:rPr>
      </w:pPr>
      <w:r w:rsidRPr="00CE7561">
        <w:rPr>
          <w:rFonts w:ascii="Times New Roman" w:hAnsi="Times New Roman" w:cs="Times New Roman"/>
          <w:sz w:val="20"/>
          <w:szCs w:val="20"/>
        </w:rPr>
        <w:t>Non-carcinogenic risk assessment evaluates the potential adverse health effects of contaminants, such as heavy metals in drinking water, that do not cause cancer but may lead to other health complications whe</w:t>
      </w:r>
      <w:r w:rsidR="004067FF">
        <w:rPr>
          <w:rFonts w:ascii="Times New Roman" w:hAnsi="Times New Roman" w:cs="Times New Roman"/>
          <w:sz w:val="20"/>
          <w:szCs w:val="20"/>
        </w:rPr>
        <w:t>n exposure exceeds safe limits [30];</w:t>
      </w:r>
      <w:r w:rsidR="00072CCC">
        <w:rPr>
          <w:rFonts w:ascii="Times New Roman" w:hAnsi="Times New Roman" w:cs="Times New Roman"/>
          <w:color w:val="222222"/>
          <w:sz w:val="20"/>
          <w:szCs w:val="20"/>
          <w:shd w:val="clear" w:color="auto" w:fill="FFFFFF"/>
        </w:rPr>
        <w:t xml:space="preserve"> </w:t>
      </w:r>
      <w:r w:rsidR="004067FF">
        <w:rPr>
          <w:rFonts w:ascii="Times New Roman" w:hAnsi="Times New Roman" w:cs="Times New Roman"/>
          <w:color w:val="222222"/>
          <w:sz w:val="20"/>
          <w:szCs w:val="20"/>
          <w:shd w:val="clear" w:color="auto" w:fill="FFFFFF"/>
        </w:rPr>
        <w:t>[31]</w:t>
      </w:r>
      <w:r w:rsidRPr="00CE7561">
        <w:rPr>
          <w:rFonts w:ascii="Times New Roman" w:hAnsi="Times New Roman" w:cs="Times New Roman"/>
          <w:sz w:val="20"/>
          <w:szCs w:val="20"/>
        </w:rPr>
        <w:t xml:space="preserve">. This assessment is based on comparing the estimated exposure level of a contaminant to a reference </w:t>
      </w:r>
      <w:r w:rsidRPr="00CE7561">
        <w:rPr>
          <w:rFonts w:ascii="Times New Roman" w:hAnsi="Times New Roman" w:cs="Times New Roman"/>
          <w:sz w:val="20"/>
          <w:szCs w:val="20"/>
        </w:rPr>
        <w:lastRenderedPageBreak/>
        <w:t xml:space="preserve">dose, which is the maximum safe level of daily exposure established by regulatory agencies like the U.S. Environmental Protection Agency (EPA) and the World Health Organization (WHO). </w:t>
      </w:r>
      <w:r w:rsidRPr="00CE7561">
        <w:rPr>
          <w:rStyle w:val="Strong"/>
          <w:rFonts w:ascii="Times New Roman" w:hAnsi="Times New Roman" w:cs="Times New Roman"/>
          <w:b w:val="0"/>
          <w:sz w:val="20"/>
          <w:szCs w:val="20"/>
        </w:rPr>
        <w:t>Chronic Daily Intake (CDI), Hazard Quotient (HQ), and Hazard Index (HI) evaluate the non-carcinogenic risk.</w:t>
      </w:r>
    </w:p>
    <w:p w14:paraId="23174153"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(a) Chronic Daily Intake (CDI)</w:t>
      </w:r>
    </w:p>
    <w:p w14:paraId="4E31E3B2"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Chronic Daily Intake (CDI)</w:t>
      </w:r>
      <w:r w:rsidRPr="00CE7561">
        <w:rPr>
          <w:rFonts w:ascii="Times New Roman" w:hAnsi="Times New Roman" w:cs="Times New Roman"/>
          <w:sz w:val="20"/>
          <w:szCs w:val="20"/>
        </w:rPr>
        <w:t xml:space="preserve"> is a key metric used in health risk assessment to estimate the daily exposure of an individual to a contaminant over an extended period. For heavy metals in drinking water, CDI is typically calculated for ingestion and dermal absorption pathways.</w:t>
      </w:r>
    </w:p>
    <w:p w14:paraId="6AF8F5A2"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CDI for ingestion of heavy metals in water is calculated using the following formula:</w:t>
      </w:r>
    </w:p>
    <w:p w14:paraId="6BF43D1D" w14:textId="77777777" w:rsidR="00ED271F" w:rsidRPr="00CE7561" w:rsidRDefault="00610073" w:rsidP="00ED271F">
      <w:pPr>
        <w:spacing w:after="120" w:line="276" w:lineRule="auto"/>
        <w:jc w:val="both"/>
        <w:rPr>
          <w:rFonts w:ascii="Times New Roman" w:eastAsiaTheme="minorEastAsia"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ingestion</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C×IR×EF×ED</m:t>
              </m:r>
            </m:num>
            <m:den>
              <m:r>
                <w:rPr>
                  <w:rFonts w:ascii="Cambria Math" w:hAnsi="Cambria Math" w:cs="Times New Roman"/>
                  <w:sz w:val="20"/>
                  <w:szCs w:val="20"/>
                </w:rPr>
                <m:t>BW×AT</m:t>
              </m:r>
            </m:den>
          </m:f>
          <m:r>
            <w:rPr>
              <w:rFonts w:ascii="Cambria Math" w:hAnsi="Cambria Math" w:cs="Times New Roman"/>
              <w:sz w:val="20"/>
              <w:szCs w:val="20"/>
            </w:rPr>
            <m:t xml:space="preserve">                                                                   (1)</m:t>
          </m:r>
        </m:oMath>
      </m:oMathPara>
    </w:p>
    <w:p w14:paraId="13D965B8"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ingestion</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Chronic Daily Intake through ingestion (mg/kg-day),</w:t>
      </w:r>
      <w:r w:rsidRPr="00CE7561">
        <w:rPr>
          <w:rFonts w:ascii="Times New Roman" w:eastAsiaTheme="minorEastAsia" w:hAnsi="Times New Roman" w:cs="Times New Roman"/>
          <w:sz w:val="20"/>
          <w:szCs w:val="20"/>
        </w:rPr>
        <w:t xml:space="preserve"> </w:t>
      </w:r>
      <m:oMath>
        <m:r>
          <w:rPr>
            <w:rFonts w:ascii="Cambria Math" w:hAnsi="Cambria Math" w:cs="Times New Roman"/>
            <w:sz w:val="20"/>
            <w:szCs w:val="20"/>
          </w:rPr>
          <m:t>C</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concentration of the heavy metal in water (mg/L), </w:t>
      </w:r>
      <m:oMath>
        <m:r>
          <w:rPr>
            <w:rFonts w:ascii="Cambria Math" w:hAnsi="Cambria Math" w:cs="Times New Roman"/>
            <w:sz w:val="20"/>
            <w:szCs w:val="20"/>
          </w:rPr>
          <m:t>IR</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ingestion rate of water (L/day), </w:t>
      </w:r>
      <m:oMath>
        <m:r>
          <w:rPr>
            <w:rFonts w:ascii="Cambria Math" w:hAnsi="Cambria Math" w:cs="Times New Roman"/>
            <w:sz w:val="20"/>
            <w:szCs w:val="20"/>
          </w:rPr>
          <m:t>EF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frequency (days/year), </w:t>
      </w:r>
      <m:oMath>
        <m:r>
          <w:rPr>
            <w:rFonts w:ascii="Cambria Math" w:hAnsi="Cambria Math" w:cs="Times New Roman"/>
            <w:sz w:val="20"/>
            <w:szCs w:val="20"/>
          </w:rPr>
          <m:t>ED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duration (years), </w:t>
      </w:r>
      <m:oMath>
        <m:r>
          <w:rPr>
            <w:rFonts w:ascii="Cambria Math" w:hAnsi="Cambria Math" w:cs="Times New Roman"/>
            <w:sz w:val="20"/>
            <w:szCs w:val="20"/>
          </w:rPr>
          <m:t>BW</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Body weight of the individual (kg), and </w:t>
      </w:r>
      <m:oMath>
        <m:r>
          <w:rPr>
            <w:rFonts w:ascii="Cambria Math" w:hAnsi="Cambria Math" w:cs="Times New Roman"/>
            <w:sz w:val="20"/>
            <w:szCs w:val="20"/>
          </w:rPr>
          <m:t>AT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Averaging time (days), which depends on the type of risk being assessed. </w:t>
      </w:r>
    </w:p>
    <w:p w14:paraId="161FF1C7"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Dermal exposure occurs when people come into contact with contaminated water during activities such as bathing, washing, or other domestic uses. The </w:t>
      </w:r>
      <w:r w:rsidRPr="00CE7561">
        <w:rPr>
          <w:rStyle w:val="Strong"/>
          <w:rFonts w:ascii="Times New Roman" w:hAnsi="Times New Roman" w:cs="Times New Roman"/>
          <w:b w:val="0"/>
          <w:sz w:val="20"/>
          <w:szCs w:val="20"/>
        </w:rPr>
        <w:t>Chronic Daily Intake (CDI)</w:t>
      </w:r>
      <w:r w:rsidRPr="00CE7561">
        <w:rPr>
          <w:rFonts w:ascii="Times New Roman" w:hAnsi="Times New Roman" w:cs="Times New Roman"/>
          <w:sz w:val="20"/>
          <w:szCs w:val="20"/>
        </w:rPr>
        <w:t xml:space="preserve"> for dermal exposure estimates the daily absorbed dose of heavy metals through the skin over an extended period. The CDI for dermal exposure to heavy metals in water is calculated using the following equation:</w:t>
      </w:r>
    </w:p>
    <w:p w14:paraId="628B2007" w14:textId="77777777" w:rsidR="00ED271F" w:rsidRPr="00CE7561" w:rsidRDefault="00610073" w:rsidP="00ED271F">
      <w:pPr>
        <w:spacing w:after="120" w:line="276" w:lineRule="auto"/>
        <w:jc w:val="both"/>
        <w:rPr>
          <w:rFonts w:ascii="Times New Roman" w:eastAsiaTheme="minorEastAsia" w:hAnsi="Times New Roman" w:cs="Times New Roman"/>
          <w:sz w:val="20"/>
          <w:szCs w:val="20"/>
        </w:rPr>
      </w:pPr>
      <m:oMathPara>
        <m:oMathParaPr>
          <m:jc m:val="right"/>
        </m:oMathParaP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dermal</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C×SA×</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r>
                <w:rPr>
                  <w:rFonts w:ascii="Cambria Math" w:hAnsi="Cambria Math" w:cs="Times New Roman"/>
                  <w:sz w:val="20"/>
                  <w:szCs w:val="20"/>
                </w:rPr>
                <m:t>×ET×EF×ED×CF</m:t>
              </m:r>
            </m:num>
            <m:den>
              <m:r>
                <w:rPr>
                  <w:rFonts w:ascii="Cambria Math" w:hAnsi="Cambria Math" w:cs="Times New Roman"/>
                  <w:sz w:val="20"/>
                  <w:szCs w:val="20"/>
                </w:rPr>
                <m:t>BW×AT</m:t>
              </m:r>
            </m:den>
          </m:f>
          <m:r>
            <w:rPr>
              <w:rFonts w:ascii="Cambria Math" w:hAnsi="Cambria Math" w:cs="Times New Roman"/>
              <w:sz w:val="20"/>
              <w:szCs w:val="20"/>
            </w:rPr>
            <m:t xml:space="preserve">                                               (2)</m:t>
          </m:r>
        </m:oMath>
      </m:oMathPara>
    </w:p>
    <w:p w14:paraId="0E58AA5A" w14:textId="1D789E44" w:rsidR="00ED271F" w:rsidRPr="00CE7561" w:rsidRDefault="00ED271F" w:rsidP="00ED271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CDI</m:t>
            </m:r>
          </m:e>
          <m:sub>
            <m:r>
              <m:rPr>
                <m:sty m:val="p"/>
              </m:rPr>
              <w:rPr>
                <w:rFonts w:ascii="Cambria Math" w:hAnsi="Cambria Math" w:cs="Times New Roman"/>
                <w:sz w:val="20"/>
                <w:szCs w:val="20"/>
              </w:rPr>
              <m:t>dermal</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through dermal exposure (mg/kg-day), </w:t>
      </w:r>
      <m:oMath>
        <m:r>
          <w:rPr>
            <w:rFonts w:ascii="Cambria Math" w:hAnsi="Cambria Math" w:cs="Times New Roman"/>
            <w:sz w:val="20"/>
            <w:szCs w:val="20"/>
          </w:rPr>
          <m:t>C</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concentration of the heavy metal in water (mg/L), </w:t>
      </w:r>
      <m:oMath>
        <m:r>
          <w:rPr>
            <w:rFonts w:ascii="Cambria Math" w:hAnsi="Cambria Math" w:cs="Times New Roman"/>
            <w:sz w:val="20"/>
            <w:szCs w:val="20"/>
          </w:rPr>
          <m:t>SA</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exposed skin surface area (cm²),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dermal permeability coefficient of the heavy metal in water (cm/</w:t>
      </w:r>
      <w:proofErr w:type="spellStart"/>
      <w:r w:rsidRPr="00CE7561">
        <w:rPr>
          <w:rFonts w:ascii="Times New Roman" w:hAnsi="Times New Roman" w:cs="Times New Roman"/>
          <w:sz w:val="20"/>
          <w:szCs w:val="20"/>
        </w:rPr>
        <w:t>hr</w:t>
      </w:r>
      <w:proofErr w:type="spellEnd"/>
      <w:r w:rsidRPr="00CE7561">
        <w:rPr>
          <w:rFonts w:ascii="Times New Roman" w:hAnsi="Times New Roman" w:cs="Times New Roman"/>
          <w:sz w:val="20"/>
          <w:szCs w:val="20"/>
        </w:rPr>
        <w:t xml:space="preserve">), </w:t>
      </w:r>
      <m:oMath>
        <m:r>
          <w:rPr>
            <w:rFonts w:ascii="Cambria Math" w:hAnsi="Cambria Math" w:cs="Times New Roman"/>
            <w:sz w:val="20"/>
            <w:szCs w:val="20"/>
          </w:rPr>
          <m:t>ET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time per event (hours/day), </w:t>
      </w:r>
      <m:oMath>
        <m:r>
          <w:rPr>
            <w:rFonts w:ascii="Cambria Math" w:hAnsi="Cambria Math" w:cs="Times New Roman"/>
            <w:sz w:val="20"/>
            <w:szCs w:val="20"/>
          </w:rPr>
          <m:t>EF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frequency (days/year), </w:t>
      </w:r>
      <m:oMath>
        <m:r>
          <w:rPr>
            <w:rFonts w:ascii="Cambria Math" w:hAnsi="Cambria Math" w:cs="Times New Roman"/>
            <w:sz w:val="20"/>
            <w:szCs w:val="20"/>
          </w:rPr>
          <m:t>ED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exposure duration (years), </w:t>
      </w:r>
      <m:oMath>
        <m:r>
          <w:rPr>
            <w:rFonts w:ascii="Cambria Math" w:hAnsi="Cambria Math" w:cs="Times New Roman"/>
            <w:sz w:val="20"/>
            <w:szCs w:val="20"/>
          </w:rPr>
          <m:t>CF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Conversion factor (10⁻³ L/cm³), </w:t>
      </w:r>
      <m:oMath>
        <m:r>
          <w:rPr>
            <w:rFonts w:ascii="Cambria Math" w:hAnsi="Cambria Math" w:cs="Times New Roman"/>
            <w:sz w:val="20"/>
            <w:szCs w:val="20"/>
          </w:rPr>
          <m:t>BW</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body weight of the exposed individual (kg), and </w:t>
      </w:r>
      <m:oMath>
        <m:r>
          <w:rPr>
            <w:rFonts w:ascii="Cambria Math" w:hAnsi="Cambria Math" w:cs="Times New Roman"/>
            <w:sz w:val="20"/>
            <w:szCs w:val="20"/>
          </w:rPr>
          <m:t>AT</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averaging time (days)</w:t>
      </w:r>
      <w:r w:rsidR="00077982">
        <w:rPr>
          <w:rFonts w:ascii="Times New Roman" w:hAnsi="Times New Roman" w:cs="Times New Roman"/>
          <w:sz w:val="20"/>
          <w:szCs w:val="20"/>
        </w:rPr>
        <w:t xml:space="preserve"> [32]</w:t>
      </w:r>
      <w:r w:rsidRPr="00CE7561">
        <w:rPr>
          <w:rFonts w:ascii="Times New Roman" w:hAnsi="Times New Roman" w:cs="Times New Roman"/>
          <w:sz w:val="20"/>
          <w:szCs w:val="20"/>
        </w:rPr>
        <w:t>.</w:t>
      </w:r>
    </w:p>
    <w:p w14:paraId="7A8BF132"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(b) Hazard Quotient (HQ)</w:t>
      </w:r>
    </w:p>
    <w:p w14:paraId="65B0F556"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Hazard Quotient (HQ)</w:t>
      </w:r>
      <w:r w:rsidRPr="00CE7561">
        <w:rPr>
          <w:rFonts w:ascii="Times New Roman" w:hAnsi="Times New Roman" w:cs="Times New Roman"/>
          <w:sz w:val="20"/>
          <w:szCs w:val="20"/>
        </w:rPr>
        <w:t xml:space="preserve"> is a risk assessment parameter used to evaluate the potential non-carcinogenic health effects of heavy metals in drinking water. It is a ratio that compares the estimated exposure dose of a contaminant to the reference dose (</w:t>
      </w:r>
      <w:proofErr w:type="spellStart"/>
      <w:r w:rsidRPr="00CE7561">
        <w:rPr>
          <w:rStyle w:val="katex-mathml"/>
          <w:rFonts w:ascii="Times New Roman" w:hAnsi="Times New Roman" w:cs="Times New Roman"/>
          <w:sz w:val="20"/>
          <w:szCs w:val="20"/>
        </w:rPr>
        <w:t>RfD</w:t>
      </w:r>
      <w:proofErr w:type="spellEnd"/>
      <w:r w:rsidRPr="00CE7561">
        <w:rPr>
          <w:rFonts w:ascii="Times New Roman" w:hAnsi="Times New Roman" w:cs="Times New Roman"/>
          <w:sz w:val="20"/>
          <w:szCs w:val="20"/>
        </w:rPr>
        <w:t>). It is calculated as:</w:t>
      </w:r>
    </w:p>
    <w:p w14:paraId="50C0CCEB"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HQ=</m:t>
          </m:r>
          <m:f>
            <m:fPr>
              <m:ctrlPr>
                <w:rPr>
                  <w:rFonts w:ascii="Cambria Math" w:hAnsi="Cambria Math" w:cs="Times New Roman"/>
                  <w:i/>
                  <w:sz w:val="20"/>
                  <w:szCs w:val="20"/>
                </w:rPr>
              </m:ctrlPr>
            </m:fPr>
            <m:num>
              <m:r>
                <w:rPr>
                  <w:rFonts w:ascii="Cambria Math" w:hAnsi="Cambria Math" w:cs="Times New Roman"/>
                  <w:sz w:val="20"/>
                  <w:szCs w:val="20"/>
                </w:rPr>
                <m:t>CDI</m:t>
              </m:r>
            </m:num>
            <m:den>
              <m:r>
                <w:rPr>
                  <w:rFonts w:ascii="Cambria Math" w:hAnsi="Cambria Math" w:cs="Times New Roman"/>
                  <w:sz w:val="20"/>
                  <w:szCs w:val="20"/>
                </w:rPr>
                <m:t>RfD</m:t>
              </m:r>
            </m:den>
          </m:f>
          <m:r>
            <w:rPr>
              <w:rFonts w:ascii="Cambria Math" w:hAnsi="Cambria Math" w:cs="Times New Roman"/>
              <w:sz w:val="20"/>
              <w:szCs w:val="20"/>
            </w:rPr>
            <m:t xml:space="preserve">                                                                                 (3)</m:t>
          </m:r>
        </m:oMath>
      </m:oMathPara>
    </w:p>
    <w:p w14:paraId="0EA032B7" w14:textId="77966B02" w:rsidR="00ED271F" w:rsidRPr="00CE7561" w:rsidRDefault="00ED271F" w:rsidP="00ED271F">
      <w:pPr>
        <w:spacing w:after="120" w:line="276" w:lineRule="auto"/>
        <w:jc w:val="both"/>
        <w:rPr>
          <w:rFonts w:ascii="Times New Roman" w:hAnsi="Times New Roman" w:cs="Times New Roman"/>
          <w:sz w:val="20"/>
          <w:szCs w:val="20"/>
        </w:rPr>
      </w:pPr>
      <w:proofErr w:type="gramStart"/>
      <w:r w:rsidRPr="00CE7561">
        <w:rPr>
          <w:rFonts w:ascii="Times New Roman" w:eastAsiaTheme="minorEastAsia" w:hAnsi="Times New Roman" w:cs="Times New Roman"/>
          <w:sz w:val="20"/>
          <w:szCs w:val="20"/>
        </w:rPr>
        <w:t>where</w:t>
      </w:r>
      <w:proofErr w:type="gramEnd"/>
      <w:r w:rsidRPr="00CE7561">
        <w:rPr>
          <w:rFonts w:ascii="Times New Roman" w:eastAsiaTheme="minorEastAsia" w:hAnsi="Times New Roman" w:cs="Times New Roman"/>
          <w:sz w:val="20"/>
          <w:szCs w:val="20"/>
        </w:rPr>
        <w:t xml:space="preserve"> </w:t>
      </w:r>
      <m:oMath>
        <m:r>
          <w:rPr>
            <w:rFonts w:ascii="Cambria Math" w:hAnsi="Cambria Math" w:cs="Times New Roman"/>
            <w:sz w:val="20"/>
            <w:szCs w:val="20"/>
          </w:rPr>
          <m:t>CDI</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(mg/kg/day) and </w:t>
      </w:r>
      <m:oMath>
        <m:r>
          <w:rPr>
            <w:rFonts w:ascii="Cambria Math" w:hAnsi="Cambria Math" w:cs="Times New Roman"/>
            <w:sz w:val="20"/>
            <w:szCs w:val="20"/>
          </w:rPr>
          <m:t>RfD</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Reference Dose (mg/kg/day), which is the safe daily intake level set by regulatory agencies such as the U.S. Environmental</w:t>
      </w:r>
      <w:r w:rsidR="00077982">
        <w:rPr>
          <w:rFonts w:ascii="Times New Roman" w:hAnsi="Times New Roman" w:cs="Times New Roman"/>
          <w:sz w:val="20"/>
          <w:szCs w:val="20"/>
        </w:rPr>
        <w:t xml:space="preserve"> Protection Agency [33]. </w:t>
      </w:r>
      <w:proofErr w:type="gramStart"/>
      <w:r w:rsidRPr="00CE7561">
        <w:rPr>
          <w:rFonts w:ascii="Times New Roman" w:hAnsi="Times New Roman" w:cs="Times New Roman"/>
          <w:sz w:val="20"/>
          <w:szCs w:val="20"/>
        </w:rPr>
        <w:t xml:space="preserve">If </w:t>
      </w:r>
      <w:proofErr w:type="gramEnd"/>
      <m:oMath>
        <m:r>
          <w:rPr>
            <w:rFonts w:ascii="Cambria Math" w:hAnsi="Cambria Math" w:cs="Times New Roman"/>
            <w:sz w:val="20"/>
            <w:szCs w:val="20"/>
          </w:rPr>
          <m:t>HQ&lt;1</m:t>
        </m:r>
      </m:oMath>
      <w:r w:rsidRPr="00CE7561">
        <w:rPr>
          <w:rFonts w:ascii="Times New Roman" w:eastAsiaTheme="minorEastAsia" w:hAnsi="Times New Roman" w:cs="Times New Roman"/>
          <w:sz w:val="20"/>
          <w:szCs w:val="20"/>
        </w:rPr>
        <w:t xml:space="preserve">, </w:t>
      </w:r>
      <w:r w:rsidRPr="00CE7561">
        <w:rPr>
          <w:rFonts w:ascii="Times New Roman" w:hAnsi="Times New Roman" w:cs="Times New Roman"/>
          <w:sz w:val="20"/>
          <w:szCs w:val="20"/>
        </w:rPr>
        <w:t xml:space="preserve">it means that the exposure level is within safe limits, and no significant health effects are expected. However, </w:t>
      </w:r>
      <w:proofErr w:type="gramStart"/>
      <w:r w:rsidRPr="00CE7561">
        <w:rPr>
          <w:rFonts w:ascii="Times New Roman" w:hAnsi="Times New Roman" w:cs="Times New Roman"/>
          <w:sz w:val="20"/>
          <w:szCs w:val="20"/>
        </w:rPr>
        <w:t xml:space="preserve">if </w:t>
      </w:r>
      <w:proofErr w:type="gramEnd"/>
      <m:oMath>
        <m:r>
          <w:rPr>
            <w:rFonts w:ascii="Cambria Math" w:hAnsi="Cambria Math" w:cs="Times New Roman"/>
            <w:sz w:val="20"/>
            <w:szCs w:val="20"/>
          </w:rPr>
          <m:t>HQ&gt;1</m:t>
        </m:r>
      </m:oMath>
      <w:r w:rsidRPr="00CE7561">
        <w:rPr>
          <w:rFonts w:ascii="Times New Roman" w:eastAsiaTheme="minorEastAsia" w:hAnsi="Times New Roman" w:cs="Times New Roman"/>
          <w:sz w:val="20"/>
          <w:szCs w:val="20"/>
        </w:rPr>
        <w:t xml:space="preserve">, </w:t>
      </w:r>
      <w:r w:rsidRPr="00CE7561">
        <w:rPr>
          <w:rFonts w:ascii="Times New Roman" w:hAnsi="Times New Roman" w:cs="Times New Roman"/>
          <w:sz w:val="20"/>
          <w:szCs w:val="20"/>
        </w:rPr>
        <w:t>there is a potential health risk, indicating that long-term exposure may cause adve</w:t>
      </w:r>
      <w:r w:rsidR="00077982">
        <w:rPr>
          <w:rFonts w:ascii="Times New Roman" w:hAnsi="Times New Roman" w:cs="Times New Roman"/>
          <w:sz w:val="20"/>
          <w:szCs w:val="20"/>
        </w:rPr>
        <w:t>rse effects [33]</w:t>
      </w:r>
      <w:r w:rsidRPr="00CE7561">
        <w:rPr>
          <w:rFonts w:ascii="Times New Roman" w:hAnsi="Times New Roman" w:cs="Times New Roman"/>
          <w:sz w:val="20"/>
          <w:szCs w:val="20"/>
        </w:rPr>
        <w:t>.</w:t>
      </w:r>
    </w:p>
    <w:p w14:paraId="32C66229" w14:textId="77777777" w:rsidR="00ED271F" w:rsidRPr="00CE7561" w:rsidRDefault="00ED271F" w:rsidP="00ED271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(c) Hazard Index (HI)</w:t>
      </w:r>
    </w:p>
    <w:p w14:paraId="7FB083E6" w14:textId="2909CE89"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w:t>
      </w:r>
      <w:r w:rsidRPr="00CE7561">
        <w:rPr>
          <w:rStyle w:val="Strong"/>
          <w:rFonts w:ascii="Times New Roman" w:hAnsi="Times New Roman" w:cs="Times New Roman"/>
          <w:b w:val="0"/>
          <w:sz w:val="20"/>
          <w:szCs w:val="20"/>
        </w:rPr>
        <w:t>Hazard Index (HI)</w:t>
      </w:r>
      <w:r w:rsidRPr="00CE7561">
        <w:rPr>
          <w:rFonts w:ascii="Times New Roman" w:hAnsi="Times New Roman" w:cs="Times New Roman"/>
          <w:sz w:val="20"/>
          <w:szCs w:val="20"/>
        </w:rPr>
        <w:t xml:space="preserve"> is a risk assessment tool used to evaluate the potential non-carcinogenic health risks posed by multiple contaminants. It is the sum of individual </w:t>
      </w:r>
      <w:r w:rsidRPr="00CE7561">
        <w:rPr>
          <w:rStyle w:val="Strong"/>
          <w:rFonts w:ascii="Times New Roman" w:hAnsi="Times New Roman" w:cs="Times New Roman"/>
          <w:b w:val="0"/>
          <w:sz w:val="20"/>
          <w:szCs w:val="20"/>
        </w:rPr>
        <w:t>Hazard Quotients (HQs)</w:t>
      </w:r>
      <w:r w:rsidRPr="00CE7561">
        <w:rPr>
          <w:rFonts w:ascii="Times New Roman" w:hAnsi="Times New Roman" w:cs="Times New Roman"/>
          <w:sz w:val="20"/>
          <w:szCs w:val="20"/>
        </w:rPr>
        <w:t xml:space="preserve"> for different heavy metals in water. The HI provides an overall assessment of the potential health effects due to exposure to multiple contaminants simultaneously. If </w:t>
      </w:r>
      <w:r w:rsidRPr="00CE7561">
        <w:rPr>
          <w:rStyle w:val="Strong"/>
          <w:rFonts w:ascii="Times New Roman" w:hAnsi="Times New Roman" w:cs="Times New Roman"/>
          <w:b w:val="0"/>
          <w:sz w:val="20"/>
          <w:szCs w:val="20"/>
        </w:rPr>
        <w:t>HI &gt; 1</w:t>
      </w:r>
      <w:r w:rsidRPr="00CE7561">
        <w:rPr>
          <w:rFonts w:ascii="Times New Roman" w:hAnsi="Times New Roman" w:cs="Times New Roman"/>
          <w:sz w:val="20"/>
          <w:szCs w:val="20"/>
        </w:rPr>
        <w:t xml:space="preserve">, there is a likelihood of adverse health effects due to cumulative exposure. If </w:t>
      </w:r>
      <w:r w:rsidRPr="00CE7561">
        <w:rPr>
          <w:rStyle w:val="Strong"/>
          <w:rFonts w:ascii="Times New Roman" w:hAnsi="Times New Roman" w:cs="Times New Roman"/>
          <w:b w:val="0"/>
          <w:sz w:val="20"/>
          <w:szCs w:val="20"/>
        </w:rPr>
        <w:t>HI ≤ 1</w:t>
      </w:r>
      <w:r w:rsidRPr="00CE7561">
        <w:rPr>
          <w:rFonts w:ascii="Times New Roman" w:hAnsi="Times New Roman" w:cs="Times New Roman"/>
          <w:sz w:val="20"/>
          <w:szCs w:val="20"/>
        </w:rPr>
        <w:t>, non-carcinogenic health risks are con</w:t>
      </w:r>
      <w:r w:rsidR="00077982">
        <w:rPr>
          <w:rFonts w:ascii="Times New Roman" w:hAnsi="Times New Roman" w:cs="Times New Roman"/>
          <w:sz w:val="20"/>
          <w:szCs w:val="20"/>
        </w:rPr>
        <w:t>sidered negligible [33]</w:t>
      </w:r>
      <w:r w:rsidRPr="00CE7561">
        <w:rPr>
          <w:rFonts w:ascii="Times New Roman" w:hAnsi="Times New Roman" w:cs="Times New Roman"/>
          <w:sz w:val="20"/>
          <w:szCs w:val="20"/>
        </w:rPr>
        <w:t xml:space="preserve">. The HI is computed as follows: </w:t>
      </w:r>
    </w:p>
    <w:p w14:paraId="31C119EC"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w:lastRenderedPageBreak/>
            <m:t>HI=</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n</m:t>
                  </m:r>
                </m:sub>
              </m:sSub>
            </m:e>
          </m:nary>
          <m:r>
            <w:rPr>
              <w:rFonts w:ascii="Cambria Math" w:hAnsi="Cambria Math" w:cs="Times New Roman"/>
              <w:sz w:val="20"/>
              <w:szCs w:val="20"/>
            </w:rPr>
            <m:t xml:space="preserve">                                         (4)</m:t>
          </m:r>
        </m:oMath>
      </m:oMathPara>
    </w:p>
    <w:p w14:paraId="580C46E1"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w:r w:rsidRPr="00CE7561">
        <w:rPr>
          <w:rFonts w:ascii="Times New Roman" w:eastAsiaTheme="minorEastAsia" w:hAnsi="Times New Roman" w:cs="Times New Roman"/>
          <w:sz w:val="20"/>
          <w:szCs w:val="20"/>
        </w:rPr>
        <w:t xml:space="preserve">where </w:t>
      </w:r>
      <m:oMath>
        <m:r>
          <w:rPr>
            <w:rFonts w:ascii="Cambria Math" w:hAnsi="Cambria Math" w:cs="Times New Roman"/>
            <w:sz w:val="20"/>
            <w:szCs w:val="20"/>
          </w:rPr>
          <m:t>HI</m:t>
        </m:r>
      </m:oMath>
      <w:r w:rsidRPr="00CE7561">
        <w:rPr>
          <w:rFonts w:ascii="Times New Roman" w:eastAsiaTheme="minorEastAsia" w:hAnsi="Times New Roman" w:cs="Times New Roman"/>
          <w:sz w:val="20"/>
          <w:szCs w:val="20"/>
        </w:rPr>
        <w:t xml:space="preserve"> is the hazard index, </w:t>
      </w:r>
      <m:oMath>
        <m:sSub>
          <m:sSubPr>
            <m:ctrlPr>
              <w:rPr>
                <w:rFonts w:ascii="Cambria Math" w:hAnsi="Cambria Math" w:cs="Times New Roman"/>
                <w:i/>
                <w:sz w:val="20"/>
                <w:szCs w:val="20"/>
              </w:rPr>
            </m:ctrlPr>
          </m:sSubPr>
          <m:e>
            <m:r>
              <w:rPr>
                <w:rFonts w:ascii="Cambria Math" w:hAnsi="Cambria Math" w:cs="Times New Roman"/>
                <w:sz w:val="20"/>
                <w:szCs w:val="20"/>
              </w:rPr>
              <m:t>HQ</m:t>
            </m:r>
          </m:e>
          <m:sub>
            <m:r>
              <w:rPr>
                <w:rFonts w:ascii="Cambria Math" w:hAnsi="Cambria Math" w:cs="Times New Roman"/>
                <w:sz w:val="20"/>
                <w:szCs w:val="20"/>
              </w:rPr>
              <m:t>i</m:t>
            </m:r>
          </m:sub>
        </m:sSub>
      </m:oMath>
      <w:r w:rsidRPr="00CE7561">
        <w:rPr>
          <w:rFonts w:ascii="Times New Roman" w:eastAsiaTheme="minorEastAsia" w:hAnsi="Times New Roman" w:cs="Times New Roman"/>
          <w:sz w:val="20"/>
          <w:szCs w:val="20"/>
        </w:rPr>
        <w:t xml:space="preserve"> are the </w:t>
      </w:r>
      <w:r w:rsidRPr="00CE7561">
        <w:rPr>
          <w:rStyle w:val="Strong"/>
          <w:rFonts w:ascii="Times New Roman" w:hAnsi="Times New Roman" w:cs="Times New Roman"/>
          <w:b w:val="0"/>
          <w:sz w:val="20"/>
          <w:szCs w:val="20"/>
        </w:rPr>
        <w:t>Hazard Quotient</w:t>
      </w:r>
      <w:r w:rsidRPr="00CE7561">
        <w:rPr>
          <w:rFonts w:ascii="Times New Roman" w:hAnsi="Times New Roman" w:cs="Times New Roman"/>
          <w:sz w:val="20"/>
          <w:szCs w:val="20"/>
        </w:rPr>
        <w:t xml:space="preserve"> for individual heavy metals </w:t>
      </w:r>
      <w:r w:rsidRPr="00CE7561">
        <w:rPr>
          <w:rStyle w:val="Strong"/>
          <w:rFonts w:ascii="Times New Roman" w:hAnsi="Times New Roman" w:cs="Times New Roman"/>
          <w:sz w:val="20"/>
          <w:szCs w:val="20"/>
        </w:rPr>
        <w:t>(</w:t>
      </w:r>
      <m:oMath>
        <m:r>
          <w:rPr>
            <w:rStyle w:val="Strong"/>
            <w:rFonts w:ascii="Cambria Math" w:hAnsi="Cambria Math" w:cs="Times New Roman"/>
            <w:sz w:val="20"/>
            <w:szCs w:val="20"/>
          </w:rPr>
          <m:t>i = 1, 2, 3, ..., n</m:t>
        </m:r>
      </m:oMath>
      <w:r w:rsidRPr="00CE7561">
        <w:rPr>
          <w:rStyle w:val="Strong"/>
          <w:rFonts w:ascii="Times New Roman" w:hAnsi="Times New Roman" w:cs="Times New Roman"/>
          <w:sz w:val="20"/>
          <w:szCs w:val="20"/>
        </w:rPr>
        <w:t>)</w:t>
      </w:r>
      <w:r w:rsidRPr="00CE7561">
        <w:rPr>
          <w:rStyle w:val="Strong"/>
          <w:rFonts w:ascii="Times New Roman" w:hAnsi="Times New Roman" w:cs="Times New Roman"/>
          <w:b w:val="0"/>
          <w:sz w:val="20"/>
          <w:szCs w:val="20"/>
        </w:rPr>
        <w:t xml:space="preserve">, and </w:t>
      </w:r>
      <m:oMath>
        <m:r>
          <w:rPr>
            <w:rStyle w:val="Strong"/>
            <w:rFonts w:ascii="Cambria Math" w:hAnsi="Cambria Math" w:cs="Times New Roman"/>
            <w:sz w:val="20"/>
            <w:szCs w:val="20"/>
          </w:rPr>
          <m:t>n</m:t>
        </m:r>
      </m:oMath>
      <w:r w:rsidRPr="00CE7561">
        <w:rPr>
          <w:rStyle w:val="Strong"/>
          <w:rFonts w:ascii="Times New Roman" w:hAnsi="Times New Roman" w:cs="Times New Roman"/>
          <w:sz w:val="20"/>
          <w:szCs w:val="20"/>
        </w:rPr>
        <w:t xml:space="preserve"> </w:t>
      </w:r>
      <w:r w:rsidRPr="00CE7561">
        <w:rPr>
          <w:rStyle w:val="Strong"/>
          <w:rFonts w:ascii="Times New Roman" w:hAnsi="Times New Roman" w:cs="Times New Roman"/>
          <w:b w:val="0"/>
          <w:sz w:val="20"/>
          <w:szCs w:val="20"/>
        </w:rPr>
        <w:t>is the</w:t>
      </w:r>
      <w:r w:rsidRPr="00CE7561">
        <w:rPr>
          <w:rStyle w:val="Strong"/>
          <w:rFonts w:ascii="Times New Roman" w:hAnsi="Times New Roman" w:cs="Times New Roman"/>
          <w:sz w:val="20"/>
          <w:szCs w:val="20"/>
        </w:rPr>
        <w:t xml:space="preserve"> </w:t>
      </w:r>
      <w:r w:rsidRPr="00CE7561">
        <w:rPr>
          <w:rFonts w:ascii="Times New Roman" w:hAnsi="Times New Roman" w:cs="Times New Roman"/>
          <w:sz w:val="20"/>
          <w:szCs w:val="20"/>
        </w:rPr>
        <w:t>total number of heavy metals considered.</w:t>
      </w:r>
    </w:p>
    <w:p w14:paraId="6A07FEE7" w14:textId="77777777" w:rsidR="00ED271F" w:rsidRPr="00CE7561" w:rsidRDefault="00BF759C" w:rsidP="00ED271F">
      <w:pPr>
        <w:spacing w:after="120" w:line="276" w:lineRule="auto"/>
        <w:jc w:val="both"/>
        <w:rPr>
          <w:rStyle w:val="Strong"/>
          <w:rFonts w:ascii="Times New Roman" w:hAnsi="Times New Roman" w:cs="Times New Roman"/>
          <w:sz w:val="20"/>
          <w:szCs w:val="20"/>
        </w:rPr>
      </w:pPr>
      <w:r w:rsidRPr="00CE7561">
        <w:rPr>
          <w:rStyle w:val="Strong"/>
          <w:rFonts w:ascii="Times New Roman" w:hAnsi="Times New Roman" w:cs="Times New Roman"/>
          <w:sz w:val="20"/>
          <w:szCs w:val="20"/>
        </w:rPr>
        <w:t>2.4</w:t>
      </w:r>
      <w:r w:rsidR="00ED271F" w:rsidRPr="00CE7561">
        <w:rPr>
          <w:rStyle w:val="Strong"/>
          <w:rFonts w:ascii="Times New Roman" w:hAnsi="Times New Roman" w:cs="Times New Roman"/>
          <w:sz w:val="20"/>
          <w:szCs w:val="20"/>
        </w:rPr>
        <w:t>.2 Carcinogenic Health Risk Assessment</w:t>
      </w:r>
    </w:p>
    <w:p w14:paraId="4FCAC39A" w14:textId="0D696F11" w:rsidR="00ED271F" w:rsidRPr="00CE7561" w:rsidRDefault="00ED271F" w:rsidP="00ED271F">
      <w:pPr>
        <w:spacing w:after="120" w:line="276" w:lineRule="auto"/>
        <w:jc w:val="both"/>
        <w:rPr>
          <w:rFonts w:ascii="Times New Roman" w:hAnsi="Times New Roman" w:cs="Times New Roman"/>
          <w:bCs/>
          <w:sz w:val="20"/>
          <w:szCs w:val="20"/>
        </w:rPr>
      </w:pPr>
      <w:r w:rsidRPr="00CE7561">
        <w:rPr>
          <w:rFonts w:ascii="Times New Roman" w:hAnsi="Times New Roman" w:cs="Times New Roman"/>
          <w:sz w:val="20"/>
          <w:szCs w:val="20"/>
        </w:rPr>
        <w:t>Carcinogenic risk assessment evaluates the probability of developing cancer over a lifetime due to exposure to carcinogenic contaminants, such as heavy metals, in drinkin</w:t>
      </w:r>
      <w:r w:rsidR="00F850BF" w:rsidRPr="00CE7561">
        <w:rPr>
          <w:rFonts w:ascii="Times New Roman" w:hAnsi="Times New Roman" w:cs="Times New Roman"/>
          <w:sz w:val="20"/>
          <w:szCs w:val="20"/>
        </w:rPr>
        <w:t>g water</w:t>
      </w:r>
      <w:r w:rsidR="006D37AB">
        <w:rPr>
          <w:rFonts w:ascii="Times New Roman" w:hAnsi="Times New Roman" w:cs="Times New Roman"/>
          <w:sz w:val="20"/>
          <w:szCs w:val="20"/>
        </w:rPr>
        <w:t xml:space="preserve"> [2]</w:t>
      </w:r>
      <w:r w:rsidRPr="00CE7561">
        <w:rPr>
          <w:rFonts w:ascii="Times New Roman" w:hAnsi="Times New Roman" w:cs="Times New Roman"/>
          <w:sz w:val="20"/>
          <w:szCs w:val="20"/>
        </w:rPr>
        <w:t>. In this study, the long-term exposure to certain heavy metals, including cadmium (Cd), lead (Pb), chromium (Cr), and Nickel (Ni), has been linked to various forms of cancer. The assessment is based on estimating the chronic daily intake (CDI) of these contaminants and applying a cancer slope factor (SF) to determine the likelihood of developing cancer.</w:t>
      </w:r>
    </w:p>
    <w:p w14:paraId="30BEC310" w14:textId="77777777" w:rsidR="00ED271F" w:rsidRPr="00CE7561" w:rsidRDefault="00ED271F" w:rsidP="00ED271F">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For heavy metals that are classified as carcinogenic, the </w:t>
      </w:r>
      <w:r w:rsidRPr="00CE7561">
        <w:rPr>
          <w:rStyle w:val="Strong"/>
          <w:rFonts w:ascii="Times New Roman" w:hAnsi="Times New Roman" w:cs="Times New Roman"/>
          <w:b w:val="0"/>
          <w:sz w:val="20"/>
          <w:szCs w:val="20"/>
        </w:rPr>
        <w:t>Cancer Risk (CR)</w:t>
      </w:r>
      <w:r w:rsidRPr="00CE7561">
        <w:rPr>
          <w:rFonts w:ascii="Times New Roman" w:hAnsi="Times New Roman" w:cs="Times New Roman"/>
          <w:sz w:val="20"/>
          <w:szCs w:val="20"/>
        </w:rPr>
        <w:t xml:space="preserve"> is used to estimate the probability of developing cancer over a lifetime due to exposure. It is calculated as:</w:t>
      </w:r>
    </w:p>
    <w:p w14:paraId="214E07AB" w14:textId="77777777" w:rsidR="00ED271F" w:rsidRPr="00CE7561" w:rsidRDefault="00ED271F" w:rsidP="00ED271F">
      <w:pPr>
        <w:spacing w:after="120" w:line="276" w:lineRule="auto"/>
        <w:jc w:val="both"/>
        <w:rPr>
          <w:rFonts w:ascii="Times New Roman" w:eastAsiaTheme="minorEastAsia" w:hAnsi="Times New Roman" w:cs="Times New Roman"/>
          <w:sz w:val="20"/>
          <w:szCs w:val="20"/>
        </w:rPr>
      </w:pPr>
      <m:oMathPara>
        <m:oMathParaPr>
          <m:jc m:val="right"/>
        </m:oMathParaPr>
        <m:oMath>
          <m:r>
            <w:rPr>
              <w:rFonts w:ascii="Cambria Math" w:hAnsi="Cambria Math" w:cs="Times New Roman"/>
              <w:sz w:val="20"/>
              <w:szCs w:val="20"/>
            </w:rPr>
            <m:t>CR=CDI×SF                                                                             (5)</m:t>
          </m:r>
        </m:oMath>
      </m:oMathPara>
    </w:p>
    <w:p w14:paraId="4988F034" w14:textId="3B60072B" w:rsidR="004F0BBB" w:rsidRPr="00CE7561" w:rsidRDefault="00ED271F" w:rsidP="00C70D4F">
      <w:pPr>
        <w:spacing w:after="120" w:line="276" w:lineRule="auto"/>
        <w:jc w:val="both"/>
        <w:rPr>
          <w:rFonts w:ascii="Times New Roman" w:eastAsiaTheme="minorEastAsia" w:hAnsi="Times New Roman" w:cs="Times New Roman"/>
          <w:sz w:val="20"/>
          <w:szCs w:val="20"/>
        </w:rPr>
      </w:pPr>
      <w:proofErr w:type="gramStart"/>
      <w:r w:rsidRPr="00CE7561">
        <w:rPr>
          <w:rFonts w:ascii="Times New Roman" w:eastAsiaTheme="minorEastAsia" w:hAnsi="Times New Roman" w:cs="Times New Roman"/>
          <w:sz w:val="20"/>
          <w:szCs w:val="20"/>
        </w:rPr>
        <w:t>where</w:t>
      </w:r>
      <w:proofErr w:type="gramEnd"/>
      <w:r w:rsidRPr="00CE7561">
        <w:rPr>
          <w:rFonts w:ascii="Times New Roman" w:eastAsiaTheme="minorEastAsia" w:hAnsi="Times New Roman" w:cs="Times New Roman"/>
          <w:sz w:val="20"/>
          <w:szCs w:val="20"/>
        </w:rPr>
        <w:t xml:space="preserve"> </w:t>
      </w:r>
      <m:oMath>
        <m:r>
          <w:rPr>
            <w:rFonts w:ascii="Cambria Math" w:hAnsi="Cambria Math" w:cs="Times New Roman"/>
            <w:sz w:val="20"/>
            <w:szCs w:val="20"/>
          </w:rPr>
          <m:t>CDI</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 xml:space="preserve">Chronic Daily Intake (mg/kg/day) and </w:t>
      </w:r>
      <m:oMath>
        <m:r>
          <w:rPr>
            <w:rFonts w:ascii="Cambria Math" w:hAnsi="Cambria Math" w:cs="Times New Roman"/>
            <w:sz w:val="20"/>
            <w:szCs w:val="20"/>
          </w:rPr>
          <m:t>SF</m:t>
        </m:r>
      </m:oMath>
      <w:r w:rsidRPr="00CE7561">
        <w:rPr>
          <w:rFonts w:ascii="Times New Roman" w:eastAsiaTheme="minorEastAsia" w:hAnsi="Times New Roman" w:cs="Times New Roman"/>
          <w:sz w:val="20"/>
          <w:szCs w:val="20"/>
        </w:rPr>
        <w:t xml:space="preserve"> is the </w:t>
      </w:r>
      <w:r w:rsidRPr="00CE7561">
        <w:rPr>
          <w:rFonts w:ascii="Times New Roman" w:hAnsi="Times New Roman" w:cs="Times New Roman"/>
          <w:sz w:val="20"/>
          <w:szCs w:val="20"/>
        </w:rPr>
        <w:t>Cancer Slope Factor (mg/kg/day)⁻¹, a risk coefficient p</w:t>
      </w:r>
      <w:r w:rsidR="00077982">
        <w:rPr>
          <w:rFonts w:ascii="Times New Roman" w:hAnsi="Times New Roman" w:cs="Times New Roman"/>
          <w:sz w:val="20"/>
          <w:szCs w:val="20"/>
        </w:rPr>
        <w:t>rovided by the EPA [33]</w:t>
      </w:r>
      <w:r w:rsidRPr="00CE7561">
        <w:rPr>
          <w:rFonts w:ascii="Times New Roman" w:hAnsi="Times New Roman" w:cs="Times New Roman"/>
          <w:sz w:val="20"/>
          <w:szCs w:val="20"/>
        </w:rPr>
        <w:t xml:space="preserve"> that quantifies the likelihood of cancer from lifetime exposure. The acceptable range for cancer risk is: </w:t>
      </w:r>
      <m:oMath>
        <m:r>
          <w:rPr>
            <w:rFonts w:ascii="Cambria Math" w:hAnsi="Cambria Math" w:cs="Times New Roman"/>
            <w:sz w:val="20"/>
            <w:szCs w:val="20"/>
          </w:rPr>
          <m:t>CR&lt;</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oMath>
      <w:r w:rsidRPr="00CE7561">
        <w:rPr>
          <w:rFonts w:ascii="Times New Roman" w:eastAsiaTheme="minorEastAsia" w:hAnsi="Times New Roman" w:cs="Times New Roman"/>
          <w:sz w:val="20"/>
          <w:szCs w:val="20"/>
        </w:rPr>
        <w:t xml:space="preserve"> is considered a negligible risk,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r>
          <w:rPr>
            <w:rFonts w:ascii="Cambria Math" w:hAnsi="Cambria Math" w:cs="Times New Roman"/>
            <w:sz w:val="20"/>
            <w:szCs w:val="20"/>
          </w:rPr>
          <m:t>≤CR≤</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-4</m:t>
            </m:r>
          </m:sup>
        </m:sSup>
      </m:oMath>
      <w:r w:rsidRPr="00CE7561">
        <w:rPr>
          <w:rFonts w:ascii="Times New Roman" w:eastAsiaTheme="minorEastAsia" w:hAnsi="Times New Roman" w:cs="Times New Roman"/>
          <w:sz w:val="20"/>
          <w:szCs w:val="20"/>
        </w:rPr>
        <w:t xml:space="preserve"> is the acceptable range, while </w:t>
      </w:r>
      <m:oMath>
        <m:r>
          <w:rPr>
            <w:rFonts w:ascii="Cambria Math" w:hAnsi="Cambria Math" w:cs="Times New Roman"/>
            <w:sz w:val="20"/>
            <w:szCs w:val="20"/>
          </w:rPr>
          <m:t>CR≥</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-4</m:t>
            </m:r>
          </m:sup>
        </m:sSup>
      </m:oMath>
      <w:r w:rsidRPr="00CE7561">
        <w:rPr>
          <w:rFonts w:ascii="Times New Roman" w:eastAsiaTheme="minorEastAsia" w:hAnsi="Times New Roman" w:cs="Times New Roman"/>
          <w:sz w:val="20"/>
          <w:szCs w:val="20"/>
        </w:rPr>
        <w:t xml:space="preserve"> indicates a high probability of cancer risk</w:t>
      </w:r>
      <w:r w:rsidR="006D37AB">
        <w:rPr>
          <w:rFonts w:ascii="Times New Roman" w:eastAsiaTheme="minorEastAsia" w:hAnsi="Times New Roman" w:cs="Times New Roman"/>
          <w:sz w:val="20"/>
          <w:szCs w:val="20"/>
        </w:rPr>
        <w:t>, and requires immediate action [33]</w:t>
      </w:r>
      <w:r w:rsidRPr="00CE7561">
        <w:rPr>
          <w:rFonts w:ascii="Times New Roman" w:eastAsiaTheme="minorEastAsia" w:hAnsi="Times New Roman" w:cs="Times New Roman"/>
          <w:sz w:val="20"/>
          <w:szCs w:val="20"/>
        </w:rPr>
        <w:t xml:space="preserve">. </w:t>
      </w:r>
      <w:bookmarkEnd w:id="0"/>
    </w:p>
    <w:p w14:paraId="2573E6DD" w14:textId="77777777" w:rsidR="00A05925" w:rsidRPr="00CE7561" w:rsidRDefault="009E213C" w:rsidP="00A05925">
      <w:pPr>
        <w:jc w:val="both"/>
        <w:rPr>
          <w:rFonts w:ascii="Times New Roman" w:hAnsi="Times New Roman" w:cs="Times New Roman"/>
          <w:b/>
          <w:sz w:val="20"/>
          <w:szCs w:val="20"/>
        </w:rPr>
      </w:pPr>
      <w:r w:rsidRPr="00CE7561">
        <w:rPr>
          <w:rFonts w:ascii="Times New Roman" w:hAnsi="Times New Roman" w:cs="Times New Roman"/>
          <w:b/>
          <w:sz w:val="20"/>
          <w:szCs w:val="20"/>
        </w:rPr>
        <w:t xml:space="preserve">3. </w:t>
      </w:r>
      <w:r w:rsidR="00A05925" w:rsidRPr="00CE7561">
        <w:rPr>
          <w:rFonts w:ascii="Times New Roman" w:hAnsi="Times New Roman" w:cs="Times New Roman"/>
          <w:b/>
          <w:sz w:val="20"/>
          <w:szCs w:val="20"/>
        </w:rPr>
        <w:t>Results and Discussion</w:t>
      </w:r>
    </w:p>
    <w:p w14:paraId="6A6C7C4E" w14:textId="77777777" w:rsidR="004001BA" w:rsidRPr="00CE7561" w:rsidRDefault="004001BA" w:rsidP="004F0BBB">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3.1 Seasonal Variations of Metal Concentrations</w:t>
      </w:r>
    </w:p>
    <w:p w14:paraId="7406F644" w14:textId="77777777" w:rsidR="001F3E10" w:rsidRPr="004D7901" w:rsidRDefault="001F3E10" w:rsidP="001F3E10">
      <w:pPr>
        <w:spacing w:after="120" w:line="240" w:lineRule="auto"/>
        <w:jc w:val="both"/>
        <w:rPr>
          <w:rFonts w:ascii="Times New Roman" w:eastAsia="Times New Roman" w:hAnsi="Times New Roman" w:cs="Times New Roman"/>
          <w:sz w:val="20"/>
          <w:szCs w:val="20"/>
        </w:rPr>
      </w:pPr>
      <w:r w:rsidRPr="004D7901">
        <w:rPr>
          <w:rFonts w:ascii="Times New Roman" w:hAnsi="Times New Roman" w:cs="Times New Roman"/>
          <w:sz w:val="20"/>
          <w:szCs w:val="20"/>
        </w:rPr>
        <w:t>Table 1 presents the seasonal variations in nickel (Ni) concentrations across borehole samples in Enugu North Local Government Area, visualized in Figure 1</w:t>
      </w:r>
      <w:r w:rsidRPr="004D7901">
        <w:rPr>
          <w:rFonts w:ascii="Times New Roman" w:eastAsia="Times New Roman" w:hAnsi="Times New Roman" w:cs="Times New Roman"/>
          <w:sz w:val="20"/>
          <w:szCs w:val="20"/>
        </w:rPr>
        <w:t xml:space="preserve">. </w:t>
      </w:r>
      <w:r w:rsidRPr="004D7901">
        <w:rPr>
          <w:rFonts w:ascii="Times New Roman" w:eastAsia="Times New Roman" w:hAnsi="Times New Roman" w:cs="Times New Roman"/>
          <w:sz w:val="20"/>
          <w:szCs w:val="24"/>
        </w:rPr>
        <w:t xml:space="preserve">The nickel concentration in borehole water samples fluctuated between different months in both the wet and dry seasons. During the </w:t>
      </w:r>
      <w:r w:rsidRPr="004D7901">
        <w:rPr>
          <w:rFonts w:ascii="Times New Roman" w:eastAsia="Times New Roman" w:hAnsi="Times New Roman" w:cs="Times New Roman"/>
          <w:bCs/>
          <w:sz w:val="20"/>
          <w:szCs w:val="24"/>
        </w:rPr>
        <w:t>wet season</w:t>
      </w:r>
      <w:r w:rsidRPr="004D7901">
        <w:rPr>
          <w:rFonts w:ascii="Times New Roman" w:eastAsia="Times New Roman" w:hAnsi="Times New Roman" w:cs="Times New Roman"/>
          <w:sz w:val="20"/>
          <w:szCs w:val="24"/>
        </w:rPr>
        <w:t>, concentrations of nickel varied from non-detectable levels (ND) to 0.043 mg/L across the samples. Notably, samples 1, 5, and 9 had ND values for certain months, indicating that nickel was not detected in these samples in specific months. However, other samples, such as 2, 3, and 6, showed relativ</w:t>
      </w:r>
      <w:r>
        <w:rPr>
          <w:rFonts w:ascii="Times New Roman" w:eastAsia="Times New Roman" w:hAnsi="Times New Roman" w:cs="Times New Roman"/>
          <w:sz w:val="20"/>
          <w:szCs w:val="24"/>
        </w:rPr>
        <w:t>ely higher concentrations</w:t>
      </w:r>
      <w:r w:rsidRPr="004D7901">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of </w:t>
      </w:r>
      <w:r w:rsidRPr="004D7901">
        <w:rPr>
          <w:rFonts w:ascii="Times New Roman" w:eastAsia="Times New Roman" w:hAnsi="Times New Roman" w:cs="Times New Roman"/>
          <w:sz w:val="20"/>
          <w:szCs w:val="24"/>
        </w:rPr>
        <w:t>0.007 mg/L, 0.012 mg/L, and 0.016 mg/L, respectively, suggesting varying levels of contamination or natural variability in the borehole water.</w:t>
      </w:r>
    </w:p>
    <w:p w14:paraId="7EEA0D23" w14:textId="5F9C9B8B" w:rsidR="001F3E10" w:rsidRPr="001F3E10" w:rsidRDefault="001F3E10" w:rsidP="004F0BBB">
      <w:pPr>
        <w:spacing w:after="120" w:line="276" w:lineRule="auto"/>
        <w:jc w:val="both"/>
        <w:rPr>
          <w:rFonts w:ascii="Times New Roman" w:eastAsia="Times New Roman" w:hAnsi="Times New Roman" w:cs="Times New Roman"/>
          <w:sz w:val="20"/>
          <w:szCs w:val="24"/>
        </w:rPr>
      </w:pPr>
      <w:r w:rsidRPr="004D7901">
        <w:rPr>
          <w:rFonts w:ascii="Times New Roman" w:eastAsia="Times New Roman" w:hAnsi="Times New Roman" w:cs="Times New Roman"/>
          <w:sz w:val="20"/>
          <w:szCs w:val="24"/>
        </w:rPr>
        <w:t xml:space="preserve">In the </w:t>
      </w:r>
      <w:r w:rsidRPr="004D7901">
        <w:rPr>
          <w:rFonts w:ascii="Times New Roman" w:eastAsia="Times New Roman" w:hAnsi="Times New Roman" w:cs="Times New Roman"/>
          <w:bCs/>
          <w:sz w:val="20"/>
          <w:szCs w:val="24"/>
        </w:rPr>
        <w:t>dry season</w:t>
      </w:r>
      <w:r w:rsidRPr="004D7901">
        <w:rPr>
          <w:rFonts w:ascii="Times New Roman" w:eastAsia="Times New Roman" w:hAnsi="Times New Roman" w:cs="Times New Roman"/>
          <w:sz w:val="20"/>
          <w:szCs w:val="24"/>
        </w:rPr>
        <w:t>, nickel concentrations exhibited a wider range. Some samples showed elevated nickel levels, such as sample 2 (0.074 mg/L in December) and sample 6 (0.062 mg/L in January), while others displayed lower concentrations. Sample 7, for instance, had a very low concentration of 0.001 mg/L in January. This variation in nickel concentration between the seasons might be attributed to changes in rainfall, dilution effects, and runoff of con</w:t>
      </w:r>
      <w:r>
        <w:rPr>
          <w:rFonts w:ascii="Times New Roman" w:eastAsia="Times New Roman" w:hAnsi="Times New Roman" w:cs="Times New Roman"/>
          <w:sz w:val="20"/>
          <w:szCs w:val="24"/>
        </w:rPr>
        <w:t>taminants dur</w:t>
      </w:r>
      <w:r w:rsidR="006D37AB">
        <w:rPr>
          <w:rFonts w:ascii="Times New Roman" w:eastAsia="Times New Roman" w:hAnsi="Times New Roman" w:cs="Times New Roman"/>
          <w:sz w:val="20"/>
          <w:szCs w:val="24"/>
        </w:rPr>
        <w:t>ing the wet season [34]</w:t>
      </w:r>
      <w:r>
        <w:rPr>
          <w:rFonts w:ascii="Times New Roman" w:eastAsia="Times New Roman" w:hAnsi="Times New Roman" w:cs="Times New Roman"/>
          <w:sz w:val="20"/>
          <w:szCs w:val="24"/>
        </w:rPr>
        <w:t>.</w:t>
      </w:r>
      <w:r w:rsidRPr="004D7901">
        <w:rPr>
          <w:rFonts w:ascii="Times New Roman" w:eastAsia="Times New Roman" w:hAnsi="Times New Roman" w:cs="Times New Roman"/>
          <w:sz w:val="20"/>
          <w:szCs w:val="24"/>
        </w:rPr>
        <w:t xml:space="preserve"> </w:t>
      </w:r>
      <w:r w:rsidRPr="00AE6384">
        <w:rPr>
          <w:rFonts w:ascii="Times New Roman" w:hAnsi="Times New Roman" w:cs="Times New Roman"/>
          <w:sz w:val="20"/>
          <w:szCs w:val="20"/>
        </w:rPr>
        <w:t>Regardless of the season, the observed nickel concentrations are notably lower than the World Health Organization's (WHO) permissible limit for drinking water, which is 0.07 mg/L. This indicates that nickel levels in the borehole water samples are within acceptable limits and do not pose a health risk during either season.</w:t>
      </w:r>
    </w:p>
    <w:p w14:paraId="5EE9BC3D" w14:textId="77777777" w:rsidR="004F0BBB" w:rsidRPr="00CE7561" w:rsidRDefault="00874E5F" w:rsidP="004F0BBB">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1.</w:t>
      </w:r>
      <w:r w:rsidR="004F0BBB" w:rsidRPr="00CE7561">
        <w:rPr>
          <w:rFonts w:ascii="Times New Roman" w:hAnsi="Times New Roman" w:cs="Times New Roman"/>
          <w:sz w:val="20"/>
          <w:szCs w:val="20"/>
        </w:rPr>
        <w:t xml:space="preserve"> </w:t>
      </w:r>
      <w:r w:rsidR="004F0BBB" w:rsidRPr="00CE7561">
        <w:rPr>
          <w:rFonts w:ascii="Times New Roman" w:hAnsi="Times New Roman" w:cs="Times New Roman"/>
          <w:b/>
          <w:sz w:val="20"/>
          <w:szCs w:val="20"/>
        </w:rPr>
        <w:t>Seasonal Variations in Nickel Concentration in Borehole Water Samples in Enugu North LGA</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440"/>
        <w:gridCol w:w="1350"/>
        <w:gridCol w:w="1440"/>
        <w:gridCol w:w="1350"/>
        <w:gridCol w:w="1350"/>
        <w:gridCol w:w="1364"/>
      </w:tblGrid>
      <w:tr w:rsidR="004F0BBB" w:rsidRPr="00CE7561" w14:paraId="53BF63E3" w14:textId="77777777" w:rsidTr="004F0BBB">
        <w:trPr>
          <w:trHeight w:val="188"/>
        </w:trPr>
        <w:tc>
          <w:tcPr>
            <w:tcW w:w="1345" w:type="dxa"/>
            <w:tcBorders>
              <w:top w:val="single" w:sz="4" w:space="0" w:color="auto"/>
              <w:bottom w:val="single" w:sz="4" w:space="0" w:color="auto"/>
            </w:tcBorders>
          </w:tcPr>
          <w:p w14:paraId="47E74C52" w14:textId="77777777" w:rsidR="004F0BBB" w:rsidRPr="00CE7561" w:rsidRDefault="004F0BBB" w:rsidP="004F0BBB">
            <w:pPr>
              <w:pStyle w:val="Heading1"/>
              <w:shd w:val="clear" w:color="auto" w:fill="FFFFFF"/>
              <w:spacing w:before="0" w:beforeAutospacing="0" w:after="0" w:afterAutospacing="0"/>
              <w:jc w:val="both"/>
              <w:outlineLvl w:val="0"/>
              <w:rPr>
                <w:sz w:val="20"/>
                <w:szCs w:val="20"/>
              </w:rPr>
            </w:pPr>
            <w:r w:rsidRPr="00CE7561">
              <w:rPr>
                <w:sz w:val="20"/>
                <w:szCs w:val="20"/>
              </w:rPr>
              <w:t>Ni (mg/L)</w:t>
            </w:r>
          </w:p>
        </w:tc>
        <w:tc>
          <w:tcPr>
            <w:tcW w:w="4230" w:type="dxa"/>
            <w:gridSpan w:val="3"/>
            <w:tcBorders>
              <w:top w:val="single" w:sz="4" w:space="0" w:color="auto"/>
              <w:bottom w:val="single" w:sz="4" w:space="0" w:color="auto"/>
            </w:tcBorders>
          </w:tcPr>
          <w:p w14:paraId="0F67CFAB"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64" w:type="dxa"/>
            <w:gridSpan w:val="3"/>
            <w:tcBorders>
              <w:top w:val="single" w:sz="4" w:space="0" w:color="auto"/>
              <w:bottom w:val="single" w:sz="4" w:space="0" w:color="auto"/>
            </w:tcBorders>
          </w:tcPr>
          <w:p w14:paraId="1C96797D"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4F0BBB" w:rsidRPr="00CE7561" w14:paraId="15016118" w14:textId="77777777" w:rsidTr="004F0BBB">
        <w:trPr>
          <w:trHeight w:val="188"/>
        </w:trPr>
        <w:tc>
          <w:tcPr>
            <w:tcW w:w="1345" w:type="dxa"/>
            <w:tcBorders>
              <w:top w:val="single" w:sz="4" w:space="0" w:color="auto"/>
              <w:bottom w:val="single" w:sz="4" w:space="0" w:color="auto"/>
            </w:tcBorders>
          </w:tcPr>
          <w:p w14:paraId="7067CD22" w14:textId="77777777" w:rsidR="004F0BBB" w:rsidRPr="00CE7561" w:rsidRDefault="004F0BBB" w:rsidP="004F0BBB">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40" w:type="dxa"/>
            <w:tcBorders>
              <w:top w:val="single" w:sz="4" w:space="0" w:color="auto"/>
              <w:bottom w:val="single" w:sz="4" w:space="0" w:color="auto"/>
            </w:tcBorders>
          </w:tcPr>
          <w:p w14:paraId="5935911A"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50" w:type="dxa"/>
            <w:tcBorders>
              <w:top w:val="single" w:sz="4" w:space="0" w:color="auto"/>
              <w:bottom w:val="single" w:sz="4" w:space="0" w:color="auto"/>
            </w:tcBorders>
          </w:tcPr>
          <w:p w14:paraId="770C871B"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40" w:type="dxa"/>
            <w:tcBorders>
              <w:top w:val="single" w:sz="4" w:space="0" w:color="auto"/>
              <w:bottom w:val="single" w:sz="4" w:space="0" w:color="auto"/>
            </w:tcBorders>
          </w:tcPr>
          <w:p w14:paraId="36A80FE5"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50" w:type="dxa"/>
            <w:tcBorders>
              <w:top w:val="single" w:sz="4" w:space="0" w:color="auto"/>
              <w:bottom w:val="single" w:sz="4" w:space="0" w:color="auto"/>
            </w:tcBorders>
          </w:tcPr>
          <w:p w14:paraId="68768C0C"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50" w:type="dxa"/>
            <w:tcBorders>
              <w:top w:val="single" w:sz="4" w:space="0" w:color="auto"/>
              <w:bottom w:val="single" w:sz="4" w:space="0" w:color="auto"/>
            </w:tcBorders>
          </w:tcPr>
          <w:p w14:paraId="26E7899E"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64" w:type="dxa"/>
            <w:tcBorders>
              <w:top w:val="single" w:sz="4" w:space="0" w:color="auto"/>
              <w:bottom w:val="single" w:sz="4" w:space="0" w:color="auto"/>
            </w:tcBorders>
          </w:tcPr>
          <w:p w14:paraId="1B974366" w14:textId="77777777" w:rsidR="004F0BBB" w:rsidRPr="00CE7561" w:rsidRDefault="004F0BBB" w:rsidP="004F0BBB">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4F0BBB" w:rsidRPr="00CE7561" w14:paraId="7D647610" w14:textId="77777777" w:rsidTr="004F0BBB">
        <w:tc>
          <w:tcPr>
            <w:tcW w:w="1345" w:type="dxa"/>
            <w:tcBorders>
              <w:top w:val="single" w:sz="4" w:space="0" w:color="auto"/>
              <w:bottom w:val="nil"/>
            </w:tcBorders>
          </w:tcPr>
          <w:p w14:paraId="70F6A2A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40" w:type="dxa"/>
            <w:tcBorders>
              <w:top w:val="single" w:sz="4" w:space="0" w:color="auto"/>
              <w:bottom w:val="nil"/>
            </w:tcBorders>
          </w:tcPr>
          <w:p w14:paraId="40CB68DE"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350" w:type="dxa"/>
            <w:tcBorders>
              <w:top w:val="single" w:sz="4" w:space="0" w:color="auto"/>
              <w:bottom w:val="nil"/>
            </w:tcBorders>
          </w:tcPr>
          <w:p w14:paraId="5682D21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40" w:type="dxa"/>
            <w:tcBorders>
              <w:top w:val="single" w:sz="4" w:space="0" w:color="auto"/>
              <w:bottom w:val="nil"/>
            </w:tcBorders>
          </w:tcPr>
          <w:p w14:paraId="73C33E4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0.002±0.001</w:t>
            </w:r>
          </w:p>
        </w:tc>
        <w:tc>
          <w:tcPr>
            <w:tcW w:w="1350" w:type="dxa"/>
            <w:tcBorders>
              <w:top w:val="single" w:sz="4" w:space="0" w:color="auto"/>
              <w:bottom w:val="nil"/>
            </w:tcBorders>
          </w:tcPr>
          <w:p w14:paraId="24384BC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0.009±0.007</w:t>
            </w:r>
          </w:p>
        </w:tc>
        <w:tc>
          <w:tcPr>
            <w:tcW w:w="1350" w:type="dxa"/>
            <w:tcBorders>
              <w:top w:val="single" w:sz="4" w:space="0" w:color="auto"/>
              <w:bottom w:val="nil"/>
            </w:tcBorders>
          </w:tcPr>
          <w:p w14:paraId="1EBF2CF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0.015±0.007</w:t>
            </w:r>
          </w:p>
        </w:tc>
        <w:tc>
          <w:tcPr>
            <w:tcW w:w="1364" w:type="dxa"/>
            <w:tcBorders>
              <w:top w:val="single" w:sz="4" w:space="0" w:color="auto"/>
              <w:bottom w:val="nil"/>
            </w:tcBorders>
          </w:tcPr>
          <w:p w14:paraId="272CD14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0.001±0.007</w:t>
            </w:r>
          </w:p>
        </w:tc>
      </w:tr>
      <w:tr w:rsidR="004F0BBB" w:rsidRPr="00CE7561" w14:paraId="546AB277" w14:textId="77777777" w:rsidTr="004F0BBB">
        <w:tc>
          <w:tcPr>
            <w:tcW w:w="1345" w:type="dxa"/>
            <w:tcBorders>
              <w:top w:val="nil"/>
            </w:tcBorders>
          </w:tcPr>
          <w:p w14:paraId="121240A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40" w:type="dxa"/>
            <w:tcBorders>
              <w:top w:val="nil"/>
            </w:tcBorders>
          </w:tcPr>
          <w:p w14:paraId="6146C51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0.007±0.025</w:t>
            </w:r>
          </w:p>
        </w:tc>
        <w:tc>
          <w:tcPr>
            <w:tcW w:w="1350" w:type="dxa"/>
            <w:tcBorders>
              <w:top w:val="nil"/>
            </w:tcBorders>
          </w:tcPr>
          <w:p w14:paraId="73040AA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0.047±0.025</w:t>
            </w:r>
          </w:p>
        </w:tc>
        <w:tc>
          <w:tcPr>
            <w:tcW w:w="1440" w:type="dxa"/>
            <w:tcBorders>
              <w:top w:val="nil"/>
            </w:tcBorders>
          </w:tcPr>
          <w:p w14:paraId="7D1A6A55"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0.052±0.025</w:t>
            </w:r>
          </w:p>
        </w:tc>
        <w:tc>
          <w:tcPr>
            <w:tcW w:w="1350" w:type="dxa"/>
            <w:tcBorders>
              <w:top w:val="nil"/>
            </w:tcBorders>
          </w:tcPr>
          <w:p w14:paraId="796E36D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0.008±0.035</w:t>
            </w:r>
          </w:p>
        </w:tc>
        <w:tc>
          <w:tcPr>
            <w:tcW w:w="1350" w:type="dxa"/>
            <w:tcBorders>
              <w:top w:val="nil"/>
            </w:tcBorders>
          </w:tcPr>
          <w:p w14:paraId="143AA89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0.074±0.035</w:t>
            </w:r>
          </w:p>
        </w:tc>
        <w:tc>
          <w:tcPr>
            <w:tcW w:w="1364" w:type="dxa"/>
            <w:tcBorders>
              <w:top w:val="nil"/>
            </w:tcBorders>
          </w:tcPr>
          <w:p w14:paraId="2962F55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0.021±0.035</w:t>
            </w:r>
          </w:p>
        </w:tc>
      </w:tr>
      <w:tr w:rsidR="004F0BBB" w:rsidRPr="00CE7561" w14:paraId="759BE4F7" w14:textId="77777777" w:rsidTr="004F0BBB">
        <w:tc>
          <w:tcPr>
            <w:tcW w:w="1345" w:type="dxa"/>
          </w:tcPr>
          <w:p w14:paraId="1C4D7159"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40" w:type="dxa"/>
          </w:tcPr>
          <w:p w14:paraId="62022F4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0.012±0.008</w:t>
            </w:r>
          </w:p>
        </w:tc>
        <w:tc>
          <w:tcPr>
            <w:tcW w:w="1350" w:type="dxa"/>
          </w:tcPr>
          <w:p w14:paraId="08DDCA9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0.020±0.008</w:t>
            </w:r>
          </w:p>
        </w:tc>
        <w:tc>
          <w:tcPr>
            <w:tcW w:w="1440" w:type="dxa"/>
          </w:tcPr>
          <w:p w14:paraId="3FB18AA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0.028±0.008</w:t>
            </w:r>
          </w:p>
        </w:tc>
        <w:tc>
          <w:tcPr>
            <w:tcW w:w="1350" w:type="dxa"/>
          </w:tcPr>
          <w:p w14:paraId="1920D7F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0.004±0.011</w:t>
            </w:r>
          </w:p>
        </w:tc>
        <w:tc>
          <w:tcPr>
            <w:tcW w:w="1350" w:type="dxa"/>
          </w:tcPr>
          <w:p w14:paraId="1C09505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0.024±0.011</w:t>
            </w:r>
          </w:p>
        </w:tc>
        <w:tc>
          <w:tcPr>
            <w:tcW w:w="1364" w:type="dxa"/>
          </w:tcPr>
          <w:p w14:paraId="2C5C8D0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0.021±0.011</w:t>
            </w:r>
          </w:p>
        </w:tc>
      </w:tr>
      <w:tr w:rsidR="004F0BBB" w:rsidRPr="00CE7561" w14:paraId="4D2D245C" w14:textId="77777777" w:rsidTr="004F0BBB">
        <w:tc>
          <w:tcPr>
            <w:tcW w:w="1345" w:type="dxa"/>
          </w:tcPr>
          <w:p w14:paraId="78ABCF3D"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440" w:type="dxa"/>
          </w:tcPr>
          <w:p w14:paraId="723A4C9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0.043±0.014</w:t>
            </w:r>
          </w:p>
        </w:tc>
        <w:tc>
          <w:tcPr>
            <w:tcW w:w="1350" w:type="dxa"/>
          </w:tcPr>
          <w:p w14:paraId="41986F2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0.016±0.014</w:t>
            </w:r>
          </w:p>
        </w:tc>
        <w:tc>
          <w:tcPr>
            <w:tcW w:w="1440" w:type="dxa"/>
          </w:tcPr>
          <w:p w14:paraId="0FED1D9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0.026±0.014</w:t>
            </w:r>
          </w:p>
        </w:tc>
        <w:tc>
          <w:tcPr>
            <w:tcW w:w="1350" w:type="dxa"/>
          </w:tcPr>
          <w:p w14:paraId="1694C4F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0.003±0.028</w:t>
            </w:r>
          </w:p>
        </w:tc>
        <w:tc>
          <w:tcPr>
            <w:tcW w:w="1350" w:type="dxa"/>
          </w:tcPr>
          <w:p w14:paraId="6455A19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0.018±0.028</w:t>
            </w:r>
          </w:p>
        </w:tc>
        <w:tc>
          <w:tcPr>
            <w:tcW w:w="1364" w:type="dxa"/>
          </w:tcPr>
          <w:p w14:paraId="4424A72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0.058±0.028</w:t>
            </w:r>
          </w:p>
        </w:tc>
      </w:tr>
      <w:tr w:rsidR="004F0BBB" w:rsidRPr="00CE7561" w14:paraId="5F675386" w14:textId="77777777" w:rsidTr="004F0BBB">
        <w:tc>
          <w:tcPr>
            <w:tcW w:w="1345" w:type="dxa"/>
          </w:tcPr>
          <w:p w14:paraId="57D8C92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40" w:type="dxa"/>
          </w:tcPr>
          <w:p w14:paraId="32AA581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0.009±0.019</w:t>
            </w:r>
          </w:p>
        </w:tc>
        <w:tc>
          <w:tcPr>
            <w:tcW w:w="1350" w:type="dxa"/>
          </w:tcPr>
          <w:p w14:paraId="4C02C35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0.024±0.019</w:t>
            </w:r>
          </w:p>
        </w:tc>
        <w:tc>
          <w:tcPr>
            <w:tcW w:w="1440" w:type="dxa"/>
          </w:tcPr>
          <w:p w14:paraId="210D085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0.046±0.019</w:t>
            </w:r>
          </w:p>
        </w:tc>
        <w:tc>
          <w:tcPr>
            <w:tcW w:w="1350" w:type="dxa"/>
          </w:tcPr>
          <w:p w14:paraId="0C06F29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0.005±0.033</w:t>
            </w:r>
          </w:p>
        </w:tc>
        <w:tc>
          <w:tcPr>
            <w:tcW w:w="1350" w:type="dxa"/>
          </w:tcPr>
          <w:p w14:paraId="019548A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0.051±0.033</w:t>
            </w:r>
          </w:p>
        </w:tc>
        <w:tc>
          <w:tcPr>
            <w:tcW w:w="1364" w:type="dxa"/>
          </w:tcPr>
          <w:p w14:paraId="5711C2B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4F0BBB" w:rsidRPr="00CE7561" w14:paraId="7729B626" w14:textId="77777777" w:rsidTr="004F0BBB">
        <w:tc>
          <w:tcPr>
            <w:tcW w:w="1345" w:type="dxa"/>
          </w:tcPr>
          <w:p w14:paraId="19FC22B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40" w:type="dxa"/>
          </w:tcPr>
          <w:p w14:paraId="78CC4A3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0.016±0.023</w:t>
            </w:r>
          </w:p>
        </w:tc>
        <w:tc>
          <w:tcPr>
            <w:tcW w:w="1350" w:type="dxa"/>
          </w:tcPr>
          <w:p w14:paraId="5048700E"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0.039±0.023</w:t>
            </w:r>
          </w:p>
        </w:tc>
        <w:tc>
          <w:tcPr>
            <w:tcW w:w="1440" w:type="dxa"/>
          </w:tcPr>
          <w:p w14:paraId="05FFB2F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0.062±0.023</w:t>
            </w:r>
          </w:p>
        </w:tc>
        <w:tc>
          <w:tcPr>
            <w:tcW w:w="1350" w:type="dxa"/>
          </w:tcPr>
          <w:p w14:paraId="3D81541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0.014±0.001</w:t>
            </w:r>
          </w:p>
        </w:tc>
        <w:tc>
          <w:tcPr>
            <w:tcW w:w="1350" w:type="dxa"/>
          </w:tcPr>
          <w:p w14:paraId="2583F68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0.012±0.001</w:t>
            </w:r>
          </w:p>
        </w:tc>
        <w:tc>
          <w:tcPr>
            <w:tcW w:w="1364" w:type="dxa"/>
          </w:tcPr>
          <w:p w14:paraId="52969D9F"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4F0BBB" w:rsidRPr="00CE7561" w14:paraId="20B5287E" w14:textId="77777777" w:rsidTr="004F0BBB">
        <w:tc>
          <w:tcPr>
            <w:tcW w:w="1345" w:type="dxa"/>
          </w:tcPr>
          <w:p w14:paraId="163DC465"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40" w:type="dxa"/>
          </w:tcPr>
          <w:p w14:paraId="5AA4227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0.005±0.014</w:t>
            </w:r>
          </w:p>
        </w:tc>
        <w:tc>
          <w:tcPr>
            <w:tcW w:w="1350" w:type="dxa"/>
          </w:tcPr>
          <w:p w14:paraId="65CA3B6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0.022±0.014</w:t>
            </w:r>
          </w:p>
        </w:tc>
        <w:tc>
          <w:tcPr>
            <w:tcW w:w="1440" w:type="dxa"/>
          </w:tcPr>
          <w:p w14:paraId="1A554C3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0.032±0.014</w:t>
            </w:r>
          </w:p>
        </w:tc>
        <w:tc>
          <w:tcPr>
            <w:tcW w:w="1350" w:type="dxa"/>
          </w:tcPr>
          <w:p w14:paraId="5559882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0.008±0.009</w:t>
            </w:r>
          </w:p>
        </w:tc>
        <w:tc>
          <w:tcPr>
            <w:tcW w:w="1350" w:type="dxa"/>
          </w:tcPr>
          <w:p w14:paraId="66C87C5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0.019±0.009</w:t>
            </w:r>
          </w:p>
        </w:tc>
        <w:tc>
          <w:tcPr>
            <w:tcW w:w="1364" w:type="dxa"/>
          </w:tcPr>
          <w:p w14:paraId="3457A08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0.001±0.009</w:t>
            </w:r>
          </w:p>
        </w:tc>
      </w:tr>
      <w:tr w:rsidR="004F0BBB" w:rsidRPr="00CE7561" w14:paraId="273D057A" w14:textId="77777777" w:rsidTr="004F0BBB">
        <w:tc>
          <w:tcPr>
            <w:tcW w:w="1345" w:type="dxa"/>
          </w:tcPr>
          <w:p w14:paraId="60DF2304"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40" w:type="dxa"/>
          </w:tcPr>
          <w:p w14:paraId="6B4F47F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0.008±0.012</w:t>
            </w:r>
          </w:p>
        </w:tc>
        <w:tc>
          <w:tcPr>
            <w:tcW w:w="1350" w:type="dxa"/>
          </w:tcPr>
          <w:p w14:paraId="5B889DB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0.021±0.012</w:t>
            </w:r>
          </w:p>
        </w:tc>
        <w:tc>
          <w:tcPr>
            <w:tcW w:w="1440" w:type="dxa"/>
          </w:tcPr>
          <w:p w14:paraId="2316ED9D"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0.032±0.012</w:t>
            </w:r>
          </w:p>
        </w:tc>
        <w:tc>
          <w:tcPr>
            <w:tcW w:w="1350" w:type="dxa"/>
          </w:tcPr>
          <w:p w14:paraId="41A6771A"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0.009±0.009</w:t>
            </w:r>
          </w:p>
        </w:tc>
        <w:tc>
          <w:tcPr>
            <w:tcW w:w="1350" w:type="dxa"/>
          </w:tcPr>
          <w:p w14:paraId="2A33FCD5"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0.009±0.009</w:t>
            </w:r>
          </w:p>
        </w:tc>
        <w:tc>
          <w:tcPr>
            <w:tcW w:w="1364" w:type="dxa"/>
          </w:tcPr>
          <w:p w14:paraId="27774FC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0.025±0.009</w:t>
            </w:r>
          </w:p>
        </w:tc>
      </w:tr>
      <w:tr w:rsidR="004F0BBB" w:rsidRPr="00CE7561" w14:paraId="4A1852F8" w14:textId="77777777" w:rsidTr="004F0BBB">
        <w:tc>
          <w:tcPr>
            <w:tcW w:w="1345" w:type="dxa"/>
          </w:tcPr>
          <w:p w14:paraId="6B07CDEB"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lastRenderedPageBreak/>
              <w:t>9</w:t>
            </w:r>
          </w:p>
        </w:tc>
        <w:tc>
          <w:tcPr>
            <w:tcW w:w="1440" w:type="dxa"/>
          </w:tcPr>
          <w:p w14:paraId="25739DD8"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0.025±0.013</w:t>
            </w:r>
          </w:p>
        </w:tc>
        <w:tc>
          <w:tcPr>
            <w:tcW w:w="1350" w:type="dxa"/>
          </w:tcPr>
          <w:p w14:paraId="5F7B297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0.005±0.013</w:t>
            </w:r>
          </w:p>
        </w:tc>
        <w:tc>
          <w:tcPr>
            <w:tcW w:w="1440" w:type="dxa"/>
          </w:tcPr>
          <w:p w14:paraId="12F32E8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0.001±0.013</w:t>
            </w:r>
          </w:p>
        </w:tc>
        <w:tc>
          <w:tcPr>
            <w:tcW w:w="1350" w:type="dxa"/>
          </w:tcPr>
          <w:p w14:paraId="164B9DA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0.010±0.015</w:t>
            </w:r>
          </w:p>
        </w:tc>
        <w:tc>
          <w:tcPr>
            <w:tcW w:w="1350" w:type="dxa"/>
          </w:tcPr>
          <w:p w14:paraId="6DEC99A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64" w:type="dxa"/>
          </w:tcPr>
          <w:p w14:paraId="28CFE1D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0.031±0.015</w:t>
            </w:r>
          </w:p>
        </w:tc>
      </w:tr>
      <w:tr w:rsidR="004F0BBB" w:rsidRPr="00CE7561" w14:paraId="1074129A" w14:textId="77777777" w:rsidTr="004F0BBB">
        <w:tc>
          <w:tcPr>
            <w:tcW w:w="1345" w:type="dxa"/>
          </w:tcPr>
          <w:p w14:paraId="2233C7B7"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40" w:type="dxa"/>
          </w:tcPr>
          <w:p w14:paraId="3781863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0.014±0.008</w:t>
            </w:r>
          </w:p>
        </w:tc>
        <w:tc>
          <w:tcPr>
            <w:tcW w:w="1350" w:type="dxa"/>
          </w:tcPr>
          <w:p w14:paraId="7F075B9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0.001±0.008</w:t>
            </w:r>
          </w:p>
        </w:tc>
        <w:tc>
          <w:tcPr>
            <w:tcW w:w="1440" w:type="dxa"/>
          </w:tcPr>
          <w:p w14:paraId="5851F87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0.015±0.008</w:t>
            </w:r>
          </w:p>
        </w:tc>
        <w:tc>
          <w:tcPr>
            <w:tcW w:w="1350" w:type="dxa"/>
          </w:tcPr>
          <w:p w14:paraId="5BB4C444"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0.005±0.029</w:t>
            </w:r>
          </w:p>
        </w:tc>
        <w:tc>
          <w:tcPr>
            <w:tcW w:w="1350" w:type="dxa"/>
          </w:tcPr>
          <w:p w14:paraId="40DA4DE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0.021±0.029</w:t>
            </w:r>
          </w:p>
        </w:tc>
        <w:tc>
          <w:tcPr>
            <w:tcW w:w="1364" w:type="dxa"/>
          </w:tcPr>
          <w:p w14:paraId="11EB71A9"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0.062±0.029</w:t>
            </w:r>
          </w:p>
        </w:tc>
      </w:tr>
      <w:tr w:rsidR="004F0BBB" w:rsidRPr="00CE7561" w14:paraId="09C3C997" w14:textId="77777777" w:rsidTr="004F0BBB">
        <w:tc>
          <w:tcPr>
            <w:tcW w:w="1345" w:type="dxa"/>
          </w:tcPr>
          <w:p w14:paraId="4FFA45E2"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40" w:type="dxa"/>
          </w:tcPr>
          <w:p w14:paraId="4F57C1D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0.005±0.001</w:t>
            </w:r>
          </w:p>
        </w:tc>
        <w:tc>
          <w:tcPr>
            <w:tcW w:w="1350" w:type="dxa"/>
          </w:tcPr>
          <w:p w14:paraId="74B38381"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0.005±0.001</w:t>
            </w:r>
          </w:p>
        </w:tc>
        <w:tc>
          <w:tcPr>
            <w:tcW w:w="1440" w:type="dxa"/>
          </w:tcPr>
          <w:p w14:paraId="25C8F37C"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0.006±0.001</w:t>
            </w:r>
          </w:p>
        </w:tc>
        <w:tc>
          <w:tcPr>
            <w:tcW w:w="1350" w:type="dxa"/>
          </w:tcPr>
          <w:p w14:paraId="2931AD32"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0.005±0.030</w:t>
            </w:r>
          </w:p>
        </w:tc>
        <w:tc>
          <w:tcPr>
            <w:tcW w:w="1350" w:type="dxa"/>
          </w:tcPr>
          <w:p w14:paraId="71CE262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0.007±0.030</w:t>
            </w:r>
          </w:p>
        </w:tc>
        <w:tc>
          <w:tcPr>
            <w:tcW w:w="1364" w:type="dxa"/>
          </w:tcPr>
          <w:p w14:paraId="0C99F7CA"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0.058±0.030</w:t>
            </w:r>
          </w:p>
        </w:tc>
      </w:tr>
      <w:tr w:rsidR="004F0BBB" w:rsidRPr="00CE7561" w14:paraId="7698D327" w14:textId="77777777" w:rsidTr="004F0BBB">
        <w:tc>
          <w:tcPr>
            <w:tcW w:w="1345" w:type="dxa"/>
          </w:tcPr>
          <w:p w14:paraId="37196B17" w14:textId="77777777" w:rsidR="004F0BBB" w:rsidRPr="00CE7561" w:rsidRDefault="004F0BBB" w:rsidP="004F0BBB">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40" w:type="dxa"/>
          </w:tcPr>
          <w:p w14:paraId="652E24E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50" w:type="dxa"/>
          </w:tcPr>
          <w:p w14:paraId="364A79B3"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0.021</w:t>
            </w:r>
          </w:p>
        </w:tc>
        <w:tc>
          <w:tcPr>
            <w:tcW w:w="1440" w:type="dxa"/>
          </w:tcPr>
          <w:p w14:paraId="622BA250"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50" w:type="dxa"/>
          </w:tcPr>
          <w:p w14:paraId="3EFED28B"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0.001±0.036</w:t>
            </w:r>
          </w:p>
        </w:tc>
        <w:tc>
          <w:tcPr>
            <w:tcW w:w="1350" w:type="dxa"/>
          </w:tcPr>
          <w:p w14:paraId="50E00586"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0.019±0.036</w:t>
            </w:r>
          </w:p>
        </w:tc>
        <w:tc>
          <w:tcPr>
            <w:tcW w:w="1364" w:type="dxa"/>
          </w:tcPr>
          <w:p w14:paraId="3D40B627" w14:textId="77777777" w:rsidR="004F0BBB" w:rsidRPr="00CE7561" w:rsidRDefault="004F0BBB" w:rsidP="004F0BBB">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0.070±0.036</w:t>
            </w:r>
          </w:p>
        </w:tc>
      </w:tr>
    </w:tbl>
    <w:p w14:paraId="5FE968F7" w14:textId="77777777" w:rsidR="004F0BBB" w:rsidRDefault="0067111F" w:rsidP="004F0BBB">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ND means not detected.</w:t>
      </w:r>
    </w:p>
    <w:p w14:paraId="34F21FDA" w14:textId="77777777" w:rsidR="00E002F4" w:rsidRPr="00CE7561" w:rsidRDefault="00E002F4" w:rsidP="00E002F4">
      <w:pPr>
        <w:pStyle w:val="NormalWeb"/>
        <w:spacing w:before="0" w:beforeAutospacing="0" w:after="120" w:afterAutospacing="0" w:line="276" w:lineRule="auto"/>
        <w:jc w:val="both"/>
        <w:rPr>
          <w:sz w:val="20"/>
          <w:szCs w:val="20"/>
        </w:rPr>
      </w:pPr>
      <w:r w:rsidRPr="00CE7561">
        <w:rPr>
          <w:sz w:val="20"/>
          <w:szCs w:val="20"/>
        </w:rPr>
        <w:t>Table 2 presents the results of the paired sample t-test. The t-value of -0.34454 and a mean difference of -0.00125 mg/L suggest a negligible average variation between the wet and dry seasons. The p-value of 0.7369, being far greater than the significance threshold of 0.05, supports the null hypothesis that there is no significant seasonal variation in nickel concentrations in borehole water.</w:t>
      </w:r>
    </w:p>
    <w:p w14:paraId="186CB7DB" w14:textId="77777777" w:rsidR="006B1EF6" w:rsidRPr="00CE7561" w:rsidRDefault="00874E5F" w:rsidP="00874E5F">
      <w:pPr>
        <w:spacing w:after="120" w:line="276" w:lineRule="auto"/>
        <w:jc w:val="both"/>
        <w:rPr>
          <w:rFonts w:ascii="Times New Roman" w:hAnsi="Times New Roman" w:cs="Times New Roman"/>
          <w:b/>
          <w:sz w:val="20"/>
          <w:szCs w:val="20"/>
        </w:rPr>
      </w:pPr>
      <w:r w:rsidRPr="00CE7561">
        <w:rPr>
          <w:rFonts w:ascii="Times New Roman" w:hAnsi="Times New Roman" w:cs="Times New Roman"/>
          <w:b/>
          <w:sz w:val="20"/>
          <w:szCs w:val="20"/>
        </w:rPr>
        <w:t>Table 2.</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Paired sample t-test Results Comparing Nickel Concentration in Borehole Water between Wet and Dry Seasons</w:t>
      </w:r>
    </w:p>
    <w:tbl>
      <w:tblPr>
        <w:tblStyle w:val="TableGrid"/>
        <w:tblW w:w="9431" w:type="dxa"/>
        <w:tblBorders>
          <w:left w:val="none" w:sz="0" w:space="0" w:color="auto"/>
          <w:right w:val="none" w:sz="0" w:space="0" w:color="auto"/>
        </w:tblBorders>
        <w:tblLook w:val="04A0" w:firstRow="1" w:lastRow="0" w:firstColumn="1" w:lastColumn="0" w:noHBand="0" w:noVBand="1"/>
      </w:tblPr>
      <w:tblGrid>
        <w:gridCol w:w="1216"/>
        <w:gridCol w:w="1906"/>
        <w:gridCol w:w="2546"/>
        <w:gridCol w:w="2035"/>
        <w:gridCol w:w="1728"/>
      </w:tblGrid>
      <w:tr w:rsidR="00874E5F" w:rsidRPr="00CE7561" w14:paraId="603C3A57" w14:textId="77777777" w:rsidTr="00CF3123">
        <w:trPr>
          <w:trHeight w:val="350"/>
        </w:trPr>
        <w:tc>
          <w:tcPr>
            <w:tcW w:w="1216" w:type="dxa"/>
            <w:vMerge w:val="restart"/>
          </w:tcPr>
          <w:p w14:paraId="1DD60428"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906" w:type="dxa"/>
            <w:vMerge w:val="restart"/>
          </w:tcPr>
          <w:p w14:paraId="366A43D4"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81" w:type="dxa"/>
            <w:gridSpan w:val="2"/>
          </w:tcPr>
          <w:p w14:paraId="25B8F8EE"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28" w:type="dxa"/>
            <w:vMerge w:val="restart"/>
          </w:tcPr>
          <w:p w14:paraId="44327EEE"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874E5F" w:rsidRPr="00CE7561" w14:paraId="3B0BE705" w14:textId="77777777" w:rsidTr="00CF3123">
        <w:trPr>
          <w:trHeight w:val="174"/>
        </w:trPr>
        <w:tc>
          <w:tcPr>
            <w:tcW w:w="1216" w:type="dxa"/>
            <w:vMerge/>
          </w:tcPr>
          <w:p w14:paraId="0196F932" w14:textId="77777777" w:rsidR="00874E5F" w:rsidRPr="00CE7561" w:rsidRDefault="00874E5F" w:rsidP="00874E5F">
            <w:pPr>
              <w:jc w:val="both"/>
              <w:rPr>
                <w:rFonts w:ascii="Times New Roman" w:hAnsi="Times New Roman" w:cs="Times New Roman"/>
                <w:sz w:val="20"/>
                <w:szCs w:val="20"/>
              </w:rPr>
            </w:pPr>
          </w:p>
        </w:tc>
        <w:tc>
          <w:tcPr>
            <w:tcW w:w="1906" w:type="dxa"/>
            <w:vMerge/>
          </w:tcPr>
          <w:p w14:paraId="17E2A19F" w14:textId="77777777" w:rsidR="00874E5F" w:rsidRPr="00CE7561" w:rsidRDefault="00874E5F" w:rsidP="00874E5F">
            <w:pPr>
              <w:jc w:val="both"/>
              <w:rPr>
                <w:rFonts w:ascii="Times New Roman" w:hAnsi="Times New Roman" w:cs="Times New Roman"/>
                <w:sz w:val="20"/>
                <w:szCs w:val="20"/>
              </w:rPr>
            </w:pPr>
          </w:p>
        </w:tc>
        <w:tc>
          <w:tcPr>
            <w:tcW w:w="2546" w:type="dxa"/>
          </w:tcPr>
          <w:p w14:paraId="6C5F1BEA"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34" w:type="dxa"/>
          </w:tcPr>
          <w:p w14:paraId="17BECC78"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28" w:type="dxa"/>
            <w:vMerge/>
          </w:tcPr>
          <w:p w14:paraId="0DB6DB68" w14:textId="77777777" w:rsidR="00874E5F" w:rsidRPr="00CE7561" w:rsidRDefault="00874E5F" w:rsidP="00874E5F">
            <w:pPr>
              <w:jc w:val="both"/>
              <w:rPr>
                <w:rFonts w:ascii="Times New Roman" w:hAnsi="Times New Roman" w:cs="Times New Roman"/>
                <w:sz w:val="20"/>
                <w:szCs w:val="20"/>
              </w:rPr>
            </w:pPr>
          </w:p>
        </w:tc>
      </w:tr>
      <w:tr w:rsidR="00874E5F" w:rsidRPr="00CE7561" w14:paraId="27390F03" w14:textId="77777777" w:rsidTr="00CF3123">
        <w:trPr>
          <w:trHeight w:val="174"/>
        </w:trPr>
        <w:tc>
          <w:tcPr>
            <w:tcW w:w="1216" w:type="dxa"/>
          </w:tcPr>
          <w:p w14:paraId="52AA742C"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-0.34454</w:t>
            </w:r>
          </w:p>
        </w:tc>
        <w:tc>
          <w:tcPr>
            <w:tcW w:w="1906" w:type="dxa"/>
          </w:tcPr>
          <w:p w14:paraId="70378F27"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-0.00125</w:t>
            </w:r>
          </w:p>
        </w:tc>
        <w:tc>
          <w:tcPr>
            <w:tcW w:w="2546" w:type="dxa"/>
          </w:tcPr>
          <w:p w14:paraId="1E7BBCD6"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-0.0092351</w:t>
            </w:r>
          </w:p>
        </w:tc>
        <w:tc>
          <w:tcPr>
            <w:tcW w:w="2034" w:type="dxa"/>
          </w:tcPr>
          <w:p w14:paraId="0C08265A"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0.0067351</w:t>
            </w:r>
          </w:p>
        </w:tc>
        <w:tc>
          <w:tcPr>
            <w:tcW w:w="1728" w:type="dxa"/>
          </w:tcPr>
          <w:p w14:paraId="2FB3FE8C" w14:textId="77777777" w:rsidR="00874E5F" w:rsidRPr="00CE7561" w:rsidRDefault="00874E5F" w:rsidP="00874E5F">
            <w:pPr>
              <w:jc w:val="both"/>
              <w:rPr>
                <w:rFonts w:ascii="Times New Roman" w:hAnsi="Times New Roman" w:cs="Times New Roman"/>
                <w:sz w:val="20"/>
                <w:szCs w:val="20"/>
              </w:rPr>
            </w:pPr>
            <w:r w:rsidRPr="00CE7561">
              <w:rPr>
                <w:rFonts w:ascii="Times New Roman" w:hAnsi="Times New Roman" w:cs="Times New Roman"/>
                <w:sz w:val="20"/>
                <w:szCs w:val="20"/>
              </w:rPr>
              <w:t>0.7369</w:t>
            </w:r>
          </w:p>
        </w:tc>
      </w:tr>
    </w:tbl>
    <w:p w14:paraId="5301AAE0" w14:textId="77777777" w:rsidR="00874E5F" w:rsidRPr="00CE7561" w:rsidRDefault="00874E5F" w:rsidP="004F0BBB">
      <w:pPr>
        <w:spacing w:after="0" w:line="360" w:lineRule="auto"/>
        <w:jc w:val="both"/>
        <w:rPr>
          <w:rFonts w:ascii="Times New Roman" w:hAnsi="Times New Roman" w:cs="Times New Roman"/>
          <w:sz w:val="20"/>
          <w:szCs w:val="20"/>
        </w:rPr>
      </w:pPr>
    </w:p>
    <w:p w14:paraId="172E7252" w14:textId="77777777" w:rsidR="00165B1B" w:rsidRPr="00CE7561" w:rsidRDefault="00165B1B" w:rsidP="00687BE4">
      <w:pPr>
        <w:spacing w:after="0" w:line="480"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2F6EA27F" wp14:editId="425CA9EB">
            <wp:extent cx="3904311" cy="2543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9975" cy="2546865"/>
                    </a:xfrm>
                    <a:prstGeom prst="rect">
                      <a:avLst/>
                    </a:prstGeom>
                    <a:noFill/>
                    <a:ln>
                      <a:noFill/>
                    </a:ln>
                  </pic:spPr>
                </pic:pic>
              </a:graphicData>
            </a:graphic>
          </wp:inline>
        </w:drawing>
      </w:r>
    </w:p>
    <w:p w14:paraId="6BE473ED" w14:textId="77777777" w:rsidR="00165B1B" w:rsidRDefault="00165B1B" w:rsidP="00687BE4">
      <w:pPr>
        <w:spacing w:after="0" w:line="480"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1. Nickel Concentration in Borehole Water Samples in Enugu North LGA</w:t>
      </w:r>
    </w:p>
    <w:p w14:paraId="6ECB2022" w14:textId="1CA2C3EF" w:rsidR="00E002F4" w:rsidRPr="00AE6384" w:rsidRDefault="00E002F4" w:rsidP="00E002F4">
      <w:pPr>
        <w:spacing w:after="120" w:line="240" w:lineRule="auto"/>
        <w:jc w:val="both"/>
        <w:rPr>
          <w:rFonts w:ascii="Times New Roman" w:eastAsia="Times New Roman" w:hAnsi="Times New Roman" w:cs="Times New Roman"/>
          <w:sz w:val="20"/>
          <w:szCs w:val="20"/>
        </w:rPr>
      </w:pPr>
      <w:r>
        <w:rPr>
          <w:rStyle w:val="Strong"/>
          <w:rFonts w:ascii="Times New Roman" w:hAnsi="Times New Roman" w:cs="Times New Roman"/>
          <w:b w:val="0"/>
          <w:sz w:val="20"/>
          <w:szCs w:val="20"/>
        </w:rPr>
        <w:t>Table 3</w:t>
      </w:r>
      <w:r w:rsidRPr="004D7901">
        <w:rPr>
          <w:rFonts w:ascii="Times New Roman" w:hAnsi="Times New Roman" w:cs="Times New Roman"/>
          <w:sz w:val="20"/>
          <w:szCs w:val="20"/>
        </w:rPr>
        <w:t xml:space="preserve"> and Figure 2 provide insights into the seasonal variations in iron (Fe) concentration in borehole water samples from Enugu North LGA. </w:t>
      </w:r>
      <w:r w:rsidRPr="004D7901">
        <w:rPr>
          <w:rFonts w:ascii="Times New Roman" w:eastAsia="Times New Roman" w:hAnsi="Times New Roman" w:cs="Times New Roman"/>
          <w:sz w:val="20"/>
          <w:szCs w:val="20"/>
        </w:rPr>
        <w:t xml:space="preserve">In the </w:t>
      </w:r>
      <w:r w:rsidRPr="004D7901">
        <w:rPr>
          <w:rFonts w:ascii="Times New Roman" w:eastAsia="Times New Roman" w:hAnsi="Times New Roman" w:cs="Times New Roman"/>
          <w:bCs/>
          <w:sz w:val="20"/>
          <w:szCs w:val="20"/>
        </w:rPr>
        <w:t>wet season</w:t>
      </w:r>
      <w:r w:rsidRPr="004D7901">
        <w:rPr>
          <w:rFonts w:ascii="Times New Roman" w:eastAsia="Times New Roman" w:hAnsi="Times New Roman" w:cs="Times New Roman"/>
          <w:sz w:val="20"/>
          <w:szCs w:val="20"/>
        </w:rPr>
        <w:t>, the iron concentrations varied significantly</w:t>
      </w:r>
      <w:r>
        <w:rPr>
          <w:rFonts w:ascii="Times New Roman" w:eastAsia="Times New Roman" w:hAnsi="Times New Roman" w:cs="Times New Roman"/>
          <w:sz w:val="20"/>
          <w:szCs w:val="20"/>
        </w:rPr>
        <w:t xml:space="preserve"> (p=0.16)</w:t>
      </w:r>
      <w:r w:rsidRPr="004D7901">
        <w:rPr>
          <w:rFonts w:ascii="Times New Roman" w:eastAsia="Times New Roman" w:hAnsi="Times New Roman" w:cs="Times New Roman"/>
          <w:sz w:val="20"/>
          <w:szCs w:val="20"/>
        </w:rPr>
        <w:t xml:space="preserve"> across the different months and samples. The concentration ranged from as low as 0.012 mg/L in June (sample 12) to as high as 1.374 mg/L in June (sample 9). Several samples, such as sample 4 and sample 7, showed notably high concentrations, especially during the wet months, with sample 7 having an exceptionally high value of 1.156 mg/L in June and sample 9 recording 1.374 mg/L in June. This variation suggests that environmental factors, such as rainfall and runoff, may lead to increased concentrations of iron in the water, potentially due to the leaching of iron from soils and sediments during the wet season</w:t>
      </w:r>
      <w:r w:rsidR="006D37AB">
        <w:rPr>
          <w:rFonts w:ascii="Times New Roman" w:eastAsia="Times New Roman" w:hAnsi="Times New Roman" w:cs="Times New Roman"/>
          <w:sz w:val="20"/>
          <w:szCs w:val="20"/>
        </w:rPr>
        <w:t xml:space="preserve"> [35]</w:t>
      </w:r>
      <w:r w:rsidRPr="004D790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4D7901">
        <w:rPr>
          <w:rFonts w:ascii="Times New Roman" w:eastAsia="Times New Roman" w:hAnsi="Times New Roman" w:cs="Times New Roman"/>
          <w:sz w:val="20"/>
          <w:szCs w:val="20"/>
        </w:rPr>
        <w:t xml:space="preserve">In the </w:t>
      </w:r>
      <w:r w:rsidRPr="004D7901">
        <w:rPr>
          <w:rFonts w:ascii="Times New Roman" w:eastAsia="Times New Roman" w:hAnsi="Times New Roman" w:cs="Times New Roman"/>
          <w:bCs/>
          <w:sz w:val="20"/>
          <w:szCs w:val="20"/>
        </w:rPr>
        <w:t>dry season</w:t>
      </w:r>
      <w:r w:rsidRPr="004D7901">
        <w:rPr>
          <w:rFonts w:ascii="Times New Roman" w:eastAsia="Times New Roman" w:hAnsi="Times New Roman" w:cs="Times New Roman"/>
          <w:sz w:val="20"/>
          <w:szCs w:val="20"/>
        </w:rPr>
        <w:t>, the concentration of iron showed a noticeable decrease compared to the wet seaso</w:t>
      </w:r>
      <w:r>
        <w:rPr>
          <w:rFonts w:ascii="Times New Roman" w:eastAsia="Times New Roman" w:hAnsi="Times New Roman" w:cs="Times New Roman"/>
          <w:sz w:val="20"/>
          <w:szCs w:val="20"/>
        </w:rPr>
        <w:t xml:space="preserve">n for most samples </w:t>
      </w:r>
      <w:proofErr w:type="spellStart"/>
      <w:r>
        <w:rPr>
          <w:rFonts w:ascii="Times New Roman" w:eastAsia="Times New Roman" w:hAnsi="Times New Roman" w:cs="Times New Roman"/>
          <w:sz w:val="20"/>
          <w:szCs w:val="20"/>
        </w:rPr>
        <w:t>i.e</w:t>
      </w:r>
      <w:proofErr w:type="spellEnd"/>
      <w:r>
        <w:rPr>
          <w:rFonts w:ascii="Times New Roman" w:eastAsia="Times New Roman" w:hAnsi="Times New Roman" w:cs="Times New Roman"/>
          <w:sz w:val="20"/>
          <w:szCs w:val="20"/>
        </w:rPr>
        <w:t xml:space="preserve"> sample 4, with concentration of</w:t>
      </w:r>
      <w:r w:rsidRPr="004D7901">
        <w:rPr>
          <w:rFonts w:ascii="Times New Roman" w:eastAsia="Times New Roman" w:hAnsi="Times New Roman" w:cs="Times New Roman"/>
          <w:sz w:val="20"/>
          <w:szCs w:val="20"/>
        </w:rPr>
        <w:t xml:space="preserve"> 0.941 mg/L in June during the wet season, dropped to 0.138 mg/L in December. Similarly, sample 7 decreased from 1.156 mg/L in June to 0.068 mg/L in December. However, some samples still exhibited relatively higher concentrations, such as sample 3 (0.155 mg/L in January) and sample 12 (0.18 mg/L in January), indicating that certain boreholes might be more prone to iron contamination regardless of the season. The overall decrease in concentrations in the dry season </w:t>
      </w:r>
      <w:r>
        <w:rPr>
          <w:rFonts w:ascii="Times New Roman" w:eastAsia="Times New Roman" w:hAnsi="Times New Roman" w:cs="Times New Roman"/>
          <w:sz w:val="20"/>
          <w:szCs w:val="20"/>
        </w:rPr>
        <w:t>is</w:t>
      </w:r>
      <w:r w:rsidRPr="004D7901">
        <w:rPr>
          <w:rFonts w:ascii="Times New Roman" w:eastAsia="Times New Roman" w:hAnsi="Times New Roman" w:cs="Times New Roman"/>
          <w:sz w:val="20"/>
          <w:szCs w:val="20"/>
        </w:rPr>
        <w:t xml:space="preserve"> attributed to reduced rainfall, lower water</w:t>
      </w:r>
      <w:r>
        <w:rPr>
          <w:rFonts w:ascii="Times New Roman" w:eastAsia="Times New Roman" w:hAnsi="Times New Roman" w:cs="Times New Roman"/>
          <w:sz w:val="20"/>
          <w:szCs w:val="20"/>
        </w:rPr>
        <w:t xml:space="preserve"> table levels, and</w:t>
      </w:r>
      <w:r w:rsidRPr="004D7901">
        <w:rPr>
          <w:rFonts w:ascii="Times New Roman" w:eastAsia="Times New Roman" w:hAnsi="Times New Roman" w:cs="Times New Roman"/>
          <w:sz w:val="20"/>
          <w:szCs w:val="20"/>
        </w:rPr>
        <w:t xml:space="preserve"> dilution effects.</w:t>
      </w:r>
      <w:r>
        <w:rPr>
          <w:rFonts w:ascii="Times New Roman" w:eastAsia="Times New Roman" w:hAnsi="Times New Roman" w:cs="Times New Roman"/>
          <w:sz w:val="20"/>
          <w:szCs w:val="20"/>
        </w:rPr>
        <w:t xml:space="preserve"> </w:t>
      </w:r>
      <w:r w:rsidRPr="00CE7561">
        <w:rPr>
          <w:rFonts w:ascii="Times New Roman" w:hAnsi="Times New Roman" w:cs="Times New Roman"/>
          <w:sz w:val="20"/>
          <w:szCs w:val="20"/>
        </w:rPr>
        <w:t>The elevated iron concentrations observed in some samples exceed the World Health Organization (WHO) permissible limit of 0.3 mg/L for drinking water</w:t>
      </w:r>
      <w:r w:rsidR="006D37AB">
        <w:rPr>
          <w:rFonts w:ascii="Times New Roman" w:hAnsi="Times New Roman" w:cs="Times New Roman"/>
          <w:sz w:val="20"/>
          <w:szCs w:val="20"/>
        </w:rPr>
        <w:t xml:space="preserve"> [11]</w:t>
      </w:r>
      <w:r w:rsidRPr="00CE7561">
        <w:rPr>
          <w:rFonts w:ascii="Times New Roman" w:hAnsi="Times New Roman" w:cs="Times New Roman"/>
          <w:sz w:val="20"/>
          <w:szCs w:val="20"/>
        </w:rPr>
        <w:t xml:space="preserve">. </w:t>
      </w:r>
    </w:p>
    <w:p w14:paraId="544D9077" w14:textId="77777777" w:rsidR="0066675F" w:rsidRPr="00CE7561" w:rsidRDefault="00F21467" w:rsidP="00F2146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3.</w:t>
      </w:r>
      <w:r w:rsidR="0066675F" w:rsidRPr="00CE7561">
        <w:rPr>
          <w:rFonts w:ascii="Times New Roman" w:hAnsi="Times New Roman" w:cs="Times New Roman"/>
          <w:sz w:val="20"/>
          <w:szCs w:val="20"/>
        </w:rPr>
        <w:t xml:space="preserve"> </w:t>
      </w:r>
      <w:r w:rsidR="0066675F" w:rsidRPr="00CE7561">
        <w:rPr>
          <w:rFonts w:ascii="Times New Roman" w:hAnsi="Times New Roman" w:cs="Times New Roman"/>
          <w:b/>
          <w:sz w:val="20"/>
          <w:szCs w:val="20"/>
        </w:rPr>
        <w:t>Seasonal V</w:t>
      </w:r>
      <w:r w:rsidR="00A41A1E" w:rsidRPr="00CE7561">
        <w:rPr>
          <w:rFonts w:ascii="Times New Roman" w:hAnsi="Times New Roman" w:cs="Times New Roman"/>
          <w:b/>
          <w:sz w:val="20"/>
          <w:szCs w:val="20"/>
        </w:rPr>
        <w:t>ariations in Iron Concentration</w:t>
      </w:r>
      <w:r w:rsidR="0066675F" w:rsidRPr="00CE7561">
        <w:rPr>
          <w:rFonts w:ascii="Times New Roman" w:hAnsi="Times New Roman" w:cs="Times New Roman"/>
          <w:b/>
          <w:sz w:val="20"/>
          <w:szCs w:val="20"/>
        </w:rPr>
        <w:t xml:space="preserve"> in Borehole Water Samples in Enugu North LGA</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440"/>
        <w:gridCol w:w="1440"/>
        <w:gridCol w:w="1350"/>
        <w:gridCol w:w="1440"/>
        <w:gridCol w:w="1440"/>
        <w:gridCol w:w="1454"/>
      </w:tblGrid>
      <w:tr w:rsidR="0066675F" w:rsidRPr="00CE7561" w14:paraId="32DD8A2E" w14:textId="77777777" w:rsidTr="00DD34B4">
        <w:trPr>
          <w:trHeight w:val="280"/>
        </w:trPr>
        <w:tc>
          <w:tcPr>
            <w:tcW w:w="1075" w:type="dxa"/>
            <w:tcBorders>
              <w:top w:val="single" w:sz="4" w:space="0" w:color="auto"/>
              <w:bottom w:val="single" w:sz="4" w:space="0" w:color="auto"/>
            </w:tcBorders>
          </w:tcPr>
          <w:p w14:paraId="3EABFA59" w14:textId="77777777" w:rsidR="0066675F" w:rsidRPr="00CE7561" w:rsidRDefault="0066675F" w:rsidP="00F21467">
            <w:pPr>
              <w:pStyle w:val="Heading1"/>
              <w:shd w:val="clear" w:color="auto" w:fill="FFFFFF"/>
              <w:spacing w:before="0" w:beforeAutospacing="0" w:after="0" w:afterAutospacing="0"/>
              <w:jc w:val="both"/>
              <w:outlineLvl w:val="0"/>
              <w:rPr>
                <w:sz w:val="20"/>
                <w:szCs w:val="20"/>
              </w:rPr>
            </w:pPr>
            <w:r w:rsidRPr="00CE7561">
              <w:rPr>
                <w:sz w:val="20"/>
                <w:szCs w:val="20"/>
              </w:rPr>
              <w:lastRenderedPageBreak/>
              <w:t>Fe (mg/l)</w:t>
            </w:r>
          </w:p>
        </w:tc>
        <w:tc>
          <w:tcPr>
            <w:tcW w:w="4230" w:type="dxa"/>
            <w:gridSpan w:val="3"/>
            <w:tcBorders>
              <w:top w:val="single" w:sz="4" w:space="0" w:color="auto"/>
              <w:bottom w:val="single" w:sz="4" w:space="0" w:color="auto"/>
            </w:tcBorders>
          </w:tcPr>
          <w:p w14:paraId="66B00F5B"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334" w:type="dxa"/>
            <w:gridSpan w:val="3"/>
            <w:tcBorders>
              <w:top w:val="single" w:sz="4" w:space="0" w:color="auto"/>
              <w:bottom w:val="single" w:sz="4" w:space="0" w:color="auto"/>
            </w:tcBorders>
          </w:tcPr>
          <w:p w14:paraId="0B4A0CE6"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DD34B4" w:rsidRPr="00CE7561" w14:paraId="06B766E0" w14:textId="77777777" w:rsidTr="00DD34B4">
        <w:trPr>
          <w:trHeight w:val="197"/>
        </w:trPr>
        <w:tc>
          <w:tcPr>
            <w:tcW w:w="1075" w:type="dxa"/>
            <w:tcBorders>
              <w:top w:val="single" w:sz="4" w:space="0" w:color="auto"/>
              <w:bottom w:val="single" w:sz="4" w:space="0" w:color="auto"/>
            </w:tcBorders>
          </w:tcPr>
          <w:p w14:paraId="780ACA25" w14:textId="77777777" w:rsidR="0066675F" w:rsidRPr="00CE7561" w:rsidRDefault="0066675F" w:rsidP="00F21467">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40" w:type="dxa"/>
            <w:tcBorders>
              <w:top w:val="single" w:sz="4" w:space="0" w:color="auto"/>
              <w:bottom w:val="single" w:sz="4" w:space="0" w:color="auto"/>
            </w:tcBorders>
          </w:tcPr>
          <w:p w14:paraId="50F9D990"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440" w:type="dxa"/>
            <w:tcBorders>
              <w:top w:val="single" w:sz="4" w:space="0" w:color="auto"/>
              <w:bottom w:val="single" w:sz="4" w:space="0" w:color="auto"/>
            </w:tcBorders>
          </w:tcPr>
          <w:p w14:paraId="1C1C475A"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50" w:type="dxa"/>
            <w:tcBorders>
              <w:top w:val="single" w:sz="4" w:space="0" w:color="auto"/>
              <w:bottom w:val="single" w:sz="4" w:space="0" w:color="auto"/>
            </w:tcBorders>
          </w:tcPr>
          <w:p w14:paraId="03E9F99A"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40" w:type="dxa"/>
            <w:tcBorders>
              <w:top w:val="single" w:sz="4" w:space="0" w:color="auto"/>
              <w:bottom w:val="single" w:sz="4" w:space="0" w:color="auto"/>
            </w:tcBorders>
          </w:tcPr>
          <w:p w14:paraId="42193B5F"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440" w:type="dxa"/>
            <w:tcBorders>
              <w:top w:val="single" w:sz="4" w:space="0" w:color="auto"/>
              <w:bottom w:val="single" w:sz="4" w:space="0" w:color="auto"/>
            </w:tcBorders>
          </w:tcPr>
          <w:p w14:paraId="5D078EB7"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454" w:type="dxa"/>
            <w:tcBorders>
              <w:top w:val="single" w:sz="4" w:space="0" w:color="auto"/>
              <w:bottom w:val="single" w:sz="4" w:space="0" w:color="auto"/>
            </w:tcBorders>
          </w:tcPr>
          <w:p w14:paraId="05FAEF35" w14:textId="77777777" w:rsidR="0066675F" w:rsidRPr="00CE7561" w:rsidRDefault="0066675F" w:rsidP="00DD34B4">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DD34B4" w:rsidRPr="00CE7561" w14:paraId="3E164A69" w14:textId="77777777" w:rsidTr="00DD34B4">
        <w:tc>
          <w:tcPr>
            <w:tcW w:w="1075" w:type="dxa"/>
            <w:tcBorders>
              <w:top w:val="single" w:sz="4" w:space="0" w:color="auto"/>
              <w:bottom w:val="nil"/>
            </w:tcBorders>
          </w:tcPr>
          <w:p w14:paraId="44F24FB4"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40" w:type="dxa"/>
            <w:tcBorders>
              <w:top w:val="single" w:sz="4" w:space="0" w:color="auto"/>
              <w:bottom w:val="nil"/>
            </w:tcBorders>
          </w:tcPr>
          <w:p w14:paraId="1EE88C4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0.109±0.018</w:t>
            </w:r>
          </w:p>
        </w:tc>
        <w:tc>
          <w:tcPr>
            <w:tcW w:w="1440" w:type="dxa"/>
            <w:tcBorders>
              <w:top w:val="single" w:sz="4" w:space="0" w:color="auto"/>
              <w:bottom w:val="nil"/>
            </w:tcBorders>
          </w:tcPr>
          <w:p w14:paraId="5A5B2CA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0.094±0.018</w:t>
            </w:r>
          </w:p>
        </w:tc>
        <w:tc>
          <w:tcPr>
            <w:tcW w:w="1350" w:type="dxa"/>
            <w:tcBorders>
              <w:top w:val="single" w:sz="4" w:space="0" w:color="auto"/>
              <w:bottom w:val="nil"/>
            </w:tcBorders>
          </w:tcPr>
          <w:p w14:paraId="76CC015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0.074±0.018</w:t>
            </w:r>
          </w:p>
        </w:tc>
        <w:tc>
          <w:tcPr>
            <w:tcW w:w="1440" w:type="dxa"/>
            <w:tcBorders>
              <w:top w:val="single" w:sz="4" w:space="0" w:color="auto"/>
              <w:bottom w:val="nil"/>
            </w:tcBorders>
          </w:tcPr>
          <w:p w14:paraId="0B5C532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0.39±0.151</w:t>
            </w:r>
          </w:p>
        </w:tc>
        <w:tc>
          <w:tcPr>
            <w:tcW w:w="1440" w:type="dxa"/>
            <w:tcBorders>
              <w:top w:val="single" w:sz="4" w:space="0" w:color="auto"/>
              <w:bottom w:val="nil"/>
            </w:tcBorders>
          </w:tcPr>
          <w:p w14:paraId="6FEFC6D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0.127±0.151</w:t>
            </w:r>
          </w:p>
        </w:tc>
        <w:tc>
          <w:tcPr>
            <w:tcW w:w="1454" w:type="dxa"/>
            <w:tcBorders>
              <w:top w:val="single" w:sz="4" w:space="0" w:color="auto"/>
              <w:bottom w:val="nil"/>
            </w:tcBorders>
          </w:tcPr>
          <w:p w14:paraId="5CAB98E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0.129±0.151</w:t>
            </w:r>
          </w:p>
        </w:tc>
      </w:tr>
      <w:tr w:rsidR="00DD34B4" w:rsidRPr="00CE7561" w14:paraId="13CEFF0F" w14:textId="77777777" w:rsidTr="00DD34B4">
        <w:tc>
          <w:tcPr>
            <w:tcW w:w="1075" w:type="dxa"/>
            <w:tcBorders>
              <w:top w:val="nil"/>
            </w:tcBorders>
          </w:tcPr>
          <w:p w14:paraId="78316C37"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40" w:type="dxa"/>
            <w:tcBorders>
              <w:top w:val="nil"/>
            </w:tcBorders>
          </w:tcPr>
          <w:p w14:paraId="1B11848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0.078±0.032</w:t>
            </w:r>
          </w:p>
        </w:tc>
        <w:tc>
          <w:tcPr>
            <w:tcW w:w="1440" w:type="dxa"/>
            <w:tcBorders>
              <w:top w:val="nil"/>
            </w:tcBorders>
          </w:tcPr>
          <w:p w14:paraId="0A15DCF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0.112±0.032</w:t>
            </w:r>
          </w:p>
        </w:tc>
        <w:tc>
          <w:tcPr>
            <w:tcW w:w="1350" w:type="dxa"/>
            <w:tcBorders>
              <w:top w:val="nil"/>
            </w:tcBorders>
          </w:tcPr>
          <w:p w14:paraId="03CB239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0.142±0.032</w:t>
            </w:r>
          </w:p>
        </w:tc>
        <w:tc>
          <w:tcPr>
            <w:tcW w:w="1440" w:type="dxa"/>
            <w:tcBorders>
              <w:top w:val="nil"/>
            </w:tcBorders>
          </w:tcPr>
          <w:p w14:paraId="231FFC6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0.18±0.046</w:t>
            </w:r>
          </w:p>
        </w:tc>
        <w:tc>
          <w:tcPr>
            <w:tcW w:w="1440" w:type="dxa"/>
            <w:tcBorders>
              <w:top w:val="nil"/>
            </w:tcBorders>
          </w:tcPr>
          <w:p w14:paraId="1D22613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0.144±0.046</w:t>
            </w:r>
          </w:p>
        </w:tc>
        <w:tc>
          <w:tcPr>
            <w:tcW w:w="1454" w:type="dxa"/>
            <w:tcBorders>
              <w:top w:val="nil"/>
            </w:tcBorders>
          </w:tcPr>
          <w:p w14:paraId="4AF77EF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0.088±0.046</w:t>
            </w:r>
          </w:p>
        </w:tc>
      </w:tr>
      <w:tr w:rsidR="00DD34B4" w:rsidRPr="00CE7561" w14:paraId="6A1F5B49" w14:textId="77777777" w:rsidTr="00DD34B4">
        <w:tc>
          <w:tcPr>
            <w:tcW w:w="1075" w:type="dxa"/>
          </w:tcPr>
          <w:p w14:paraId="071BABCF"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40" w:type="dxa"/>
          </w:tcPr>
          <w:p w14:paraId="4B9AD10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0.045±0.044</w:t>
            </w:r>
          </w:p>
        </w:tc>
        <w:tc>
          <w:tcPr>
            <w:tcW w:w="1440" w:type="dxa"/>
          </w:tcPr>
          <w:p w14:paraId="0D51050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0.089±0.044</w:t>
            </w:r>
          </w:p>
        </w:tc>
        <w:tc>
          <w:tcPr>
            <w:tcW w:w="1350" w:type="dxa"/>
          </w:tcPr>
          <w:p w14:paraId="783ACC6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0.133±0.044</w:t>
            </w:r>
          </w:p>
        </w:tc>
        <w:tc>
          <w:tcPr>
            <w:tcW w:w="1440" w:type="dxa"/>
          </w:tcPr>
          <w:p w14:paraId="02C1B7F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0.13±0.013</w:t>
            </w:r>
          </w:p>
        </w:tc>
        <w:tc>
          <w:tcPr>
            <w:tcW w:w="1440" w:type="dxa"/>
          </w:tcPr>
          <w:p w14:paraId="5CBA1E2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0.135±0.013</w:t>
            </w:r>
          </w:p>
        </w:tc>
        <w:tc>
          <w:tcPr>
            <w:tcW w:w="1454" w:type="dxa"/>
          </w:tcPr>
          <w:p w14:paraId="6B24495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0.155±0.013</w:t>
            </w:r>
          </w:p>
        </w:tc>
      </w:tr>
      <w:tr w:rsidR="00DD34B4" w:rsidRPr="00CE7561" w14:paraId="610BAA9F" w14:textId="77777777" w:rsidTr="00DD34B4">
        <w:tc>
          <w:tcPr>
            <w:tcW w:w="1075" w:type="dxa"/>
          </w:tcPr>
          <w:p w14:paraId="4FFDEBF1"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440" w:type="dxa"/>
          </w:tcPr>
          <w:p w14:paraId="5B51500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0.941±0.436</w:t>
            </w:r>
          </w:p>
        </w:tc>
        <w:tc>
          <w:tcPr>
            <w:tcW w:w="1440" w:type="dxa"/>
          </w:tcPr>
          <w:p w14:paraId="5977B6F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0.305±0.436</w:t>
            </w:r>
          </w:p>
        </w:tc>
        <w:tc>
          <w:tcPr>
            <w:tcW w:w="1350" w:type="dxa"/>
          </w:tcPr>
          <w:p w14:paraId="60B40CA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0.106±0.436</w:t>
            </w:r>
          </w:p>
        </w:tc>
        <w:tc>
          <w:tcPr>
            <w:tcW w:w="1440" w:type="dxa"/>
          </w:tcPr>
          <w:p w14:paraId="76576A5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0.29±0.077</w:t>
            </w:r>
          </w:p>
        </w:tc>
        <w:tc>
          <w:tcPr>
            <w:tcW w:w="1440" w:type="dxa"/>
          </w:tcPr>
          <w:p w14:paraId="12968FF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0.138±0.077</w:t>
            </w:r>
          </w:p>
        </w:tc>
        <w:tc>
          <w:tcPr>
            <w:tcW w:w="1454" w:type="dxa"/>
          </w:tcPr>
          <w:p w14:paraId="351E28B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0.197±0.077</w:t>
            </w:r>
          </w:p>
        </w:tc>
      </w:tr>
      <w:tr w:rsidR="00DD34B4" w:rsidRPr="00CE7561" w14:paraId="7795CB73" w14:textId="77777777" w:rsidTr="00DD34B4">
        <w:tc>
          <w:tcPr>
            <w:tcW w:w="1075" w:type="dxa"/>
          </w:tcPr>
          <w:p w14:paraId="179D88EE"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40" w:type="dxa"/>
          </w:tcPr>
          <w:p w14:paraId="119ACCE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0.417±0.218</w:t>
            </w:r>
          </w:p>
        </w:tc>
        <w:tc>
          <w:tcPr>
            <w:tcW w:w="1440" w:type="dxa"/>
          </w:tcPr>
          <w:p w14:paraId="7AB3ADD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0.024±0.218</w:t>
            </w:r>
          </w:p>
        </w:tc>
        <w:tc>
          <w:tcPr>
            <w:tcW w:w="1350" w:type="dxa"/>
          </w:tcPr>
          <w:p w14:paraId="5A209E2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0.056±0.218</w:t>
            </w:r>
          </w:p>
        </w:tc>
        <w:tc>
          <w:tcPr>
            <w:tcW w:w="1440" w:type="dxa"/>
          </w:tcPr>
          <w:p w14:paraId="305FBC4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0.281±0.081</w:t>
            </w:r>
          </w:p>
        </w:tc>
        <w:tc>
          <w:tcPr>
            <w:tcW w:w="1440" w:type="dxa"/>
          </w:tcPr>
          <w:p w14:paraId="63C774B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0.164±0.081</w:t>
            </w:r>
          </w:p>
        </w:tc>
        <w:tc>
          <w:tcPr>
            <w:tcW w:w="1454" w:type="dxa"/>
          </w:tcPr>
          <w:p w14:paraId="75D4964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0.126±0.081</w:t>
            </w:r>
          </w:p>
        </w:tc>
      </w:tr>
      <w:tr w:rsidR="00DD34B4" w:rsidRPr="00CE7561" w14:paraId="12C04576" w14:textId="77777777" w:rsidTr="00DD34B4">
        <w:tc>
          <w:tcPr>
            <w:tcW w:w="1075" w:type="dxa"/>
          </w:tcPr>
          <w:p w14:paraId="48AAFAAE"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40" w:type="dxa"/>
          </w:tcPr>
          <w:p w14:paraId="625FC17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0.049±0.05</w:t>
            </w:r>
          </w:p>
        </w:tc>
        <w:tc>
          <w:tcPr>
            <w:tcW w:w="1440" w:type="dxa"/>
          </w:tcPr>
          <w:p w14:paraId="0E8D234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0.101±0.05</w:t>
            </w:r>
          </w:p>
        </w:tc>
        <w:tc>
          <w:tcPr>
            <w:tcW w:w="1350" w:type="dxa"/>
          </w:tcPr>
          <w:p w14:paraId="578E639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0.149±0.05</w:t>
            </w:r>
          </w:p>
        </w:tc>
        <w:tc>
          <w:tcPr>
            <w:tcW w:w="1440" w:type="dxa"/>
          </w:tcPr>
          <w:p w14:paraId="0C8F255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0.156±0.039</w:t>
            </w:r>
          </w:p>
        </w:tc>
        <w:tc>
          <w:tcPr>
            <w:tcW w:w="1440" w:type="dxa"/>
          </w:tcPr>
          <w:p w14:paraId="6A986F1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0.106±0.039</w:t>
            </w:r>
          </w:p>
        </w:tc>
        <w:tc>
          <w:tcPr>
            <w:tcW w:w="1454" w:type="dxa"/>
          </w:tcPr>
          <w:p w14:paraId="74EBBD0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0.08±0.039</w:t>
            </w:r>
          </w:p>
        </w:tc>
      </w:tr>
      <w:tr w:rsidR="00DD34B4" w:rsidRPr="00CE7561" w14:paraId="1D6D96B5" w14:textId="77777777" w:rsidTr="00DD34B4">
        <w:tc>
          <w:tcPr>
            <w:tcW w:w="1075" w:type="dxa"/>
          </w:tcPr>
          <w:p w14:paraId="75357A15"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40" w:type="dxa"/>
          </w:tcPr>
          <w:p w14:paraId="1F997D0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1.156±0.626</w:t>
            </w:r>
          </w:p>
        </w:tc>
        <w:tc>
          <w:tcPr>
            <w:tcW w:w="1440" w:type="dxa"/>
          </w:tcPr>
          <w:p w14:paraId="5E5D4F20"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0.004±0.626</w:t>
            </w:r>
          </w:p>
        </w:tc>
        <w:tc>
          <w:tcPr>
            <w:tcW w:w="1350" w:type="dxa"/>
          </w:tcPr>
          <w:p w14:paraId="3CB16E9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0.154±0.626</w:t>
            </w:r>
          </w:p>
        </w:tc>
        <w:tc>
          <w:tcPr>
            <w:tcW w:w="1440" w:type="dxa"/>
          </w:tcPr>
          <w:p w14:paraId="7DEB98B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0.12±0.026</w:t>
            </w:r>
          </w:p>
        </w:tc>
        <w:tc>
          <w:tcPr>
            <w:tcW w:w="1440" w:type="dxa"/>
          </w:tcPr>
          <w:p w14:paraId="524FE30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0.068±0.026</w:t>
            </w:r>
          </w:p>
        </w:tc>
        <w:tc>
          <w:tcPr>
            <w:tcW w:w="1454" w:type="dxa"/>
          </w:tcPr>
          <w:p w14:paraId="5DC659B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0.1±0.026</w:t>
            </w:r>
          </w:p>
        </w:tc>
      </w:tr>
      <w:tr w:rsidR="00DD34B4" w:rsidRPr="00CE7561" w14:paraId="37A5A89A" w14:textId="77777777" w:rsidTr="00DD34B4">
        <w:tc>
          <w:tcPr>
            <w:tcW w:w="1075" w:type="dxa"/>
          </w:tcPr>
          <w:p w14:paraId="103B5893"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40" w:type="dxa"/>
          </w:tcPr>
          <w:p w14:paraId="4FC1C96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0.06±0.071</w:t>
            </w:r>
          </w:p>
        </w:tc>
        <w:tc>
          <w:tcPr>
            <w:tcW w:w="1440" w:type="dxa"/>
          </w:tcPr>
          <w:p w14:paraId="58596C7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0.146±0.071</w:t>
            </w:r>
          </w:p>
        </w:tc>
        <w:tc>
          <w:tcPr>
            <w:tcW w:w="1350" w:type="dxa"/>
          </w:tcPr>
          <w:p w14:paraId="79A39D9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0.201±0.071</w:t>
            </w:r>
          </w:p>
        </w:tc>
        <w:tc>
          <w:tcPr>
            <w:tcW w:w="1440" w:type="dxa"/>
          </w:tcPr>
          <w:p w14:paraId="14E2CF0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0.13±0.012</w:t>
            </w:r>
          </w:p>
        </w:tc>
        <w:tc>
          <w:tcPr>
            <w:tcW w:w="1440" w:type="dxa"/>
          </w:tcPr>
          <w:p w14:paraId="5C2D1988"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0.141±0.012</w:t>
            </w:r>
          </w:p>
        </w:tc>
        <w:tc>
          <w:tcPr>
            <w:tcW w:w="1454" w:type="dxa"/>
          </w:tcPr>
          <w:p w14:paraId="4939560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0.154±0.012</w:t>
            </w:r>
          </w:p>
        </w:tc>
      </w:tr>
      <w:tr w:rsidR="00DD34B4" w:rsidRPr="00CE7561" w14:paraId="68D16C0B" w14:textId="77777777" w:rsidTr="00DD34B4">
        <w:tc>
          <w:tcPr>
            <w:tcW w:w="1075" w:type="dxa"/>
          </w:tcPr>
          <w:p w14:paraId="6941EAEB"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40" w:type="dxa"/>
          </w:tcPr>
          <w:p w14:paraId="20DE2472"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1.374±0.643</w:t>
            </w:r>
          </w:p>
        </w:tc>
        <w:tc>
          <w:tcPr>
            <w:tcW w:w="1440" w:type="dxa"/>
          </w:tcPr>
          <w:p w14:paraId="0528F28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0.52±0.643</w:t>
            </w:r>
          </w:p>
        </w:tc>
        <w:tc>
          <w:tcPr>
            <w:tcW w:w="1350" w:type="dxa"/>
          </w:tcPr>
          <w:p w14:paraId="0EEDA32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0.115±0.643</w:t>
            </w:r>
          </w:p>
        </w:tc>
        <w:tc>
          <w:tcPr>
            <w:tcW w:w="1440" w:type="dxa"/>
          </w:tcPr>
          <w:p w14:paraId="4D97DA4A"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0.113±0.054</w:t>
            </w:r>
          </w:p>
        </w:tc>
        <w:tc>
          <w:tcPr>
            <w:tcW w:w="1440" w:type="dxa"/>
          </w:tcPr>
          <w:p w14:paraId="559E36A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0.119±0.054</w:t>
            </w:r>
          </w:p>
        </w:tc>
        <w:tc>
          <w:tcPr>
            <w:tcW w:w="1454" w:type="dxa"/>
          </w:tcPr>
          <w:p w14:paraId="31A3827B"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0.21±0.054</w:t>
            </w:r>
          </w:p>
        </w:tc>
      </w:tr>
      <w:tr w:rsidR="00DD34B4" w:rsidRPr="00CE7561" w14:paraId="2DA79F5A" w14:textId="77777777" w:rsidTr="00DD34B4">
        <w:tc>
          <w:tcPr>
            <w:tcW w:w="1075" w:type="dxa"/>
          </w:tcPr>
          <w:p w14:paraId="452AC726"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40" w:type="dxa"/>
          </w:tcPr>
          <w:p w14:paraId="1526DEE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1.077±0.545</w:t>
            </w:r>
          </w:p>
        </w:tc>
        <w:tc>
          <w:tcPr>
            <w:tcW w:w="1440" w:type="dxa"/>
          </w:tcPr>
          <w:p w14:paraId="0F417B64"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0.07±0.545</w:t>
            </w:r>
          </w:p>
        </w:tc>
        <w:tc>
          <w:tcPr>
            <w:tcW w:w="1350" w:type="dxa"/>
          </w:tcPr>
          <w:p w14:paraId="5E27656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0.21±0.545</w:t>
            </w:r>
          </w:p>
        </w:tc>
        <w:tc>
          <w:tcPr>
            <w:tcW w:w="1440" w:type="dxa"/>
          </w:tcPr>
          <w:p w14:paraId="2869CB2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0.147±0.06</w:t>
            </w:r>
          </w:p>
        </w:tc>
        <w:tc>
          <w:tcPr>
            <w:tcW w:w="1440" w:type="dxa"/>
          </w:tcPr>
          <w:p w14:paraId="7DA278FE"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0.111±0.06</w:t>
            </w:r>
          </w:p>
        </w:tc>
        <w:tc>
          <w:tcPr>
            <w:tcW w:w="1454" w:type="dxa"/>
          </w:tcPr>
          <w:p w14:paraId="5D089777"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0.029±0.06</w:t>
            </w:r>
          </w:p>
        </w:tc>
      </w:tr>
      <w:tr w:rsidR="00DD34B4" w:rsidRPr="00CE7561" w14:paraId="39850888" w14:textId="77777777" w:rsidTr="00DD34B4">
        <w:tc>
          <w:tcPr>
            <w:tcW w:w="1075" w:type="dxa"/>
          </w:tcPr>
          <w:p w14:paraId="1299017C"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40" w:type="dxa"/>
          </w:tcPr>
          <w:p w14:paraId="12DAB7F5"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0.701±0.339</w:t>
            </w:r>
          </w:p>
        </w:tc>
        <w:tc>
          <w:tcPr>
            <w:tcW w:w="1440" w:type="dxa"/>
          </w:tcPr>
          <w:p w14:paraId="6BCFF789"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0.298±0.339</w:t>
            </w:r>
          </w:p>
        </w:tc>
        <w:tc>
          <w:tcPr>
            <w:tcW w:w="1350" w:type="dxa"/>
          </w:tcPr>
          <w:p w14:paraId="2458323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0.028±0.339</w:t>
            </w:r>
          </w:p>
        </w:tc>
        <w:tc>
          <w:tcPr>
            <w:tcW w:w="1440" w:type="dxa"/>
          </w:tcPr>
          <w:p w14:paraId="668A392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0.211±0.037</w:t>
            </w:r>
          </w:p>
        </w:tc>
        <w:tc>
          <w:tcPr>
            <w:tcW w:w="1440" w:type="dxa"/>
          </w:tcPr>
          <w:p w14:paraId="5FC02FBD"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0.15±0.037</w:t>
            </w:r>
          </w:p>
        </w:tc>
        <w:tc>
          <w:tcPr>
            <w:tcW w:w="1454" w:type="dxa"/>
          </w:tcPr>
          <w:p w14:paraId="6AF44EE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0.216±0.037</w:t>
            </w:r>
          </w:p>
        </w:tc>
      </w:tr>
      <w:tr w:rsidR="00DD34B4" w:rsidRPr="00CE7561" w14:paraId="2273E01D" w14:textId="77777777" w:rsidTr="00DD34B4">
        <w:tc>
          <w:tcPr>
            <w:tcW w:w="1075" w:type="dxa"/>
          </w:tcPr>
          <w:p w14:paraId="3FA51DDA" w14:textId="77777777" w:rsidR="0066675F" w:rsidRPr="00CE7561" w:rsidRDefault="0066675F" w:rsidP="00F21467">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40" w:type="dxa"/>
          </w:tcPr>
          <w:p w14:paraId="3C7702DF"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0.012±0.018</w:t>
            </w:r>
          </w:p>
        </w:tc>
        <w:tc>
          <w:tcPr>
            <w:tcW w:w="1440" w:type="dxa"/>
          </w:tcPr>
          <w:p w14:paraId="3CB5F436"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0.026±0.018</w:t>
            </w:r>
          </w:p>
        </w:tc>
        <w:tc>
          <w:tcPr>
            <w:tcW w:w="1350" w:type="dxa"/>
          </w:tcPr>
          <w:p w14:paraId="2B66953C"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0.047±0.018</w:t>
            </w:r>
          </w:p>
        </w:tc>
        <w:tc>
          <w:tcPr>
            <w:tcW w:w="1440" w:type="dxa"/>
          </w:tcPr>
          <w:p w14:paraId="1977DB9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0.258±0.065</w:t>
            </w:r>
          </w:p>
        </w:tc>
        <w:tc>
          <w:tcPr>
            <w:tcW w:w="1440" w:type="dxa"/>
          </w:tcPr>
          <w:p w14:paraId="262F0911"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0.13±0.065</w:t>
            </w:r>
          </w:p>
        </w:tc>
        <w:tc>
          <w:tcPr>
            <w:tcW w:w="1454" w:type="dxa"/>
          </w:tcPr>
          <w:p w14:paraId="757B9E46" w14:textId="77777777" w:rsidR="0066675F" w:rsidRPr="00CE7561" w:rsidRDefault="0066675F" w:rsidP="00DD34B4">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0.18±0.065</w:t>
            </w:r>
          </w:p>
        </w:tc>
      </w:tr>
    </w:tbl>
    <w:p w14:paraId="5269759A" w14:textId="77777777" w:rsidR="0066675F" w:rsidRDefault="0066675F" w:rsidP="00F21467">
      <w:pPr>
        <w:spacing w:after="120" w:line="276" w:lineRule="auto"/>
        <w:jc w:val="both"/>
        <w:rPr>
          <w:rFonts w:ascii="Times New Roman" w:hAnsi="Times New Roman" w:cs="Times New Roman"/>
          <w:sz w:val="20"/>
          <w:szCs w:val="20"/>
        </w:rPr>
      </w:pPr>
    </w:p>
    <w:p w14:paraId="3D916704" w14:textId="23168DC1" w:rsidR="00536F3F" w:rsidRPr="00CE7561" w:rsidRDefault="00536F3F" w:rsidP="00F21467">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The t-value of 1.5989 in Table 4, with a mean difference of 0.100556 mg/L between the wet and dry seasons, indicates a higher average concentration during the w</w:t>
      </w:r>
      <w:r>
        <w:rPr>
          <w:rFonts w:ascii="Times New Roman" w:hAnsi="Times New Roman" w:cs="Times New Roman"/>
          <w:sz w:val="20"/>
          <w:szCs w:val="20"/>
        </w:rPr>
        <w:t>et season. The p-value of 0.14</w:t>
      </w:r>
      <w:r w:rsidRPr="00CE7561">
        <w:rPr>
          <w:rFonts w:ascii="Times New Roman" w:hAnsi="Times New Roman" w:cs="Times New Roman"/>
          <w:sz w:val="20"/>
          <w:szCs w:val="20"/>
        </w:rPr>
        <w:t xml:space="preserve"> exceeds the standard threshold of 0.05, implying that the difference in iron concentrations between the wet and dry seasons is not statistically significant.</w:t>
      </w:r>
    </w:p>
    <w:p w14:paraId="32D17036" w14:textId="77777777" w:rsidR="0066675F" w:rsidRPr="00CE7561" w:rsidRDefault="00C62485" w:rsidP="00F2146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4.</w:t>
      </w:r>
      <w:r w:rsidR="0066675F" w:rsidRPr="00CE7561">
        <w:rPr>
          <w:rFonts w:ascii="Times New Roman" w:hAnsi="Times New Roman" w:cs="Times New Roman"/>
          <w:sz w:val="20"/>
          <w:szCs w:val="20"/>
        </w:rPr>
        <w:t xml:space="preserve"> </w:t>
      </w:r>
      <w:r w:rsidR="0066675F" w:rsidRPr="00CE7561">
        <w:rPr>
          <w:rFonts w:ascii="Times New Roman" w:hAnsi="Times New Roman" w:cs="Times New Roman"/>
          <w:b/>
          <w:sz w:val="20"/>
          <w:szCs w:val="20"/>
        </w:rPr>
        <w:t>Paired sample t-test Results Comparing Iron Concentration in Borehole Water between Wet and Dry Seasons</w:t>
      </w:r>
    </w:p>
    <w:tbl>
      <w:tblPr>
        <w:tblStyle w:val="TableGrid"/>
        <w:tblW w:w="9373" w:type="dxa"/>
        <w:tblBorders>
          <w:left w:val="none" w:sz="0" w:space="0" w:color="auto"/>
          <w:right w:val="none" w:sz="0" w:space="0" w:color="auto"/>
        </w:tblBorders>
        <w:tblLook w:val="04A0" w:firstRow="1" w:lastRow="0" w:firstColumn="1" w:lastColumn="0" w:noHBand="0" w:noVBand="1"/>
      </w:tblPr>
      <w:tblGrid>
        <w:gridCol w:w="1209"/>
        <w:gridCol w:w="1894"/>
        <w:gridCol w:w="2530"/>
        <w:gridCol w:w="2022"/>
        <w:gridCol w:w="1718"/>
      </w:tblGrid>
      <w:tr w:rsidR="0066675F" w:rsidRPr="00CE7561" w14:paraId="6BD01875" w14:textId="77777777" w:rsidTr="00E64B06">
        <w:trPr>
          <w:trHeight w:val="280"/>
        </w:trPr>
        <w:tc>
          <w:tcPr>
            <w:tcW w:w="1209" w:type="dxa"/>
            <w:vMerge w:val="restart"/>
          </w:tcPr>
          <w:p w14:paraId="27CA843C"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94" w:type="dxa"/>
            <w:vMerge w:val="restart"/>
          </w:tcPr>
          <w:p w14:paraId="1F3FC99D"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52" w:type="dxa"/>
            <w:gridSpan w:val="2"/>
          </w:tcPr>
          <w:p w14:paraId="6D266160"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8" w:type="dxa"/>
            <w:vMerge w:val="restart"/>
          </w:tcPr>
          <w:p w14:paraId="74729BCE"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66675F" w:rsidRPr="00CE7561" w14:paraId="13709504" w14:textId="77777777" w:rsidTr="00E64B06">
        <w:trPr>
          <w:trHeight w:val="143"/>
        </w:trPr>
        <w:tc>
          <w:tcPr>
            <w:tcW w:w="1209" w:type="dxa"/>
            <w:vMerge/>
          </w:tcPr>
          <w:p w14:paraId="29472CA1" w14:textId="77777777" w:rsidR="0066675F" w:rsidRPr="00CE7561" w:rsidRDefault="0066675F" w:rsidP="00E64B06">
            <w:pPr>
              <w:jc w:val="both"/>
              <w:rPr>
                <w:rFonts w:ascii="Times New Roman" w:hAnsi="Times New Roman" w:cs="Times New Roman"/>
                <w:sz w:val="20"/>
                <w:szCs w:val="20"/>
              </w:rPr>
            </w:pPr>
          </w:p>
        </w:tc>
        <w:tc>
          <w:tcPr>
            <w:tcW w:w="1894" w:type="dxa"/>
            <w:vMerge/>
          </w:tcPr>
          <w:p w14:paraId="2A87D429" w14:textId="77777777" w:rsidR="0066675F" w:rsidRPr="00CE7561" w:rsidRDefault="0066675F" w:rsidP="00E64B06">
            <w:pPr>
              <w:jc w:val="both"/>
              <w:rPr>
                <w:rFonts w:ascii="Times New Roman" w:hAnsi="Times New Roman" w:cs="Times New Roman"/>
                <w:sz w:val="20"/>
                <w:szCs w:val="20"/>
              </w:rPr>
            </w:pPr>
          </w:p>
        </w:tc>
        <w:tc>
          <w:tcPr>
            <w:tcW w:w="2530" w:type="dxa"/>
          </w:tcPr>
          <w:p w14:paraId="37E30129"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1" w:type="dxa"/>
          </w:tcPr>
          <w:p w14:paraId="1AB05AB0"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8" w:type="dxa"/>
            <w:vMerge/>
          </w:tcPr>
          <w:p w14:paraId="7A93CEC7" w14:textId="77777777" w:rsidR="0066675F" w:rsidRPr="00CE7561" w:rsidRDefault="0066675F" w:rsidP="00E64B06">
            <w:pPr>
              <w:jc w:val="both"/>
              <w:rPr>
                <w:rFonts w:ascii="Times New Roman" w:hAnsi="Times New Roman" w:cs="Times New Roman"/>
                <w:sz w:val="20"/>
                <w:szCs w:val="20"/>
              </w:rPr>
            </w:pPr>
          </w:p>
        </w:tc>
      </w:tr>
      <w:tr w:rsidR="0066675F" w:rsidRPr="00CE7561" w14:paraId="0E4F314A" w14:textId="77777777" w:rsidTr="00E64B06">
        <w:trPr>
          <w:trHeight w:val="139"/>
        </w:trPr>
        <w:tc>
          <w:tcPr>
            <w:tcW w:w="1209" w:type="dxa"/>
          </w:tcPr>
          <w:p w14:paraId="61118382"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1.5989</w:t>
            </w:r>
          </w:p>
        </w:tc>
        <w:tc>
          <w:tcPr>
            <w:tcW w:w="1894" w:type="dxa"/>
          </w:tcPr>
          <w:p w14:paraId="77EEEFE2"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0.100556</w:t>
            </w:r>
          </w:p>
        </w:tc>
        <w:tc>
          <w:tcPr>
            <w:tcW w:w="2530" w:type="dxa"/>
          </w:tcPr>
          <w:p w14:paraId="2475B341"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-0.0378681</w:t>
            </w:r>
          </w:p>
        </w:tc>
        <w:tc>
          <w:tcPr>
            <w:tcW w:w="2021" w:type="dxa"/>
          </w:tcPr>
          <w:p w14:paraId="526A8BB8"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0.238979</w:t>
            </w:r>
          </w:p>
        </w:tc>
        <w:tc>
          <w:tcPr>
            <w:tcW w:w="1718" w:type="dxa"/>
          </w:tcPr>
          <w:p w14:paraId="5C7EFA24" w14:textId="77777777" w:rsidR="0066675F" w:rsidRPr="00CE7561" w:rsidRDefault="0066675F" w:rsidP="00E64B06">
            <w:pPr>
              <w:jc w:val="both"/>
              <w:rPr>
                <w:rFonts w:ascii="Times New Roman" w:hAnsi="Times New Roman" w:cs="Times New Roman"/>
                <w:sz w:val="20"/>
                <w:szCs w:val="20"/>
              </w:rPr>
            </w:pPr>
            <w:r w:rsidRPr="00CE7561">
              <w:rPr>
                <w:rFonts w:ascii="Times New Roman" w:hAnsi="Times New Roman" w:cs="Times New Roman"/>
                <w:sz w:val="20"/>
                <w:szCs w:val="20"/>
              </w:rPr>
              <w:t>0.1382</w:t>
            </w:r>
          </w:p>
        </w:tc>
      </w:tr>
    </w:tbl>
    <w:p w14:paraId="0F22A12D" w14:textId="77777777" w:rsidR="0066675F" w:rsidRPr="00CE7561" w:rsidRDefault="0066675F" w:rsidP="0066675F">
      <w:pPr>
        <w:spacing w:after="0" w:line="480" w:lineRule="auto"/>
        <w:jc w:val="both"/>
        <w:rPr>
          <w:rFonts w:ascii="Times New Roman" w:hAnsi="Times New Roman" w:cs="Times New Roman"/>
          <w:sz w:val="20"/>
          <w:szCs w:val="20"/>
        </w:rPr>
      </w:pPr>
    </w:p>
    <w:p w14:paraId="04461A26" w14:textId="77777777" w:rsidR="0066675F" w:rsidRPr="00CE7561" w:rsidRDefault="0066675F" w:rsidP="00105111">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77EF76A8" wp14:editId="38A80684">
            <wp:extent cx="3889688" cy="253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1309" cy="2534706"/>
                    </a:xfrm>
                    <a:prstGeom prst="rect">
                      <a:avLst/>
                    </a:prstGeom>
                    <a:noFill/>
                    <a:ln>
                      <a:noFill/>
                    </a:ln>
                  </pic:spPr>
                </pic:pic>
              </a:graphicData>
            </a:graphic>
          </wp:inline>
        </w:drawing>
      </w:r>
    </w:p>
    <w:p w14:paraId="1065E1EC" w14:textId="77777777" w:rsidR="0066675F" w:rsidRPr="00CE7561" w:rsidRDefault="00277BEA" w:rsidP="00105111">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2.</w:t>
      </w:r>
      <w:r w:rsidR="0066675F" w:rsidRPr="00CE7561">
        <w:rPr>
          <w:rFonts w:ascii="Times New Roman" w:hAnsi="Times New Roman" w:cs="Times New Roman"/>
          <w:b/>
          <w:sz w:val="20"/>
          <w:szCs w:val="20"/>
        </w:rPr>
        <w:t xml:space="preserve"> Iron Concentrations in Borehole Water Samples in Enugu North LGA</w:t>
      </w:r>
    </w:p>
    <w:p w14:paraId="2F98E477" w14:textId="77777777" w:rsidR="00105111" w:rsidRPr="00CE7561" w:rsidRDefault="00105111" w:rsidP="00153FF2">
      <w:pPr>
        <w:spacing w:after="0" w:line="276" w:lineRule="auto"/>
        <w:jc w:val="both"/>
        <w:rPr>
          <w:rFonts w:ascii="Times New Roman" w:hAnsi="Times New Roman" w:cs="Times New Roman"/>
          <w:sz w:val="20"/>
          <w:szCs w:val="20"/>
        </w:rPr>
      </w:pPr>
    </w:p>
    <w:p w14:paraId="0802A9C9" w14:textId="329DA270" w:rsidR="007B76D1" w:rsidRPr="007B76D1" w:rsidRDefault="007B76D1" w:rsidP="007B76D1">
      <w:pPr>
        <w:spacing w:after="120" w:line="276" w:lineRule="auto"/>
        <w:jc w:val="both"/>
        <w:rPr>
          <w:rFonts w:ascii="Times New Roman" w:eastAsia="Times New Roman" w:hAnsi="Times New Roman" w:cs="Times New Roman"/>
          <w:sz w:val="20"/>
          <w:szCs w:val="20"/>
        </w:rPr>
      </w:pPr>
      <w:r w:rsidRPr="00836462">
        <w:rPr>
          <w:rFonts w:ascii="Times New Roman" w:hAnsi="Times New Roman" w:cs="Times New Roman"/>
          <w:sz w:val="20"/>
          <w:szCs w:val="20"/>
        </w:rPr>
        <w:t xml:space="preserve">The results presented in </w:t>
      </w:r>
      <w:r w:rsidRPr="00836462">
        <w:rPr>
          <w:rStyle w:val="Strong"/>
          <w:rFonts w:ascii="Times New Roman" w:hAnsi="Times New Roman" w:cs="Times New Roman"/>
          <w:b w:val="0"/>
          <w:sz w:val="20"/>
          <w:szCs w:val="20"/>
        </w:rPr>
        <w:t>Table 5</w:t>
      </w:r>
      <w:r w:rsidRPr="00836462">
        <w:rPr>
          <w:rFonts w:ascii="Times New Roman" w:hAnsi="Times New Roman" w:cs="Times New Roman"/>
          <w:sz w:val="20"/>
          <w:szCs w:val="20"/>
        </w:rPr>
        <w:t xml:space="preserve"> and visualized in Figure 3 provide a detailed examination of seasonal variations in zinc (Zn) concentration in borehole water samples from Enugu North LGA. </w:t>
      </w:r>
      <w:r w:rsidRPr="00836462">
        <w:rPr>
          <w:rFonts w:ascii="Times New Roman" w:eastAsia="Times New Roman" w:hAnsi="Times New Roman" w:cs="Times New Roman"/>
          <w:sz w:val="20"/>
          <w:szCs w:val="20"/>
        </w:rPr>
        <w:t xml:space="preserve">In the </w:t>
      </w:r>
      <w:r w:rsidRPr="00836462">
        <w:rPr>
          <w:rFonts w:ascii="Times New Roman" w:eastAsia="Times New Roman" w:hAnsi="Times New Roman" w:cs="Times New Roman"/>
          <w:bCs/>
          <w:sz w:val="20"/>
          <w:szCs w:val="20"/>
        </w:rPr>
        <w:t>wet season</w:t>
      </w:r>
      <w:r w:rsidRPr="00836462">
        <w:rPr>
          <w:rFonts w:ascii="Times New Roman" w:eastAsia="Times New Roman" w:hAnsi="Times New Roman" w:cs="Times New Roman"/>
          <w:sz w:val="20"/>
          <w:szCs w:val="20"/>
        </w:rPr>
        <w:t>, zinc concentrations varied across the samples, with some samples showing higher concentrations, such as sample 1, which had 1.066 mg/L in July, and sample 8, with 0.446 mg/L in June. Conversely, other samples, like sample 7, displayed lower concentrations, such as 0.106 mg/L in June. Interestingly, sample 4 had a relatively high concentration of 0.200 mg/L in June but dropped significantly in subsequent months, indicating a transient peak in the wet season, which might be related to rainwater runoff.</w:t>
      </w:r>
      <w:r>
        <w:rPr>
          <w:rFonts w:ascii="Times New Roman" w:eastAsia="Times New Roman" w:hAnsi="Times New Roman" w:cs="Times New Roman"/>
          <w:sz w:val="20"/>
          <w:szCs w:val="20"/>
        </w:rPr>
        <w:t xml:space="preserve"> </w:t>
      </w:r>
      <w:r w:rsidRPr="00DC7DB8">
        <w:rPr>
          <w:rFonts w:ascii="Times New Roman" w:eastAsia="Times New Roman" w:hAnsi="Times New Roman" w:cs="Times New Roman"/>
          <w:sz w:val="20"/>
          <w:szCs w:val="20"/>
        </w:rPr>
        <w:t xml:space="preserve">In the </w:t>
      </w:r>
      <w:r w:rsidRPr="00836462">
        <w:rPr>
          <w:rFonts w:ascii="Times New Roman" w:eastAsia="Times New Roman" w:hAnsi="Times New Roman" w:cs="Times New Roman"/>
          <w:bCs/>
          <w:sz w:val="20"/>
          <w:szCs w:val="20"/>
        </w:rPr>
        <w:t>dry season</w:t>
      </w:r>
      <w:r w:rsidRPr="00DC7DB8">
        <w:rPr>
          <w:rFonts w:ascii="Times New Roman" w:eastAsia="Times New Roman" w:hAnsi="Times New Roman" w:cs="Times New Roman"/>
          <w:sz w:val="20"/>
          <w:szCs w:val="20"/>
        </w:rPr>
        <w:t xml:space="preserve">, zinc concentrations showed a general tendency toward higher levels </w:t>
      </w:r>
      <w:r w:rsidRPr="00DC7DB8">
        <w:rPr>
          <w:rFonts w:ascii="Times New Roman" w:eastAsia="Times New Roman" w:hAnsi="Times New Roman" w:cs="Times New Roman"/>
          <w:sz w:val="20"/>
          <w:szCs w:val="20"/>
        </w:rPr>
        <w:lastRenderedPageBreak/>
        <w:t xml:space="preserve">compared to the wet season, particularly in samples like 4 (1.720 mg/L in January), 10 (1.548 mg/L in January), and 7 (1.020 mg/L in December). This trend might suggest a seasonal accumulation of zinc in the water due to reduced dilution from rainfall and runoff during the dry season. </w:t>
      </w:r>
      <w:r w:rsidRPr="00CE7561">
        <w:rPr>
          <w:rFonts w:ascii="Times New Roman" w:hAnsi="Times New Roman" w:cs="Times New Roman"/>
          <w:sz w:val="20"/>
          <w:szCs w:val="20"/>
        </w:rPr>
        <w:t>Zinc concentrations in the borehole water samples were generally below the World Health Organization (WHO) permissible limit of 3 mg/L for drinking water.</w:t>
      </w:r>
    </w:p>
    <w:p w14:paraId="178178E2" w14:textId="77777777" w:rsidR="00105111" w:rsidRPr="00CE7561" w:rsidRDefault="00416D9C" w:rsidP="00416D9C">
      <w:pPr>
        <w:spacing w:after="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5.</w:t>
      </w:r>
      <w:r w:rsidR="00105111" w:rsidRPr="00CE7561">
        <w:rPr>
          <w:rFonts w:ascii="Times New Roman" w:hAnsi="Times New Roman" w:cs="Times New Roman"/>
          <w:sz w:val="20"/>
          <w:szCs w:val="20"/>
        </w:rPr>
        <w:t xml:space="preserve"> </w:t>
      </w:r>
      <w:r w:rsidR="00105111" w:rsidRPr="00CE7561">
        <w:rPr>
          <w:rFonts w:ascii="Times New Roman" w:hAnsi="Times New Roman" w:cs="Times New Roman"/>
          <w:b/>
          <w:sz w:val="20"/>
          <w:szCs w:val="20"/>
        </w:rPr>
        <w:t>Seasonal Variations in Zinc Concentration in Borehole Water Samples in Enugu North LGA</w:t>
      </w:r>
    </w:p>
    <w:tbl>
      <w:tblPr>
        <w:tblStyle w:val="TableGrid"/>
        <w:tblW w:w="9781"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428"/>
        <w:gridCol w:w="1428"/>
        <w:gridCol w:w="1428"/>
        <w:gridCol w:w="1428"/>
        <w:gridCol w:w="1428"/>
        <w:gridCol w:w="1522"/>
      </w:tblGrid>
      <w:tr w:rsidR="00105111" w:rsidRPr="00CE7561" w14:paraId="029A2437" w14:textId="77777777" w:rsidTr="00CF3123">
        <w:trPr>
          <w:trHeight w:val="260"/>
        </w:trPr>
        <w:tc>
          <w:tcPr>
            <w:tcW w:w="1119" w:type="dxa"/>
            <w:tcBorders>
              <w:top w:val="single" w:sz="4" w:space="0" w:color="auto"/>
              <w:bottom w:val="single" w:sz="4" w:space="0" w:color="auto"/>
            </w:tcBorders>
          </w:tcPr>
          <w:p w14:paraId="5D072CCC" w14:textId="77777777" w:rsidR="00105111" w:rsidRPr="00CE7561" w:rsidRDefault="00105111" w:rsidP="00416D9C">
            <w:pPr>
              <w:pStyle w:val="Heading1"/>
              <w:shd w:val="clear" w:color="auto" w:fill="FFFFFF"/>
              <w:spacing w:before="0" w:beforeAutospacing="0" w:after="0" w:afterAutospacing="0"/>
              <w:jc w:val="both"/>
              <w:outlineLvl w:val="0"/>
              <w:rPr>
                <w:sz w:val="20"/>
                <w:szCs w:val="20"/>
              </w:rPr>
            </w:pPr>
            <w:r w:rsidRPr="00CE7561">
              <w:rPr>
                <w:sz w:val="20"/>
                <w:szCs w:val="20"/>
              </w:rPr>
              <w:t>Zn (mg/L)</w:t>
            </w:r>
          </w:p>
        </w:tc>
        <w:tc>
          <w:tcPr>
            <w:tcW w:w="4284" w:type="dxa"/>
            <w:gridSpan w:val="3"/>
            <w:tcBorders>
              <w:top w:val="single" w:sz="4" w:space="0" w:color="auto"/>
              <w:bottom w:val="single" w:sz="4" w:space="0" w:color="auto"/>
            </w:tcBorders>
          </w:tcPr>
          <w:p w14:paraId="774E7EE0"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378" w:type="dxa"/>
            <w:gridSpan w:val="3"/>
            <w:tcBorders>
              <w:top w:val="single" w:sz="4" w:space="0" w:color="auto"/>
              <w:bottom w:val="single" w:sz="4" w:space="0" w:color="auto"/>
            </w:tcBorders>
          </w:tcPr>
          <w:p w14:paraId="19663F61"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105111" w:rsidRPr="00CE7561" w14:paraId="53C236A9" w14:textId="77777777" w:rsidTr="00CF3123">
        <w:trPr>
          <w:trHeight w:val="260"/>
        </w:trPr>
        <w:tc>
          <w:tcPr>
            <w:tcW w:w="1119" w:type="dxa"/>
            <w:tcBorders>
              <w:top w:val="single" w:sz="4" w:space="0" w:color="auto"/>
              <w:bottom w:val="single" w:sz="4" w:space="0" w:color="auto"/>
            </w:tcBorders>
          </w:tcPr>
          <w:p w14:paraId="6E6BF964" w14:textId="77777777" w:rsidR="00105111" w:rsidRPr="00CE7561" w:rsidRDefault="00105111" w:rsidP="00416D9C">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428" w:type="dxa"/>
            <w:tcBorders>
              <w:top w:val="single" w:sz="4" w:space="0" w:color="auto"/>
              <w:bottom w:val="single" w:sz="4" w:space="0" w:color="auto"/>
            </w:tcBorders>
          </w:tcPr>
          <w:p w14:paraId="3F4B6000"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428" w:type="dxa"/>
            <w:tcBorders>
              <w:top w:val="single" w:sz="4" w:space="0" w:color="auto"/>
              <w:bottom w:val="single" w:sz="4" w:space="0" w:color="auto"/>
            </w:tcBorders>
          </w:tcPr>
          <w:p w14:paraId="49AEB558"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28" w:type="dxa"/>
            <w:tcBorders>
              <w:top w:val="single" w:sz="4" w:space="0" w:color="auto"/>
              <w:bottom w:val="single" w:sz="4" w:space="0" w:color="auto"/>
            </w:tcBorders>
          </w:tcPr>
          <w:p w14:paraId="4E6FC689"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28" w:type="dxa"/>
            <w:tcBorders>
              <w:top w:val="single" w:sz="4" w:space="0" w:color="auto"/>
              <w:bottom w:val="single" w:sz="4" w:space="0" w:color="auto"/>
            </w:tcBorders>
          </w:tcPr>
          <w:p w14:paraId="3120603E"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428" w:type="dxa"/>
            <w:tcBorders>
              <w:top w:val="single" w:sz="4" w:space="0" w:color="auto"/>
              <w:bottom w:val="single" w:sz="4" w:space="0" w:color="auto"/>
            </w:tcBorders>
          </w:tcPr>
          <w:p w14:paraId="421908A2"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522" w:type="dxa"/>
            <w:tcBorders>
              <w:top w:val="single" w:sz="4" w:space="0" w:color="auto"/>
              <w:bottom w:val="single" w:sz="4" w:space="0" w:color="auto"/>
            </w:tcBorders>
          </w:tcPr>
          <w:p w14:paraId="556D0E16" w14:textId="77777777" w:rsidR="00105111" w:rsidRPr="00CE7561" w:rsidRDefault="00105111" w:rsidP="009A5268">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105111" w:rsidRPr="00CE7561" w14:paraId="04B12D56" w14:textId="77777777" w:rsidTr="00CF3123">
        <w:tc>
          <w:tcPr>
            <w:tcW w:w="1119" w:type="dxa"/>
            <w:tcBorders>
              <w:top w:val="single" w:sz="4" w:space="0" w:color="auto"/>
              <w:bottom w:val="nil"/>
            </w:tcBorders>
          </w:tcPr>
          <w:p w14:paraId="5CB7D4F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428" w:type="dxa"/>
            <w:tcBorders>
              <w:top w:val="single" w:sz="4" w:space="0" w:color="auto"/>
              <w:bottom w:val="nil"/>
            </w:tcBorders>
          </w:tcPr>
          <w:p w14:paraId="13723DA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0.047±0.511</w:t>
            </w:r>
          </w:p>
        </w:tc>
        <w:tc>
          <w:tcPr>
            <w:tcW w:w="1428" w:type="dxa"/>
            <w:tcBorders>
              <w:top w:val="single" w:sz="4" w:space="0" w:color="auto"/>
              <w:bottom w:val="nil"/>
            </w:tcBorders>
          </w:tcPr>
          <w:p w14:paraId="20B430C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1.066±0.511</w:t>
            </w:r>
          </w:p>
        </w:tc>
        <w:tc>
          <w:tcPr>
            <w:tcW w:w="1428" w:type="dxa"/>
            <w:tcBorders>
              <w:top w:val="single" w:sz="4" w:space="0" w:color="auto"/>
              <w:bottom w:val="nil"/>
            </w:tcBorders>
          </w:tcPr>
          <w:p w14:paraId="3BBFCE2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0.483±0.511</w:t>
            </w:r>
          </w:p>
        </w:tc>
        <w:tc>
          <w:tcPr>
            <w:tcW w:w="1428" w:type="dxa"/>
            <w:tcBorders>
              <w:top w:val="single" w:sz="4" w:space="0" w:color="auto"/>
              <w:bottom w:val="nil"/>
            </w:tcBorders>
          </w:tcPr>
          <w:p w14:paraId="4853BCA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0.240±0.486</w:t>
            </w:r>
          </w:p>
        </w:tc>
        <w:tc>
          <w:tcPr>
            <w:tcW w:w="1428" w:type="dxa"/>
            <w:tcBorders>
              <w:top w:val="single" w:sz="4" w:space="0" w:color="auto"/>
              <w:bottom w:val="nil"/>
            </w:tcBorders>
          </w:tcPr>
          <w:p w14:paraId="4F79256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0.512±0.486</w:t>
            </w:r>
          </w:p>
        </w:tc>
        <w:tc>
          <w:tcPr>
            <w:tcW w:w="1522" w:type="dxa"/>
            <w:tcBorders>
              <w:top w:val="single" w:sz="4" w:space="0" w:color="auto"/>
              <w:bottom w:val="nil"/>
            </w:tcBorders>
          </w:tcPr>
          <w:p w14:paraId="759C352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0.903±0.486</w:t>
            </w:r>
          </w:p>
        </w:tc>
      </w:tr>
      <w:tr w:rsidR="00105111" w:rsidRPr="00CE7561" w14:paraId="4E1DAE4F" w14:textId="77777777" w:rsidTr="00CF3123">
        <w:tc>
          <w:tcPr>
            <w:tcW w:w="1119" w:type="dxa"/>
            <w:tcBorders>
              <w:top w:val="nil"/>
            </w:tcBorders>
          </w:tcPr>
          <w:p w14:paraId="1C24E707"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428" w:type="dxa"/>
            <w:tcBorders>
              <w:top w:val="nil"/>
            </w:tcBorders>
          </w:tcPr>
          <w:p w14:paraId="4EBFC68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0.142±0.298</w:t>
            </w:r>
          </w:p>
        </w:tc>
        <w:tc>
          <w:tcPr>
            <w:tcW w:w="1428" w:type="dxa"/>
            <w:tcBorders>
              <w:top w:val="nil"/>
            </w:tcBorders>
          </w:tcPr>
          <w:p w14:paraId="2E2FA10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0.130±0.298</w:t>
            </w:r>
          </w:p>
        </w:tc>
        <w:tc>
          <w:tcPr>
            <w:tcW w:w="1428" w:type="dxa"/>
            <w:tcBorders>
              <w:top w:val="nil"/>
            </w:tcBorders>
          </w:tcPr>
          <w:p w14:paraId="744152A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0.118±0.298</w:t>
            </w:r>
          </w:p>
        </w:tc>
        <w:tc>
          <w:tcPr>
            <w:tcW w:w="1428" w:type="dxa"/>
            <w:tcBorders>
              <w:top w:val="nil"/>
            </w:tcBorders>
          </w:tcPr>
          <w:p w14:paraId="090D751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0.530±0.551</w:t>
            </w:r>
          </w:p>
        </w:tc>
        <w:tc>
          <w:tcPr>
            <w:tcW w:w="1428" w:type="dxa"/>
            <w:tcBorders>
              <w:top w:val="nil"/>
            </w:tcBorders>
          </w:tcPr>
          <w:p w14:paraId="6452B14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0.530±0.551</w:t>
            </w:r>
          </w:p>
        </w:tc>
        <w:tc>
          <w:tcPr>
            <w:tcW w:w="1522" w:type="dxa"/>
            <w:tcBorders>
              <w:top w:val="nil"/>
            </w:tcBorders>
          </w:tcPr>
          <w:p w14:paraId="5367BF2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0.445±0.551</w:t>
            </w:r>
          </w:p>
        </w:tc>
      </w:tr>
      <w:tr w:rsidR="00105111" w:rsidRPr="00CE7561" w14:paraId="5A3820E9" w14:textId="77777777" w:rsidTr="00CF3123">
        <w:tc>
          <w:tcPr>
            <w:tcW w:w="1119" w:type="dxa"/>
          </w:tcPr>
          <w:p w14:paraId="63B4F6CC"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428" w:type="dxa"/>
          </w:tcPr>
          <w:p w14:paraId="306CD1B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0.152±0.229</w:t>
            </w:r>
          </w:p>
        </w:tc>
        <w:tc>
          <w:tcPr>
            <w:tcW w:w="1428" w:type="dxa"/>
          </w:tcPr>
          <w:p w14:paraId="59B7338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0.291±0.229</w:t>
            </w:r>
          </w:p>
        </w:tc>
        <w:tc>
          <w:tcPr>
            <w:tcW w:w="1428" w:type="dxa"/>
          </w:tcPr>
          <w:p w14:paraId="643F884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0.561±0.229</w:t>
            </w:r>
          </w:p>
        </w:tc>
        <w:tc>
          <w:tcPr>
            <w:tcW w:w="1428" w:type="dxa"/>
          </w:tcPr>
          <w:p w14:paraId="745C9A6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0.061±0.343</w:t>
            </w:r>
          </w:p>
        </w:tc>
        <w:tc>
          <w:tcPr>
            <w:tcW w:w="1428" w:type="dxa"/>
          </w:tcPr>
          <w:p w14:paraId="1F9D717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0.820±0.343</w:t>
            </w:r>
          </w:p>
        </w:tc>
        <w:tc>
          <w:tcPr>
            <w:tcW w:w="1522" w:type="dxa"/>
          </w:tcPr>
          <w:p w14:paraId="76168D5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0.514±0.343</w:t>
            </w:r>
          </w:p>
        </w:tc>
      </w:tr>
      <w:tr w:rsidR="00105111" w:rsidRPr="00CE7561" w14:paraId="2985CAA8" w14:textId="77777777" w:rsidTr="00CF3123">
        <w:tc>
          <w:tcPr>
            <w:tcW w:w="1119" w:type="dxa"/>
          </w:tcPr>
          <w:p w14:paraId="36536562"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428" w:type="dxa"/>
          </w:tcPr>
          <w:p w14:paraId="3865392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0.200±0.045</w:t>
            </w:r>
          </w:p>
        </w:tc>
        <w:tc>
          <w:tcPr>
            <w:tcW w:w="1428" w:type="dxa"/>
          </w:tcPr>
          <w:p w14:paraId="1E4EF4E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0.026±0.045</w:t>
            </w:r>
          </w:p>
        </w:tc>
        <w:tc>
          <w:tcPr>
            <w:tcW w:w="1428" w:type="dxa"/>
          </w:tcPr>
          <w:p w14:paraId="5616D47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0.047±0.045</w:t>
            </w:r>
          </w:p>
        </w:tc>
        <w:tc>
          <w:tcPr>
            <w:tcW w:w="1428" w:type="dxa"/>
          </w:tcPr>
          <w:p w14:paraId="44E1545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0.280±0.235</w:t>
            </w:r>
          </w:p>
        </w:tc>
        <w:tc>
          <w:tcPr>
            <w:tcW w:w="1428" w:type="dxa"/>
          </w:tcPr>
          <w:p w14:paraId="136E2EA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0.390±0.235</w:t>
            </w:r>
          </w:p>
        </w:tc>
        <w:tc>
          <w:tcPr>
            <w:tcW w:w="1522" w:type="dxa"/>
          </w:tcPr>
          <w:p w14:paraId="05019A3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1.720±0.235</w:t>
            </w:r>
          </w:p>
        </w:tc>
      </w:tr>
      <w:tr w:rsidR="00105111" w:rsidRPr="00CE7561" w14:paraId="2FFFD3D1" w14:textId="77777777" w:rsidTr="00CF3123">
        <w:tc>
          <w:tcPr>
            <w:tcW w:w="1119" w:type="dxa"/>
          </w:tcPr>
          <w:p w14:paraId="0CBC5BFC"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428" w:type="dxa"/>
          </w:tcPr>
          <w:p w14:paraId="31219AE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0.190±0.543</w:t>
            </w:r>
          </w:p>
        </w:tc>
        <w:tc>
          <w:tcPr>
            <w:tcW w:w="1428" w:type="dxa"/>
          </w:tcPr>
          <w:p w14:paraId="714161C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0.116±0.543</w:t>
            </w:r>
          </w:p>
        </w:tc>
        <w:tc>
          <w:tcPr>
            <w:tcW w:w="1428" w:type="dxa"/>
          </w:tcPr>
          <w:p w14:paraId="74509D1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0.150±0.543</w:t>
            </w:r>
          </w:p>
        </w:tc>
        <w:tc>
          <w:tcPr>
            <w:tcW w:w="1428" w:type="dxa"/>
          </w:tcPr>
          <w:p w14:paraId="53A6F24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0.460±0.802</w:t>
            </w:r>
          </w:p>
        </w:tc>
        <w:tc>
          <w:tcPr>
            <w:tcW w:w="1428" w:type="dxa"/>
          </w:tcPr>
          <w:p w14:paraId="46A9DB9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0.650±0.802</w:t>
            </w:r>
          </w:p>
        </w:tc>
        <w:tc>
          <w:tcPr>
            <w:tcW w:w="1522" w:type="dxa"/>
          </w:tcPr>
          <w:p w14:paraId="7D5B3B5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0.183±0.802</w:t>
            </w:r>
          </w:p>
        </w:tc>
      </w:tr>
      <w:tr w:rsidR="00105111" w:rsidRPr="00CE7561" w14:paraId="490BF32A" w14:textId="77777777" w:rsidTr="00CF3123">
        <w:tc>
          <w:tcPr>
            <w:tcW w:w="1119" w:type="dxa"/>
          </w:tcPr>
          <w:p w14:paraId="046DCBBA"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428" w:type="dxa"/>
          </w:tcPr>
          <w:p w14:paraId="032D470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0.146±0.229</w:t>
            </w:r>
          </w:p>
        </w:tc>
        <w:tc>
          <w:tcPr>
            <w:tcW w:w="1428" w:type="dxa"/>
          </w:tcPr>
          <w:p w14:paraId="7B0ADB0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0.133±0.229</w:t>
            </w:r>
          </w:p>
        </w:tc>
        <w:tc>
          <w:tcPr>
            <w:tcW w:w="1428" w:type="dxa"/>
          </w:tcPr>
          <w:p w14:paraId="6A82065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0.111±0.229</w:t>
            </w:r>
          </w:p>
        </w:tc>
        <w:tc>
          <w:tcPr>
            <w:tcW w:w="1428" w:type="dxa"/>
          </w:tcPr>
          <w:p w14:paraId="193B3F1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0.510±0.343</w:t>
            </w:r>
          </w:p>
        </w:tc>
        <w:tc>
          <w:tcPr>
            <w:tcW w:w="1428" w:type="dxa"/>
          </w:tcPr>
          <w:p w14:paraId="10F0CB6C"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0.720±0.343</w:t>
            </w:r>
          </w:p>
        </w:tc>
        <w:tc>
          <w:tcPr>
            <w:tcW w:w="1522" w:type="dxa"/>
          </w:tcPr>
          <w:p w14:paraId="00B8B53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0.398±0.343</w:t>
            </w:r>
          </w:p>
        </w:tc>
      </w:tr>
      <w:tr w:rsidR="00105111" w:rsidRPr="00CE7561" w14:paraId="643DDDC8" w14:textId="77777777" w:rsidTr="00CF3123">
        <w:tc>
          <w:tcPr>
            <w:tcW w:w="1119" w:type="dxa"/>
          </w:tcPr>
          <w:p w14:paraId="6A7C6E58"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428" w:type="dxa"/>
          </w:tcPr>
          <w:p w14:paraId="42A21457"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0.106±0.045</w:t>
            </w:r>
          </w:p>
        </w:tc>
        <w:tc>
          <w:tcPr>
            <w:tcW w:w="1428" w:type="dxa"/>
          </w:tcPr>
          <w:p w14:paraId="5EF3166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0.091±0.045</w:t>
            </w:r>
          </w:p>
        </w:tc>
        <w:tc>
          <w:tcPr>
            <w:tcW w:w="1428" w:type="dxa"/>
          </w:tcPr>
          <w:p w14:paraId="2EB08F7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0.021±0.045</w:t>
            </w:r>
          </w:p>
        </w:tc>
        <w:tc>
          <w:tcPr>
            <w:tcW w:w="1428" w:type="dxa"/>
          </w:tcPr>
          <w:p w14:paraId="467BCA3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0.340±0.235</w:t>
            </w:r>
          </w:p>
        </w:tc>
        <w:tc>
          <w:tcPr>
            <w:tcW w:w="1428" w:type="dxa"/>
          </w:tcPr>
          <w:p w14:paraId="1608F2CD"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1.020±0.235</w:t>
            </w:r>
          </w:p>
        </w:tc>
        <w:tc>
          <w:tcPr>
            <w:tcW w:w="1522" w:type="dxa"/>
          </w:tcPr>
          <w:p w14:paraId="7057680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0.961±0.235</w:t>
            </w:r>
          </w:p>
        </w:tc>
      </w:tr>
      <w:tr w:rsidR="00105111" w:rsidRPr="00CE7561" w14:paraId="3377BFD4" w14:textId="77777777" w:rsidTr="00CF3123">
        <w:tc>
          <w:tcPr>
            <w:tcW w:w="1119" w:type="dxa"/>
          </w:tcPr>
          <w:p w14:paraId="34721F64"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428" w:type="dxa"/>
          </w:tcPr>
          <w:p w14:paraId="192B221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0.446±0.543</w:t>
            </w:r>
          </w:p>
        </w:tc>
        <w:tc>
          <w:tcPr>
            <w:tcW w:w="1428" w:type="dxa"/>
          </w:tcPr>
          <w:p w14:paraId="26C768E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0.120±0.543</w:t>
            </w:r>
          </w:p>
        </w:tc>
        <w:tc>
          <w:tcPr>
            <w:tcW w:w="1428" w:type="dxa"/>
          </w:tcPr>
          <w:p w14:paraId="4B1047A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1.180±0.543</w:t>
            </w:r>
          </w:p>
        </w:tc>
        <w:tc>
          <w:tcPr>
            <w:tcW w:w="1428" w:type="dxa"/>
          </w:tcPr>
          <w:p w14:paraId="4A98999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0.430±0.802</w:t>
            </w:r>
          </w:p>
        </w:tc>
        <w:tc>
          <w:tcPr>
            <w:tcW w:w="1428" w:type="dxa"/>
          </w:tcPr>
          <w:p w14:paraId="5B4844B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0.890±0.802</w:t>
            </w:r>
          </w:p>
        </w:tc>
        <w:tc>
          <w:tcPr>
            <w:tcW w:w="1522" w:type="dxa"/>
          </w:tcPr>
          <w:p w14:paraId="7E80EFAD"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1.008±0.802</w:t>
            </w:r>
          </w:p>
        </w:tc>
      </w:tr>
      <w:tr w:rsidR="00105111" w:rsidRPr="00CE7561" w14:paraId="531D1CF8" w14:textId="77777777" w:rsidTr="00CF3123">
        <w:tc>
          <w:tcPr>
            <w:tcW w:w="1119" w:type="dxa"/>
          </w:tcPr>
          <w:p w14:paraId="1406E4C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428" w:type="dxa"/>
          </w:tcPr>
          <w:p w14:paraId="6783B26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0.418±0.229</w:t>
            </w:r>
          </w:p>
        </w:tc>
        <w:tc>
          <w:tcPr>
            <w:tcW w:w="1428" w:type="dxa"/>
          </w:tcPr>
          <w:p w14:paraId="4260333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0.014±0.229</w:t>
            </w:r>
          </w:p>
        </w:tc>
        <w:tc>
          <w:tcPr>
            <w:tcW w:w="1428" w:type="dxa"/>
          </w:tcPr>
          <w:p w14:paraId="7F9ACE33"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0.028±0.229</w:t>
            </w:r>
          </w:p>
        </w:tc>
        <w:tc>
          <w:tcPr>
            <w:tcW w:w="1428" w:type="dxa"/>
          </w:tcPr>
          <w:p w14:paraId="70E5845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0.330±0.343</w:t>
            </w:r>
          </w:p>
        </w:tc>
        <w:tc>
          <w:tcPr>
            <w:tcW w:w="1428" w:type="dxa"/>
          </w:tcPr>
          <w:p w14:paraId="3012192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0.780±0.343</w:t>
            </w:r>
          </w:p>
        </w:tc>
        <w:tc>
          <w:tcPr>
            <w:tcW w:w="1522" w:type="dxa"/>
          </w:tcPr>
          <w:p w14:paraId="415ACAA6"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0.745±0.343</w:t>
            </w:r>
          </w:p>
        </w:tc>
      </w:tr>
      <w:tr w:rsidR="00105111" w:rsidRPr="00CE7561" w14:paraId="12F38F79" w14:textId="77777777" w:rsidTr="00CF3123">
        <w:tc>
          <w:tcPr>
            <w:tcW w:w="1119" w:type="dxa"/>
          </w:tcPr>
          <w:p w14:paraId="1EED27B1"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428" w:type="dxa"/>
          </w:tcPr>
          <w:p w14:paraId="0B1883BA"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0.107±0.298</w:t>
            </w:r>
          </w:p>
        </w:tc>
        <w:tc>
          <w:tcPr>
            <w:tcW w:w="1428" w:type="dxa"/>
          </w:tcPr>
          <w:p w14:paraId="4682228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0.102±0.298</w:t>
            </w:r>
          </w:p>
        </w:tc>
        <w:tc>
          <w:tcPr>
            <w:tcW w:w="1428" w:type="dxa"/>
          </w:tcPr>
          <w:p w14:paraId="09746CF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0.220±0.298</w:t>
            </w:r>
          </w:p>
        </w:tc>
        <w:tc>
          <w:tcPr>
            <w:tcW w:w="1428" w:type="dxa"/>
          </w:tcPr>
          <w:p w14:paraId="52850F3B"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0.470±0.551</w:t>
            </w:r>
          </w:p>
        </w:tc>
        <w:tc>
          <w:tcPr>
            <w:tcW w:w="1428" w:type="dxa"/>
          </w:tcPr>
          <w:p w14:paraId="55A6198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1.211±0.551</w:t>
            </w:r>
          </w:p>
        </w:tc>
        <w:tc>
          <w:tcPr>
            <w:tcW w:w="1522" w:type="dxa"/>
          </w:tcPr>
          <w:p w14:paraId="602F5598"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1.548±0.551</w:t>
            </w:r>
          </w:p>
        </w:tc>
      </w:tr>
      <w:tr w:rsidR="00105111" w:rsidRPr="00CE7561" w14:paraId="66B8BD09" w14:textId="77777777" w:rsidTr="00CF3123">
        <w:tc>
          <w:tcPr>
            <w:tcW w:w="1119" w:type="dxa"/>
          </w:tcPr>
          <w:p w14:paraId="24D3D3F9"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428" w:type="dxa"/>
          </w:tcPr>
          <w:p w14:paraId="6D77C814"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0.589±0.298</w:t>
            </w:r>
          </w:p>
        </w:tc>
        <w:tc>
          <w:tcPr>
            <w:tcW w:w="1428" w:type="dxa"/>
          </w:tcPr>
          <w:p w14:paraId="2743923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0.662±0.298</w:t>
            </w:r>
          </w:p>
        </w:tc>
        <w:tc>
          <w:tcPr>
            <w:tcW w:w="1428" w:type="dxa"/>
          </w:tcPr>
          <w:p w14:paraId="664C1D1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0.113±0.298</w:t>
            </w:r>
          </w:p>
        </w:tc>
        <w:tc>
          <w:tcPr>
            <w:tcW w:w="1428" w:type="dxa"/>
          </w:tcPr>
          <w:p w14:paraId="11040905"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0.220±0.486</w:t>
            </w:r>
          </w:p>
        </w:tc>
        <w:tc>
          <w:tcPr>
            <w:tcW w:w="1428" w:type="dxa"/>
          </w:tcPr>
          <w:p w14:paraId="62DAB13F"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0.460±0.486</w:t>
            </w:r>
          </w:p>
        </w:tc>
        <w:tc>
          <w:tcPr>
            <w:tcW w:w="1522" w:type="dxa"/>
          </w:tcPr>
          <w:p w14:paraId="7ACEB31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0.897±0.486</w:t>
            </w:r>
          </w:p>
        </w:tc>
      </w:tr>
      <w:tr w:rsidR="00105111" w:rsidRPr="00CE7561" w14:paraId="750510F1" w14:textId="77777777" w:rsidTr="00CF3123">
        <w:tc>
          <w:tcPr>
            <w:tcW w:w="1119" w:type="dxa"/>
          </w:tcPr>
          <w:p w14:paraId="5838FA14" w14:textId="77777777" w:rsidR="00105111" w:rsidRPr="00CE7561" w:rsidRDefault="00105111" w:rsidP="00416D9C">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428" w:type="dxa"/>
          </w:tcPr>
          <w:p w14:paraId="1CDEBC1E"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0.114±0.229</w:t>
            </w:r>
          </w:p>
        </w:tc>
        <w:tc>
          <w:tcPr>
            <w:tcW w:w="1428" w:type="dxa"/>
          </w:tcPr>
          <w:p w14:paraId="27E37F20"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0.698±0.229</w:t>
            </w:r>
          </w:p>
        </w:tc>
        <w:tc>
          <w:tcPr>
            <w:tcW w:w="1428" w:type="dxa"/>
          </w:tcPr>
          <w:p w14:paraId="5D90B94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0.128±0.229</w:t>
            </w:r>
          </w:p>
        </w:tc>
        <w:tc>
          <w:tcPr>
            <w:tcW w:w="1428" w:type="dxa"/>
          </w:tcPr>
          <w:p w14:paraId="141FC929"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0.160±0.343</w:t>
            </w:r>
          </w:p>
        </w:tc>
        <w:tc>
          <w:tcPr>
            <w:tcW w:w="1428" w:type="dxa"/>
          </w:tcPr>
          <w:p w14:paraId="2274D581"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0.711±0.343</w:t>
            </w:r>
          </w:p>
        </w:tc>
        <w:tc>
          <w:tcPr>
            <w:tcW w:w="1522" w:type="dxa"/>
          </w:tcPr>
          <w:p w14:paraId="772F84C2" w14:textId="77777777" w:rsidR="00105111" w:rsidRPr="00CE7561" w:rsidRDefault="00105111" w:rsidP="009A5268">
            <w:pPr>
              <w:jc w:val="center"/>
              <w:rPr>
                <w:rFonts w:ascii="Times New Roman" w:hAnsi="Times New Roman" w:cs="Times New Roman"/>
                <w:sz w:val="20"/>
                <w:szCs w:val="20"/>
              </w:rPr>
            </w:pPr>
            <w:r w:rsidRPr="00CE7561">
              <w:rPr>
                <w:rFonts w:ascii="Times New Roman" w:hAnsi="Times New Roman" w:cs="Times New Roman"/>
                <w:sz w:val="20"/>
                <w:szCs w:val="20"/>
              </w:rPr>
              <w:t>1.130±0.343</w:t>
            </w:r>
          </w:p>
        </w:tc>
      </w:tr>
    </w:tbl>
    <w:p w14:paraId="5E67E12A" w14:textId="77777777" w:rsidR="00105111" w:rsidRDefault="00105111" w:rsidP="00105111">
      <w:pPr>
        <w:spacing w:after="0" w:line="360" w:lineRule="auto"/>
        <w:jc w:val="both"/>
        <w:rPr>
          <w:rFonts w:ascii="Times New Roman" w:hAnsi="Times New Roman" w:cs="Times New Roman"/>
          <w:b/>
          <w:sz w:val="20"/>
          <w:szCs w:val="20"/>
        </w:rPr>
      </w:pPr>
    </w:p>
    <w:p w14:paraId="29D5A283" w14:textId="34B94EB5" w:rsidR="007B76D1" w:rsidRPr="007B76D1" w:rsidRDefault="007B76D1" w:rsidP="007B76D1">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Table 6 provides a statistical evaluation of the observed seasonal differences, with a t-value of -4.7977 and a mean difference of -0.38642 mg/L, and a co</w:t>
      </w:r>
      <w:r>
        <w:rPr>
          <w:rFonts w:ascii="Times New Roman" w:hAnsi="Times New Roman" w:cs="Times New Roman"/>
          <w:sz w:val="20"/>
          <w:szCs w:val="20"/>
        </w:rPr>
        <w:t>rresponding p-value of 0.00</w:t>
      </w:r>
      <w:r w:rsidRPr="00CE7561">
        <w:rPr>
          <w:rFonts w:ascii="Times New Roman" w:hAnsi="Times New Roman" w:cs="Times New Roman"/>
          <w:sz w:val="20"/>
          <w:szCs w:val="20"/>
        </w:rPr>
        <w:t>, indicating that zinc concentrations were significantly higher during the dry season compared to the wet season.</w:t>
      </w:r>
    </w:p>
    <w:p w14:paraId="5235EC96" w14:textId="77777777" w:rsidR="00105111" w:rsidRPr="00CE7561" w:rsidRDefault="00422156" w:rsidP="00422156">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6.</w:t>
      </w:r>
      <w:r w:rsidR="00105111" w:rsidRPr="00CE7561">
        <w:rPr>
          <w:rFonts w:ascii="Times New Roman" w:hAnsi="Times New Roman" w:cs="Times New Roman"/>
          <w:sz w:val="20"/>
          <w:szCs w:val="20"/>
        </w:rPr>
        <w:t xml:space="preserve"> </w:t>
      </w:r>
      <w:r w:rsidR="00105111" w:rsidRPr="00CE7561">
        <w:rPr>
          <w:rFonts w:ascii="Times New Roman" w:hAnsi="Times New Roman" w:cs="Times New Roman"/>
          <w:b/>
          <w:sz w:val="20"/>
          <w:szCs w:val="20"/>
        </w:rPr>
        <w:t xml:space="preserve">Paired </w:t>
      </w:r>
      <w:r w:rsidRPr="00CE7561">
        <w:rPr>
          <w:rFonts w:ascii="Times New Roman" w:hAnsi="Times New Roman" w:cs="Times New Roman"/>
          <w:b/>
          <w:sz w:val="20"/>
          <w:szCs w:val="20"/>
        </w:rPr>
        <w:t>Sample</w:t>
      </w:r>
      <w:r w:rsidR="00105111" w:rsidRPr="00CE7561">
        <w:rPr>
          <w:rFonts w:ascii="Times New Roman" w:hAnsi="Times New Roman" w:cs="Times New Roman"/>
          <w:b/>
          <w:sz w:val="20"/>
          <w:szCs w:val="20"/>
        </w:rPr>
        <w:t xml:space="preserve"> t-test Results Comparing Zinc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86"/>
        <w:gridCol w:w="1858"/>
        <w:gridCol w:w="2482"/>
        <w:gridCol w:w="1983"/>
        <w:gridCol w:w="1685"/>
      </w:tblGrid>
      <w:tr w:rsidR="00105111" w:rsidRPr="00CE7561" w14:paraId="1779A2F2" w14:textId="77777777" w:rsidTr="00CF3123">
        <w:trPr>
          <w:trHeight w:val="362"/>
        </w:trPr>
        <w:tc>
          <w:tcPr>
            <w:tcW w:w="1186" w:type="dxa"/>
            <w:vMerge w:val="restart"/>
          </w:tcPr>
          <w:p w14:paraId="79C218A5"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58" w:type="dxa"/>
            <w:vMerge w:val="restart"/>
          </w:tcPr>
          <w:p w14:paraId="26387033"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465" w:type="dxa"/>
            <w:gridSpan w:val="2"/>
          </w:tcPr>
          <w:p w14:paraId="5E350A8D"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685" w:type="dxa"/>
            <w:vMerge w:val="restart"/>
          </w:tcPr>
          <w:p w14:paraId="33E29BA4"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105111" w:rsidRPr="00CE7561" w14:paraId="0FD52A2F" w14:textId="77777777" w:rsidTr="00CF3123">
        <w:trPr>
          <w:trHeight w:val="180"/>
        </w:trPr>
        <w:tc>
          <w:tcPr>
            <w:tcW w:w="1186" w:type="dxa"/>
            <w:vMerge/>
          </w:tcPr>
          <w:p w14:paraId="306CD284" w14:textId="77777777" w:rsidR="00105111" w:rsidRPr="00CE7561" w:rsidRDefault="00105111" w:rsidP="00422156">
            <w:pPr>
              <w:jc w:val="both"/>
              <w:rPr>
                <w:rFonts w:ascii="Times New Roman" w:hAnsi="Times New Roman" w:cs="Times New Roman"/>
                <w:sz w:val="20"/>
                <w:szCs w:val="20"/>
              </w:rPr>
            </w:pPr>
          </w:p>
        </w:tc>
        <w:tc>
          <w:tcPr>
            <w:tcW w:w="1858" w:type="dxa"/>
            <w:vMerge/>
          </w:tcPr>
          <w:p w14:paraId="59D4D90F" w14:textId="77777777" w:rsidR="00105111" w:rsidRPr="00CE7561" w:rsidRDefault="00105111" w:rsidP="00422156">
            <w:pPr>
              <w:jc w:val="both"/>
              <w:rPr>
                <w:rFonts w:ascii="Times New Roman" w:hAnsi="Times New Roman" w:cs="Times New Roman"/>
                <w:sz w:val="20"/>
                <w:szCs w:val="20"/>
              </w:rPr>
            </w:pPr>
          </w:p>
        </w:tc>
        <w:tc>
          <w:tcPr>
            <w:tcW w:w="2482" w:type="dxa"/>
          </w:tcPr>
          <w:p w14:paraId="5597FCC0"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1982" w:type="dxa"/>
          </w:tcPr>
          <w:p w14:paraId="42C82598"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685" w:type="dxa"/>
            <w:vMerge/>
          </w:tcPr>
          <w:p w14:paraId="13571BE0" w14:textId="77777777" w:rsidR="00105111" w:rsidRPr="00CE7561" w:rsidRDefault="00105111" w:rsidP="00422156">
            <w:pPr>
              <w:jc w:val="both"/>
              <w:rPr>
                <w:rFonts w:ascii="Times New Roman" w:hAnsi="Times New Roman" w:cs="Times New Roman"/>
                <w:sz w:val="20"/>
                <w:szCs w:val="20"/>
              </w:rPr>
            </w:pPr>
          </w:p>
        </w:tc>
      </w:tr>
      <w:tr w:rsidR="00105111" w:rsidRPr="00CE7561" w14:paraId="297916C4" w14:textId="77777777" w:rsidTr="00CF3123">
        <w:trPr>
          <w:trHeight w:val="180"/>
        </w:trPr>
        <w:tc>
          <w:tcPr>
            <w:tcW w:w="1186" w:type="dxa"/>
          </w:tcPr>
          <w:p w14:paraId="7FBFFD53"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-4.7977</w:t>
            </w:r>
          </w:p>
        </w:tc>
        <w:tc>
          <w:tcPr>
            <w:tcW w:w="1858" w:type="dxa"/>
          </w:tcPr>
          <w:p w14:paraId="03665876"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-0.38642</w:t>
            </w:r>
          </w:p>
        </w:tc>
        <w:tc>
          <w:tcPr>
            <w:tcW w:w="2482" w:type="dxa"/>
          </w:tcPr>
          <w:p w14:paraId="085C4B5C"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-0.56369</w:t>
            </w:r>
          </w:p>
        </w:tc>
        <w:tc>
          <w:tcPr>
            <w:tcW w:w="1982" w:type="dxa"/>
          </w:tcPr>
          <w:p w14:paraId="57C3CD81" w14:textId="77777777" w:rsidR="00105111" w:rsidRPr="00CE7561" w:rsidRDefault="00105111" w:rsidP="00422156">
            <w:pPr>
              <w:jc w:val="both"/>
              <w:rPr>
                <w:rFonts w:ascii="Times New Roman" w:hAnsi="Times New Roman" w:cs="Times New Roman"/>
                <w:sz w:val="20"/>
                <w:szCs w:val="20"/>
              </w:rPr>
            </w:pPr>
            <w:r w:rsidRPr="00CE7561">
              <w:rPr>
                <w:rFonts w:ascii="Times New Roman" w:hAnsi="Times New Roman" w:cs="Times New Roman"/>
                <w:sz w:val="20"/>
                <w:szCs w:val="20"/>
              </w:rPr>
              <w:t>-0.20914</w:t>
            </w:r>
          </w:p>
        </w:tc>
        <w:tc>
          <w:tcPr>
            <w:tcW w:w="1685" w:type="dxa"/>
          </w:tcPr>
          <w:p w14:paraId="0DAFB9D7" w14:textId="3FD91A17" w:rsidR="00105111" w:rsidRPr="00CE7561" w:rsidRDefault="007B76D1" w:rsidP="00422156">
            <w:pPr>
              <w:jc w:val="both"/>
              <w:rPr>
                <w:rFonts w:ascii="Times New Roman" w:hAnsi="Times New Roman" w:cs="Times New Roman"/>
                <w:sz w:val="20"/>
                <w:szCs w:val="20"/>
              </w:rPr>
            </w:pPr>
            <w:r>
              <w:rPr>
                <w:rFonts w:ascii="Times New Roman" w:hAnsi="Times New Roman" w:cs="Times New Roman"/>
                <w:sz w:val="20"/>
                <w:szCs w:val="20"/>
              </w:rPr>
              <w:t>0.00</w:t>
            </w:r>
          </w:p>
        </w:tc>
      </w:tr>
    </w:tbl>
    <w:p w14:paraId="256B36BF" w14:textId="77777777" w:rsidR="00105111" w:rsidRPr="00CE7561" w:rsidRDefault="00105111" w:rsidP="00105111">
      <w:pPr>
        <w:spacing w:after="0" w:line="480" w:lineRule="auto"/>
        <w:jc w:val="both"/>
        <w:rPr>
          <w:rFonts w:ascii="Times New Roman" w:hAnsi="Times New Roman" w:cs="Times New Roman"/>
          <w:sz w:val="20"/>
          <w:szCs w:val="20"/>
        </w:rPr>
      </w:pPr>
    </w:p>
    <w:p w14:paraId="245E4E34" w14:textId="77777777" w:rsidR="00105111" w:rsidRPr="00CE7561" w:rsidRDefault="00105111" w:rsidP="00BA6FD5">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210EB69E" wp14:editId="0BE9ED55">
            <wp:extent cx="4095386" cy="21796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8213" cy="2186501"/>
                    </a:xfrm>
                    <a:prstGeom prst="rect">
                      <a:avLst/>
                    </a:prstGeom>
                    <a:noFill/>
                    <a:ln>
                      <a:noFill/>
                    </a:ln>
                  </pic:spPr>
                </pic:pic>
              </a:graphicData>
            </a:graphic>
          </wp:inline>
        </w:drawing>
      </w:r>
    </w:p>
    <w:p w14:paraId="50EAF290" w14:textId="77777777" w:rsidR="00411359" w:rsidRDefault="00CA1D14" w:rsidP="00255B52">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3.</w:t>
      </w:r>
      <w:r w:rsidR="00105111" w:rsidRPr="00CE7561">
        <w:rPr>
          <w:rFonts w:ascii="Times New Roman" w:hAnsi="Times New Roman" w:cs="Times New Roman"/>
          <w:b/>
          <w:sz w:val="20"/>
          <w:szCs w:val="20"/>
        </w:rPr>
        <w:t xml:space="preserve"> Zinc Concentration in Borehole W</w:t>
      </w:r>
      <w:r w:rsidR="00255B52">
        <w:rPr>
          <w:rFonts w:ascii="Times New Roman" w:hAnsi="Times New Roman" w:cs="Times New Roman"/>
          <w:b/>
          <w:sz w:val="20"/>
          <w:szCs w:val="20"/>
        </w:rPr>
        <w:t>ater Samples in Enugu North LGA</w:t>
      </w:r>
    </w:p>
    <w:p w14:paraId="606857B3" w14:textId="40B585E4" w:rsidR="00255B52" w:rsidRPr="00776F52" w:rsidRDefault="00776F52" w:rsidP="00776F52">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Table 7 presents the seasonal variations in copper (Cu) concentrations in borehole water samples from Enugu North LGA, </w:t>
      </w:r>
      <w:r>
        <w:rPr>
          <w:rFonts w:ascii="Times New Roman" w:hAnsi="Times New Roman" w:cs="Times New Roman"/>
          <w:sz w:val="20"/>
          <w:szCs w:val="20"/>
        </w:rPr>
        <w:t xml:space="preserve">visualized in Figure 4. </w:t>
      </w:r>
      <w:r w:rsidRPr="00836462">
        <w:rPr>
          <w:rFonts w:ascii="Times New Roman" w:eastAsia="Times New Roman" w:hAnsi="Times New Roman" w:cs="Times New Roman"/>
          <w:sz w:val="20"/>
          <w:szCs w:val="24"/>
        </w:rPr>
        <w:t xml:space="preserve">In the </w:t>
      </w:r>
      <w:r w:rsidRPr="00836462">
        <w:rPr>
          <w:rFonts w:ascii="Times New Roman" w:eastAsia="Times New Roman" w:hAnsi="Times New Roman" w:cs="Times New Roman"/>
          <w:bCs/>
          <w:sz w:val="20"/>
          <w:szCs w:val="24"/>
        </w:rPr>
        <w:t>wet season</w:t>
      </w:r>
      <w:r w:rsidRPr="00836462">
        <w:rPr>
          <w:rFonts w:ascii="Times New Roman" w:eastAsia="Times New Roman" w:hAnsi="Times New Roman" w:cs="Times New Roman"/>
          <w:sz w:val="20"/>
          <w:szCs w:val="24"/>
        </w:rPr>
        <w:t xml:space="preserve">, copper concentrations were generally low across most samples, with several samples exhibiting concentrations near the detection limit, such as sample 1, which recorded values of 0.006 mg/L in June, increasing slightly in subsequent months. Other samples, such as sample 7, recorded values close to </w:t>
      </w:r>
      <w:r w:rsidRPr="00836462">
        <w:rPr>
          <w:rFonts w:ascii="Times New Roman" w:eastAsia="Times New Roman" w:hAnsi="Times New Roman" w:cs="Times New Roman"/>
          <w:sz w:val="20"/>
          <w:szCs w:val="24"/>
        </w:rPr>
        <w:lastRenderedPageBreak/>
        <w:t>0.002 mg/L. This suggests that during the wet season, copper levels were relatively stable and at low concentrations across most of the borehole water samples.</w:t>
      </w:r>
      <w:r>
        <w:rPr>
          <w:rFonts w:ascii="Times New Roman" w:hAnsi="Times New Roman" w:cs="Times New Roman"/>
          <w:sz w:val="20"/>
          <w:szCs w:val="20"/>
        </w:rPr>
        <w:t xml:space="preserve"> </w:t>
      </w:r>
      <w:r w:rsidRPr="00836462">
        <w:rPr>
          <w:rFonts w:ascii="Times New Roman" w:eastAsia="Times New Roman" w:hAnsi="Times New Roman" w:cs="Times New Roman"/>
          <w:sz w:val="20"/>
          <w:szCs w:val="24"/>
        </w:rPr>
        <w:t xml:space="preserve">However, in the </w:t>
      </w:r>
      <w:r w:rsidRPr="00836462">
        <w:rPr>
          <w:rFonts w:ascii="Times New Roman" w:eastAsia="Times New Roman" w:hAnsi="Times New Roman" w:cs="Times New Roman"/>
          <w:bCs/>
          <w:sz w:val="20"/>
          <w:szCs w:val="24"/>
        </w:rPr>
        <w:t>dry season</w:t>
      </w:r>
      <w:r w:rsidRPr="00836462">
        <w:rPr>
          <w:rFonts w:ascii="Times New Roman" w:eastAsia="Times New Roman" w:hAnsi="Times New Roman" w:cs="Times New Roman"/>
          <w:sz w:val="20"/>
          <w:szCs w:val="24"/>
        </w:rPr>
        <w:t>, copper concentrations showed a noticeable increase in several samples. For example, sample 1 recorded a sharp increase to 0.590 mg/L in January, and sample 3 showed an increase from 0.006 mg/L in August to 0.360 mg/L in January. Sample 7 exhibited a similar rise, from 0.002 mg/L in June to 0.614 mg/L in January. This significant increase in copper concentrations during the dry season is due to reduced dilution from rainfall, increased evaporation.</w:t>
      </w:r>
      <w:r>
        <w:rPr>
          <w:rFonts w:ascii="Times New Roman" w:eastAsia="Times New Roman" w:hAnsi="Times New Roman" w:cs="Times New Roman"/>
          <w:sz w:val="20"/>
          <w:szCs w:val="24"/>
        </w:rPr>
        <w:t xml:space="preserve"> </w:t>
      </w:r>
      <w:r w:rsidRPr="00CE7561">
        <w:rPr>
          <w:rFonts w:ascii="Times New Roman" w:hAnsi="Times New Roman" w:cs="Times New Roman"/>
          <w:sz w:val="20"/>
          <w:szCs w:val="20"/>
        </w:rPr>
        <w:t>Although all fall below the permissible limit of 2.0mg/L set by WHO, however, prolonged exposure to high copper levels can lead to health issues.</w:t>
      </w:r>
    </w:p>
    <w:p w14:paraId="1DF9629E" w14:textId="77777777" w:rsidR="00BA6FD5" w:rsidRPr="00CE7561" w:rsidRDefault="00BA6FD5" w:rsidP="00BA6FD5">
      <w:pPr>
        <w:spacing w:after="0" w:line="360" w:lineRule="auto"/>
        <w:jc w:val="both"/>
        <w:rPr>
          <w:rFonts w:ascii="Times New Roman" w:hAnsi="Times New Roman" w:cs="Times New Roman"/>
          <w:sz w:val="20"/>
          <w:szCs w:val="20"/>
        </w:rPr>
      </w:pPr>
      <w:r w:rsidRPr="00CE7561">
        <w:rPr>
          <w:rFonts w:ascii="Times New Roman" w:hAnsi="Times New Roman" w:cs="Times New Roman"/>
          <w:b/>
          <w:sz w:val="20"/>
          <w:szCs w:val="20"/>
        </w:rPr>
        <w:t>Tab</w:t>
      </w:r>
      <w:r w:rsidR="00BE2B62" w:rsidRPr="00CE7561">
        <w:rPr>
          <w:rFonts w:ascii="Times New Roman" w:hAnsi="Times New Roman" w:cs="Times New Roman"/>
          <w:b/>
          <w:sz w:val="20"/>
          <w:szCs w:val="20"/>
        </w:rPr>
        <w:t>le 7.</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Seasonal Var</w:t>
      </w:r>
      <w:r w:rsidR="00BE2B62" w:rsidRPr="00CE7561">
        <w:rPr>
          <w:rFonts w:ascii="Times New Roman" w:hAnsi="Times New Roman" w:cs="Times New Roman"/>
          <w:b/>
          <w:sz w:val="20"/>
          <w:szCs w:val="20"/>
        </w:rPr>
        <w:t>iations in Copper Concentration</w:t>
      </w:r>
      <w:r w:rsidRPr="00CE7561">
        <w:rPr>
          <w:rFonts w:ascii="Times New Roman" w:hAnsi="Times New Roman" w:cs="Times New Roman"/>
          <w:b/>
          <w:sz w:val="20"/>
          <w:szCs w:val="20"/>
        </w:rPr>
        <w:t xml:space="preserve"> in Borehole Water Samples in Enugu North LGA</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350"/>
        <w:gridCol w:w="1350"/>
        <w:gridCol w:w="1440"/>
        <w:gridCol w:w="1440"/>
        <w:gridCol w:w="1350"/>
        <w:gridCol w:w="1398"/>
      </w:tblGrid>
      <w:tr w:rsidR="00BA6FD5" w:rsidRPr="00CE7561" w14:paraId="5DCEBAAC" w14:textId="77777777" w:rsidTr="00BE2B62">
        <w:trPr>
          <w:trHeight w:val="188"/>
        </w:trPr>
        <w:tc>
          <w:tcPr>
            <w:tcW w:w="1170" w:type="dxa"/>
            <w:tcBorders>
              <w:top w:val="single" w:sz="4" w:space="0" w:color="auto"/>
              <w:bottom w:val="single" w:sz="4" w:space="0" w:color="auto"/>
            </w:tcBorders>
          </w:tcPr>
          <w:p w14:paraId="03491328" w14:textId="77777777" w:rsidR="00BA6FD5" w:rsidRPr="00CE7561" w:rsidRDefault="00BA6FD5" w:rsidP="00BE2B62">
            <w:pPr>
              <w:pStyle w:val="Heading1"/>
              <w:shd w:val="clear" w:color="auto" w:fill="FFFFFF"/>
              <w:spacing w:before="0" w:beforeAutospacing="0" w:after="0" w:afterAutospacing="0"/>
              <w:jc w:val="both"/>
              <w:outlineLvl w:val="0"/>
              <w:rPr>
                <w:sz w:val="20"/>
                <w:szCs w:val="20"/>
              </w:rPr>
            </w:pPr>
            <w:r w:rsidRPr="00CE7561">
              <w:rPr>
                <w:sz w:val="20"/>
                <w:szCs w:val="20"/>
              </w:rPr>
              <w:t>Cu (mg/L)</w:t>
            </w:r>
          </w:p>
        </w:tc>
        <w:tc>
          <w:tcPr>
            <w:tcW w:w="4140" w:type="dxa"/>
            <w:gridSpan w:val="3"/>
            <w:tcBorders>
              <w:top w:val="single" w:sz="4" w:space="0" w:color="auto"/>
              <w:bottom w:val="single" w:sz="4" w:space="0" w:color="auto"/>
            </w:tcBorders>
          </w:tcPr>
          <w:p w14:paraId="25708B26"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188" w:type="dxa"/>
            <w:gridSpan w:val="3"/>
            <w:tcBorders>
              <w:top w:val="single" w:sz="4" w:space="0" w:color="auto"/>
              <w:bottom w:val="single" w:sz="4" w:space="0" w:color="auto"/>
            </w:tcBorders>
          </w:tcPr>
          <w:p w14:paraId="6996EB53"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BA6FD5" w:rsidRPr="00CE7561" w14:paraId="438B3474" w14:textId="77777777" w:rsidTr="00BE2B62">
        <w:trPr>
          <w:trHeight w:val="188"/>
        </w:trPr>
        <w:tc>
          <w:tcPr>
            <w:tcW w:w="1170" w:type="dxa"/>
            <w:tcBorders>
              <w:top w:val="single" w:sz="4" w:space="0" w:color="auto"/>
              <w:bottom w:val="single" w:sz="4" w:space="0" w:color="auto"/>
            </w:tcBorders>
          </w:tcPr>
          <w:p w14:paraId="5EDC4B6C" w14:textId="77777777" w:rsidR="00BA6FD5" w:rsidRPr="00CE7561" w:rsidRDefault="00BA6FD5" w:rsidP="00BE2B62">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50" w:type="dxa"/>
            <w:tcBorders>
              <w:top w:val="single" w:sz="4" w:space="0" w:color="auto"/>
              <w:bottom w:val="single" w:sz="4" w:space="0" w:color="auto"/>
            </w:tcBorders>
          </w:tcPr>
          <w:p w14:paraId="44466080"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50" w:type="dxa"/>
            <w:tcBorders>
              <w:top w:val="single" w:sz="4" w:space="0" w:color="auto"/>
              <w:bottom w:val="single" w:sz="4" w:space="0" w:color="auto"/>
            </w:tcBorders>
          </w:tcPr>
          <w:p w14:paraId="5AF0E86A"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440" w:type="dxa"/>
            <w:tcBorders>
              <w:top w:val="single" w:sz="4" w:space="0" w:color="auto"/>
              <w:bottom w:val="single" w:sz="4" w:space="0" w:color="auto"/>
            </w:tcBorders>
          </w:tcPr>
          <w:p w14:paraId="67110325"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440" w:type="dxa"/>
            <w:tcBorders>
              <w:top w:val="single" w:sz="4" w:space="0" w:color="auto"/>
              <w:bottom w:val="single" w:sz="4" w:space="0" w:color="auto"/>
            </w:tcBorders>
          </w:tcPr>
          <w:p w14:paraId="12B29E14"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50" w:type="dxa"/>
            <w:tcBorders>
              <w:top w:val="single" w:sz="4" w:space="0" w:color="auto"/>
              <w:bottom w:val="single" w:sz="4" w:space="0" w:color="auto"/>
            </w:tcBorders>
          </w:tcPr>
          <w:p w14:paraId="69670D80"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98" w:type="dxa"/>
            <w:tcBorders>
              <w:top w:val="single" w:sz="4" w:space="0" w:color="auto"/>
              <w:bottom w:val="single" w:sz="4" w:space="0" w:color="auto"/>
            </w:tcBorders>
          </w:tcPr>
          <w:p w14:paraId="317DD618" w14:textId="77777777" w:rsidR="00BA6FD5" w:rsidRPr="00CE7561" w:rsidRDefault="00BA6FD5" w:rsidP="00BE2B62">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BA6FD5" w:rsidRPr="00CE7561" w14:paraId="7F22A3D7" w14:textId="77777777" w:rsidTr="00BE2B62">
        <w:tc>
          <w:tcPr>
            <w:tcW w:w="1170" w:type="dxa"/>
            <w:tcBorders>
              <w:top w:val="single" w:sz="4" w:space="0" w:color="auto"/>
              <w:bottom w:val="nil"/>
            </w:tcBorders>
          </w:tcPr>
          <w:p w14:paraId="4E6828E5"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50" w:type="dxa"/>
            <w:tcBorders>
              <w:top w:val="single" w:sz="4" w:space="0" w:color="auto"/>
              <w:bottom w:val="nil"/>
            </w:tcBorders>
          </w:tcPr>
          <w:p w14:paraId="0CF5C27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0.006±0.006</w:t>
            </w:r>
          </w:p>
        </w:tc>
        <w:tc>
          <w:tcPr>
            <w:tcW w:w="1350" w:type="dxa"/>
            <w:tcBorders>
              <w:top w:val="single" w:sz="4" w:space="0" w:color="auto"/>
              <w:bottom w:val="nil"/>
            </w:tcBorders>
          </w:tcPr>
          <w:p w14:paraId="4B3230F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0.011±0.006</w:t>
            </w:r>
          </w:p>
        </w:tc>
        <w:tc>
          <w:tcPr>
            <w:tcW w:w="1440" w:type="dxa"/>
            <w:tcBorders>
              <w:top w:val="single" w:sz="4" w:space="0" w:color="auto"/>
              <w:bottom w:val="nil"/>
            </w:tcBorders>
          </w:tcPr>
          <w:p w14:paraId="5F8C3BA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0.018±0.006</w:t>
            </w:r>
          </w:p>
        </w:tc>
        <w:tc>
          <w:tcPr>
            <w:tcW w:w="1440" w:type="dxa"/>
            <w:tcBorders>
              <w:top w:val="single" w:sz="4" w:space="0" w:color="auto"/>
              <w:bottom w:val="nil"/>
            </w:tcBorders>
          </w:tcPr>
          <w:p w14:paraId="21D8848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0.036±0.286</w:t>
            </w:r>
          </w:p>
        </w:tc>
        <w:tc>
          <w:tcPr>
            <w:tcW w:w="1350" w:type="dxa"/>
            <w:tcBorders>
              <w:top w:val="single" w:sz="4" w:space="0" w:color="auto"/>
              <w:bottom w:val="nil"/>
            </w:tcBorders>
          </w:tcPr>
          <w:p w14:paraId="0A60FE3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0.065±0.286</w:t>
            </w:r>
          </w:p>
        </w:tc>
        <w:tc>
          <w:tcPr>
            <w:tcW w:w="1398" w:type="dxa"/>
            <w:tcBorders>
              <w:top w:val="single" w:sz="4" w:space="0" w:color="auto"/>
              <w:bottom w:val="nil"/>
            </w:tcBorders>
          </w:tcPr>
          <w:p w14:paraId="46066A2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0.590±0.286</w:t>
            </w:r>
          </w:p>
        </w:tc>
      </w:tr>
      <w:tr w:rsidR="00BA6FD5" w:rsidRPr="00CE7561" w14:paraId="14BB7A49" w14:textId="77777777" w:rsidTr="00BE2B62">
        <w:tc>
          <w:tcPr>
            <w:tcW w:w="1170" w:type="dxa"/>
            <w:tcBorders>
              <w:top w:val="nil"/>
            </w:tcBorders>
          </w:tcPr>
          <w:p w14:paraId="6EF47B38"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50" w:type="dxa"/>
            <w:tcBorders>
              <w:top w:val="nil"/>
            </w:tcBorders>
          </w:tcPr>
          <w:p w14:paraId="342806F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0.003±0.002</w:t>
            </w:r>
          </w:p>
        </w:tc>
        <w:tc>
          <w:tcPr>
            <w:tcW w:w="1350" w:type="dxa"/>
            <w:tcBorders>
              <w:top w:val="nil"/>
            </w:tcBorders>
          </w:tcPr>
          <w:p w14:paraId="7E9FC95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Borders>
              <w:top w:val="nil"/>
            </w:tcBorders>
          </w:tcPr>
          <w:p w14:paraId="52FBA40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0.003±0.002</w:t>
            </w:r>
          </w:p>
        </w:tc>
        <w:tc>
          <w:tcPr>
            <w:tcW w:w="1440" w:type="dxa"/>
            <w:tcBorders>
              <w:top w:val="nil"/>
            </w:tcBorders>
          </w:tcPr>
          <w:p w14:paraId="1AD0C55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0.051±0.275</w:t>
            </w:r>
          </w:p>
        </w:tc>
        <w:tc>
          <w:tcPr>
            <w:tcW w:w="1350" w:type="dxa"/>
            <w:tcBorders>
              <w:top w:val="nil"/>
            </w:tcBorders>
          </w:tcPr>
          <w:p w14:paraId="562E51F2"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0.580±0.275</w:t>
            </w:r>
          </w:p>
        </w:tc>
        <w:tc>
          <w:tcPr>
            <w:tcW w:w="1398" w:type="dxa"/>
            <w:tcBorders>
              <w:top w:val="nil"/>
            </w:tcBorders>
          </w:tcPr>
          <w:p w14:paraId="4A0AA07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0.072±0.275</w:t>
            </w:r>
          </w:p>
        </w:tc>
      </w:tr>
      <w:tr w:rsidR="00BA6FD5" w:rsidRPr="00CE7561" w14:paraId="35C23E7D" w14:textId="77777777" w:rsidTr="00BE2B62">
        <w:tc>
          <w:tcPr>
            <w:tcW w:w="1170" w:type="dxa"/>
          </w:tcPr>
          <w:p w14:paraId="774EEFB3"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50" w:type="dxa"/>
          </w:tcPr>
          <w:p w14:paraId="2A4E942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0.002±0.002</w:t>
            </w:r>
          </w:p>
        </w:tc>
        <w:tc>
          <w:tcPr>
            <w:tcW w:w="1350" w:type="dxa"/>
          </w:tcPr>
          <w:p w14:paraId="2397366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0.004±0.002</w:t>
            </w:r>
          </w:p>
        </w:tc>
        <w:tc>
          <w:tcPr>
            <w:tcW w:w="1440" w:type="dxa"/>
          </w:tcPr>
          <w:p w14:paraId="7B0FB04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0.006±0.002</w:t>
            </w:r>
          </w:p>
        </w:tc>
        <w:tc>
          <w:tcPr>
            <w:tcW w:w="1440" w:type="dxa"/>
          </w:tcPr>
          <w:p w14:paraId="23EAE5A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0.041±0.163</w:t>
            </w:r>
          </w:p>
        </w:tc>
        <w:tc>
          <w:tcPr>
            <w:tcW w:w="1350" w:type="dxa"/>
          </w:tcPr>
          <w:p w14:paraId="0579A26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0.077±0.163</w:t>
            </w:r>
          </w:p>
        </w:tc>
        <w:tc>
          <w:tcPr>
            <w:tcW w:w="1398" w:type="dxa"/>
          </w:tcPr>
          <w:p w14:paraId="2658BFC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0.360±0.163</w:t>
            </w:r>
          </w:p>
        </w:tc>
      </w:tr>
      <w:tr w:rsidR="00BA6FD5" w:rsidRPr="00CE7561" w14:paraId="3CEEBA31" w14:textId="77777777" w:rsidTr="00BE2B62">
        <w:tc>
          <w:tcPr>
            <w:tcW w:w="1170" w:type="dxa"/>
          </w:tcPr>
          <w:p w14:paraId="77E40B49"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50" w:type="dxa"/>
          </w:tcPr>
          <w:p w14:paraId="0291F37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0.006±0.001</w:t>
            </w:r>
          </w:p>
        </w:tc>
        <w:tc>
          <w:tcPr>
            <w:tcW w:w="1350" w:type="dxa"/>
          </w:tcPr>
          <w:p w14:paraId="3436177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0.006±0.001</w:t>
            </w:r>
          </w:p>
        </w:tc>
        <w:tc>
          <w:tcPr>
            <w:tcW w:w="1440" w:type="dxa"/>
          </w:tcPr>
          <w:p w14:paraId="1A2FE88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0.007±0.001</w:t>
            </w:r>
          </w:p>
        </w:tc>
        <w:tc>
          <w:tcPr>
            <w:tcW w:w="1440" w:type="dxa"/>
          </w:tcPr>
          <w:p w14:paraId="3AF89D3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0.050±0.321</w:t>
            </w:r>
          </w:p>
        </w:tc>
        <w:tc>
          <w:tcPr>
            <w:tcW w:w="1350" w:type="dxa"/>
          </w:tcPr>
          <w:p w14:paraId="6EB54CA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0.640±0.321</w:t>
            </w:r>
          </w:p>
        </w:tc>
        <w:tc>
          <w:tcPr>
            <w:tcW w:w="1398" w:type="dxa"/>
          </w:tcPr>
          <w:p w14:paraId="3C4BA46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0.132±0.321</w:t>
            </w:r>
          </w:p>
        </w:tc>
      </w:tr>
      <w:tr w:rsidR="00BA6FD5" w:rsidRPr="00CE7561" w14:paraId="2B14616C" w14:textId="77777777" w:rsidTr="00BE2B62">
        <w:tc>
          <w:tcPr>
            <w:tcW w:w="1170" w:type="dxa"/>
          </w:tcPr>
          <w:p w14:paraId="2D69BB2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50" w:type="dxa"/>
          </w:tcPr>
          <w:p w14:paraId="4C3E6AD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350" w:type="dxa"/>
          </w:tcPr>
          <w:p w14:paraId="11967EF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5592C6E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7AE4F2E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0.210±0.090</w:t>
            </w:r>
          </w:p>
        </w:tc>
        <w:tc>
          <w:tcPr>
            <w:tcW w:w="1350" w:type="dxa"/>
          </w:tcPr>
          <w:p w14:paraId="3C46FB6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0.071±0.090</w:t>
            </w:r>
          </w:p>
        </w:tc>
        <w:tc>
          <w:tcPr>
            <w:tcW w:w="1398" w:type="dxa"/>
          </w:tcPr>
          <w:p w14:paraId="0A2791E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0.040±0.090</w:t>
            </w:r>
          </w:p>
        </w:tc>
      </w:tr>
      <w:tr w:rsidR="00BA6FD5" w:rsidRPr="00CE7561" w14:paraId="52015ABE" w14:textId="77777777" w:rsidTr="00BE2B62">
        <w:tc>
          <w:tcPr>
            <w:tcW w:w="1170" w:type="dxa"/>
          </w:tcPr>
          <w:p w14:paraId="47EA294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50" w:type="dxa"/>
          </w:tcPr>
          <w:p w14:paraId="7D3F4A3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0.004±0.001</w:t>
            </w:r>
          </w:p>
        </w:tc>
        <w:tc>
          <w:tcPr>
            <w:tcW w:w="1350" w:type="dxa"/>
          </w:tcPr>
          <w:p w14:paraId="000FC2C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77B0242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0.005±0.001</w:t>
            </w:r>
          </w:p>
        </w:tc>
        <w:tc>
          <w:tcPr>
            <w:tcW w:w="1440" w:type="dxa"/>
          </w:tcPr>
          <w:p w14:paraId="3B68FB6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0.180±0.089</w:t>
            </w:r>
          </w:p>
        </w:tc>
        <w:tc>
          <w:tcPr>
            <w:tcW w:w="1350" w:type="dxa"/>
          </w:tcPr>
          <w:p w14:paraId="4580E43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0.054±0.089</w:t>
            </w:r>
          </w:p>
        </w:tc>
        <w:tc>
          <w:tcPr>
            <w:tcW w:w="1398" w:type="dxa"/>
          </w:tcPr>
          <w:p w14:paraId="7CBF4D3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0.009±0.089</w:t>
            </w:r>
          </w:p>
        </w:tc>
      </w:tr>
      <w:tr w:rsidR="00BA6FD5" w:rsidRPr="00CE7561" w14:paraId="0FCCECB3" w14:textId="77777777" w:rsidTr="00BE2B62">
        <w:tc>
          <w:tcPr>
            <w:tcW w:w="1170" w:type="dxa"/>
          </w:tcPr>
          <w:p w14:paraId="1903144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50" w:type="dxa"/>
          </w:tcPr>
          <w:p w14:paraId="262E8951"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0.002±0.001</w:t>
            </w:r>
          </w:p>
        </w:tc>
        <w:tc>
          <w:tcPr>
            <w:tcW w:w="1350" w:type="dxa"/>
          </w:tcPr>
          <w:p w14:paraId="6256BCD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440" w:type="dxa"/>
          </w:tcPr>
          <w:p w14:paraId="349885B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440" w:type="dxa"/>
          </w:tcPr>
          <w:p w14:paraId="5A4D802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0.250±0.263</w:t>
            </w:r>
          </w:p>
        </w:tc>
        <w:tc>
          <w:tcPr>
            <w:tcW w:w="1350" w:type="dxa"/>
          </w:tcPr>
          <w:p w14:paraId="6A39985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0.098±0.263</w:t>
            </w:r>
          </w:p>
        </w:tc>
        <w:tc>
          <w:tcPr>
            <w:tcW w:w="1398" w:type="dxa"/>
          </w:tcPr>
          <w:p w14:paraId="3E95B1A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0.614±0.263</w:t>
            </w:r>
          </w:p>
        </w:tc>
      </w:tr>
      <w:tr w:rsidR="00BA6FD5" w:rsidRPr="00CE7561" w14:paraId="3AC79C10" w14:textId="77777777" w:rsidTr="00BE2B62">
        <w:tc>
          <w:tcPr>
            <w:tcW w:w="1170" w:type="dxa"/>
          </w:tcPr>
          <w:p w14:paraId="43A135C4"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50" w:type="dxa"/>
          </w:tcPr>
          <w:p w14:paraId="1A98768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0.001±0.001</w:t>
            </w:r>
          </w:p>
        </w:tc>
        <w:tc>
          <w:tcPr>
            <w:tcW w:w="1350" w:type="dxa"/>
          </w:tcPr>
          <w:p w14:paraId="6607AFB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ND</w:t>
            </w:r>
          </w:p>
        </w:tc>
        <w:tc>
          <w:tcPr>
            <w:tcW w:w="1440" w:type="dxa"/>
          </w:tcPr>
          <w:p w14:paraId="4FEE0DA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0.002±0.001</w:t>
            </w:r>
          </w:p>
        </w:tc>
        <w:tc>
          <w:tcPr>
            <w:tcW w:w="1440" w:type="dxa"/>
          </w:tcPr>
          <w:p w14:paraId="7A8E7C48"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0.022±0.032</w:t>
            </w:r>
          </w:p>
        </w:tc>
        <w:tc>
          <w:tcPr>
            <w:tcW w:w="1350" w:type="dxa"/>
          </w:tcPr>
          <w:p w14:paraId="4742D45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0.068±0.032</w:t>
            </w:r>
          </w:p>
        </w:tc>
        <w:tc>
          <w:tcPr>
            <w:tcW w:w="1398" w:type="dxa"/>
          </w:tcPr>
          <w:p w14:paraId="69D8BC9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0.087±0.032</w:t>
            </w:r>
          </w:p>
        </w:tc>
      </w:tr>
      <w:tr w:rsidR="00BA6FD5" w:rsidRPr="00CE7561" w14:paraId="70BC2767" w14:textId="77777777" w:rsidTr="00BE2B62">
        <w:tc>
          <w:tcPr>
            <w:tcW w:w="1170" w:type="dxa"/>
          </w:tcPr>
          <w:p w14:paraId="16BAD5ED"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50" w:type="dxa"/>
          </w:tcPr>
          <w:p w14:paraId="18AD9CD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0.007±0.003</w:t>
            </w:r>
          </w:p>
        </w:tc>
        <w:tc>
          <w:tcPr>
            <w:tcW w:w="1350" w:type="dxa"/>
          </w:tcPr>
          <w:p w14:paraId="5766E9B4"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0.009±0.003</w:t>
            </w:r>
          </w:p>
        </w:tc>
        <w:tc>
          <w:tcPr>
            <w:tcW w:w="1440" w:type="dxa"/>
          </w:tcPr>
          <w:p w14:paraId="2220731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0.012±0.003</w:t>
            </w:r>
          </w:p>
        </w:tc>
        <w:tc>
          <w:tcPr>
            <w:tcW w:w="1440" w:type="dxa"/>
          </w:tcPr>
          <w:p w14:paraId="51EAEA0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0.016±0.221</w:t>
            </w:r>
          </w:p>
        </w:tc>
        <w:tc>
          <w:tcPr>
            <w:tcW w:w="1350" w:type="dxa"/>
          </w:tcPr>
          <w:p w14:paraId="3C20F7B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0.102±0.221</w:t>
            </w:r>
          </w:p>
        </w:tc>
        <w:tc>
          <w:tcPr>
            <w:tcW w:w="1398" w:type="dxa"/>
          </w:tcPr>
          <w:p w14:paraId="57CD0EC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0.440±0.221</w:t>
            </w:r>
          </w:p>
        </w:tc>
      </w:tr>
      <w:tr w:rsidR="00BA6FD5" w:rsidRPr="00CE7561" w14:paraId="11B7F8A3" w14:textId="77777777" w:rsidTr="00BE2B62">
        <w:tc>
          <w:tcPr>
            <w:tcW w:w="1170" w:type="dxa"/>
          </w:tcPr>
          <w:p w14:paraId="7D408F14"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50" w:type="dxa"/>
          </w:tcPr>
          <w:p w14:paraId="30BDEB6D"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0.013±0.008</w:t>
            </w:r>
          </w:p>
        </w:tc>
        <w:tc>
          <w:tcPr>
            <w:tcW w:w="1350" w:type="dxa"/>
          </w:tcPr>
          <w:p w14:paraId="00FD838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0.002±0.008</w:t>
            </w:r>
          </w:p>
        </w:tc>
        <w:tc>
          <w:tcPr>
            <w:tcW w:w="1440" w:type="dxa"/>
          </w:tcPr>
          <w:p w14:paraId="18AA833E"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0.017±0.008</w:t>
            </w:r>
          </w:p>
        </w:tc>
        <w:tc>
          <w:tcPr>
            <w:tcW w:w="1440" w:type="dxa"/>
          </w:tcPr>
          <w:p w14:paraId="6079AEC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0.310±0.147</w:t>
            </w:r>
          </w:p>
        </w:tc>
        <w:tc>
          <w:tcPr>
            <w:tcW w:w="1350" w:type="dxa"/>
          </w:tcPr>
          <w:p w14:paraId="3732D1B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0.117±0.147</w:t>
            </w:r>
          </w:p>
        </w:tc>
        <w:tc>
          <w:tcPr>
            <w:tcW w:w="1398" w:type="dxa"/>
          </w:tcPr>
          <w:p w14:paraId="33A31060"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0.045±0.147</w:t>
            </w:r>
          </w:p>
        </w:tc>
      </w:tr>
      <w:tr w:rsidR="00BA6FD5" w:rsidRPr="00CE7561" w14:paraId="70E399B2" w14:textId="77777777" w:rsidTr="00BE2B62">
        <w:tc>
          <w:tcPr>
            <w:tcW w:w="1170" w:type="dxa"/>
          </w:tcPr>
          <w:p w14:paraId="59CA3CCF"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50" w:type="dxa"/>
          </w:tcPr>
          <w:p w14:paraId="3E8BC8DC"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0.007±0.002</w:t>
            </w:r>
          </w:p>
        </w:tc>
        <w:tc>
          <w:tcPr>
            <w:tcW w:w="1350" w:type="dxa"/>
          </w:tcPr>
          <w:p w14:paraId="13A57CD6"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0.005±0.002</w:t>
            </w:r>
          </w:p>
        </w:tc>
        <w:tc>
          <w:tcPr>
            <w:tcW w:w="1440" w:type="dxa"/>
          </w:tcPr>
          <w:p w14:paraId="4EB2DA35"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0.002±0.002</w:t>
            </w:r>
          </w:p>
        </w:tc>
        <w:tc>
          <w:tcPr>
            <w:tcW w:w="1440" w:type="dxa"/>
          </w:tcPr>
          <w:p w14:paraId="3E6A137F"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0.029±0.280</w:t>
            </w:r>
          </w:p>
        </w:tc>
        <w:tc>
          <w:tcPr>
            <w:tcW w:w="1350" w:type="dxa"/>
          </w:tcPr>
          <w:p w14:paraId="067ACCBA"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0.011±0.280</w:t>
            </w:r>
          </w:p>
        </w:tc>
        <w:tc>
          <w:tcPr>
            <w:tcW w:w="1398" w:type="dxa"/>
          </w:tcPr>
          <w:p w14:paraId="300CAA0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0.550±0.280</w:t>
            </w:r>
          </w:p>
        </w:tc>
      </w:tr>
      <w:tr w:rsidR="00BA6FD5" w:rsidRPr="00CE7561" w14:paraId="3A68C9DD" w14:textId="77777777" w:rsidTr="00BE2B62">
        <w:tc>
          <w:tcPr>
            <w:tcW w:w="1170" w:type="dxa"/>
          </w:tcPr>
          <w:p w14:paraId="668C229F" w14:textId="77777777" w:rsidR="00BA6FD5" w:rsidRPr="00CE7561" w:rsidRDefault="00BA6FD5" w:rsidP="00BE2B62">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50" w:type="dxa"/>
          </w:tcPr>
          <w:p w14:paraId="2919096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0.009±0.003</w:t>
            </w:r>
          </w:p>
        </w:tc>
        <w:tc>
          <w:tcPr>
            <w:tcW w:w="1350" w:type="dxa"/>
          </w:tcPr>
          <w:p w14:paraId="408A6D83"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0.004±0.003</w:t>
            </w:r>
          </w:p>
        </w:tc>
        <w:tc>
          <w:tcPr>
            <w:tcW w:w="1440" w:type="dxa"/>
          </w:tcPr>
          <w:p w14:paraId="1998242B"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0.008±0.003</w:t>
            </w:r>
          </w:p>
        </w:tc>
        <w:tc>
          <w:tcPr>
            <w:tcW w:w="1440" w:type="dxa"/>
          </w:tcPr>
          <w:p w14:paraId="7CB0367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0.019±0.027</w:t>
            </w:r>
          </w:p>
        </w:tc>
        <w:tc>
          <w:tcPr>
            <w:tcW w:w="1350" w:type="dxa"/>
          </w:tcPr>
          <w:p w14:paraId="0F26AA49"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0.047±0.027</w:t>
            </w:r>
          </w:p>
        </w:tc>
        <w:tc>
          <w:tcPr>
            <w:tcW w:w="1398" w:type="dxa"/>
          </w:tcPr>
          <w:p w14:paraId="595F5C67" w14:textId="77777777" w:rsidR="00BA6FD5" w:rsidRPr="00CE7561" w:rsidRDefault="00BA6FD5" w:rsidP="00BE2B62">
            <w:pPr>
              <w:jc w:val="center"/>
              <w:rPr>
                <w:rFonts w:ascii="Times New Roman" w:hAnsi="Times New Roman" w:cs="Times New Roman"/>
                <w:sz w:val="20"/>
                <w:szCs w:val="20"/>
              </w:rPr>
            </w:pPr>
            <w:r w:rsidRPr="00CE7561">
              <w:rPr>
                <w:rFonts w:ascii="Times New Roman" w:hAnsi="Times New Roman" w:cs="Times New Roman"/>
                <w:sz w:val="20"/>
                <w:szCs w:val="20"/>
              </w:rPr>
              <w:t>0.085±0.027</w:t>
            </w:r>
          </w:p>
        </w:tc>
      </w:tr>
    </w:tbl>
    <w:p w14:paraId="6114F315" w14:textId="77777777" w:rsidR="00F905A7" w:rsidRPr="00CE7561" w:rsidRDefault="00BE2B62" w:rsidP="00BA6FD5">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ND denotes not detected.  </w:t>
      </w:r>
    </w:p>
    <w:p w14:paraId="7A680AD9" w14:textId="77777777" w:rsidR="00776F52" w:rsidRDefault="00776F52" w:rsidP="00776F52">
      <w:pPr>
        <w:spacing w:after="120" w:line="276" w:lineRule="auto"/>
        <w:jc w:val="both"/>
        <w:rPr>
          <w:rFonts w:ascii="Times New Roman" w:hAnsi="Times New Roman" w:cs="Times New Roman"/>
          <w:sz w:val="20"/>
          <w:szCs w:val="20"/>
        </w:rPr>
      </w:pPr>
    </w:p>
    <w:p w14:paraId="64DFD7D6" w14:textId="77777777" w:rsidR="00776F52" w:rsidRPr="00CE7561" w:rsidRDefault="00776F52" w:rsidP="00776F52">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paired sample t-test results in Table 8 provide statistical evidence of significant seasonal differences in copper concentrations. The t-value of -6.4904, with a mean difference of -0.171364 mg/L between the wet and dry seasons, and an extremely low p-value of 6.98e-05, indicating a strong statistical seasonal difference between the wet and dry seasons. </w:t>
      </w:r>
    </w:p>
    <w:p w14:paraId="7BBE57A0" w14:textId="77777777" w:rsidR="00BA6FD5" w:rsidRPr="00CE7561" w:rsidRDefault="00A02153" w:rsidP="00F905A7">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8.</w:t>
      </w:r>
      <w:r w:rsidR="00BA6FD5" w:rsidRPr="00CE7561">
        <w:rPr>
          <w:rFonts w:ascii="Times New Roman" w:hAnsi="Times New Roman" w:cs="Times New Roman"/>
          <w:sz w:val="20"/>
          <w:szCs w:val="20"/>
        </w:rPr>
        <w:t xml:space="preserve"> </w:t>
      </w:r>
      <w:r w:rsidR="00BA6FD5" w:rsidRPr="00CE7561">
        <w:rPr>
          <w:rFonts w:ascii="Times New Roman" w:hAnsi="Times New Roman" w:cs="Times New Roman"/>
          <w:b/>
          <w:sz w:val="20"/>
          <w:szCs w:val="20"/>
        </w:rPr>
        <w:t>Paired sample t-test Results Comparing Copper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05"/>
        <w:gridCol w:w="1888"/>
        <w:gridCol w:w="2522"/>
        <w:gridCol w:w="2015"/>
        <w:gridCol w:w="1712"/>
      </w:tblGrid>
      <w:tr w:rsidR="00BA6FD5" w:rsidRPr="00CE7561" w14:paraId="4C997BE0" w14:textId="77777777" w:rsidTr="00F905A7">
        <w:trPr>
          <w:trHeight w:val="287"/>
        </w:trPr>
        <w:tc>
          <w:tcPr>
            <w:tcW w:w="1205" w:type="dxa"/>
            <w:vMerge w:val="restart"/>
          </w:tcPr>
          <w:p w14:paraId="50347DA6"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88" w:type="dxa"/>
            <w:vMerge w:val="restart"/>
          </w:tcPr>
          <w:p w14:paraId="08C53222"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37" w:type="dxa"/>
            <w:gridSpan w:val="2"/>
          </w:tcPr>
          <w:p w14:paraId="1020FA40"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2" w:type="dxa"/>
            <w:vMerge w:val="restart"/>
          </w:tcPr>
          <w:p w14:paraId="5C2D300E"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BA6FD5" w:rsidRPr="00CE7561" w14:paraId="224D34D4" w14:textId="77777777" w:rsidTr="00CF3123">
        <w:trPr>
          <w:trHeight w:val="188"/>
        </w:trPr>
        <w:tc>
          <w:tcPr>
            <w:tcW w:w="1205" w:type="dxa"/>
            <w:vMerge/>
          </w:tcPr>
          <w:p w14:paraId="373224B4" w14:textId="77777777" w:rsidR="00BA6FD5" w:rsidRPr="00CE7561" w:rsidRDefault="00BA6FD5" w:rsidP="00F905A7">
            <w:pPr>
              <w:jc w:val="both"/>
              <w:rPr>
                <w:rFonts w:ascii="Times New Roman" w:hAnsi="Times New Roman" w:cs="Times New Roman"/>
                <w:sz w:val="20"/>
                <w:szCs w:val="20"/>
              </w:rPr>
            </w:pPr>
          </w:p>
        </w:tc>
        <w:tc>
          <w:tcPr>
            <w:tcW w:w="1888" w:type="dxa"/>
            <w:vMerge/>
          </w:tcPr>
          <w:p w14:paraId="19B6EF8D" w14:textId="77777777" w:rsidR="00BA6FD5" w:rsidRPr="00CE7561" w:rsidRDefault="00BA6FD5" w:rsidP="00F905A7">
            <w:pPr>
              <w:jc w:val="both"/>
              <w:rPr>
                <w:rFonts w:ascii="Times New Roman" w:hAnsi="Times New Roman" w:cs="Times New Roman"/>
                <w:sz w:val="20"/>
                <w:szCs w:val="20"/>
              </w:rPr>
            </w:pPr>
          </w:p>
        </w:tc>
        <w:tc>
          <w:tcPr>
            <w:tcW w:w="2522" w:type="dxa"/>
          </w:tcPr>
          <w:p w14:paraId="1A10A5C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15" w:type="dxa"/>
          </w:tcPr>
          <w:p w14:paraId="0BB3931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2" w:type="dxa"/>
            <w:vMerge/>
          </w:tcPr>
          <w:p w14:paraId="031D9E43" w14:textId="77777777" w:rsidR="00BA6FD5" w:rsidRPr="00CE7561" w:rsidRDefault="00BA6FD5" w:rsidP="00F905A7">
            <w:pPr>
              <w:jc w:val="both"/>
              <w:rPr>
                <w:rFonts w:ascii="Times New Roman" w:hAnsi="Times New Roman" w:cs="Times New Roman"/>
                <w:sz w:val="20"/>
                <w:szCs w:val="20"/>
              </w:rPr>
            </w:pPr>
          </w:p>
        </w:tc>
      </w:tr>
      <w:tr w:rsidR="00BA6FD5" w:rsidRPr="00CE7561" w14:paraId="705300FF" w14:textId="77777777" w:rsidTr="00CF3123">
        <w:trPr>
          <w:trHeight w:val="188"/>
        </w:trPr>
        <w:tc>
          <w:tcPr>
            <w:tcW w:w="1205" w:type="dxa"/>
          </w:tcPr>
          <w:p w14:paraId="06F05D3F"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-6.4904</w:t>
            </w:r>
          </w:p>
        </w:tc>
        <w:tc>
          <w:tcPr>
            <w:tcW w:w="1888" w:type="dxa"/>
          </w:tcPr>
          <w:p w14:paraId="4E35F528"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-0.171364</w:t>
            </w:r>
          </w:p>
        </w:tc>
        <w:tc>
          <w:tcPr>
            <w:tcW w:w="2522" w:type="dxa"/>
          </w:tcPr>
          <w:p w14:paraId="070ACD03"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-0.230192</w:t>
            </w:r>
          </w:p>
        </w:tc>
        <w:tc>
          <w:tcPr>
            <w:tcW w:w="2015" w:type="dxa"/>
          </w:tcPr>
          <w:p w14:paraId="44679886"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-0.112535</w:t>
            </w:r>
          </w:p>
        </w:tc>
        <w:tc>
          <w:tcPr>
            <w:tcW w:w="1712" w:type="dxa"/>
          </w:tcPr>
          <w:p w14:paraId="55531B81" w14:textId="77777777" w:rsidR="00BA6FD5" w:rsidRPr="00CE7561" w:rsidRDefault="00BA6FD5" w:rsidP="00F905A7">
            <w:pPr>
              <w:jc w:val="both"/>
              <w:rPr>
                <w:rFonts w:ascii="Times New Roman" w:hAnsi="Times New Roman" w:cs="Times New Roman"/>
                <w:sz w:val="20"/>
                <w:szCs w:val="20"/>
              </w:rPr>
            </w:pPr>
            <w:r w:rsidRPr="00CE7561">
              <w:rPr>
                <w:rFonts w:ascii="Times New Roman" w:hAnsi="Times New Roman" w:cs="Times New Roman"/>
                <w:sz w:val="20"/>
                <w:szCs w:val="20"/>
              </w:rPr>
              <w:t>6.98e-05</w:t>
            </w:r>
          </w:p>
        </w:tc>
      </w:tr>
    </w:tbl>
    <w:p w14:paraId="3B5A2E5F" w14:textId="77777777" w:rsidR="009948D1" w:rsidRDefault="009948D1" w:rsidP="002B3639">
      <w:pPr>
        <w:spacing w:after="120" w:line="276" w:lineRule="auto"/>
        <w:jc w:val="both"/>
        <w:rPr>
          <w:rFonts w:ascii="Times New Roman" w:hAnsi="Times New Roman" w:cs="Times New Roman"/>
          <w:sz w:val="20"/>
          <w:szCs w:val="20"/>
        </w:rPr>
      </w:pPr>
    </w:p>
    <w:p w14:paraId="69052502" w14:textId="77777777" w:rsidR="00BA6FD5" w:rsidRPr="00CE7561" w:rsidRDefault="00BA6FD5" w:rsidP="00E8280C">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lastRenderedPageBreak/>
        <w:drawing>
          <wp:inline distT="0" distB="0" distL="0" distR="0" wp14:anchorId="7CE896FF" wp14:editId="01F59E71">
            <wp:extent cx="3905250" cy="254378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9826" cy="2546767"/>
                    </a:xfrm>
                    <a:prstGeom prst="rect">
                      <a:avLst/>
                    </a:prstGeom>
                    <a:noFill/>
                    <a:ln>
                      <a:noFill/>
                    </a:ln>
                  </pic:spPr>
                </pic:pic>
              </a:graphicData>
            </a:graphic>
          </wp:inline>
        </w:drawing>
      </w:r>
    </w:p>
    <w:p w14:paraId="0569A43B" w14:textId="77777777" w:rsidR="004F0BBB" w:rsidRPr="00CE7561" w:rsidRDefault="00A73DD0" w:rsidP="00E8280C">
      <w:pPr>
        <w:spacing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4.</w:t>
      </w:r>
      <w:r w:rsidR="00BA6FD5" w:rsidRPr="00CE7561">
        <w:rPr>
          <w:rFonts w:ascii="Times New Roman" w:hAnsi="Times New Roman" w:cs="Times New Roman"/>
          <w:b/>
          <w:sz w:val="20"/>
          <w:szCs w:val="20"/>
        </w:rPr>
        <w:t xml:space="preserve"> Copper concentration in Borehole Water Samples in Enugu North LGA</w:t>
      </w:r>
    </w:p>
    <w:p w14:paraId="5C354D94" w14:textId="1AD2640C" w:rsidR="00CC215C" w:rsidRPr="00CC215C" w:rsidRDefault="00CC215C" w:rsidP="00CC215C">
      <w:pPr>
        <w:spacing w:after="120"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The analysis of lead concentrations in borehole water samples from Enugu North Local Government Area reveals varying levels of contamination across wet and dry seasons, as detailed in Table 9, and visualized in Figure 5. </w:t>
      </w:r>
      <w:r>
        <w:rPr>
          <w:rFonts w:ascii="Times New Roman" w:hAnsi="Times New Roman" w:cs="Times New Roman"/>
          <w:sz w:val="20"/>
          <w:szCs w:val="20"/>
        </w:rPr>
        <w:t xml:space="preserve"> </w:t>
      </w:r>
      <w:r w:rsidRPr="002F3791">
        <w:rPr>
          <w:rFonts w:ascii="Times New Roman" w:eastAsia="Times New Roman" w:hAnsi="Times New Roman" w:cs="Times New Roman"/>
          <w:sz w:val="20"/>
          <w:szCs w:val="24"/>
        </w:rPr>
        <w:t xml:space="preserve">In the </w:t>
      </w:r>
      <w:r w:rsidRPr="006829BC">
        <w:rPr>
          <w:rFonts w:ascii="Times New Roman" w:eastAsia="Times New Roman" w:hAnsi="Times New Roman" w:cs="Times New Roman"/>
          <w:bCs/>
          <w:sz w:val="20"/>
          <w:szCs w:val="24"/>
        </w:rPr>
        <w:t>wet season</w:t>
      </w:r>
      <w:r w:rsidRPr="002F3791">
        <w:rPr>
          <w:rFonts w:ascii="Times New Roman" w:eastAsia="Times New Roman" w:hAnsi="Times New Roman" w:cs="Times New Roman"/>
          <w:sz w:val="20"/>
          <w:szCs w:val="24"/>
        </w:rPr>
        <w:t xml:space="preserve">, lead concentrations across the samples were relatively low, with many samples exhibiting values close to or below the detection limit. For example, samples 2, 3, 7, and 8 recorded concentrations of </w:t>
      </w:r>
      <w:r w:rsidRPr="006829BC">
        <w:rPr>
          <w:rFonts w:ascii="Times New Roman" w:eastAsia="Times New Roman" w:hAnsi="Times New Roman" w:cs="Times New Roman"/>
          <w:bCs/>
          <w:sz w:val="20"/>
          <w:szCs w:val="24"/>
        </w:rPr>
        <w:t>ND</w:t>
      </w:r>
      <w:r w:rsidRPr="002F3791">
        <w:rPr>
          <w:rFonts w:ascii="Times New Roman" w:eastAsia="Times New Roman" w:hAnsi="Times New Roman" w:cs="Times New Roman"/>
          <w:sz w:val="20"/>
          <w:szCs w:val="24"/>
        </w:rPr>
        <w:t xml:space="preserve"> (not detected) during most of the wet season months, emphasizing the absence or minimal presence of lead in these samples. For those that did show lead concentrations, the values remained within the range of 0.001 to 0.020 mg/L, with sample 12 recording the highest concentration of 0.030 mg/L in June.</w:t>
      </w:r>
      <w:r>
        <w:rPr>
          <w:rFonts w:ascii="Times New Roman" w:eastAsia="Times New Roman" w:hAnsi="Times New Roman" w:cs="Times New Roman"/>
          <w:sz w:val="20"/>
          <w:szCs w:val="24"/>
        </w:rPr>
        <w:t xml:space="preserve"> </w:t>
      </w:r>
      <w:r w:rsidRPr="002F3791">
        <w:rPr>
          <w:rFonts w:ascii="Times New Roman" w:eastAsia="Times New Roman" w:hAnsi="Times New Roman" w:cs="Times New Roman"/>
          <w:sz w:val="20"/>
          <w:szCs w:val="24"/>
        </w:rPr>
        <w:t xml:space="preserve">During the </w:t>
      </w:r>
      <w:r w:rsidRPr="006829BC">
        <w:rPr>
          <w:rFonts w:ascii="Times New Roman" w:eastAsia="Times New Roman" w:hAnsi="Times New Roman" w:cs="Times New Roman"/>
          <w:bCs/>
          <w:sz w:val="20"/>
          <w:szCs w:val="24"/>
        </w:rPr>
        <w:t>dry season</w:t>
      </w:r>
      <w:r w:rsidRPr="002F3791">
        <w:rPr>
          <w:rFonts w:ascii="Times New Roman" w:eastAsia="Times New Roman" w:hAnsi="Times New Roman" w:cs="Times New Roman"/>
          <w:sz w:val="20"/>
          <w:szCs w:val="24"/>
        </w:rPr>
        <w:t xml:space="preserve">, lead concentrations showed more variability. Several samples showed higher values compared to the wet season, with sample 10 exhibiting a significant increase in January, reaching 0.050 mg/L, as well as sample 2, which increased to 0.040 mg/L in January. Other samples, such as sample 1, also showed increased concentrations from 0.004 mg/L in June to 0.010 mg/L in January. </w:t>
      </w:r>
      <w:r w:rsidRPr="00C621E5">
        <w:rPr>
          <w:rFonts w:ascii="Times New Roman" w:hAnsi="Times New Roman" w:cs="Times New Roman"/>
          <w:sz w:val="20"/>
        </w:rPr>
        <w:t>Despite these seasonal increases, lead concentrations in many samples remained low throughout both seasons, suggesting that the borehole water in this area may not be severely contaminated by lead</w:t>
      </w:r>
      <w:r>
        <w:rPr>
          <w:rFonts w:ascii="Times New Roman" w:hAnsi="Times New Roman" w:cs="Times New Roman"/>
          <w:sz w:val="20"/>
        </w:rPr>
        <w:t>.</w:t>
      </w:r>
    </w:p>
    <w:p w14:paraId="40CE317E" w14:textId="77777777" w:rsidR="00E8280C" w:rsidRPr="00CE7561" w:rsidRDefault="00E8280C" w:rsidP="009A4911">
      <w:pPr>
        <w:spacing w:after="0" w:line="276" w:lineRule="auto"/>
        <w:jc w:val="both"/>
        <w:rPr>
          <w:rFonts w:ascii="Times New Roman" w:hAnsi="Times New Roman" w:cs="Times New Roman"/>
          <w:sz w:val="20"/>
          <w:szCs w:val="20"/>
        </w:rPr>
      </w:pPr>
      <w:r w:rsidRPr="00CE7561">
        <w:rPr>
          <w:rFonts w:ascii="Times New Roman" w:hAnsi="Times New Roman" w:cs="Times New Roman"/>
          <w:b/>
          <w:sz w:val="20"/>
          <w:szCs w:val="20"/>
        </w:rPr>
        <w:t>Table 9.</w:t>
      </w:r>
      <w:r w:rsidRPr="00CE7561">
        <w:rPr>
          <w:rFonts w:ascii="Times New Roman" w:hAnsi="Times New Roman" w:cs="Times New Roman"/>
          <w:sz w:val="20"/>
          <w:szCs w:val="20"/>
        </w:rPr>
        <w:t xml:space="preserve"> </w:t>
      </w:r>
      <w:r w:rsidRPr="00CE7561">
        <w:rPr>
          <w:rFonts w:ascii="Times New Roman" w:hAnsi="Times New Roman" w:cs="Times New Roman"/>
          <w:b/>
          <w:sz w:val="20"/>
          <w:szCs w:val="20"/>
        </w:rPr>
        <w:t>Seasonal Variations in Lead Concentration in Borehole Water Samples in Enugu North LGA</w:t>
      </w:r>
    </w:p>
    <w:tbl>
      <w:tblPr>
        <w:tblStyle w:val="TableGrid"/>
        <w:tblW w:w="94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334"/>
        <w:gridCol w:w="1334"/>
        <w:gridCol w:w="1334"/>
        <w:gridCol w:w="1334"/>
        <w:gridCol w:w="1334"/>
        <w:gridCol w:w="1422"/>
      </w:tblGrid>
      <w:tr w:rsidR="00E8280C" w:rsidRPr="00CE7561" w14:paraId="0C7BED6F" w14:textId="77777777" w:rsidTr="00E8280C">
        <w:trPr>
          <w:trHeight w:val="219"/>
        </w:trPr>
        <w:tc>
          <w:tcPr>
            <w:tcW w:w="1310" w:type="dxa"/>
            <w:tcBorders>
              <w:top w:val="single" w:sz="4" w:space="0" w:color="auto"/>
              <w:bottom w:val="single" w:sz="4" w:space="0" w:color="auto"/>
            </w:tcBorders>
          </w:tcPr>
          <w:p w14:paraId="414D823E" w14:textId="77777777" w:rsidR="00E8280C" w:rsidRPr="00CE7561" w:rsidRDefault="00E8280C" w:rsidP="00E8280C">
            <w:pPr>
              <w:pStyle w:val="Heading1"/>
              <w:shd w:val="clear" w:color="auto" w:fill="FFFFFF"/>
              <w:spacing w:before="0" w:beforeAutospacing="0" w:after="0" w:afterAutospacing="0"/>
              <w:jc w:val="both"/>
              <w:outlineLvl w:val="0"/>
              <w:rPr>
                <w:sz w:val="20"/>
                <w:szCs w:val="20"/>
              </w:rPr>
            </w:pPr>
            <w:r w:rsidRPr="00CE7561">
              <w:rPr>
                <w:sz w:val="20"/>
                <w:szCs w:val="20"/>
              </w:rPr>
              <w:t>Pb (mg/l)</w:t>
            </w:r>
          </w:p>
        </w:tc>
        <w:tc>
          <w:tcPr>
            <w:tcW w:w="4002" w:type="dxa"/>
            <w:gridSpan w:val="3"/>
            <w:tcBorders>
              <w:top w:val="single" w:sz="4" w:space="0" w:color="auto"/>
              <w:bottom w:val="single" w:sz="4" w:space="0" w:color="auto"/>
            </w:tcBorders>
          </w:tcPr>
          <w:p w14:paraId="558A6BB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90" w:type="dxa"/>
            <w:gridSpan w:val="3"/>
            <w:tcBorders>
              <w:top w:val="single" w:sz="4" w:space="0" w:color="auto"/>
              <w:bottom w:val="single" w:sz="4" w:space="0" w:color="auto"/>
            </w:tcBorders>
          </w:tcPr>
          <w:p w14:paraId="3A529070"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E8280C" w:rsidRPr="00CE7561" w14:paraId="0DE22914" w14:textId="77777777" w:rsidTr="00E8280C">
        <w:trPr>
          <w:trHeight w:val="219"/>
        </w:trPr>
        <w:tc>
          <w:tcPr>
            <w:tcW w:w="1310" w:type="dxa"/>
            <w:tcBorders>
              <w:top w:val="single" w:sz="4" w:space="0" w:color="auto"/>
              <w:bottom w:val="single" w:sz="4" w:space="0" w:color="auto"/>
            </w:tcBorders>
          </w:tcPr>
          <w:p w14:paraId="09507F83" w14:textId="77777777" w:rsidR="00E8280C" w:rsidRPr="00CE7561" w:rsidRDefault="00E8280C" w:rsidP="00E8280C">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34" w:type="dxa"/>
            <w:tcBorders>
              <w:top w:val="single" w:sz="4" w:space="0" w:color="auto"/>
              <w:bottom w:val="single" w:sz="4" w:space="0" w:color="auto"/>
            </w:tcBorders>
          </w:tcPr>
          <w:p w14:paraId="7038834D"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34" w:type="dxa"/>
            <w:tcBorders>
              <w:top w:val="single" w:sz="4" w:space="0" w:color="auto"/>
              <w:bottom w:val="single" w:sz="4" w:space="0" w:color="auto"/>
            </w:tcBorders>
          </w:tcPr>
          <w:p w14:paraId="4312227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34" w:type="dxa"/>
            <w:tcBorders>
              <w:top w:val="single" w:sz="4" w:space="0" w:color="auto"/>
              <w:bottom w:val="single" w:sz="4" w:space="0" w:color="auto"/>
            </w:tcBorders>
          </w:tcPr>
          <w:p w14:paraId="29C06AD3"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34" w:type="dxa"/>
            <w:tcBorders>
              <w:top w:val="single" w:sz="4" w:space="0" w:color="auto"/>
              <w:bottom w:val="single" w:sz="4" w:space="0" w:color="auto"/>
            </w:tcBorders>
          </w:tcPr>
          <w:p w14:paraId="55CEDA59"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34" w:type="dxa"/>
            <w:tcBorders>
              <w:top w:val="single" w:sz="4" w:space="0" w:color="auto"/>
              <w:bottom w:val="single" w:sz="4" w:space="0" w:color="auto"/>
            </w:tcBorders>
          </w:tcPr>
          <w:p w14:paraId="7B9B5CEC"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422" w:type="dxa"/>
            <w:tcBorders>
              <w:top w:val="single" w:sz="4" w:space="0" w:color="auto"/>
              <w:bottom w:val="single" w:sz="4" w:space="0" w:color="auto"/>
            </w:tcBorders>
          </w:tcPr>
          <w:p w14:paraId="1248CCB6" w14:textId="77777777" w:rsidR="00E8280C" w:rsidRPr="00CE7561" w:rsidRDefault="00E8280C" w:rsidP="00A463DD">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E8280C" w:rsidRPr="00CE7561" w14:paraId="5214F8E3" w14:textId="77777777" w:rsidTr="00E8280C">
        <w:trPr>
          <w:trHeight w:val="262"/>
        </w:trPr>
        <w:tc>
          <w:tcPr>
            <w:tcW w:w="1310" w:type="dxa"/>
            <w:tcBorders>
              <w:top w:val="single" w:sz="4" w:space="0" w:color="auto"/>
              <w:bottom w:val="nil"/>
            </w:tcBorders>
          </w:tcPr>
          <w:p w14:paraId="384E984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34" w:type="dxa"/>
            <w:tcBorders>
              <w:top w:val="single" w:sz="4" w:space="0" w:color="auto"/>
              <w:bottom w:val="nil"/>
            </w:tcBorders>
          </w:tcPr>
          <w:p w14:paraId="3A3444C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Borders>
              <w:top w:val="single" w:sz="4" w:space="0" w:color="auto"/>
              <w:bottom w:val="nil"/>
            </w:tcBorders>
          </w:tcPr>
          <w:p w14:paraId="023FDC4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0.007±0.002</w:t>
            </w:r>
          </w:p>
        </w:tc>
        <w:tc>
          <w:tcPr>
            <w:tcW w:w="1334" w:type="dxa"/>
            <w:tcBorders>
              <w:top w:val="single" w:sz="4" w:space="0" w:color="auto"/>
              <w:bottom w:val="nil"/>
            </w:tcBorders>
          </w:tcPr>
          <w:p w14:paraId="66F2D3B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c>
          <w:tcPr>
            <w:tcW w:w="1334" w:type="dxa"/>
            <w:tcBorders>
              <w:top w:val="single" w:sz="4" w:space="0" w:color="auto"/>
              <w:bottom w:val="nil"/>
            </w:tcBorders>
          </w:tcPr>
          <w:p w14:paraId="0CB1866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0.001±0.004</w:t>
            </w:r>
          </w:p>
        </w:tc>
        <w:tc>
          <w:tcPr>
            <w:tcW w:w="1334" w:type="dxa"/>
            <w:tcBorders>
              <w:top w:val="single" w:sz="4" w:space="0" w:color="auto"/>
              <w:bottom w:val="nil"/>
            </w:tcBorders>
          </w:tcPr>
          <w:p w14:paraId="117DE34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0.005±0.004</w:t>
            </w:r>
          </w:p>
        </w:tc>
        <w:tc>
          <w:tcPr>
            <w:tcW w:w="1422" w:type="dxa"/>
            <w:tcBorders>
              <w:top w:val="single" w:sz="4" w:space="0" w:color="auto"/>
              <w:bottom w:val="nil"/>
            </w:tcBorders>
          </w:tcPr>
          <w:p w14:paraId="2583F32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0.010±0.004</w:t>
            </w:r>
          </w:p>
        </w:tc>
      </w:tr>
      <w:tr w:rsidR="00E8280C" w:rsidRPr="00CE7561" w14:paraId="35A38645" w14:textId="77777777" w:rsidTr="00E8280C">
        <w:trPr>
          <w:trHeight w:val="262"/>
        </w:trPr>
        <w:tc>
          <w:tcPr>
            <w:tcW w:w="1310" w:type="dxa"/>
            <w:tcBorders>
              <w:top w:val="nil"/>
            </w:tcBorders>
          </w:tcPr>
          <w:p w14:paraId="099CF9C1"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34" w:type="dxa"/>
            <w:tcBorders>
              <w:top w:val="nil"/>
            </w:tcBorders>
          </w:tcPr>
          <w:p w14:paraId="66261A0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Borders>
              <w:top w:val="nil"/>
            </w:tcBorders>
          </w:tcPr>
          <w:p w14:paraId="5EC28D1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Borders>
              <w:top w:val="nil"/>
            </w:tcBorders>
          </w:tcPr>
          <w:p w14:paraId="68AB647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34" w:type="dxa"/>
            <w:tcBorders>
              <w:top w:val="nil"/>
            </w:tcBorders>
          </w:tcPr>
          <w:p w14:paraId="1239795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0.003±0.019</w:t>
            </w:r>
          </w:p>
        </w:tc>
        <w:tc>
          <w:tcPr>
            <w:tcW w:w="1334" w:type="dxa"/>
            <w:tcBorders>
              <w:top w:val="nil"/>
            </w:tcBorders>
          </w:tcPr>
          <w:p w14:paraId="41F148E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0.001±0.019</w:t>
            </w:r>
          </w:p>
        </w:tc>
        <w:tc>
          <w:tcPr>
            <w:tcW w:w="1422" w:type="dxa"/>
            <w:tcBorders>
              <w:top w:val="nil"/>
            </w:tcBorders>
          </w:tcPr>
          <w:p w14:paraId="6086FCF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0.040±0.019</w:t>
            </w:r>
          </w:p>
        </w:tc>
      </w:tr>
      <w:tr w:rsidR="00E8280C" w:rsidRPr="00CE7561" w14:paraId="5FA125D0" w14:textId="77777777" w:rsidTr="00E8280C">
        <w:trPr>
          <w:trHeight w:val="279"/>
        </w:trPr>
        <w:tc>
          <w:tcPr>
            <w:tcW w:w="1310" w:type="dxa"/>
          </w:tcPr>
          <w:p w14:paraId="5D62C62D"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34" w:type="dxa"/>
          </w:tcPr>
          <w:p w14:paraId="3159A6A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0.008±0.003</w:t>
            </w:r>
          </w:p>
        </w:tc>
        <w:tc>
          <w:tcPr>
            <w:tcW w:w="1334" w:type="dxa"/>
          </w:tcPr>
          <w:p w14:paraId="575A591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019733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0.003±0.003</w:t>
            </w:r>
          </w:p>
        </w:tc>
        <w:tc>
          <w:tcPr>
            <w:tcW w:w="1334" w:type="dxa"/>
          </w:tcPr>
          <w:p w14:paraId="2B66025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c>
          <w:tcPr>
            <w:tcW w:w="1334" w:type="dxa"/>
          </w:tcPr>
          <w:p w14:paraId="037472A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0.002±0.002</w:t>
            </w:r>
          </w:p>
        </w:tc>
        <w:tc>
          <w:tcPr>
            <w:tcW w:w="1422" w:type="dxa"/>
          </w:tcPr>
          <w:p w14:paraId="255F99E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r>
      <w:tr w:rsidR="00E8280C" w:rsidRPr="00CE7561" w14:paraId="03138E17" w14:textId="77777777" w:rsidTr="00E8280C">
        <w:trPr>
          <w:trHeight w:val="262"/>
        </w:trPr>
        <w:tc>
          <w:tcPr>
            <w:tcW w:w="1310" w:type="dxa"/>
          </w:tcPr>
          <w:p w14:paraId="44347B0C"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34" w:type="dxa"/>
          </w:tcPr>
          <w:p w14:paraId="2C61571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0.010±0.007</w:t>
            </w:r>
          </w:p>
        </w:tc>
        <w:tc>
          <w:tcPr>
            <w:tcW w:w="1334" w:type="dxa"/>
          </w:tcPr>
          <w:p w14:paraId="2D5633F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5F14702F"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2E2092A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Pr>
          <w:p w14:paraId="32A76A90"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0.009±0.005</w:t>
            </w:r>
          </w:p>
        </w:tc>
        <w:tc>
          <w:tcPr>
            <w:tcW w:w="1422" w:type="dxa"/>
          </w:tcPr>
          <w:p w14:paraId="5BAFD1E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r>
      <w:tr w:rsidR="00E8280C" w:rsidRPr="00CE7561" w14:paraId="43512BE0" w14:textId="77777777" w:rsidTr="00E8280C">
        <w:trPr>
          <w:trHeight w:val="262"/>
        </w:trPr>
        <w:tc>
          <w:tcPr>
            <w:tcW w:w="1310" w:type="dxa"/>
          </w:tcPr>
          <w:p w14:paraId="203ECAAB"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34" w:type="dxa"/>
          </w:tcPr>
          <w:p w14:paraId="23F1D27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0.020±0.008</w:t>
            </w:r>
          </w:p>
        </w:tc>
        <w:tc>
          <w:tcPr>
            <w:tcW w:w="1334" w:type="dxa"/>
          </w:tcPr>
          <w:p w14:paraId="0F23457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0.006±0.008</w:t>
            </w:r>
          </w:p>
        </w:tc>
        <w:tc>
          <w:tcPr>
            <w:tcW w:w="1334" w:type="dxa"/>
          </w:tcPr>
          <w:p w14:paraId="572CCF3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0.004±0.008</w:t>
            </w:r>
          </w:p>
        </w:tc>
        <w:tc>
          <w:tcPr>
            <w:tcW w:w="1334" w:type="dxa"/>
          </w:tcPr>
          <w:p w14:paraId="6D15EA1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Pr>
          <w:p w14:paraId="7CC232E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0.005±0.002</w:t>
            </w:r>
          </w:p>
        </w:tc>
        <w:tc>
          <w:tcPr>
            <w:tcW w:w="1422" w:type="dxa"/>
          </w:tcPr>
          <w:p w14:paraId="412854F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r>
      <w:tr w:rsidR="00E8280C" w:rsidRPr="00CE7561" w14:paraId="1507B17A" w14:textId="77777777" w:rsidTr="00E8280C">
        <w:trPr>
          <w:trHeight w:val="279"/>
        </w:trPr>
        <w:tc>
          <w:tcPr>
            <w:tcW w:w="1310" w:type="dxa"/>
          </w:tcPr>
          <w:p w14:paraId="1C0D1289"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34" w:type="dxa"/>
          </w:tcPr>
          <w:p w14:paraId="3C8CC34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7F2D16EB"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34" w:type="dxa"/>
          </w:tcPr>
          <w:p w14:paraId="7FD52D2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34" w:type="dxa"/>
          </w:tcPr>
          <w:p w14:paraId="303328A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0.010±0.016</w:t>
            </w:r>
          </w:p>
        </w:tc>
        <w:tc>
          <w:tcPr>
            <w:tcW w:w="1334" w:type="dxa"/>
          </w:tcPr>
          <w:p w14:paraId="35AAB07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0.040±0.016</w:t>
            </w:r>
          </w:p>
        </w:tc>
        <w:tc>
          <w:tcPr>
            <w:tcW w:w="1422" w:type="dxa"/>
          </w:tcPr>
          <w:p w14:paraId="7041528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0.020±0.016</w:t>
            </w:r>
          </w:p>
        </w:tc>
      </w:tr>
      <w:tr w:rsidR="00E8280C" w:rsidRPr="00CE7561" w14:paraId="45C65412" w14:textId="77777777" w:rsidTr="00E8280C">
        <w:trPr>
          <w:trHeight w:val="262"/>
        </w:trPr>
        <w:tc>
          <w:tcPr>
            <w:tcW w:w="1310" w:type="dxa"/>
          </w:tcPr>
          <w:p w14:paraId="63306438"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34" w:type="dxa"/>
          </w:tcPr>
          <w:p w14:paraId="52819C7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0.005±0.003</w:t>
            </w:r>
          </w:p>
        </w:tc>
        <w:tc>
          <w:tcPr>
            <w:tcW w:w="1334" w:type="dxa"/>
          </w:tcPr>
          <w:p w14:paraId="515BB50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63CB1C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0.006±0.003</w:t>
            </w:r>
          </w:p>
        </w:tc>
        <w:tc>
          <w:tcPr>
            <w:tcW w:w="1334" w:type="dxa"/>
          </w:tcPr>
          <w:p w14:paraId="217DBA4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6F60D19E"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70569CB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E8280C" w:rsidRPr="00CE7561" w14:paraId="25C831E8" w14:textId="77777777" w:rsidTr="00E8280C">
        <w:trPr>
          <w:trHeight w:val="262"/>
        </w:trPr>
        <w:tc>
          <w:tcPr>
            <w:tcW w:w="1310" w:type="dxa"/>
          </w:tcPr>
          <w:p w14:paraId="649416AC"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34" w:type="dxa"/>
          </w:tcPr>
          <w:p w14:paraId="2036A00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0.001±0.001</w:t>
            </w:r>
          </w:p>
        </w:tc>
        <w:tc>
          <w:tcPr>
            <w:tcW w:w="1334" w:type="dxa"/>
          </w:tcPr>
          <w:p w14:paraId="6AA6C4D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1ADAA68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51335FE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3AF24EF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422" w:type="dxa"/>
          </w:tcPr>
          <w:p w14:paraId="7CCB7EB0"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E8280C" w:rsidRPr="00CE7561" w14:paraId="20960F67" w14:textId="77777777" w:rsidTr="00E8280C">
        <w:trPr>
          <w:trHeight w:val="279"/>
        </w:trPr>
        <w:tc>
          <w:tcPr>
            <w:tcW w:w="1310" w:type="dxa"/>
          </w:tcPr>
          <w:p w14:paraId="0C2F5073"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34" w:type="dxa"/>
          </w:tcPr>
          <w:p w14:paraId="0E2E03F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34" w:type="dxa"/>
          </w:tcPr>
          <w:p w14:paraId="165B4A2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738030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4AD8BCA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0.008±0.003</w:t>
            </w:r>
          </w:p>
        </w:tc>
        <w:tc>
          <w:tcPr>
            <w:tcW w:w="1334" w:type="dxa"/>
          </w:tcPr>
          <w:p w14:paraId="77C9DA0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0.002±0.003</w:t>
            </w:r>
          </w:p>
        </w:tc>
        <w:tc>
          <w:tcPr>
            <w:tcW w:w="1422" w:type="dxa"/>
          </w:tcPr>
          <w:p w14:paraId="15BD774A"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0.002±0.003</w:t>
            </w:r>
          </w:p>
        </w:tc>
      </w:tr>
      <w:tr w:rsidR="00E8280C" w:rsidRPr="00CE7561" w14:paraId="42860C31" w14:textId="77777777" w:rsidTr="00E8280C">
        <w:trPr>
          <w:trHeight w:val="262"/>
        </w:trPr>
        <w:tc>
          <w:tcPr>
            <w:tcW w:w="1310" w:type="dxa"/>
          </w:tcPr>
          <w:p w14:paraId="37D99AC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34" w:type="dxa"/>
          </w:tcPr>
          <w:p w14:paraId="32131B7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34" w:type="dxa"/>
          </w:tcPr>
          <w:p w14:paraId="2211319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0.050±0.010</w:t>
            </w:r>
          </w:p>
        </w:tc>
        <w:tc>
          <w:tcPr>
            <w:tcW w:w="1334" w:type="dxa"/>
          </w:tcPr>
          <w:p w14:paraId="08A76E4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0.030±0.010</w:t>
            </w:r>
          </w:p>
        </w:tc>
        <w:tc>
          <w:tcPr>
            <w:tcW w:w="1334" w:type="dxa"/>
          </w:tcPr>
          <w:p w14:paraId="1A3D80A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0.030±0.013</w:t>
            </w:r>
          </w:p>
        </w:tc>
        <w:tc>
          <w:tcPr>
            <w:tcW w:w="1334" w:type="dxa"/>
          </w:tcPr>
          <w:p w14:paraId="447CE2ED"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0.006±0.013</w:t>
            </w:r>
          </w:p>
        </w:tc>
        <w:tc>
          <w:tcPr>
            <w:tcW w:w="1422" w:type="dxa"/>
          </w:tcPr>
          <w:p w14:paraId="061A85A7"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0.005±0.013</w:t>
            </w:r>
          </w:p>
        </w:tc>
      </w:tr>
      <w:tr w:rsidR="00E8280C" w:rsidRPr="00CE7561" w14:paraId="10FCE012" w14:textId="77777777" w:rsidTr="00E8280C">
        <w:trPr>
          <w:trHeight w:val="262"/>
        </w:trPr>
        <w:tc>
          <w:tcPr>
            <w:tcW w:w="1310" w:type="dxa"/>
          </w:tcPr>
          <w:p w14:paraId="2B8E9A4E"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11</w:t>
            </w:r>
          </w:p>
        </w:tc>
        <w:tc>
          <w:tcPr>
            <w:tcW w:w="1334" w:type="dxa"/>
          </w:tcPr>
          <w:p w14:paraId="18C2686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0.010±0.011</w:t>
            </w:r>
          </w:p>
        </w:tc>
        <w:tc>
          <w:tcPr>
            <w:tcW w:w="1334" w:type="dxa"/>
          </w:tcPr>
          <w:p w14:paraId="752BBE29"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0.030±0.011</w:t>
            </w:r>
          </w:p>
        </w:tc>
        <w:tc>
          <w:tcPr>
            <w:tcW w:w="1334" w:type="dxa"/>
          </w:tcPr>
          <w:p w14:paraId="2A2B1213"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0.009±0.011</w:t>
            </w:r>
          </w:p>
        </w:tc>
        <w:tc>
          <w:tcPr>
            <w:tcW w:w="1334" w:type="dxa"/>
          </w:tcPr>
          <w:p w14:paraId="51611B06"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0.003±0.001</w:t>
            </w:r>
          </w:p>
        </w:tc>
        <w:tc>
          <w:tcPr>
            <w:tcW w:w="1334" w:type="dxa"/>
          </w:tcPr>
          <w:p w14:paraId="155690E5"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3501614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0.001±0.001</w:t>
            </w:r>
          </w:p>
        </w:tc>
      </w:tr>
      <w:tr w:rsidR="00E8280C" w:rsidRPr="00CE7561" w14:paraId="18E1640B" w14:textId="77777777" w:rsidTr="00E8280C">
        <w:trPr>
          <w:trHeight w:val="262"/>
        </w:trPr>
        <w:tc>
          <w:tcPr>
            <w:tcW w:w="1310" w:type="dxa"/>
          </w:tcPr>
          <w:p w14:paraId="502CC3C4" w14:textId="77777777" w:rsidR="00E8280C" w:rsidRPr="00CE7561" w:rsidRDefault="00E8280C" w:rsidP="00E8280C">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34" w:type="dxa"/>
          </w:tcPr>
          <w:p w14:paraId="605F1D01"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0.030±0.014</w:t>
            </w:r>
          </w:p>
        </w:tc>
        <w:tc>
          <w:tcPr>
            <w:tcW w:w="1334" w:type="dxa"/>
          </w:tcPr>
          <w:p w14:paraId="3BE8914C"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0.004±0.014</w:t>
            </w:r>
          </w:p>
        </w:tc>
        <w:tc>
          <w:tcPr>
            <w:tcW w:w="1334" w:type="dxa"/>
          </w:tcPr>
          <w:p w14:paraId="641AD398"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0.005±0.014</w:t>
            </w:r>
          </w:p>
        </w:tc>
        <w:tc>
          <w:tcPr>
            <w:tcW w:w="1334" w:type="dxa"/>
          </w:tcPr>
          <w:p w14:paraId="743456E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0.007±0.005</w:t>
            </w:r>
          </w:p>
        </w:tc>
        <w:tc>
          <w:tcPr>
            <w:tcW w:w="1334" w:type="dxa"/>
          </w:tcPr>
          <w:p w14:paraId="16F65F84"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422" w:type="dxa"/>
          </w:tcPr>
          <w:p w14:paraId="04BB1A02" w14:textId="77777777" w:rsidR="00E8280C" w:rsidRPr="00CE7561" w:rsidRDefault="00E8280C" w:rsidP="00A463DD">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r>
    </w:tbl>
    <w:p w14:paraId="19C7BF02" w14:textId="77777777" w:rsidR="00804C12" w:rsidRPr="00CE7561" w:rsidRDefault="00804C12" w:rsidP="00E8280C">
      <w:pPr>
        <w:spacing w:after="0" w:line="360" w:lineRule="auto"/>
        <w:jc w:val="both"/>
        <w:rPr>
          <w:rFonts w:ascii="Times New Roman" w:hAnsi="Times New Roman" w:cs="Times New Roman"/>
          <w:sz w:val="20"/>
          <w:szCs w:val="20"/>
        </w:rPr>
      </w:pPr>
      <w:r w:rsidRPr="00CE7561">
        <w:rPr>
          <w:rFonts w:ascii="Times New Roman" w:hAnsi="Times New Roman" w:cs="Times New Roman"/>
          <w:sz w:val="20"/>
          <w:szCs w:val="20"/>
        </w:rPr>
        <w:t>ND stands for not detected</w:t>
      </w:r>
    </w:p>
    <w:p w14:paraId="14FF0E0A" w14:textId="465DC91A" w:rsidR="00CC215C" w:rsidRPr="00CE7561" w:rsidRDefault="00CC215C" w:rsidP="00CC215C">
      <w:pPr>
        <w:spacing w:after="120" w:line="276" w:lineRule="auto"/>
        <w:jc w:val="both"/>
        <w:rPr>
          <w:rFonts w:ascii="Times New Roman" w:hAnsi="Times New Roman" w:cs="Times New Roman"/>
          <w:sz w:val="20"/>
          <w:szCs w:val="20"/>
        </w:rPr>
      </w:pPr>
      <w:r>
        <w:rPr>
          <w:rFonts w:ascii="Times New Roman" w:hAnsi="Times New Roman" w:cs="Times New Roman"/>
          <w:sz w:val="20"/>
          <w:szCs w:val="20"/>
        </w:rPr>
        <w:t>T</w:t>
      </w:r>
      <w:r w:rsidRPr="00CE7561">
        <w:rPr>
          <w:rFonts w:ascii="Times New Roman" w:hAnsi="Times New Roman" w:cs="Times New Roman"/>
          <w:sz w:val="20"/>
          <w:szCs w:val="20"/>
        </w:rPr>
        <w:t xml:space="preserve">he paired sample t-test results presented in </w:t>
      </w:r>
      <w:r>
        <w:rPr>
          <w:rFonts w:ascii="Times New Roman" w:hAnsi="Times New Roman" w:cs="Times New Roman"/>
          <w:sz w:val="20"/>
          <w:szCs w:val="20"/>
        </w:rPr>
        <w:t>Table 1</w:t>
      </w:r>
      <w:r w:rsidRPr="00CE7561">
        <w:rPr>
          <w:rFonts w:ascii="Times New Roman" w:hAnsi="Times New Roman" w:cs="Times New Roman"/>
          <w:sz w:val="20"/>
          <w:szCs w:val="20"/>
        </w:rPr>
        <w:t>0 indicate no statistically significant difference between wet and dry seasons. The t-value of 0.75486, coupled with a mean difference of 0.002</w:t>
      </w:r>
      <w:r>
        <w:rPr>
          <w:rFonts w:ascii="Times New Roman" w:hAnsi="Times New Roman" w:cs="Times New Roman"/>
          <w:sz w:val="20"/>
          <w:szCs w:val="20"/>
        </w:rPr>
        <w:t>606 mg/l and a p-value of 0.47</w:t>
      </w:r>
      <w:r w:rsidRPr="00CE7561">
        <w:rPr>
          <w:rFonts w:ascii="Times New Roman" w:hAnsi="Times New Roman" w:cs="Times New Roman"/>
          <w:sz w:val="20"/>
          <w:szCs w:val="20"/>
        </w:rPr>
        <w:t>, suggests that variations in lead levels are not significant at conventional confidence levels.</w:t>
      </w:r>
    </w:p>
    <w:p w14:paraId="1551E04C" w14:textId="77777777" w:rsidR="00E8280C" w:rsidRPr="00CE7561" w:rsidRDefault="00035990" w:rsidP="009A4911">
      <w:pPr>
        <w:spacing w:after="120" w:line="276" w:lineRule="auto"/>
        <w:jc w:val="both"/>
        <w:rPr>
          <w:rFonts w:ascii="Times New Roman" w:hAnsi="Times New Roman" w:cs="Times New Roman"/>
          <w:sz w:val="20"/>
          <w:szCs w:val="20"/>
        </w:rPr>
      </w:pPr>
      <w:r w:rsidRPr="00CE7561">
        <w:rPr>
          <w:rFonts w:ascii="Times New Roman" w:hAnsi="Times New Roman" w:cs="Times New Roman"/>
          <w:b/>
          <w:sz w:val="20"/>
          <w:szCs w:val="20"/>
        </w:rPr>
        <w:lastRenderedPageBreak/>
        <w:t>Table 10.</w:t>
      </w:r>
      <w:r w:rsidR="00E8280C" w:rsidRPr="00CE7561">
        <w:rPr>
          <w:rFonts w:ascii="Times New Roman" w:hAnsi="Times New Roman" w:cs="Times New Roman"/>
          <w:sz w:val="20"/>
          <w:szCs w:val="20"/>
        </w:rPr>
        <w:t xml:space="preserve"> </w:t>
      </w:r>
      <w:r w:rsidR="00E8280C" w:rsidRPr="00CE7561">
        <w:rPr>
          <w:rFonts w:ascii="Times New Roman" w:hAnsi="Times New Roman" w:cs="Times New Roman"/>
          <w:b/>
          <w:sz w:val="20"/>
          <w:szCs w:val="20"/>
        </w:rPr>
        <w:t xml:space="preserve">Paired </w:t>
      </w:r>
      <w:r w:rsidR="00804C12" w:rsidRPr="00CE7561">
        <w:rPr>
          <w:rFonts w:ascii="Times New Roman" w:hAnsi="Times New Roman" w:cs="Times New Roman"/>
          <w:b/>
          <w:sz w:val="20"/>
          <w:szCs w:val="20"/>
        </w:rPr>
        <w:t>Sample</w:t>
      </w:r>
      <w:r w:rsidR="00E8280C" w:rsidRPr="00CE7561">
        <w:rPr>
          <w:rFonts w:ascii="Times New Roman" w:hAnsi="Times New Roman" w:cs="Times New Roman"/>
          <w:b/>
          <w:sz w:val="20"/>
          <w:szCs w:val="20"/>
        </w:rPr>
        <w:t xml:space="preserve"> t-test Results Comparing </w:t>
      </w:r>
      <w:r w:rsidR="00155919" w:rsidRPr="00CE7561">
        <w:rPr>
          <w:rFonts w:ascii="Times New Roman" w:hAnsi="Times New Roman" w:cs="Times New Roman"/>
          <w:b/>
          <w:sz w:val="20"/>
          <w:szCs w:val="20"/>
        </w:rPr>
        <w:t>Lead</w:t>
      </w:r>
      <w:r w:rsidR="00E8280C" w:rsidRPr="00CE7561">
        <w:rPr>
          <w:rFonts w:ascii="Times New Roman" w:hAnsi="Times New Roman" w:cs="Times New Roman"/>
          <w:b/>
          <w:sz w:val="20"/>
          <w:szCs w:val="20"/>
        </w:rPr>
        <w:t xml:space="preserve"> Concentration in Borehole Water between Wet and Dry Seasons</w:t>
      </w:r>
    </w:p>
    <w:tbl>
      <w:tblPr>
        <w:tblStyle w:val="TableGrid"/>
        <w:tblW w:w="9372" w:type="dxa"/>
        <w:tblBorders>
          <w:left w:val="none" w:sz="0" w:space="0" w:color="auto"/>
          <w:right w:val="none" w:sz="0" w:space="0" w:color="auto"/>
        </w:tblBorders>
        <w:tblLook w:val="04A0" w:firstRow="1" w:lastRow="0" w:firstColumn="1" w:lastColumn="0" w:noHBand="0" w:noVBand="1"/>
      </w:tblPr>
      <w:tblGrid>
        <w:gridCol w:w="1209"/>
        <w:gridCol w:w="1894"/>
        <w:gridCol w:w="2530"/>
        <w:gridCol w:w="2022"/>
        <w:gridCol w:w="1717"/>
      </w:tblGrid>
      <w:tr w:rsidR="00E8280C" w:rsidRPr="00CE7561" w14:paraId="51659B8D" w14:textId="77777777" w:rsidTr="00C97947">
        <w:trPr>
          <w:trHeight w:val="367"/>
        </w:trPr>
        <w:tc>
          <w:tcPr>
            <w:tcW w:w="1209" w:type="dxa"/>
            <w:vMerge w:val="restart"/>
          </w:tcPr>
          <w:p w14:paraId="0116766A"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894" w:type="dxa"/>
            <w:vMerge w:val="restart"/>
          </w:tcPr>
          <w:p w14:paraId="55C979D4"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52" w:type="dxa"/>
            <w:gridSpan w:val="2"/>
          </w:tcPr>
          <w:p w14:paraId="2D539222"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17" w:type="dxa"/>
            <w:vMerge w:val="restart"/>
          </w:tcPr>
          <w:p w14:paraId="7A19F8AA"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E8280C" w:rsidRPr="00CE7561" w14:paraId="54EA7FF2" w14:textId="77777777" w:rsidTr="00C97947">
        <w:trPr>
          <w:trHeight w:val="182"/>
        </w:trPr>
        <w:tc>
          <w:tcPr>
            <w:tcW w:w="1209" w:type="dxa"/>
            <w:vMerge/>
          </w:tcPr>
          <w:p w14:paraId="420D4B8F" w14:textId="77777777" w:rsidR="00E8280C" w:rsidRPr="00CE7561" w:rsidRDefault="00E8280C" w:rsidP="009A4911">
            <w:pPr>
              <w:jc w:val="both"/>
              <w:rPr>
                <w:rFonts w:ascii="Times New Roman" w:hAnsi="Times New Roman" w:cs="Times New Roman"/>
                <w:sz w:val="20"/>
                <w:szCs w:val="20"/>
              </w:rPr>
            </w:pPr>
          </w:p>
        </w:tc>
        <w:tc>
          <w:tcPr>
            <w:tcW w:w="1894" w:type="dxa"/>
            <w:vMerge/>
          </w:tcPr>
          <w:p w14:paraId="131896E7" w14:textId="77777777" w:rsidR="00E8280C" w:rsidRPr="00CE7561" w:rsidRDefault="00E8280C" w:rsidP="009A4911">
            <w:pPr>
              <w:jc w:val="both"/>
              <w:rPr>
                <w:rFonts w:ascii="Times New Roman" w:hAnsi="Times New Roman" w:cs="Times New Roman"/>
                <w:sz w:val="20"/>
                <w:szCs w:val="20"/>
              </w:rPr>
            </w:pPr>
          </w:p>
        </w:tc>
        <w:tc>
          <w:tcPr>
            <w:tcW w:w="2530" w:type="dxa"/>
          </w:tcPr>
          <w:p w14:paraId="3161C940"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1" w:type="dxa"/>
          </w:tcPr>
          <w:p w14:paraId="0F7271F9"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17" w:type="dxa"/>
            <w:vMerge/>
          </w:tcPr>
          <w:p w14:paraId="348B0924" w14:textId="77777777" w:rsidR="00E8280C" w:rsidRPr="00CE7561" w:rsidRDefault="00E8280C" w:rsidP="009A4911">
            <w:pPr>
              <w:jc w:val="both"/>
              <w:rPr>
                <w:rFonts w:ascii="Times New Roman" w:hAnsi="Times New Roman" w:cs="Times New Roman"/>
                <w:sz w:val="20"/>
                <w:szCs w:val="20"/>
              </w:rPr>
            </w:pPr>
          </w:p>
        </w:tc>
      </w:tr>
      <w:tr w:rsidR="00E8280C" w:rsidRPr="00CE7561" w14:paraId="53B41202" w14:textId="77777777" w:rsidTr="00C97947">
        <w:trPr>
          <w:trHeight w:val="182"/>
        </w:trPr>
        <w:tc>
          <w:tcPr>
            <w:tcW w:w="1209" w:type="dxa"/>
          </w:tcPr>
          <w:p w14:paraId="433B46E6"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0.75486</w:t>
            </w:r>
          </w:p>
        </w:tc>
        <w:tc>
          <w:tcPr>
            <w:tcW w:w="1894" w:type="dxa"/>
          </w:tcPr>
          <w:p w14:paraId="541BB32E"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0.002606</w:t>
            </w:r>
          </w:p>
        </w:tc>
        <w:tc>
          <w:tcPr>
            <w:tcW w:w="2530" w:type="dxa"/>
          </w:tcPr>
          <w:p w14:paraId="45B5CC71"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-0.005086</w:t>
            </w:r>
          </w:p>
        </w:tc>
        <w:tc>
          <w:tcPr>
            <w:tcW w:w="2021" w:type="dxa"/>
          </w:tcPr>
          <w:p w14:paraId="6A70F7FF" w14:textId="77777777" w:rsidR="00E8280C" w:rsidRPr="00CE7561" w:rsidRDefault="00E8280C" w:rsidP="009A4911">
            <w:pPr>
              <w:jc w:val="both"/>
              <w:rPr>
                <w:rFonts w:ascii="Times New Roman" w:hAnsi="Times New Roman" w:cs="Times New Roman"/>
                <w:sz w:val="20"/>
                <w:szCs w:val="20"/>
              </w:rPr>
            </w:pPr>
            <w:r w:rsidRPr="00CE7561">
              <w:rPr>
                <w:rFonts w:ascii="Times New Roman" w:hAnsi="Times New Roman" w:cs="Times New Roman"/>
                <w:sz w:val="20"/>
                <w:szCs w:val="20"/>
              </w:rPr>
              <w:t>0.010298</w:t>
            </w:r>
          </w:p>
        </w:tc>
        <w:tc>
          <w:tcPr>
            <w:tcW w:w="1717" w:type="dxa"/>
          </w:tcPr>
          <w:p w14:paraId="0AE6CF87" w14:textId="61B9E8BD" w:rsidR="00E8280C" w:rsidRPr="00CE7561" w:rsidRDefault="00CC215C" w:rsidP="009A4911">
            <w:pPr>
              <w:jc w:val="both"/>
              <w:rPr>
                <w:rFonts w:ascii="Times New Roman" w:hAnsi="Times New Roman" w:cs="Times New Roman"/>
                <w:sz w:val="20"/>
                <w:szCs w:val="20"/>
              </w:rPr>
            </w:pPr>
            <w:r>
              <w:rPr>
                <w:rFonts w:ascii="Times New Roman" w:hAnsi="Times New Roman" w:cs="Times New Roman"/>
                <w:sz w:val="20"/>
                <w:szCs w:val="20"/>
              </w:rPr>
              <w:t>0.4</w:t>
            </w:r>
            <w:r w:rsidR="00E8280C" w:rsidRPr="00CE7561">
              <w:rPr>
                <w:rFonts w:ascii="Times New Roman" w:hAnsi="Times New Roman" w:cs="Times New Roman"/>
                <w:sz w:val="20"/>
                <w:szCs w:val="20"/>
              </w:rPr>
              <w:t>7</w:t>
            </w:r>
          </w:p>
        </w:tc>
      </w:tr>
    </w:tbl>
    <w:p w14:paraId="023E6828" w14:textId="77777777" w:rsidR="00E8280C" w:rsidRPr="00CE7561" w:rsidRDefault="00E8280C" w:rsidP="00F0152D">
      <w:pPr>
        <w:spacing w:after="0" w:line="276"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46CBF472" wp14:editId="196D9761">
            <wp:extent cx="4448175" cy="28974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747" cy="2899761"/>
                    </a:xfrm>
                    <a:prstGeom prst="rect">
                      <a:avLst/>
                    </a:prstGeom>
                    <a:noFill/>
                    <a:ln>
                      <a:noFill/>
                    </a:ln>
                  </pic:spPr>
                </pic:pic>
              </a:graphicData>
            </a:graphic>
          </wp:inline>
        </w:drawing>
      </w:r>
    </w:p>
    <w:p w14:paraId="2F2E7570" w14:textId="77777777" w:rsidR="00E8280C" w:rsidRPr="00CE7561" w:rsidRDefault="00804C12" w:rsidP="00F0152D">
      <w:pPr>
        <w:spacing w:after="0" w:line="276"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5.</w:t>
      </w:r>
      <w:r w:rsidR="00E8280C" w:rsidRPr="00CE7561">
        <w:rPr>
          <w:rFonts w:ascii="Times New Roman" w:hAnsi="Times New Roman" w:cs="Times New Roman"/>
          <w:b/>
          <w:sz w:val="20"/>
          <w:szCs w:val="20"/>
        </w:rPr>
        <w:t xml:space="preserve"> Lead concentration in Borehole Water Samples in Enugu North LGA</w:t>
      </w:r>
    </w:p>
    <w:p w14:paraId="342293D2" w14:textId="260CB81E" w:rsidR="00CC215C" w:rsidRPr="00CB1454" w:rsidRDefault="00CB1454" w:rsidP="00CB1454">
      <w:pPr>
        <w:spacing w:after="120" w:line="276" w:lineRule="auto"/>
        <w:jc w:val="both"/>
        <w:rPr>
          <w:rFonts w:ascii="Times New Roman" w:hAnsi="Times New Roman" w:cs="Times New Roman"/>
          <w:sz w:val="20"/>
        </w:rPr>
      </w:pPr>
      <w:r w:rsidRPr="007C64C9">
        <w:rPr>
          <w:rFonts w:ascii="Times New Roman" w:hAnsi="Times New Roman" w:cs="Times New Roman"/>
          <w:sz w:val="20"/>
        </w:rPr>
        <w:t xml:space="preserve">The evaluation of cadmium concentrations in borehole water samples from Enugu North Local Government Area highlights significant seasonal variations, as presented in Table 11 and visualized in Figure 6. </w:t>
      </w:r>
      <w:r>
        <w:rPr>
          <w:rFonts w:ascii="Times New Roman" w:eastAsia="Times New Roman" w:hAnsi="Times New Roman" w:cs="Times New Roman"/>
          <w:sz w:val="20"/>
          <w:szCs w:val="24"/>
        </w:rPr>
        <w:t>During</w:t>
      </w:r>
      <w:r w:rsidRPr="006829BC">
        <w:rPr>
          <w:rFonts w:ascii="Times New Roman" w:eastAsia="Times New Roman" w:hAnsi="Times New Roman" w:cs="Times New Roman"/>
          <w:sz w:val="20"/>
          <w:szCs w:val="24"/>
        </w:rPr>
        <w:t xml:space="preserve"> the </w:t>
      </w:r>
      <w:r w:rsidRPr="006829BC">
        <w:rPr>
          <w:rFonts w:ascii="Times New Roman" w:eastAsia="Times New Roman" w:hAnsi="Times New Roman" w:cs="Times New Roman"/>
          <w:bCs/>
          <w:sz w:val="20"/>
          <w:szCs w:val="24"/>
        </w:rPr>
        <w:t>wet season</w:t>
      </w:r>
      <w:r w:rsidRPr="006829BC">
        <w:rPr>
          <w:rFonts w:ascii="Times New Roman" w:eastAsia="Times New Roman" w:hAnsi="Times New Roman" w:cs="Times New Roman"/>
          <w:sz w:val="20"/>
          <w:szCs w:val="24"/>
        </w:rPr>
        <w:t xml:space="preserve">, cadmium concentrations were generally low across most of the samples. Several samples, such as sample 1, recorded cadmium concentrations as low as </w:t>
      </w:r>
      <w:r w:rsidRPr="006829BC">
        <w:rPr>
          <w:rFonts w:ascii="Times New Roman" w:eastAsia="Times New Roman" w:hAnsi="Times New Roman" w:cs="Times New Roman"/>
          <w:bCs/>
          <w:sz w:val="20"/>
          <w:szCs w:val="24"/>
        </w:rPr>
        <w:t>ND</w:t>
      </w:r>
      <w:r w:rsidRPr="006829BC">
        <w:rPr>
          <w:rFonts w:ascii="Times New Roman" w:eastAsia="Times New Roman" w:hAnsi="Times New Roman" w:cs="Times New Roman"/>
          <w:sz w:val="20"/>
          <w:szCs w:val="24"/>
        </w:rPr>
        <w:t xml:space="preserve"> (not detected) in months like July and December, with only slight concentrations observed in June and August. The highest concentration in the wet season was seen in sample 7, with a value of </w:t>
      </w:r>
      <w:r w:rsidRPr="006829BC">
        <w:rPr>
          <w:rFonts w:ascii="Times New Roman" w:eastAsia="Times New Roman" w:hAnsi="Times New Roman" w:cs="Times New Roman"/>
          <w:bCs/>
          <w:sz w:val="20"/>
          <w:szCs w:val="24"/>
        </w:rPr>
        <w:t>0.010 mg/L</w:t>
      </w:r>
      <w:r w:rsidRPr="006829BC">
        <w:rPr>
          <w:rFonts w:ascii="Times New Roman" w:eastAsia="Times New Roman" w:hAnsi="Times New Roman" w:cs="Times New Roman"/>
          <w:sz w:val="20"/>
          <w:szCs w:val="24"/>
        </w:rPr>
        <w:t xml:space="preserve"> in June.</w:t>
      </w:r>
      <w:r>
        <w:rPr>
          <w:rFonts w:ascii="Times New Roman" w:hAnsi="Times New Roman" w:cs="Times New Roman"/>
          <w:sz w:val="20"/>
        </w:rPr>
        <w:t xml:space="preserve"> </w:t>
      </w:r>
      <w:r w:rsidRPr="006829BC">
        <w:rPr>
          <w:rFonts w:ascii="Times New Roman" w:eastAsia="Times New Roman" w:hAnsi="Times New Roman" w:cs="Times New Roman"/>
          <w:sz w:val="20"/>
          <w:szCs w:val="24"/>
        </w:rPr>
        <w:t xml:space="preserve">In the </w:t>
      </w:r>
      <w:r w:rsidRPr="006829BC">
        <w:rPr>
          <w:rFonts w:ascii="Times New Roman" w:eastAsia="Times New Roman" w:hAnsi="Times New Roman" w:cs="Times New Roman"/>
          <w:bCs/>
          <w:sz w:val="20"/>
          <w:szCs w:val="24"/>
        </w:rPr>
        <w:t>dry season</w:t>
      </w:r>
      <w:r w:rsidRPr="006829BC">
        <w:rPr>
          <w:rFonts w:ascii="Times New Roman" w:eastAsia="Times New Roman" w:hAnsi="Times New Roman" w:cs="Times New Roman"/>
          <w:sz w:val="20"/>
          <w:szCs w:val="24"/>
        </w:rPr>
        <w:t xml:space="preserve">, there was a noticeable increase in cadmium concentrations compared to the wet season. The concentrations in some samples rose, with sample 2 showing a consistent presence of cadmium across the dry season months, peaking at </w:t>
      </w:r>
      <w:r w:rsidRPr="006829BC">
        <w:rPr>
          <w:rFonts w:ascii="Times New Roman" w:eastAsia="Times New Roman" w:hAnsi="Times New Roman" w:cs="Times New Roman"/>
          <w:bCs/>
          <w:sz w:val="20"/>
          <w:szCs w:val="24"/>
        </w:rPr>
        <w:t>0.025 mg/L</w:t>
      </w:r>
      <w:r w:rsidRPr="006829BC">
        <w:rPr>
          <w:rFonts w:ascii="Times New Roman" w:eastAsia="Times New Roman" w:hAnsi="Times New Roman" w:cs="Times New Roman"/>
          <w:sz w:val="20"/>
          <w:szCs w:val="24"/>
        </w:rPr>
        <w:t xml:space="preserve"> in August. Similarly, sample 6 exhibited a noticeable increase from </w:t>
      </w:r>
      <w:r w:rsidRPr="006829BC">
        <w:rPr>
          <w:rFonts w:ascii="Times New Roman" w:eastAsia="Times New Roman" w:hAnsi="Times New Roman" w:cs="Times New Roman"/>
          <w:bCs/>
          <w:sz w:val="20"/>
          <w:szCs w:val="24"/>
        </w:rPr>
        <w:t>0.007 mg/L</w:t>
      </w:r>
      <w:r w:rsidRPr="006829BC">
        <w:rPr>
          <w:rFonts w:ascii="Times New Roman" w:eastAsia="Times New Roman" w:hAnsi="Times New Roman" w:cs="Times New Roman"/>
          <w:sz w:val="20"/>
          <w:szCs w:val="24"/>
        </w:rPr>
        <w:t xml:space="preserve"> in January to </w:t>
      </w:r>
      <w:r w:rsidRPr="006829BC">
        <w:rPr>
          <w:rFonts w:ascii="Times New Roman" w:eastAsia="Times New Roman" w:hAnsi="Times New Roman" w:cs="Times New Roman"/>
          <w:bCs/>
          <w:sz w:val="20"/>
          <w:szCs w:val="24"/>
        </w:rPr>
        <w:t>0.015 mg/L</w:t>
      </w:r>
      <w:r w:rsidRPr="006829BC">
        <w:rPr>
          <w:rFonts w:ascii="Times New Roman" w:eastAsia="Times New Roman" w:hAnsi="Times New Roman" w:cs="Times New Roman"/>
          <w:sz w:val="20"/>
          <w:szCs w:val="24"/>
        </w:rPr>
        <w:t xml:space="preserve"> in July. Other samples, such as sample 7, which had a value of </w:t>
      </w:r>
      <w:r w:rsidRPr="006829BC">
        <w:rPr>
          <w:rFonts w:ascii="Times New Roman" w:eastAsia="Times New Roman" w:hAnsi="Times New Roman" w:cs="Times New Roman"/>
          <w:bCs/>
          <w:sz w:val="20"/>
          <w:szCs w:val="24"/>
        </w:rPr>
        <w:t>0.018 mg/L</w:t>
      </w:r>
      <w:r w:rsidRPr="006829BC">
        <w:rPr>
          <w:rFonts w:ascii="Times New Roman" w:eastAsia="Times New Roman" w:hAnsi="Times New Roman" w:cs="Times New Roman"/>
          <w:sz w:val="20"/>
          <w:szCs w:val="24"/>
        </w:rPr>
        <w:t xml:space="preserve"> in January, also demonstrated an increase in cadmium levels in the dry season.</w:t>
      </w:r>
    </w:p>
    <w:p w14:paraId="73508991" w14:textId="77777777" w:rsidR="00F7029A" w:rsidRPr="00CE7561" w:rsidRDefault="003C6339" w:rsidP="00F7029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Table 11.</w:t>
      </w:r>
      <w:r w:rsidR="00F7029A" w:rsidRPr="00CE7561">
        <w:rPr>
          <w:rFonts w:ascii="Times New Roman" w:hAnsi="Times New Roman" w:cs="Times New Roman"/>
          <w:sz w:val="20"/>
          <w:szCs w:val="20"/>
        </w:rPr>
        <w:t xml:space="preserve"> </w:t>
      </w:r>
      <w:r w:rsidR="00F7029A" w:rsidRPr="00CE7561">
        <w:rPr>
          <w:rFonts w:ascii="Times New Roman" w:hAnsi="Times New Roman" w:cs="Times New Roman"/>
          <w:b/>
          <w:sz w:val="20"/>
          <w:szCs w:val="20"/>
        </w:rPr>
        <w:t>Seasonal Variations in Cadmium Concentration in Borehole Water Samples in Enugu North LGA</w:t>
      </w:r>
    </w:p>
    <w:tbl>
      <w:tblPr>
        <w:tblStyle w:val="TableGrid"/>
        <w:tblW w:w="95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1347"/>
        <w:gridCol w:w="1347"/>
        <w:gridCol w:w="1347"/>
        <w:gridCol w:w="1347"/>
        <w:gridCol w:w="1347"/>
        <w:gridCol w:w="1347"/>
      </w:tblGrid>
      <w:tr w:rsidR="00F7029A" w:rsidRPr="00CE7561" w14:paraId="482EBFB4" w14:textId="77777777" w:rsidTr="00FD1B99">
        <w:trPr>
          <w:trHeight w:val="225"/>
        </w:trPr>
        <w:tc>
          <w:tcPr>
            <w:tcW w:w="1456" w:type="dxa"/>
            <w:tcBorders>
              <w:top w:val="single" w:sz="4" w:space="0" w:color="auto"/>
              <w:bottom w:val="single" w:sz="4" w:space="0" w:color="auto"/>
            </w:tcBorders>
          </w:tcPr>
          <w:p w14:paraId="73BA6367" w14:textId="77777777" w:rsidR="00F7029A" w:rsidRPr="00CE7561" w:rsidRDefault="00F7029A" w:rsidP="00FD1B99">
            <w:pPr>
              <w:pStyle w:val="Heading1"/>
              <w:shd w:val="clear" w:color="auto" w:fill="FFFFFF"/>
              <w:spacing w:before="0" w:beforeAutospacing="0" w:after="0" w:afterAutospacing="0"/>
              <w:jc w:val="both"/>
              <w:outlineLvl w:val="0"/>
              <w:rPr>
                <w:sz w:val="20"/>
                <w:szCs w:val="20"/>
              </w:rPr>
            </w:pPr>
            <w:r w:rsidRPr="00CE7561">
              <w:rPr>
                <w:sz w:val="20"/>
                <w:szCs w:val="20"/>
              </w:rPr>
              <w:t>Cd (mg/l)</w:t>
            </w:r>
          </w:p>
        </w:tc>
        <w:tc>
          <w:tcPr>
            <w:tcW w:w="4041" w:type="dxa"/>
            <w:gridSpan w:val="3"/>
            <w:tcBorders>
              <w:top w:val="single" w:sz="4" w:space="0" w:color="auto"/>
              <w:bottom w:val="single" w:sz="4" w:space="0" w:color="auto"/>
            </w:tcBorders>
          </w:tcPr>
          <w:p w14:paraId="50845DA1"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Wet Season</w:t>
            </w:r>
          </w:p>
        </w:tc>
        <w:tc>
          <w:tcPr>
            <w:tcW w:w="4041" w:type="dxa"/>
            <w:gridSpan w:val="3"/>
            <w:tcBorders>
              <w:top w:val="single" w:sz="4" w:space="0" w:color="auto"/>
              <w:bottom w:val="single" w:sz="4" w:space="0" w:color="auto"/>
            </w:tcBorders>
          </w:tcPr>
          <w:p w14:paraId="0108C308"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Dry Season</w:t>
            </w:r>
          </w:p>
        </w:tc>
      </w:tr>
      <w:tr w:rsidR="00F7029A" w:rsidRPr="00CE7561" w14:paraId="7AF33A6B" w14:textId="77777777" w:rsidTr="00FD1B99">
        <w:trPr>
          <w:trHeight w:val="225"/>
        </w:trPr>
        <w:tc>
          <w:tcPr>
            <w:tcW w:w="1456" w:type="dxa"/>
            <w:tcBorders>
              <w:top w:val="single" w:sz="4" w:space="0" w:color="auto"/>
              <w:bottom w:val="single" w:sz="4" w:space="0" w:color="auto"/>
            </w:tcBorders>
          </w:tcPr>
          <w:p w14:paraId="447D4644" w14:textId="77777777" w:rsidR="00F7029A" w:rsidRPr="00CE7561" w:rsidRDefault="00F7029A" w:rsidP="00FD1B99">
            <w:pPr>
              <w:pStyle w:val="Heading1"/>
              <w:shd w:val="clear" w:color="auto" w:fill="FFFFFF"/>
              <w:spacing w:before="0" w:beforeAutospacing="0" w:after="0" w:afterAutospacing="0"/>
              <w:jc w:val="both"/>
              <w:outlineLvl w:val="0"/>
              <w:rPr>
                <w:sz w:val="20"/>
                <w:szCs w:val="20"/>
              </w:rPr>
            </w:pPr>
            <w:r w:rsidRPr="00CE7561">
              <w:rPr>
                <w:sz w:val="20"/>
                <w:szCs w:val="20"/>
              </w:rPr>
              <w:t>Sample</w:t>
            </w:r>
          </w:p>
        </w:tc>
        <w:tc>
          <w:tcPr>
            <w:tcW w:w="1347" w:type="dxa"/>
            <w:tcBorders>
              <w:top w:val="single" w:sz="4" w:space="0" w:color="auto"/>
              <w:bottom w:val="single" w:sz="4" w:space="0" w:color="auto"/>
            </w:tcBorders>
          </w:tcPr>
          <w:p w14:paraId="14FD76E6"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June</w:t>
            </w:r>
          </w:p>
        </w:tc>
        <w:tc>
          <w:tcPr>
            <w:tcW w:w="1347" w:type="dxa"/>
            <w:tcBorders>
              <w:top w:val="single" w:sz="4" w:space="0" w:color="auto"/>
              <w:bottom w:val="single" w:sz="4" w:space="0" w:color="auto"/>
            </w:tcBorders>
          </w:tcPr>
          <w:p w14:paraId="5AC70103"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July</w:t>
            </w:r>
          </w:p>
        </w:tc>
        <w:tc>
          <w:tcPr>
            <w:tcW w:w="1347" w:type="dxa"/>
            <w:tcBorders>
              <w:top w:val="single" w:sz="4" w:space="0" w:color="auto"/>
              <w:bottom w:val="single" w:sz="4" w:space="0" w:color="auto"/>
            </w:tcBorders>
          </w:tcPr>
          <w:p w14:paraId="1F7EB76B"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August</w:t>
            </w:r>
          </w:p>
        </w:tc>
        <w:tc>
          <w:tcPr>
            <w:tcW w:w="1347" w:type="dxa"/>
            <w:tcBorders>
              <w:top w:val="single" w:sz="4" w:space="0" w:color="auto"/>
              <w:bottom w:val="single" w:sz="4" w:space="0" w:color="auto"/>
            </w:tcBorders>
          </w:tcPr>
          <w:p w14:paraId="5B4F49DA"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November</w:t>
            </w:r>
          </w:p>
        </w:tc>
        <w:tc>
          <w:tcPr>
            <w:tcW w:w="1347" w:type="dxa"/>
            <w:tcBorders>
              <w:top w:val="single" w:sz="4" w:space="0" w:color="auto"/>
              <w:bottom w:val="single" w:sz="4" w:space="0" w:color="auto"/>
            </w:tcBorders>
          </w:tcPr>
          <w:p w14:paraId="0BD12310"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December</w:t>
            </w:r>
          </w:p>
        </w:tc>
        <w:tc>
          <w:tcPr>
            <w:tcW w:w="1347" w:type="dxa"/>
            <w:tcBorders>
              <w:top w:val="single" w:sz="4" w:space="0" w:color="auto"/>
              <w:bottom w:val="single" w:sz="4" w:space="0" w:color="auto"/>
            </w:tcBorders>
          </w:tcPr>
          <w:p w14:paraId="713AE1BE" w14:textId="77777777" w:rsidR="00F7029A" w:rsidRPr="00CE7561" w:rsidRDefault="00F7029A" w:rsidP="00DF5DCE">
            <w:pPr>
              <w:pStyle w:val="Heading1"/>
              <w:shd w:val="clear" w:color="auto" w:fill="FFFFFF"/>
              <w:spacing w:before="0" w:beforeAutospacing="0" w:after="0" w:afterAutospacing="0"/>
              <w:jc w:val="center"/>
              <w:outlineLvl w:val="0"/>
              <w:rPr>
                <w:sz w:val="20"/>
                <w:szCs w:val="20"/>
              </w:rPr>
            </w:pPr>
            <w:r w:rsidRPr="00CE7561">
              <w:rPr>
                <w:sz w:val="20"/>
                <w:szCs w:val="20"/>
              </w:rPr>
              <w:t>January</w:t>
            </w:r>
          </w:p>
        </w:tc>
      </w:tr>
      <w:tr w:rsidR="00F7029A" w:rsidRPr="00CE7561" w14:paraId="716180A7" w14:textId="77777777" w:rsidTr="00FD1B99">
        <w:trPr>
          <w:trHeight w:val="269"/>
        </w:trPr>
        <w:tc>
          <w:tcPr>
            <w:tcW w:w="1456" w:type="dxa"/>
            <w:tcBorders>
              <w:top w:val="single" w:sz="4" w:space="0" w:color="auto"/>
              <w:bottom w:val="nil"/>
            </w:tcBorders>
          </w:tcPr>
          <w:p w14:paraId="60151993"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w:t>
            </w:r>
          </w:p>
        </w:tc>
        <w:tc>
          <w:tcPr>
            <w:tcW w:w="1347" w:type="dxa"/>
            <w:tcBorders>
              <w:top w:val="single" w:sz="4" w:space="0" w:color="auto"/>
              <w:bottom w:val="nil"/>
            </w:tcBorders>
          </w:tcPr>
          <w:p w14:paraId="2482FC3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0.002±0.000</w:t>
            </w:r>
          </w:p>
        </w:tc>
        <w:tc>
          <w:tcPr>
            <w:tcW w:w="1347" w:type="dxa"/>
            <w:tcBorders>
              <w:top w:val="single" w:sz="4" w:space="0" w:color="auto"/>
              <w:bottom w:val="nil"/>
            </w:tcBorders>
          </w:tcPr>
          <w:p w14:paraId="50136FD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single" w:sz="4" w:space="0" w:color="auto"/>
              <w:bottom w:val="nil"/>
            </w:tcBorders>
          </w:tcPr>
          <w:p w14:paraId="14B6C0C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0.002±0.000</w:t>
            </w:r>
          </w:p>
        </w:tc>
        <w:tc>
          <w:tcPr>
            <w:tcW w:w="1347" w:type="dxa"/>
            <w:tcBorders>
              <w:top w:val="single" w:sz="4" w:space="0" w:color="auto"/>
              <w:bottom w:val="nil"/>
            </w:tcBorders>
          </w:tcPr>
          <w:p w14:paraId="420F8B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0.003±0.005</w:t>
            </w:r>
          </w:p>
        </w:tc>
        <w:tc>
          <w:tcPr>
            <w:tcW w:w="1347" w:type="dxa"/>
            <w:tcBorders>
              <w:top w:val="single" w:sz="4" w:space="0" w:color="auto"/>
              <w:bottom w:val="nil"/>
            </w:tcBorders>
          </w:tcPr>
          <w:p w14:paraId="695596D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c>
          <w:tcPr>
            <w:tcW w:w="1347" w:type="dxa"/>
            <w:tcBorders>
              <w:top w:val="single" w:sz="4" w:space="0" w:color="auto"/>
              <w:bottom w:val="nil"/>
            </w:tcBorders>
          </w:tcPr>
          <w:p w14:paraId="13885CE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r>
      <w:tr w:rsidR="00F7029A" w:rsidRPr="00CE7561" w14:paraId="70775E15" w14:textId="77777777" w:rsidTr="00FD1B99">
        <w:trPr>
          <w:trHeight w:val="269"/>
        </w:trPr>
        <w:tc>
          <w:tcPr>
            <w:tcW w:w="1456" w:type="dxa"/>
            <w:tcBorders>
              <w:top w:val="nil"/>
              <w:bottom w:val="nil"/>
            </w:tcBorders>
          </w:tcPr>
          <w:p w14:paraId="44918C5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2</w:t>
            </w:r>
          </w:p>
        </w:tc>
        <w:tc>
          <w:tcPr>
            <w:tcW w:w="1347" w:type="dxa"/>
            <w:tcBorders>
              <w:top w:val="nil"/>
              <w:bottom w:val="nil"/>
            </w:tcBorders>
          </w:tcPr>
          <w:p w14:paraId="1EC1C13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0.005±0.010</w:t>
            </w:r>
          </w:p>
        </w:tc>
        <w:tc>
          <w:tcPr>
            <w:tcW w:w="1347" w:type="dxa"/>
            <w:tcBorders>
              <w:top w:val="nil"/>
              <w:bottom w:val="nil"/>
            </w:tcBorders>
          </w:tcPr>
          <w:p w14:paraId="0A1F46F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0.015±0.010</w:t>
            </w:r>
          </w:p>
        </w:tc>
        <w:tc>
          <w:tcPr>
            <w:tcW w:w="1347" w:type="dxa"/>
            <w:tcBorders>
              <w:top w:val="nil"/>
              <w:bottom w:val="nil"/>
            </w:tcBorders>
          </w:tcPr>
          <w:p w14:paraId="6CF2F4C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0.025±0.010</w:t>
            </w:r>
          </w:p>
        </w:tc>
        <w:tc>
          <w:tcPr>
            <w:tcW w:w="1347" w:type="dxa"/>
            <w:tcBorders>
              <w:top w:val="nil"/>
              <w:bottom w:val="nil"/>
            </w:tcBorders>
          </w:tcPr>
          <w:p w14:paraId="3FA48DB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0.006±0.002</w:t>
            </w:r>
          </w:p>
        </w:tc>
        <w:tc>
          <w:tcPr>
            <w:tcW w:w="1347" w:type="dxa"/>
            <w:tcBorders>
              <w:top w:val="nil"/>
              <w:bottom w:val="nil"/>
            </w:tcBorders>
          </w:tcPr>
          <w:p w14:paraId="26DCA9A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0.008±0.002</w:t>
            </w:r>
          </w:p>
        </w:tc>
        <w:tc>
          <w:tcPr>
            <w:tcW w:w="1347" w:type="dxa"/>
            <w:tcBorders>
              <w:top w:val="nil"/>
              <w:bottom w:val="nil"/>
            </w:tcBorders>
          </w:tcPr>
          <w:p w14:paraId="7A642F4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0.005±0.002</w:t>
            </w:r>
          </w:p>
        </w:tc>
      </w:tr>
      <w:tr w:rsidR="00F7029A" w:rsidRPr="00CE7561" w14:paraId="522310E7" w14:textId="77777777" w:rsidTr="00FD1B99">
        <w:trPr>
          <w:trHeight w:val="286"/>
        </w:trPr>
        <w:tc>
          <w:tcPr>
            <w:tcW w:w="1456" w:type="dxa"/>
            <w:tcBorders>
              <w:top w:val="nil"/>
              <w:bottom w:val="nil"/>
            </w:tcBorders>
          </w:tcPr>
          <w:p w14:paraId="2E6145F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3</w:t>
            </w:r>
          </w:p>
        </w:tc>
        <w:tc>
          <w:tcPr>
            <w:tcW w:w="1347" w:type="dxa"/>
            <w:tcBorders>
              <w:top w:val="nil"/>
              <w:bottom w:val="nil"/>
            </w:tcBorders>
          </w:tcPr>
          <w:p w14:paraId="64C6C63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0.007±0.005</w:t>
            </w:r>
          </w:p>
        </w:tc>
        <w:tc>
          <w:tcPr>
            <w:tcW w:w="1347" w:type="dxa"/>
            <w:tcBorders>
              <w:top w:val="nil"/>
              <w:bottom w:val="nil"/>
            </w:tcBorders>
          </w:tcPr>
          <w:p w14:paraId="38AEF48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0.011±0.005</w:t>
            </w:r>
          </w:p>
        </w:tc>
        <w:tc>
          <w:tcPr>
            <w:tcW w:w="1347" w:type="dxa"/>
            <w:tcBorders>
              <w:top w:val="nil"/>
              <w:bottom w:val="nil"/>
            </w:tcBorders>
          </w:tcPr>
          <w:p w14:paraId="2AE718D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0.016±0.005</w:t>
            </w:r>
          </w:p>
        </w:tc>
        <w:tc>
          <w:tcPr>
            <w:tcW w:w="1347" w:type="dxa"/>
            <w:tcBorders>
              <w:top w:val="nil"/>
              <w:bottom w:val="nil"/>
            </w:tcBorders>
          </w:tcPr>
          <w:p w14:paraId="7EB09C0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0.008±0.004</w:t>
            </w:r>
          </w:p>
        </w:tc>
        <w:tc>
          <w:tcPr>
            <w:tcW w:w="1347" w:type="dxa"/>
            <w:tcBorders>
              <w:top w:val="nil"/>
              <w:bottom w:val="nil"/>
            </w:tcBorders>
          </w:tcPr>
          <w:p w14:paraId="585E09D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0.002±0.004</w:t>
            </w:r>
          </w:p>
        </w:tc>
        <w:tc>
          <w:tcPr>
            <w:tcW w:w="1347" w:type="dxa"/>
            <w:tcBorders>
              <w:top w:val="nil"/>
              <w:bottom w:val="nil"/>
            </w:tcBorders>
          </w:tcPr>
          <w:p w14:paraId="2AAD36F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0.009±0.004</w:t>
            </w:r>
          </w:p>
        </w:tc>
      </w:tr>
      <w:tr w:rsidR="00F7029A" w:rsidRPr="00CE7561" w14:paraId="7CFE6E21" w14:textId="77777777" w:rsidTr="00FD1B99">
        <w:trPr>
          <w:trHeight w:val="269"/>
        </w:trPr>
        <w:tc>
          <w:tcPr>
            <w:tcW w:w="1456" w:type="dxa"/>
            <w:tcBorders>
              <w:top w:val="nil"/>
              <w:bottom w:val="nil"/>
            </w:tcBorders>
          </w:tcPr>
          <w:p w14:paraId="264C3FF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4</w:t>
            </w:r>
          </w:p>
        </w:tc>
        <w:tc>
          <w:tcPr>
            <w:tcW w:w="1347" w:type="dxa"/>
            <w:tcBorders>
              <w:top w:val="nil"/>
              <w:bottom w:val="nil"/>
            </w:tcBorders>
          </w:tcPr>
          <w:p w14:paraId="563EBC9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0.002±0.013</w:t>
            </w:r>
          </w:p>
        </w:tc>
        <w:tc>
          <w:tcPr>
            <w:tcW w:w="1347" w:type="dxa"/>
            <w:tcBorders>
              <w:top w:val="nil"/>
              <w:bottom w:val="nil"/>
            </w:tcBorders>
          </w:tcPr>
          <w:p w14:paraId="3FD6199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0.011±0.013</w:t>
            </w:r>
          </w:p>
        </w:tc>
        <w:tc>
          <w:tcPr>
            <w:tcW w:w="1347" w:type="dxa"/>
            <w:tcBorders>
              <w:top w:val="nil"/>
              <w:bottom w:val="nil"/>
            </w:tcBorders>
          </w:tcPr>
          <w:p w14:paraId="139F9D4E"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0.027±0.013</w:t>
            </w:r>
          </w:p>
        </w:tc>
        <w:tc>
          <w:tcPr>
            <w:tcW w:w="1347" w:type="dxa"/>
            <w:tcBorders>
              <w:top w:val="nil"/>
              <w:bottom w:val="nil"/>
            </w:tcBorders>
          </w:tcPr>
          <w:p w14:paraId="6D6273B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47" w:type="dxa"/>
            <w:tcBorders>
              <w:top w:val="nil"/>
              <w:bottom w:val="nil"/>
            </w:tcBorders>
          </w:tcPr>
          <w:p w14:paraId="74FDAD5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0.009±0.005</w:t>
            </w:r>
          </w:p>
        </w:tc>
        <w:tc>
          <w:tcPr>
            <w:tcW w:w="1347" w:type="dxa"/>
            <w:tcBorders>
              <w:top w:val="nil"/>
              <w:bottom w:val="nil"/>
            </w:tcBorders>
          </w:tcPr>
          <w:p w14:paraId="42EF9A47"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0.010±0.005</w:t>
            </w:r>
          </w:p>
        </w:tc>
      </w:tr>
      <w:tr w:rsidR="00F7029A" w:rsidRPr="00CE7561" w14:paraId="347935A9" w14:textId="77777777" w:rsidTr="00FD1B99">
        <w:trPr>
          <w:trHeight w:val="269"/>
        </w:trPr>
        <w:tc>
          <w:tcPr>
            <w:tcW w:w="1456" w:type="dxa"/>
            <w:tcBorders>
              <w:top w:val="nil"/>
              <w:bottom w:val="nil"/>
            </w:tcBorders>
          </w:tcPr>
          <w:p w14:paraId="47D3EE1C"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5</w:t>
            </w:r>
          </w:p>
        </w:tc>
        <w:tc>
          <w:tcPr>
            <w:tcW w:w="1347" w:type="dxa"/>
            <w:tcBorders>
              <w:top w:val="nil"/>
              <w:bottom w:val="nil"/>
            </w:tcBorders>
          </w:tcPr>
          <w:p w14:paraId="2862876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0.005±0.011</w:t>
            </w:r>
          </w:p>
        </w:tc>
        <w:tc>
          <w:tcPr>
            <w:tcW w:w="1347" w:type="dxa"/>
            <w:tcBorders>
              <w:top w:val="nil"/>
              <w:bottom w:val="nil"/>
            </w:tcBorders>
          </w:tcPr>
          <w:p w14:paraId="66F1757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0.014±0.011</w:t>
            </w:r>
          </w:p>
        </w:tc>
        <w:tc>
          <w:tcPr>
            <w:tcW w:w="1347" w:type="dxa"/>
            <w:tcBorders>
              <w:top w:val="nil"/>
              <w:bottom w:val="nil"/>
            </w:tcBorders>
          </w:tcPr>
          <w:p w14:paraId="5833A05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0.027±0.011</w:t>
            </w:r>
          </w:p>
        </w:tc>
        <w:tc>
          <w:tcPr>
            <w:tcW w:w="1347" w:type="dxa"/>
            <w:tcBorders>
              <w:top w:val="nil"/>
              <w:bottom w:val="nil"/>
            </w:tcBorders>
          </w:tcPr>
          <w:p w14:paraId="4F9BAC4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0.002±0.007</w:t>
            </w:r>
          </w:p>
        </w:tc>
        <w:tc>
          <w:tcPr>
            <w:tcW w:w="1347" w:type="dxa"/>
            <w:tcBorders>
              <w:top w:val="nil"/>
              <w:bottom w:val="nil"/>
            </w:tcBorders>
          </w:tcPr>
          <w:p w14:paraId="222C3AB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nil"/>
              <w:bottom w:val="nil"/>
            </w:tcBorders>
          </w:tcPr>
          <w:p w14:paraId="15D5570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0.012±0.007</w:t>
            </w:r>
          </w:p>
        </w:tc>
      </w:tr>
      <w:tr w:rsidR="00F7029A" w:rsidRPr="00CE7561" w14:paraId="6D2890A1" w14:textId="77777777" w:rsidTr="00FD1B99">
        <w:trPr>
          <w:trHeight w:val="286"/>
        </w:trPr>
        <w:tc>
          <w:tcPr>
            <w:tcW w:w="1456" w:type="dxa"/>
            <w:tcBorders>
              <w:top w:val="nil"/>
              <w:bottom w:val="nil"/>
            </w:tcBorders>
          </w:tcPr>
          <w:p w14:paraId="290C671E"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6</w:t>
            </w:r>
          </w:p>
        </w:tc>
        <w:tc>
          <w:tcPr>
            <w:tcW w:w="1347" w:type="dxa"/>
            <w:tcBorders>
              <w:top w:val="nil"/>
              <w:bottom w:val="nil"/>
            </w:tcBorders>
          </w:tcPr>
          <w:p w14:paraId="5BDCB1C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0.007±0.008</w:t>
            </w:r>
          </w:p>
        </w:tc>
        <w:tc>
          <w:tcPr>
            <w:tcW w:w="1347" w:type="dxa"/>
            <w:tcBorders>
              <w:top w:val="nil"/>
              <w:bottom w:val="nil"/>
            </w:tcBorders>
          </w:tcPr>
          <w:p w14:paraId="3C9C1A5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0.015±0.008</w:t>
            </w:r>
          </w:p>
        </w:tc>
        <w:tc>
          <w:tcPr>
            <w:tcW w:w="1347" w:type="dxa"/>
            <w:tcBorders>
              <w:top w:val="nil"/>
              <w:bottom w:val="nil"/>
            </w:tcBorders>
          </w:tcPr>
          <w:p w14:paraId="4BAC7F8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0.022±0.008</w:t>
            </w:r>
          </w:p>
        </w:tc>
        <w:tc>
          <w:tcPr>
            <w:tcW w:w="1347" w:type="dxa"/>
            <w:tcBorders>
              <w:top w:val="nil"/>
              <w:bottom w:val="nil"/>
            </w:tcBorders>
          </w:tcPr>
          <w:p w14:paraId="33A485A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0.004±0.002</w:t>
            </w:r>
          </w:p>
        </w:tc>
        <w:tc>
          <w:tcPr>
            <w:tcW w:w="1347" w:type="dxa"/>
            <w:tcBorders>
              <w:top w:val="nil"/>
              <w:bottom w:val="nil"/>
            </w:tcBorders>
          </w:tcPr>
          <w:p w14:paraId="49A73E7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Borders>
              <w:top w:val="nil"/>
              <w:bottom w:val="nil"/>
            </w:tcBorders>
          </w:tcPr>
          <w:p w14:paraId="30133D6F"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0.007±0.002</w:t>
            </w:r>
          </w:p>
        </w:tc>
      </w:tr>
      <w:tr w:rsidR="00F7029A" w:rsidRPr="00CE7561" w14:paraId="4E221F3C" w14:textId="77777777" w:rsidTr="00FD1B99">
        <w:trPr>
          <w:trHeight w:val="269"/>
        </w:trPr>
        <w:tc>
          <w:tcPr>
            <w:tcW w:w="1456" w:type="dxa"/>
            <w:tcBorders>
              <w:top w:val="nil"/>
              <w:bottom w:val="nil"/>
            </w:tcBorders>
          </w:tcPr>
          <w:p w14:paraId="4841715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7</w:t>
            </w:r>
          </w:p>
        </w:tc>
        <w:tc>
          <w:tcPr>
            <w:tcW w:w="1347" w:type="dxa"/>
            <w:tcBorders>
              <w:top w:val="nil"/>
              <w:bottom w:val="nil"/>
            </w:tcBorders>
          </w:tcPr>
          <w:p w14:paraId="11A6E6D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0.010±0.002</w:t>
            </w:r>
          </w:p>
        </w:tc>
        <w:tc>
          <w:tcPr>
            <w:tcW w:w="1347" w:type="dxa"/>
            <w:tcBorders>
              <w:top w:val="nil"/>
              <w:bottom w:val="nil"/>
            </w:tcBorders>
          </w:tcPr>
          <w:p w14:paraId="4AF16DD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0.010±0.002</w:t>
            </w:r>
          </w:p>
        </w:tc>
        <w:tc>
          <w:tcPr>
            <w:tcW w:w="1347" w:type="dxa"/>
            <w:tcBorders>
              <w:top w:val="nil"/>
              <w:bottom w:val="nil"/>
            </w:tcBorders>
          </w:tcPr>
          <w:p w14:paraId="2B1088E2"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0.013±0.002</w:t>
            </w:r>
          </w:p>
        </w:tc>
        <w:tc>
          <w:tcPr>
            <w:tcW w:w="1347" w:type="dxa"/>
            <w:tcBorders>
              <w:top w:val="nil"/>
              <w:bottom w:val="nil"/>
            </w:tcBorders>
          </w:tcPr>
          <w:p w14:paraId="3460188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0.004±0.008</w:t>
            </w:r>
          </w:p>
        </w:tc>
        <w:tc>
          <w:tcPr>
            <w:tcW w:w="1347" w:type="dxa"/>
            <w:tcBorders>
              <w:top w:val="nil"/>
              <w:bottom w:val="nil"/>
            </w:tcBorders>
          </w:tcPr>
          <w:p w14:paraId="65999F0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0.005±0.008</w:t>
            </w:r>
          </w:p>
        </w:tc>
        <w:tc>
          <w:tcPr>
            <w:tcW w:w="1347" w:type="dxa"/>
            <w:tcBorders>
              <w:top w:val="nil"/>
              <w:bottom w:val="nil"/>
            </w:tcBorders>
          </w:tcPr>
          <w:p w14:paraId="51769AE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0.018±0.008</w:t>
            </w:r>
          </w:p>
        </w:tc>
      </w:tr>
      <w:tr w:rsidR="00F7029A" w:rsidRPr="00CE7561" w14:paraId="06EE620E" w14:textId="77777777" w:rsidTr="00FD1B99">
        <w:trPr>
          <w:trHeight w:val="269"/>
        </w:trPr>
        <w:tc>
          <w:tcPr>
            <w:tcW w:w="1456" w:type="dxa"/>
            <w:tcBorders>
              <w:top w:val="nil"/>
              <w:bottom w:val="nil"/>
            </w:tcBorders>
          </w:tcPr>
          <w:p w14:paraId="0E150FED"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8</w:t>
            </w:r>
          </w:p>
        </w:tc>
        <w:tc>
          <w:tcPr>
            <w:tcW w:w="1347" w:type="dxa"/>
            <w:tcBorders>
              <w:top w:val="nil"/>
              <w:bottom w:val="nil"/>
            </w:tcBorders>
          </w:tcPr>
          <w:p w14:paraId="5910A36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0.007±0.009</w:t>
            </w:r>
          </w:p>
        </w:tc>
        <w:tc>
          <w:tcPr>
            <w:tcW w:w="1347" w:type="dxa"/>
            <w:tcBorders>
              <w:top w:val="nil"/>
              <w:bottom w:val="nil"/>
            </w:tcBorders>
          </w:tcPr>
          <w:p w14:paraId="6E58A77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0.015±0.009</w:t>
            </w:r>
          </w:p>
        </w:tc>
        <w:tc>
          <w:tcPr>
            <w:tcW w:w="1347" w:type="dxa"/>
            <w:tcBorders>
              <w:top w:val="nil"/>
              <w:bottom w:val="nil"/>
            </w:tcBorders>
          </w:tcPr>
          <w:p w14:paraId="5A1E4BC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0.024±0.009</w:t>
            </w:r>
          </w:p>
        </w:tc>
        <w:tc>
          <w:tcPr>
            <w:tcW w:w="1347" w:type="dxa"/>
            <w:tcBorders>
              <w:top w:val="nil"/>
              <w:bottom w:val="nil"/>
            </w:tcBorders>
          </w:tcPr>
          <w:p w14:paraId="574E551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0.005±0.000</w:t>
            </w:r>
          </w:p>
        </w:tc>
        <w:tc>
          <w:tcPr>
            <w:tcW w:w="1347" w:type="dxa"/>
            <w:tcBorders>
              <w:top w:val="nil"/>
              <w:bottom w:val="nil"/>
            </w:tcBorders>
          </w:tcPr>
          <w:p w14:paraId="7322D227"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0.005±0.000</w:t>
            </w:r>
          </w:p>
        </w:tc>
        <w:tc>
          <w:tcPr>
            <w:tcW w:w="1347" w:type="dxa"/>
            <w:tcBorders>
              <w:top w:val="nil"/>
              <w:bottom w:val="nil"/>
            </w:tcBorders>
          </w:tcPr>
          <w:p w14:paraId="19E525F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r>
      <w:tr w:rsidR="00F7029A" w:rsidRPr="00CE7561" w14:paraId="0C3307F7" w14:textId="77777777" w:rsidTr="00FD1B99">
        <w:trPr>
          <w:trHeight w:val="286"/>
        </w:trPr>
        <w:tc>
          <w:tcPr>
            <w:tcW w:w="1456" w:type="dxa"/>
            <w:tcBorders>
              <w:top w:val="nil"/>
              <w:bottom w:val="nil"/>
            </w:tcBorders>
          </w:tcPr>
          <w:p w14:paraId="0234671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9</w:t>
            </w:r>
          </w:p>
        </w:tc>
        <w:tc>
          <w:tcPr>
            <w:tcW w:w="1347" w:type="dxa"/>
            <w:tcBorders>
              <w:top w:val="nil"/>
              <w:bottom w:val="nil"/>
            </w:tcBorders>
          </w:tcPr>
          <w:p w14:paraId="2F63931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0.005±0.012</w:t>
            </w:r>
          </w:p>
        </w:tc>
        <w:tc>
          <w:tcPr>
            <w:tcW w:w="1347" w:type="dxa"/>
            <w:tcBorders>
              <w:top w:val="nil"/>
              <w:bottom w:val="nil"/>
            </w:tcBorders>
          </w:tcPr>
          <w:p w14:paraId="1A0E492D"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0.014±0.012</w:t>
            </w:r>
          </w:p>
        </w:tc>
        <w:tc>
          <w:tcPr>
            <w:tcW w:w="1347" w:type="dxa"/>
            <w:tcBorders>
              <w:top w:val="nil"/>
              <w:bottom w:val="nil"/>
            </w:tcBorders>
          </w:tcPr>
          <w:p w14:paraId="311A04D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0.029±0.012</w:t>
            </w:r>
          </w:p>
        </w:tc>
        <w:tc>
          <w:tcPr>
            <w:tcW w:w="1347" w:type="dxa"/>
            <w:tcBorders>
              <w:top w:val="nil"/>
              <w:bottom w:val="nil"/>
            </w:tcBorders>
          </w:tcPr>
          <w:p w14:paraId="4E385624"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0.004±0.006</w:t>
            </w:r>
          </w:p>
        </w:tc>
        <w:tc>
          <w:tcPr>
            <w:tcW w:w="1347" w:type="dxa"/>
            <w:tcBorders>
              <w:top w:val="nil"/>
              <w:bottom w:val="nil"/>
            </w:tcBorders>
          </w:tcPr>
          <w:p w14:paraId="624D791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0.003±0.006</w:t>
            </w:r>
          </w:p>
        </w:tc>
        <w:tc>
          <w:tcPr>
            <w:tcW w:w="1347" w:type="dxa"/>
            <w:tcBorders>
              <w:top w:val="nil"/>
              <w:bottom w:val="nil"/>
            </w:tcBorders>
          </w:tcPr>
          <w:p w14:paraId="512B7BA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0.013±0.006</w:t>
            </w:r>
          </w:p>
        </w:tc>
      </w:tr>
      <w:tr w:rsidR="00F7029A" w:rsidRPr="00CE7561" w14:paraId="1BEA3D0F" w14:textId="77777777" w:rsidTr="00FD1B99">
        <w:trPr>
          <w:trHeight w:val="269"/>
        </w:trPr>
        <w:tc>
          <w:tcPr>
            <w:tcW w:w="1456" w:type="dxa"/>
            <w:tcBorders>
              <w:top w:val="nil"/>
            </w:tcBorders>
          </w:tcPr>
          <w:p w14:paraId="1CC549DA"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10</w:t>
            </w:r>
          </w:p>
        </w:tc>
        <w:tc>
          <w:tcPr>
            <w:tcW w:w="1347" w:type="dxa"/>
            <w:tcBorders>
              <w:top w:val="nil"/>
            </w:tcBorders>
          </w:tcPr>
          <w:p w14:paraId="57AEEFBC"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0.004±0.012</w:t>
            </w:r>
          </w:p>
        </w:tc>
        <w:tc>
          <w:tcPr>
            <w:tcW w:w="1347" w:type="dxa"/>
            <w:tcBorders>
              <w:top w:val="nil"/>
            </w:tcBorders>
          </w:tcPr>
          <w:p w14:paraId="6D2FDA5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0.017±0.012</w:t>
            </w:r>
          </w:p>
        </w:tc>
        <w:tc>
          <w:tcPr>
            <w:tcW w:w="1347" w:type="dxa"/>
            <w:tcBorders>
              <w:top w:val="nil"/>
            </w:tcBorders>
          </w:tcPr>
          <w:p w14:paraId="5FD7E35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0.028±0.012</w:t>
            </w:r>
          </w:p>
        </w:tc>
        <w:tc>
          <w:tcPr>
            <w:tcW w:w="1347" w:type="dxa"/>
            <w:tcBorders>
              <w:top w:val="nil"/>
            </w:tcBorders>
          </w:tcPr>
          <w:p w14:paraId="78387EC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0.002±0.008</w:t>
            </w:r>
          </w:p>
        </w:tc>
        <w:tc>
          <w:tcPr>
            <w:tcW w:w="1347" w:type="dxa"/>
            <w:tcBorders>
              <w:top w:val="nil"/>
            </w:tcBorders>
          </w:tcPr>
          <w:p w14:paraId="2A63944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0.009±0.008</w:t>
            </w:r>
          </w:p>
        </w:tc>
        <w:tc>
          <w:tcPr>
            <w:tcW w:w="1347" w:type="dxa"/>
            <w:tcBorders>
              <w:top w:val="nil"/>
            </w:tcBorders>
          </w:tcPr>
          <w:p w14:paraId="493BF31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0.017±0.008</w:t>
            </w:r>
          </w:p>
        </w:tc>
      </w:tr>
      <w:tr w:rsidR="00F7029A" w:rsidRPr="00CE7561" w14:paraId="092B7EA0" w14:textId="77777777" w:rsidTr="00FD1B99">
        <w:trPr>
          <w:trHeight w:val="269"/>
        </w:trPr>
        <w:tc>
          <w:tcPr>
            <w:tcW w:w="1456" w:type="dxa"/>
          </w:tcPr>
          <w:p w14:paraId="043531A8"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lastRenderedPageBreak/>
              <w:t>11</w:t>
            </w:r>
          </w:p>
        </w:tc>
        <w:tc>
          <w:tcPr>
            <w:tcW w:w="1347" w:type="dxa"/>
          </w:tcPr>
          <w:p w14:paraId="07BEBF45"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0.008±0.011</w:t>
            </w:r>
          </w:p>
        </w:tc>
        <w:tc>
          <w:tcPr>
            <w:tcW w:w="1347" w:type="dxa"/>
          </w:tcPr>
          <w:p w14:paraId="3BBC674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0.014±0.011</w:t>
            </w:r>
          </w:p>
        </w:tc>
        <w:tc>
          <w:tcPr>
            <w:tcW w:w="1347" w:type="dxa"/>
          </w:tcPr>
          <w:p w14:paraId="45D1CA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0.029±0.011</w:t>
            </w:r>
          </w:p>
        </w:tc>
        <w:tc>
          <w:tcPr>
            <w:tcW w:w="1347" w:type="dxa"/>
          </w:tcPr>
          <w:p w14:paraId="1C406F33"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0.001±0.005</w:t>
            </w:r>
          </w:p>
        </w:tc>
        <w:tc>
          <w:tcPr>
            <w:tcW w:w="1347" w:type="dxa"/>
          </w:tcPr>
          <w:p w14:paraId="6EF6A64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Pr>
          <w:p w14:paraId="0755FF3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0.008±0.005</w:t>
            </w:r>
          </w:p>
        </w:tc>
      </w:tr>
      <w:tr w:rsidR="00F7029A" w:rsidRPr="00CE7561" w14:paraId="39BFAFDC" w14:textId="77777777" w:rsidTr="00FD1B99">
        <w:trPr>
          <w:trHeight w:val="269"/>
        </w:trPr>
        <w:tc>
          <w:tcPr>
            <w:tcW w:w="1456" w:type="dxa"/>
          </w:tcPr>
          <w:p w14:paraId="64A57DB7" w14:textId="77777777" w:rsidR="00F7029A" w:rsidRPr="00CE7561" w:rsidRDefault="00F7029A" w:rsidP="00FD1B99">
            <w:pPr>
              <w:pStyle w:val="Heading1"/>
              <w:shd w:val="clear" w:color="auto" w:fill="FFFFFF"/>
              <w:spacing w:before="0" w:beforeAutospacing="0" w:after="0" w:afterAutospacing="0"/>
              <w:jc w:val="both"/>
              <w:outlineLvl w:val="0"/>
              <w:rPr>
                <w:b w:val="0"/>
                <w:sz w:val="20"/>
                <w:szCs w:val="20"/>
              </w:rPr>
            </w:pPr>
            <w:r w:rsidRPr="00CE7561">
              <w:rPr>
                <w:b w:val="0"/>
                <w:sz w:val="20"/>
                <w:szCs w:val="20"/>
              </w:rPr>
              <w:t>12</w:t>
            </w:r>
          </w:p>
        </w:tc>
        <w:tc>
          <w:tcPr>
            <w:tcW w:w="1347" w:type="dxa"/>
          </w:tcPr>
          <w:p w14:paraId="3BD4BB29"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0.010±0.009</w:t>
            </w:r>
          </w:p>
        </w:tc>
        <w:tc>
          <w:tcPr>
            <w:tcW w:w="1347" w:type="dxa"/>
          </w:tcPr>
          <w:p w14:paraId="6B1CDA06"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0.014±0.009</w:t>
            </w:r>
          </w:p>
        </w:tc>
        <w:tc>
          <w:tcPr>
            <w:tcW w:w="1347" w:type="dxa"/>
          </w:tcPr>
          <w:p w14:paraId="4CE518FB"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0.027±0.009</w:t>
            </w:r>
          </w:p>
        </w:tc>
        <w:tc>
          <w:tcPr>
            <w:tcW w:w="1347" w:type="dxa"/>
          </w:tcPr>
          <w:p w14:paraId="0BFC3851"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ND</w:t>
            </w:r>
          </w:p>
        </w:tc>
        <w:tc>
          <w:tcPr>
            <w:tcW w:w="1347" w:type="dxa"/>
          </w:tcPr>
          <w:p w14:paraId="66093AD0"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0.001±0.000</w:t>
            </w:r>
          </w:p>
        </w:tc>
        <w:tc>
          <w:tcPr>
            <w:tcW w:w="1347" w:type="dxa"/>
          </w:tcPr>
          <w:p w14:paraId="0B223108" w14:textId="77777777" w:rsidR="00F7029A" w:rsidRPr="00CE7561" w:rsidRDefault="00F7029A" w:rsidP="00DF5DCE">
            <w:pPr>
              <w:jc w:val="center"/>
              <w:rPr>
                <w:rFonts w:ascii="Times New Roman" w:eastAsia="Times New Roman" w:hAnsi="Times New Roman" w:cs="Times New Roman"/>
                <w:sz w:val="20"/>
                <w:szCs w:val="20"/>
              </w:rPr>
            </w:pPr>
            <w:r w:rsidRPr="00CE7561">
              <w:rPr>
                <w:rFonts w:ascii="Times New Roman" w:eastAsia="Times New Roman" w:hAnsi="Times New Roman" w:cs="Times New Roman"/>
                <w:sz w:val="20"/>
                <w:szCs w:val="20"/>
              </w:rPr>
              <w:t>0.001±0.000</w:t>
            </w:r>
          </w:p>
        </w:tc>
      </w:tr>
    </w:tbl>
    <w:p w14:paraId="09CA6E5B" w14:textId="77777777" w:rsidR="00F7029A" w:rsidRPr="00CE7561" w:rsidRDefault="00FD1B99" w:rsidP="00F7029A">
      <w:pPr>
        <w:spacing w:after="0" w:line="480" w:lineRule="auto"/>
        <w:jc w:val="both"/>
        <w:rPr>
          <w:rFonts w:ascii="Times New Roman" w:hAnsi="Times New Roman" w:cs="Times New Roman"/>
          <w:sz w:val="20"/>
          <w:szCs w:val="20"/>
        </w:rPr>
      </w:pPr>
      <w:r>
        <w:rPr>
          <w:rFonts w:ascii="Times New Roman" w:hAnsi="Times New Roman" w:cs="Times New Roman"/>
          <w:sz w:val="20"/>
          <w:szCs w:val="20"/>
        </w:rPr>
        <w:t>ND</w:t>
      </w:r>
      <w:r w:rsidR="00F720BA">
        <w:rPr>
          <w:rFonts w:ascii="Times New Roman" w:hAnsi="Times New Roman" w:cs="Times New Roman"/>
          <w:sz w:val="20"/>
          <w:szCs w:val="20"/>
        </w:rPr>
        <w:t xml:space="preserve"> stands for not detected</w:t>
      </w:r>
    </w:p>
    <w:p w14:paraId="0AE8478C" w14:textId="1D9A611B" w:rsidR="00CB1454" w:rsidRPr="00CB1454" w:rsidRDefault="00CB1454" w:rsidP="00CB1454">
      <w:pPr>
        <w:spacing w:after="120" w:line="276" w:lineRule="auto"/>
        <w:jc w:val="both"/>
        <w:rPr>
          <w:rFonts w:ascii="Times New Roman" w:hAnsi="Times New Roman" w:cs="Times New Roman"/>
          <w:sz w:val="20"/>
        </w:rPr>
      </w:pPr>
      <w:r w:rsidRPr="007C64C9">
        <w:rPr>
          <w:rFonts w:ascii="Times New Roman" w:hAnsi="Times New Roman" w:cs="Times New Roman"/>
          <w:sz w:val="20"/>
        </w:rPr>
        <w:t xml:space="preserve">The paired sample t-test results in Table 12 provide a quantitative assessment of the seasonal variations in cadmium concentrations. The t-value of 5.5488 and a highly </w:t>
      </w:r>
      <w:r>
        <w:rPr>
          <w:rFonts w:ascii="Times New Roman" w:hAnsi="Times New Roman" w:cs="Times New Roman"/>
          <w:sz w:val="20"/>
        </w:rPr>
        <w:t>significant p-value of 0.00</w:t>
      </w:r>
      <w:r w:rsidRPr="007C64C9">
        <w:rPr>
          <w:rFonts w:ascii="Times New Roman" w:hAnsi="Times New Roman" w:cs="Times New Roman"/>
          <w:sz w:val="20"/>
        </w:rPr>
        <w:t xml:space="preserve"> indicate a statistically significant difference between wet- and dry-season cadmium concentrations.</w:t>
      </w:r>
    </w:p>
    <w:p w14:paraId="35F84DF5" w14:textId="77777777" w:rsidR="00F7029A" w:rsidRPr="00CE7561" w:rsidRDefault="003C6339" w:rsidP="00F7029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Table 12.</w:t>
      </w:r>
      <w:r w:rsidR="00F7029A" w:rsidRPr="00CE7561">
        <w:rPr>
          <w:rFonts w:ascii="Times New Roman" w:hAnsi="Times New Roman" w:cs="Times New Roman"/>
          <w:sz w:val="20"/>
          <w:szCs w:val="20"/>
        </w:rPr>
        <w:t xml:space="preserve"> </w:t>
      </w:r>
      <w:r w:rsidR="00F7029A" w:rsidRPr="00CE7561">
        <w:rPr>
          <w:rFonts w:ascii="Times New Roman" w:hAnsi="Times New Roman" w:cs="Times New Roman"/>
          <w:b/>
          <w:sz w:val="20"/>
          <w:szCs w:val="20"/>
        </w:rPr>
        <w:t>Paired sample t-test Results Comparing Cadmium Concentration in Borehole Water between Wet and Dry Seasons</w:t>
      </w:r>
    </w:p>
    <w:tbl>
      <w:tblPr>
        <w:tblStyle w:val="TableGrid"/>
        <w:tblW w:w="9402" w:type="dxa"/>
        <w:tblBorders>
          <w:left w:val="none" w:sz="0" w:space="0" w:color="auto"/>
          <w:right w:val="none" w:sz="0" w:space="0" w:color="auto"/>
        </w:tblBorders>
        <w:tblLook w:val="04A0" w:firstRow="1" w:lastRow="0" w:firstColumn="1" w:lastColumn="0" w:noHBand="0" w:noVBand="1"/>
      </w:tblPr>
      <w:tblGrid>
        <w:gridCol w:w="1213"/>
        <w:gridCol w:w="1900"/>
        <w:gridCol w:w="2538"/>
        <w:gridCol w:w="2028"/>
        <w:gridCol w:w="1723"/>
      </w:tblGrid>
      <w:tr w:rsidR="00F7029A" w:rsidRPr="00CE7561" w14:paraId="5A2742EE" w14:textId="77777777" w:rsidTr="00C97947">
        <w:trPr>
          <w:trHeight w:val="367"/>
        </w:trPr>
        <w:tc>
          <w:tcPr>
            <w:tcW w:w="1213" w:type="dxa"/>
            <w:vMerge w:val="restart"/>
          </w:tcPr>
          <w:p w14:paraId="11D392FD"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 xml:space="preserve">T value </w:t>
            </w:r>
          </w:p>
        </w:tc>
        <w:tc>
          <w:tcPr>
            <w:tcW w:w="1900" w:type="dxa"/>
            <w:vMerge w:val="restart"/>
          </w:tcPr>
          <w:p w14:paraId="7CBAA55C"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Mean difference</w:t>
            </w:r>
          </w:p>
        </w:tc>
        <w:tc>
          <w:tcPr>
            <w:tcW w:w="4566" w:type="dxa"/>
            <w:gridSpan w:val="2"/>
          </w:tcPr>
          <w:p w14:paraId="1F66B621"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95% confidence interval of mean difference</w:t>
            </w:r>
          </w:p>
        </w:tc>
        <w:tc>
          <w:tcPr>
            <w:tcW w:w="1723" w:type="dxa"/>
            <w:vMerge w:val="restart"/>
          </w:tcPr>
          <w:p w14:paraId="4265E5A2"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p-value</w:t>
            </w:r>
          </w:p>
        </w:tc>
      </w:tr>
      <w:tr w:rsidR="00F7029A" w:rsidRPr="00CE7561" w14:paraId="3206F41B" w14:textId="77777777" w:rsidTr="00C97947">
        <w:trPr>
          <w:trHeight w:val="182"/>
        </w:trPr>
        <w:tc>
          <w:tcPr>
            <w:tcW w:w="1213" w:type="dxa"/>
            <w:vMerge/>
          </w:tcPr>
          <w:p w14:paraId="2F3F7E73" w14:textId="77777777" w:rsidR="00F7029A" w:rsidRPr="00CE7561" w:rsidRDefault="00F7029A" w:rsidP="009921CC">
            <w:pPr>
              <w:spacing w:line="276" w:lineRule="auto"/>
              <w:jc w:val="both"/>
              <w:rPr>
                <w:rFonts w:ascii="Times New Roman" w:hAnsi="Times New Roman" w:cs="Times New Roman"/>
                <w:sz w:val="20"/>
                <w:szCs w:val="20"/>
              </w:rPr>
            </w:pPr>
          </w:p>
        </w:tc>
        <w:tc>
          <w:tcPr>
            <w:tcW w:w="1900" w:type="dxa"/>
            <w:vMerge/>
          </w:tcPr>
          <w:p w14:paraId="31E2E163" w14:textId="77777777" w:rsidR="00F7029A" w:rsidRPr="00CE7561" w:rsidRDefault="00F7029A" w:rsidP="009921CC">
            <w:pPr>
              <w:spacing w:line="276" w:lineRule="auto"/>
              <w:jc w:val="both"/>
              <w:rPr>
                <w:rFonts w:ascii="Times New Roman" w:hAnsi="Times New Roman" w:cs="Times New Roman"/>
                <w:sz w:val="20"/>
                <w:szCs w:val="20"/>
              </w:rPr>
            </w:pPr>
          </w:p>
        </w:tc>
        <w:tc>
          <w:tcPr>
            <w:tcW w:w="2538" w:type="dxa"/>
          </w:tcPr>
          <w:p w14:paraId="67ED641C"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Lower bound</w:t>
            </w:r>
          </w:p>
        </w:tc>
        <w:tc>
          <w:tcPr>
            <w:tcW w:w="2028" w:type="dxa"/>
          </w:tcPr>
          <w:p w14:paraId="19267B8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Upper bound</w:t>
            </w:r>
          </w:p>
        </w:tc>
        <w:tc>
          <w:tcPr>
            <w:tcW w:w="1723" w:type="dxa"/>
            <w:vMerge/>
          </w:tcPr>
          <w:p w14:paraId="745D154C" w14:textId="77777777" w:rsidR="00F7029A" w:rsidRPr="00CE7561" w:rsidRDefault="00F7029A" w:rsidP="009921CC">
            <w:pPr>
              <w:spacing w:line="276" w:lineRule="auto"/>
              <w:jc w:val="both"/>
              <w:rPr>
                <w:rFonts w:ascii="Times New Roman" w:hAnsi="Times New Roman" w:cs="Times New Roman"/>
                <w:sz w:val="20"/>
                <w:szCs w:val="20"/>
              </w:rPr>
            </w:pPr>
          </w:p>
        </w:tc>
      </w:tr>
      <w:tr w:rsidR="00F7029A" w:rsidRPr="00CE7561" w14:paraId="4B681E1D" w14:textId="77777777" w:rsidTr="00C97947">
        <w:trPr>
          <w:trHeight w:val="182"/>
        </w:trPr>
        <w:tc>
          <w:tcPr>
            <w:tcW w:w="1213" w:type="dxa"/>
          </w:tcPr>
          <w:p w14:paraId="4FCF6E1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5.5488</w:t>
            </w:r>
          </w:p>
        </w:tc>
        <w:tc>
          <w:tcPr>
            <w:tcW w:w="1900" w:type="dxa"/>
          </w:tcPr>
          <w:p w14:paraId="63BEA691"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0.007694</w:t>
            </w:r>
          </w:p>
        </w:tc>
        <w:tc>
          <w:tcPr>
            <w:tcW w:w="2538" w:type="dxa"/>
          </w:tcPr>
          <w:p w14:paraId="2408F673"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0.0046424</w:t>
            </w:r>
          </w:p>
        </w:tc>
        <w:tc>
          <w:tcPr>
            <w:tcW w:w="2028" w:type="dxa"/>
          </w:tcPr>
          <w:p w14:paraId="06E3513A"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0.0107465</w:t>
            </w:r>
          </w:p>
        </w:tc>
        <w:tc>
          <w:tcPr>
            <w:tcW w:w="1723" w:type="dxa"/>
          </w:tcPr>
          <w:p w14:paraId="59AFE16E" w14:textId="77777777" w:rsidR="00F7029A" w:rsidRPr="00CE7561" w:rsidRDefault="00F7029A" w:rsidP="009921CC">
            <w:pPr>
              <w:spacing w:line="276" w:lineRule="auto"/>
              <w:jc w:val="both"/>
              <w:rPr>
                <w:rFonts w:ascii="Times New Roman" w:hAnsi="Times New Roman" w:cs="Times New Roman"/>
                <w:sz w:val="20"/>
                <w:szCs w:val="20"/>
              </w:rPr>
            </w:pPr>
            <w:r w:rsidRPr="00CE7561">
              <w:rPr>
                <w:rFonts w:ascii="Times New Roman" w:hAnsi="Times New Roman" w:cs="Times New Roman"/>
                <w:sz w:val="20"/>
                <w:szCs w:val="20"/>
              </w:rPr>
              <w:t>0.0001731</w:t>
            </w:r>
          </w:p>
        </w:tc>
      </w:tr>
    </w:tbl>
    <w:p w14:paraId="232E3F89" w14:textId="77777777" w:rsidR="00CB570D" w:rsidRPr="00CE7561" w:rsidRDefault="00CB570D" w:rsidP="00F7029A">
      <w:pPr>
        <w:spacing w:after="0" w:line="240" w:lineRule="auto"/>
        <w:jc w:val="both"/>
        <w:rPr>
          <w:rFonts w:ascii="Times New Roman" w:hAnsi="Times New Roman" w:cs="Times New Roman"/>
          <w:sz w:val="20"/>
          <w:szCs w:val="20"/>
        </w:rPr>
      </w:pPr>
    </w:p>
    <w:p w14:paraId="40482FA1" w14:textId="77777777" w:rsidR="00F7029A" w:rsidRPr="00CE7561" w:rsidRDefault="00F7029A" w:rsidP="00317AB4">
      <w:pPr>
        <w:spacing w:after="0" w:line="240" w:lineRule="auto"/>
        <w:jc w:val="center"/>
        <w:rPr>
          <w:rFonts w:ascii="Times New Roman" w:hAnsi="Times New Roman" w:cs="Times New Roman"/>
          <w:sz w:val="20"/>
          <w:szCs w:val="20"/>
        </w:rPr>
      </w:pPr>
      <w:r w:rsidRPr="00CE7561">
        <w:rPr>
          <w:rFonts w:ascii="Times New Roman" w:hAnsi="Times New Roman" w:cs="Times New Roman"/>
          <w:noProof/>
          <w:sz w:val="20"/>
          <w:szCs w:val="20"/>
        </w:rPr>
        <w:drawing>
          <wp:inline distT="0" distB="0" distL="0" distR="0" wp14:anchorId="1C55262D" wp14:editId="09A66032">
            <wp:extent cx="4094409" cy="2667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4409" cy="2667000"/>
                    </a:xfrm>
                    <a:prstGeom prst="rect">
                      <a:avLst/>
                    </a:prstGeom>
                    <a:noFill/>
                    <a:ln>
                      <a:noFill/>
                    </a:ln>
                  </pic:spPr>
                </pic:pic>
              </a:graphicData>
            </a:graphic>
          </wp:inline>
        </w:drawing>
      </w:r>
    </w:p>
    <w:p w14:paraId="2C580A8E" w14:textId="77777777" w:rsidR="000856A9" w:rsidRPr="007A5E61" w:rsidRDefault="002D068D" w:rsidP="007A5E61">
      <w:pPr>
        <w:spacing w:after="0" w:line="480" w:lineRule="auto"/>
        <w:jc w:val="center"/>
        <w:rPr>
          <w:rFonts w:ascii="Times New Roman" w:hAnsi="Times New Roman" w:cs="Times New Roman"/>
          <w:b/>
          <w:sz w:val="20"/>
          <w:szCs w:val="20"/>
        </w:rPr>
      </w:pPr>
      <w:r w:rsidRPr="00CE7561">
        <w:rPr>
          <w:rFonts w:ascii="Times New Roman" w:hAnsi="Times New Roman" w:cs="Times New Roman"/>
          <w:b/>
          <w:sz w:val="20"/>
          <w:szCs w:val="20"/>
        </w:rPr>
        <w:t>Figure 6</w:t>
      </w:r>
      <w:r w:rsidR="00F0152D" w:rsidRPr="00CE7561">
        <w:rPr>
          <w:rFonts w:ascii="Times New Roman" w:hAnsi="Times New Roman" w:cs="Times New Roman"/>
          <w:b/>
          <w:sz w:val="20"/>
          <w:szCs w:val="20"/>
        </w:rPr>
        <w:t>.</w:t>
      </w:r>
      <w:r w:rsidR="00F7029A" w:rsidRPr="00CE7561">
        <w:rPr>
          <w:rFonts w:ascii="Times New Roman" w:hAnsi="Times New Roman" w:cs="Times New Roman"/>
          <w:b/>
          <w:sz w:val="20"/>
          <w:szCs w:val="20"/>
        </w:rPr>
        <w:t xml:space="preserve"> Cadmium Concentrations in Borehole W</w:t>
      </w:r>
      <w:r w:rsidR="007A5E61">
        <w:rPr>
          <w:rFonts w:ascii="Times New Roman" w:hAnsi="Times New Roman" w:cs="Times New Roman"/>
          <w:b/>
          <w:sz w:val="20"/>
          <w:szCs w:val="20"/>
        </w:rPr>
        <w:t>ater Samples in Enugu North LGA</w:t>
      </w:r>
    </w:p>
    <w:p w14:paraId="3846FB26" w14:textId="0B99F41F" w:rsidR="00610073" w:rsidRPr="006829BC" w:rsidRDefault="00610073" w:rsidP="00610073">
      <w:pPr>
        <w:spacing w:after="120" w:line="276" w:lineRule="auto"/>
        <w:jc w:val="both"/>
        <w:rPr>
          <w:rFonts w:ascii="Times New Roman" w:eastAsia="Times New Roman" w:hAnsi="Times New Roman" w:cs="Times New Roman"/>
          <w:sz w:val="20"/>
          <w:szCs w:val="24"/>
        </w:rPr>
      </w:pPr>
      <w:r w:rsidRPr="00F0451F">
        <w:rPr>
          <w:rFonts w:ascii="Times New Roman" w:hAnsi="Times New Roman" w:cs="Times New Roman"/>
          <w:sz w:val="20"/>
        </w:rPr>
        <w:t>Table 13 shows that manganese concentrations varied both across seasons and between samples, with some general patterns and notable anomalies, this is presented in Figure 7.</w:t>
      </w:r>
      <w:r w:rsidRPr="0027069D">
        <w:rPr>
          <w:sz w:val="20"/>
        </w:rPr>
        <w:t xml:space="preserve"> </w:t>
      </w:r>
      <w:r w:rsidRPr="005F0378">
        <w:rPr>
          <w:rFonts w:ascii="Times New Roman" w:eastAsia="Times New Roman" w:hAnsi="Times New Roman" w:cs="Times New Roman"/>
          <w:sz w:val="20"/>
          <w:szCs w:val="24"/>
        </w:rPr>
        <w:t>During</w:t>
      </w:r>
      <w:r w:rsidRPr="006829BC">
        <w:rPr>
          <w:rFonts w:ascii="Times New Roman" w:eastAsia="Times New Roman" w:hAnsi="Times New Roman" w:cs="Times New Roman"/>
          <w:sz w:val="20"/>
          <w:szCs w:val="24"/>
        </w:rPr>
        <w:t xml:space="preserve"> the </w:t>
      </w:r>
      <w:r w:rsidRPr="005F0378">
        <w:rPr>
          <w:rFonts w:ascii="Times New Roman" w:eastAsia="Times New Roman" w:hAnsi="Times New Roman" w:cs="Times New Roman"/>
          <w:bCs/>
          <w:sz w:val="20"/>
          <w:szCs w:val="24"/>
        </w:rPr>
        <w:t>wet season</w:t>
      </w:r>
      <w:r w:rsidRPr="006829BC">
        <w:rPr>
          <w:rFonts w:ascii="Times New Roman" w:eastAsia="Times New Roman" w:hAnsi="Times New Roman" w:cs="Times New Roman"/>
          <w:sz w:val="20"/>
          <w:szCs w:val="24"/>
        </w:rPr>
        <w:t xml:space="preserve">, manganese concentrations varied significantly across the samples. Some samples, such as sample 1, showed relatively consistent concentrations throughout the wet season, with values ranging from </w:t>
      </w:r>
      <w:r w:rsidRPr="005F0378">
        <w:rPr>
          <w:rFonts w:ascii="Times New Roman" w:eastAsia="Times New Roman" w:hAnsi="Times New Roman" w:cs="Times New Roman"/>
          <w:bCs/>
          <w:sz w:val="20"/>
          <w:szCs w:val="24"/>
        </w:rPr>
        <w:t>0.018 mg/L</w:t>
      </w:r>
      <w:r w:rsidRPr="006829BC">
        <w:rPr>
          <w:rFonts w:ascii="Times New Roman" w:eastAsia="Times New Roman" w:hAnsi="Times New Roman" w:cs="Times New Roman"/>
          <w:sz w:val="20"/>
          <w:szCs w:val="24"/>
        </w:rPr>
        <w:t xml:space="preserve"> in June to </w:t>
      </w:r>
      <w:r w:rsidRPr="005F0378">
        <w:rPr>
          <w:rFonts w:ascii="Times New Roman" w:eastAsia="Times New Roman" w:hAnsi="Times New Roman" w:cs="Times New Roman"/>
          <w:bCs/>
          <w:sz w:val="20"/>
          <w:szCs w:val="24"/>
        </w:rPr>
        <w:t>0.030 mg/L</w:t>
      </w:r>
      <w:r w:rsidRPr="006829BC">
        <w:rPr>
          <w:rFonts w:ascii="Times New Roman" w:eastAsia="Times New Roman" w:hAnsi="Times New Roman" w:cs="Times New Roman"/>
          <w:sz w:val="20"/>
          <w:szCs w:val="24"/>
        </w:rPr>
        <w:t xml:space="preserve"> in August. Other samples, such as sample 2, demonstrated more variability, with concentrations ranging from </w:t>
      </w:r>
      <w:r w:rsidRPr="005F0378">
        <w:rPr>
          <w:rFonts w:ascii="Times New Roman" w:eastAsia="Times New Roman" w:hAnsi="Times New Roman" w:cs="Times New Roman"/>
          <w:bCs/>
          <w:sz w:val="20"/>
          <w:szCs w:val="24"/>
        </w:rPr>
        <w:t>0.119 mg/L</w:t>
      </w:r>
      <w:r w:rsidRPr="006829BC">
        <w:rPr>
          <w:rFonts w:ascii="Times New Roman" w:eastAsia="Times New Roman" w:hAnsi="Times New Roman" w:cs="Times New Roman"/>
          <w:sz w:val="20"/>
          <w:szCs w:val="24"/>
        </w:rPr>
        <w:t xml:space="preserve"> in June to </w:t>
      </w:r>
      <w:r w:rsidRPr="005F0378">
        <w:rPr>
          <w:rFonts w:ascii="Times New Roman" w:eastAsia="Times New Roman" w:hAnsi="Times New Roman" w:cs="Times New Roman"/>
          <w:bCs/>
          <w:sz w:val="20"/>
          <w:szCs w:val="24"/>
        </w:rPr>
        <w:t>0.037 mg/L</w:t>
      </w:r>
      <w:r w:rsidRPr="006829BC">
        <w:rPr>
          <w:rFonts w:ascii="Times New Roman" w:eastAsia="Times New Roman" w:hAnsi="Times New Roman" w:cs="Times New Roman"/>
          <w:sz w:val="20"/>
          <w:szCs w:val="24"/>
        </w:rPr>
        <w:t xml:space="preserve"> in August, and then dropping to </w:t>
      </w:r>
      <w:r w:rsidRPr="005F0378">
        <w:rPr>
          <w:rFonts w:ascii="Times New Roman" w:eastAsia="Times New Roman" w:hAnsi="Times New Roman" w:cs="Times New Roman"/>
          <w:bCs/>
          <w:sz w:val="20"/>
          <w:szCs w:val="24"/>
        </w:rPr>
        <w:t>ND</w:t>
      </w:r>
      <w:r w:rsidRPr="006829BC">
        <w:rPr>
          <w:rFonts w:ascii="Times New Roman" w:eastAsia="Times New Roman" w:hAnsi="Times New Roman" w:cs="Times New Roman"/>
          <w:sz w:val="20"/>
          <w:szCs w:val="24"/>
        </w:rPr>
        <w:t xml:space="preserve"> (not detected) in November. Sample 7 had a marked increase from </w:t>
      </w:r>
      <w:r w:rsidRPr="005F0378">
        <w:rPr>
          <w:rFonts w:ascii="Times New Roman" w:eastAsia="Times New Roman" w:hAnsi="Times New Roman" w:cs="Times New Roman"/>
          <w:bCs/>
          <w:sz w:val="20"/>
          <w:szCs w:val="24"/>
        </w:rPr>
        <w:t>0.055 mg/L</w:t>
      </w:r>
      <w:r w:rsidRPr="006829BC">
        <w:rPr>
          <w:rFonts w:ascii="Times New Roman" w:eastAsia="Times New Roman" w:hAnsi="Times New Roman" w:cs="Times New Roman"/>
          <w:sz w:val="20"/>
          <w:szCs w:val="24"/>
        </w:rPr>
        <w:t xml:space="preserve"> in June to </w:t>
      </w:r>
      <w:r w:rsidRPr="005F0378">
        <w:rPr>
          <w:rFonts w:ascii="Times New Roman" w:eastAsia="Times New Roman" w:hAnsi="Times New Roman" w:cs="Times New Roman"/>
          <w:bCs/>
          <w:sz w:val="20"/>
          <w:szCs w:val="24"/>
        </w:rPr>
        <w:t>0.095 mg/L</w:t>
      </w:r>
      <w:r w:rsidRPr="006829BC">
        <w:rPr>
          <w:rFonts w:ascii="Times New Roman" w:eastAsia="Times New Roman" w:hAnsi="Times New Roman" w:cs="Times New Roman"/>
          <w:sz w:val="20"/>
          <w:szCs w:val="24"/>
        </w:rPr>
        <w:t xml:space="preserve"> in August.</w:t>
      </w:r>
      <w:r>
        <w:rPr>
          <w:rFonts w:ascii="Times New Roman" w:eastAsia="Times New Roman" w:hAnsi="Times New Roman" w:cs="Times New Roman"/>
          <w:sz w:val="20"/>
          <w:szCs w:val="24"/>
        </w:rPr>
        <w:t xml:space="preserve"> </w:t>
      </w:r>
      <w:r w:rsidRPr="006829BC">
        <w:rPr>
          <w:rFonts w:ascii="Times New Roman" w:eastAsia="Times New Roman" w:hAnsi="Times New Roman" w:cs="Times New Roman"/>
          <w:sz w:val="20"/>
          <w:szCs w:val="24"/>
        </w:rPr>
        <w:t xml:space="preserve">In the </w:t>
      </w:r>
      <w:r w:rsidRPr="005F0378">
        <w:rPr>
          <w:rFonts w:ascii="Times New Roman" w:eastAsia="Times New Roman" w:hAnsi="Times New Roman" w:cs="Times New Roman"/>
          <w:bCs/>
          <w:sz w:val="20"/>
          <w:szCs w:val="24"/>
        </w:rPr>
        <w:t>dry season</w:t>
      </w:r>
      <w:r w:rsidRPr="006829BC">
        <w:rPr>
          <w:rFonts w:ascii="Times New Roman" w:eastAsia="Times New Roman" w:hAnsi="Times New Roman" w:cs="Times New Roman"/>
          <w:sz w:val="20"/>
          <w:szCs w:val="24"/>
        </w:rPr>
        <w:t xml:space="preserve">, there was a noticeable increase in manganese concentrations in several samples. For example, sample 1 showed a sharp increase from </w:t>
      </w:r>
      <w:r w:rsidRPr="005F0378">
        <w:rPr>
          <w:rFonts w:ascii="Times New Roman" w:eastAsia="Times New Roman" w:hAnsi="Times New Roman" w:cs="Times New Roman"/>
          <w:bCs/>
          <w:sz w:val="20"/>
          <w:szCs w:val="24"/>
        </w:rPr>
        <w:t>0.030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0.150 mg/L</w:t>
      </w:r>
      <w:r w:rsidRPr="006829BC">
        <w:rPr>
          <w:rFonts w:ascii="Times New Roman" w:eastAsia="Times New Roman" w:hAnsi="Times New Roman" w:cs="Times New Roman"/>
          <w:sz w:val="20"/>
          <w:szCs w:val="24"/>
        </w:rPr>
        <w:t xml:space="preserve"> in December. Similarly, sample 4 exhibited a significant rise from </w:t>
      </w:r>
      <w:r w:rsidRPr="005F0378">
        <w:rPr>
          <w:rFonts w:ascii="Times New Roman" w:eastAsia="Times New Roman" w:hAnsi="Times New Roman" w:cs="Times New Roman"/>
          <w:bCs/>
          <w:sz w:val="20"/>
          <w:szCs w:val="24"/>
        </w:rPr>
        <w:t>0.021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0.388 mg/L</w:t>
      </w:r>
      <w:r w:rsidRPr="006829BC">
        <w:rPr>
          <w:rFonts w:ascii="Times New Roman" w:eastAsia="Times New Roman" w:hAnsi="Times New Roman" w:cs="Times New Roman"/>
          <w:sz w:val="20"/>
          <w:szCs w:val="24"/>
        </w:rPr>
        <w:t xml:space="preserve"> in December, followed by a slight decrease to </w:t>
      </w:r>
      <w:r w:rsidRPr="005F0378">
        <w:rPr>
          <w:rFonts w:ascii="Times New Roman" w:eastAsia="Times New Roman" w:hAnsi="Times New Roman" w:cs="Times New Roman"/>
          <w:bCs/>
          <w:sz w:val="20"/>
          <w:szCs w:val="24"/>
        </w:rPr>
        <w:t>0.078 mg/L</w:t>
      </w:r>
      <w:r w:rsidRPr="006829BC">
        <w:rPr>
          <w:rFonts w:ascii="Times New Roman" w:eastAsia="Times New Roman" w:hAnsi="Times New Roman" w:cs="Times New Roman"/>
          <w:sz w:val="20"/>
          <w:szCs w:val="24"/>
        </w:rPr>
        <w:t xml:space="preserve"> in January. Sample 6 showed a fluctuation, with a decrease from </w:t>
      </w:r>
      <w:r w:rsidRPr="005F0378">
        <w:rPr>
          <w:rFonts w:ascii="Times New Roman" w:eastAsia="Times New Roman" w:hAnsi="Times New Roman" w:cs="Times New Roman"/>
          <w:bCs/>
          <w:sz w:val="20"/>
          <w:szCs w:val="24"/>
        </w:rPr>
        <w:t>0.088 mg/L</w:t>
      </w:r>
      <w:r w:rsidRPr="006829BC">
        <w:rPr>
          <w:rFonts w:ascii="Times New Roman" w:eastAsia="Times New Roman" w:hAnsi="Times New Roman" w:cs="Times New Roman"/>
          <w:sz w:val="20"/>
          <w:szCs w:val="24"/>
        </w:rPr>
        <w:t xml:space="preserve"> in August to </w:t>
      </w:r>
      <w:r w:rsidRPr="005F0378">
        <w:rPr>
          <w:rFonts w:ascii="Times New Roman" w:eastAsia="Times New Roman" w:hAnsi="Times New Roman" w:cs="Times New Roman"/>
          <w:bCs/>
          <w:sz w:val="20"/>
          <w:szCs w:val="24"/>
        </w:rPr>
        <w:t>0.027 mg/L</w:t>
      </w:r>
      <w:r w:rsidRPr="006829BC">
        <w:rPr>
          <w:rFonts w:ascii="Times New Roman" w:eastAsia="Times New Roman" w:hAnsi="Times New Roman" w:cs="Times New Roman"/>
          <w:sz w:val="20"/>
          <w:szCs w:val="24"/>
        </w:rPr>
        <w:t xml:space="preserve"> in December but then rising again to </w:t>
      </w:r>
      <w:r w:rsidRPr="005F0378">
        <w:rPr>
          <w:rFonts w:ascii="Times New Roman" w:eastAsia="Times New Roman" w:hAnsi="Times New Roman" w:cs="Times New Roman"/>
          <w:bCs/>
          <w:sz w:val="20"/>
          <w:szCs w:val="24"/>
        </w:rPr>
        <w:t>0.089 mg/L</w:t>
      </w:r>
      <w:r w:rsidRPr="006829BC">
        <w:rPr>
          <w:rFonts w:ascii="Times New Roman" w:eastAsia="Times New Roman" w:hAnsi="Times New Roman" w:cs="Times New Roman"/>
          <w:sz w:val="20"/>
          <w:szCs w:val="24"/>
        </w:rPr>
        <w:t xml:space="preserve"> in January. Sample 11 demonstrated a considerable peak, from </w:t>
      </w:r>
      <w:r w:rsidRPr="005F0378">
        <w:rPr>
          <w:rFonts w:ascii="Times New Roman" w:eastAsia="Times New Roman" w:hAnsi="Times New Roman" w:cs="Times New Roman"/>
          <w:bCs/>
          <w:sz w:val="20"/>
          <w:szCs w:val="24"/>
        </w:rPr>
        <w:t>1.250 mg/L</w:t>
      </w:r>
      <w:r w:rsidRPr="006829BC">
        <w:rPr>
          <w:rFonts w:ascii="Times New Roman" w:eastAsia="Times New Roman" w:hAnsi="Times New Roman" w:cs="Times New Roman"/>
          <w:sz w:val="20"/>
          <w:szCs w:val="24"/>
        </w:rPr>
        <w:t xml:space="preserve"> in November to </w:t>
      </w:r>
      <w:r w:rsidRPr="005F0378">
        <w:rPr>
          <w:rFonts w:ascii="Times New Roman" w:eastAsia="Times New Roman" w:hAnsi="Times New Roman" w:cs="Times New Roman"/>
          <w:bCs/>
          <w:sz w:val="20"/>
          <w:szCs w:val="24"/>
        </w:rPr>
        <w:t>0.044 mg/L</w:t>
      </w:r>
      <w:r w:rsidRPr="006829BC">
        <w:rPr>
          <w:rFonts w:ascii="Times New Roman" w:eastAsia="Times New Roman" w:hAnsi="Times New Roman" w:cs="Times New Roman"/>
          <w:sz w:val="20"/>
          <w:szCs w:val="24"/>
        </w:rPr>
        <w:t xml:space="preserve"> in December and </w:t>
      </w:r>
      <w:r w:rsidRPr="005F0378">
        <w:rPr>
          <w:rFonts w:ascii="Times New Roman" w:eastAsia="Times New Roman" w:hAnsi="Times New Roman" w:cs="Times New Roman"/>
          <w:bCs/>
          <w:sz w:val="20"/>
          <w:szCs w:val="24"/>
        </w:rPr>
        <w:t>0.041 mg/L</w:t>
      </w:r>
      <w:r w:rsidRPr="006829BC">
        <w:rPr>
          <w:rFonts w:ascii="Times New Roman" w:eastAsia="Times New Roman" w:hAnsi="Times New Roman" w:cs="Times New Roman"/>
          <w:sz w:val="20"/>
          <w:szCs w:val="24"/>
        </w:rPr>
        <w:t xml:space="preserve"> in January.</w:t>
      </w:r>
    </w:p>
    <w:p w14:paraId="4899C5F9" w14:textId="77777777" w:rsidR="000856A9" w:rsidRPr="002D62B3" w:rsidRDefault="000856A9" w:rsidP="000856A9">
      <w:pPr>
        <w:spacing w:after="0" w:line="360" w:lineRule="auto"/>
        <w:jc w:val="both"/>
        <w:rPr>
          <w:rFonts w:ascii="Times New Roman" w:hAnsi="Times New Roman" w:cs="Times New Roman"/>
          <w:sz w:val="20"/>
          <w:szCs w:val="20"/>
        </w:rPr>
      </w:pPr>
      <w:r w:rsidRPr="002D62B3">
        <w:rPr>
          <w:rFonts w:ascii="Times New Roman" w:hAnsi="Times New Roman" w:cs="Times New Roman"/>
          <w:b/>
          <w:sz w:val="20"/>
          <w:szCs w:val="20"/>
        </w:rPr>
        <w:t>Table 13.</w:t>
      </w:r>
      <w:r w:rsidRPr="002D62B3">
        <w:rPr>
          <w:rFonts w:ascii="Times New Roman" w:hAnsi="Times New Roman" w:cs="Times New Roman"/>
          <w:sz w:val="20"/>
          <w:szCs w:val="20"/>
        </w:rPr>
        <w:t xml:space="preserve"> </w:t>
      </w:r>
      <w:r w:rsidRPr="002D62B3">
        <w:rPr>
          <w:rFonts w:ascii="Times New Roman" w:hAnsi="Times New Roman" w:cs="Times New Roman"/>
          <w:b/>
          <w:sz w:val="20"/>
          <w:szCs w:val="20"/>
        </w:rPr>
        <w:t>Seasonal Variations in Manganese Concentration in Borehole Water Samples in Enugu North LGA</w:t>
      </w:r>
    </w:p>
    <w:tbl>
      <w:tblPr>
        <w:tblStyle w:val="TableGrid"/>
        <w:tblW w:w="93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362"/>
        <w:gridCol w:w="1362"/>
        <w:gridCol w:w="1363"/>
        <w:gridCol w:w="1362"/>
        <w:gridCol w:w="1362"/>
        <w:gridCol w:w="1363"/>
      </w:tblGrid>
      <w:tr w:rsidR="000856A9" w:rsidRPr="002D62B3" w14:paraId="00FA5063" w14:textId="77777777" w:rsidTr="001C2CC0">
        <w:trPr>
          <w:trHeight w:val="250"/>
        </w:trPr>
        <w:tc>
          <w:tcPr>
            <w:tcW w:w="1203" w:type="dxa"/>
            <w:tcBorders>
              <w:top w:val="single" w:sz="4" w:space="0" w:color="auto"/>
              <w:bottom w:val="single" w:sz="4" w:space="0" w:color="auto"/>
            </w:tcBorders>
          </w:tcPr>
          <w:p w14:paraId="4E4CB9DF" w14:textId="77777777" w:rsidR="000856A9" w:rsidRPr="002D62B3" w:rsidRDefault="000856A9" w:rsidP="001C2CC0">
            <w:pPr>
              <w:pStyle w:val="Heading1"/>
              <w:shd w:val="clear" w:color="auto" w:fill="FFFFFF"/>
              <w:spacing w:before="0" w:beforeAutospacing="0" w:after="0" w:afterAutospacing="0"/>
              <w:jc w:val="both"/>
              <w:outlineLvl w:val="0"/>
              <w:rPr>
                <w:sz w:val="20"/>
                <w:szCs w:val="20"/>
              </w:rPr>
            </w:pPr>
            <w:r w:rsidRPr="002D62B3">
              <w:rPr>
                <w:sz w:val="20"/>
                <w:szCs w:val="20"/>
              </w:rPr>
              <w:t>Mn (mg/l)</w:t>
            </w:r>
          </w:p>
        </w:tc>
        <w:tc>
          <w:tcPr>
            <w:tcW w:w="4087" w:type="dxa"/>
            <w:gridSpan w:val="3"/>
            <w:tcBorders>
              <w:top w:val="single" w:sz="4" w:space="0" w:color="auto"/>
              <w:bottom w:val="single" w:sz="4" w:space="0" w:color="auto"/>
            </w:tcBorders>
          </w:tcPr>
          <w:p w14:paraId="708386B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Wet Season</w:t>
            </w:r>
          </w:p>
        </w:tc>
        <w:tc>
          <w:tcPr>
            <w:tcW w:w="4087" w:type="dxa"/>
            <w:gridSpan w:val="3"/>
            <w:tcBorders>
              <w:top w:val="single" w:sz="4" w:space="0" w:color="auto"/>
              <w:bottom w:val="single" w:sz="4" w:space="0" w:color="auto"/>
            </w:tcBorders>
          </w:tcPr>
          <w:p w14:paraId="00D4DBA1"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Dry Season</w:t>
            </w:r>
          </w:p>
        </w:tc>
      </w:tr>
      <w:tr w:rsidR="000856A9" w:rsidRPr="002D62B3" w14:paraId="0A21933F" w14:textId="77777777" w:rsidTr="001C2CC0">
        <w:trPr>
          <w:trHeight w:val="250"/>
        </w:trPr>
        <w:tc>
          <w:tcPr>
            <w:tcW w:w="1203" w:type="dxa"/>
            <w:tcBorders>
              <w:top w:val="single" w:sz="4" w:space="0" w:color="auto"/>
              <w:bottom w:val="single" w:sz="4" w:space="0" w:color="auto"/>
            </w:tcBorders>
          </w:tcPr>
          <w:p w14:paraId="1DEA8F7B" w14:textId="77777777" w:rsidR="000856A9" w:rsidRPr="002D62B3" w:rsidRDefault="000856A9" w:rsidP="001C2CC0">
            <w:pPr>
              <w:pStyle w:val="Heading1"/>
              <w:shd w:val="clear" w:color="auto" w:fill="FFFFFF"/>
              <w:spacing w:before="0" w:beforeAutospacing="0" w:after="0" w:afterAutospacing="0"/>
              <w:jc w:val="both"/>
              <w:outlineLvl w:val="0"/>
              <w:rPr>
                <w:sz w:val="20"/>
                <w:szCs w:val="20"/>
              </w:rPr>
            </w:pPr>
            <w:r w:rsidRPr="002D62B3">
              <w:rPr>
                <w:sz w:val="20"/>
                <w:szCs w:val="20"/>
              </w:rPr>
              <w:t>Sample</w:t>
            </w:r>
          </w:p>
        </w:tc>
        <w:tc>
          <w:tcPr>
            <w:tcW w:w="1362" w:type="dxa"/>
            <w:tcBorders>
              <w:top w:val="single" w:sz="4" w:space="0" w:color="auto"/>
              <w:bottom w:val="single" w:sz="4" w:space="0" w:color="auto"/>
            </w:tcBorders>
          </w:tcPr>
          <w:p w14:paraId="4A8F126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June</w:t>
            </w:r>
          </w:p>
        </w:tc>
        <w:tc>
          <w:tcPr>
            <w:tcW w:w="1362" w:type="dxa"/>
            <w:tcBorders>
              <w:top w:val="single" w:sz="4" w:space="0" w:color="auto"/>
              <w:bottom w:val="single" w:sz="4" w:space="0" w:color="auto"/>
            </w:tcBorders>
          </w:tcPr>
          <w:p w14:paraId="6DC29548"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July</w:t>
            </w:r>
          </w:p>
        </w:tc>
        <w:tc>
          <w:tcPr>
            <w:tcW w:w="1362" w:type="dxa"/>
            <w:tcBorders>
              <w:top w:val="single" w:sz="4" w:space="0" w:color="auto"/>
              <w:bottom w:val="single" w:sz="4" w:space="0" w:color="auto"/>
            </w:tcBorders>
          </w:tcPr>
          <w:p w14:paraId="5CE5DDCC"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August</w:t>
            </w:r>
          </w:p>
        </w:tc>
        <w:tc>
          <w:tcPr>
            <w:tcW w:w="1362" w:type="dxa"/>
            <w:tcBorders>
              <w:top w:val="single" w:sz="4" w:space="0" w:color="auto"/>
              <w:bottom w:val="single" w:sz="4" w:space="0" w:color="auto"/>
            </w:tcBorders>
          </w:tcPr>
          <w:p w14:paraId="797AB1A6"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November</w:t>
            </w:r>
          </w:p>
        </w:tc>
        <w:tc>
          <w:tcPr>
            <w:tcW w:w="1362" w:type="dxa"/>
            <w:tcBorders>
              <w:top w:val="single" w:sz="4" w:space="0" w:color="auto"/>
              <w:bottom w:val="single" w:sz="4" w:space="0" w:color="auto"/>
            </w:tcBorders>
          </w:tcPr>
          <w:p w14:paraId="72FE25A3"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December</w:t>
            </w:r>
          </w:p>
        </w:tc>
        <w:tc>
          <w:tcPr>
            <w:tcW w:w="1362" w:type="dxa"/>
            <w:tcBorders>
              <w:top w:val="single" w:sz="4" w:space="0" w:color="auto"/>
              <w:bottom w:val="single" w:sz="4" w:space="0" w:color="auto"/>
            </w:tcBorders>
          </w:tcPr>
          <w:p w14:paraId="1AF6D3A1" w14:textId="77777777" w:rsidR="000856A9" w:rsidRPr="002D62B3" w:rsidRDefault="000856A9" w:rsidP="001C2CC0">
            <w:pPr>
              <w:pStyle w:val="Heading1"/>
              <w:shd w:val="clear" w:color="auto" w:fill="FFFFFF"/>
              <w:spacing w:before="0" w:beforeAutospacing="0" w:after="0" w:afterAutospacing="0"/>
              <w:jc w:val="center"/>
              <w:outlineLvl w:val="0"/>
              <w:rPr>
                <w:sz w:val="20"/>
                <w:szCs w:val="20"/>
              </w:rPr>
            </w:pPr>
            <w:r w:rsidRPr="002D62B3">
              <w:rPr>
                <w:sz w:val="20"/>
                <w:szCs w:val="20"/>
              </w:rPr>
              <w:t>January</w:t>
            </w:r>
          </w:p>
        </w:tc>
      </w:tr>
      <w:tr w:rsidR="000856A9" w:rsidRPr="002D62B3" w14:paraId="0B4B5844" w14:textId="77777777" w:rsidTr="001C2CC0">
        <w:trPr>
          <w:trHeight w:val="262"/>
        </w:trPr>
        <w:tc>
          <w:tcPr>
            <w:tcW w:w="1203" w:type="dxa"/>
            <w:tcBorders>
              <w:top w:val="single" w:sz="4" w:space="0" w:color="auto"/>
              <w:bottom w:val="nil"/>
            </w:tcBorders>
          </w:tcPr>
          <w:p w14:paraId="451A7D80"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w:t>
            </w:r>
          </w:p>
        </w:tc>
        <w:tc>
          <w:tcPr>
            <w:tcW w:w="1362" w:type="dxa"/>
            <w:tcBorders>
              <w:top w:val="single" w:sz="4" w:space="0" w:color="auto"/>
              <w:bottom w:val="nil"/>
            </w:tcBorders>
          </w:tcPr>
          <w:p w14:paraId="244D786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0.018±0.006</w:t>
            </w:r>
          </w:p>
        </w:tc>
        <w:tc>
          <w:tcPr>
            <w:tcW w:w="1362" w:type="dxa"/>
            <w:tcBorders>
              <w:top w:val="single" w:sz="4" w:space="0" w:color="auto"/>
              <w:bottom w:val="nil"/>
            </w:tcBorders>
          </w:tcPr>
          <w:p w14:paraId="4B101C1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0.024±0.006</w:t>
            </w:r>
          </w:p>
        </w:tc>
        <w:tc>
          <w:tcPr>
            <w:tcW w:w="1362" w:type="dxa"/>
            <w:tcBorders>
              <w:top w:val="single" w:sz="4" w:space="0" w:color="auto"/>
              <w:bottom w:val="nil"/>
            </w:tcBorders>
          </w:tcPr>
          <w:p w14:paraId="4413A6E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0.030±0.006</w:t>
            </w:r>
          </w:p>
        </w:tc>
        <w:tc>
          <w:tcPr>
            <w:tcW w:w="1362" w:type="dxa"/>
            <w:tcBorders>
              <w:top w:val="single" w:sz="4" w:space="0" w:color="auto"/>
              <w:bottom w:val="nil"/>
            </w:tcBorders>
          </w:tcPr>
          <w:p w14:paraId="40F6DD5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0.018±0.069</w:t>
            </w:r>
          </w:p>
        </w:tc>
        <w:tc>
          <w:tcPr>
            <w:tcW w:w="1362" w:type="dxa"/>
            <w:tcBorders>
              <w:top w:val="single" w:sz="4" w:space="0" w:color="auto"/>
              <w:bottom w:val="nil"/>
            </w:tcBorders>
          </w:tcPr>
          <w:p w14:paraId="5996EC6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0.150±0.069</w:t>
            </w:r>
          </w:p>
        </w:tc>
        <w:tc>
          <w:tcPr>
            <w:tcW w:w="1362" w:type="dxa"/>
            <w:tcBorders>
              <w:top w:val="single" w:sz="4" w:space="0" w:color="auto"/>
              <w:bottom w:val="nil"/>
            </w:tcBorders>
          </w:tcPr>
          <w:p w14:paraId="0DF857C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0.051±0.069</w:t>
            </w:r>
          </w:p>
        </w:tc>
      </w:tr>
      <w:tr w:rsidR="000856A9" w:rsidRPr="002D62B3" w14:paraId="58FC7D54" w14:textId="77777777" w:rsidTr="001C2CC0">
        <w:trPr>
          <w:trHeight w:val="262"/>
        </w:trPr>
        <w:tc>
          <w:tcPr>
            <w:tcW w:w="1203" w:type="dxa"/>
            <w:tcBorders>
              <w:top w:val="nil"/>
              <w:bottom w:val="nil"/>
            </w:tcBorders>
          </w:tcPr>
          <w:p w14:paraId="6485D150"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lastRenderedPageBreak/>
              <w:t>2</w:t>
            </w:r>
          </w:p>
        </w:tc>
        <w:tc>
          <w:tcPr>
            <w:tcW w:w="1362" w:type="dxa"/>
            <w:tcBorders>
              <w:top w:val="nil"/>
              <w:bottom w:val="nil"/>
            </w:tcBorders>
          </w:tcPr>
          <w:p w14:paraId="7CBBD52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0.119±0.041</w:t>
            </w:r>
          </w:p>
        </w:tc>
        <w:tc>
          <w:tcPr>
            <w:tcW w:w="1362" w:type="dxa"/>
            <w:tcBorders>
              <w:top w:val="nil"/>
              <w:bottom w:val="nil"/>
            </w:tcBorders>
          </w:tcPr>
          <w:p w14:paraId="4CEC68D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0.082±0.041</w:t>
            </w:r>
          </w:p>
        </w:tc>
        <w:tc>
          <w:tcPr>
            <w:tcW w:w="1362" w:type="dxa"/>
            <w:tcBorders>
              <w:top w:val="nil"/>
              <w:bottom w:val="nil"/>
            </w:tcBorders>
          </w:tcPr>
          <w:p w14:paraId="247F0B1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0.037±0.041</w:t>
            </w:r>
          </w:p>
        </w:tc>
        <w:tc>
          <w:tcPr>
            <w:tcW w:w="1362" w:type="dxa"/>
            <w:tcBorders>
              <w:top w:val="nil"/>
              <w:bottom w:val="nil"/>
            </w:tcBorders>
          </w:tcPr>
          <w:p w14:paraId="38D995C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ND</w:t>
            </w:r>
          </w:p>
        </w:tc>
        <w:tc>
          <w:tcPr>
            <w:tcW w:w="1362" w:type="dxa"/>
            <w:tcBorders>
              <w:top w:val="nil"/>
              <w:bottom w:val="nil"/>
            </w:tcBorders>
          </w:tcPr>
          <w:p w14:paraId="0E52AE2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0.210±0.132</w:t>
            </w:r>
          </w:p>
        </w:tc>
        <w:tc>
          <w:tcPr>
            <w:tcW w:w="1362" w:type="dxa"/>
            <w:tcBorders>
              <w:top w:val="nil"/>
              <w:bottom w:val="nil"/>
            </w:tcBorders>
          </w:tcPr>
          <w:p w14:paraId="14F0125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0.023±0.132</w:t>
            </w:r>
          </w:p>
        </w:tc>
      </w:tr>
      <w:tr w:rsidR="000856A9" w:rsidRPr="002D62B3" w14:paraId="4540EA0A" w14:textId="77777777" w:rsidTr="001C2CC0">
        <w:trPr>
          <w:trHeight w:val="279"/>
        </w:trPr>
        <w:tc>
          <w:tcPr>
            <w:tcW w:w="1203" w:type="dxa"/>
            <w:tcBorders>
              <w:top w:val="nil"/>
              <w:bottom w:val="nil"/>
            </w:tcBorders>
          </w:tcPr>
          <w:p w14:paraId="6960E4AB"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3</w:t>
            </w:r>
          </w:p>
        </w:tc>
        <w:tc>
          <w:tcPr>
            <w:tcW w:w="1362" w:type="dxa"/>
            <w:tcBorders>
              <w:top w:val="nil"/>
              <w:bottom w:val="nil"/>
            </w:tcBorders>
          </w:tcPr>
          <w:p w14:paraId="4531563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0.029±0.014</w:t>
            </w:r>
          </w:p>
        </w:tc>
        <w:tc>
          <w:tcPr>
            <w:tcW w:w="1362" w:type="dxa"/>
            <w:tcBorders>
              <w:top w:val="nil"/>
              <w:bottom w:val="nil"/>
            </w:tcBorders>
          </w:tcPr>
          <w:p w14:paraId="10C4D9D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0.001±0.014</w:t>
            </w:r>
          </w:p>
        </w:tc>
        <w:tc>
          <w:tcPr>
            <w:tcW w:w="1362" w:type="dxa"/>
            <w:tcBorders>
              <w:top w:val="nil"/>
              <w:bottom w:val="nil"/>
            </w:tcBorders>
          </w:tcPr>
          <w:p w14:paraId="6AE4E0F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0.010±0.014</w:t>
            </w:r>
          </w:p>
        </w:tc>
        <w:tc>
          <w:tcPr>
            <w:tcW w:w="1362" w:type="dxa"/>
            <w:tcBorders>
              <w:top w:val="nil"/>
              <w:bottom w:val="nil"/>
            </w:tcBorders>
          </w:tcPr>
          <w:p w14:paraId="699867B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0.034±0.165</w:t>
            </w:r>
          </w:p>
        </w:tc>
        <w:tc>
          <w:tcPr>
            <w:tcW w:w="1362" w:type="dxa"/>
            <w:tcBorders>
              <w:top w:val="nil"/>
              <w:bottom w:val="nil"/>
            </w:tcBorders>
          </w:tcPr>
          <w:p w14:paraId="16CF794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0.311±0.165</w:t>
            </w:r>
          </w:p>
        </w:tc>
        <w:tc>
          <w:tcPr>
            <w:tcW w:w="1362" w:type="dxa"/>
            <w:tcBorders>
              <w:top w:val="nil"/>
              <w:bottom w:val="nil"/>
            </w:tcBorders>
          </w:tcPr>
          <w:p w14:paraId="306C49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0.017±0.165</w:t>
            </w:r>
          </w:p>
        </w:tc>
      </w:tr>
      <w:tr w:rsidR="000856A9" w:rsidRPr="002D62B3" w14:paraId="239A4D66" w14:textId="77777777" w:rsidTr="001C2CC0">
        <w:trPr>
          <w:trHeight w:val="262"/>
        </w:trPr>
        <w:tc>
          <w:tcPr>
            <w:tcW w:w="1203" w:type="dxa"/>
            <w:tcBorders>
              <w:top w:val="nil"/>
              <w:bottom w:val="nil"/>
            </w:tcBorders>
          </w:tcPr>
          <w:p w14:paraId="665F6A8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4</w:t>
            </w:r>
          </w:p>
        </w:tc>
        <w:tc>
          <w:tcPr>
            <w:tcW w:w="1362" w:type="dxa"/>
            <w:tcBorders>
              <w:top w:val="nil"/>
              <w:bottom w:val="nil"/>
            </w:tcBorders>
          </w:tcPr>
          <w:p w14:paraId="7586C8A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0.210±0.096</w:t>
            </w:r>
          </w:p>
        </w:tc>
        <w:tc>
          <w:tcPr>
            <w:tcW w:w="1362" w:type="dxa"/>
            <w:tcBorders>
              <w:top w:val="nil"/>
              <w:bottom w:val="nil"/>
            </w:tcBorders>
          </w:tcPr>
          <w:p w14:paraId="4ECBD7E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0.087±0.096</w:t>
            </w:r>
          </w:p>
        </w:tc>
        <w:tc>
          <w:tcPr>
            <w:tcW w:w="1362" w:type="dxa"/>
            <w:tcBorders>
              <w:top w:val="nil"/>
              <w:bottom w:val="nil"/>
            </w:tcBorders>
          </w:tcPr>
          <w:p w14:paraId="7D2685D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0.021±0.096</w:t>
            </w:r>
          </w:p>
        </w:tc>
        <w:tc>
          <w:tcPr>
            <w:tcW w:w="1362" w:type="dxa"/>
            <w:tcBorders>
              <w:top w:val="nil"/>
              <w:bottom w:val="nil"/>
            </w:tcBorders>
          </w:tcPr>
          <w:p w14:paraId="49EA846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0.230±0.155</w:t>
            </w:r>
          </w:p>
        </w:tc>
        <w:tc>
          <w:tcPr>
            <w:tcW w:w="1362" w:type="dxa"/>
            <w:tcBorders>
              <w:top w:val="nil"/>
              <w:bottom w:val="nil"/>
            </w:tcBorders>
          </w:tcPr>
          <w:p w14:paraId="44E5DC2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0.388±0.155</w:t>
            </w:r>
          </w:p>
        </w:tc>
        <w:tc>
          <w:tcPr>
            <w:tcW w:w="1362" w:type="dxa"/>
            <w:tcBorders>
              <w:top w:val="nil"/>
              <w:bottom w:val="nil"/>
            </w:tcBorders>
          </w:tcPr>
          <w:p w14:paraId="413B864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0.078±0.155</w:t>
            </w:r>
          </w:p>
        </w:tc>
      </w:tr>
      <w:tr w:rsidR="000856A9" w:rsidRPr="002D62B3" w14:paraId="137C933A" w14:textId="77777777" w:rsidTr="001C2CC0">
        <w:trPr>
          <w:trHeight w:val="262"/>
        </w:trPr>
        <w:tc>
          <w:tcPr>
            <w:tcW w:w="1203" w:type="dxa"/>
            <w:tcBorders>
              <w:top w:val="nil"/>
              <w:bottom w:val="nil"/>
            </w:tcBorders>
          </w:tcPr>
          <w:p w14:paraId="7197F71A"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5</w:t>
            </w:r>
          </w:p>
        </w:tc>
        <w:tc>
          <w:tcPr>
            <w:tcW w:w="1362" w:type="dxa"/>
            <w:tcBorders>
              <w:top w:val="nil"/>
              <w:bottom w:val="nil"/>
            </w:tcBorders>
          </w:tcPr>
          <w:p w14:paraId="6DEF915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0.043±0.016</w:t>
            </w:r>
          </w:p>
        </w:tc>
        <w:tc>
          <w:tcPr>
            <w:tcW w:w="1362" w:type="dxa"/>
            <w:tcBorders>
              <w:top w:val="nil"/>
              <w:bottom w:val="nil"/>
            </w:tcBorders>
          </w:tcPr>
          <w:p w14:paraId="1AA86C7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0.011±0.016</w:t>
            </w:r>
          </w:p>
        </w:tc>
        <w:tc>
          <w:tcPr>
            <w:tcW w:w="1362" w:type="dxa"/>
            <w:tcBorders>
              <w:top w:val="nil"/>
              <w:bottom w:val="nil"/>
            </w:tcBorders>
          </w:tcPr>
          <w:p w14:paraId="4A54BB7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0.023±0.016</w:t>
            </w:r>
          </w:p>
        </w:tc>
        <w:tc>
          <w:tcPr>
            <w:tcW w:w="1362" w:type="dxa"/>
            <w:tcBorders>
              <w:top w:val="nil"/>
              <w:bottom w:val="nil"/>
            </w:tcBorders>
          </w:tcPr>
          <w:p w14:paraId="2FA86F3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0.040±0.046</w:t>
            </w:r>
          </w:p>
        </w:tc>
        <w:tc>
          <w:tcPr>
            <w:tcW w:w="1362" w:type="dxa"/>
            <w:tcBorders>
              <w:top w:val="nil"/>
              <w:bottom w:val="nil"/>
            </w:tcBorders>
          </w:tcPr>
          <w:p w14:paraId="6BC05B0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0.120±0.046</w:t>
            </w:r>
          </w:p>
        </w:tc>
        <w:tc>
          <w:tcPr>
            <w:tcW w:w="1362" w:type="dxa"/>
            <w:tcBorders>
              <w:top w:val="nil"/>
              <w:bottom w:val="nil"/>
            </w:tcBorders>
          </w:tcPr>
          <w:p w14:paraId="4D716D57"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0.120±0.046</w:t>
            </w:r>
          </w:p>
        </w:tc>
      </w:tr>
      <w:tr w:rsidR="000856A9" w:rsidRPr="002D62B3" w14:paraId="14D4EE72" w14:textId="77777777" w:rsidTr="001C2CC0">
        <w:trPr>
          <w:trHeight w:val="279"/>
        </w:trPr>
        <w:tc>
          <w:tcPr>
            <w:tcW w:w="1203" w:type="dxa"/>
            <w:tcBorders>
              <w:top w:val="nil"/>
              <w:bottom w:val="nil"/>
            </w:tcBorders>
          </w:tcPr>
          <w:p w14:paraId="2D28CBC6"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6</w:t>
            </w:r>
          </w:p>
        </w:tc>
        <w:tc>
          <w:tcPr>
            <w:tcW w:w="1362" w:type="dxa"/>
            <w:tcBorders>
              <w:top w:val="nil"/>
              <w:bottom w:val="nil"/>
            </w:tcBorders>
          </w:tcPr>
          <w:p w14:paraId="111E2B2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0.064±0.022</w:t>
            </w:r>
          </w:p>
        </w:tc>
        <w:tc>
          <w:tcPr>
            <w:tcW w:w="1362" w:type="dxa"/>
            <w:tcBorders>
              <w:top w:val="nil"/>
              <w:bottom w:val="nil"/>
            </w:tcBorders>
          </w:tcPr>
          <w:p w14:paraId="4D69F77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0.044±0.022</w:t>
            </w:r>
          </w:p>
        </w:tc>
        <w:tc>
          <w:tcPr>
            <w:tcW w:w="1362" w:type="dxa"/>
            <w:tcBorders>
              <w:top w:val="nil"/>
              <w:bottom w:val="nil"/>
            </w:tcBorders>
          </w:tcPr>
          <w:p w14:paraId="754785F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0.088±0.022</w:t>
            </w:r>
          </w:p>
        </w:tc>
        <w:tc>
          <w:tcPr>
            <w:tcW w:w="1362" w:type="dxa"/>
            <w:tcBorders>
              <w:top w:val="nil"/>
              <w:bottom w:val="nil"/>
            </w:tcBorders>
          </w:tcPr>
          <w:p w14:paraId="53EA561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0.020±0.038</w:t>
            </w:r>
          </w:p>
        </w:tc>
        <w:tc>
          <w:tcPr>
            <w:tcW w:w="1362" w:type="dxa"/>
            <w:tcBorders>
              <w:top w:val="nil"/>
              <w:bottom w:val="nil"/>
            </w:tcBorders>
          </w:tcPr>
          <w:p w14:paraId="5FF5FE7B"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0.027±0.038</w:t>
            </w:r>
          </w:p>
        </w:tc>
        <w:tc>
          <w:tcPr>
            <w:tcW w:w="1362" w:type="dxa"/>
            <w:tcBorders>
              <w:top w:val="nil"/>
              <w:bottom w:val="nil"/>
            </w:tcBorders>
          </w:tcPr>
          <w:p w14:paraId="7B30A91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0.089±0.038</w:t>
            </w:r>
          </w:p>
        </w:tc>
      </w:tr>
      <w:tr w:rsidR="000856A9" w:rsidRPr="002D62B3" w14:paraId="0479F508" w14:textId="77777777" w:rsidTr="001C2CC0">
        <w:trPr>
          <w:trHeight w:val="262"/>
        </w:trPr>
        <w:tc>
          <w:tcPr>
            <w:tcW w:w="1203" w:type="dxa"/>
            <w:tcBorders>
              <w:top w:val="nil"/>
              <w:bottom w:val="nil"/>
            </w:tcBorders>
          </w:tcPr>
          <w:p w14:paraId="47CC395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7</w:t>
            </w:r>
          </w:p>
        </w:tc>
        <w:tc>
          <w:tcPr>
            <w:tcW w:w="1362" w:type="dxa"/>
            <w:tcBorders>
              <w:top w:val="nil"/>
              <w:bottom w:val="nil"/>
            </w:tcBorders>
          </w:tcPr>
          <w:p w14:paraId="00C0CC1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0.055±0.020</w:t>
            </w:r>
          </w:p>
        </w:tc>
        <w:tc>
          <w:tcPr>
            <w:tcW w:w="1362" w:type="dxa"/>
            <w:tcBorders>
              <w:top w:val="nil"/>
              <w:bottom w:val="nil"/>
            </w:tcBorders>
          </w:tcPr>
          <w:p w14:paraId="7F61A5F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0.073±0.020</w:t>
            </w:r>
          </w:p>
        </w:tc>
        <w:tc>
          <w:tcPr>
            <w:tcW w:w="1362" w:type="dxa"/>
            <w:tcBorders>
              <w:top w:val="nil"/>
              <w:bottom w:val="nil"/>
            </w:tcBorders>
          </w:tcPr>
          <w:p w14:paraId="6029670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0.095±0.020</w:t>
            </w:r>
          </w:p>
        </w:tc>
        <w:tc>
          <w:tcPr>
            <w:tcW w:w="1362" w:type="dxa"/>
            <w:tcBorders>
              <w:top w:val="nil"/>
              <w:bottom w:val="nil"/>
            </w:tcBorders>
          </w:tcPr>
          <w:p w14:paraId="2F632D1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0.340±0.205</w:t>
            </w:r>
          </w:p>
        </w:tc>
        <w:tc>
          <w:tcPr>
            <w:tcW w:w="1362" w:type="dxa"/>
            <w:tcBorders>
              <w:top w:val="nil"/>
              <w:bottom w:val="nil"/>
            </w:tcBorders>
          </w:tcPr>
          <w:p w14:paraId="0AC4F31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0.025±0.205</w:t>
            </w:r>
          </w:p>
        </w:tc>
        <w:tc>
          <w:tcPr>
            <w:tcW w:w="1362" w:type="dxa"/>
            <w:tcBorders>
              <w:top w:val="nil"/>
              <w:bottom w:val="nil"/>
            </w:tcBorders>
          </w:tcPr>
          <w:p w14:paraId="40AE943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0.411±0.205</w:t>
            </w:r>
          </w:p>
        </w:tc>
      </w:tr>
      <w:tr w:rsidR="000856A9" w:rsidRPr="002D62B3" w14:paraId="3B6D12BF" w14:textId="77777777" w:rsidTr="001C2CC0">
        <w:trPr>
          <w:trHeight w:val="262"/>
        </w:trPr>
        <w:tc>
          <w:tcPr>
            <w:tcW w:w="1203" w:type="dxa"/>
            <w:tcBorders>
              <w:top w:val="nil"/>
              <w:bottom w:val="nil"/>
            </w:tcBorders>
          </w:tcPr>
          <w:p w14:paraId="55B9D39A"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8</w:t>
            </w:r>
          </w:p>
        </w:tc>
        <w:tc>
          <w:tcPr>
            <w:tcW w:w="1362" w:type="dxa"/>
            <w:tcBorders>
              <w:top w:val="nil"/>
              <w:bottom w:val="nil"/>
            </w:tcBorders>
          </w:tcPr>
          <w:p w14:paraId="54F78E6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0.245±0.125</w:t>
            </w:r>
          </w:p>
        </w:tc>
        <w:tc>
          <w:tcPr>
            <w:tcW w:w="1362" w:type="dxa"/>
            <w:tcBorders>
              <w:top w:val="nil"/>
              <w:bottom w:val="nil"/>
            </w:tcBorders>
          </w:tcPr>
          <w:p w14:paraId="381F5FA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0.047±0.125</w:t>
            </w:r>
          </w:p>
        </w:tc>
        <w:tc>
          <w:tcPr>
            <w:tcW w:w="1362" w:type="dxa"/>
            <w:tcBorders>
              <w:top w:val="nil"/>
              <w:bottom w:val="nil"/>
            </w:tcBorders>
          </w:tcPr>
          <w:p w14:paraId="26A69AFC"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0.013±0.125</w:t>
            </w:r>
          </w:p>
        </w:tc>
        <w:tc>
          <w:tcPr>
            <w:tcW w:w="1362" w:type="dxa"/>
            <w:tcBorders>
              <w:top w:val="nil"/>
              <w:bottom w:val="nil"/>
            </w:tcBorders>
          </w:tcPr>
          <w:p w14:paraId="60948A4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0.460±0.204</w:t>
            </w:r>
          </w:p>
        </w:tc>
        <w:tc>
          <w:tcPr>
            <w:tcW w:w="1362" w:type="dxa"/>
            <w:tcBorders>
              <w:top w:val="nil"/>
              <w:bottom w:val="nil"/>
            </w:tcBorders>
          </w:tcPr>
          <w:p w14:paraId="3D8A236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0.118±0.204</w:t>
            </w:r>
          </w:p>
        </w:tc>
        <w:tc>
          <w:tcPr>
            <w:tcW w:w="1362" w:type="dxa"/>
            <w:tcBorders>
              <w:top w:val="nil"/>
              <w:bottom w:val="nil"/>
            </w:tcBorders>
          </w:tcPr>
          <w:p w14:paraId="777E180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0.095±0.204</w:t>
            </w:r>
          </w:p>
        </w:tc>
      </w:tr>
      <w:tr w:rsidR="000856A9" w:rsidRPr="002D62B3" w14:paraId="2C9D1C16" w14:textId="77777777" w:rsidTr="001C2CC0">
        <w:trPr>
          <w:trHeight w:val="279"/>
        </w:trPr>
        <w:tc>
          <w:tcPr>
            <w:tcW w:w="1203" w:type="dxa"/>
            <w:tcBorders>
              <w:top w:val="nil"/>
              <w:bottom w:val="nil"/>
            </w:tcBorders>
          </w:tcPr>
          <w:p w14:paraId="6274FE6E"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9</w:t>
            </w:r>
          </w:p>
        </w:tc>
        <w:tc>
          <w:tcPr>
            <w:tcW w:w="1362" w:type="dxa"/>
            <w:tcBorders>
              <w:top w:val="nil"/>
              <w:bottom w:val="nil"/>
            </w:tcBorders>
          </w:tcPr>
          <w:p w14:paraId="3D51A20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0.360±0.177</w:t>
            </w:r>
          </w:p>
        </w:tc>
        <w:tc>
          <w:tcPr>
            <w:tcW w:w="1362" w:type="dxa"/>
            <w:tcBorders>
              <w:top w:val="nil"/>
              <w:bottom w:val="nil"/>
            </w:tcBorders>
          </w:tcPr>
          <w:p w14:paraId="7FC16E68"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0.116±0.177</w:t>
            </w:r>
          </w:p>
        </w:tc>
        <w:tc>
          <w:tcPr>
            <w:tcW w:w="1362" w:type="dxa"/>
            <w:tcBorders>
              <w:top w:val="nil"/>
              <w:bottom w:val="nil"/>
            </w:tcBorders>
          </w:tcPr>
          <w:p w14:paraId="3AB58EC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0.017±0.177</w:t>
            </w:r>
          </w:p>
        </w:tc>
        <w:tc>
          <w:tcPr>
            <w:tcW w:w="1362" w:type="dxa"/>
            <w:tcBorders>
              <w:top w:val="nil"/>
              <w:bottom w:val="nil"/>
            </w:tcBorders>
          </w:tcPr>
          <w:p w14:paraId="62326F6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0.250±0.072</w:t>
            </w:r>
          </w:p>
        </w:tc>
        <w:tc>
          <w:tcPr>
            <w:tcW w:w="1362" w:type="dxa"/>
            <w:tcBorders>
              <w:top w:val="nil"/>
              <w:bottom w:val="nil"/>
            </w:tcBorders>
          </w:tcPr>
          <w:p w14:paraId="43E9CFB0"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0.134±0.072</w:t>
            </w:r>
          </w:p>
        </w:tc>
        <w:tc>
          <w:tcPr>
            <w:tcW w:w="1362" w:type="dxa"/>
            <w:tcBorders>
              <w:top w:val="nil"/>
              <w:bottom w:val="nil"/>
            </w:tcBorders>
          </w:tcPr>
          <w:p w14:paraId="7BD16F05"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0.118±0.072</w:t>
            </w:r>
          </w:p>
        </w:tc>
      </w:tr>
      <w:tr w:rsidR="000856A9" w:rsidRPr="002D62B3" w14:paraId="408B4FD9" w14:textId="77777777" w:rsidTr="001C2CC0">
        <w:trPr>
          <w:trHeight w:val="262"/>
        </w:trPr>
        <w:tc>
          <w:tcPr>
            <w:tcW w:w="1203" w:type="dxa"/>
            <w:tcBorders>
              <w:top w:val="nil"/>
            </w:tcBorders>
          </w:tcPr>
          <w:p w14:paraId="224B48D8"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10</w:t>
            </w:r>
          </w:p>
        </w:tc>
        <w:tc>
          <w:tcPr>
            <w:tcW w:w="1362" w:type="dxa"/>
            <w:tcBorders>
              <w:top w:val="nil"/>
            </w:tcBorders>
          </w:tcPr>
          <w:p w14:paraId="3D363992"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0.240±0.104</w:t>
            </w:r>
          </w:p>
        </w:tc>
        <w:tc>
          <w:tcPr>
            <w:tcW w:w="1362" w:type="dxa"/>
            <w:tcBorders>
              <w:top w:val="nil"/>
            </w:tcBorders>
          </w:tcPr>
          <w:p w14:paraId="644B6B3B"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0.058±0.104</w:t>
            </w:r>
          </w:p>
        </w:tc>
        <w:tc>
          <w:tcPr>
            <w:tcW w:w="1362" w:type="dxa"/>
            <w:tcBorders>
              <w:top w:val="nil"/>
            </w:tcBorders>
          </w:tcPr>
          <w:p w14:paraId="3C5DA46E"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0.062±0.104</w:t>
            </w:r>
          </w:p>
        </w:tc>
        <w:tc>
          <w:tcPr>
            <w:tcW w:w="1362" w:type="dxa"/>
            <w:tcBorders>
              <w:top w:val="nil"/>
            </w:tcBorders>
          </w:tcPr>
          <w:p w14:paraId="6F79DC4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0.740±0.387</w:t>
            </w:r>
          </w:p>
        </w:tc>
        <w:tc>
          <w:tcPr>
            <w:tcW w:w="1362" w:type="dxa"/>
            <w:tcBorders>
              <w:top w:val="nil"/>
            </w:tcBorders>
          </w:tcPr>
          <w:p w14:paraId="3105C66D"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0.090±0.387</w:t>
            </w:r>
          </w:p>
        </w:tc>
        <w:tc>
          <w:tcPr>
            <w:tcW w:w="1362" w:type="dxa"/>
            <w:tcBorders>
              <w:top w:val="nil"/>
            </w:tcBorders>
          </w:tcPr>
          <w:p w14:paraId="459A03A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0.050±0.387</w:t>
            </w:r>
          </w:p>
        </w:tc>
      </w:tr>
      <w:tr w:rsidR="000856A9" w:rsidRPr="002D62B3" w14:paraId="4AE7113A" w14:textId="77777777" w:rsidTr="001C2CC0">
        <w:trPr>
          <w:trHeight w:val="262"/>
        </w:trPr>
        <w:tc>
          <w:tcPr>
            <w:tcW w:w="1203" w:type="dxa"/>
          </w:tcPr>
          <w:p w14:paraId="3B830F6C"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11</w:t>
            </w:r>
          </w:p>
        </w:tc>
        <w:tc>
          <w:tcPr>
            <w:tcW w:w="1362" w:type="dxa"/>
          </w:tcPr>
          <w:p w14:paraId="2DF3890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0.196±0.088</w:t>
            </w:r>
          </w:p>
        </w:tc>
        <w:tc>
          <w:tcPr>
            <w:tcW w:w="1362" w:type="dxa"/>
          </w:tcPr>
          <w:p w14:paraId="72DD00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0.055±0.088</w:t>
            </w:r>
          </w:p>
        </w:tc>
        <w:tc>
          <w:tcPr>
            <w:tcW w:w="1362" w:type="dxa"/>
          </w:tcPr>
          <w:p w14:paraId="235D8DE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0.035±0.088</w:t>
            </w:r>
          </w:p>
        </w:tc>
        <w:tc>
          <w:tcPr>
            <w:tcW w:w="1362" w:type="dxa"/>
          </w:tcPr>
          <w:p w14:paraId="5718B333"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1.250±0.697</w:t>
            </w:r>
          </w:p>
        </w:tc>
        <w:tc>
          <w:tcPr>
            <w:tcW w:w="1362" w:type="dxa"/>
          </w:tcPr>
          <w:p w14:paraId="699F89C9"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0.044±0.697</w:t>
            </w:r>
          </w:p>
        </w:tc>
        <w:tc>
          <w:tcPr>
            <w:tcW w:w="1362" w:type="dxa"/>
          </w:tcPr>
          <w:p w14:paraId="2875D13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0.041±0.697</w:t>
            </w:r>
          </w:p>
        </w:tc>
      </w:tr>
      <w:tr w:rsidR="000856A9" w:rsidRPr="002D62B3" w14:paraId="054EBBC2" w14:textId="77777777" w:rsidTr="001C2CC0">
        <w:trPr>
          <w:trHeight w:val="262"/>
        </w:trPr>
        <w:tc>
          <w:tcPr>
            <w:tcW w:w="1203" w:type="dxa"/>
          </w:tcPr>
          <w:p w14:paraId="1D8CC267" w14:textId="77777777" w:rsidR="000856A9" w:rsidRPr="002D62B3" w:rsidRDefault="000856A9" w:rsidP="001C2CC0">
            <w:pPr>
              <w:pStyle w:val="Heading1"/>
              <w:shd w:val="clear" w:color="auto" w:fill="FFFFFF"/>
              <w:spacing w:before="0" w:beforeAutospacing="0" w:after="0" w:afterAutospacing="0"/>
              <w:jc w:val="both"/>
              <w:outlineLvl w:val="0"/>
              <w:rPr>
                <w:b w:val="0"/>
                <w:sz w:val="20"/>
                <w:szCs w:val="20"/>
              </w:rPr>
            </w:pPr>
            <w:r w:rsidRPr="002D62B3">
              <w:rPr>
                <w:b w:val="0"/>
                <w:sz w:val="20"/>
                <w:szCs w:val="20"/>
              </w:rPr>
              <w:t>12</w:t>
            </w:r>
          </w:p>
        </w:tc>
        <w:tc>
          <w:tcPr>
            <w:tcW w:w="1362" w:type="dxa"/>
          </w:tcPr>
          <w:p w14:paraId="3C0AA536"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0.151±0.058</w:t>
            </w:r>
          </w:p>
        </w:tc>
        <w:tc>
          <w:tcPr>
            <w:tcW w:w="1362" w:type="dxa"/>
          </w:tcPr>
          <w:p w14:paraId="7F70E081"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0.056±0.058</w:t>
            </w:r>
          </w:p>
        </w:tc>
        <w:tc>
          <w:tcPr>
            <w:tcW w:w="1362" w:type="dxa"/>
          </w:tcPr>
          <w:p w14:paraId="2861B78A"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0.047±0.058</w:t>
            </w:r>
          </w:p>
        </w:tc>
        <w:tc>
          <w:tcPr>
            <w:tcW w:w="1362" w:type="dxa"/>
          </w:tcPr>
          <w:p w14:paraId="47CAFA94"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1.090±0.610</w:t>
            </w:r>
          </w:p>
        </w:tc>
        <w:tc>
          <w:tcPr>
            <w:tcW w:w="1362" w:type="dxa"/>
          </w:tcPr>
          <w:p w14:paraId="50FBEA9D"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0.031±0.610</w:t>
            </w:r>
          </w:p>
        </w:tc>
        <w:tc>
          <w:tcPr>
            <w:tcW w:w="1362" w:type="dxa"/>
          </w:tcPr>
          <w:p w14:paraId="6B64639F" w14:textId="77777777" w:rsidR="000856A9" w:rsidRPr="002D62B3" w:rsidRDefault="000856A9" w:rsidP="001C2CC0">
            <w:pPr>
              <w:jc w:val="center"/>
              <w:rPr>
                <w:rFonts w:ascii="Times New Roman" w:eastAsia="Times New Roman" w:hAnsi="Times New Roman" w:cs="Times New Roman"/>
                <w:sz w:val="20"/>
                <w:szCs w:val="20"/>
              </w:rPr>
            </w:pPr>
            <w:r w:rsidRPr="002D62B3">
              <w:rPr>
                <w:rFonts w:ascii="Times New Roman" w:eastAsia="Times New Roman" w:hAnsi="Times New Roman" w:cs="Times New Roman"/>
                <w:sz w:val="20"/>
                <w:szCs w:val="20"/>
              </w:rPr>
              <w:t>0.036±0.610</w:t>
            </w:r>
          </w:p>
        </w:tc>
      </w:tr>
    </w:tbl>
    <w:p w14:paraId="3885B1A8" w14:textId="77777777" w:rsidR="000856A9" w:rsidRDefault="000856A9" w:rsidP="000856A9">
      <w:pPr>
        <w:spacing w:after="0" w:line="480" w:lineRule="auto"/>
        <w:jc w:val="both"/>
        <w:rPr>
          <w:rFonts w:ascii="Times New Roman" w:hAnsi="Times New Roman" w:cs="Times New Roman"/>
          <w:sz w:val="20"/>
          <w:szCs w:val="20"/>
        </w:rPr>
      </w:pPr>
    </w:p>
    <w:p w14:paraId="52B3458A" w14:textId="3797720A" w:rsidR="00610073" w:rsidRPr="00610073" w:rsidRDefault="00610073" w:rsidP="00610073">
      <w:pPr>
        <w:pStyle w:val="NormalWeb"/>
        <w:spacing w:before="0" w:beforeAutospacing="0" w:after="120" w:afterAutospacing="0" w:line="276" w:lineRule="auto"/>
        <w:jc w:val="both"/>
        <w:rPr>
          <w:sz w:val="16"/>
        </w:rPr>
      </w:pPr>
      <w:r w:rsidRPr="007E28C4">
        <w:rPr>
          <w:sz w:val="20"/>
        </w:rPr>
        <w:t xml:space="preserve">The paired sample t-test results in </w:t>
      </w:r>
      <w:r>
        <w:rPr>
          <w:sz w:val="20"/>
        </w:rPr>
        <w:t>Table 1</w:t>
      </w:r>
      <w:r w:rsidRPr="007E28C4">
        <w:rPr>
          <w:sz w:val="20"/>
        </w:rPr>
        <w:t>4 provide a statistical perspective on the seasonal variations. The t-value of -3.8369 and the highly significant p-value of 0.002761 indicate a statistically significant difference in manganese concentrations between the wet and dry seasons</w:t>
      </w:r>
      <w:r>
        <w:rPr>
          <w:sz w:val="20"/>
        </w:rPr>
        <w:t xml:space="preserve">. </w:t>
      </w:r>
    </w:p>
    <w:p w14:paraId="7BFD4C00" w14:textId="77777777" w:rsidR="000856A9" w:rsidRPr="002D62B3" w:rsidRDefault="000A2D48" w:rsidP="000856A9">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Table 14.</w:t>
      </w:r>
      <w:r w:rsidR="000856A9" w:rsidRPr="002D62B3">
        <w:rPr>
          <w:rFonts w:ascii="Times New Roman" w:hAnsi="Times New Roman" w:cs="Times New Roman"/>
          <w:sz w:val="20"/>
          <w:szCs w:val="20"/>
        </w:rPr>
        <w:t xml:space="preserve"> </w:t>
      </w:r>
      <w:r w:rsidR="000856A9" w:rsidRPr="002D62B3">
        <w:rPr>
          <w:rFonts w:ascii="Times New Roman" w:hAnsi="Times New Roman" w:cs="Times New Roman"/>
          <w:b/>
          <w:sz w:val="20"/>
          <w:szCs w:val="20"/>
        </w:rPr>
        <w:t>Paired sample t-test Results Comparing Manganese Concentration in Borehole Water between Wet and Dry Seasons</w:t>
      </w:r>
    </w:p>
    <w:tbl>
      <w:tblPr>
        <w:tblStyle w:val="TableGrid"/>
        <w:tblW w:w="9402" w:type="dxa"/>
        <w:tblBorders>
          <w:left w:val="none" w:sz="0" w:space="0" w:color="auto"/>
          <w:right w:val="none" w:sz="0" w:space="0" w:color="auto"/>
        </w:tblBorders>
        <w:tblLook w:val="04A0" w:firstRow="1" w:lastRow="0" w:firstColumn="1" w:lastColumn="0" w:noHBand="0" w:noVBand="1"/>
      </w:tblPr>
      <w:tblGrid>
        <w:gridCol w:w="1213"/>
        <w:gridCol w:w="1900"/>
        <w:gridCol w:w="2538"/>
        <w:gridCol w:w="2028"/>
        <w:gridCol w:w="1723"/>
      </w:tblGrid>
      <w:tr w:rsidR="000856A9" w:rsidRPr="002D62B3" w14:paraId="22673D7C" w14:textId="77777777" w:rsidTr="00C97947">
        <w:trPr>
          <w:trHeight w:val="379"/>
        </w:trPr>
        <w:tc>
          <w:tcPr>
            <w:tcW w:w="1213" w:type="dxa"/>
            <w:vMerge w:val="restart"/>
          </w:tcPr>
          <w:p w14:paraId="3F599143"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 xml:space="preserve">T value </w:t>
            </w:r>
          </w:p>
        </w:tc>
        <w:tc>
          <w:tcPr>
            <w:tcW w:w="1900" w:type="dxa"/>
            <w:vMerge w:val="restart"/>
          </w:tcPr>
          <w:p w14:paraId="6A269B84"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Mean difference</w:t>
            </w:r>
          </w:p>
        </w:tc>
        <w:tc>
          <w:tcPr>
            <w:tcW w:w="4566" w:type="dxa"/>
            <w:gridSpan w:val="2"/>
          </w:tcPr>
          <w:p w14:paraId="66291189"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95% confidence interval of mean difference</w:t>
            </w:r>
          </w:p>
        </w:tc>
        <w:tc>
          <w:tcPr>
            <w:tcW w:w="1723" w:type="dxa"/>
            <w:vMerge w:val="restart"/>
          </w:tcPr>
          <w:p w14:paraId="509294E7"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p-value</w:t>
            </w:r>
          </w:p>
        </w:tc>
      </w:tr>
      <w:tr w:rsidR="000856A9" w:rsidRPr="002D62B3" w14:paraId="1B1CC1BF" w14:textId="77777777" w:rsidTr="00C97947">
        <w:trPr>
          <w:trHeight w:val="188"/>
        </w:trPr>
        <w:tc>
          <w:tcPr>
            <w:tcW w:w="1213" w:type="dxa"/>
            <w:vMerge/>
          </w:tcPr>
          <w:p w14:paraId="6DAE702C" w14:textId="77777777" w:rsidR="000856A9" w:rsidRPr="002D62B3" w:rsidRDefault="000856A9" w:rsidP="000A2D48">
            <w:pPr>
              <w:spacing w:line="276" w:lineRule="auto"/>
              <w:jc w:val="both"/>
              <w:rPr>
                <w:rFonts w:ascii="Times New Roman" w:hAnsi="Times New Roman" w:cs="Times New Roman"/>
                <w:sz w:val="20"/>
                <w:szCs w:val="20"/>
              </w:rPr>
            </w:pPr>
          </w:p>
        </w:tc>
        <w:tc>
          <w:tcPr>
            <w:tcW w:w="1900" w:type="dxa"/>
            <w:vMerge/>
          </w:tcPr>
          <w:p w14:paraId="581235AE" w14:textId="77777777" w:rsidR="000856A9" w:rsidRPr="002D62B3" w:rsidRDefault="000856A9" w:rsidP="000A2D48">
            <w:pPr>
              <w:spacing w:line="276" w:lineRule="auto"/>
              <w:jc w:val="both"/>
              <w:rPr>
                <w:rFonts w:ascii="Times New Roman" w:hAnsi="Times New Roman" w:cs="Times New Roman"/>
                <w:sz w:val="20"/>
                <w:szCs w:val="20"/>
              </w:rPr>
            </w:pPr>
          </w:p>
        </w:tc>
        <w:tc>
          <w:tcPr>
            <w:tcW w:w="2538" w:type="dxa"/>
          </w:tcPr>
          <w:p w14:paraId="4DA22B0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Lower bound</w:t>
            </w:r>
          </w:p>
        </w:tc>
        <w:tc>
          <w:tcPr>
            <w:tcW w:w="2028" w:type="dxa"/>
          </w:tcPr>
          <w:p w14:paraId="615A7F91"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Upper bound</w:t>
            </w:r>
          </w:p>
        </w:tc>
        <w:tc>
          <w:tcPr>
            <w:tcW w:w="1723" w:type="dxa"/>
            <w:vMerge/>
          </w:tcPr>
          <w:p w14:paraId="67DCC274" w14:textId="77777777" w:rsidR="000856A9" w:rsidRPr="002D62B3" w:rsidRDefault="000856A9" w:rsidP="000A2D48">
            <w:pPr>
              <w:spacing w:line="276" w:lineRule="auto"/>
              <w:jc w:val="both"/>
              <w:rPr>
                <w:rFonts w:ascii="Times New Roman" w:hAnsi="Times New Roman" w:cs="Times New Roman"/>
                <w:sz w:val="20"/>
                <w:szCs w:val="20"/>
              </w:rPr>
            </w:pPr>
          </w:p>
        </w:tc>
      </w:tr>
      <w:tr w:rsidR="000856A9" w:rsidRPr="002D62B3" w14:paraId="309D9602" w14:textId="77777777" w:rsidTr="00C97947">
        <w:trPr>
          <w:trHeight w:val="188"/>
        </w:trPr>
        <w:tc>
          <w:tcPr>
            <w:tcW w:w="1213" w:type="dxa"/>
          </w:tcPr>
          <w:p w14:paraId="39417B8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-3.8369</w:t>
            </w:r>
          </w:p>
        </w:tc>
        <w:tc>
          <w:tcPr>
            <w:tcW w:w="1900" w:type="dxa"/>
          </w:tcPr>
          <w:p w14:paraId="202DAEC9"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-0.1250972</w:t>
            </w:r>
          </w:p>
        </w:tc>
        <w:tc>
          <w:tcPr>
            <w:tcW w:w="2538" w:type="dxa"/>
          </w:tcPr>
          <w:p w14:paraId="13971157"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-0.1968567</w:t>
            </w:r>
          </w:p>
        </w:tc>
        <w:tc>
          <w:tcPr>
            <w:tcW w:w="2028" w:type="dxa"/>
          </w:tcPr>
          <w:p w14:paraId="2580F28D"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-0.0533378</w:t>
            </w:r>
          </w:p>
        </w:tc>
        <w:tc>
          <w:tcPr>
            <w:tcW w:w="1723" w:type="dxa"/>
          </w:tcPr>
          <w:p w14:paraId="5EE5CAAF" w14:textId="77777777" w:rsidR="000856A9" w:rsidRPr="002D62B3" w:rsidRDefault="000856A9" w:rsidP="000A2D48">
            <w:pPr>
              <w:spacing w:line="276" w:lineRule="auto"/>
              <w:jc w:val="both"/>
              <w:rPr>
                <w:rFonts w:ascii="Times New Roman" w:hAnsi="Times New Roman" w:cs="Times New Roman"/>
                <w:sz w:val="20"/>
                <w:szCs w:val="20"/>
              </w:rPr>
            </w:pPr>
            <w:r w:rsidRPr="002D62B3">
              <w:rPr>
                <w:rFonts w:ascii="Times New Roman" w:hAnsi="Times New Roman" w:cs="Times New Roman"/>
                <w:sz w:val="20"/>
                <w:szCs w:val="20"/>
              </w:rPr>
              <w:t>0.002761</w:t>
            </w:r>
          </w:p>
        </w:tc>
      </w:tr>
    </w:tbl>
    <w:p w14:paraId="28909CED" w14:textId="77777777" w:rsidR="00EC425A" w:rsidRDefault="00EC425A" w:rsidP="00C2602B">
      <w:pPr>
        <w:spacing w:after="120" w:line="276" w:lineRule="auto"/>
        <w:jc w:val="both"/>
        <w:rPr>
          <w:rFonts w:ascii="Times New Roman" w:hAnsi="Times New Roman" w:cs="Times New Roman"/>
          <w:sz w:val="20"/>
          <w:szCs w:val="20"/>
        </w:rPr>
      </w:pPr>
    </w:p>
    <w:p w14:paraId="3F2B3071" w14:textId="77777777" w:rsidR="000856A9" w:rsidRPr="00740BD2" w:rsidRDefault="000856A9" w:rsidP="00501025">
      <w:pPr>
        <w:spacing w:after="0" w:line="276" w:lineRule="auto"/>
        <w:jc w:val="center"/>
        <w:rPr>
          <w:rFonts w:ascii="Times New Roman" w:hAnsi="Times New Roman" w:cs="Times New Roman"/>
          <w:sz w:val="24"/>
          <w:szCs w:val="24"/>
        </w:rPr>
      </w:pPr>
      <w:r w:rsidRPr="00740BD2">
        <w:rPr>
          <w:rFonts w:ascii="Times New Roman" w:hAnsi="Times New Roman" w:cs="Times New Roman"/>
          <w:noProof/>
          <w:sz w:val="24"/>
          <w:szCs w:val="24"/>
        </w:rPr>
        <w:drawing>
          <wp:inline distT="0" distB="0" distL="0" distR="0" wp14:anchorId="4EC51B74" wp14:editId="7ABB214E">
            <wp:extent cx="4305300" cy="280436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6920" cy="2805424"/>
                    </a:xfrm>
                    <a:prstGeom prst="rect">
                      <a:avLst/>
                    </a:prstGeom>
                    <a:noFill/>
                    <a:ln>
                      <a:noFill/>
                    </a:ln>
                  </pic:spPr>
                </pic:pic>
              </a:graphicData>
            </a:graphic>
          </wp:inline>
        </w:drawing>
      </w:r>
    </w:p>
    <w:p w14:paraId="76EE22C8" w14:textId="77777777" w:rsidR="000856A9" w:rsidRPr="00501025" w:rsidRDefault="00501025" w:rsidP="00501025">
      <w:pPr>
        <w:spacing w:after="0" w:line="276" w:lineRule="auto"/>
        <w:jc w:val="center"/>
        <w:rPr>
          <w:rFonts w:ascii="Times New Roman" w:hAnsi="Times New Roman" w:cs="Times New Roman"/>
          <w:b/>
          <w:sz w:val="20"/>
          <w:szCs w:val="24"/>
        </w:rPr>
      </w:pPr>
      <w:r w:rsidRPr="00501025">
        <w:rPr>
          <w:rFonts w:ascii="Times New Roman" w:hAnsi="Times New Roman" w:cs="Times New Roman"/>
          <w:b/>
          <w:sz w:val="20"/>
          <w:szCs w:val="24"/>
        </w:rPr>
        <w:t>Figure 7.</w:t>
      </w:r>
      <w:r w:rsidR="000856A9" w:rsidRPr="00501025">
        <w:rPr>
          <w:rFonts w:ascii="Times New Roman" w:hAnsi="Times New Roman" w:cs="Times New Roman"/>
          <w:b/>
          <w:sz w:val="20"/>
          <w:szCs w:val="24"/>
        </w:rPr>
        <w:t xml:space="preserve"> Manganese Concentrations in Borehole Water Samples in Enugu North LGA</w:t>
      </w:r>
    </w:p>
    <w:p w14:paraId="28B95AA7" w14:textId="3F6E3638" w:rsidR="000856A9" w:rsidRPr="00610073" w:rsidRDefault="00610073" w:rsidP="00610073">
      <w:pPr>
        <w:spacing w:after="120" w:line="276" w:lineRule="auto"/>
        <w:jc w:val="both"/>
        <w:rPr>
          <w:rFonts w:ascii="Times New Roman" w:eastAsia="Times New Roman" w:hAnsi="Times New Roman" w:cs="Times New Roman"/>
          <w:sz w:val="20"/>
          <w:szCs w:val="24"/>
        </w:rPr>
      </w:pPr>
      <w:r w:rsidRPr="00F7434E">
        <w:rPr>
          <w:rFonts w:ascii="Times New Roman" w:hAnsi="Times New Roman" w:cs="Times New Roman"/>
          <w:sz w:val="20"/>
          <w:szCs w:val="20"/>
        </w:rPr>
        <w:t xml:space="preserve">Table 15 presents the Chromium concentrations in borehole water samples, while Figure 8 depicts the visualization. </w:t>
      </w:r>
      <w:r w:rsidRPr="005F0378">
        <w:rPr>
          <w:rFonts w:ascii="Times New Roman" w:eastAsia="Times New Roman" w:hAnsi="Times New Roman" w:cs="Times New Roman"/>
          <w:sz w:val="20"/>
          <w:szCs w:val="24"/>
        </w:rPr>
        <w:t xml:space="preserve">In the </w:t>
      </w:r>
      <w:r w:rsidRPr="005F0378">
        <w:rPr>
          <w:rFonts w:ascii="Times New Roman" w:eastAsia="Times New Roman" w:hAnsi="Times New Roman" w:cs="Times New Roman"/>
          <w:bCs/>
          <w:sz w:val="20"/>
          <w:szCs w:val="24"/>
        </w:rPr>
        <w:t>wet season</w:t>
      </w:r>
      <w:r w:rsidRPr="005F0378">
        <w:rPr>
          <w:rFonts w:ascii="Times New Roman" w:eastAsia="Times New Roman" w:hAnsi="Times New Roman" w:cs="Times New Roman"/>
          <w:sz w:val="20"/>
          <w:szCs w:val="24"/>
        </w:rPr>
        <w:t xml:space="preserve">, chromium concentrations varied across the samples, with some showing relatively low levels and others exhibiting higher concentrations. For example, sample 1 exhibited chromium concentrations ranging from </w:t>
      </w:r>
      <w:r w:rsidRPr="005F0378">
        <w:rPr>
          <w:rFonts w:ascii="Times New Roman" w:eastAsia="Times New Roman" w:hAnsi="Times New Roman" w:cs="Times New Roman"/>
          <w:bCs/>
          <w:sz w:val="20"/>
          <w:szCs w:val="24"/>
        </w:rPr>
        <w:t>0.005 mg/L</w:t>
      </w:r>
      <w:r w:rsidRPr="005F0378">
        <w:rPr>
          <w:rFonts w:ascii="Times New Roman" w:eastAsia="Times New Roman" w:hAnsi="Times New Roman" w:cs="Times New Roman"/>
          <w:sz w:val="20"/>
          <w:szCs w:val="24"/>
        </w:rPr>
        <w:t xml:space="preserve"> in June to </w:t>
      </w:r>
      <w:r w:rsidRPr="005F0378">
        <w:rPr>
          <w:rFonts w:ascii="Times New Roman" w:eastAsia="Times New Roman" w:hAnsi="Times New Roman" w:cs="Times New Roman"/>
          <w:bCs/>
          <w:sz w:val="20"/>
          <w:szCs w:val="24"/>
        </w:rPr>
        <w:t>0.042 mg/L</w:t>
      </w:r>
      <w:r w:rsidRPr="005F0378">
        <w:rPr>
          <w:rFonts w:ascii="Times New Roman" w:eastAsia="Times New Roman" w:hAnsi="Times New Roman" w:cs="Times New Roman"/>
          <w:sz w:val="20"/>
          <w:szCs w:val="24"/>
        </w:rPr>
        <w:t xml:space="preserve"> in August, indicating some variability within the wet season. Similarly, sample 4 showed an increase from </w:t>
      </w:r>
      <w:r w:rsidRPr="005F0378">
        <w:rPr>
          <w:rFonts w:ascii="Times New Roman" w:eastAsia="Times New Roman" w:hAnsi="Times New Roman" w:cs="Times New Roman"/>
          <w:bCs/>
          <w:sz w:val="20"/>
          <w:szCs w:val="24"/>
        </w:rPr>
        <w:t>0.018 mg/L</w:t>
      </w:r>
      <w:r w:rsidRPr="005F0378">
        <w:rPr>
          <w:rFonts w:ascii="Times New Roman" w:eastAsia="Times New Roman" w:hAnsi="Times New Roman" w:cs="Times New Roman"/>
          <w:sz w:val="20"/>
          <w:szCs w:val="24"/>
        </w:rPr>
        <w:t xml:space="preserve"> in June to </w:t>
      </w:r>
      <w:r w:rsidRPr="005F0378">
        <w:rPr>
          <w:rFonts w:ascii="Times New Roman" w:eastAsia="Times New Roman" w:hAnsi="Times New Roman" w:cs="Times New Roman"/>
          <w:bCs/>
          <w:sz w:val="20"/>
          <w:szCs w:val="24"/>
        </w:rPr>
        <w:t>0.054 mg/L</w:t>
      </w:r>
      <w:r w:rsidRPr="005F0378">
        <w:rPr>
          <w:rFonts w:ascii="Times New Roman" w:eastAsia="Times New Roman" w:hAnsi="Times New Roman" w:cs="Times New Roman"/>
          <w:sz w:val="20"/>
          <w:szCs w:val="24"/>
        </w:rPr>
        <w:t xml:space="preserve"> in August, before slightly decreasing in the dry season.</w:t>
      </w:r>
      <w:r>
        <w:rPr>
          <w:rFonts w:ascii="Times New Roman" w:eastAsia="Times New Roman" w:hAnsi="Times New Roman" w:cs="Times New Roman"/>
          <w:sz w:val="20"/>
          <w:szCs w:val="24"/>
        </w:rPr>
        <w:t xml:space="preserve"> </w:t>
      </w:r>
      <w:r w:rsidRPr="005F0378">
        <w:rPr>
          <w:rFonts w:ascii="Times New Roman" w:eastAsia="Times New Roman" w:hAnsi="Times New Roman" w:cs="Times New Roman"/>
          <w:sz w:val="20"/>
          <w:szCs w:val="24"/>
        </w:rPr>
        <w:t xml:space="preserve">In the </w:t>
      </w:r>
      <w:r w:rsidRPr="005F0378">
        <w:rPr>
          <w:rFonts w:ascii="Times New Roman" w:eastAsia="Times New Roman" w:hAnsi="Times New Roman" w:cs="Times New Roman"/>
          <w:bCs/>
          <w:sz w:val="20"/>
          <w:szCs w:val="24"/>
        </w:rPr>
        <w:t>dry season</w:t>
      </w:r>
      <w:r w:rsidRPr="005F0378">
        <w:rPr>
          <w:rFonts w:ascii="Times New Roman" w:eastAsia="Times New Roman" w:hAnsi="Times New Roman" w:cs="Times New Roman"/>
          <w:sz w:val="20"/>
          <w:szCs w:val="24"/>
        </w:rPr>
        <w:t xml:space="preserve">, there was a noticeable fluctuation in chromium concentrations across the samples. For example, sample 1 showed concentrations ranging from </w:t>
      </w:r>
      <w:r w:rsidRPr="005F0378">
        <w:rPr>
          <w:rFonts w:ascii="Times New Roman" w:eastAsia="Times New Roman" w:hAnsi="Times New Roman" w:cs="Times New Roman"/>
          <w:bCs/>
          <w:sz w:val="20"/>
          <w:szCs w:val="24"/>
        </w:rPr>
        <w:t>0.021 mg/L</w:t>
      </w:r>
      <w:r w:rsidRPr="005F0378">
        <w:rPr>
          <w:rFonts w:ascii="Times New Roman" w:eastAsia="Times New Roman" w:hAnsi="Times New Roman" w:cs="Times New Roman"/>
          <w:sz w:val="20"/>
          <w:szCs w:val="24"/>
        </w:rPr>
        <w:t xml:space="preserve"> in December to </w:t>
      </w:r>
      <w:r w:rsidRPr="005F0378">
        <w:rPr>
          <w:rFonts w:ascii="Times New Roman" w:eastAsia="Times New Roman" w:hAnsi="Times New Roman" w:cs="Times New Roman"/>
          <w:bCs/>
          <w:sz w:val="20"/>
          <w:szCs w:val="24"/>
        </w:rPr>
        <w:t>0.025 mg/L</w:t>
      </w:r>
      <w:r w:rsidRPr="005F0378">
        <w:rPr>
          <w:rFonts w:ascii="Times New Roman" w:eastAsia="Times New Roman" w:hAnsi="Times New Roman" w:cs="Times New Roman"/>
          <w:sz w:val="20"/>
          <w:szCs w:val="24"/>
        </w:rPr>
        <w:t xml:space="preserve"> in January, which represents </w:t>
      </w:r>
      <w:r w:rsidRPr="005F0378">
        <w:rPr>
          <w:rFonts w:ascii="Times New Roman" w:eastAsia="Times New Roman" w:hAnsi="Times New Roman" w:cs="Times New Roman"/>
          <w:sz w:val="20"/>
          <w:szCs w:val="24"/>
        </w:rPr>
        <w:lastRenderedPageBreak/>
        <w:t xml:space="preserve">a relatively stable trend. However, some samples, such as sample 2, exhibited higher values in the dry season. Sample 2 showed </w:t>
      </w:r>
      <w:r w:rsidRPr="005F0378">
        <w:rPr>
          <w:rFonts w:ascii="Times New Roman" w:eastAsia="Times New Roman" w:hAnsi="Times New Roman" w:cs="Times New Roman"/>
          <w:bCs/>
          <w:sz w:val="20"/>
          <w:szCs w:val="24"/>
        </w:rPr>
        <w:t>0.047 mg/L</w:t>
      </w:r>
      <w:r w:rsidRPr="005F0378">
        <w:rPr>
          <w:rFonts w:ascii="Times New Roman" w:eastAsia="Times New Roman" w:hAnsi="Times New Roman" w:cs="Times New Roman"/>
          <w:sz w:val="20"/>
          <w:szCs w:val="24"/>
        </w:rPr>
        <w:t xml:space="preserve"> in December, compared to a low concentration of </w:t>
      </w:r>
      <w:r w:rsidRPr="005F0378">
        <w:rPr>
          <w:rFonts w:ascii="Times New Roman" w:eastAsia="Times New Roman" w:hAnsi="Times New Roman" w:cs="Times New Roman"/>
          <w:bCs/>
          <w:sz w:val="20"/>
          <w:szCs w:val="24"/>
        </w:rPr>
        <w:t>ND</w:t>
      </w:r>
      <w:r w:rsidRPr="005F0378">
        <w:rPr>
          <w:rFonts w:ascii="Times New Roman" w:eastAsia="Times New Roman" w:hAnsi="Times New Roman" w:cs="Times New Roman"/>
          <w:sz w:val="20"/>
          <w:szCs w:val="24"/>
        </w:rPr>
        <w:t xml:space="preserve"> (not detected) in June and </w:t>
      </w:r>
      <w:r w:rsidRPr="005F0378">
        <w:rPr>
          <w:rFonts w:ascii="Times New Roman" w:eastAsia="Times New Roman" w:hAnsi="Times New Roman" w:cs="Times New Roman"/>
          <w:bCs/>
          <w:sz w:val="20"/>
          <w:szCs w:val="24"/>
        </w:rPr>
        <w:t>0.015 mg/L</w:t>
      </w:r>
      <w:r w:rsidRPr="005F0378">
        <w:rPr>
          <w:rFonts w:ascii="Times New Roman" w:eastAsia="Times New Roman" w:hAnsi="Times New Roman" w:cs="Times New Roman"/>
          <w:sz w:val="20"/>
          <w:szCs w:val="24"/>
        </w:rPr>
        <w:t xml:space="preserve"> in July. Sample 8 exhibited a sharp decrease in December (</w:t>
      </w:r>
      <w:r w:rsidRPr="005F0378">
        <w:rPr>
          <w:rFonts w:ascii="Times New Roman" w:eastAsia="Times New Roman" w:hAnsi="Times New Roman" w:cs="Times New Roman"/>
          <w:bCs/>
          <w:sz w:val="20"/>
          <w:szCs w:val="24"/>
        </w:rPr>
        <w:t>ND</w:t>
      </w:r>
      <w:r w:rsidRPr="005F0378">
        <w:rPr>
          <w:rFonts w:ascii="Times New Roman" w:eastAsia="Times New Roman" w:hAnsi="Times New Roman" w:cs="Times New Roman"/>
          <w:sz w:val="20"/>
          <w:szCs w:val="24"/>
        </w:rPr>
        <w:t xml:space="preserve">) compared to </w:t>
      </w:r>
      <w:r w:rsidRPr="005F0378">
        <w:rPr>
          <w:rFonts w:ascii="Times New Roman" w:eastAsia="Times New Roman" w:hAnsi="Times New Roman" w:cs="Times New Roman"/>
          <w:bCs/>
          <w:sz w:val="20"/>
          <w:szCs w:val="24"/>
        </w:rPr>
        <w:t>0.044 mg/L</w:t>
      </w:r>
      <w:r w:rsidRPr="005F0378">
        <w:rPr>
          <w:rFonts w:ascii="Times New Roman" w:eastAsia="Times New Roman" w:hAnsi="Times New Roman" w:cs="Times New Roman"/>
          <w:sz w:val="20"/>
          <w:szCs w:val="24"/>
        </w:rPr>
        <w:t xml:space="preserve"> in June and </w:t>
      </w:r>
      <w:r w:rsidRPr="005F0378">
        <w:rPr>
          <w:rFonts w:ascii="Times New Roman" w:eastAsia="Times New Roman" w:hAnsi="Times New Roman" w:cs="Times New Roman"/>
          <w:bCs/>
          <w:sz w:val="20"/>
          <w:szCs w:val="24"/>
        </w:rPr>
        <w:t>0.032 mg/L</w:t>
      </w:r>
      <w:r w:rsidRPr="005F0378">
        <w:rPr>
          <w:rFonts w:ascii="Times New Roman" w:eastAsia="Times New Roman" w:hAnsi="Times New Roman" w:cs="Times New Roman"/>
          <w:sz w:val="20"/>
          <w:szCs w:val="24"/>
        </w:rPr>
        <w:t xml:space="preserve"> in July, before rising to </w:t>
      </w:r>
      <w:r w:rsidRPr="005F0378">
        <w:rPr>
          <w:rFonts w:ascii="Times New Roman" w:eastAsia="Times New Roman" w:hAnsi="Times New Roman" w:cs="Times New Roman"/>
          <w:bCs/>
          <w:sz w:val="20"/>
          <w:szCs w:val="24"/>
        </w:rPr>
        <w:t>0.055 mg/L</w:t>
      </w:r>
      <w:r w:rsidRPr="005F0378">
        <w:rPr>
          <w:rFonts w:ascii="Times New Roman" w:eastAsia="Times New Roman" w:hAnsi="Times New Roman" w:cs="Times New Roman"/>
          <w:sz w:val="20"/>
          <w:szCs w:val="24"/>
        </w:rPr>
        <w:t xml:space="preserve"> in January. </w:t>
      </w:r>
    </w:p>
    <w:p w14:paraId="69D78637" w14:textId="77777777" w:rsidR="00A826CA" w:rsidRPr="00692D68" w:rsidRDefault="00A826CA" w:rsidP="00A826CA">
      <w:pPr>
        <w:spacing w:after="0" w:line="360" w:lineRule="auto"/>
        <w:jc w:val="both"/>
        <w:rPr>
          <w:rFonts w:ascii="Times New Roman" w:hAnsi="Times New Roman" w:cs="Times New Roman"/>
          <w:sz w:val="20"/>
          <w:szCs w:val="20"/>
        </w:rPr>
      </w:pPr>
      <w:r w:rsidRPr="00692D68">
        <w:rPr>
          <w:rFonts w:ascii="Times New Roman" w:hAnsi="Times New Roman" w:cs="Times New Roman"/>
          <w:b/>
          <w:sz w:val="20"/>
          <w:szCs w:val="20"/>
        </w:rPr>
        <w:t>Table 15.</w:t>
      </w:r>
      <w:r w:rsidRPr="00692D68">
        <w:rPr>
          <w:rFonts w:ascii="Times New Roman" w:hAnsi="Times New Roman" w:cs="Times New Roman"/>
          <w:sz w:val="20"/>
          <w:szCs w:val="20"/>
        </w:rPr>
        <w:t xml:space="preserve"> </w:t>
      </w:r>
      <w:r w:rsidRPr="00692D68">
        <w:rPr>
          <w:rFonts w:ascii="Times New Roman" w:hAnsi="Times New Roman" w:cs="Times New Roman"/>
          <w:b/>
          <w:sz w:val="20"/>
          <w:szCs w:val="20"/>
        </w:rPr>
        <w:t>Seasonal Variations in Chromium Concentration in Borehole Water Samples in Enugu North LGA</w:t>
      </w:r>
    </w:p>
    <w:tbl>
      <w:tblPr>
        <w:tblStyle w:val="TableGrid"/>
        <w:tblW w:w="93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357"/>
        <w:gridCol w:w="1357"/>
        <w:gridCol w:w="1360"/>
        <w:gridCol w:w="1357"/>
        <w:gridCol w:w="1357"/>
        <w:gridCol w:w="1360"/>
      </w:tblGrid>
      <w:tr w:rsidR="00A826CA" w:rsidRPr="00692D68" w14:paraId="477B4051" w14:textId="77777777" w:rsidTr="002E6021">
        <w:trPr>
          <w:trHeight w:val="196"/>
        </w:trPr>
        <w:tc>
          <w:tcPr>
            <w:tcW w:w="1198" w:type="dxa"/>
            <w:tcBorders>
              <w:top w:val="single" w:sz="4" w:space="0" w:color="auto"/>
              <w:bottom w:val="single" w:sz="4" w:space="0" w:color="auto"/>
            </w:tcBorders>
          </w:tcPr>
          <w:p w14:paraId="0C44EC1C"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Cr (mg/l)</w:t>
            </w:r>
          </w:p>
        </w:tc>
        <w:tc>
          <w:tcPr>
            <w:tcW w:w="4074" w:type="dxa"/>
            <w:gridSpan w:val="3"/>
            <w:tcBorders>
              <w:top w:val="single" w:sz="4" w:space="0" w:color="auto"/>
              <w:bottom w:val="single" w:sz="4" w:space="0" w:color="auto"/>
            </w:tcBorders>
          </w:tcPr>
          <w:p w14:paraId="4B22B8E0"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Wet Season</w:t>
            </w:r>
          </w:p>
        </w:tc>
        <w:tc>
          <w:tcPr>
            <w:tcW w:w="4074" w:type="dxa"/>
            <w:gridSpan w:val="3"/>
            <w:tcBorders>
              <w:top w:val="single" w:sz="4" w:space="0" w:color="auto"/>
              <w:bottom w:val="single" w:sz="4" w:space="0" w:color="auto"/>
            </w:tcBorders>
          </w:tcPr>
          <w:p w14:paraId="0E1B46E4"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Dry Season</w:t>
            </w:r>
          </w:p>
        </w:tc>
      </w:tr>
      <w:tr w:rsidR="00A826CA" w:rsidRPr="00692D68" w14:paraId="0692D11D" w14:textId="77777777" w:rsidTr="002E6021">
        <w:trPr>
          <w:trHeight w:val="196"/>
        </w:trPr>
        <w:tc>
          <w:tcPr>
            <w:tcW w:w="1198" w:type="dxa"/>
            <w:tcBorders>
              <w:top w:val="single" w:sz="4" w:space="0" w:color="auto"/>
              <w:bottom w:val="single" w:sz="4" w:space="0" w:color="auto"/>
            </w:tcBorders>
          </w:tcPr>
          <w:p w14:paraId="5E5F32B3"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Sample</w:t>
            </w:r>
          </w:p>
        </w:tc>
        <w:tc>
          <w:tcPr>
            <w:tcW w:w="1357" w:type="dxa"/>
            <w:tcBorders>
              <w:top w:val="single" w:sz="4" w:space="0" w:color="auto"/>
              <w:bottom w:val="single" w:sz="4" w:space="0" w:color="auto"/>
            </w:tcBorders>
          </w:tcPr>
          <w:p w14:paraId="0528DD9D"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June</w:t>
            </w:r>
          </w:p>
        </w:tc>
        <w:tc>
          <w:tcPr>
            <w:tcW w:w="1357" w:type="dxa"/>
            <w:tcBorders>
              <w:top w:val="single" w:sz="4" w:space="0" w:color="auto"/>
              <w:bottom w:val="single" w:sz="4" w:space="0" w:color="auto"/>
            </w:tcBorders>
          </w:tcPr>
          <w:p w14:paraId="0BCA88AF"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July</w:t>
            </w:r>
          </w:p>
        </w:tc>
        <w:tc>
          <w:tcPr>
            <w:tcW w:w="1359" w:type="dxa"/>
            <w:tcBorders>
              <w:top w:val="single" w:sz="4" w:space="0" w:color="auto"/>
              <w:bottom w:val="single" w:sz="4" w:space="0" w:color="auto"/>
            </w:tcBorders>
          </w:tcPr>
          <w:p w14:paraId="73EA6156"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August</w:t>
            </w:r>
          </w:p>
        </w:tc>
        <w:tc>
          <w:tcPr>
            <w:tcW w:w="1357" w:type="dxa"/>
            <w:tcBorders>
              <w:top w:val="single" w:sz="4" w:space="0" w:color="auto"/>
              <w:bottom w:val="single" w:sz="4" w:space="0" w:color="auto"/>
            </w:tcBorders>
          </w:tcPr>
          <w:p w14:paraId="01A51030"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November</w:t>
            </w:r>
          </w:p>
        </w:tc>
        <w:tc>
          <w:tcPr>
            <w:tcW w:w="1357" w:type="dxa"/>
            <w:tcBorders>
              <w:top w:val="single" w:sz="4" w:space="0" w:color="auto"/>
              <w:bottom w:val="single" w:sz="4" w:space="0" w:color="auto"/>
            </w:tcBorders>
          </w:tcPr>
          <w:p w14:paraId="346AC34D"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December</w:t>
            </w:r>
          </w:p>
        </w:tc>
        <w:tc>
          <w:tcPr>
            <w:tcW w:w="1359" w:type="dxa"/>
            <w:tcBorders>
              <w:top w:val="single" w:sz="4" w:space="0" w:color="auto"/>
              <w:bottom w:val="single" w:sz="4" w:space="0" w:color="auto"/>
            </w:tcBorders>
          </w:tcPr>
          <w:p w14:paraId="7ED32DD9" w14:textId="77777777" w:rsidR="00A826CA" w:rsidRPr="00692D68" w:rsidRDefault="00A826CA" w:rsidP="002E6021">
            <w:pPr>
              <w:pStyle w:val="Heading1"/>
              <w:shd w:val="clear" w:color="auto" w:fill="FFFFFF"/>
              <w:spacing w:before="0" w:beforeAutospacing="0" w:after="0" w:afterAutospacing="0"/>
              <w:jc w:val="both"/>
              <w:outlineLvl w:val="0"/>
              <w:rPr>
                <w:sz w:val="20"/>
                <w:szCs w:val="20"/>
              </w:rPr>
            </w:pPr>
            <w:r w:rsidRPr="00692D68">
              <w:rPr>
                <w:sz w:val="20"/>
                <w:szCs w:val="20"/>
              </w:rPr>
              <w:t>January</w:t>
            </w:r>
          </w:p>
        </w:tc>
      </w:tr>
      <w:tr w:rsidR="00A826CA" w:rsidRPr="00692D68" w14:paraId="12384EEE" w14:textId="77777777" w:rsidTr="002E6021">
        <w:trPr>
          <w:trHeight w:val="280"/>
        </w:trPr>
        <w:tc>
          <w:tcPr>
            <w:tcW w:w="1198" w:type="dxa"/>
            <w:tcBorders>
              <w:top w:val="single" w:sz="4" w:space="0" w:color="auto"/>
              <w:bottom w:val="nil"/>
            </w:tcBorders>
          </w:tcPr>
          <w:p w14:paraId="496CF75D"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w:t>
            </w:r>
          </w:p>
        </w:tc>
        <w:tc>
          <w:tcPr>
            <w:tcW w:w="1357" w:type="dxa"/>
            <w:tcBorders>
              <w:top w:val="single" w:sz="4" w:space="0" w:color="auto"/>
              <w:bottom w:val="nil"/>
            </w:tcBorders>
          </w:tcPr>
          <w:p w14:paraId="745A7C9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0.005±0.020</w:t>
            </w:r>
          </w:p>
        </w:tc>
        <w:tc>
          <w:tcPr>
            <w:tcW w:w="1357" w:type="dxa"/>
            <w:tcBorders>
              <w:top w:val="single" w:sz="4" w:space="0" w:color="auto"/>
              <w:bottom w:val="nil"/>
            </w:tcBorders>
          </w:tcPr>
          <w:p w14:paraId="4E6B2DA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0.011±0.020</w:t>
            </w:r>
          </w:p>
        </w:tc>
        <w:tc>
          <w:tcPr>
            <w:tcW w:w="1359" w:type="dxa"/>
            <w:tcBorders>
              <w:top w:val="single" w:sz="4" w:space="0" w:color="auto"/>
              <w:bottom w:val="nil"/>
            </w:tcBorders>
          </w:tcPr>
          <w:p w14:paraId="00C28C4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0.042±0.020</w:t>
            </w:r>
          </w:p>
        </w:tc>
        <w:tc>
          <w:tcPr>
            <w:tcW w:w="1357" w:type="dxa"/>
            <w:tcBorders>
              <w:top w:val="single" w:sz="4" w:space="0" w:color="auto"/>
              <w:bottom w:val="nil"/>
            </w:tcBorders>
          </w:tcPr>
          <w:p w14:paraId="428C2CE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0.020±0.003</w:t>
            </w:r>
          </w:p>
        </w:tc>
        <w:tc>
          <w:tcPr>
            <w:tcW w:w="1357" w:type="dxa"/>
            <w:tcBorders>
              <w:top w:val="single" w:sz="4" w:space="0" w:color="auto"/>
              <w:bottom w:val="nil"/>
            </w:tcBorders>
          </w:tcPr>
          <w:p w14:paraId="16A35AB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0.021±0.003</w:t>
            </w:r>
          </w:p>
        </w:tc>
        <w:tc>
          <w:tcPr>
            <w:tcW w:w="1359" w:type="dxa"/>
            <w:tcBorders>
              <w:top w:val="single" w:sz="4" w:space="0" w:color="auto"/>
              <w:bottom w:val="nil"/>
            </w:tcBorders>
          </w:tcPr>
          <w:p w14:paraId="13DCA1C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0.025±0.003</w:t>
            </w:r>
          </w:p>
        </w:tc>
      </w:tr>
      <w:tr w:rsidR="00A826CA" w:rsidRPr="00692D68" w14:paraId="7F1E0017" w14:textId="77777777" w:rsidTr="002E6021">
        <w:trPr>
          <w:trHeight w:val="280"/>
        </w:trPr>
        <w:tc>
          <w:tcPr>
            <w:tcW w:w="1198" w:type="dxa"/>
            <w:tcBorders>
              <w:top w:val="nil"/>
              <w:bottom w:val="nil"/>
            </w:tcBorders>
          </w:tcPr>
          <w:p w14:paraId="1538B3F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2</w:t>
            </w:r>
          </w:p>
        </w:tc>
        <w:tc>
          <w:tcPr>
            <w:tcW w:w="1357" w:type="dxa"/>
            <w:tcBorders>
              <w:top w:val="nil"/>
              <w:bottom w:val="nil"/>
            </w:tcBorders>
          </w:tcPr>
          <w:p w14:paraId="3B5BCFD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Borders>
              <w:top w:val="nil"/>
              <w:bottom w:val="nil"/>
            </w:tcBorders>
          </w:tcPr>
          <w:p w14:paraId="4C42045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0.015±0.020</w:t>
            </w:r>
          </w:p>
        </w:tc>
        <w:tc>
          <w:tcPr>
            <w:tcW w:w="1359" w:type="dxa"/>
            <w:tcBorders>
              <w:top w:val="nil"/>
              <w:bottom w:val="nil"/>
            </w:tcBorders>
          </w:tcPr>
          <w:p w14:paraId="1BAC3F4A"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0.043±0.020</w:t>
            </w:r>
          </w:p>
        </w:tc>
        <w:tc>
          <w:tcPr>
            <w:tcW w:w="1357" w:type="dxa"/>
            <w:tcBorders>
              <w:top w:val="nil"/>
              <w:bottom w:val="nil"/>
            </w:tcBorders>
          </w:tcPr>
          <w:p w14:paraId="3A04C5A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0.012±0.019</w:t>
            </w:r>
          </w:p>
        </w:tc>
        <w:tc>
          <w:tcPr>
            <w:tcW w:w="1357" w:type="dxa"/>
            <w:tcBorders>
              <w:top w:val="nil"/>
              <w:bottom w:val="nil"/>
            </w:tcBorders>
          </w:tcPr>
          <w:p w14:paraId="641ECA3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0.047±0.019</w:t>
            </w:r>
          </w:p>
        </w:tc>
        <w:tc>
          <w:tcPr>
            <w:tcW w:w="1359" w:type="dxa"/>
            <w:tcBorders>
              <w:top w:val="nil"/>
              <w:bottom w:val="nil"/>
            </w:tcBorders>
          </w:tcPr>
          <w:p w14:paraId="0C3F9AB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0.018±0.019</w:t>
            </w:r>
          </w:p>
        </w:tc>
      </w:tr>
      <w:tr w:rsidR="00A826CA" w:rsidRPr="00692D68" w14:paraId="25A8A099" w14:textId="77777777" w:rsidTr="002E6021">
        <w:trPr>
          <w:trHeight w:val="280"/>
        </w:trPr>
        <w:tc>
          <w:tcPr>
            <w:tcW w:w="1198" w:type="dxa"/>
            <w:tcBorders>
              <w:top w:val="nil"/>
              <w:bottom w:val="nil"/>
            </w:tcBorders>
          </w:tcPr>
          <w:p w14:paraId="3CF66E5D"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3</w:t>
            </w:r>
          </w:p>
        </w:tc>
        <w:tc>
          <w:tcPr>
            <w:tcW w:w="1357" w:type="dxa"/>
            <w:tcBorders>
              <w:top w:val="nil"/>
              <w:bottom w:val="nil"/>
            </w:tcBorders>
          </w:tcPr>
          <w:p w14:paraId="54F4B0F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0.004±0.012</w:t>
            </w:r>
          </w:p>
        </w:tc>
        <w:tc>
          <w:tcPr>
            <w:tcW w:w="1357" w:type="dxa"/>
            <w:tcBorders>
              <w:top w:val="nil"/>
              <w:bottom w:val="nil"/>
            </w:tcBorders>
          </w:tcPr>
          <w:p w14:paraId="4A34C82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0.026±0.012</w:t>
            </w:r>
          </w:p>
        </w:tc>
        <w:tc>
          <w:tcPr>
            <w:tcW w:w="1359" w:type="dxa"/>
            <w:tcBorders>
              <w:top w:val="nil"/>
              <w:bottom w:val="nil"/>
            </w:tcBorders>
          </w:tcPr>
          <w:p w14:paraId="65EF0EE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0.024±0.012</w:t>
            </w:r>
          </w:p>
        </w:tc>
        <w:tc>
          <w:tcPr>
            <w:tcW w:w="1357" w:type="dxa"/>
            <w:tcBorders>
              <w:top w:val="nil"/>
              <w:bottom w:val="nil"/>
            </w:tcBorders>
          </w:tcPr>
          <w:p w14:paraId="1F1C91F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0.040±0.013</w:t>
            </w:r>
          </w:p>
        </w:tc>
        <w:tc>
          <w:tcPr>
            <w:tcW w:w="1357" w:type="dxa"/>
            <w:tcBorders>
              <w:top w:val="nil"/>
              <w:bottom w:val="nil"/>
            </w:tcBorders>
          </w:tcPr>
          <w:p w14:paraId="26193C0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0.030±0.013</w:t>
            </w:r>
          </w:p>
        </w:tc>
        <w:tc>
          <w:tcPr>
            <w:tcW w:w="1359" w:type="dxa"/>
            <w:tcBorders>
              <w:top w:val="nil"/>
              <w:bottom w:val="nil"/>
            </w:tcBorders>
          </w:tcPr>
          <w:p w14:paraId="311FA278"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0.014±0.013</w:t>
            </w:r>
          </w:p>
        </w:tc>
      </w:tr>
      <w:tr w:rsidR="00A826CA" w:rsidRPr="00692D68" w14:paraId="07E40544" w14:textId="77777777" w:rsidTr="002E6021">
        <w:trPr>
          <w:trHeight w:val="280"/>
        </w:trPr>
        <w:tc>
          <w:tcPr>
            <w:tcW w:w="1198" w:type="dxa"/>
            <w:tcBorders>
              <w:top w:val="nil"/>
              <w:bottom w:val="nil"/>
            </w:tcBorders>
          </w:tcPr>
          <w:p w14:paraId="5125E09A"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4</w:t>
            </w:r>
          </w:p>
        </w:tc>
        <w:tc>
          <w:tcPr>
            <w:tcW w:w="1357" w:type="dxa"/>
            <w:tcBorders>
              <w:top w:val="nil"/>
              <w:bottom w:val="nil"/>
            </w:tcBorders>
          </w:tcPr>
          <w:p w14:paraId="352657A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0.018±0.019</w:t>
            </w:r>
          </w:p>
        </w:tc>
        <w:tc>
          <w:tcPr>
            <w:tcW w:w="1357" w:type="dxa"/>
            <w:tcBorders>
              <w:top w:val="nil"/>
              <w:bottom w:val="nil"/>
            </w:tcBorders>
          </w:tcPr>
          <w:p w14:paraId="1AFE589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0.024±0.019</w:t>
            </w:r>
          </w:p>
        </w:tc>
        <w:tc>
          <w:tcPr>
            <w:tcW w:w="1359" w:type="dxa"/>
            <w:tcBorders>
              <w:top w:val="nil"/>
              <w:bottom w:val="nil"/>
            </w:tcBorders>
          </w:tcPr>
          <w:p w14:paraId="2A9A9E4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0.054±0.019</w:t>
            </w:r>
          </w:p>
        </w:tc>
        <w:tc>
          <w:tcPr>
            <w:tcW w:w="1357" w:type="dxa"/>
            <w:tcBorders>
              <w:top w:val="nil"/>
              <w:bottom w:val="nil"/>
            </w:tcBorders>
          </w:tcPr>
          <w:p w14:paraId="08B6234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0.010±0.020</w:t>
            </w:r>
          </w:p>
        </w:tc>
        <w:tc>
          <w:tcPr>
            <w:tcW w:w="1357" w:type="dxa"/>
            <w:tcBorders>
              <w:top w:val="nil"/>
              <w:bottom w:val="nil"/>
            </w:tcBorders>
          </w:tcPr>
          <w:p w14:paraId="4E74BB8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0.049±0.020</w:t>
            </w:r>
          </w:p>
        </w:tc>
        <w:tc>
          <w:tcPr>
            <w:tcW w:w="1359" w:type="dxa"/>
            <w:tcBorders>
              <w:top w:val="nil"/>
              <w:bottom w:val="nil"/>
            </w:tcBorders>
          </w:tcPr>
          <w:p w14:paraId="6F4A13BC"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0.036±0.020</w:t>
            </w:r>
          </w:p>
        </w:tc>
      </w:tr>
      <w:tr w:rsidR="00A826CA" w:rsidRPr="00692D68" w14:paraId="528C2742" w14:textId="77777777" w:rsidTr="002E6021">
        <w:trPr>
          <w:trHeight w:val="280"/>
        </w:trPr>
        <w:tc>
          <w:tcPr>
            <w:tcW w:w="1198" w:type="dxa"/>
            <w:tcBorders>
              <w:top w:val="nil"/>
              <w:bottom w:val="nil"/>
            </w:tcBorders>
          </w:tcPr>
          <w:p w14:paraId="51AABFD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5</w:t>
            </w:r>
          </w:p>
        </w:tc>
        <w:tc>
          <w:tcPr>
            <w:tcW w:w="1357" w:type="dxa"/>
            <w:tcBorders>
              <w:top w:val="nil"/>
              <w:bottom w:val="nil"/>
            </w:tcBorders>
          </w:tcPr>
          <w:p w14:paraId="1E8DA50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0.018±0.021</w:t>
            </w:r>
          </w:p>
        </w:tc>
        <w:tc>
          <w:tcPr>
            <w:tcW w:w="1357" w:type="dxa"/>
            <w:tcBorders>
              <w:top w:val="nil"/>
              <w:bottom w:val="nil"/>
            </w:tcBorders>
          </w:tcPr>
          <w:p w14:paraId="3B00807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0.043±0.021</w:t>
            </w:r>
          </w:p>
        </w:tc>
        <w:tc>
          <w:tcPr>
            <w:tcW w:w="1359" w:type="dxa"/>
            <w:tcBorders>
              <w:top w:val="nil"/>
              <w:bottom w:val="nil"/>
            </w:tcBorders>
          </w:tcPr>
          <w:p w14:paraId="1D4D324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0.002±0.021</w:t>
            </w:r>
          </w:p>
        </w:tc>
        <w:tc>
          <w:tcPr>
            <w:tcW w:w="1357" w:type="dxa"/>
            <w:tcBorders>
              <w:top w:val="nil"/>
              <w:bottom w:val="nil"/>
            </w:tcBorders>
          </w:tcPr>
          <w:p w14:paraId="358F31A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0.010±0.030</w:t>
            </w:r>
          </w:p>
        </w:tc>
        <w:tc>
          <w:tcPr>
            <w:tcW w:w="1357" w:type="dxa"/>
            <w:tcBorders>
              <w:top w:val="nil"/>
              <w:bottom w:val="nil"/>
            </w:tcBorders>
          </w:tcPr>
          <w:p w14:paraId="5170954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0.060±0.030</w:t>
            </w:r>
          </w:p>
        </w:tc>
        <w:tc>
          <w:tcPr>
            <w:tcW w:w="1359" w:type="dxa"/>
            <w:tcBorders>
              <w:top w:val="nil"/>
              <w:bottom w:val="nil"/>
            </w:tcBorders>
          </w:tcPr>
          <w:p w14:paraId="671CAFAB"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0.007±0.030</w:t>
            </w:r>
          </w:p>
        </w:tc>
      </w:tr>
      <w:tr w:rsidR="00A826CA" w:rsidRPr="00692D68" w14:paraId="35F38E2D" w14:textId="77777777" w:rsidTr="002E6021">
        <w:trPr>
          <w:trHeight w:val="280"/>
        </w:trPr>
        <w:tc>
          <w:tcPr>
            <w:tcW w:w="1198" w:type="dxa"/>
            <w:tcBorders>
              <w:top w:val="nil"/>
              <w:bottom w:val="nil"/>
            </w:tcBorders>
          </w:tcPr>
          <w:p w14:paraId="65CAFDA5"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6</w:t>
            </w:r>
          </w:p>
        </w:tc>
        <w:tc>
          <w:tcPr>
            <w:tcW w:w="1357" w:type="dxa"/>
            <w:tcBorders>
              <w:top w:val="nil"/>
              <w:bottom w:val="nil"/>
            </w:tcBorders>
          </w:tcPr>
          <w:p w14:paraId="377187A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0.019</w:t>
            </w:r>
          </w:p>
        </w:tc>
        <w:tc>
          <w:tcPr>
            <w:tcW w:w="1357" w:type="dxa"/>
            <w:tcBorders>
              <w:top w:val="nil"/>
              <w:bottom w:val="nil"/>
            </w:tcBorders>
          </w:tcPr>
          <w:p w14:paraId="196DA39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9" w:type="dxa"/>
            <w:tcBorders>
              <w:top w:val="nil"/>
              <w:bottom w:val="nil"/>
            </w:tcBorders>
          </w:tcPr>
          <w:p w14:paraId="1E29280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Borders>
              <w:top w:val="nil"/>
              <w:bottom w:val="nil"/>
            </w:tcBorders>
          </w:tcPr>
          <w:p w14:paraId="2BF258E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0.010±0.011</w:t>
            </w:r>
          </w:p>
        </w:tc>
        <w:tc>
          <w:tcPr>
            <w:tcW w:w="1357" w:type="dxa"/>
            <w:tcBorders>
              <w:top w:val="nil"/>
              <w:bottom w:val="nil"/>
            </w:tcBorders>
          </w:tcPr>
          <w:p w14:paraId="0B49A27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0.032±0.011</w:t>
            </w:r>
          </w:p>
        </w:tc>
        <w:tc>
          <w:tcPr>
            <w:tcW w:w="1359" w:type="dxa"/>
            <w:tcBorders>
              <w:top w:val="nil"/>
              <w:bottom w:val="nil"/>
            </w:tcBorders>
          </w:tcPr>
          <w:p w14:paraId="22EB3F9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0.019±0.011</w:t>
            </w:r>
          </w:p>
        </w:tc>
      </w:tr>
      <w:tr w:rsidR="00A826CA" w:rsidRPr="00692D68" w14:paraId="70BED022" w14:textId="77777777" w:rsidTr="002E6021">
        <w:trPr>
          <w:trHeight w:val="280"/>
        </w:trPr>
        <w:tc>
          <w:tcPr>
            <w:tcW w:w="1198" w:type="dxa"/>
            <w:tcBorders>
              <w:top w:val="nil"/>
              <w:bottom w:val="nil"/>
            </w:tcBorders>
          </w:tcPr>
          <w:p w14:paraId="5BA213A9"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7</w:t>
            </w:r>
          </w:p>
        </w:tc>
        <w:tc>
          <w:tcPr>
            <w:tcW w:w="1357" w:type="dxa"/>
            <w:tcBorders>
              <w:top w:val="nil"/>
              <w:bottom w:val="nil"/>
            </w:tcBorders>
          </w:tcPr>
          <w:p w14:paraId="73D926E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0.018±0.008</w:t>
            </w:r>
          </w:p>
        </w:tc>
        <w:tc>
          <w:tcPr>
            <w:tcW w:w="1357" w:type="dxa"/>
            <w:tcBorders>
              <w:top w:val="nil"/>
              <w:bottom w:val="nil"/>
            </w:tcBorders>
          </w:tcPr>
          <w:p w14:paraId="6CB5D34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0.014±0.008</w:t>
            </w:r>
          </w:p>
        </w:tc>
        <w:tc>
          <w:tcPr>
            <w:tcW w:w="1359" w:type="dxa"/>
            <w:tcBorders>
              <w:top w:val="nil"/>
              <w:bottom w:val="nil"/>
            </w:tcBorders>
          </w:tcPr>
          <w:p w14:paraId="1676BAD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0.002±0.008</w:t>
            </w:r>
          </w:p>
        </w:tc>
        <w:tc>
          <w:tcPr>
            <w:tcW w:w="1357" w:type="dxa"/>
            <w:tcBorders>
              <w:top w:val="nil"/>
              <w:bottom w:val="nil"/>
            </w:tcBorders>
          </w:tcPr>
          <w:p w14:paraId="63EA633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0.130±0.064</w:t>
            </w:r>
          </w:p>
        </w:tc>
        <w:tc>
          <w:tcPr>
            <w:tcW w:w="1357" w:type="dxa"/>
            <w:tcBorders>
              <w:top w:val="nil"/>
              <w:bottom w:val="nil"/>
            </w:tcBorders>
          </w:tcPr>
          <w:p w14:paraId="31ECBC5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0.018±0.064</w:t>
            </w:r>
          </w:p>
        </w:tc>
        <w:tc>
          <w:tcPr>
            <w:tcW w:w="1359" w:type="dxa"/>
            <w:tcBorders>
              <w:top w:val="nil"/>
              <w:bottom w:val="nil"/>
            </w:tcBorders>
          </w:tcPr>
          <w:p w14:paraId="62018E5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0.020±0.064</w:t>
            </w:r>
          </w:p>
        </w:tc>
      </w:tr>
      <w:tr w:rsidR="00A826CA" w:rsidRPr="00692D68" w14:paraId="29DEA95D" w14:textId="77777777" w:rsidTr="002E6021">
        <w:trPr>
          <w:trHeight w:val="280"/>
        </w:trPr>
        <w:tc>
          <w:tcPr>
            <w:tcW w:w="1198" w:type="dxa"/>
            <w:tcBorders>
              <w:top w:val="nil"/>
              <w:bottom w:val="nil"/>
            </w:tcBorders>
          </w:tcPr>
          <w:p w14:paraId="6343A674"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8</w:t>
            </w:r>
          </w:p>
        </w:tc>
        <w:tc>
          <w:tcPr>
            <w:tcW w:w="1357" w:type="dxa"/>
            <w:tcBorders>
              <w:top w:val="nil"/>
              <w:bottom w:val="nil"/>
            </w:tcBorders>
          </w:tcPr>
          <w:p w14:paraId="3555A4F4"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0.044±0.018</w:t>
            </w:r>
          </w:p>
        </w:tc>
        <w:tc>
          <w:tcPr>
            <w:tcW w:w="1357" w:type="dxa"/>
            <w:tcBorders>
              <w:top w:val="nil"/>
              <w:bottom w:val="nil"/>
            </w:tcBorders>
          </w:tcPr>
          <w:p w14:paraId="31A6054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0.032±0.018</w:t>
            </w:r>
          </w:p>
        </w:tc>
        <w:tc>
          <w:tcPr>
            <w:tcW w:w="1359" w:type="dxa"/>
            <w:tcBorders>
              <w:top w:val="nil"/>
              <w:bottom w:val="nil"/>
            </w:tcBorders>
          </w:tcPr>
          <w:p w14:paraId="49261A9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0.008±0.018</w:t>
            </w:r>
          </w:p>
        </w:tc>
        <w:tc>
          <w:tcPr>
            <w:tcW w:w="1357" w:type="dxa"/>
            <w:tcBorders>
              <w:top w:val="nil"/>
              <w:bottom w:val="nil"/>
            </w:tcBorders>
          </w:tcPr>
          <w:p w14:paraId="55D6CE7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0.020±0.025</w:t>
            </w:r>
          </w:p>
        </w:tc>
        <w:tc>
          <w:tcPr>
            <w:tcW w:w="1357" w:type="dxa"/>
            <w:tcBorders>
              <w:top w:val="nil"/>
              <w:bottom w:val="nil"/>
            </w:tcBorders>
          </w:tcPr>
          <w:p w14:paraId="2CBCCE7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9" w:type="dxa"/>
            <w:tcBorders>
              <w:top w:val="nil"/>
              <w:bottom w:val="nil"/>
            </w:tcBorders>
          </w:tcPr>
          <w:p w14:paraId="62491CB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0.055±0.025</w:t>
            </w:r>
          </w:p>
        </w:tc>
      </w:tr>
      <w:tr w:rsidR="00A826CA" w:rsidRPr="00692D68" w14:paraId="3B495C38" w14:textId="77777777" w:rsidTr="002E6021">
        <w:trPr>
          <w:trHeight w:val="280"/>
        </w:trPr>
        <w:tc>
          <w:tcPr>
            <w:tcW w:w="1198" w:type="dxa"/>
            <w:tcBorders>
              <w:top w:val="nil"/>
              <w:bottom w:val="nil"/>
            </w:tcBorders>
          </w:tcPr>
          <w:p w14:paraId="5E142050"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9</w:t>
            </w:r>
          </w:p>
        </w:tc>
        <w:tc>
          <w:tcPr>
            <w:tcW w:w="1357" w:type="dxa"/>
            <w:tcBorders>
              <w:top w:val="nil"/>
              <w:bottom w:val="nil"/>
            </w:tcBorders>
          </w:tcPr>
          <w:p w14:paraId="45287A80"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0.010±0.010</w:t>
            </w:r>
          </w:p>
        </w:tc>
        <w:tc>
          <w:tcPr>
            <w:tcW w:w="1357" w:type="dxa"/>
            <w:tcBorders>
              <w:top w:val="nil"/>
              <w:bottom w:val="nil"/>
            </w:tcBorders>
          </w:tcPr>
          <w:p w14:paraId="3CF0476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0.015±0.010</w:t>
            </w:r>
          </w:p>
        </w:tc>
        <w:tc>
          <w:tcPr>
            <w:tcW w:w="1359" w:type="dxa"/>
            <w:tcBorders>
              <w:top w:val="nil"/>
              <w:bottom w:val="nil"/>
            </w:tcBorders>
          </w:tcPr>
          <w:p w14:paraId="68EF4DF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0.030±0.010</w:t>
            </w:r>
          </w:p>
        </w:tc>
        <w:tc>
          <w:tcPr>
            <w:tcW w:w="1357" w:type="dxa"/>
            <w:tcBorders>
              <w:top w:val="nil"/>
              <w:bottom w:val="nil"/>
            </w:tcBorders>
          </w:tcPr>
          <w:p w14:paraId="3F900FD8"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0.010±0.023</w:t>
            </w:r>
          </w:p>
        </w:tc>
        <w:tc>
          <w:tcPr>
            <w:tcW w:w="1357" w:type="dxa"/>
            <w:tcBorders>
              <w:top w:val="nil"/>
              <w:bottom w:val="nil"/>
            </w:tcBorders>
          </w:tcPr>
          <w:p w14:paraId="14BCB40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0.051±0.023</w:t>
            </w:r>
          </w:p>
        </w:tc>
        <w:tc>
          <w:tcPr>
            <w:tcW w:w="1359" w:type="dxa"/>
            <w:tcBorders>
              <w:top w:val="nil"/>
              <w:bottom w:val="nil"/>
            </w:tcBorders>
          </w:tcPr>
          <w:p w14:paraId="2652385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0.047±0.023</w:t>
            </w:r>
          </w:p>
        </w:tc>
      </w:tr>
      <w:tr w:rsidR="00A826CA" w:rsidRPr="00692D68" w14:paraId="785BDEE4" w14:textId="77777777" w:rsidTr="002E6021">
        <w:trPr>
          <w:trHeight w:val="280"/>
        </w:trPr>
        <w:tc>
          <w:tcPr>
            <w:tcW w:w="1198" w:type="dxa"/>
            <w:tcBorders>
              <w:top w:val="nil"/>
            </w:tcBorders>
          </w:tcPr>
          <w:p w14:paraId="0863A3AB"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10</w:t>
            </w:r>
          </w:p>
        </w:tc>
        <w:tc>
          <w:tcPr>
            <w:tcW w:w="1357" w:type="dxa"/>
            <w:tcBorders>
              <w:top w:val="nil"/>
            </w:tcBorders>
          </w:tcPr>
          <w:p w14:paraId="718A89F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0.003±0.011</w:t>
            </w:r>
          </w:p>
        </w:tc>
        <w:tc>
          <w:tcPr>
            <w:tcW w:w="1357" w:type="dxa"/>
            <w:tcBorders>
              <w:top w:val="nil"/>
            </w:tcBorders>
          </w:tcPr>
          <w:p w14:paraId="6ADCE24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0.021±0.011</w:t>
            </w:r>
          </w:p>
        </w:tc>
        <w:tc>
          <w:tcPr>
            <w:tcW w:w="1359" w:type="dxa"/>
            <w:tcBorders>
              <w:top w:val="nil"/>
            </w:tcBorders>
          </w:tcPr>
          <w:p w14:paraId="36E2050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0.023±0.011</w:t>
            </w:r>
          </w:p>
        </w:tc>
        <w:tc>
          <w:tcPr>
            <w:tcW w:w="1357" w:type="dxa"/>
            <w:tcBorders>
              <w:top w:val="nil"/>
            </w:tcBorders>
          </w:tcPr>
          <w:p w14:paraId="17E7B6C9"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0.020±0.007</w:t>
            </w:r>
          </w:p>
        </w:tc>
        <w:tc>
          <w:tcPr>
            <w:tcW w:w="1357" w:type="dxa"/>
            <w:tcBorders>
              <w:top w:val="nil"/>
            </w:tcBorders>
          </w:tcPr>
          <w:p w14:paraId="2F5BFD4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0.033±0.007</w:t>
            </w:r>
          </w:p>
        </w:tc>
        <w:tc>
          <w:tcPr>
            <w:tcW w:w="1359" w:type="dxa"/>
            <w:tcBorders>
              <w:top w:val="nil"/>
            </w:tcBorders>
          </w:tcPr>
          <w:p w14:paraId="771193B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0.022±0.007</w:t>
            </w:r>
          </w:p>
        </w:tc>
      </w:tr>
      <w:tr w:rsidR="00A826CA" w:rsidRPr="00692D68" w14:paraId="1C71CA69" w14:textId="77777777" w:rsidTr="002E6021">
        <w:trPr>
          <w:trHeight w:val="280"/>
        </w:trPr>
        <w:tc>
          <w:tcPr>
            <w:tcW w:w="1198" w:type="dxa"/>
          </w:tcPr>
          <w:p w14:paraId="7782B8C0"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11</w:t>
            </w:r>
          </w:p>
        </w:tc>
        <w:tc>
          <w:tcPr>
            <w:tcW w:w="1357" w:type="dxa"/>
          </w:tcPr>
          <w:p w14:paraId="6CF69B8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0.013±0.008</w:t>
            </w:r>
          </w:p>
        </w:tc>
        <w:tc>
          <w:tcPr>
            <w:tcW w:w="1357" w:type="dxa"/>
          </w:tcPr>
          <w:p w14:paraId="4BBA6F87"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0.026±0.008</w:t>
            </w:r>
          </w:p>
        </w:tc>
        <w:tc>
          <w:tcPr>
            <w:tcW w:w="1359" w:type="dxa"/>
          </w:tcPr>
          <w:p w14:paraId="4A5558E5"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0.011±0.008</w:t>
            </w:r>
          </w:p>
        </w:tc>
        <w:tc>
          <w:tcPr>
            <w:tcW w:w="1357" w:type="dxa"/>
          </w:tcPr>
          <w:p w14:paraId="474034A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Pr>
          <w:p w14:paraId="05303D31"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0.008±0.030</w:t>
            </w:r>
          </w:p>
        </w:tc>
        <w:tc>
          <w:tcPr>
            <w:tcW w:w="1359" w:type="dxa"/>
          </w:tcPr>
          <w:p w14:paraId="26A82A76"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0.050±0.030</w:t>
            </w:r>
          </w:p>
        </w:tc>
      </w:tr>
      <w:tr w:rsidR="00A826CA" w:rsidRPr="00692D68" w14:paraId="571D6110" w14:textId="77777777" w:rsidTr="002E6021">
        <w:trPr>
          <w:trHeight w:val="280"/>
        </w:trPr>
        <w:tc>
          <w:tcPr>
            <w:tcW w:w="1198" w:type="dxa"/>
          </w:tcPr>
          <w:p w14:paraId="546ED3F1" w14:textId="77777777" w:rsidR="00A826CA" w:rsidRPr="00692D68" w:rsidRDefault="00A826CA" w:rsidP="002E6021">
            <w:pPr>
              <w:pStyle w:val="Heading1"/>
              <w:shd w:val="clear" w:color="auto" w:fill="FFFFFF"/>
              <w:spacing w:before="0" w:beforeAutospacing="0" w:after="0" w:afterAutospacing="0"/>
              <w:jc w:val="both"/>
              <w:outlineLvl w:val="0"/>
              <w:rPr>
                <w:b w:val="0"/>
                <w:sz w:val="20"/>
                <w:szCs w:val="20"/>
              </w:rPr>
            </w:pPr>
            <w:r w:rsidRPr="00692D68">
              <w:rPr>
                <w:b w:val="0"/>
                <w:sz w:val="20"/>
                <w:szCs w:val="20"/>
              </w:rPr>
              <w:t>12</w:t>
            </w:r>
          </w:p>
        </w:tc>
        <w:tc>
          <w:tcPr>
            <w:tcW w:w="1357" w:type="dxa"/>
          </w:tcPr>
          <w:p w14:paraId="3AC5AE6D"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0.007±0.011</w:t>
            </w:r>
          </w:p>
        </w:tc>
        <w:tc>
          <w:tcPr>
            <w:tcW w:w="1357" w:type="dxa"/>
          </w:tcPr>
          <w:p w14:paraId="4CC15853"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0.017±0.011</w:t>
            </w:r>
          </w:p>
        </w:tc>
        <w:tc>
          <w:tcPr>
            <w:tcW w:w="1359" w:type="dxa"/>
          </w:tcPr>
          <w:p w14:paraId="306641FE"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0.028±0.011</w:t>
            </w:r>
          </w:p>
        </w:tc>
        <w:tc>
          <w:tcPr>
            <w:tcW w:w="1357" w:type="dxa"/>
          </w:tcPr>
          <w:p w14:paraId="5DFE7EF2"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ND</w:t>
            </w:r>
          </w:p>
        </w:tc>
        <w:tc>
          <w:tcPr>
            <w:tcW w:w="1357" w:type="dxa"/>
          </w:tcPr>
          <w:p w14:paraId="0758E34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0.041±0.021</w:t>
            </w:r>
          </w:p>
        </w:tc>
        <w:tc>
          <w:tcPr>
            <w:tcW w:w="1359" w:type="dxa"/>
          </w:tcPr>
          <w:p w14:paraId="7814F58F" w14:textId="77777777" w:rsidR="00A826CA" w:rsidRPr="00692D68" w:rsidRDefault="00A826CA" w:rsidP="002E6021">
            <w:pPr>
              <w:jc w:val="both"/>
              <w:rPr>
                <w:rFonts w:ascii="Times New Roman" w:eastAsia="Times New Roman" w:hAnsi="Times New Roman" w:cs="Times New Roman"/>
                <w:sz w:val="20"/>
                <w:szCs w:val="20"/>
              </w:rPr>
            </w:pPr>
            <w:r w:rsidRPr="00692D68">
              <w:rPr>
                <w:rFonts w:ascii="Times New Roman" w:eastAsia="Times New Roman" w:hAnsi="Times New Roman" w:cs="Times New Roman"/>
                <w:sz w:val="20"/>
                <w:szCs w:val="20"/>
              </w:rPr>
              <w:t>0.011±0.021</w:t>
            </w:r>
          </w:p>
        </w:tc>
      </w:tr>
    </w:tbl>
    <w:p w14:paraId="1D21953B" w14:textId="77777777" w:rsidR="00A826CA" w:rsidRDefault="00A826CA" w:rsidP="00A826CA">
      <w:pPr>
        <w:spacing w:after="0" w:line="480" w:lineRule="auto"/>
        <w:jc w:val="both"/>
        <w:rPr>
          <w:rFonts w:ascii="Times New Roman" w:hAnsi="Times New Roman" w:cs="Times New Roman"/>
          <w:sz w:val="20"/>
          <w:szCs w:val="20"/>
        </w:rPr>
      </w:pPr>
    </w:p>
    <w:p w14:paraId="05547DD9" w14:textId="2DE6185B" w:rsidR="00610073" w:rsidRPr="00692D68" w:rsidRDefault="00070EA9" w:rsidP="00A826CA">
      <w:pPr>
        <w:spacing w:after="0" w:line="480" w:lineRule="auto"/>
        <w:jc w:val="both"/>
        <w:rPr>
          <w:rFonts w:ascii="Times New Roman" w:hAnsi="Times New Roman" w:cs="Times New Roman"/>
          <w:sz w:val="20"/>
          <w:szCs w:val="20"/>
        </w:rPr>
      </w:pPr>
      <w:r w:rsidRPr="00070EA9">
        <w:rPr>
          <w:rFonts w:ascii="Times New Roman" w:hAnsi="Times New Roman" w:cs="Times New Roman"/>
          <w:sz w:val="20"/>
          <w:szCs w:val="20"/>
        </w:rPr>
        <w:t>The paired sample t-test results in Table 16 further validate the observed seasonal differences in chromium concentrations. The t-value of</w:t>
      </w:r>
      <w:r>
        <w:rPr>
          <w:rFonts w:ascii="Times New Roman" w:hAnsi="Times New Roman" w:cs="Times New Roman"/>
          <w:sz w:val="20"/>
          <w:szCs w:val="20"/>
        </w:rPr>
        <w:t xml:space="preserve"> -2.713 and a p-value of 0.02</w:t>
      </w:r>
      <w:r w:rsidRPr="00070EA9">
        <w:rPr>
          <w:rFonts w:ascii="Times New Roman" w:hAnsi="Times New Roman" w:cs="Times New Roman"/>
          <w:sz w:val="20"/>
          <w:szCs w:val="20"/>
        </w:rPr>
        <w:t xml:space="preserve"> indicate a statistically significant difference between wet and dry season chromium levels.</w:t>
      </w:r>
    </w:p>
    <w:p w14:paraId="2C66B9EC" w14:textId="77777777" w:rsidR="00A826CA" w:rsidRPr="00692D68" w:rsidRDefault="00692D68" w:rsidP="0027540B">
      <w:pPr>
        <w:spacing w:after="120" w:line="276" w:lineRule="auto"/>
        <w:jc w:val="both"/>
        <w:rPr>
          <w:rFonts w:ascii="Times New Roman" w:hAnsi="Times New Roman" w:cs="Times New Roman"/>
          <w:sz w:val="20"/>
          <w:szCs w:val="20"/>
        </w:rPr>
      </w:pPr>
      <w:r w:rsidRPr="00692D68">
        <w:rPr>
          <w:rFonts w:ascii="Times New Roman" w:hAnsi="Times New Roman" w:cs="Times New Roman"/>
          <w:b/>
          <w:sz w:val="20"/>
          <w:szCs w:val="20"/>
        </w:rPr>
        <w:t>Table 16.</w:t>
      </w:r>
      <w:r w:rsidR="00A826CA" w:rsidRPr="00692D68">
        <w:rPr>
          <w:rFonts w:ascii="Times New Roman" w:hAnsi="Times New Roman" w:cs="Times New Roman"/>
          <w:sz w:val="20"/>
          <w:szCs w:val="20"/>
        </w:rPr>
        <w:t xml:space="preserve"> </w:t>
      </w:r>
      <w:r w:rsidR="00A826CA" w:rsidRPr="00692D68">
        <w:rPr>
          <w:rFonts w:ascii="Times New Roman" w:hAnsi="Times New Roman" w:cs="Times New Roman"/>
          <w:b/>
          <w:sz w:val="20"/>
          <w:szCs w:val="20"/>
        </w:rPr>
        <w:t>Paired sample t-test Results Comparing Manganese Concentration in Borehole Water between Wet and Dry Seasons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05"/>
        <w:gridCol w:w="1888"/>
        <w:gridCol w:w="2522"/>
        <w:gridCol w:w="2015"/>
        <w:gridCol w:w="1712"/>
      </w:tblGrid>
      <w:tr w:rsidR="00A826CA" w:rsidRPr="00692D68" w14:paraId="42B9175E" w14:textId="77777777" w:rsidTr="00C97947">
        <w:trPr>
          <w:trHeight w:val="356"/>
        </w:trPr>
        <w:tc>
          <w:tcPr>
            <w:tcW w:w="1205" w:type="dxa"/>
            <w:vMerge w:val="restart"/>
          </w:tcPr>
          <w:p w14:paraId="7BF76321"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 xml:space="preserve">T value </w:t>
            </w:r>
          </w:p>
        </w:tc>
        <w:tc>
          <w:tcPr>
            <w:tcW w:w="1888" w:type="dxa"/>
            <w:vMerge w:val="restart"/>
          </w:tcPr>
          <w:p w14:paraId="5CA2E55E"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Mean difference</w:t>
            </w:r>
          </w:p>
        </w:tc>
        <w:tc>
          <w:tcPr>
            <w:tcW w:w="4537" w:type="dxa"/>
            <w:gridSpan w:val="2"/>
          </w:tcPr>
          <w:p w14:paraId="70463511"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95% confidence interval of mean difference</w:t>
            </w:r>
          </w:p>
        </w:tc>
        <w:tc>
          <w:tcPr>
            <w:tcW w:w="1712" w:type="dxa"/>
            <w:vMerge w:val="restart"/>
          </w:tcPr>
          <w:p w14:paraId="506EB8EC"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p-value</w:t>
            </w:r>
          </w:p>
        </w:tc>
      </w:tr>
      <w:tr w:rsidR="00A826CA" w:rsidRPr="00692D68" w14:paraId="485A0DAA" w14:textId="77777777" w:rsidTr="00C97947">
        <w:trPr>
          <w:trHeight w:val="177"/>
        </w:trPr>
        <w:tc>
          <w:tcPr>
            <w:tcW w:w="1205" w:type="dxa"/>
            <w:vMerge/>
          </w:tcPr>
          <w:p w14:paraId="51C23EA0" w14:textId="77777777" w:rsidR="00A826CA" w:rsidRPr="00692D68" w:rsidRDefault="00A826CA" w:rsidP="000B0929">
            <w:pPr>
              <w:spacing w:line="276" w:lineRule="auto"/>
              <w:jc w:val="both"/>
              <w:rPr>
                <w:rFonts w:ascii="Times New Roman" w:hAnsi="Times New Roman" w:cs="Times New Roman"/>
                <w:sz w:val="20"/>
                <w:szCs w:val="20"/>
              </w:rPr>
            </w:pPr>
          </w:p>
        </w:tc>
        <w:tc>
          <w:tcPr>
            <w:tcW w:w="1888" w:type="dxa"/>
            <w:vMerge/>
          </w:tcPr>
          <w:p w14:paraId="23E952EC" w14:textId="77777777" w:rsidR="00A826CA" w:rsidRPr="00692D68" w:rsidRDefault="00A826CA" w:rsidP="000B0929">
            <w:pPr>
              <w:spacing w:line="276" w:lineRule="auto"/>
              <w:jc w:val="both"/>
              <w:rPr>
                <w:rFonts w:ascii="Times New Roman" w:hAnsi="Times New Roman" w:cs="Times New Roman"/>
                <w:sz w:val="20"/>
                <w:szCs w:val="20"/>
              </w:rPr>
            </w:pPr>
          </w:p>
        </w:tc>
        <w:tc>
          <w:tcPr>
            <w:tcW w:w="2522" w:type="dxa"/>
          </w:tcPr>
          <w:p w14:paraId="491EF68F"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Lower bound</w:t>
            </w:r>
          </w:p>
        </w:tc>
        <w:tc>
          <w:tcPr>
            <w:tcW w:w="2015" w:type="dxa"/>
          </w:tcPr>
          <w:p w14:paraId="43E5A916"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Upper bound</w:t>
            </w:r>
          </w:p>
        </w:tc>
        <w:tc>
          <w:tcPr>
            <w:tcW w:w="1712" w:type="dxa"/>
            <w:vMerge/>
          </w:tcPr>
          <w:p w14:paraId="5C94825D" w14:textId="77777777" w:rsidR="00A826CA" w:rsidRPr="00692D68" w:rsidRDefault="00A826CA" w:rsidP="000B0929">
            <w:pPr>
              <w:spacing w:line="276" w:lineRule="auto"/>
              <w:jc w:val="both"/>
              <w:rPr>
                <w:rFonts w:ascii="Times New Roman" w:hAnsi="Times New Roman" w:cs="Times New Roman"/>
                <w:sz w:val="20"/>
                <w:szCs w:val="20"/>
              </w:rPr>
            </w:pPr>
          </w:p>
        </w:tc>
      </w:tr>
      <w:tr w:rsidR="00A826CA" w:rsidRPr="00692D68" w14:paraId="2E8BF792" w14:textId="77777777" w:rsidTr="00C97947">
        <w:trPr>
          <w:trHeight w:val="177"/>
        </w:trPr>
        <w:tc>
          <w:tcPr>
            <w:tcW w:w="1205" w:type="dxa"/>
          </w:tcPr>
          <w:p w14:paraId="41CB1178"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-2.713</w:t>
            </w:r>
          </w:p>
        </w:tc>
        <w:tc>
          <w:tcPr>
            <w:tcW w:w="1888" w:type="dxa"/>
          </w:tcPr>
          <w:p w14:paraId="2669F2D9"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-0.009764</w:t>
            </w:r>
          </w:p>
        </w:tc>
        <w:tc>
          <w:tcPr>
            <w:tcW w:w="2522" w:type="dxa"/>
          </w:tcPr>
          <w:p w14:paraId="499648E5"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-0.017685</w:t>
            </w:r>
          </w:p>
        </w:tc>
        <w:tc>
          <w:tcPr>
            <w:tcW w:w="2015" w:type="dxa"/>
          </w:tcPr>
          <w:p w14:paraId="25775FC5"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-0.001843</w:t>
            </w:r>
          </w:p>
        </w:tc>
        <w:tc>
          <w:tcPr>
            <w:tcW w:w="1712" w:type="dxa"/>
          </w:tcPr>
          <w:p w14:paraId="6FA1D597" w14:textId="77777777" w:rsidR="00A826CA" w:rsidRPr="00692D68" w:rsidRDefault="00A826CA" w:rsidP="000B0929">
            <w:pPr>
              <w:spacing w:line="276" w:lineRule="auto"/>
              <w:jc w:val="both"/>
              <w:rPr>
                <w:rFonts w:ascii="Times New Roman" w:hAnsi="Times New Roman" w:cs="Times New Roman"/>
                <w:sz w:val="20"/>
                <w:szCs w:val="20"/>
              </w:rPr>
            </w:pPr>
            <w:r w:rsidRPr="00692D68">
              <w:rPr>
                <w:rFonts w:ascii="Times New Roman" w:hAnsi="Times New Roman" w:cs="Times New Roman"/>
                <w:sz w:val="20"/>
                <w:szCs w:val="20"/>
              </w:rPr>
              <w:t>0.02018</w:t>
            </w:r>
          </w:p>
        </w:tc>
      </w:tr>
    </w:tbl>
    <w:p w14:paraId="4AA55D4D" w14:textId="77777777" w:rsidR="00A826CA" w:rsidRDefault="00A826CA" w:rsidP="00A826CA">
      <w:pPr>
        <w:spacing w:after="0" w:line="480" w:lineRule="auto"/>
        <w:jc w:val="both"/>
        <w:rPr>
          <w:rFonts w:ascii="Times New Roman" w:hAnsi="Times New Roman" w:cs="Times New Roman"/>
          <w:sz w:val="20"/>
          <w:szCs w:val="20"/>
        </w:rPr>
      </w:pPr>
    </w:p>
    <w:p w14:paraId="0A2C8E7E" w14:textId="0F853BD1" w:rsidR="008A143C" w:rsidRPr="008A143C" w:rsidRDefault="008A143C" w:rsidP="005B4195">
      <w:pPr>
        <w:spacing w:after="120" w:line="276" w:lineRule="auto"/>
        <w:jc w:val="both"/>
        <w:rPr>
          <w:rFonts w:ascii="Times New Roman" w:hAnsi="Times New Roman" w:cs="Times New Roman"/>
          <w:sz w:val="18"/>
          <w:szCs w:val="20"/>
        </w:rPr>
      </w:pPr>
    </w:p>
    <w:p w14:paraId="6A63215B" w14:textId="77777777" w:rsidR="00A826CA" w:rsidRPr="00692D68" w:rsidRDefault="00A826CA" w:rsidP="00A37976">
      <w:pPr>
        <w:spacing w:after="0" w:line="276" w:lineRule="auto"/>
        <w:jc w:val="center"/>
        <w:rPr>
          <w:rFonts w:ascii="Times New Roman" w:hAnsi="Times New Roman" w:cs="Times New Roman"/>
          <w:sz w:val="20"/>
          <w:szCs w:val="20"/>
        </w:rPr>
      </w:pPr>
      <w:r w:rsidRPr="00692D68">
        <w:rPr>
          <w:rFonts w:ascii="Times New Roman" w:hAnsi="Times New Roman" w:cs="Times New Roman"/>
          <w:noProof/>
          <w:sz w:val="20"/>
          <w:szCs w:val="20"/>
        </w:rPr>
        <w:drawing>
          <wp:inline distT="0" distB="0" distL="0" distR="0" wp14:anchorId="77F9AA50" wp14:editId="48F214A9">
            <wp:extent cx="3856990" cy="1860698"/>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4652" cy="1864394"/>
                    </a:xfrm>
                    <a:prstGeom prst="rect">
                      <a:avLst/>
                    </a:prstGeom>
                    <a:noFill/>
                    <a:ln>
                      <a:noFill/>
                    </a:ln>
                  </pic:spPr>
                </pic:pic>
              </a:graphicData>
            </a:graphic>
          </wp:inline>
        </w:drawing>
      </w:r>
    </w:p>
    <w:p w14:paraId="780398FD" w14:textId="77777777" w:rsidR="00A826CA" w:rsidRPr="00692D68" w:rsidRDefault="00692D68" w:rsidP="00A37976">
      <w:pPr>
        <w:spacing w:after="0" w:line="276" w:lineRule="auto"/>
        <w:jc w:val="center"/>
        <w:rPr>
          <w:rFonts w:ascii="Times New Roman" w:hAnsi="Times New Roman" w:cs="Times New Roman"/>
          <w:b/>
          <w:sz w:val="20"/>
          <w:szCs w:val="20"/>
        </w:rPr>
      </w:pPr>
      <w:r w:rsidRPr="00692D68">
        <w:rPr>
          <w:rFonts w:ascii="Times New Roman" w:hAnsi="Times New Roman" w:cs="Times New Roman"/>
          <w:b/>
          <w:sz w:val="20"/>
          <w:szCs w:val="20"/>
        </w:rPr>
        <w:t>Figure 8.</w:t>
      </w:r>
      <w:r w:rsidR="00A826CA" w:rsidRPr="00692D68">
        <w:rPr>
          <w:rFonts w:ascii="Times New Roman" w:hAnsi="Times New Roman" w:cs="Times New Roman"/>
          <w:b/>
          <w:sz w:val="20"/>
          <w:szCs w:val="20"/>
        </w:rPr>
        <w:t xml:space="preserve"> Chromium Concentrations in Borehole Water Samples in Enugu North LGA</w:t>
      </w:r>
    </w:p>
    <w:p w14:paraId="564DB929" w14:textId="77777777" w:rsidR="00D36B2C" w:rsidRPr="008A143C" w:rsidRDefault="00D36B2C" w:rsidP="00A05925">
      <w:pPr>
        <w:jc w:val="both"/>
        <w:rPr>
          <w:rFonts w:ascii="Times New Roman" w:hAnsi="Times New Roman" w:cs="Times New Roman"/>
          <w:b/>
          <w:sz w:val="20"/>
          <w:szCs w:val="20"/>
        </w:rPr>
      </w:pPr>
      <w:r w:rsidRPr="008A143C">
        <w:rPr>
          <w:rFonts w:ascii="Times New Roman" w:hAnsi="Times New Roman" w:cs="Times New Roman"/>
          <w:b/>
          <w:sz w:val="20"/>
          <w:szCs w:val="20"/>
        </w:rPr>
        <w:lastRenderedPageBreak/>
        <w:t xml:space="preserve">3.2 Health Risk Assessment </w:t>
      </w:r>
    </w:p>
    <w:p w14:paraId="6A41A4C6" w14:textId="50DE96C4" w:rsidR="00D84A12" w:rsidRDefault="00D84A12" w:rsidP="00D84A12">
      <w:pPr>
        <w:pStyle w:val="NormalWeb"/>
        <w:spacing w:before="0" w:beforeAutospacing="0" w:after="120" w:afterAutospacing="0" w:line="276" w:lineRule="auto"/>
        <w:jc w:val="both"/>
        <w:rPr>
          <w:sz w:val="20"/>
          <w:szCs w:val="20"/>
        </w:rPr>
      </w:pPr>
      <w:r>
        <w:rPr>
          <w:sz w:val="20"/>
          <w:szCs w:val="20"/>
        </w:rPr>
        <w:t>Table 17</w:t>
      </w:r>
      <w:r w:rsidRPr="00027C1B">
        <w:rPr>
          <w:sz w:val="20"/>
          <w:szCs w:val="20"/>
        </w:rPr>
        <w:t xml:space="preserve"> reveals that the Chronic Daily Intake (CDI) values for ingestion of heavy metals in the borehole water samples reveal varying levels of potential exposure risks. Among the assessed metals, iron (Fe) exhibited the highest CDI values across all samples, ranging from </w:t>
      </w:r>
      <w:r w:rsidRPr="00027C1B">
        <w:rPr>
          <w:rStyle w:val="Strong"/>
          <w:b w:val="0"/>
          <w:sz w:val="20"/>
          <w:szCs w:val="20"/>
        </w:rPr>
        <w:t>1.229E-02 to 2.000E-02 mg/kg/day</w:t>
      </w:r>
      <w:r w:rsidRPr="00027C1B">
        <w:rPr>
          <w:sz w:val="20"/>
          <w:szCs w:val="20"/>
        </w:rPr>
        <w:t>, suggesting a significant presence in borehole water. Manganese (</w:t>
      </w:r>
      <w:proofErr w:type="spellStart"/>
      <w:r w:rsidRPr="00027C1B">
        <w:rPr>
          <w:sz w:val="20"/>
          <w:szCs w:val="20"/>
        </w:rPr>
        <w:t>Mn</w:t>
      </w:r>
      <w:proofErr w:type="spellEnd"/>
      <w:r w:rsidRPr="00027C1B">
        <w:rPr>
          <w:sz w:val="20"/>
          <w:szCs w:val="20"/>
        </w:rPr>
        <w:t xml:space="preserve">) also displayed relatively high CDI values, particularly in samples </w:t>
      </w:r>
      <w:r w:rsidRPr="00027C1B">
        <w:rPr>
          <w:rStyle w:val="Strong"/>
          <w:b w:val="0"/>
          <w:sz w:val="20"/>
          <w:szCs w:val="20"/>
        </w:rPr>
        <w:t>4, 7, 8, 9, and 11</w:t>
      </w:r>
      <w:r w:rsidRPr="00027C1B">
        <w:rPr>
          <w:sz w:val="20"/>
          <w:szCs w:val="20"/>
        </w:rPr>
        <w:t xml:space="preserve">, where it exceeded </w:t>
      </w:r>
      <w:r w:rsidRPr="00027C1B">
        <w:rPr>
          <w:rStyle w:val="Strong"/>
          <w:b w:val="0"/>
          <w:sz w:val="20"/>
          <w:szCs w:val="20"/>
        </w:rPr>
        <w:t>2.794E-02 mg/kg/day</w:t>
      </w:r>
      <w:r w:rsidRPr="00027C1B">
        <w:rPr>
          <w:sz w:val="20"/>
          <w:szCs w:val="20"/>
        </w:rPr>
        <w:t xml:space="preserve">, indicating that some boreholes may have elevated </w:t>
      </w:r>
      <w:proofErr w:type="spellStart"/>
      <w:r w:rsidRPr="00027C1B">
        <w:rPr>
          <w:sz w:val="20"/>
          <w:szCs w:val="20"/>
        </w:rPr>
        <w:t>Mn</w:t>
      </w:r>
      <w:proofErr w:type="spellEnd"/>
      <w:r w:rsidRPr="00027C1B">
        <w:rPr>
          <w:sz w:val="20"/>
          <w:szCs w:val="20"/>
        </w:rPr>
        <w:t xml:space="preserve"> levels that require further scrutiny due to its potential neurological e</w:t>
      </w:r>
      <w:r>
        <w:rPr>
          <w:sz w:val="20"/>
          <w:szCs w:val="20"/>
        </w:rPr>
        <w:t xml:space="preserve">ffects at high exposure levels. </w:t>
      </w:r>
      <w:r w:rsidRPr="00027C1B">
        <w:rPr>
          <w:sz w:val="20"/>
          <w:szCs w:val="20"/>
        </w:rPr>
        <w:t>Cadmium (Cd), lead (</w:t>
      </w:r>
      <w:proofErr w:type="spellStart"/>
      <w:r w:rsidRPr="00027C1B">
        <w:rPr>
          <w:sz w:val="20"/>
          <w:szCs w:val="20"/>
        </w:rPr>
        <w:t>Pb</w:t>
      </w:r>
      <w:proofErr w:type="spellEnd"/>
      <w:r w:rsidRPr="00027C1B">
        <w:rPr>
          <w:sz w:val="20"/>
          <w:szCs w:val="20"/>
        </w:rPr>
        <w:t xml:space="preserve">), and nickel (Ni) presented considerably lower CDI values compared to </w:t>
      </w:r>
      <w:proofErr w:type="spellStart"/>
      <w:r w:rsidRPr="00027C1B">
        <w:rPr>
          <w:sz w:val="20"/>
          <w:szCs w:val="20"/>
        </w:rPr>
        <w:t>Mn</w:t>
      </w:r>
      <w:proofErr w:type="spellEnd"/>
      <w:r w:rsidRPr="00027C1B">
        <w:rPr>
          <w:sz w:val="20"/>
          <w:szCs w:val="20"/>
        </w:rPr>
        <w:t xml:space="preserve"> and Fe. However, their presence in drinking water is concerning due to their toxic and non-essential nature. The highest Cd ingestion was observed in </w:t>
      </w:r>
      <w:r w:rsidRPr="00027C1B">
        <w:rPr>
          <w:rStyle w:val="Strong"/>
          <w:b w:val="0"/>
          <w:sz w:val="20"/>
          <w:szCs w:val="20"/>
        </w:rPr>
        <w:t>samples 4 and 11 (2.857E-04 mg/kg/day)</w:t>
      </w:r>
      <w:r w:rsidRPr="00027C1B">
        <w:rPr>
          <w:sz w:val="20"/>
          <w:szCs w:val="20"/>
        </w:rPr>
        <w:t xml:space="preserve">, while </w:t>
      </w:r>
      <w:proofErr w:type="spellStart"/>
      <w:r w:rsidRPr="00027C1B">
        <w:rPr>
          <w:sz w:val="20"/>
          <w:szCs w:val="20"/>
        </w:rPr>
        <w:t>Pb</w:t>
      </w:r>
      <w:proofErr w:type="spellEnd"/>
      <w:r w:rsidRPr="00027C1B">
        <w:rPr>
          <w:sz w:val="20"/>
          <w:szCs w:val="20"/>
        </w:rPr>
        <w:t xml:space="preserve"> concentrations peaked in </w:t>
      </w:r>
      <w:r w:rsidRPr="00027C1B">
        <w:rPr>
          <w:rStyle w:val="Strong"/>
          <w:b w:val="0"/>
          <w:sz w:val="20"/>
          <w:szCs w:val="20"/>
        </w:rPr>
        <w:t>sample 4 (3.854E-04 mg/kg/day)</w:t>
      </w:r>
      <w:r w:rsidRPr="00027C1B">
        <w:rPr>
          <w:sz w:val="20"/>
          <w:szCs w:val="20"/>
        </w:rPr>
        <w:t xml:space="preserve">. Copper (Cu) and zinc (Zn) are essential trace elements, but their intake should remain within safe limits. The CDI values for Cu ranged from </w:t>
      </w:r>
      <w:r w:rsidRPr="00027C1B">
        <w:rPr>
          <w:rStyle w:val="Strong"/>
          <w:b w:val="0"/>
          <w:sz w:val="20"/>
          <w:szCs w:val="20"/>
        </w:rPr>
        <w:t>1.000E-03 to 2.286E-03 mg/kg/day</w:t>
      </w:r>
      <w:r w:rsidRPr="00027C1B">
        <w:rPr>
          <w:sz w:val="20"/>
          <w:szCs w:val="20"/>
        </w:rPr>
        <w:t xml:space="preserve">, while Zn varied from </w:t>
      </w:r>
      <w:r w:rsidRPr="00027C1B">
        <w:rPr>
          <w:rStyle w:val="Strong"/>
          <w:b w:val="0"/>
          <w:sz w:val="20"/>
          <w:szCs w:val="20"/>
        </w:rPr>
        <w:t>7.714E-03 to 1.143E-02 mg/kg/day</w:t>
      </w:r>
      <w:r w:rsidRPr="00027C1B">
        <w:rPr>
          <w:sz w:val="20"/>
          <w:szCs w:val="20"/>
        </w:rPr>
        <w:t xml:space="preserve">. These values are within expected ranges for drinking water, but prolonged exposure beyond permissible limits could pose health risks. Chromium (Cr) concentrations also showed fluctuations, with </w:t>
      </w:r>
      <w:r w:rsidRPr="00027C1B">
        <w:rPr>
          <w:rStyle w:val="Strong"/>
          <w:b w:val="0"/>
          <w:sz w:val="20"/>
          <w:szCs w:val="20"/>
        </w:rPr>
        <w:t>samples 7 and 11</w:t>
      </w:r>
      <w:r w:rsidRPr="00027C1B">
        <w:rPr>
          <w:sz w:val="20"/>
          <w:szCs w:val="20"/>
        </w:rPr>
        <w:t xml:space="preserve"> having the highest CDI values (</w:t>
      </w:r>
      <w:r w:rsidRPr="00027C1B">
        <w:rPr>
          <w:rStyle w:val="Strong"/>
          <w:b w:val="0"/>
          <w:sz w:val="20"/>
          <w:szCs w:val="20"/>
        </w:rPr>
        <w:t>5.654E-04 and 6.241E-04 mg/kg/day</w:t>
      </w:r>
      <w:r w:rsidRPr="00027C1B">
        <w:rPr>
          <w:sz w:val="20"/>
          <w:szCs w:val="20"/>
        </w:rPr>
        <w:t>, respectively), which warrants further risk evaluation due to its potential carcinogenicity.</w:t>
      </w:r>
    </w:p>
    <w:p w14:paraId="7EC5311C" w14:textId="77777777" w:rsidR="008A143C" w:rsidRPr="001C216A" w:rsidRDefault="001C216A" w:rsidP="008A143C">
      <w:pPr>
        <w:spacing w:after="0" w:line="360" w:lineRule="auto"/>
        <w:jc w:val="both"/>
        <w:rPr>
          <w:rFonts w:ascii="Times New Roman" w:hAnsi="Times New Roman" w:cs="Times New Roman"/>
          <w:b/>
          <w:bCs/>
          <w:sz w:val="20"/>
          <w:szCs w:val="24"/>
        </w:rPr>
      </w:pPr>
      <w:r w:rsidRPr="001C216A">
        <w:rPr>
          <w:rFonts w:ascii="Times New Roman" w:hAnsi="Times New Roman" w:cs="Times New Roman"/>
          <w:b/>
          <w:bCs/>
          <w:sz w:val="20"/>
          <w:szCs w:val="24"/>
        </w:rPr>
        <w:t>Table 17</w:t>
      </w:r>
      <w:r>
        <w:rPr>
          <w:rFonts w:ascii="Times New Roman" w:hAnsi="Times New Roman" w:cs="Times New Roman"/>
          <w:b/>
          <w:bCs/>
          <w:sz w:val="20"/>
          <w:szCs w:val="24"/>
        </w:rPr>
        <w:t>.</w:t>
      </w:r>
      <w:r w:rsidR="008A143C" w:rsidRPr="001C216A">
        <w:rPr>
          <w:rFonts w:ascii="Times New Roman" w:hAnsi="Times New Roman" w:cs="Times New Roman"/>
          <w:b/>
          <w:bCs/>
          <w:sz w:val="20"/>
          <w:szCs w:val="24"/>
        </w:rPr>
        <w:t xml:space="preserve"> </w:t>
      </w:r>
      <w:r w:rsidR="009A7FCF" w:rsidRPr="009A7FCF">
        <w:rPr>
          <w:rFonts w:ascii="Times New Roman" w:hAnsi="Times New Roman" w:cs="Times New Roman"/>
          <w:b/>
          <w:sz w:val="20"/>
          <w:szCs w:val="20"/>
        </w:rPr>
        <w:t>Chronic Daily Intake (CDI)</w:t>
      </w:r>
      <w:r w:rsidR="009A7FCF" w:rsidRPr="00027C1B">
        <w:rPr>
          <w:sz w:val="20"/>
          <w:szCs w:val="20"/>
        </w:rPr>
        <w:t xml:space="preserve"> </w:t>
      </w:r>
      <w:r w:rsidR="008A143C" w:rsidRPr="001C216A">
        <w:rPr>
          <w:rFonts w:ascii="Times New Roman" w:hAnsi="Times New Roman" w:cs="Times New Roman"/>
          <w:b/>
          <w:bCs/>
          <w:sz w:val="20"/>
          <w:szCs w:val="24"/>
        </w:rPr>
        <w:t>for Ingestion (mg/kg/day)</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
        <w:gridCol w:w="1157"/>
        <w:gridCol w:w="1089"/>
        <w:gridCol w:w="975"/>
        <w:gridCol w:w="1020"/>
        <w:gridCol w:w="1049"/>
        <w:gridCol w:w="1175"/>
        <w:gridCol w:w="977"/>
        <w:gridCol w:w="1008"/>
      </w:tblGrid>
      <w:tr w:rsidR="008A143C" w:rsidRPr="009808F8" w14:paraId="38958606" w14:textId="77777777" w:rsidTr="00C87B55">
        <w:trPr>
          <w:trHeight w:val="323"/>
        </w:trPr>
        <w:tc>
          <w:tcPr>
            <w:tcW w:w="910" w:type="dxa"/>
            <w:tcBorders>
              <w:top w:val="single" w:sz="4" w:space="0" w:color="auto"/>
              <w:bottom w:val="single" w:sz="4" w:space="0" w:color="auto"/>
            </w:tcBorders>
          </w:tcPr>
          <w:p w14:paraId="6DF9E97E"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Sample</w:t>
            </w:r>
          </w:p>
        </w:tc>
        <w:tc>
          <w:tcPr>
            <w:tcW w:w="1157" w:type="dxa"/>
            <w:tcBorders>
              <w:top w:val="single" w:sz="4" w:space="0" w:color="auto"/>
              <w:bottom w:val="single" w:sz="4" w:space="0" w:color="auto"/>
            </w:tcBorders>
          </w:tcPr>
          <w:p w14:paraId="277F7D6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Mn</w:t>
            </w:r>
          </w:p>
        </w:tc>
        <w:tc>
          <w:tcPr>
            <w:tcW w:w="1089" w:type="dxa"/>
            <w:tcBorders>
              <w:top w:val="single" w:sz="4" w:space="0" w:color="auto"/>
              <w:bottom w:val="single" w:sz="4" w:space="0" w:color="auto"/>
            </w:tcBorders>
          </w:tcPr>
          <w:p w14:paraId="60FA071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Cd</w:t>
            </w:r>
          </w:p>
        </w:tc>
        <w:tc>
          <w:tcPr>
            <w:tcW w:w="975" w:type="dxa"/>
            <w:tcBorders>
              <w:top w:val="single" w:sz="4" w:space="0" w:color="auto"/>
              <w:bottom w:val="single" w:sz="4" w:space="0" w:color="auto"/>
            </w:tcBorders>
          </w:tcPr>
          <w:p w14:paraId="72F0070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Pb</w:t>
            </w:r>
          </w:p>
        </w:tc>
        <w:tc>
          <w:tcPr>
            <w:tcW w:w="1020" w:type="dxa"/>
            <w:tcBorders>
              <w:top w:val="single" w:sz="4" w:space="0" w:color="auto"/>
              <w:bottom w:val="single" w:sz="4" w:space="0" w:color="auto"/>
            </w:tcBorders>
          </w:tcPr>
          <w:p w14:paraId="7D4A7E6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Ni</w:t>
            </w:r>
          </w:p>
        </w:tc>
        <w:tc>
          <w:tcPr>
            <w:tcW w:w="1049" w:type="dxa"/>
            <w:tcBorders>
              <w:top w:val="single" w:sz="4" w:space="0" w:color="auto"/>
              <w:bottom w:val="single" w:sz="4" w:space="0" w:color="auto"/>
            </w:tcBorders>
          </w:tcPr>
          <w:p w14:paraId="2DE0B7D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Cu</w:t>
            </w:r>
          </w:p>
        </w:tc>
        <w:tc>
          <w:tcPr>
            <w:tcW w:w="1175" w:type="dxa"/>
            <w:tcBorders>
              <w:top w:val="single" w:sz="4" w:space="0" w:color="auto"/>
              <w:bottom w:val="single" w:sz="4" w:space="0" w:color="auto"/>
            </w:tcBorders>
          </w:tcPr>
          <w:p w14:paraId="20F9C5B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Zn</w:t>
            </w:r>
          </w:p>
        </w:tc>
        <w:tc>
          <w:tcPr>
            <w:tcW w:w="977" w:type="dxa"/>
            <w:tcBorders>
              <w:top w:val="single" w:sz="4" w:space="0" w:color="auto"/>
              <w:bottom w:val="single" w:sz="4" w:space="0" w:color="auto"/>
            </w:tcBorders>
          </w:tcPr>
          <w:p w14:paraId="2923CF8F"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Cr</w:t>
            </w:r>
          </w:p>
        </w:tc>
        <w:tc>
          <w:tcPr>
            <w:tcW w:w="1008" w:type="dxa"/>
            <w:tcBorders>
              <w:top w:val="single" w:sz="4" w:space="0" w:color="auto"/>
              <w:bottom w:val="single" w:sz="4" w:space="0" w:color="auto"/>
            </w:tcBorders>
          </w:tcPr>
          <w:p w14:paraId="5DDE6A0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Fe</w:t>
            </w:r>
          </w:p>
        </w:tc>
      </w:tr>
      <w:tr w:rsidR="008A143C" w:rsidRPr="009808F8" w14:paraId="46A7C97A" w14:textId="77777777" w:rsidTr="00C87B55">
        <w:trPr>
          <w:trHeight w:val="333"/>
        </w:trPr>
        <w:tc>
          <w:tcPr>
            <w:tcW w:w="910" w:type="dxa"/>
            <w:tcBorders>
              <w:top w:val="single" w:sz="4" w:space="0" w:color="auto"/>
              <w:bottom w:val="nil"/>
            </w:tcBorders>
          </w:tcPr>
          <w:p w14:paraId="5B436FF7"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w:t>
            </w:r>
          </w:p>
        </w:tc>
        <w:tc>
          <w:tcPr>
            <w:tcW w:w="1157" w:type="dxa"/>
            <w:tcBorders>
              <w:top w:val="single" w:sz="4" w:space="0" w:color="auto"/>
              <w:bottom w:val="nil"/>
            </w:tcBorders>
          </w:tcPr>
          <w:p w14:paraId="452B442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8.314E-03</w:t>
            </w:r>
          </w:p>
        </w:tc>
        <w:tc>
          <w:tcPr>
            <w:tcW w:w="1089" w:type="dxa"/>
            <w:tcBorders>
              <w:top w:val="single" w:sz="4" w:space="0" w:color="auto"/>
              <w:bottom w:val="nil"/>
            </w:tcBorders>
          </w:tcPr>
          <w:p w14:paraId="27E160F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1.429E-04</w:t>
            </w:r>
          </w:p>
        </w:tc>
        <w:tc>
          <w:tcPr>
            <w:tcW w:w="975" w:type="dxa"/>
            <w:tcBorders>
              <w:top w:val="single" w:sz="4" w:space="0" w:color="auto"/>
              <w:bottom w:val="nil"/>
            </w:tcBorders>
          </w:tcPr>
          <w:p w14:paraId="0C516EF9"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1.44</w:t>
            </w:r>
            <w:r w:rsidRPr="00302003">
              <w:rPr>
                <w:rFonts w:ascii="Times New Roman" w:hAnsi="Times New Roman" w:cs="Times New Roman"/>
                <w:sz w:val="18"/>
                <w:szCs w:val="20"/>
              </w:rPr>
              <w:t>9E-04</w:t>
            </w:r>
          </w:p>
        </w:tc>
        <w:tc>
          <w:tcPr>
            <w:tcW w:w="1020" w:type="dxa"/>
            <w:tcBorders>
              <w:top w:val="single" w:sz="4" w:space="0" w:color="auto"/>
              <w:bottom w:val="nil"/>
            </w:tcBorders>
          </w:tcPr>
          <w:p w14:paraId="2B1B036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3.429E-04</w:t>
            </w:r>
          </w:p>
        </w:tc>
        <w:tc>
          <w:tcPr>
            <w:tcW w:w="1049" w:type="dxa"/>
            <w:tcBorders>
              <w:top w:val="single" w:sz="4" w:space="0" w:color="auto"/>
              <w:bottom w:val="nil"/>
            </w:tcBorders>
          </w:tcPr>
          <w:p w14:paraId="465D473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1.286E-03</w:t>
            </w:r>
          </w:p>
        </w:tc>
        <w:tc>
          <w:tcPr>
            <w:tcW w:w="1175" w:type="dxa"/>
            <w:tcBorders>
              <w:top w:val="single" w:sz="4" w:space="0" w:color="auto"/>
              <w:bottom w:val="nil"/>
            </w:tcBorders>
          </w:tcPr>
          <w:p w14:paraId="03815AC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9.143E-03</w:t>
            </w:r>
          </w:p>
        </w:tc>
        <w:tc>
          <w:tcPr>
            <w:tcW w:w="977" w:type="dxa"/>
            <w:tcBorders>
              <w:top w:val="single" w:sz="4" w:space="0" w:color="auto"/>
              <w:bottom w:val="nil"/>
            </w:tcBorders>
          </w:tcPr>
          <w:p w14:paraId="14834ED2"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4.422</w:t>
            </w:r>
            <w:r w:rsidRPr="00302003">
              <w:rPr>
                <w:rFonts w:ascii="Times New Roman" w:hAnsi="Times New Roman" w:cs="Times New Roman"/>
                <w:sz w:val="18"/>
                <w:szCs w:val="20"/>
              </w:rPr>
              <w:t>E-04</w:t>
            </w:r>
          </w:p>
        </w:tc>
        <w:tc>
          <w:tcPr>
            <w:tcW w:w="1008" w:type="dxa"/>
            <w:tcBorders>
              <w:top w:val="single" w:sz="4" w:space="0" w:color="auto"/>
              <w:bottom w:val="nil"/>
            </w:tcBorders>
          </w:tcPr>
          <w:p w14:paraId="0C73845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1.457E-02</w:t>
            </w:r>
          </w:p>
        </w:tc>
      </w:tr>
      <w:tr w:rsidR="008A143C" w:rsidRPr="009808F8" w14:paraId="4E672D77" w14:textId="77777777" w:rsidTr="00C87B55">
        <w:trPr>
          <w:trHeight w:val="323"/>
        </w:trPr>
        <w:tc>
          <w:tcPr>
            <w:tcW w:w="910" w:type="dxa"/>
            <w:tcBorders>
              <w:top w:val="nil"/>
            </w:tcBorders>
          </w:tcPr>
          <w:p w14:paraId="2DE9340C"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2</w:t>
            </w:r>
          </w:p>
        </w:tc>
        <w:tc>
          <w:tcPr>
            <w:tcW w:w="1157" w:type="dxa"/>
            <w:tcBorders>
              <w:top w:val="nil"/>
            </w:tcBorders>
          </w:tcPr>
          <w:p w14:paraId="667E8B5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1.346E-02</w:t>
            </w:r>
          </w:p>
        </w:tc>
        <w:tc>
          <w:tcPr>
            <w:tcW w:w="1089" w:type="dxa"/>
            <w:tcBorders>
              <w:top w:val="nil"/>
            </w:tcBorders>
          </w:tcPr>
          <w:p w14:paraId="1FB3B64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2.286E-04</w:t>
            </w:r>
          </w:p>
        </w:tc>
        <w:tc>
          <w:tcPr>
            <w:tcW w:w="975" w:type="dxa"/>
            <w:tcBorders>
              <w:top w:val="nil"/>
            </w:tcBorders>
          </w:tcPr>
          <w:p w14:paraId="4C63EA4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2.21</w:t>
            </w:r>
            <w:r w:rsidRPr="00302003">
              <w:rPr>
                <w:rFonts w:ascii="Times New Roman" w:hAnsi="Times New Roman" w:cs="Times New Roman"/>
                <w:sz w:val="18"/>
                <w:szCs w:val="20"/>
              </w:rPr>
              <w:t>6E-04</w:t>
            </w:r>
          </w:p>
        </w:tc>
        <w:tc>
          <w:tcPr>
            <w:tcW w:w="1020" w:type="dxa"/>
            <w:tcBorders>
              <w:top w:val="nil"/>
            </w:tcBorders>
          </w:tcPr>
          <w:p w14:paraId="301F79A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5.143E-04</w:t>
            </w:r>
          </w:p>
        </w:tc>
        <w:tc>
          <w:tcPr>
            <w:tcW w:w="1049" w:type="dxa"/>
            <w:tcBorders>
              <w:top w:val="nil"/>
            </w:tcBorders>
          </w:tcPr>
          <w:p w14:paraId="428A45D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1.714E-03</w:t>
            </w:r>
          </w:p>
        </w:tc>
        <w:tc>
          <w:tcPr>
            <w:tcW w:w="1175" w:type="dxa"/>
            <w:tcBorders>
              <w:top w:val="nil"/>
            </w:tcBorders>
          </w:tcPr>
          <w:p w14:paraId="4DA745D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8.000E-03</w:t>
            </w:r>
          </w:p>
        </w:tc>
        <w:tc>
          <w:tcPr>
            <w:tcW w:w="977" w:type="dxa"/>
            <w:tcBorders>
              <w:top w:val="nil"/>
            </w:tcBorders>
          </w:tcPr>
          <w:p w14:paraId="252E398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5.188</w:t>
            </w:r>
            <w:r w:rsidRPr="00302003">
              <w:rPr>
                <w:rFonts w:ascii="Times New Roman" w:hAnsi="Times New Roman" w:cs="Times New Roman"/>
                <w:sz w:val="18"/>
                <w:szCs w:val="20"/>
              </w:rPr>
              <w:t>E-04</w:t>
            </w:r>
          </w:p>
        </w:tc>
        <w:tc>
          <w:tcPr>
            <w:tcW w:w="1008" w:type="dxa"/>
            <w:tcBorders>
              <w:top w:val="nil"/>
            </w:tcBorders>
          </w:tcPr>
          <w:p w14:paraId="7962626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1.286E-02</w:t>
            </w:r>
          </w:p>
        </w:tc>
      </w:tr>
      <w:tr w:rsidR="008A143C" w:rsidRPr="009808F8" w14:paraId="67E0405A" w14:textId="77777777" w:rsidTr="00C87B55">
        <w:trPr>
          <w:trHeight w:val="333"/>
        </w:trPr>
        <w:tc>
          <w:tcPr>
            <w:tcW w:w="910" w:type="dxa"/>
          </w:tcPr>
          <w:p w14:paraId="674812DB"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3</w:t>
            </w:r>
          </w:p>
        </w:tc>
        <w:tc>
          <w:tcPr>
            <w:tcW w:w="1157" w:type="dxa"/>
          </w:tcPr>
          <w:p w14:paraId="5308599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1.149E-02</w:t>
            </w:r>
          </w:p>
        </w:tc>
        <w:tc>
          <w:tcPr>
            <w:tcW w:w="1089" w:type="dxa"/>
          </w:tcPr>
          <w:p w14:paraId="0261BD4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7AA69126"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1.609</w:t>
            </w:r>
            <w:r w:rsidRPr="00302003">
              <w:rPr>
                <w:rFonts w:ascii="Times New Roman" w:hAnsi="Times New Roman" w:cs="Times New Roman"/>
                <w:sz w:val="18"/>
                <w:szCs w:val="20"/>
              </w:rPr>
              <w:t>E-04</w:t>
            </w:r>
          </w:p>
        </w:tc>
        <w:tc>
          <w:tcPr>
            <w:tcW w:w="1020" w:type="dxa"/>
          </w:tcPr>
          <w:p w14:paraId="631B488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4.286E-04</w:t>
            </w:r>
          </w:p>
        </w:tc>
        <w:tc>
          <w:tcPr>
            <w:tcW w:w="1049" w:type="dxa"/>
          </w:tcPr>
          <w:p w14:paraId="28BA5F3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1.429E-03</w:t>
            </w:r>
          </w:p>
        </w:tc>
        <w:tc>
          <w:tcPr>
            <w:tcW w:w="1175" w:type="dxa"/>
          </w:tcPr>
          <w:p w14:paraId="10E3008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8.857E-03</w:t>
            </w:r>
          </w:p>
        </w:tc>
        <w:tc>
          <w:tcPr>
            <w:tcW w:w="977" w:type="dxa"/>
          </w:tcPr>
          <w:p w14:paraId="6F98A63E"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4.288</w:t>
            </w:r>
            <w:r w:rsidRPr="00302003">
              <w:rPr>
                <w:rFonts w:ascii="Times New Roman" w:hAnsi="Times New Roman" w:cs="Times New Roman"/>
                <w:sz w:val="18"/>
                <w:szCs w:val="20"/>
              </w:rPr>
              <w:t>E-04</w:t>
            </w:r>
          </w:p>
        </w:tc>
        <w:tc>
          <w:tcPr>
            <w:tcW w:w="1008" w:type="dxa"/>
          </w:tcPr>
          <w:p w14:paraId="4E2E78E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1.429E-02</w:t>
            </w:r>
          </w:p>
        </w:tc>
      </w:tr>
      <w:tr w:rsidR="008A143C" w:rsidRPr="009808F8" w14:paraId="4B31D69C" w14:textId="77777777" w:rsidTr="00C87B55">
        <w:trPr>
          <w:trHeight w:val="333"/>
        </w:trPr>
        <w:tc>
          <w:tcPr>
            <w:tcW w:w="910" w:type="dxa"/>
          </w:tcPr>
          <w:p w14:paraId="2111BD20"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4</w:t>
            </w:r>
          </w:p>
        </w:tc>
        <w:tc>
          <w:tcPr>
            <w:tcW w:w="1157" w:type="dxa"/>
          </w:tcPr>
          <w:p w14:paraId="409134D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2.897E-02</w:t>
            </w:r>
          </w:p>
        </w:tc>
        <w:tc>
          <w:tcPr>
            <w:tcW w:w="1089" w:type="dxa"/>
          </w:tcPr>
          <w:p w14:paraId="1DA4E92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975" w:type="dxa"/>
          </w:tcPr>
          <w:p w14:paraId="5A908CB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3.854</w:t>
            </w:r>
            <w:r w:rsidRPr="00302003">
              <w:rPr>
                <w:rFonts w:ascii="Times New Roman" w:hAnsi="Times New Roman" w:cs="Times New Roman"/>
                <w:sz w:val="18"/>
                <w:szCs w:val="20"/>
              </w:rPr>
              <w:t>E-04</w:t>
            </w:r>
          </w:p>
        </w:tc>
        <w:tc>
          <w:tcPr>
            <w:tcW w:w="1020" w:type="dxa"/>
          </w:tcPr>
          <w:p w14:paraId="7672969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6.286E-04</w:t>
            </w:r>
          </w:p>
        </w:tc>
        <w:tc>
          <w:tcPr>
            <w:tcW w:w="1049" w:type="dxa"/>
          </w:tcPr>
          <w:p w14:paraId="250786A8"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2.286E-03</w:t>
            </w:r>
          </w:p>
        </w:tc>
        <w:tc>
          <w:tcPr>
            <w:tcW w:w="1175" w:type="dxa"/>
          </w:tcPr>
          <w:p w14:paraId="2CC59B3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1.143E-02</w:t>
            </w:r>
          </w:p>
        </w:tc>
        <w:tc>
          <w:tcPr>
            <w:tcW w:w="977" w:type="dxa"/>
          </w:tcPr>
          <w:p w14:paraId="33E18CEA"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5.281</w:t>
            </w:r>
            <w:r w:rsidRPr="00302003">
              <w:rPr>
                <w:rFonts w:ascii="Times New Roman" w:hAnsi="Times New Roman" w:cs="Times New Roman"/>
                <w:sz w:val="18"/>
                <w:szCs w:val="20"/>
              </w:rPr>
              <w:t>E-04</w:t>
            </w:r>
          </w:p>
        </w:tc>
        <w:tc>
          <w:tcPr>
            <w:tcW w:w="1008" w:type="dxa"/>
          </w:tcPr>
          <w:p w14:paraId="6EE7BC5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2.000E-02</w:t>
            </w:r>
          </w:p>
        </w:tc>
      </w:tr>
      <w:tr w:rsidR="008A143C" w:rsidRPr="009808F8" w14:paraId="7C5E139D" w14:textId="77777777" w:rsidTr="00C87B55">
        <w:trPr>
          <w:trHeight w:val="323"/>
        </w:trPr>
        <w:tc>
          <w:tcPr>
            <w:tcW w:w="910" w:type="dxa"/>
          </w:tcPr>
          <w:p w14:paraId="5202F9B5"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5</w:t>
            </w:r>
          </w:p>
        </w:tc>
        <w:tc>
          <w:tcPr>
            <w:tcW w:w="1157" w:type="dxa"/>
          </w:tcPr>
          <w:p w14:paraId="5732893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1.020E-02</w:t>
            </w:r>
          </w:p>
        </w:tc>
        <w:tc>
          <w:tcPr>
            <w:tcW w:w="1089" w:type="dxa"/>
          </w:tcPr>
          <w:p w14:paraId="48C600F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1.143E-04</w:t>
            </w:r>
          </w:p>
        </w:tc>
        <w:tc>
          <w:tcPr>
            <w:tcW w:w="975" w:type="dxa"/>
          </w:tcPr>
          <w:p w14:paraId="6F20716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1.104</w:t>
            </w:r>
            <w:r w:rsidRPr="00302003">
              <w:rPr>
                <w:rFonts w:ascii="Times New Roman" w:hAnsi="Times New Roman" w:cs="Times New Roman"/>
                <w:sz w:val="18"/>
                <w:szCs w:val="20"/>
              </w:rPr>
              <w:t>E-04</w:t>
            </w:r>
          </w:p>
        </w:tc>
        <w:tc>
          <w:tcPr>
            <w:tcW w:w="1020" w:type="dxa"/>
          </w:tcPr>
          <w:p w14:paraId="4AAB5C8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1049" w:type="dxa"/>
          </w:tcPr>
          <w:p w14:paraId="2B0A68D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1.000E-03</w:t>
            </w:r>
          </w:p>
        </w:tc>
        <w:tc>
          <w:tcPr>
            <w:tcW w:w="1175" w:type="dxa"/>
          </w:tcPr>
          <w:p w14:paraId="49659F6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7.714E-03</w:t>
            </w:r>
          </w:p>
        </w:tc>
        <w:tc>
          <w:tcPr>
            <w:tcW w:w="977" w:type="dxa"/>
          </w:tcPr>
          <w:p w14:paraId="5AA035D0"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2.808</w:t>
            </w:r>
            <w:r w:rsidRPr="00302003">
              <w:rPr>
                <w:rFonts w:ascii="Times New Roman" w:hAnsi="Times New Roman" w:cs="Times New Roman"/>
                <w:sz w:val="18"/>
                <w:szCs w:val="20"/>
              </w:rPr>
              <w:t>E-04</w:t>
            </w:r>
          </w:p>
        </w:tc>
        <w:tc>
          <w:tcPr>
            <w:tcW w:w="1008" w:type="dxa"/>
          </w:tcPr>
          <w:p w14:paraId="4F3D43C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1.229E-02</w:t>
            </w:r>
          </w:p>
        </w:tc>
      </w:tr>
      <w:tr w:rsidR="008A143C" w:rsidRPr="009808F8" w14:paraId="273622BB" w14:textId="77777777" w:rsidTr="00C87B55">
        <w:trPr>
          <w:trHeight w:val="333"/>
        </w:trPr>
        <w:tc>
          <w:tcPr>
            <w:tcW w:w="910" w:type="dxa"/>
          </w:tcPr>
          <w:p w14:paraId="40236492"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6</w:t>
            </w:r>
          </w:p>
        </w:tc>
        <w:tc>
          <w:tcPr>
            <w:tcW w:w="1157" w:type="dxa"/>
          </w:tcPr>
          <w:p w14:paraId="28D61CA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9.486E-03</w:t>
            </w:r>
          </w:p>
        </w:tc>
        <w:tc>
          <w:tcPr>
            <w:tcW w:w="1089" w:type="dxa"/>
          </w:tcPr>
          <w:p w14:paraId="3916879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2.000E-04</w:t>
            </w:r>
          </w:p>
        </w:tc>
        <w:tc>
          <w:tcPr>
            <w:tcW w:w="975" w:type="dxa"/>
          </w:tcPr>
          <w:p w14:paraId="305D746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2.154</w:t>
            </w:r>
            <w:r w:rsidRPr="00302003">
              <w:rPr>
                <w:rFonts w:ascii="Times New Roman" w:hAnsi="Times New Roman" w:cs="Times New Roman"/>
                <w:sz w:val="18"/>
                <w:szCs w:val="20"/>
              </w:rPr>
              <w:t>E-04</w:t>
            </w:r>
          </w:p>
        </w:tc>
        <w:tc>
          <w:tcPr>
            <w:tcW w:w="1020" w:type="dxa"/>
          </w:tcPr>
          <w:p w14:paraId="0C47F34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4.000E-04</w:t>
            </w:r>
          </w:p>
        </w:tc>
        <w:tc>
          <w:tcPr>
            <w:tcW w:w="1049" w:type="dxa"/>
          </w:tcPr>
          <w:p w14:paraId="3F4DC74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1.371E-03</w:t>
            </w:r>
          </w:p>
        </w:tc>
        <w:tc>
          <w:tcPr>
            <w:tcW w:w="1175" w:type="dxa"/>
          </w:tcPr>
          <w:p w14:paraId="25E30E18"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8.571E-03</w:t>
            </w:r>
          </w:p>
        </w:tc>
        <w:tc>
          <w:tcPr>
            <w:tcW w:w="977" w:type="dxa"/>
          </w:tcPr>
          <w:p w14:paraId="12A068A4"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4.043</w:t>
            </w:r>
            <w:r w:rsidRPr="00302003">
              <w:rPr>
                <w:rFonts w:ascii="Times New Roman" w:hAnsi="Times New Roman" w:cs="Times New Roman"/>
                <w:sz w:val="18"/>
                <w:szCs w:val="20"/>
              </w:rPr>
              <w:t>E-04</w:t>
            </w:r>
          </w:p>
        </w:tc>
        <w:tc>
          <w:tcPr>
            <w:tcW w:w="1008" w:type="dxa"/>
          </w:tcPr>
          <w:p w14:paraId="2EDB1EB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1.371E-02</w:t>
            </w:r>
          </w:p>
        </w:tc>
      </w:tr>
      <w:tr w:rsidR="008A143C" w:rsidRPr="009808F8" w14:paraId="2774FC02" w14:textId="77777777" w:rsidTr="00C87B55">
        <w:trPr>
          <w:trHeight w:val="333"/>
        </w:trPr>
        <w:tc>
          <w:tcPr>
            <w:tcW w:w="910" w:type="dxa"/>
          </w:tcPr>
          <w:p w14:paraId="62DF2803"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7</w:t>
            </w:r>
          </w:p>
        </w:tc>
        <w:tc>
          <w:tcPr>
            <w:tcW w:w="1157" w:type="dxa"/>
          </w:tcPr>
          <w:p w14:paraId="260EF14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2.854E-02</w:t>
            </w:r>
          </w:p>
        </w:tc>
        <w:tc>
          <w:tcPr>
            <w:tcW w:w="1089" w:type="dxa"/>
          </w:tcPr>
          <w:p w14:paraId="264A0F4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2.571E-04</w:t>
            </w:r>
          </w:p>
        </w:tc>
        <w:tc>
          <w:tcPr>
            <w:tcW w:w="975" w:type="dxa"/>
          </w:tcPr>
          <w:p w14:paraId="0237CC6A"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2.675</w:t>
            </w:r>
            <w:r w:rsidRPr="00302003">
              <w:rPr>
                <w:rFonts w:ascii="Times New Roman" w:hAnsi="Times New Roman" w:cs="Times New Roman"/>
                <w:sz w:val="18"/>
                <w:szCs w:val="20"/>
              </w:rPr>
              <w:t>E-04</w:t>
            </w:r>
          </w:p>
        </w:tc>
        <w:tc>
          <w:tcPr>
            <w:tcW w:w="1020" w:type="dxa"/>
          </w:tcPr>
          <w:p w14:paraId="31A9C0E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5.714E-04</w:t>
            </w:r>
          </w:p>
        </w:tc>
        <w:tc>
          <w:tcPr>
            <w:tcW w:w="1049" w:type="dxa"/>
          </w:tcPr>
          <w:p w14:paraId="5859E87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2.000E-03</w:t>
            </w:r>
          </w:p>
        </w:tc>
        <w:tc>
          <w:tcPr>
            <w:tcW w:w="1175" w:type="dxa"/>
          </w:tcPr>
          <w:p w14:paraId="0C38BEF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1.086E-02</w:t>
            </w:r>
          </w:p>
        </w:tc>
        <w:tc>
          <w:tcPr>
            <w:tcW w:w="977" w:type="dxa"/>
          </w:tcPr>
          <w:p w14:paraId="7803662B"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5.654</w:t>
            </w:r>
            <w:r w:rsidRPr="00302003">
              <w:rPr>
                <w:rFonts w:ascii="Times New Roman" w:hAnsi="Times New Roman" w:cs="Times New Roman"/>
                <w:sz w:val="18"/>
                <w:szCs w:val="20"/>
              </w:rPr>
              <w:t>E-04</w:t>
            </w:r>
          </w:p>
        </w:tc>
        <w:tc>
          <w:tcPr>
            <w:tcW w:w="1008" w:type="dxa"/>
          </w:tcPr>
          <w:p w14:paraId="3573684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1.857E-02</w:t>
            </w:r>
          </w:p>
        </w:tc>
      </w:tr>
      <w:tr w:rsidR="008A143C" w:rsidRPr="009808F8" w14:paraId="225DB504" w14:textId="77777777" w:rsidTr="00C87B55">
        <w:trPr>
          <w:trHeight w:val="323"/>
        </w:trPr>
        <w:tc>
          <w:tcPr>
            <w:tcW w:w="910" w:type="dxa"/>
          </w:tcPr>
          <w:p w14:paraId="4DF4AEBE"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8</w:t>
            </w:r>
          </w:p>
        </w:tc>
        <w:tc>
          <w:tcPr>
            <w:tcW w:w="1157" w:type="dxa"/>
          </w:tcPr>
          <w:p w14:paraId="3EE09CF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2.794E-02</w:t>
            </w:r>
          </w:p>
        </w:tc>
        <w:tc>
          <w:tcPr>
            <w:tcW w:w="1089" w:type="dxa"/>
          </w:tcPr>
          <w:p w14:paraId="49F1B54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2.000E-04</w:t>
            </w:r>
          </w:p>
        </w:tc>
        <w:tc>
          <w:tcPr>
            <w:tcW w:w="975" w:type="dxa"/>
          </w:tcPr>
          <w:p w14:paraId="58C50617"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2.087</w:t>
            </w:r>
            <w:r w:rsidRPr="00302003">
              <w:rPr>
                <w:rFonts w:ascii="Times New Roman" w:hAnsi="Times New Roman" w:cs="Times New Roman"/>
                <w:sz w:val="18"/>
                <w:szCs w:val="20"/>
              </w:rPr>
              <w:t>E-04</w:t>
            </w:r>
          </w:p>
        </w:tc>
        <w:tc>
          <w:tcPr>
            <w:tcW w:w="1020" w:type="dxa"/>
          </w:tcPr>
          <w:p w14:paraId="1987864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4.571E-04</w:t>
            </w:r>
          </w:p>
        </w:tc>
        <w:tc>
          <w:tcPr>
            <w:tcW w:w="1049" w:type="dxa"/>
          </w:tcPr>
          <w:p w14:paraId="7F366D0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1.571E-03</w:t>
            </w:r>
          </w:p>
        </w:tc>
        <w:tc>
          <w:tcPr>
            <w:tcW w:w="1175" w:type="dxa"/>
          </w:tcPr>
          <w:p w14:paraId="66010087"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9.429E-03</w:t>
            </w:r>
          </w:p>
        </w:tc>
        <w:tc>
          <w:tcPr>
            <w:tcW w:w="977" w:type="dxa"/>
          </w:tcPr>
          <w:p w14:paraId="4F7E1F5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w:t>
            </w:r>
            <w:r>
              <w:rPr>
                <w:rFonts w:ascii="Times New Roman" w:hAnsi="Times New Roman" w:cs="Times New Roman"/>
                <w:sz w:val="18"/>
                <w:szCs w:val="20"/>
              </w:rPr>
              <w:t>.578</w:t>
            </w:r>
            <w:r w:rsidRPr="00302003">
              <w:rPr>
                <w:rFonts w:ascii="Times New Roman" w:hAnsi="Times New Roman" w:cs="Times New Roman"/>
                <w:sz w:val="18"/>
                <w:szCs w:val="20"/>
              </w:rPr>
              <w:t>E-04</w:t>
            </w:r>
          </w:p>
        </w:tc>
        <w:tc>
          <w:tcPr>
            <w:tcW w:w="1008" w:type="dxa"/>
          </w:tcPr>
          <w:p w14:paraId="348661AB"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1.686E-02</w:t>
            </w:r>
          </w:p>
        </w:tc>
      </w:tr>
      <w:tr w:rsidR="008A143C" w:rsidRPr="009808F8" w14:paraId="35A77A80" w14:textId="77777777" w:rsidTr="00C87B55">
        <w:trPr>
          <w:trHeight w:val="333"/>
        </w:trPr>
        <w:tc>
          <w:tcPr>
            <w:tcW w:w="910" w:type="dxa"/>
          </w:tcPr>
          <w:p w14:paraId="7FF61066"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9</w:t>
            </w:r>
          </w:p>
        </w:tc>
        <w:tc>
          <w:tcPr>
            <w:tcW w:w="1157" w:type="dxa"/>
          </w:tcPr>
          <w:p w14:paraId="1DE010DE"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2.843E-02</w:t>
            </w:r>
          </w:p>
        </w:tc>
        <w:tc>
          <w:tcPr>
            <w:tcW w:w="1089" w:type="dxa"/>
          </w:tcPr>
          <w:p w14:paraId="37F3D93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20E0A7D0"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1020" w:type="dxa"/>
          </w:tcPr>
          <w:p w14:paraId="65929D1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4.857E-04</w:t>
            </w:r>
          </w:p>
        </w:tc>
        <w:tc>
          <w:tcPr>
            <w:tcW w:w="1049" w:type="dxa"/>
          </w:tcPr>
          <w:p w14:paraId="44A09275"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1.857E-03</w:t>
            </w:r>
          </w:p>
        </w:tc>
        <w:tc>
          <w:tcPr>
            <w:tcW w:w="1175" w:type="dxa"/>
          </w:tcPr>
          <w:p w14:paraId="5F1F60F4"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1.000E-02</w:t>
            </w:r>
          </w:p>
        </w:tc>
        <w:tc>
          <w:tcPr>
            <w:tcW w:w="977" w:type="dxa"/>
          </w:tcPr>
          <w:p w14:paraId="51D7514C"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4.610</w:t>
            </w:r>
            <w:r w:rsidRPr="00302003">
              <w:rPr>
                <w:rFonts w:ascii="Times New Roman" w:hAnsi="Times New Roman" w:cs="Times New Roman"/>
                <w:sz w:val="18"/>
                <w:szCs w:val="20"/>
              </w:rPr>
              <w:t>E-04</w:t>
            </w:r>
          </w:p>
        </w:tc>
        <w:tc>
          <w:tcPr>
            <w:tcW w:w="1008" w:type="dxa"/>
          </w:tcPr>
          <w:p w14:paraId="4C56B69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1.771E-02</w:t>
            </w:r>
          </w:p>
        </w:tc>
      </w:tr>
      <w:tr w:rsidR="008A143C" w:rsidRPr="009808F8" w14:paraId="09040BFF" w14:textId="77777777" w:rsidTr="00C87B55">
        <w:trPr>
          <w:trHeight w:val="333"/>
        </w:trPr>
        <w:tc>
          <w:tcPr>
            <w:tcW w:w="910" w:type="dxa"/>
          </w:tcPr>
          <w:p w14:paraId="75134A74"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10</w:t>
            </w:r>
          </w:p>
        </w:tc>
        <w:tc>
          <w:tcPr>
            <w:tcW w:w="1157" w:type="dxa"/>
          </w:tcPr>
          <w:p w14:paraId="001C28B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1.149E-02</w:t>
            </w:r>
          </w:p>
        </w:tc>
        <w:tc>
          <w:tcPr>
            <w:tcW w:w="1089" w:type="dxa"/>
          </w:tcPr>
          <w:p w14:paraId="5352058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1.714E-04</w:t>
            </w:r>
          </w:p>
        </w:tc>
        <w:tc>
          <w:tcPr>
            <w:tcW w:w="975" w:type="dxa"/>
          </w:tcPr>
          <w:p w14:paraId="0CAA4C0F"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1.718</w:t>
            </w:r>
            <w:r w:rsidRPr="00302003">
              <w:rPr>
                <w:rFonts w:ascii="Times New Roman" w:hAnsi="Times New Roman" w:cs="Times New Roman"/>
                <w:sz w:val="18"/>
                <w:szCs w:val="20"/>
              </w:rPr>
              <w:t>E-04</w:t>
            </w:r>
          </w:p>
        </w:tc>
        <w:tc>
          <w:tcPr>
            <w:tcW w:w="1020" w:type="dxa"/>
          </w:tcPr>
          <w:p w14:paraId="7C3498A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4.286E-04</w:t>
            </w:r>
          </w:p>
        </w:tc>
        <w:tc>
          <w:tcPr>
            <w:tcW w:w="1049" w:type="dxa"/>
          </w:tcPr>
          <w:p w14:paraId="08D19AF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1.429E-03</w:t>
            </w:r>
          </w:p>
        </w:tc>
        <w:tc>
          <w:tcPr>
            <w:tcW w:w="1175" w:type="dxa"/>
          </w:tcPr>
          <w:p w14:paraId="6C3283BD"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8.857E-03</w:t>
            </w:r>
          </w:p>
        </w:tc>
        <w:tc>
          <w:tcPr>
            <w:tcW w:w="977" w:type="dxa"/>
          </w:tcPr>
          <w:p w14:paraId="68F4E896"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5</w:t>
            </w:r>
            <w:r w:rsidRPr="00302003">
              <w:rPr>
                <w:rFonts w:ascii="Times New Roman" w:hAnsi="Times New Roman" w:cs="Times New Roman"/>
                <w:sz w:val="18"/>
                <w:szCs w:val="20"/>
              </w:rPr>
              <w:t>.286E-04</w:t>
            </w:r>
          </w:p>
        </w:tc>
        <w:tc>
          <w:tcPr>
            <w:tcW w:w="1008" w:type="dxa"/>
          </w:tcPr>
          <w:p w14:paraId="168BB74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1.429E-02</w:t>
            </w:r>
          </w:p>
        </w:tc>
      </w:tr>
      <w:tr w:rsidR="008A143C" w:rsidRPr="009808F8" w14:paraId="0D2BC4DB" w14:textId="77777777" w:rsidTr="00C87B55">
        <w:trPr>
          <w:trHeight w:val="323"/>
        </w:trPr>
        <w:tc>
          <w:tcPr>
            <w:tcW w:w="910" w:type="dxa"/>
          </w:tcPr>
          <w:p w14:paraId="7B4CF53F"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11</w:t>
            </w:r>
          </w:p>
        </w:tc>
        <w:tc>
          <w:tcPr>
            <w:tcW w:w="1157" w:type="dxa"/>
          </w:tcPr>
          <w:p w14:paraId="52697A4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2.897E-02</w:t>
            </w:r>
          </w:p>
        </w:tc>
        <w:tc>
          <w:tcPr>
            <w:tcW w:w="1089" w:type="dxa"/>
          </w:tcPr>
          <w:p w14:paraId="3383FFEF"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975" w:type="dxa"/>
          </w:tcPr>
          <w:p w14:paraId="69FE320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2.866</w:t>
            </w:r>
            <w:r w:rsidRPr="00302003">
              <w:rPr>
                <w:rFonts w:ascii="Times New Roman" w:hAnsi="Times New Roman" w:cs="Times New Roman"/>
                <w:sz w:val="18"/>
                <w:szCs w:val="20"/>
              </w:rPr>
              <w:t>E-04</w:t>
            </w:r>
          </w:p>
        </w:tc>
        <w:tc>
          <w:tcPr>
            <w:tcW w:w="1020" w:type="dxa"/>
          </w:tcPr>
          <w:p w14:paraId="57D19426"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6.286E-04</w:t>
            </w:r>
          </w:p>
        </w:tc>
        <w:tc>
          <w:tcPr>
            <w:tcW w:w="1049" w:type="dxa"/>
          </w:tcPr>
          <w:p w14:paraId="1E2D67B3"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2.286E-03</w:t>
            </w:r>
          </w:p>
        </w:tc>
        <w:tc>
          <w:tcPr>
            <w:tcW w:w="1175" w:type="dxa"/>
          </w:tcPr>
          <w:p w14:paraId="4EEFF51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1.143E-02</w:t>
            </w:r>
          </w:p>
        </w:tc>
        <w:tc>
          <w:tcPr>
            <w:tcW w:w="977" w:type="dxa"/>
          </w:tcPr>
          <w:p w14:paraId="669AAD53"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6.241</w:t>
            </w:r>
            <w:r w:rsidRPr="00302003">
              <w:rPr>
                <w:rFonts w:ascii="Times New Roman" w:hAnsi="Times New Roman" w:cs="Times New Roman"/>
                <w:sz w:val="18"/>
                <w:szCs w:val="20"/>
              </w:rPr>
              <w:t>E-04</w:t>
            </w:r>
          </w:p>
        </w:tc>
        <w:tc>
          <w:tcPr>
            <w:tcW w:w="1008" w:type="dxa"/>
          </w:tcPr>
          <w:p w14:paraId="56F842E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2.000E-02</w:t>
            </w:r>
          </w:p>
        </w:tc>
      </w:tr>
      <w:tr w:rsidR="008A143C" w:rsidRPr="009808F8" w14:paraId="0B10AD4C" w14:textId="77777777" w:rsidTr="00C87B55">
        <w:trPr>
          <w:trHeight w:val="333"/>
        </w:trPr>
        <w:tc>
          <w:tcPr>
            <w:tcW w:w="910" w:type="dxa"/>
          </w:tcPr>
          <w:p w14:paraId="632BC1B9" w14:textId="77777777" w:rsidR="008A143C" w:rsidRPr="00FE6E97" w:rsidRDefault="008A143C" w:rsidP="00C87B55">
            <w:pPr>
              <w:jc w:val="center"/>
              <w:rPr>
                <w:rFonts w:ascii="Times New Roman" w:hAnsi="Times New Roman" w:cs="Times New Roman"/>
                <w:sz w:val="20"/>
                <w:szCs w:val="20"/>
              </w:rPr>
            </w:pPr>
            <w:r w:rsidRPr="00FE6E97">
              <w:rPr>
                <w:rFonts w:ascii="Times New Roman" w:hAnsi="Times New Roman" w:cs="Times New Roman"/>
                <w:sz w:val="20"/>
                <w:szCs w:val="20"/>
              </w:rPr>
              <w:t>12</w:t>
            </w:r>
          </w:p>
        </w:tc>
        <w:tc>
          <w:tcPr>
            <w:tcW w:w="1157" w:type="dxa"/>
          </w:tcPr>
          <w:p w14:paraId="20B3D0F1"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1.020E-02</w:t>
            </w:r>
          </w:p>
        </w:tc>
        <w:tc>
          <w:tcPr>
            <w:tcW w:w="1089" w:type="dxa"/>
          </w:tcPr>
          <w:p w14:paraId="2D63754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1.143E-04</w:t>
            </w:r>
          </w:p>
        </w:tc>
        <w:tc>
          <w:tcPr>
            <w:tcW w:w="975" w:type="dxa"/>
          </w:tcPr>
          <w:p w14:paraId="5B96384C" w14:textId="77777777" w:rsidR="008A143C" w:rsidRPr="00302003" w:rsidRDefault="008A143C" w:rsidP="00C87B55">
            <w:pPr>
              <w:jc w:val="center"/>
              <w:rPr>
                <w:rFonts w:ascii="Times New Roman" w:hAnsi="Times New Roman" w:cs="Times New Roman"/>
                <w:sz w:val="18"/>
                <w:szCs w:val="20"/>
              </w:rPr>
            </w:pPr>
            <w:r>
              <w:rPr>
                <w:rFonts w:ascii="Times New Roman" w:hAnsi="Times New Roman" w:cs="Times New Roman"/>
                <w:sz w:val="18"/>
                <w:szCs w:val="20"/>
              </w:rPr>
              <w:t>2.148</w:t>
            </w:r>
            <w:r w:rsidRPr="00302003">
              <w:rPr>
                <w:rFonts w:ascii="Times New Roman" w:hAnsi="Times New Roman" w:cs="Times New Roman"/>
                <w:sz w:val="18"/>
                <w:szCs w:val="20"/>
              </w:rPr>
              <w:t>E-04</w:t>
            </w:r>
          </w:p>
        </w:tc>
        <w:tc>
          <w:tcPr>
            <w:tcW w:w="1020" w:type="dxa"/>
          </w:tcPr>
          <w:p w14:paraId="2CFA94D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2.857E-04</w:t>
            </w:r>
          </w:p>
        </w:tc>
        <w:tc>
          <w:tcPr>
            <w:tcW w:w="1049" w:type="dxa"/>
          </w:tcPr>
          <w:p w14:paraId="242D2F7C"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1.000E-03</w:t>
            </w:r>
          </w:p>
        </w:tc>
        <w:tc>
          <w:tcPr>
            <w:tcW w:w="1175" w:type="dxa"/>
          </w:tcPr>
          <w:p w14:paraId="74837C0A"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7.714E-03</w:t>
            </w:r>
          </w:p>
        </w:tc>
        <w:tc>
          <w:tcPr>
            <w:tcW w:w="977" w:type="dxa"/>
          </w:tcPr>
          <w:p w14:paraId="733A7D39"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2.</w:t>
            </w:r>
            <w:r>
              <w:rPr>
                <w:rFonts w:ascii="Times New Roman" w:hAnsi="Times New Roman" w:cs="Times New Roman"/>
                <w:sz w:val="18"/>
                <w:szCs w:val="20"/>
              </w:rPr>
              <w:t>650</w:t>
            </w:r>
            <w:r w:rsidRPr="00302003">
              <w:rPr>
                <w:rFonts w:ascii="Times New Roman" w:hAnsi="Times New Roman" w:cs="Times New Roman"/>
                <w:sz w:val="18"/>
                <w:szCs w:val="20"/>
              </w:rPr>
              <w:t>E-04</w:t>
            </w:r>
          </w:p>
        </w:tc>
        <w:tc>
          <w:tcPr>
            <w:tcW w:w="1008" w:type="dxa"/>
          </w:tcPr>
          <w:p w14:paraId="25E2DBA2" w14:textId="77777777" w:rsidR="008A143C" w:rsidRPr="00302003" w:rsidRDefault="008A143C" w:rsidP="00C87B55">
            <w:pPr>
              <w:jc w:val="center"/>
              <w:rPr>
                <w:rFonts w:ascii="Times New Roman" w:hAnsi="Times New Roman" w:cs="Times New Roman"/>
                <w:sz w:val="18"/>
                <w:szCs w:val="20"/>
              </w:rPr>
            </w:pPr>
            <w:r w:rsidRPr="00302003">
              <w:rPr>
                <w:rFonts w:ascii="Times New Roman" w:hAnsi="Times New Roman" w:cs="Times New Roman"/>
                <w:sz w:val="18"/>
                <w:szCs w:val="20"/>
              </w:rPr>
              <w:t>1.229E-02</w:t>
            </w:r>
          </w:p>
        </w:tc>
      </w:tr>
    </w:tbl>
    <w:p w14:paraId="19D4EF1D" w14:textId="77777777" w:rsidR="009A7FCF" w:rsidRDefault="009A7FCF" w:rsidP="00027C1B">
      <w:pPr>
        <w:pStyle w:val="NormalWeb"/>
        <w:spacing w:before="0" w:beforeAutospacing="0" w:after="120" w:afterAutospacing="0" w:line="276" w:lineRule="auto"/>
        <w:jc w:val="both"/>
        <w:rPr>
          <w:sz w:val="20"/>
          <w:szCs w:val="20"/>
        </w:rPr>
      </w:pPr>
    </w:p>
    <w:p w14:paraId="4A1E1617" w14:textId="77777777" w:rsidR="00DF1B4B" w:rsidRPr="003A27DA" w:rsidRDefault="00DF1B4B" w:rsidP="00DF1B4B">
      <w:pPr>
        <w:spacing w:after="120" w:line="276" w:lineRule="auto"/>
        <w:jc w:val="both"/>
        <w:rPr>
          <w:rFonts w:ascii="Times New Roman" w:eastAsia="Times New Roman" w:hAnsi="Times New Roman" w:cs="Times New Roman"/>
          <w:sz w:val="16"/>
          <w:szCs w:val="20"/>
        </w:rPr>
      </w:pPr>
      <w:r>
        <w:rPr>
          <w:rFonts w:ascii="Times New Roman" w:hAnsi="Times New Roman" w:cs="Times New Roman"/>
          <w:sz w:val="20"/>
          <w:szCs w:val="20"/>
        </w:rPr>
        <w:t>Table 18</w:t>
      </w:r>
      <w:r w:rsidRPr="00E1491D">
        <w:rPr>
          <w:rFonts w:ascii="Times New Roman" w:hAnsi="Times New Roman" w:cs="Times New Roman"/>
          <w:sz w:val="20"/>
          <w:szCs w:val="20"/>
        </w:rPr>
        <w:t xml:space="preserve"> presents the Chronic Daily Intake (CDI) values for dermal exposure to heavy metals across the borehole water samples. Manganese (</w:t>
      </w:r>
      <w:proofErr w:type="spellStart"/>
      <w:r w:rsidRPr="00E1491D">
        <w:rPr>
          <w:rFonts w:ascii="Times New Roman" w:hAnsi="Times New Roman" w:cs="Times New Roman"/>
          <w:sz w:val="20"/>
          <w:szCs w:val="20"/>
        </w:rPr>
        <w:t>Mn</w:t>
      </w:r>
      <w:proofErr w:type="spellEnd"/>
      <w:r w:rsidRPr="00E1491D">
        <w:rPr>
          <w:rFonts w:ascii="Times New Roman" w:hAnsi="Times New Roman" w:cs="Times New Roman"/>
          <w:sz w:val="20"/>
          <w:szCs w:val="20"/>
        </w:rPr>
        <w:t xml:space="preserve">) exhibited the highest CDI values among the metals, particularly in </w:t>
      </w:r>
      <w:r w:rsidRPr="00E1491D">
        <w:rPr>
          <w:rFonts w:ascii="Times New Roman" w:hAnsi="Times New Roman" w:cs="Times New Roman"/>
          <w:bCs/>
          <w:sz w:val="20"/>
          <w:szCs w:val="20"/>
        </w:rPr>
        <w:t>samples 4, 7, 8, 9, and 12</w:t>
      </w:r>
      <w:r w:rsidRPr="00E1491D">
        <w:rPr>
          <w:rFonts w:ascii="Times New Roman" w:hAnsi="Times New Roman" w:cs="Times New Roman"/>
          <w:sz w:val="20"/>
          <w:szCs w:val="20"/>
        </w:rPr>
        <w:t xml:space="preserve">, where it exceeded </w:t>
      </w:r>
      <w:r w:rsidRPr="00E1491D">
        <w:rPr>
          <w:rFonts w:ascii="Times New Roman" w:hAnsi="Times New Roman" w:cs="Times New Roman"/>
          <w:bCs/>
          <w:sz w:val="20"/>
          <w:szCs w:val="20"/>
        </w:rPr>
        <w:t>2.500E-04 mg/kg/day</w:t>
      </w:r>
      <w:r w:rsidRPr="00E1491D">
        <w:rPr>
          <w:rFonts w:ascii="Times New Roman" w:hAnsi="Times New Roman" w:cs="Times New Roman"/>
          <w:sz w:val="20"/>
          <w:szCs w:val="20"/>
        </w:rPr>
        <w:t xml:space="preserve">. Similarly, iron (Fe) demonstrated consistently high CDI values across all samples, with the highest recorded in </w:t>
      </w:r>
      <w:r w:rsidRPr="00E1491D">
        <w:rPr>
          <w:rFonts w:ascii="Times New Roman" w:hAnsi="Times New Roman" w:cs="Times New Roman"/>
          <w:bCs/>
          <w:sz w:val="20"/>
          <w:szCs w:val="20"/>
        </w:rPr>
        <w:t>samples 4 and 12 (1.800E-04 mg/kg/day)</w:t>
      </w:r>
      <w:r w:rsidRPr="00E1491D">
        <w:rPr>
          <w:rFonts w:ascii="Times New Roman" w:hAnsi="Times New Roman" w:cs="Times New Roman"/>
          <w:sz w:val="20"/>
          <w:szCs w:val="20"/>
        </w:rPr>
        <w:t xml:space="preserve">. </w:t>
      </w:r>
      <w:r w:rsidRPr="00E1491D">
        <w:rPr>
          <w:rFonts w:ascii="Times New Roman" w:eastAsia="Times New Roman" w:hAnsi="Times New Roman" w:cs="Times New Roman"/>
          <w:sz w:val="20"/>
          <w:szCs w:val="20"/>
        </w:rPr>
        <w:t>Lead (</w:t>
      </w:r>
      <w:proofErr w:type="spellStart"/>
      <w:r w:rsidRPr="00E1491D">
        <w:rPr>
          <w:rFonts w:ascii="Times New Roman" w:eastAsia="Times New Roman" w:hAnsi="Times New Roman" w:cs="Times New Roman"/>
          <w:sz w:val="20"/>
          <w:szCs w:val="20"/>
        </w:rPr>
        <w:t>Pb</w:t>
      </w:r>
      <w:proofErr w:type="spellEnd"/>
      <w:r w:rsidRPr="00E1491D">
        <w:rPr>
          <w:rFonts w:ascii="Times New Roman" w:eastAsia="Times New Roman" w:hAnsi="Times New Roman" w:cs="Times New Roman"/>
          <w:sz w:val="20"/>
          <w:szCs w:val="20"/>
        </w:rPr>
        <w:t xml:space="preserve">), cadmium (Cd), and nickel (Ni) exhibited lower CDI values compared to </w:t>
      </w:r>
      <w:proofErr w:type="spellStart"/>
      <w:r w:rsidRPr="00E1491D">
        <w:rPr>
          <w:rFonts w:ascii="Times New Roman" w:eastAsia="Times New Roman" w:hAnsi="Times New Roman" w:cs="Times New Roman"/>
          <w:sz w:val="20"/>
          <w:szCs w:val="20"/>
        </w:rPr>
        <w:t>Mn</w:t>
      </w:r>
      <w:proofErr w:type="spellEnd"/>
      <w:r w:rsidRPr="00E1491D">
        <w:rPr>
          <w:rFonts w:ascii="Times New Roman" w:eastAsia="Times New Roman" w:hAnsi="Times New Roman" w:cs="Times New Roman"/>
          <w:sz w:val="20"/>
          <w:szCs w:val="20"/>
        </w:rPr>
        <w:t xml:space="preserve"> and Fe. However, </w:t>
      </w:r>
      <w:proofErr w:type="spellStart"/>
      <w:r w:rsidRPr="00E1491D">
        <w:rPr>
          <w:rFonts w:ascii="Times New Roman" w:eastAsia="Times New Roman" w:hAnsi="Times New Roman" w:cs="Times New Roman"/>
          <w:sz w:val="20"/>
          <w:szCs w:val="20"/>
        </w:rPr>
        <w:t>Pb</w:t>
      </w:r>
      <w:proofErr w:type="spellEnd"/>
      <w:r w:rsidRPr="00E1491D">
        <w:rPr>
          <w:rFonts w:ascii="Times New Roman" w:eastAsia="Times New Roman" w:hAnsi="Times New Roman" w:cs="Times New Roman"/>
          <w:sz w:val="20"/>
          <w:szCs w:val="20"/>
        </w:rPr>
        <w:t xml:space="preserve"> concentrations reached their peak in </w:t>
      </w:r>
      <w:r w:rsidRPr="00E1491D">
        <w:rPr>
          <w:rFonts w:ascii="Times New Roman" w:eastAsia="Times New Roman" w:hAnsi="Times New Roman" w:cs="Times New Roman"/>
          <w:bCs/>
          <w:sz w:val="20"/>
          <w:szCs w:val="20"/>
        </w:rPr>
        <w:t>sample 9 (6.654E-06 mg/kg/day)</w:t>
      </w:r>
      <w:r w:rsidRPr="00E1491D">
        <w:rPr>
          <w:rFonts w:ascii="Times New Roman" w:eastAsia="Times New Roman" w:hAnsi="Times New Roman" w:cs="Times New Roman"/>
          <w:sz w:val="20"/>
          <w:szCs w:val="20"/>
        </w:rPr>
        <w:t xml:space="preserve">, while Cd and Ni showed relatively low but notable values across all samples. Chromium (Cr) concentrations fluctuated across the samples, with </w:t>
      </w:r>
      <w:r w:rsidRPr="00E1491D">
        <w:rPr>
          <w:rFonts w:ascii="Times New Roman" w:eastAsia="Times New Roman" w:hAnsi="Times New Roman" w:cs="Times New Roman"/>
          <w:bCs/>
          <w:sz w:val="20"/>
          <w:szCs w:val="20"/>
        </w:rPr>
        <w:t>sample</w:t>
      </w:r>
      <w:r w:rsidRPr="00E1491D">
        <w:rPr>
          <w:rFonts w:ascii="Times New Roman" w:eastAsia="Times New Roman" w:hAnsi="Times New Roman" w:cs="Times New Roman"/>
          <w:b/>
          <w:bCs/>
          <w:sz w:val="20"/>
          <w:szCs w:val="20"/>
        </w:rPr>
        <w:t xml:space="preserve"> </w:t>
      </w:r>
      <w:r w:rsidRPr="00E1491D">
        <w:rPr>
          <w:rFonts w:ascii="Times New Roman" w:eastAsia="Times New Roman" w:hAnsi="Times New Roman" w:cs="Times New Roman"/>
          <w:bCs/>
          <w:sz w:val="20"/>
          <w:szCs w:val="20"/>
        </w:rPr>
        <w:t>6 (4.787E-06 mg/kg/day)</w:t>
      </w:r>
      <w:r w:rsidRPr="00E1491D">
        <w:rPr>
          <w:rFonts w:ascii="Times New Roman" w:eastAsia="Times New Roman" w:hAnsi="Times New Roman" w:cs="Times New Roman"/>
          <w:sz w:val="20"/>
          <w:szCs w:val="20"/>
        </w:rPr>
        <w:t xml:space="preserve"> having the highest recorded value</w:t>
      </w:r>
      <w:r>
        <w:rPr>
          <w:rFonts w:ascii="Times New Roman" w:eastAsia="Times New Roman" w:hAnsi="Times New Roman" w:cs="Times New Roman"/>
          <w:sz w:val="20"/>
          <w:szCs w:val="20"/>
        </w:rPr>
        <w:t xml:space="preserve">. </w:t>
      </w:r>
      <w:r w:rsidRPr="008A358A">
        <w:rPr>
          <w:rFonts w:ascii="Times New Roman" w:eastAsia="Times New Roman" w:hAnsi="Times New Roman" w:cs="Times New Roman"/>
          <w:sz w:val="20"/>
          <w:szCs w:val="24"/>
        </w:rPr>
        <w:t xml:space="preserve">Copper (Cu) and zinc (Zn) are essential micronutrients, but their dermal exposure should remain within safe limits. Cu values ranged from </w:t>
      </w:r>
      <w:r w:rsidRPr="008A358A">
        <w:rPr>
          <w:rFonts w:ascii="Times New Roman" w:eastAsia="Times New Roman" w:hAnsi="Times New Roman" w:cs="Times New Roman"/>
          <w:bCs/>
          <w:sz w:val="20"/>
          <w:szCs w:val="24"/>
        </w:rPr>
        <w:t>9.000E-06 to 2.057E-05 mg/kg/day</w:t>
      </w:r>
      <w:r w:rsidRPr="008A358A">
        <w:rPr>
          <w:rFonts w:ascii="Times New Roman" w:eastAsia="Times New Roman" w:hAnsi="Times New Roman" w:cs="Times New Roman"/>
          <w:sz w:val="20"/>
          <w:szCs w:val="24"/>
        </w:rPr>
        <w:t xml:space="preserve">, while Zn exhibited slightly higher values, peaking at </w:t>
      </w:r>
      <w:r w:rsidRPr="008A358A">
        <w:rPr>
          <w:rFonts w:ascii="Times New Roman" w:eastAsia="Times New Roman" w:hAnsi="Times New Roman" w:cs="Times New Roman"/>
          <w:bCs/>
          <w:sz w:val="20"/>
          <w:szCs w:val="24"/>
        </w:rPr>
        <w:t>1.029E-04 mg/kg/day (samples 4 and 12)</w:t>
      </w:r>
      <w:r>
        <w:rPr>
          <w:rFonts w:ascii="Times New Roman" w:eastAsia="Times New Roman" w:hAnsi="Times New Roman" w:cs="Times New Roman"/>
          <w:bCs/>
          <w:sz w:val="20"/>
          <w:szCs w:val="24"/>
        </w:rPr>
        <w:t xml:space="preserve">. </w:t>
      </w:r>
    </w:p>
    <w:p w14:paraId="7F424EFD" w14:textId="77777777" w:rsidR="00DF1B4B" w:rsidRDefault="00DF1B4B" w:rsidP="00CB284C">
      <w:pPr>
        <w:spacing w:after="0" w:line="360" w:lineRule="auto"/>
        <w:jc w:val="both"/>
        <w:rPr>
          <w:rFonts w:ascii="Times New Roman" w:hAnsi="Times New Roman" w:cs="Times New Roman"/>
          <w:b/>
          <w:bCs/>
          <w:sz w:val="20"/>
          <w:szCs w:val="24"/>
        </w:rPr>
      </w:pPr>
    </w:p>
    <w:p w14:paraId="2DDD298F" w14:textId="77777777" w:rsidR="00DF1B4B" w:rsidRDefault="00DF1B4B" w:rsidP="00CB284C">
      <w:pPr>
        <w:spacing w:after="0" w:line="360" w:lineRule="auto"/>
        <w:jc w:val="both"/>
        <w:rPr>
          <w:rFonts w:ascii="Times New Roman" w:hAnsi="Times New Roman" w:cs="Times New Roman"/>
          <w:b/>
          <w:bCs/>
          <w:sz w:val="20"/>
          <w:szCs w:val="24"/>
        </w:rPr>
      </w:pPr>
    </w:p>
    <w:p w14:paraId="72290964" w14:textId="77777777" w:rsidR="00CB284C" w:rsidRPr="009F0EE9" w:rsidRDefault="009F0EE9" w:rsidP="00CB284C">
      <w:pPr>
        <w:spacing w:after="0" w:line="360" w:lineRule="auto"/>
        <w:jc w:val="both"/>
        <w:rPr>
          <w:rFonts w:ascii="Times New Roman" w:hAnsi="Times New Roman" w:cs="Times New Roman"/>
          <w:b/>
          <w:bCs/>
          <w:sz w:val="20"/>
          <w:szCs w:val="24"/>
        </w:rPr>
      </w:pPr>
      <w:r w:rsidRPr="009F0EE9">
        <w:rPr>
          <w:rFonts w:ascii="Times New Roman" w:hAnsi="Times New Roman" w:cs="Times New Roman"/>
          <w:b/>
          <w:bCs/>
          <w:sz w:val="20"/>
          <w:szCs w:val="24"/>
        </w:rPr>
        <w:lastRenderedPageBreak/>
        <w:t>Table 18</w:t>
      </w:r>
      <w:r w:rsidR="00D764A0">
        <w:rPr>
          <w:rFonts w:ascii="Times New Roman" w:hAnsi="Times New Roman" w:cs="Times New Roman"/>
          <w:b/>
          <w:bCs/>
          <w:sz w:val="20"/>
          <w:szCs w:val="24"/>
        </w:rPr>
        <w:t>.</w:t>
      </w:r>
      <w:r w:rsidR="00CB284C" w:rsidRPr="009F0EE9">
        <w:rPr>
          <w:rFonts w:ascii="Times New Roman" w:hAnsi="Times New Roman" w:cs="Times New Roman"/>
          <w:b/>
          <w:bCs/>
          <w:sz w:val="20"/>
          <w:szCs w:val="24"/>
        </w:rPr>
        <w:t xml:space="preserve"> </w:t>
      </w:r>
      <w:r w:rsidR="00D764A0" w:rsidRPr="009A7FCF">
        <w:rPr>
          <w:rFonts w:ascii="Times New Roman" w:hAnsi="Times New Roman" w:cs="Times New Roman"/>
          <w:b/>
          <w:sz w:val="20"/>
          <w:szCs w:val="20"/>
        </w:rPr>
        <w:t>Chronic Daily Intake (CDI)</w:t>
      </w:r>
      <w:r w:rsidR="00D764A0" w:rsidRPr="00027C1B">
        <w:rPr>
          <w:sz w:val="20"/>
          <w:szCs w:val="20"/>
        </w:rPr>
        <w:t xml:space="preserve"> </w:t>
      </w:r>
      <w:r w:rsidR="00CB284C" w:rsidRPr="009F0EE9">
        <w:rPr>
          <w:rFonts w:ascii="Times New Roman" w:hAnsi="Times New Roman" w:cs="Times New Roman"/>
          <w:b/>
          <w:bCs/>
          <w:sz w:val="20"/>
          <w:szCs w:val="24"/>
        </w:rPr>
        <w:t>for Dermal Exposure (mg/kg/day)</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069"/>
        <w:gridCol w:w="1080"/>
        <w:gridCol w:w="1072"/>
        <w:gridCol w:w="998"/>
        <w:gridCol w:w="990"/>
        <w:gridCol w:w="1094"/>
        <w:gridCol w:w="1246"/>
        <w:gridCol w:w="995"/>
      </w:tblGrid>
      <w:tr w:rsidR="00CB284C" w:rsidRPr="009808F8" w14:paraId="6843A93C" w14:textId="77777777" w:rsidTr="00C97947">
        <w:trPr>
          <w:trHeight w:val="326"/>
        </w:trPr>
        <w:tc>
          <w:tcPr>
            <w:tcW w:w="816" w:type="dxa"/>
            <w:tcBorders>
              <w:top w:val="single" w:sz="4" w:space="0" w:color="auto"/>
              <w:bottom w:val="single" w:sz="4" w:space="0" w:color="auto"/>
            </w:tcBorders>
          </w:tcPr>
          <w:p w14:paraId="2B5A3AD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Sample</w:t>
            </w:r>
          </w:p>
        </w:tc>
        <w:tc>
          <w:tcPr>
            <w:tcW w:w="1069" w:type="dxa"/>
            <w:tcBorders>
              <w:top w:val="single" w:sz="4" w:space="0" w:color="auto"/>
              <w:bottom w:val="single" w:sz="4" w:space="0" w:color="auto"/>
            </w:tcBorders>
          </w:tcPr>
          <w:p w14:paraId="3F90FBB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Mn</w:t>
            </w:r>
          </w:p>
        </w:tc>
        <w:tc>
          <w:tcPr>
            <w:tcW w:w="1080" w:type="dxa"/>
            <w:tcBorders>
              <w:top w:val="single" w:sz="4" w:space="0" w:color="auto"/>
              <w:bottom w:val="single" w:sz="4" w:space="0" w:color="auto"/>
            </w:tcBorders>
          </w:tcPr>
          <w:p w14:paraId="381658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Cd</w:t>
            </w:r>
          </w:p>
        </w:tc>
        <w:tc>
          <w:tcPr>
            <w:tcW w:w="1072" w:type="dxa"/>
            <w:tcBorders>
              <w:top w:val="single" w:sz="4" w:space="0" w:color="auto"/>
              <w:bottom w:val="single" w:sz="4" w:space="0" w:color="auto"/>
            </w:tcBorders>
          </w:tcPr>
          <w:p w14:paraId="4C3FB4FE"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Pb</w:t>
            </w:r>
          </w:p>
        </w:tc>
        <w:tc>
          <w:tcPr>
            <w:tcW w:w="998" w:type="dxa"/>
            <w:tcBorders>
              <w:top w:val="single" w:sz="4" w:space="0" w:color="auto"/>
              <w:bottom w:val="single" w:sz="4" w:space="0" w:color="auto"/>
            </w:tcBorders>
          </w:tcPr>
          <w:p w14:paraId="430F47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Ni</w:t>
            </w:r>
          </w:p>
        </w:tc>
        <w:tc>
          <w:tcPr>
            <w:tcW w:w="990" w:type="dxa"/>
            <w:tcBorders>
              <w:top w:val="single" w:sz="4" w:space="0" w:color="auto"/>
              <w:bottom w:val="single" w:sz="4" w:space="0" w:color="auto"/>
            </w:tcBorders>
          </w:tcPr>
          <w:p w14:paraId="3C2EEBF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Cu</w:t>
            </w:r>
          </w:p>
        </w:tc>
        <w:tc>
          <w:tcPr>
            <w:tcW w:w="1094" w:type="dxa"/>
            <w:tcBorders>
              <w:top w:val="single" w:sz="4" w:space="0" w:color="auto"/>
              <w:bottom w:val="single" w:sz="4" w:space="0" w:color="auto"/>
            </w:tcBorders>
          </w:tcPr>
          <w:p w14:paraId="6F1FA69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Cr</w:t>
            </w:r>
          </w:p>
        </w:tc>
        <w:tc>
          <w:tcPr>
            <w:tcW w:w="1246" w:type="dxa"/>
            <w:tcBorders>
              <w:top w:val="single" w:sz="4" w:space="0" w:color="auto"/>
              <w:bottom w:val="single" w:sz="4" w:space="0" w:color="auto"/>
            </w:tcBorders>
          </w:tcPr>
          <w:p w14:paraId="2C46E7B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Zn</w:t>
            </w:r>
          </w:p>
        </w:tc>
        <w:tc>
          <w:tcPr>
            <w:tcW w:w="995" w:type="dxa"/>
            <w:tcBorders>
              <w:top w:val="single" w:sz="4" w:space="0" w:color="auto"/>
              <w:bottom w:val="single" w:sz="4" w:space="0" w:color="auto"/>
            </w:tcBorders>
          </w:tcPr>
          <w:p w14:paraId="373430D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Fe</w:t>
            </w:r>
          </w:p>
        </w:tc>
      </w:tr>
      <w:tr w:rsidR="00CB284C" w:rsidRPr="009808F8" w14:paraId="670D59AA" w14:textId="77777777" w:rsidTr="00C97947">
        <w:trPr>
          <w:trHeight w:val="335"/>
        </w:trPr>
        <w:tc>
          <w:tcPr>
            <w:tcW w:w="816" w:type="dxa"/>
            <w:tcBorders>
              <w:top w:val="single" w:sz="4" w:space="0" w:color="auto"/>
              <w:bottom w:val="nil"/>
            </w:tcBorders>
          </w:tcPr>
          <w:p w14:paraId="06C054EB"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w:t>
            </w:r>
          </w:p>
        </w:tc>
        <w:tc>
          <w:tcPr>
            <w:tcW w:w="1069" w:type="dxa"/>
            <w:tcBorders>
              <w:top w:val="single" w:sz="4" w:space="0" w:color="auto"/>
              <w:bottom w:val="nil"/>
            </w:tcBorders>
          </w:tcPr>
          <w:p w14:paraId="1B8660F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7.483E-05</w:t>
            </w:r>
          </w:p>
        </w:tc>
        <w:tc>
          <w:tcPr>
            <w:tcW w:w="1080" w:type="dxa"/>
            <w:tcBorders>
              <w:top w:val="single" w:sz="4" w:space="0" w:color="auto"/>
              <w:bottom w:val="nil"/>
            </w:tcBorders>
          </w:tcPr>
          <w:p w14:paraId="0D43846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1.286E-06</w:t>
            </w:r>
          </w:p>
        </w:tc>
        <w:tc>
          <w:tcPr>
            <w:tcW w:w="1072" w:type="dxa"/>
            <w:tcBorders>
              <w:top w:val="single" w:sz="4" w:space="0" w:color="auto"/>
              <w:bottom w:val="nil"/>
            </w:tcBorders>
          </w:tcPr>
          <w:p w14:paraId="723C447A"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3.118</w:t>
            </w:r>
            <w:r w:rsidRPr="001861E8">
              <w:rPr>
                <w:rFonts w:ascii="Times New Roman" w:hAnsi="Times New Roman" w:cs="Times New Roman"/>
                <w:sz w:val="18"/>
                <w:szCs w:val="20"/>
              </w:rPr>
              <w:t>E-06</w:t>
            </w:r>
          </w:p>
        </w:tc>
        <w:tc>
          <w:tcPr>
            <w:tcW w:w="998" w:type="dxa"/>
            <w:tcBorders>
              <w:top w:val="single" w:sz="4" w:space="0" w:color="auto"/>
              <w:bottom w:val="nil"/>
            </w:tcBorders>
          </w:tcPr>
          <w:p w14:paraId="0D1BF85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3.086E-06</w:t>
            </w:r>
          </w:p>
        </w:tc>
        <w:tc>
          <w:tcPr>
            <w:tcW w:w="990" w:type="dxa"/>
            <w:tcBorders>
              <w:top w:val="single" w:sz="4" w:space="0" w:color="auto"/>
              <w:bottom w:val="nil"/>
            </w:tcBorders>
          </w:tcPr>
          <w:p w14:paraId="051279A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1.157E-05</w:t>
            </w:r>
          </w:p>
        </w:tc>
        <w:tc>
          <w:tcPr>
            <w:tcW w:w="1094" w:type="dxa"/>
            <w:tcBorders>
              <w:top w:val="single" w:sz="4" w:space="0" w:color="auto"/>
              <w:bottom w:val="nil"/>
            </w:tcBorders>
          </w:tcPr>
          <w:p w14:paraId="30D2761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w:t>
            </w:r>
            <w:r w:rsidRPr="001861E8">
              <w:rPr>
                <w:rFonts w:ascii="Times New Roman" w:hAnsi="Times New Roman" w:cs="Times New Roman"/>
                <w:sz w:val="18"/>
                <w:szCs w:val="20"/>
              </w:rPr>
              <w:t>.286E-06</w:t>
            </w:r>
          </w:p>
        </w:tc>
        <w:tc>
          <w:tcPr>
            <w:tcW w:w="1246" w:type="dxa"/>
            <w:tcBorders>
              <w:top w:val="single" w:sz="4" w:space="0" w:color="auto"/>
              <w:bottom w:val="nil"/>
            </w:tcBorders>
          </w:tcPr>
          <w:p w14:paraId="1508B8C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8.229E-05</w:t>
            </w:r>
          </w:p>
        </w:tc>
        <w:tc>
          <w:tcPr>
            <w:tcW w:w="995" w:type="dxa"/>
            <w:tcBorders>
              <w:top w:val="single" w:sz="4" w:space="0" w:color="auto"/>
              <w:bottom w:val="nil"/>
            </w:tcBorders>
          </w:tcPr>
          <w:p w14:paraId="0AA495A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1.311E-04</w:t>
            </w:r>
          </w:p>
        </w:tc>
      </w:tr>
      <w:tr w:rsidR="00CB284C" w:rsidRPr="009808F8" w14:paraId="3EB58166" w14:textId="77777777" w:rsidTr="00C97947">
        <w:trPr>
          <w:trHeight w:val="326"/>
        </w:trPr>
        <w:tc>
          <w:tcPr>
            <w:tcW w:w="816" w:type="dxa"/>
            <w:tcBorders>
              <w:top w:val="nil"/>
            </w:tcBorders>
          </w:tcPr>
          <w:p w14:paraId="0635CB98"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2</w:t>
            </w:r>
          </w:p>
        </w:tc>
        <w:tc>
          <w:tcPr>
            <w:tcW w:w="1069" w:type="dxa"/>
            <w:tcBorders>
              <w:top w:val="nil"/>
            </w:tcBorders>
          </w:tcPr>
          <w:p w14:paraId="58D02AD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1.211E-04</w:t>
            </w:r>
          </w:p>
        </w:tc>
        <w:tc>
          <w:tcPr>
            <w:tcW w:w="1080" w:type="dxa"/>
            <w:tcBorders>
              <w:top w:val="nil"/>
            </w:tcBorders>
          </w:tcPr>
          <w:p w14:paraId="45090CF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2.057E-06</w:t>
            </w:r>
          </w:p>
        </w:tc>
        <w:tc>
          <w:tcPr>
            <w:tcW w:w="1072" w:type="dxa"/>
            <w:tcBorders>
              <w:top w:val="nil"/>
            </w:tcBorders>
          </w:tcPr>
          <w:p w14:paraId="07425D4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4.611</w:t>
            </w:r>
            <w:r w:rsidRPr="001861E8">
              <w:rPr>
                <w:rFonts w:ascii="Times New Roman" w:hAnsi="Times New Roman" w:cs="Times New Roman"/>
                <w:sz w:val="18"/>
                <w:szCs w:val="20"/>
              </w:rPr>
              <w:t>E-06</w:t>
            </w:r>
          </w:p>
        </w:tc>
        <w:tc>
          <w:tcPr>
            <w:tcW w:w="998" w:type="dxa"/>
            <w:tcBorders>
              <w:top w:val="nil"/>
            </w:tcBorders>
          </w:tcPr>
          <w:p w14:paraId="180163E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4.629E-06</w:t>
            </w:r>
          </w:p>
        </w:tc>
        <w:tc>
          <w:tcPr>
            <w:tcW w:w="990" w:type="dxa"/>
            <w:tcBorders>
              <w:top w:val="nil"/>
            </w:tcBorders>
          </w:tcPr>
          <w:p w14:paraId="086373F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1.543E-05</w:t>
            </w:r>
          </w:p>
        </w:tc>
        <w:tc>
          <w:tcPr>
            <w:tcW w:w="1094" w:type="dxa"/>
            <w:tcBorders>
              <w:top w:val="nil"/>
            </w:tcBorders>
          </w:tcPr>
          <w:p w14:paraId="6A645751"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2.044</w:t>
            </w:r>
            <w:r w:rsidRPr="001861E8">
              <w:rPr>
                <w:rFonts w:ascii="Times New Roman" w:hAnsi="Times New Roman" w:cs="Times New Roman"/>
                <w:sz w:val="18"/>
                <w:szCs w:val="20"/>
              </w:rPr>
              <w:t>E-06</w:t>
            </w:r>
          </w:p>
        </w:tc>
        <w:tc>
          <w:tcPr>
            <w:tcW w:w="1246" w:type="dxa"/>
            <w:tcBorders>
              <w:top w:val="nil"/>
            </w:tcBorders>
          </w:tcPr>
          <w:p w14:paraId="2676AC0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7.200E-05</w:t>
            </w:r>
          </w:p>
        </w:tc>
        <w:tc>
          <w:tcPr>
            <w:tcW w:w="995" w:type="dxa"/>
            <w:tcBorders>
              <w:top w:val="nil"/>
            </w:tcBorders>
          </w:tcPr>
          <w:p w14:paraId="31B3183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1.157E-04</w:t>
            </w:r>
          </w:p>
        </w:tc>
      </w:tr>
      <w:tr w:rsidR="00CB284C" w:rsidRPr="009808F8" w14:paraId="41D231BA" w14:textId="77777777" w:rsidTr="00C97947">
        <w:trPr>
          <w:trHeight w:val="326"/>
        </w:trPr>
        <w:tc>
          <w:tcPr>
            <w:tcW w:w="816" w:type="dxa"/>
          </w:tcPr>
          <w:p w14:paraId="54320A75"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3</w:t>
            </w:r>
          </w:p>
        </w:tc>
        <w:tc>
          <w:tcPr>
            <w:tcW w:w="1069" w:type="dxa"/>
          </w:tcPr>
          <w:p w14:paraId="1EC813A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1.034E-04</w:t>
            </w:r>
          </w:p>
        </w:tc>
        <w:tc>
          <w:tcPr>
            <w:tcW w:w="1080" w:type="dxa"/>
          </w:tcPr>
          <w:p w14:paraId="7CA5DB4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01D94FAB"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3.809</w:t>
            </w:r>
            <w:r w:rsidRPr="001861E8">
              <w:rPr>
                <w:rFonts w:ascii="Times New Roman" w:hAnsi="Times New Roman" w:cs="Times New Roman"/>
                <w:sz w:val="18"/>
                <w:szCs w:val="20"/>
              </w:rPr>
              <w:t>E-06</w:t>
            </w:r>
          </w:p>
        </w:tc>
        <w:tc>
          <w:tcPr>
            <w:tcW w:w="998" w:type="dxa"/>
          </w:tcPr>
          <w:p w14:paraId="08D1FA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3.857E-06</w:t>
            </w:r>
          </w:p>
        </w:tc>
        <w:tc>
          <w:tcPr>
            <w:tcW w:w="990" w:type="dxa"/>
          </w:tcPr>
          <w:p w14:paraId="7A8DC1B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1.286E-05</w:t>
            </w:r>
          </w:p>
        </w:tc>
        <w:tc>
          <w:tcPr>
            <w:tcW w:w="1094" w:type="dxa"/>
          </w:tcPr>
          <w:p w14:paraId="2B4C6C46"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w:t>
            </w:r>
            <w:r w:rsidRPr="001861E8">
              <w:rPr>
                <w:rFonts w:ascii="Times New Roman" w:hAnsi="Times New Roman" w:cs="Times New Roman"/>
                <w:sz w:val="18"/>
                <w:szCs w:val="20"/>
              </w:rPr>
              <w:t>.54</w:t>
            </w:r>
            <w:r>
              <w:rPr>
                <w:rFonts w:ascii="Times New Roman" w:hAnsi="Times New Roman" w:cs="Times New Roman"/>
                <w:sz w:val="18"/>
                <w:szCs w:val="20"/>
              </w:rPr>
              <w:t>8</w:t>
            </w:r>
            <w:r w:rsidRPr="001861E8">
              <w:rPr>
                <w:rFonts w:ascii="Times New Roman" w:hAnsi="Times New Roman" w:cs="Times New Roman"/>
                <w:sz w:val="18"/>
                <w:szCs w:val="20"/>
              </w:rPr>
              <w:t>E-06</w:t>
            </w:r>
          </w:p>
        </w:tc>
        <w:tc>
          <w:tcPr>
            <w:tcW w:w="1246" w:type="dxa"/>
          </w:tcPr>
          <w:p w14:paraId="2DE280F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7.971E-05</w:t>
            </w:r>
          </w:p>
        </w:tc>
        <w:tc>
          <w:tcPr>
            <w:tcW w:w="995" w:type="dxa"/>
          </w:tcPr>
          <w:p w14:paraId="657B2F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1.286E-04</w:t>
            </w:r>
          </w:p>
        </w:tc>
      </w:tr>
      <w:tr w:rsidR="00CB284C" w:rsidRPr="009808F8" w14:paraId="32BA1589" w14:textId="77777777" w:rsidTr="00C97947">
        <w:trPr>
          <w:trHeight w:val="335"/>
        </w:trPr>
        <w:tc>
          <w:tcPr>
            <w:tcW w:w="816" w:type="dxa"/>
          </w:tcPr>
          <w:p w14:paraId="37CA9279"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4</w:t>
            </w:r>
          </w:p>
        </w:tc>
        <w:tc>
          <w:tcPr>
            <w:tcW w:w="1069" w:type="dxa"/>
          </w:tcPr>
          <w:p w14:paraId="716206F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2.607E-04</w:t>
            </w:r>
          </w:p>
        </w:tc>
        <w:tc>
          <w:tcPr>
            <w:tcW w:w="1080" w:type="dxa"/>
          </w:tcPr>
          <w:p w14:paraId="58B332B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1072" w:type="dxa"/>
          </w:tcPr>
          <w:p w14:paraId="6DAD5472"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5.142</w:t>
            </w:r>
            <w:r w:rsidRPr="001861E8">
              <w:rPr>
                <w:rFonts w:ascii="Times New Roman" w:hAnsi="Times New Roman" w:cs="Times New Roman"/>
                <w:sz w:val="18"/>
                <w:szCs w:val="20"/>
              </w:rPr>
              <w:t>E-06</w:t>
            </w:r>
          </w:p>
        </w:tc>
        <w:tc>
          <w:tcPr>
            <w:tcW w:w="998" w:type="dxa"/>
          </w:tcPr>
          <w:p w14:paraId="2D8D7B9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5.657E-06</w:t>
            </w:r>
          </w:p>
        </w:tc>
        <w:tc>
          <w:tcPr>
            <w:tcW w:w="990" w:type="dxa"/>
          </w:tcPr>
          <w:p w14:paraId="27CA6815"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2.057E-05</w:t>
            </w:r>
          </w:p>
        </w:tc>
        <w:tc>
          <w:tcPr>
            <w:tcW w:w="1094" w:type="dxa"/>
          </w:tcPr>
          <w:p w14:paraId="1B07B18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2.45</w:t>
            </w:r>
            <w:r w:rsidRPr="001861E8">
              <w:rPr>
                <w:rFonts w:ascii="Times New Roman" w:hAnsi="Times New Roman" w:cs="Times New Roman"/>
                <w:sz w:val="18"/>
                <w:szCs w:val="20"/>
              </w:rPr>
              <w:t>1E-06</w:t>
            </w:r>
          </w:p>
        </w:tc>
        <w:tc>
          <w:tcPr>
            <w:tcW w:w="1246" w:type="dxa"/>
          </w:tcPr>
          <w:p w14:paraId="1131DE29"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1.029E-04</w:t>
            </w:r>
          </w:p>
        </w:tc>
        <w:tc>
          <w:tcPr>
            <w:tcW w:w="995" w:type="dxa"/>
          </w:tcPr>
          <w:p w14:paraId="412490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1.800E-04</w:t>
            </w:r>
          </w:p>
        </w:tc>
      </w:tr>
      <w:tr w:rsidR="00CB284C" w:rsidRPr="009808F8" w14:paraId="7CEDEA85" w14:textId="77777777" w:rsidTr="00C97947">
        <w:trPr>
          <w:trHeight w:val="326"/>
        </w:trPr>
        <w:tc>
          <w:tcPr>
            <w:tcW w:w="816" w:type="dxa"/>
          </w:tcPr>
          <w:p w14:paraId="27D8F08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5</w:t>
            </w:r>
          </w:p>
        </w:tc>
        <w:tc>
          <w:tcPr>
            <w:tcW w:w="1069" w:type="dxa"/>
          </w:tcPr>
          <w:p w14:paraId="48912B8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9.180E-05</w:t>
            </w:r>
          </w:p>
        </w:tc>
        <w:tc>
          <w:tcPr>
            <w:tcW w:w="1080" w:type="dxa"/>
          </w:tcPr>
          <w:p w14:paraId="043F15B6"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1.029E-06</w:t>
            </w:r>
          </w:p>
        </w:tc>
        <w:tc>
          <w:tcPr>
            <w:tcW w:w="1072" w:type="dxa"/>
          </w:tcPr>
          <w:p w14:paraId="0330A7C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2.565</w:t>
            </w:r>
            <w:r w:rsidRPr="001861E8">
              <w:rPr>
                <w:rFonts w:ascii="Times New Roman" w:hAnsi="Times New Roman" w:cs="Times New Roman"/>
                <w:sz w:val="18"/>
                <w:szCs w:val="20"/>
              </w:rPr>
              <w:t>E-06</w:t>
            </w:r>
          </w:p>
        </w:tc>
        <w:tc>
          <w:tcPr>
            <w:tcW w:w="998" w:type="dxa"/>
          </w:tcPr>
          <w:p w14:paraId="7CA1742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990" w:type="dxa"/>
          </w:tcPr>
          <w:p w14:paraId="58F0F2F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9.000E-06</w:t>
            </w:r>
          </w:p>
        </w:tc>
        <w:tc>
          <w:tcPr>
            <w:tcW w:w="1094" w:type="dxa"/>
          </w:tcPr>
          <w:p w14:paraId="2EA63B4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4.045</w:t>
            </w:r>
            <w:r w:rsidRPr="001861E8">
              <w:rPr>
                <w:rFonts w:ascii="Times New Roman" w:hAnsi="Times New Roman" w:cs="Times New Roman"/>
                <w:sz w:val="18"/>
                <w:szCs w:val="20"/>
              </w:rPr>
              <w:t>E-06</w:t>
            </w:r>
          </w:p>
        </w:tc>
        <w:tc>
          <w:tcPr>
            <w:tcW w:w="1246" w:type="dxa"/>
          </w:tcPr>
          <w:p w14:paraId="3A3C360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6.943E-05</w:t>
            </w:r>
          </w:p>
        </w:tc>
        <w:tc>
          <w:tcPr>
            <w:tcW w:w="995" w:type="dxa"/>
          </w:tcPr>
          <w:p w14:paraId="32F1AFB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1.106E-04</w:t>
            </w:r>
          </w:p>
        </w:tc>
      </w:tr>
      <w:tr w:rsidR="00CB284C" w:rsidRPr="009808F8" w14:paraId="6A42CE58" w14:textId="77777777" w:rsidTr="00C97947">
        <w:trPr>
          <w:trHeight w:val="326"/>
        </w:trPr>
        <w:tc>
          <w:tcPr>
            <w:tcW w:w="816" w:type="dxa"/>
          </w:tcPr>
          <w:p w14:paraId="4E4AEC9F"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6</w:t>
            </w:r>
          </w:p>
        </w:tc>
        <w:tc>
          <w:tcPr>
            <w:tcW w:w="1069" w:type="dxa"/>
          </w:tcPr>
          <w:p w14:paraId="2B6476C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8.537E-05</w:t>
            </w:r>
          </w:p>
        </w:tc>
        <w:tc>
          <w:tcPr>
            <w:tcW w:w="1080" w:type="dxa"/>
          </w:tcPr>
          <w:p w14:paraId="482DF3D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1.800E-06</w:t>
            </w:r>
          </w:p>
        </w:tc>
        <w:tc>
          <w:tcPr>
            <w:tcW w:w="1072" w:type="dxa"/>
          </w:tcPr>
          <w:p w14:paraId="25F0F58C"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4.165</w:t>
            </w:r>
            <w:r w:rsidRPr="001861E8">
              <w:rPr>
                <w:rFonts w:ascii="Times New Roman" w:hAnsi="Times New Roman" w:cs="Times New Roman"/>
                <w:sz w:val="18"/>
                <w:szCs w:val="20"/>
              </w:rPr>
              <w:t>E-06</w:t>
            </w:r>
          </w:p>
        </w:tc>
        <w:tc>
          <w:tcPr>
            <w:tcW w:w="998" w:type="dxa"/>
          </w:tcPr>
          <w:p w14:paraId="2808BF4C"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3.600E-06</w:t>
            </w:r>
          </w:p>
        </w:tc>
        <w:tc>
          <w:tcPr>
            <w:tcW w:w="990" w:type="dxa"/>
          </w:tcPr>
          <w:p w14:paraId="729F8C5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1.234E-05</w:t>
            </w:r>
          </w:p>
        </w:tc>
        <w:tc>
          <w:tcPr>
            <w:tcW w:w="1094" w:type="dxa"/>
          </w:tcPr>
          <w:p w14:paraId="6DD8D01B"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4.787</w:t>
            </w:r>
            <w:r w:rsidRPr="001861E8">
              <w:rPr>
                <w:rFonts w:ascii="Times New Roman" w:hAnsi="Times New Roman" w:cs="Times New Roman"/>
                <w:sz w:val="18"/>
                <w:szCs w:val="20"/>
              </w:rPr>
              <w:t>E-06</w:t>
            </w:r>
          </w:p>
        </w:tc>
        <w:tc>
          <w:tcPr>
            <w:tcW w:w="1246" w:type="dxa"/>
          </w:tcPr>
          <w:p w14:paraId="31B4939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7.714E-05</w:t>
            </w:r>
          </w:p>
        </w:tc>
        <w:tc>
          <w:tcPr>
            <w:tcW w:w="995" w:type="dxa"/>
          </w:tcPr>
          <w:p w14:paraId="778FFF5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1.234E-04</w:t>
            </w:r>
          </w:p>
        </w:tc>
      </w:tr>
      <w:tr w:rsidR="00CB284C" w:rsidRPr="009808F8" w14:paraId="6889FE74" w14:textId="77777777" w:rsidTr="00C97947">
        <w:trPr>
          <w:trHeight w:val="335"/>
        </w:trPr>
        <w:tc>
          <w:tcPr>
            <w:tcW w:w="816" w:type="dxa"/>
          </w:tcPr>
          <w:p w14:paraId="1FF2F2FE"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7</w:t>
            </w:r>
          </w:p>
        </w:tc>
        <w:tc>
          <w:tcPr>
            <w:tcW w:w="1069" w:type="dxa"/>
          </w:tcPr>
          <w:p w14:paraId="4660B8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2.569E-04</w:t>
            </w:r>
          </w:p>
        </w:tc>
        <w:tc>
          <w:tcPr>
            <w:tcW w:w="1080" w:type="dxa"/>
          </w:tcPr>
          <w:p w14:paraId="079CFD6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2.314E-06</w:t>
            </w:r>
          </w:p>
        </w:tc>
        <w:tc>
          <w:tcPr>
            <w:tcW w:w="1072" w:type="dxa"/>
          </w:tcPr>
          <w:p w14:paraId="2CB2868E"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5.648</w:t>
            </w:r>
            <w:r w:rsidRPr="001861E8">
              <w:rPr>
                <w:rFonts w:ascii="Times New Roman" w:hAnsi="Times New Roman" w:cs="Times New Roman"/>
                <w:sz w:val="18"/>
                <w:szCs w:val="20"/>
              </w:rPr>
              <w:t>E-06</w:t>
            </w:r>
          </w:p>
        </w:tc>
        <w:tc>
          <w:tcPr>
            <w:tcW w:w="998" w:type="dxa"/>
          </w:tcPr>
          <w:p w14:paraId="57E0AE2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5.143E-06</w:t>
            </w:r>
          </w:p>
        </w:tc>
        <w:tc>
          <w:tcPr>
            <w:tcW w:w="990" w:type="dxa"/>
          </w:tcPr>
          <w:p w14:paraId="618613B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1.800E-05</w:t>
            </w:r>
          </w:p>
        </w:tc>
        <w:tc>
          <w:tcPr>
            <w:tcW w:w="1094" w:type="dxa"/>
          </w:tcPr>
          <w:p w14:paraId="6FAE3B0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2.314E-06</w:t>
            </w:r>
          </w:p>
        </w:tc>
        <w:tc>
          <w:tcPr>
            <w:tcW w:w="1246" w:type="dxa"/>
          </w:tcPr>
          <w:p w14:paraId="0A1A56B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9.771E-05</w:t>
            </w:r>
          </w:p>
        </w:tc>
        <w:tc>
          <w:tcPr>
            <w:tcW w:w="995" w:type="dxa"/>
          </w:tcPr>
          <w:p w14:paraId="2F7CF9D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1.671E-04</w:t>
            </w:r>
          </w:p>
        </w:tc>
      </w:tr>
      <w:tr w:rsidR="00CB284C" w:rsidRPr="009808F8" w14:paraId="6639E9F3" w14:textId="77777777" w:rsidTr="00C97947">
        <w:trPr>
          <w:trHeight w:val="326"/>
        </w:trPr>
        <w:tc>
          <w:tcPr>
            <w:tcW w:w="816" w:type="dxa"/>
          </w:tcPr>
          <w:p w14:paraId="10F39550"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8</w:t>
            </w:r>
          </w:p>
        </w:tc>
        <w:tc>
          <w:tcPr>
            <w:tcW w:w="1069" w:type="dxa"/>
          </w:tcPr>
          <w:p w14:paraId="6BB3EA7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2.515E-04</w:t>
            </w:r>
          </w:p>
        </w:tc>
        <w:tc>
          <w:tcPr>
            <w:tcW w:w="1080" w:type="dxa"/>
          </w:tcPr>
          <w:p w14:paraId="7037A1B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1.800E-06</w:t>
            </w:r>
          </w:p>
        </w:tc>
        <w:tc>
          <w:tcPr>
            <w:tcW w:w="1072" w:type="dxa"/>
          </w:tcPr>
          <w:p w14:paraId="2144B1E5"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4.654</w:t>
            </w:r>
            <w:r w:rsidRPr="001861E8">
              <w:rPr>
                <w:rFonts w:ascii="Times New Roman" w:hAnsi="Times New Roman" w:cs="Times New Roman"/>
                <w:sz w:val="18"/>
                <w:szCs w:val="20"/>
              </w:rPr>
              <w:t>E-06</w:t>
            </w:r>
          </w:p>
        </w:tc>
        <w:tc>
          <w:tcPr>
            <w:tcW w:w="998" w:type="dxa"/>
          </w:tcPr>
          <w:p w14:paraId="636956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4.114E-06</w:t>
            </w:r>
          </w:p>
        </w:tc>
        <w:tc>
          <w:tcPr>
            <w:tcW w:w="990" w:type="dxa"/>
          </w:tcPr>
          <w:p w14:paraId="5B3255F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1.414E-05</w:t>
            </w:r>
          </w:p>
        </w:tc>
        <w:tc>
          <w:tcPr>
            <w:tcW w:w="1094" w:type="dxa"/>
          </w:tcPr>
          <w:p w14:paraId="351A0BB4"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3.832</w:t>
            </w:r>
            <w:r w:rsidRPr="001861E8">
              <w:rPr>
                <w:rFonts w:ascii="Times New Roman" w:hAnsi="Times New Roman" w:cs="Times New Roman"/>
                <w:sz w:val="18"/>
                <w:szCs w:val="20"/>
              </w:rPr>
              <w:t>E-06</w:t>
            </w:r>
          </w:p>
        </w:tc>
        <w:tc>
          <w:tcPr>
            <w:tcW w:w="1246" w:type="dxa"/>
          </w:tcPr>
          <w:p w14:paraId="433FB9B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8.486E-05</w:t>
            </w:r>
          </w:p>
        </w:tc>
        <w:tc>
          <w:tcPr>
            <w:tcW w:w="995" w:type="dxa"/>
          </w:tcPr>
          <w:p w14:paraId="7EC4FD6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1.517E-04</w:t>
            </w:r>
          </w:p>
        </w:tc>
      </w:tr>
      <w:tr w:rsidR="00CB284C" w:rsidRPr="009808F8" w14:paraId="108FA3EF" w14:textId="77777777" w:rsidTr="00C97947">
        <w:trPr>
          <w:trHeight w:val="326"/>
        </w:trPr>
        <w:tc>
          <w:tcPr>
            <w:tcW w:w="816" w:type="dxa"/>
          </w:tcPr>
          <w:p w14:paraId="56D0FC99"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9</w:t>
            </w:r>
          </w:p>
        </w:tc>
        <w:tc>
          <w:tcPr>
            <w:tcW w:w="1069" w:type="dxa"/>
          </w:tcPr>
          <w:p w14:paraId="2A7753F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2.559E-04</w:t>
            </w:r>
          </w:p>
        </w:tc>
        <w:tc>
          <w:tcPr>
            <w:tcW w:w="1080" w:type="dxa"/>
          </w:tcPr>
          <w:p w14:paraId="3EDC4700"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239CADE8"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6.654</w:t>
            </w:r>
            <w:r w:rsidRPr="001861E8">
              <w:rPr>
                <w:rFonts w:ascii="Times New Roman" w:hAnsi="Times New Roman" w:cs="Times New Roman"/>
                <w:sz w:val="18"/>
                <w:szCs w:val="20"/>
              </w:rPr>
              <w:t>E-06</w:t>
            </w:r>
          </w:p>
        </w:tc>
        <w:tc>
          <w:tcPr>
            <w:tcW w:w="998" w:type="dxa"/>
          </w:tcPr>
          <w:p w14:paraId="4CC86E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4.371E-06</w:t>
            </w:r>
          </w:p>
        </w:tc>
        <w:tc>
          <w:tcPr>
            <w:tcW w:w="990" w:type="dxa"/>
          </w:tcPr>
          <w:p w14:paraId="4035C17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1.671E-05</w:t>
            </w:r>
          </w:p>
        </w:tc>
        <w:tc>
          <w:tcPr>
            <w:tcW w:w="1094" w:type="dxa"/>
          </w:tcPr>
          <w:p w14:paraId="694B5455"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4.548</w:t>
            </w:r>
            <w:r w:rsidRPr="001861E8">
              <w:rPr>
                <w:rFonts w:ascii="Times New Roman" w:hAnsi="Times New Roman" w:cs="Times New Roman"/>
                <w:sz w:val="18"/>
                <w:szCs w:val="20"/>
              </w:rPr>
              <w:t>E-06</w:t>
            </w:r>
          </w:p>
        </w:tc>
        <w:tc>
          <w:tcPr>
            <w:tcW w:w="1246" w:type="dxa"/>
          </w:tcPr>
          <w:p w14:paraId="09EF2EE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9.000E-05</w:t>
            </w:r>
          </w:p>
        </w:tc>
        <w:tc>
          <w:tcPr>
            <w:tcW w:w="995" w:type="dxa"/>
          </w:tcPr>
          <w:p w14:paraId="37E613B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1.594E-04</w:t>
            </w:r>
          </w:p>
        </w:tc>
      </w:tr>
      <w:tr w:rsidR="00CB284C" w:rsidRPr="009808F8" w14:paraId="7C951843" w14:textId="77777777" w:rsidTr="00C97947">
        <w:trPr>
          <w:trHeight w:val="335"/>
        </w:trPr>
        <w:tc>
          <w:tcPr>
            <w:tcW w:w="816" w:type="dxa"/>
          </w:tcPr>
          <w:p w14:paraId="7190C7BC"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10</w:t>
            </w:r>
          </w:p>
        </w:tc>
        <w:tc>
          <w:tcPr>
            <w:tcW w:w="1069" w:type="dxa"/>
          </w:tcPr>
          <w:p w14:paraId="5A4B752D"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1.211E-04</w:t>
            </w:r>
          </w:p>
        </w:tc>
        <w:tc>
          <w:tcPr>
            <w:tcW w:w="1080" w:type="dxa"/>
          </w:tcPr>
          <w:p w14:paraId="1BDB1F2F"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2.057E-06</w:t>
            </w:r>
          </w:p>
        </w:tc>
        <w:tc>
          <w:tcPr>
            <w:tcW w:w="1072" w:type="dxa"/>
          </w:tcPr>
          <w:p w14:paraId="40480DC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5.644</w:t>
            </w:r>
            <w:r w:rsidRPr="001861E8">
              <w:rPr>
                <w:rFonts w:ascii="Times New Roman" w:hAnsi="Times New Roman" w:cs="Times New Roman"/>
                <w:sz w:val="18"/>
                <w:szCs w:val="20"/>
              </w:rPr>
              <w:t>E-06</w:t>
            </w:r>
          </w:p>
        </w:tc>
        <w:tc>
          <w:tcPr>
            <w:tcW w:w="998" w:type="dxa"/>
          </w:tcPr>
          <w:p w14:paraId="2744DAD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4.629E-06</w:t>
            </w:r>
          </w:p>
        </w:tc>
        <w:tc>
          <w:tcPr>
            <w:tcW w:w="990" w:type="dxa"/>
          </w:tcPr>
          <w:p w14:paraId="178B49C3"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1.543E-05</w:t>
            </w:r>
          </w:p>
        </w:tc>
        <w:tc>
          <w:tcPr>
            <w:tcW w:w="1094" w:type="dxa"/>
          </w:tcPr>
          <w:p w14:paraId="55997C6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w:t>
            </w:r>
            <w:r w:rsidRPr="001861E8">
              <w:rPr>
                <w:rFonts w:ascii="Times New Roman" w:hAnsi="Times New Roman" w:cs="Times New Roman"/>
                <w:sz w:val="18"/>
                <w:szCs w:val="20"/>
              </w:rPr>
              <w:t>57E-06</w:t>
            </w:r>
          </w:p>
        </w:tc>
        <w:tc>
          <w:tcPr>
            <w:tcW w:w="1246" w:type="dxa"/>
          </w:tcPr>
          <w:p w14:paraId="7C466EF4"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7.200E-05</w:t>
            </w:r>
          </w:p>
        </w:tc>
        <w:tc>
          <w:tcPr>
            <w:tcW w:w="995" w:type="dxa"/>
          </w:tcPr>
          <w:p w14:paraId="351B8A4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1.157E-04</w:t>
            </w:r>
          </w:p>
        </w:tc>
      </w:tr>
      <w:tr w:rsidR="00CB284C" w:rsidRPr="009808F8" w14:paraId="734CFB17" w14:textId="77777777" w:rsidTr="00C97947">
        <w:trPr>
          <w:trHeight w:val="326"/>
        </w:trPr>
        <w:tc>
          <w:tcPr>
            <w:tcW w:w="816" w:type="dxa"/>
          </w:tcPr>
          <w:p w14:paraId="7ED0CB4E"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11</w:t>
            </w:r>
          </w:p>
        </w:tc>
        <w:tc>
          <w:tcPr>
            <w:tcW w:w="1069" w:type="dxa"/>
          </w:tcPr>
          <w:p w14:paraId="2B14710A"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1.034E-04</w:t>
            </w:r>
          </w:p>
        </w:tc>
        <w:tc>
          <w:tcPr>
            <w:tcW w:w="1080" w:type="dxa"/>
          </w:tcPr>
          <w:p w14:paraId="4A41504B"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1.543E-06</w:t>
            </w:r>
          </w:p>
        </w:tc>
        <w:tc>
          <w:tcPr>
            <w:tcW w:w="1072" w:type="dxa"/>
          </w:tcPr>
          <w:p w14:paraId="46B227E9"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3.822</w:t>
            </w:r>
            <w:r w:rsidRPr="001861E8">
              <w:rPr>
                <w:rFonts w:ascii="Times New Roman" w:hAnsi="Times New Roman" w:cs="Times New Roman"/>
                <w:sz w:val="18"/>
                <w:szCs w:val="20"/>
              </w:rPr>
              <w:t>E-06</w:t>
            </w:r>
          </w:p>
        </w:tc>
        <w:tc>
          <w:tcPr>
            <w:tcW w:w="998" w:type="dxa"/>
          </w:tcPr>
          <w:p w14:paraId="3BB1E73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3.857E-06</w:t>
            </w:r>
          </w:p>
        </w:tc>
        <w:tc>
          <w:tcPr>
            <w:tcW w:w="990" w:type="dxa"/>
          </w:tcPr>
          <w:p w14:paraId="330107F2"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1.286E-05</w:t>
            </w:r>
          </w:p>
        </w:tc>
        <w:tc>
          <w:tcPr>
            <w:tcW w:w="1094" w:type="dxa"/>
          </w:tcPr>
          <w:p w14:paraId="499AA143"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4.656</w:t>
            </w:r>
            <w:r w:rsidRPr="001861E8">
              <w:rPr>
                <w:rFonts w:ascii="Times New Roman" w:hAnsi="Times New Roman" w:cs="Times New Roman"/>
                <w:sz w:val="18"/>
                <w:szCs w:val="20"/>
              </w:rPr>
              <w:t>E-06</w:t>
            </w:r>
          </w:p>
        </w:tc>
        <w:tc>
          <w:tcPr>
            <w:tcW w:w="1246" w:type="dxa"/>
          </w:tcPr>
          <w:p w14:paraId="4C2952B8"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7.971E-05</w:t>
            </w:r>
          </w:p>
        </w:tc>
        <w:tc>
          <w:tcPr>
            <w:tcW w:w="995" w:type="dxa"/>
          </w:tcPr>
          <w:p w14:paraId="68572C5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1.286E-04</w:t>
            </w:r>
          </w:p>
        </w:tc>
      </w:tr>
      <w:tr w:rsidR="00CB284C" w:rsidRPr="009808F8" w14:paraId="000640DD" w14:textId="77777777" w:rsidTr="00C97947">
        <w:trPr>
          <w:trHeight w:val="326"/>
        </w:trPr>
        <w:tc>
          <w:tcPr>
            <w:tcW w:w="816" w:type="dxa"/>
          </w:tcPr>
          <w:p w14:paraId="6B499A5D" w14:textId="77777777" w:rsidR="00CB284C" w:rsidRPr="00EF04FF" w:rsidRDefault="00CB284C" w:rsidP="00C97947">
            <w:pPr>
              <w:spacing w:line="276" w:lineRule="auto"/>
              <w:jc w:val="center"/>
              <w:rPr>
                <w:rFonts w:ascii="Times New Roman" w:hAnsi="Times New Roman" w:cs="Times New Roman"/>
                <w:sz w:val="20"/>
                <w:szCs w:val="20"/>
              </w:rPr>
            </w:pPr>
            <w:r w:rsidRPr="00EF04FF">
              <w:rPr>
                <w:rFonts w:ascii="Times New Roman" w:hAnsi="Times New Roman" w:cs="Times New Roman"/>
                <w:sz w:val="20"/>
                <w:szCs w:val="20"/>
              </w:rPr>
              <w:t>12</w:t>
            </w:r>
          </w:p>
        </w:tc>
        <w:tc>
          <w:tcPr>
            <w:tcW w:w="1069" w:type="dxa"/>
          </w:tcPr>
          <w:p w14:paraId="01B3C91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2.607E-04</w:t>
            </w:r>
          </w:p>
        </w:tc>
        <w:tc>
          <w:tcPr>
            <w:tcW w:w="1080" w:type="dxa"/>
          </w:tcPr>
          <w:p w14:paraId="69372397"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2.571E-06</w:t>
            </w:r>
          </w:p>
        </w:tc>
        <w:tc>
          <w:tcPr>
            <w:tcW w:w="1072" w:type="dxa"/>
          </w:tcPr>
          <w:p w14:paraId="035D51B2"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6.484</w:t>
            </w:r>
            <w:r w:rsidRPr="001861E8">
              <w:rPr>
                <w:rFonts w:ascii="Times New Roman" w:hAnsi="Times New Roman" w:cs="Times New Roman"/>
                <w:sz w:val="18"/>
                <w:szCs w:val="20"/>
              </w:rPr>
              <w:t>E-06</w:t>
            </w:r>
          </w:p>
        </w:tc>
        <w:tc>
          <w:tcPr>
            <w:tcW w:w="998" w:type="dxa"/>
          </w:tcPr>
          <w:p w14:paraId="2E13CB1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5.657E-06</w:t>
            </w:r>
          </w:p>
        </w:tc>
        <w:tc>
          <w:tcPr>
            <w:tcW w:w="990" w:type="dxa"/>
          </w:tcPr>
          <w:p w14:paraId="4864133E"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2.057E-05</w:t>
            </w:r>
          </w:p>
        </w:tc>
        <w:tc>
          <w:tcPr>
            <w:tcW w:w="1094" w:type="dxa"/>
          </w:tcPr>
          <w:p w14:paraId="42430717" w14:textId="77777777" w:rsidR="00CB284C" w:rsidRPr="001861E8" w:rsidRDefault="00CB284C" w:rsidP="00C97947">
            <w:pPr>
              <w:spacing w:line="276" w:lineRule="auto"/>
              <w:jc w:val="center"/>
              <w:rPr>
                <w:rFonts w:ascii="Times New Roman" w:hAnsi="Times New Roman" w:cs="Times New Roman"/>
                <w:sz w:val="18"/>
                <w:szCs w:val="20"/>
              </w:rPr>
            </w:pPr>
            <w:r>
              <w:rPr>
                <w:rFonts w:ascii="Times New Roman" w:hAnsi="Times New Roman" w:cs="Times New Roman"/>
                <w:sz w:val="18"/>
                <w:szCs w:val="20"/>
              </w:rPr>
              <w:t>2.566</w:t>
            </w:r>
            <w:r w:rsidRPr="001861E8">
              <w:rPr>
                <w:rFonts w:ascii="Times New Roman" w:hAnsi="Times New Roman" w:cs="Times New Roman"/>
                <w:sz w:val="18"/>
                <w:szCs w:val="20"/>
              </w:rPr>
              <w:t>E-06</w:t>
            </w:r>
          </w:p>
        </w:tc>
        <w:tc>
          <w:tcPr>
            <w:tcW w:w="1246" w:type="dxa"/>
          </w:tcPr>
          <w:p w14:paraId="2073E7D5"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1.029E-04</w:t>
            </w:r>
          </w:p>
        </w:tc>
        <w:tc>
          <w:tcPr>
            <w:tcW w:w="995" w:type="dxa"/>
          </w:tcPr>
          <w:p w14:paraId="19918E21" w14:textId="77777777" w:rsidR="00CB284C" w:rsidRPr="001861E8" w:rsidRDefault="00CB284C" w:rsidP="00C97947">
            <w:pPr>
              <w:spacing w:line="276" w:lineRule="auto"/>
              <w:jc w:val="center"/>
              <w:rPr>
                <w:rFonts w:ascii="Times New Roman" w:hAnsi="Times New Roman" w:cs="Times New Roman"/>
                <w:sz w:val="18"/>
                <w:szCs w:val="20"/>
              </w:rPr>
            </w:pPr>
            <w:r w:rsidRPr="001861E8">
              <w:rPr>
                <w:rFonts w:ascii="Times New Roman" w:hAnsi="Times New Roman" w:cs="Times New Roman"/>
                <w:sz w:val="18"/>
                <w:szCs w:val="20"/>
              </w:rPr>
              <w:t>1.800E-04</w:t>
            </w:r>
          </w:p>
        </w:tc>
      </w:tr>
    </w:tbl>
    <w:p w14:paraId="0AF30C98" w14:textId="77777777" w:rsidR="00B4537E" w:rsidRDefault="00B4537E" w:rsidP="00E1491D">
      <w:pPr>
        <w:spacing w:after="120" w:line="276" w:lineRule="auto"/>
        <w:jc w:val="both"/>
        <w:rPr>
          <w:rFonts w:ascii="Times New Roman" w:hAnsi="Times New Roman" w:cs="Times New Roman"/>
          <w:sz w:val="28"/>
          <w:szCs w:val="24"/>
        </w:rPr>
      </w:pPr>
    </w:p>
    <w:p w14:paraId="1D43DC4B" w14:textId="38E38EBB" w:rsidR="00DF1B4B" w:rsidRPr="00DF1B4B" w:rsidRDefault="00DF1B4B" w:rsidP="00E1491D">
      <w:pPr>
        <w:spacing w:after="120" w:line="276" w:lineRule="auto"/>
        <w:jc w:val="both"/>
        <w:rPr>
          <w:rFonts w:ascii="Times New Roman" w:eastAsia="Times New Roman" w:hAnsi="Times New Roman" w:cs="Times New Roman"/>
          <w:sz w:val="20"/>
          <w:szCs w:val="24"/>
        </w:rPr>
      </w:pPr>
      <w:r w:rsidRPr="00A00A29">
        <w:rPr>
          <w:rFonts w:ascii="Times New Roman" w:eastAsia="Times New Roman" w:hAnsi="Times New Roman" w:cs="Times New Roman"/>
          <w:sz w:val="20"/>
          <w:szCs w:val="24"/>
        </w:rPr>
        <w:t>The</w:t>
      </w:r>
      <w:r>
        <w:rPr>
          <w:rFonts w:ascii="Times New Roman" w:eastAsia="Times New Roman" w:hAnsi="Times New Roman" w:cs="Times New Roman"/>
          <w:sz w:val="20"/>
          <w:szCs w:val="24"/>
        </w:rPr>
        <w:t xml:space="preserve"> results presented in Table 19</w:t>
      </w:r>
      <w:r w:rsidRPr="00A00A29">
        <w:rPr>
          <w:rFonts w:ascii="Times New Roman" w:eastAsia="Times New Roman" w:hAnsi="Times New Roman" w:cs="Times New Roman"/>
          <w:sz w:val="20"/>
          <w:szCs w:val="24"/>
        </w:rPr>
        <w:t xml:space="preserve"> provide a comprehensive assessment of the potential non-carcinogenic health risks associated with heavy metal exposure through water consumption. The HQ values for children are consistently higher than those for adults across all borehole samples. This pattern is expected, as children are more vulnerable to contaminants due to their higher water intake per unit body weight and developing physiological systems. Among the samples, Sample 10 exhibits the highest HQ values for both adults (0.1440) and children (0.3361), indicating a relatively higher risk compared to other locations. Conversely, Sample 8 has the lowest HQ values (0.0048 for adults and 0.0111 for children), suggesting minimal health risks from heavy metal exposure at this site. The cumulative Hazard Index (HI), which aggregates the HQ values for all samples, is 0.6251 for adults and 1.4580 for children. While the HI for adults remains below the safety threshold of 1, implying that heavy metal exposure is unlikely to cause adverse health effects, the HI for children exceeds this limit. This finding raises concerns about potential health risks for children consuming water from these boreholes over prolonged periods.</w:t>
      </w:r>
    </w:p>
    <w:p w14:paraId="394CF92E" w14:textId="6EBF8B4B" w:rsidR="00DA17B0" w:rsidRPr="00DA17B0" w:rsidRDefault="00DF1B4B" w:rsidP="00DA17B0">
      <w:pPr>
        <w:spacing w:after="0" w:line="360" w:lineRule="auto"/>
        <w:jc w:val="both"/>
        <w:rPr>
          <w:rFonts w:ascii="Times New Roman" w:hAnsi="Times New Roman" w:cs="Times New Roman"/>
          <w:b/>
          <w:bCs/>
          <w:sz w:val="20"/>
          <w:szCs w:val="24"/>
        </w:rPr>
      </w:pPr>
      <w:r>
        <w:rPr>
          <w:rFonts w:ascii="Times New Roman" w:hAnsi="Times New Roman" w:cs="Times New Roman"/>
          <w:b/>
          <w:bCs/>
          <w:sz w:val="20"/>
          <w:szCs w:val="24"/>
        </w:rPr>
        <w:t>Table 19</w:t>
      </w:r>
      <w:r w:rsidR="00DA17B0" w:rsidRPr="00DA17B0">
        <w:rPr>
          <w:rFonts w:ascii="Times New Roman" w:hAnsi="Times New Roman" w:cs="Times New Roman"/>
          <w:b/>
          <w:bCs/>
          <w:sz w:val="20"/>
          <w:szCs w:val="24"/>
        </w:rPr>
        <w:t xml:space="preserve"> Cumulative Hazard Quotient (HQ) and Hazard Indices for Heavy metals in Water Samples</w:t>
      </w:r>
    </w:p>
    <w:tbl>
      <w:tblPr>
        <w:tblStyle w:val="TableGrid"/>
        <w:tblW w:w="93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3101"/>
        <w:gridCol w:w="3101"/>
      </w:tblGrid>
      <w:tr w:rsidR="00DA17B0" w:rsidRPr="002E4DED" w14:paraId="04E3A8BC" w14:textId="77777777" w:rsidTr="002E4DED">
        <w:trPr>
          <w:trHeight w:val="267"/>
        </w:trPr>
        <w:tc>
          <w:tcPr>
            <w:tcW w:w="3101" w:type="dxa"/>
            <w:tcBorders>
              <w:top w:val="single" w:sz="4" w:space="0" w:color="auto"/>
              <w:bottom w:val="single" w:sz="4" w:space="0" w:color="auto"/>
            </w:tcBorders>
          </w:tcPr>
          <w:p w14:paraId="59002ED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Sample</w:t>
            </w:r>
          </w:p>
        </w:tc>
        <w:tc>
          <w:tcPr>
            <w:tcW w:w="3101" w:type="dxa"/>
            <w:tcBorders>
              <w:top w:val="single" w:sz="4" w:space="0" w:color="auto"/>
              <w:bottom w:val="single" w:sz="4" w:space="0" w:color="auto"/>
            </w:tcBorders>
          </w:tcPr>
          <w:p w14:paraId="7711620A"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HQ (Adults)</w:t>
            </w:r>
          </w:p>
        </w:tc>
        <w:tc>
          <w:tcPr>
            <w:tcW w:w="3101" w:type="dxa"/>
            <w:tcBorders>
              <w:top w:val="single" w:sz="4" w:space="0" w:color="auto"/>
              <w:bottom w:val="single" w:sz="4" w:space="0" w:color="auto"/>
            </w:tcBorders>
          </w:tcPr>
          <w:p w14:paraId="70EB107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HQ (Children)</w:t>
            </w:r>
          </w:p>
        </w:tc>
      </w:tr>
      <w:tr w:rsidR="00DA17B0" w:rsidRPr="002E4DED" w14:paraId="2A0F5BC2" w14:textId="77777777" w:rsidTr="002E4DED">
        <w:trPr>
          <w:trHeight w:val="267"/>
        </w:trPr>
        <w:tc>
          <w:tcPr>
            <w:tcW w:w="3101" w:type="dxa"/>
            <w:tcBorders>
              <w:top w:val="single" w:sz="4" w:space="0" w:color="auto"/>
            </w:tcBorders>
          </w:tcPr>
          <w:p w14:paraId="2CCCDF6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w:t>
            </w:r>
          </w:p>
        </w:tc>
        <w:tc>
          <w:tcPr>
            <w:tcW w:w="3101" w:type="dxa"/>
            <w:tcBorders>
              <w:top w:val="single" w:sz="4" w:space="0" w:color="auto"/>
            </w:tcBorders>
          </w:tcPr>
          <w:p w14:paraId="4AA2771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0.0417</w:t>
            </w:r>
          </w:p>
        </w:tc>
        <w:tc>
          <w:tcPr>
            <w:tcW w:w="3101" w:type="dxa"/>
            <w:tcBorders>
              <w:top w:val="single" w:sz="4" w:space="0" w:color="auto"/>
            </w:tcBorders>
          </w:tcPr>
          <w:p w14:paraId="55BF619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0.0972</w:t>
            </w:r>
          </w:p>
        </w:tc>
      </w:tr>
      <w:tr w:rsidR="00DA17B0" w:rsidRPr="002E4DED" w14:paraId="0469A357" w14:textId="77777777" w:rsidTr="002E4DED">
        <w:trPr>
          <w:trHeight w:val="267"/>
        </w:trPr>
        <w:tc>
          <w:tcPr>
            <w:tcW w:w="3101" w:type="dxa"/>
          </w:tcPr>
          <w:p w14:paraId="2A3FF80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2</w:t>
            </w:r>
          </w:p>
        </w:tc>
        <w:tc>
          <w:tcPr>
            <w:tcW w:w="3101" w:type="dxa"/>
          </w:tcPr>
          <w:p w14:paraId="731AA9C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0.0655</w:t>
            </w:r>
          </w:p>
        </w:tc>
        <w:tc>
          <w:tcPr>
            <w:tcW w:w="3101" w:type="dxa"/>
          </w:tcPr>
          <w:p w14:paraId="60F0794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0.1528</w:t>
            </w:r>
          </w:p>
        </w:tc>
      </w:tr>
      <w:tr w:rsidR="00DA17B0" w:rsidRPr="002E4DED" w14:paraId="512CE8CD" w14:textId="77777777" w:rsidTr="002E4DED">
        <w:trPr>
          <w:trHeight w:val="267"/>
        </w:trPr>
        <w:tc>
          <w:tcPr>
            <w:tcW w:w="3101" w:type="dxa"/>
          </w:tcPr>
          <w:p w14:paraId="63ABEE7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3</w:t>
            </w:r>
          </w:p>
        </w:tc>
        <w:tc>
          <w:tcPr>
            <w:tcW w:w="3101" w:type="dxa"/>
          </w:tcPr>
          <w:p w14:paraId="55E8050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0.0298</w:t>
            </w:r>
          </w:p>
        </w:tc>
        <w:tc>
          <w:tcPr>
            <w:tcW w:w="3101" w:type="dxa"/>
          </w:tcPr>
          <w:p w14:paraId="4114AC9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0.0694</w:t>
            </w:r>
          </w:p>
        </w:tc>
      </w:tr>
      <w:tr w:rsidR="00DA17B0" w:rsidRPr="002E4DED" w14:paraId="0146050D" w14:textId="77777777" w:rsidTr="002E4DED">
        <w:trPr>
          <w:trHeight w:val="267"/>
        </w:trPr>
        <w:tc>
          <w:tcPr>
            <w:tcW w:w="3101" w:type="dxa"/>
          </w:tcPr>
          <w:p w14:paraId="42EBEE2B"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4</w:t>
            </w:r>
          </w:p>
        </w:tc>
        <w:tc>
          <w:tcPr>
            <w:tcW w:w="3101" w:type="dxa"/>
          </w:tcPr>
          <w:p w14:paraId="701CBE7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0.0250</w:t>
            </w:r>
          </w:p>
        </w:tc>
        <w:tc>
          <w:tcPr>
            <w:tcW w:w="3101" w:type="dxa"/>
          </w:tcPr>
          <w:p w14:paraId="19C3A2B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0.0583</w:t>
            </w:r>
          </w:p>
        </w:tc>
      </w:tr>
      <w:tr w:rsidR="00DA17B0" w:rsidRPr="002E4DED" w14:paraId="59E10148" w14:textId="77777777" w:rsidTr="002E4DED">
        <w:trPr>
          <w:trHeight w:val="267"/>
        </w:trPr>
        <w:tc>
          <w:tcPr>
            <w:tcW w:w="3101" w:type="dxa"/>
          </w:tcPr>
          <w:p w14:paraId="763C6A8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5</w:t>
            </w:r>
          </w:p>
        </w:tc>
        <w:tc>
          <w:tcPr>
            <w:tcW w:w="3101" w:type="dxa"/>
          </w:tcPr>
          <w:p w14:paraId="06CFE70F"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0.0560</w:t>
            </w:r>
          </w:p>
        </w:tc>
        <w:tc>
          <w:tcPr>
            <w:tcW w:w="3101" w:type="dxa"/>
          </w:tcPr>
          <w:p w14:paraId="70DFEF0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0.1306</w:t>
            </w:r>
          </w:p>
        </w:tc>
      </w:tr>
      <w:tr w:rsidR="00DA17B0" w:rsidRPr="002E4DED" w14:paraId="4958AC7D" w14:textId="77777777" w:rsidTr="002E4DED">
        <w:trPr>
          <w:trHeight w:val="267"/>
        </w:trPr>
        <w:tc>
          <w:tcPr>
            <w:tcW w:w="3101" w:type="dxa"/>
          </w:tcPr>
          <w:p w14:paraId="27FB142E"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6</w:t>
            </w:r>
          </w:p>
        </w:tc>
        <w:tc>
          <w:tcPr>
            <w:tcW w:w="3101" w:type="dxa"/>
          </w:tcPr>
          <w:p w14:paraId="6641E733"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0.0964</w:t>
            </w:r>
          </w:p>
        </w:tc>
        <w:tc>
          <w:tcPr>
            <w:tcW w:w="3101" w:type="dxa"/>
          </w:tcPr>
          <w:p w14:paraId="094F7C1A"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0.2250</w:t>
            </w:r>
          </w:p>
        </w:tc>
      </w:tr>
      <w:tr w:rsidR="00DA17B0" w:rsidRPr="002E4DED" w14:paraId="7D02DFA3" w14:textId="77777777" w:rsidTr="002E4DED">
        <w:trPr>
          <w:trHeight w:val="280"/>
        </w:trPr>
        <w:tc>
          <w:tcPr>
            <w:tcW w:w="3101" w:type="dxa"/>
          </w:tcPr>
          <w:p w14:paraId="69DE165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7</w:t>
            </w:r>
          </w:p>
        </w:tc>
        <w:tc>
          <w:tcPr>
            <w:tcW w:w="3101" w:type="dxa"/>
          </w:tcPr>
          <w:p w14:paraId="080C0D2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0.0131</w:t>
            </w:r>
          </w:p>
        </w:tc>
        <w:tc>
          <w:tcPr>
            <w:tcW w:w="3101" w:type="dxa"/>
          </w:tcPr>
          <w:p w14:paraId="516078B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0.0306</w:t>
            </w:r>
          </w:p>
        </w:tc>
      </w:tr>
      <w:tr w:rsidR="00DA17B0" w:rsidRPr="002E4DED" w14:paraId="4EED9030" w14:textId="77777777" w:rsidTr="002E4DED">
        <w:trPr>
          <w:trHeight w:val="267"/>
        </w:trPr>
        <w:tc>
          <w:tcPr>
            <w:tcW w:w="3101" w:type="dxa"/>
          </w:tcPr>
          <w:p w14:paraId="724A590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8</w:t>
            </w:r>
          </w:p>
        </w:tc>
        <w:tc>
          <w:tcPr>
            <w:tcW w:w="3101" w:type="dxa"/>
          </w:tcPr>
          <w:p w14:paraId="2946B2F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0.0048</w:t>
            </w:r>
          </w:p>
        </w:tc>
        <w:tc>
          <w:tcPr>
            <w:tcW w:w="3101" w:type="dxa"/>
          </w:tcPr>
          <w:p w14:paraId="184CA1F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0.0111</w:t>
            </w:r>
          </w:p>
        </w:tc>
      </w:tr>
      <w:tr w:rsidR="00DA17B0" w:rsidRPr="002E4DED" w14:paraId="539CAE3C" w14:textId="77777777" w:rsidTr="002E4DED">
        <w:trPr>
          <w:trHeight w:val="267"/>
        </w:trPr>
        <w:tc>
          <w:tcPr>
            <w:tcW w:w="3101" w:type="dxa"/>
          </w:tcPr>
          <w:p w14:paraId="0AC16206"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9</w:t>
            </w:r>
          </w:p>
        </w:tc>
        <w:tc>
          <w:tcPr>
            <w:tcW w:w="3101" w:type="dxa"/>
          </w:tcPr>
          <w:p w14:paraId="37DA38D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0.0190</w:t>
            </w:r>
          </w:p>
        </w:tc>
        <w:tc>
          <w:tcPr>
            <w:tcW w:w="3101" w:type="dxa"/>
          </w:tcPr>
          <w:p w14:paraId="49C2DCC8"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0.0444</w:t>
            </w:r>
          </w:p>
        </w:tc>
      </w:tr>
      <w:tr w:rsidR="00DA17B0" w:rsidRPr="002E4DED" w14:paraId="4CFA5E4F" w14:textId="77777777" w:rsidTr="002E4DED">
        <w:trPr>
          <w:trHeight w:val="267"/>
        </w:trPr>
        <w:tc>
          <w:tcPr>
            <w:tcW w:w="3101" w:type="dxa"/>
          </w:tcPr>
          <w:p w14:paraId="3CD51BDF"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10</w:t>
            </w:r>
          </w:p>
        </w:tc>
        <w:tc>
          <w:tcPr>
            <w:tcW w:w="3101" w:type="dxa"/>
          </w:tcPr>
          <w:p w14:paraId="569B1F50"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0.1440</w:t>
            </w:r>
          </w:p>
        </w:tc>
        <w:tc>
          <w:tcPr>
            <w:tcW w:w="3101" w:type="dxa"/>
          </w:tcPr>
          <w:p w14:paraId="180D301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0.3361</w:t>
            </w:r>
          </w:p>
        </w:tc>
      </w:tr>
      <w:tr w:rsidR="00DA17B0" w:rsidRPr="002E4DED" w14:paraId="38C1F02B" w14:textId="77777777" w:rsidTr="002E4DED">
        <w:trPr>
          <w:trHeight w:val="267"/>
        </w:trPr>
        <w:tc>
          <w:tcPr>
            <w:tcW w:w="3101" w:type="dxa"/>
            <w:tcBorders>
              <w:bottom w:val="nil"/>
            </w:tcBorders>
          </w:tcPr>
          <w:p w14:paraId="3C00DDE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11</w:t>
            </w:r>
          </w:p>
        </w:tc>
        <w:tc>
          <w:tcPr>
            <w:tcW w:w="3101" w:type="dxa"/>
            <w:tcBorders>
              <w:bottom w:val="nil"/>
            </w:tcBorders>
          </w:tcPr>
          <w:p w14:paraId="084CF122"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0.0631</w:t>
            </w:r>
          </w:p>
        </w:tc>
        <w:tc>
          <w:tcPr>
            <w:tcW w:w="3101" w:type="dxa"/>
            <w:tcBorders>
              <w:bottom w:val="nil"/>
            </w:tcBorders>
          </w:tcPr>
          <w:p w14:paraId="0ACB6A8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0.1472</w:t>
            </w:r>
          </w:p>
        </w:tc>
      </w:tr>
      <w:tr w:rsidR="00DA17B0" w:rsidRPr="002E4DED" w14:paraId="2336A632" w14:textId="77777777" w:rsidTr="002E4DED">
        <w:trPr>
          <w:trHeight w:val="267"/>
        </w:trPr>
        <w:tc>
          <w:tcPr>
            <w:tcW w:w="3101" w:type="dxa"/>
            <w:tcBorders>
              <w:top w:val="nil"/>
              <w:bottom w:val="single" w:sz="4" w:space="0" w:color="auto"/>
            </w:tcBorders>
          </w:tcPr>
          <w:p w14:paraId="03276D87"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12</w:t>
            </w:r>
          </w:p>
        </w:tc>
        <w:tc>
          <w:tcPr>
            <w:tcW w:w="3101" w:type="dxa"/>
            <w:tcBorders>
              <w:top w:val="nil"/>
              <w:bottom w:val="single" w:sz="4" w:space="0" w:color="auto"/>
            </w:tcBorders>
          </w:tcPr>
          <w:p w14:paraId="1AA18799"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0.0667</w:t>
            </w:r>
          </w:p>
        </w:tc>
        <w:tc>
          <w:tcPr>
            <w:tcW w:w="3101" w:type="dxa"/>
            <w:tcBorders>
              <w:top w:val="nil"/>
              <w:bottom w:val="single" w:sz="4" w:space="0" w:color="auto"/>
            </w:tcBorders>
          </w:tcPr>
          <w:p w14:paraId="41DBAADD"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0.1556</w:t>
            </w:r>
          </w:p>
        </w:tc>
      </w:tr>
      <w:tr w:rsidR="00DA17B0" w:rsidRPr="002E4DED" w14:paraId="55C571AC" w14:textId="77777777" w:rsidTr="002E4DED">
        <w:trPr>
          <w:trHeight w:val="267"/>
        </w:trPr>
        <w:tc>
          <w:tcPr>
            <w:tcW w:w="3101" w:type="dxa"/>
            <w:tcBorders>
              <w:top w:val="single" w:sz="4" w:space="0" w:color="auto"/>
            </w:tcBorders>
          </w:tcPr>
          <w:p w14:paraId="029291B4"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Hazard Indices (HI)</w:t>
            </w:r>
          </w:p>
        </w:tc>
        <w:tc>
          <w:tcPr>
            <w:tcW w:w="3101" w:type="dxa"/>
            <w:tcBorders>
              <w:top w:val="single" w:sz="4" w:space="0" w:color="auto"/>
            </w:tcBorders>
          </w:tcPr>
          <w:p w14:paraId="4BEC4915"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0.6251</w:t>
            </w:r>
          </w:p>
        </w:tc>
        <w:tc>
          <w:tcPr>
            <w:tcW w:w="3101" w:type="dxa"/>
            <w:tcBorders>
              <w:top w:val="single" w:sz="4" w:space="0" w:color="auto"/>
            </w:tcBorders>
          </w:tcPr>
          <w:p w14:paraId="42BC884B" w14:textId="77777777" w:rsidR="00DA17B0" w:rsidRPr="002E4DED" w:rsidRDefault="00DA17B0" w:rsidP="002E4DED">
            <w:pPr>
              <w:jc w:val="center"/>
              <w:rPr>
                <w:rFonts w:ascii="Times New Roman" w:hAnsi="Times New Roman" w:cs="Times New Roman"/>
                <w:sz w:val="20"/>
                <w:szCs w:val="20"/>
              </w:rPr>
            </w:pPr>
            <w:r w:rsidRPr="002E4DED">
              <w:rPr>
                <w:rFonts w:ascii="Times New Roman" w:hAnsi="Times New Roman" w:cs="Times New Roman"/>
                <w:sz w:val="20"/>
                <w:szCs w:val="20"/>
              </w:rPr>
              <w:t>1.4580</w:t>
            </w:r>
          </w:p>
        </w:tc>
      </w:tr>
    </w:tbl>
    <w:p w14:paraId="12A6B7D1" w14:textId="77777777" w:rsidR="00CB284C" w:rsidRDefault="00CB284C" w:rsidP="00027C1B">
      <w:pPr>
        <w:pStyle w:val="NormalWeb"/>
        <w:spacing w:before="0" w:beforeAutospacing="0" w:after="120" w:afterAutospacing="0" w:line="276" w:lineRule="auto"/>
        <w:jc w:val="both"/>
        <w:rPr>
          <w:sz w:val="20"/>
          <w:szCs w:val="20"/>
        </w:rPr>
      </w:pPr>
    </w:p>
    <w:p w14:paraId="4A253A09" w14:textId="113044F6" w:rsidR="00DF1B4B" w:rsidRPr="00027C1B" w:rsidRDefault="00DF1B4B" w:rsidP="00027C1B">
      <w:pPr>
        <w:pStyle w:val="NormalWeb"/>
        <w:spacing w:before="0" w:beforeAutospacing="0" w:after="120" w:afterAutospacing="0" w:line="276" w:lineRule="auto"/>
        <w:jc w:val="both"/>
        <w:rPr>
          <w:sz w:val="20"/>
          <w:szCs w:val="20"/>
        </w:rPr>
      </w:pPr>
      <w:r>
        <w:rPr>
          <w:sz w:val="20"/>
          <w:szCs w:val="20"/>
        </w:rPr>
        <w:lastRenderedPageBreak/>
        <w:t>Table 20 presents the slope factors of the heavy metals in borehole water, adapted from USEPA, and used for the computation of the cancer risk for both ingestion and dermal exposure of heavy metals.</w:t>
      </w:r>
    </w:p>
    <w:p w14:paraId="4717D2BC" w14:textId="27E2CFFD" w:rsidR="00133BE9" w:rsidRPr="00133BE9" w:rsidRDefault="00DF1B4B" w:rsidP="00133BE9">
      <w:pPr>
        <w:spacing w:after="12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Table 20</w:t>
      </w:r>
      <w:r w:rsidR="00133BE9" w:rsidRPr="00133BE9">
        <w:rPr>
          <w:rFonts w:ascii="Times New Roman" w:eastAsia="Times New Roman" w:hAnsi="Times New Roman" w:cs="Times New Roman"/>
          <w:b/>
          <w:sz w:val="20"/>
          <w:szCs w:val="24"/>
        </w:rPr>
        <w:t xml:space="preserve">. Slope Factors of Heavy Metals in Drinking Water, adapted from USEPA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33BE9" w:rsidRPr="00133BE9" w14:paraId="6A685AD8" w14:textId="77777777" w:rsidTr="00C97947">
        <w:tc>
          <w:tcPr>
            <w:tcW w:w="3116" w:type="dxa"/>
            <w:tcBorders>
              <w:top w:val="single" w:sz="4" w:space="0" w:color="auto"/>
              <w:bottom w:val="single" w:sz="4" w:space="0" w:color="auto"/>
            </w:tcBorders>
          </w:tcPr>
          <w:p w14:paraId="77FC529B"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 xml:space="preserve">Metal </w:t>
            </w:r>
          </w:p>
        </w:tc>
        <w:tc>
          <w:tcPr>
            <w:tcW w:w="3117" w:type="dxa"/>
            <w:tcBorders>
              <w:top w:val="single" w:sz="4" w:space="0" w:color="auto"/>
              <w:bottom w:val="single" w:sz="4" w:space="0" w:color="auto"/>
            </w:tcBorders>
          </w:tcPr>
          <w:p w14:paraId="25F9FC1F" w14:textId="77777777" w:rsidR="00133BE9" w:rsidRPr="00133BE9" w:rsidRDefault="00610073" w:rsidP="00C97947">
            <w:pPr>
              <w:jc w:val="center"/>
              <w:rPr>
                <w:rFonts w:ascii="Times New Roman" w:eastAsia="Times New Roman" w:hAnsi="Times New Roman" w:cs="Times New Roman"/>
                <w:sz w:val="20"/>
                <w:szCs w:val="24"/>
              </w:rPr>
            </w:pPr>
            <m:oMathPara>
              <m:oMath>
                <m:sSub>
                  <m:sSubPr>
                    <m:ctrlPr>
                      <w:rPr>
                        <w:rFonts w:ascii="Cambria Math" w:eastAsia="Times New Roman" w:hAnsi="Cambria Math" w:cs="Times New Roman"/>
                        <w:sz w:val="20"/>
                        <w:szCs w:val="24"/>
                      </w:rPr>
                    </m:ctrlPr>
                  </m:sSubPr>
                  <m:e>
                    <m:r>
                      <m:rPr>
                        <m:sty m:val="p"/>
                      </m:rPr>
                      <w:rPr>
                        <w:rFonts w:ascii="Cambria Math" w:eastAsia="Times New Roman" w:hAnsi="Cambria Math" w:cs="Times New Roman"/>
                        <w:sz w:val="20"/>
                        <w:szCs w:val="24"/>
                      </w:rPr>
                      <m:t>SF</m:t>
                    </m:r>
                  </m:e>
                  <m:sub>
                    <m:r>
                      <m:rPr>
                        <m:sty m:val="p"/>
                      </m:rPr>
                      <w:rPr>
                        <w:rFonts w:ascii="Cambria Math" w:eastAsia="Times New Roman" w:hAnsi="Cambria Math" w:cs="Times New Roman"/>
                        <w:sz w:val="20"/>
                        <w:szCs w:val="24"/>
                      </w:rPr>
                      <m:t>ingestion</m:t>
                    </m:r>
                  </m:sub>
                </m:sSub>
              </m:oMath>
            </m:oMathPara>
          </w:p>
        </w:tc>
        <w:tc>
          <w:tcPr>
            <w:tcW w:w="3117" w:type="dxa"/>
            <w:tcBorders>
              <w:top w:val="single" w:sz="4" w:space="0" w:color="auto"/>
              <w:bottom w:val="single" w:sz="4" w:space="0" w:color="auto"/>
            </w:tcBorders>
          </w:tcPr>
          <w:p w14:paraId="0249F5D3" w14:textId="77777777" w:rsidR="00133BE9" w:rsidRPr="00133BE9" w:rsidRDefault="00610073" w:rsidP="00C97947">
            <w:pPr>
              <w:jc w:val="center"/>
              <w:rPr>
                <w:rFonts w:ascii="Times New Roman" w:eastAsia="Times New Roman" w:hAnsi="Times New Roman" w:cs="Times New Roman"/>
                <w:sz w:val="20"/>
                <w:szCs w:val="24"/>
              </w:rPr>
            </w:pPr>
            <m:oMathPara>
              <m:oMath>
                <m:sSub>
                  <m:sSubPr>
                    <m:ctrlPr>
                      <w:rPr>
                        <w:rFonts w:ascii="Cambria Math" w:eastAsia="Times New Roman" w:hAnsi="Cambria Math" w:cs="Times New Roman"/>
                        <w:sz w:val="20"/>
                        <w:szCs w:val="24"/>
                      </w:rPr>
                    </m:ctrlPr>
                  </m:sSubPr>
                  <m:e>
                    <m:r>
                      <m:rPr>
                        <m:sty m:val="p"/>
                      </m:rPr>
                      <w:rPr>
                        <w:rFonts w:ascii="Cambria Math" w:eastAsia="Times New Roman" w:hAnsi="Cambria Math" w:cs="Times New Roman"/>
                        <w:sz w:val="20"/>
                        <w:szCs w:val="24"/>
                      </w:rPr>
                      <m:t>SF</m:t>
                    </m:r>
                  </m:e>
                  <m:sub>
                    <m:r>
                      <m:rPr>
                        <m:sty m:val="p"/>
                      </m:rPr>
                      <w:rPr>
                        <w:rFonts w:ascii="Cambria Math" w:eastAsia="Times New Roman" w:hAnsi="Cambria Math" w:cs="Times New Roman"/>
                        <w:sz w:val="20"/>
                        <w:szCs w:val="24"/>
                      </w:rPr>
                      <m:t>dermal</m:t>
                    </m:r>
                  </m:sub>
                </m:sSub>
              </m:oMath>
            </m:oMathPara>
          </w:p>
        </w:tc>
      </w:tr>
      <w:tr w:rsidR="00133BE9" w:rsidRPr="00133BE9" w14:paraId="6EBA173A" w14:textId="77777777" w:rsidTr="00C97947">
        <w:tc>
          <w:tcPr>
            <w:tcW w:w="3116" w:type="dxa"/>
            <w:tcBorders>
              <w:top w:val="single" w:sz="4" w:space="0" w:color="auto"/>
              <w:bottom w:val="nil"/>
            </w:tcBorders>
          </w:tcPr>
          <w:p w14:paraId="4071FD58"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Chromium (Cr)</w:t>
            </w:r>
          </w:p>
        </w:tc>
        <w:tc>
          <w:tcPr>
            <w:tcW w:w="3117" w:type="dxa"/>
            <w:tcBorders>
              <w:top w:val="single" w:sz="4" w:space="0" w:color="auto"/>
              <w:bottom w:val="nil"/>
            </w:tcBorders>
          </w:tcPr>
          <w:p w14:paraId="7010E086"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0.5</w:t>
            </w:r>
          </w:p>
        </w:tc>
        <w:tc>
          <w:tcPr>
            <w:tcW w:w="3117" w:type="dxa"/>
            <w:tcBorders>
              <w:top w:val="single" w:sz="4" w:space="0" w:color="auto"/>
              <w:bottom w:val="nil"/>
            </w:tcBorders>
          </w:tcPr>
          <w:p w14:paraId="5282606D"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20</w:t>
            </w:r>
          </w:p>
        </w:tc>
      </w:tr>
      <w:tr w:rsidR="00133BE9" w:rsidRPr="00133BE9" w14:paraId="16582B2A" w14:textId="77777777" w:rsidTr="00C97947">
        <w:tc>
          <w:tcPr>
            <w:tcW w:w="3116" w:type="dxa"/>
            <w:tcBorders>
              <w:top w:val="nil"/>
            </w:tcBorders>
          </w:tcPr>
          <w:p w14:paraId="7419FFE8"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Lead (Pb)</w:t>
            </w:r>
          </w:p>
        </w:tc>
        <w:tc>
          <w:tcPr>
            <w:tcW w:w="3117" w:type="dxa"/>
            <w:tcBorders>
              <w:top w:val="nil"/>
            </w:tcBorders>
          </w:tcPr>
          <w:p w14:paraId="247B6098"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0.0085</w:t>
            </w:r>
          </w:p>
        </w:tc>
        <w:tc>
          <w:tcPr>
            <w:tcW w:w="3117" w:type="dxa"/>
            <w:tcBorders>
              <w:top w:val="nil"/>
            </w:tcBorders>
          </w:tcPr>
          <w:p w14:paraId="2C355DB1"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1.5</w:t>
            </w:r>
          </w:p>
        </w:tc>
      </w:tr>
      <w:tr w:rsidR="00133BE9" w:rsidRPr="00133BE9" w14:paraId="20521821" w14:textId="77777777" w:rsidTr="00C97947">
        <w:tc>
          <w:tcPr>
            <w:tcW w:w="3116" w:type="dxa"/>
          </w:tcPr>
          <w:p w14:paraId="4F7CB842"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Cadmium (Cd)</w:t>
            </w:r>
          </w:p>
        </w:tc>
        <w:tc>
          <w:tcPr>
            <w:tcW w:w="3117" w:type="dxa"/>
          </w:tcPr>
          <w:p w14:paraId="7EB5992F"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0.38</w:t>
            </w:r>
          </w:p>
        </w:tc>
        <w:tc>
          <w:tcPr>
            <w:tcW w:w="3117" w:type="dxa"/>
          </w:tcPr>
          <w:p w14:paraId="17C29EC8"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6.1</w:t>
            </w:r>
          </w:p>
        </w:tc>
      </w:tr>
      <w:tr w:rsidR="00133BE9" w:rsidRPr="00133BE9" w14:paraId="202417FA" w14:textId="77777777" w:rsidTr="00C97947">
        <w:tc>
          <w:tcPr>
            <w:tcW w:w="3116" w:type="dxa"/>
          </w:tcPr>
          <w:p w14:paraId="087469AE" w14:textId="77777777" w:rsidR="00133BE9" w:rsidRPr="00133BE9" w:rsidRDefault="00133BE9" w:rsidP="00C97947">
            <w:pPr>
              <w:jc w:val="both"/>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Nickel (Ni)</w:t>
            </w:r>
          </w:p>
        </w:tc>
        <w:tc>
          <w:tcPr>
            <w:tcW w:w="3117" w:type="dxa"/>
          </w:tcPr>
          <w:p w14:paraId="7506FAD2"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1.7</w:t>
            </w:r>
          </w:p>
        </w:tc>
        <w:tc>
          <w:tcPr>
            <w:tcW w:w="3117" w:type="dxa"/>
          </w:tcPr>
          <w:p w14:paraId="27D1367D" w14:textId="77777777" w:rsidR="00133BE9" w:rsidRPr="00133BE9" w:rsidRDefault="00133BE9" w:rsidP="00C97947">
            <w:pPr>
              <w:jc w:val="center"/>
              <w:rPr>
                <w:rFonts w:ascii="Times New Roman" w:eastAsia="Times New Roman" w:hAnsi="Times New Roman" w:cs="Times New Roman"/>
                <w:sz w:val="20"/>
                <w:szCs w:val="24"/>
              </w:rPr>
            </w:pPr>
            <w:r w:rsidRPr="00133BE9">
              <w:rPr>
                <w:rFonts w:ascii="Times New Roman" w:eastAsia="Times New Roman" w:hAnsi="Times New Roman" w:cs="Times New Roman"/>
                <w:sz w:val="20"/>
                <w:szCs w:val="24"/>
              </w:rPr>
              <w:t>42.5</w:t>
            </w:r>
          </w:p>
        </w:tc>
      </w:tr>
    </w:tbl>
    <w:p w14:paraId="23B89F00" w14:textId="77777777" w:rsidR="008A143C" w:rsidRDefault="008A143C" w:rsidP="00F35219">
      <w:pPr>
        <w:spacing w:after="120" w:line="276" w:lineRule="auto"/>
        <w:jc w:val="both"/>
        <w:rPr>
          <w:rFonts w:ascii="Times New Roman" w:hAnsi="Times New Roman" w:cs="Times New Roman"/>
          <w:sz w:val="20"/>
          <w:szCs w:val="20"/>
        </w:rPr>
      </w:pPr>
    </w:p>
    <w:p w14:paraId="7942854E" w14:textId="2CE0DC02" w:rsidR="00DF1B4B" w:rsidRPr="00DF1B4B" w:rsidRDefault="00DF1B4B" w:rsidP="00F35219">
      <w:pPr>
        <w:spacing w:after="120" w:line="276" w:lineRule="auto"/>
        <w:jc w:val="both"/>
        <w:rPr>
          <w:rFonts w:ascii="Times New Roman" w:eastAsia="Times New Roman" w:hAnsi="Times New Roman" w:cs="Times New Roman"/>
          <w:sz w:val="20"/>
          <w:szCs w:val="24"/>
        </w:rPr>
      </w:pPr>
      <w:r w:rsidRPr="00BB56DE">
        <w:rPr>
          <w:rFonts w:ascii="Times New Roman" w:eastAsia="Times New Roman" w:hAnsi="Times New Roman" w:cs="Times New Roman"/>
          <w:sz w:val="20"/>
          <w:szCs w:val="24"/>
        </w:rPr>
        <w:t>The cancer risk (CR) assessment for ingestion of heavy metals from drinking water is</w:t>
      </w:r>
      <w:r>
        <w:rPr>
          <w:rFonts w:ascii="Times New Roman" w:eastAsia="Times New Roman" w:hAnsi="Times New Roman" w:cs="Times New Roman"/>
          <w:sz w:val="20"/>
          <w:szCs w:val="24"/>
        </w:rPr>
        <w:t xml:space="preserve"> presented in Table 21</w:t>
      </w:r>
      <w:r w:rsidRPr="00BB56DE">
        <w:rPr>
          <w:rFonts w:ascii="Times New Roman" w:eastAsia="Times New Roman" w:hAnsi="Times New Roman" w:cs="Times New Roman"/>
          <w:sz w:val="20"/>
          <w:szCs w:val="24"/>
        </w:rPr>
        <w:t xml:space="preserve">. Among the metals evaluated, nickel (Ni) exhibited the highest cancer risk across all samples, with values ranging from </w:t>
      </w:r>
      <w:r w:rsidRPr="00BB56DE">
        <w:rPr>
          <w:rFonts w:ascii="Times New Roman" w:eastAsia="Times New Roman" w:hAnsi="Times New Roman" w:cs="Times New Roman"/>
          <w:bCs/>
          <w:sz w:val="20"/>
          <w:szCs w:val="24"/>
        </w:rPr>
        <w:t>4.8569E-04</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1.0686E-03</w:t>
      </w:r>
      <w:r w:rsidRPr="00BB56DE">
        <w:rPr>
          <w:rFonts w:ascii="Times New Roman" w:eastAsia="Times New Roman" w:hAnsi="Times New Roman" w:cs="Times New Roman"/>
          <w:sz w:val="20"/>
          <w:szCs w:val="24"/>
        </w:rPr>
        <w:t xml:space="preserve">. This indicates a significant potential health threat, as prolonged exposure to Ni is known to contribute to carcinogenic effects. Chromium (Cr) also showed relatively high CR values, ranging between </w:t>
      </w:r>
      <w:r w:rsidRPr="00BB56DE">
        <w:rPr>
          <w:rFonts w:ascii="Times New Roman" w:eastAsia="Times New Roman" w:hAnsi="Times New Roman" w:cs="Times New Roman"/>
          <w:bCs/>
          <w:sz w:val="20"/>
          <w:szCs w:val="24"/>
        </w:rPr>
        <w:t>1.3250E-04</w:t>
      </w:r>
      <w:r w:rsidRPr="00BB56DE">
        <w:rPr>
          <w:rFonts w:ascii="Times New Roman" w:eastAsia="Times New Roman" w:hAnsi="Times New Roman" w:cs="Times New Roman"/>
          <w:sz w:val="20"/>
          <w:szCs w:val="24"/>
        </w:rPr>
        <w:t xml:space="preserve"> and </w:t>
      </w:r>
      <w:r w:rsidRPr="00BB56DE">
        <w:rPr>
          <w:rFonts w:ascii="Times New Roman" w:eastAsia="Times New Roman" w:hAnsi="Times New Roman" w:cs="Times New Roman"/>
          <w:bCs/>
          <w:sz w:val="20"/>
          <w:szCs w:val="24"/>
        </w:rPr>
        <w:t>3.1205E-04</w:t>
      </w:r>
      <w:r w:rsidRPr="00BB56DE">
        <w:rPr>
          <w:rFonts w:ascii="Times New Roman" w:eastAsia="Times New Roman" w:hAnsi="Times New Roman" w:cs="Times New Roman"/>
          <w:sz w:val="20"/>
          <w:szCs w:val="24"/>
        </w:rPr>
        <w:t xml:space="preserve">, suggesting that its presence in drinking water poses a notable risk, especially in samples 4, 7, 10, and 11, where the values exceeded </w:t>
      </w:r>
      <w:r w:rsidRPr="00BB56DE">
        <w:rPr>
          <w:rFonts w:ascii="Times New Roman" w:eastAsia="Times New Roman" w:hAnsi="Times New Roman" w:cs="Times New Roman"/>
          <w:bCs/>
          <w:sz w:val="20"/>
          <w:szCs w:val="24"/>
        </w:rPr>
        <w:t>2.5E-04</w:t>
      </w:r>
      <w:r>
        <w:rPr>
          <w:rFonts w:ascii="Times New Roman" w:eastAsia="Times New Roman" w:hAnsi="Times New Roman" w:cs="Times New Roman"/>
          <w:sz w:val="20"/>
          <w:szCs w:val="24"/>
        </w:rPr>
        <w:t xml:space="preserve">. </w:t>
      </w:r>
      <w:r w:rsidRPr="00BB56DE">
        <w:rPr>
          <w:rFonts w:ascii="Times New Roman" w:eastAsia="Times New Roman" w:hAnsi="Times New Roman" w:cs="Times New Roman"/>
          <w:sz w:val="20"/>
          <w:szCs w:val="24"/>
        </w:rPr>
        <w:t>Cadmium (Cd) and lead (</w:t>
      </w:r>
      <w:proofErr w:type="spellStart"/>
      <w:r w:rsidRPr="00BB56DE">
        <w:rPr>
          <w:rFonts w:ascii="Times New Roman" w:eastAsia="Times New Roman" w:hAnsi="Times New Roman" w:cs="Times New Roman"/>
          <w:sz w:val="20"/>
          <w:szCs w:val="24"/>
        </w:rPr>
        <w:t>Pb</w:t>
      </w:r>
      <w:proofErr w:type="spellEnd"/>
      <w:r w:rsidRPr="00BB56DE">
        <w:rPr>
          <w:rFonts w:ascii="Times New Roman" w:eastAsia="Times New Roman" w:hAnsi="Times New Roman" w:cs="Times New Roman"/>
          <w:sz w:val="20"/>
          <w:szCs w:val="24"/>
        </w:rPr>
        <w:t xml:space="preserve">), while exhibiting lower cancer risk values, still contribute to the cumulative carcinogenic burden. The CR values for Cd ranged from </w:t>
      </w:r>
      <w:r w:rsidRPr="00BB56DE">
        <w:rPr>
          <w:rFonts w:ascii="Times New Roman" w:eastAsia="Times New Roman" w:hAnsi="Times New Roman" w:cs="Times New Roman"/>
          <w:bCs/>
          <w:sz w:val="20"/>
          <w:szCs w:val="24"/>
        </w:rPr>
        <w:t>4.3434E-05</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1.0857E-04</w:t>
      </w:r>
      <w:r w:rsidRPr="00BB56DE">
        <w:rPr>
          <w:rFonts w:ascii="Times New Roman" w:eastAsia="Times New Roman" w:hAnsi="Times New Roman" w:cs="Times New Roman"/>
          <w:sz w:val="20"/>
          <w:szCs w:val="24"/>
        </w:rPr>
        <w:t>, with the highest risks observed in samples 4 and 11. Lead (</w:t>
      </w:r>
      <w:proofErr w:type="spellStart"/>
      <w:r w:rsidRPr="00BB56DE">
        <w:rPr>
          <w:rFonts w:ascii="Times New Roman" w:eastAsia="Times New Roman" w:hAnsi="Times New Roman" w:cs="Times New Roman"/>
          <w:sz w:val="20"/>
          <w:szCs w:val="24"/>
        </w:rPr>
        <w:t>Pb</w:t>
      </w:r>
      <w:proofErr w:type="spellEnd"/>
      <w:r w:rsidRPr="00BB56DE">
        <w:rPr>
          <w:rFonts w:ascii="Times New Roman" w:eastAsia="Times New Roman" w:hAnsi="Times New Roman" w:cs="Times New Roman"/>
          <w:sz w:val="20"/>
          <w:szCs w:val="24"/>
        </w:rPr>
        <w:t xml:space="preserve">) presented the lowest CR values, ranging from </w:t>
      </w:r>
      <w:r w:rsidRPr="00BB56DE">
        <w:rPr>
          <w:rFonts w:ascii="Times New Roman" w:eastAsia="Times New Roman" w:hAnsi="Times New Roman" w:cs="Times New Roman"/>
          <w:bCs/>
          <w:sz w:val="20"/>
          <w:szCs w:val="24"/>
        </w:rPr>
        <w:t>9.38400E-07</w:t>
      </w:r>
      <w:r w:rsidRPr="00BB56DE">
        <w:rPr>
          <w:rFonts w:ascii="Times New Roman" w:eastAsia="Times New Roman" w:hAnsi="Times New Roman" w:cs="Times New Roman"/>
          <w:sz w:val="20"/>
          <w:szCs w:val="24"/>
        </w:rPr>
        <w:t xml:space="preserve"> to </w:t>
      </w:r>
      <w:r w:rsidRPr="00BB56DE">
        <w:rPr>
          <w:rFonts w:ascii="Times New Roman" w:eastAsia="Times New Roman" w:hAnsi="Times New Roman" w:cs="Times New Roman"/>
          <w:bCs/>
          <w:sz w:val="20"/>
          <w:szCs w:val="24"/>
        </w:rPr>
        <w:t>3.27590E-06</w:t>
      </w:r>
      <w:r w:rsidRPr="00BB56DE">
        <w:rPr>
          <w:rFonts w:ascii="Times New Roman" w:eastAsia="Times New Roman" w:hAnsi="Times New Roman" w:cs="Times New Roman"/>
          <w:sz w:val="20"/>
          <w:szCs w:val="24"/>
        </w:rPr>
        <w:t>, which, although lower compared to other metals, should not be overlooked due to lead’s cumulative</w:t>
      </w:r>
      <w:r>
        <w:rPr>
          <w:rFonts w:ascii="Times New Roman" w:eastAsia="Times New Roman" w:hAnsi="Times New Roman" w:cs="Times New Roman"/>
          <w:sz w:val="20"/>
          <w:szCs w:val="24"/>
        </w:rPr>
        <w:t xml:space="preserve"> toxic effects on human health.</w:t>
      </w:r>
    </w:p>
    <w:p w14:paraId="4C2A320B" w14:textId="58C94FD1" w:rsidR="00E55257" w:rsidRPr="00E55257" w:rsidRDefault="00DF1B4B" w:rsidP="00E55257">
      <w:pPr>
        <w:spacing w:after="12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Table 21:</w:t>
      </w:r>
      <w:r w:rsidR="00E55257" w:rsidRPr="00E55257">
        <w:rPr>
          <w:rFonts w:ascii="Times New Roman" w:eastAsia="Times New Roman" w:hAnsi="Times New Roman" w:cs="Times New Roman"/>
          <w:b/>
          <w:sz w:val="20"/>
          <w:szCs w:val="24"/>
        </w:rPr>
        <w:t xml:space="preserve"> Cancer Risk (CR) for Ingestion of Heavy Metals from Drinking Water</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1987"/>
        <w:gridCol w:w="2008"/>
        <w:gridCol w:w="1993"/>
        <w:gridCol w:w="1855"/>
      </w:tblGrid>
      <w:tr w:rsidR="00E55257" w:rsidRPr="001861E8" w14:paraId="45729DE0" w14:textId="77777777" w:rsidTr="00C97947">
        <w:trPr>
          <w:trHeight w:val="326"/>
        </w:trPr>
        <w:tc>
          <w:tcPr>
            <w:tcW w:w="816" w:type="dxa"/>
            <w:tcBorders>
              <w:top w:val="single" w:sz="4" w:space="0" w:color="auto"/>
              <w:bottom w:val="single" w:sz="4" w:space="0" w:color="auto"/>
            </w:tcBorders>
          </w:tcPr>
          <w:p w14:paraId="09CEABA3"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Sample</w:t>
            </w:r>
          </w:p>
        </w:tc>
        <w:tc>
          <w:tcPr>
            <w:tcW w:w="1069" w:type="dxa"/>
            <w:tcBorders>
              <w:top w:val="single" w:sz="4" w:space="0" w:color="auto"/>
              <w:bottom w:val="single" w:sz="4" w:space="0" w:color="auto"/>
            </w:tcBorders>
          </w:tcPr>
          <w:p w14:paraId="589B454F"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Cd</w:t>
            </w:r>
          </w:p>
        </w:tc>
        <w:tc>
          <w:tcPr>
            <w:tcW w:w="1080" w:type="dxa"/>
            <w:tcBorders>
              <w:top w:val="single" w:sz="4" w:space="0" w:color="auto"/>
              <w:bottom w:val="single" w:sz="4" w:space="0" w:color="auto"/>
            </w:tcBorders>
          </w:tcPr>
          <w:p w14:paraId="57BED146"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Pb</w:t>
            </w:r>
          </w:p>
        </w:tc>
        <w:tc>
          <w:tcPr>
            <w:tcW w:w="1072" w:type="dxa"/>
            <w:tcBorders>
              <w:top w:val="single" w:sz="4" w:space="0" w:color="auto"/>
              <w:bottom w:val="single" w:sz="4" w:space="0" w:color="auto"/>
            </w:tcBorders>
          </w:tcPr>
          <w:p w14:paraId="4E6F41A5"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Ni</w:t>
            </w:r>
          </w:p>
        </w:tc>
        <w:tc>
          <w:tcPr>
            <w:tcW w:w="998" w:type="dxa"/>
            <w:tcBorders>
              <w:top w:val="single" w:sz="4" w:space="0" w:color="auto"/>
              <w:bottom w:val="single" w:sz="4" w:space="0" w:color="auto"/>
            </w:tcBorders>
          </w:tcPr>
          <w:p w14:paraId="1D364144"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Cr</w:t>
            </w:r>
          </w:p>
        </w:tc>
      </w:tr>
      <w:tr w:rsidR="00E55257" w:rsidRPr="001861E8" w14:paraId="65E880E5" w14:textId="77777777" w:rsidTr="00C97947">
        <w:trPr>
          <w:trHeight w:val="335"/>
        </w:trPr>
        <w:tc>
          <w:tcPr>
            <w:tcW w:w="816" w:type="dxa"/>
            <w:tcBorders>
              <w:top w:val="single" w:sz="4" w:space="0" w:color="auto"/>
              <w:bottom w:val="nil"/>
            </w:tcBorders>
          </w:tcPr>
          <w:p w14:paraId="591F81DA"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w:t>
            </w:r>
          </w:p>
        </w:tc>
        <w:tc>
          <w:tcPr>
            <w:tcW w:w="1069" w:type="dxa"/>
            <w:tcBorders>
              <w:top w:val="single" w:sz="4" w:space="0" w:color="auto"/>
              <w:bottom w:val="nil"/>
            </w:tcBorders>
          </w:tcPr>
          <w:p w14:paraId="28C55C1E"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5.4302E-05</w:t>
            </w:r>
          </w:p>
        </w:tc>
        <w:tc>
          <w:tcPr>
            <w:tcW w:w="1080" w:type="dxa"/>
            <w:tcBorders>
              <w:top w:val="single" w:sz="4" w:space="0" w:color="auto"/>
              <w:bottom w:val="nil"/>
            </w:tcBorders>
          </w:tcPr>
          <w:p w14:paraId="366BAF2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1.23165e-06</w:t>
            </w:r>
          </w:p>
        </w:tc>
        <w:tc>
          <w:tcPr>
            <w:tcW w:w="1072" w:type="dxa"/>
            <w:tcBorders>
              <w:top w:val="single" w:sz="4" w:space="0" w:color="auto"/>
              <w:bottom w:val="nil"/>
            </w:tcBorders>
          </w:tcPr>
          <w:p w14:paraId="5C2B7D9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5</w:t>
            </w:r>
            <w:r>
              <w:rPr>
                <w:rFonts w:ascii="Times New Roman" w:hAnsi="Times New Roman" w:cs="Times New Roman"/>
                <w:sz w:val="20"/>
                <w:szCs w:val="20"/>
              </w:rPr>
              <w:t>.</w:t>
            </w:r>
            <w:r w:rsidRPr="00D00D07">
              <w:rPr>
                <w:rFonts w:ascii="Times New Roman" w:hAnsi="Times New Roman" w:cs="Times New Roman"/>
                <w:sz w:val="20"/>
                <w:szCs w:val="20"/>
              </w:rPr>
              <w:t>8293</w:t>
            </w:r>
            <w:r>
              <w:rPr>
                <w:rFonts w:ascii="Times New Roman" w:hAnsi="Times New Roman" w:cs="Times New Roman"/>
                <w:sz w:val="20"/>
                <w:szCs w:val="20"/>
              </w:rPr>
              <w:t>E-04</w:t>
            </w:r>
          </w:p>
        </w:tc>
        <w:tc>
          <w:tcPr>
            <w:tcW w:w="998" w:type="dxa"/>
            <w:tcBorders>
              <w:top w:val="single" w:sz="4" w:space="0" w:color="auto"/>
              <w:bottom w:val="nil"/>
            </w:tcBorders>
          </w:tcPr>
          <w:p w14:paraId="0B7D6DC3"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2110</w:t>
            </w:r>
            <w:r>
              <w:rPr>
                <w:rFonts w:ascii="Times New Roman" w:hAnsi="Times New Roman" w:cs="Times New Roman"/>
                <w:sz w:val="20"/>
                <w:szCs w:val="20"/>
              </w:rPr>
              <w:t>E-04</w:t>
            </w:r>
          </w:p>
        </w:tc>
      </w:tr>
      <w:tr w:rsidR="00E55257" w:rsidRPr="001861E8" w14:paraId="7D26940A" w14:textId="77777777" w:rsidTr="00C97947">
        <w:trPr>
          <w:trHeight w:val="326"/>
        </w:trPr>
        <w:tc>
          <w:tcPr>
            <w:tcW w:w="816" w:type="dxa"/>
            <w:tcBorders>
              <w:top w:val="nil"/>
            </w:tcBorders>
          </w:tcPr>
          <w:p w14:paraId="23A5ADBB"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2</w:t>
            </w:r>
          </w:p>
        </w:tc>
        <w:tc>
          <w:tcPr>
            <w:tcW w:w="1069" w:type="dxa"/>
            <w:tcBorders>
              <w:top w:val="nil"/>
            </w:tcBorders>
          </w:tcPr>
          <w:p w14:paraId="26069EED"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8.6868E-05</w:t>
            </w:r>
          </w:p>
        </w:tc>
        <w:tc>
          <w:tcPr>
            <w:tcW w:w="1080" w:type="dxa"/>
            <w:tcBorders>
              <w:top w:val="nil"/>
            </w:tcBorders>
          </w:tcPr>
          <w:p w14:paraId="670BA238"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1.88360e-06</w:t>
            </w:r>
          </w:p>
        </w:tc>
        <w:tc>
          <w:tcPr>
            <w:tcW w:w="1072" w:type="dxa"/>
            <w:tcBorders>
              <w:top w:val="nil"/>
            </w:tcBorders>
          </w:tcPr>
          <w:p w14:paraId="445B1A0E"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8</w:t>
            </w:r>
            <w:r>
              <w:rPr>
                <w:rFonts w:ascii="Times New Roman" w:hAnsi="Times New Roman" w:cs="Times New Roman"/>
                <w:sz w:val="20"/>
                <w:szCs w:val="20"/>
              </w:rPr>
              <w:t>.</w:t>
            </w:r>
            <w:r w:rsidRPr="00D00D07">
              <w:rPr>
                <w:rFonts w:ascii="Times New Roman" w:hAnsi="Times New Roman" w:cs="Times New Roman"/>
                <w:sz w:val="20"/>
                <w:szCs w:val="20"/>
              </w:rPr>
              <w:t>7431</w:t>
            </w:r>
            <w:r>
              <w:rPr>
                <w:rFonts w:ascii="Times New Roman" w:hAnsi="Times New Roman" w:cs="Times New Roman"/>
                <w:sz w:val="20"/>
                <w:szCs w:val="20"/>
              </w:rPr>
              <w:t>E-04</w:t>
            </w:r>
          </w:p>
        </w:tc>
        <w:tc>
          <w:tcPr>
            <w:tcW w:w="998" w:type="dxa"/>
            <w:tcBorders>
              <w:top w:val="nil"/>
            </w:tcBorders>
          </w:tcPr>
          <w:p w14:paraId="76037183"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5940</w:t>
            </w:r>
            <w:r>
              <w:rPr>
                <w:rFonts w:ascii="Times New Roman" w:hAnsi="Times New Roman" w:cs="Times New Roman"/>
                <w:sz w:val="20"/>
                <w:szCs w:val="20"/>
              </w:rPr>
              <w:t>E-04</w:t>
            </w:r>
          </w:p>
        </w:tc>
      </w:tr>
      <w:tr w:rsidR="00E55257" w:rsidRPr="001861E8" w14:paraId="5993701C" w14:textId="77777777" w:rsidTr="00C97947">
        <w:trPr>
          <w:trHeight w:val="326"/>
        </w:trPr>
        <w:tc>
          <w:tcPr>
            <w:tcW w:w="816" w:type="dxa"/>
          </w:tcPr>
          <w:p w14:paraId="4C0A41BD"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3</w:t>
            </w:r>
          </w:p>
        </w:tc>
        <w:tc>
          <w:tcPr>
            <w:tcW w:w="1069" w:type="dxa"/>
          </w:tcPr>
          <w:p w14:paraId="4088BE1C"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58F218D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1.36765e-06</w:t>
            </w:r>
          </w:p>
        </w:tc>
        <w:tc>
          <w:tcPr>
            <w:tcW w:w="1072" w:type="dxa"/>
          </w:tcPr>
          <w:p w14:paraId="5AAF62FE"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7</w:t>
            </w:r>
            <w:r>
              <w:rPr>
                <w:rFonts w:ascii="Times New Roman" w:hAnsi="Times New Roman" w:cs="Times New Roman"/>
                <w:sz w:val="20"/>
                <w:szCs w:val="20"/>
              </w:rPr>
              <w:t>.</w:t>
            </w:r>
            <w:r w:rsidRPr="00D00D07">
              <w:rPr>
                <w:rFonts w:ascii="Times New Roman" w:hAnsi="Times New Roman" w:cs="Times New Roman"/>
                <w:sz w:val="20"/>
                <w:szCs w:val="20"/>
              </w:rPr>
              <w:t>2862</w:t>
            </w:r>
            <w:r>
              <w:rPr>
                <w:rFonts w:ascii="Times New Roman" w:hAnsi="Times New Roman" w:cs="Times New Roman"/>
                <w:sz w:val="20"/>
                <w:szCs w:val="20"/>
              </w:rPr>
              <w:t>E-04</w:t>
            </w:r>
          </w:p>
        </w:tc>
        <w:tc>
          <w:tcPr>
            <w:tcW w:w="998" w:type="dxa"/>
          </w:tcPr>
          <w:p w14:paraId="15758C48"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1440</w:t>
            </w:r>
            <w:r>
              <w:rPr>
                <w:rFonts w:ascii="Times New Roman" w:hAnsi="Times New Roman" w:cs="Times New Roman"/>
                <w:sz w:val="20"/>
                <w:szCs w:val="20"/>
              </w:rPr>
              <w:t>E-04</w:t>
            </w:r>
          </w:p>
        </w:tc>
      </w:tr>
      <w:tr w:rsidR="00E55257" w:rsidRPr="001861E8" w14:paraId="09859768" w14:textId="77777777" w:rsidTr="00C97947">
        <w:trPr>
          <w:trHeight w:val="335"/>
        </w:trPr>
        <w:tc>
          <w:tcPr>
            <w:tcW w:w="816" w:type="dxa"/>
          </w:tcPr>
          <w:p w14:paraId="0840C6BB"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4</w:t>
            </w:r>
          </w:p>
        </w:tc>
        <w:tc>
          <w:tcPr>
            <w:tcW w:w="1069" w:type="dxa"/>
          </w:tcPr>
          <w:p w14:paraId="38149E45"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1.0857E-04</w:t>
            </w:r>
          </w:p>
        </w:tc>
        <w:tc>
          <w:tcPr>
            <w:tcW w:w="1080" w:type="dxa"/>
          </w:tcPr>
          <w:p w14:paraId="0A08889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3.27590e-06</w:t>
            </w:r>
          </w:p>
        </w:tc>
        <w:tc>
          <w:tcPr>
            <w:tcW w:w="1072" w:type="dxa"/>
          </w:tcPr>
          <w:p w14:paraId="046D0CA9"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w:t>
            </w:r>
            <w:r>
              <w:rPr>
                <w:rFonts w:ascii="Times New Roman" w:hAnsi="Times New Roman" w:cs="Times New Roman"/>
                <w:sz w:val="20"/>
                <w:szCs w:val="20"/>
              </w:rPr>
              <w:t>.0686E-03</w:t>
            </w:r>
          </w:p>
        </w:tc>
        <w:tc>
          <w:tcPr>
            <w:tcW w:w="998" w:type="dxa"/>
          </w:tcPr>
          <w:p w14:paraId="668B4FE9"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6405</w:t>
            </w:r>
            <w:r>
              <w:rPr>
                <w:rFonts w:ascii="Times New Roman" w:hAnsi="Times New Roman" w:cs="Times New Roman"/>
                <w:sz w:val="20"/>
                <w:szCs w:val="20"/>
              </w:rPr>
              <w:t>E-04</w:t>
            </w:r>
          </w:p>
        </w:tc>
      </w:tr>
      <w:tr w:rsidR="00E55257" w:rsidRPr="001861E8" w14:paraId="1B710916" w14:textId="77777777" w:rsidTr="00C97947">
        <w:trPr>
          <w:trHeight w:val="326"/>
        </w:trPr>
        <w:tc>
          <w:tcPr>
            <w:tcW w:w="816" w:type="dxa"/>
          </w:tcPr>
          <w:p w14:paraId="650E2AA0"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5</w:t>
            </w:r>
          </w:p>
        </w:tc>
        <w:tc>
          <w:tcPr>
            <w:tcW w:w="1069" w:type="dxa"/>
          </w:tcPr>
          <w:p w14:paraId="6B861EA7"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4.3434E-05</w:t>
            </w:r>
          </w:p>
        </w:tc>
        <w:tc>
          <w:tcPr>
            <w:tcW w:w="1080" w:type="dxa"/>
          </w:tcPr>
          <w:p w14:paraId="1352E767"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9.38400e-07</w:t>
            </w:r>
          </w:p>
        </w:tc>
        <w:tc>
          <w:tcPr>
            <w:tcW w:w="1072" w:type="dxa"/>
          </w:tcPr>
          <w:p w14:paraId="6E842246"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4</w:t>
            </w:r>
            <w:r>
              <w:rPr>
                <w:rFonts w:ascii="Times New Roman" w:hAnsi="Times New Roman" w:cs="Times New Roman"/>
                <w:sz w:val="20"/>
                <w:szCs w:val="20"/>
              </w:rPr>
              <w:t>.</w:t>
            </w:r>
            <w:r w:rsidRPr="00D00D07">
              <w:rPr>
                <w:rFonts w:ascii="Times New Roman" w:hAnsi="Times New Roman" w:cs="Times New Roman"/>
                <w:sz w:val="20"/>
                <w:szCs w:val="20"/>
              </w:rPr>
              <w:t>8569</w:t>
            </w:r>
            <w:r>
              <w:rPr>
                <w:rFonts w:ascii="Times New Roman" w:hAnsi="Times New Roman" w:cs="Times New Roman"/>
                <w:sz w:val="20"/>
                <w:szCs w:val="20"/>
              </w:rPr>
              <w:t>E-04</w:t>
            </w:r>
          </w:p>
        </w:tc>
        <w:tc>
          <w:tcPr>
            <w:tcW w:w="998" w:type="dxa"/>
          </w:tcPr>
          <w:p w14:paraId="5E23B8AF"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1</w:t>
            </w:r>
            <w:r>
              <w:rPr>
                <w:rFonts w:ascii="Times New Roman" w:hAnsi="Times New Roman" w:cs="Times New Roman"/>
                <w:sz w:val="20"/>
                <w:szCs w:val="20"/>
              </w:rPr>
              <w:t>.</w:t>
            </w:r>
            <w:r w:rsidRPr="000F5BD0">
              <w:rPr>
                <w:rFonts w:ascii="Times New Roman" w:hAnsi="Times New Roman" w:cs="Times New Roman"/>
                <w:sz w:val="20"/>
                <w:szCs w:val="20"/>
              </w:rPr>
              <w:t>4040</w:t>
            </w:r>
            <w:r>
              <w:rPr>
                <w:rFonts w:ascii="Times New Roman" w:hAnsi="Times New Roman" w:cs="Times New Roman"/>
                <w:sz w:val="20"/>
                <w:szCs w:val="20"/>
              </w:rPr>
              <w:t>E-04</w:t>
            </w:r>
          </w:p>
        </w:tc>
      </w:tr>
      <w:tr w:rsidR="00E55257" w:rsidRPr="001861E8" w14:paraId="434B62C3" w14:textId="77777777" w:rsidTr="00C97947">
        <w:trPr>
          <w:trHeight w:val="326"/>
        </w:trPr>
        <w:tc>
          <w:tcPr>
            <w:tcW w:w="816" w:type="dxa"/>
          </w:tcPr>
          <w:p w14:paraId="5A765FF7"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6</w:t>
            </w:r>
          </w:p>
        </w:tc>
        <w:tc>
          <w:tcPr>
            <w:tcW w:w="1069" w:type="dxa"/>
          </w:tcPr>
          <w:p w14:paraId="0A4C71CE"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7.6000E-05</w:t>
            </w:r>
          </w:p>
        </w:tc>
        <w:tc>
          <w:tcPr>
            <w:tcW w:w="1080" w:type="dxa"/>
          </w:tcPr>
          <w:p w14:paraId="31B6B4F8"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1.83090e-06</w:t>
            </w:r>
          </w:p>
        </w:tc>
        <w:tc>
          <w:tcPr>
            <w:tcW w:w="1072" w:type="dxa"/>
          </w:tcPr>
          <w:p w14:paraId="49494C5C"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6</w:t>
            </w:r>
            <w:r>
              <w:rPr>
                <w:rFonts w:ascii="Times New Roman" w:hAnsi="Times New Roman" w:cs="Times New Roman"/>
                <w:sz w:val="20"/>
                <w:szCs w:val="20"/>
              </w:rPr>
              <w:t>.</w:t>
            </w:r>
            <w:r w:rsidRPr="00D00D07">
              <w:rPr>
                <w:rFonts w:ascii="Times New Roman" w:hAnsi="Times New Roman" w:cs="Times New Roman"/>
                <w:sz w:val="20"/>
                <w:szCs w:val="20"/>
              </w:rPr>
              <w:t>8000</w:t>
            </w:r>
            <w:r>
              <w:rPr>
                <w:rFonts w:ascii="Times New Roman" w:hAnsi="Times New Roman" w:cs="Times New Roman"/>
                <w:sz w:val="20"/>
                <w:szCs w:val="20"/>
              </w:rPr>
              <w:t>E-04</w:t>
            </w:r>
          </w:p>
        </w:tc>
        <w:tc>
          <w:tcPr>
            <w:tcW w:w="998" w:type="dxa"/>
          </w:tcPr>
          <w:p w14:paraId="1C033D17"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0215</w:t>
            </w:r>
            <w:r>
              <w:rPr>
                <w:rFonts w:ascii="Times New Roman" w:hAnsi="Times New Roman" w:cs="Times New Roman"/>
                <w:sz w:val="20"/>
                <w:szCs w:val="20"/>
              </w:rPr>
              <w:t>E-04</w:t>
            </w:r>
          </w:p>
        </w:tc>
      </w:tr>
      <w:tr w:rsidR="00E55257" w:rsidRPr="001861E8" w14:paraId="02737423" w14:textId="77777777" w:rsidTr="00C97947">
        <w:trPr>
          <w:trHeight w:val="335"/>
        </w:trPr>
        <w:tc>
          <w:tcPr>
            <w:tcW w:w="816" w:type="dxa"/>
          </w:tcPr>
          <w:p w14:paraId="3E18B0A7"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7</w:t>
            </w:r>
          </w:p>
        </w:tc>
        <w:tc>
          <w:tcPr>
            <w:tcW w:w="1069" w:type="dxa"/>
          </w:tcPr>
          <w:p w14:paraId="543DBA07"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9.7698E-05</w:t>
            </w:r>
          </w:p>
        </w:tc>
        <w:tc>
          <w:tcPr>
            <w:tcW w:w="1080" w:type="dxa"/>
          </w:tcPr>
          <w:p w14:paraId="5F1683B2"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2.27375e-06</w:t>
            </w:r>
          </w:p>
        </w:tc>
        <w:tc>
          <w:tcPr>
            <w:tcW w:w="1072" w:type="dxa"/>
          </w:tcPr>
          <w:p w14:paraId="7DC725BE"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9</w:t>
            </w:r>
            <w:r>
              <w:rPr>
                <w:rFonts w:ascii="Times New Roman" w:hAnsi="Times New Roman" w:cs="Times New Roman"/>
                <w:sz w:val="20"/>
                <w:szCs w:val="20"/>
              </w:rPr>
              <w:t>.</w:t>
            </w:r>
            <w:r w:rsidRPr="002524D2">
              <w:rPr>
                <w:rFonts w:ascii="Times New Roman" w:hAnsi="Times New Roman" w:cs="Times New Roman"/>
                <w:sz w:val="20"/>
                <w:szCs w:val="20"/>
              </w:rPr>
              <w:t>7138</w:t>
            </w:r>
            <w:r>
              <w:rPr>
                <w:rFonts w:ascii="Times New Roman" w:hAnsi="Times New Roman" w:cs="Times New Roman"/>
                <w:sz w:val="20"/>
                <w:szCs w:val="20"/>
              </w:rPr>
              <w:t>E-04</w:t>
            </w:r>
          </w:p>
        </w:tc>
        <w:tc>
          <w:tcPr>
            <w:tcW w:w="998" w:type="dxa"/>
          </w:tcPr>
          <w:p w14:paraId="5BFFE14F"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8270</w:t>
            </w:r>
            <w:r>
              <w:rPr>
                <w:rFonts w:ascii="Times New Roman" w:hAnsi="Times New Roman" w:cs="Times New Roman"/>
                <w:sz w:val="20"/>
                <w:szCs w:val="20"/>
              </w:rPr>
              <w:t>E-04</w:t>
            </w:r>
          </w:p>
        </w:tc>
      </w:tr>
      <w:tr w:rsidR="00E55257" w:rsidRPr="001861E8" w14:paraId="5676D64E" w14:textId="77777777" w:rsidTr="00C97947">
        <w:trPr>
          <w:trHeight w:val="326"/>
        </w:trPr>
        <w:tc>
          <w:tcPr>
            <w:tcW w:w="816" w:type="dxa"/>
          </w:tcPr>
          <w:p w14:paraId="223B0D6D"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8</w:t>
            </w:r>
          </w:p>
        </w:tc>
        <w:tc>
          <w:tcPr>
            <w:tcW w:w="1069" w:type="dxa"/>
          </w:tcPr>
          <w:p w14:paraId="4E7ED69B"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7.6000E-05</w:t>
            </w:r>
          </w:p>
        </w:tc>
        <w:tc>
          <w:tcPr>
            <w:tcW w:w="1080" w:type="dxa"/>
          </w:tcPr>
          <w:p w14:paraId="72FBD824"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1.77395e-06</w:t>
            </w:r>
          </w:p>
        </w:tc>
        <w:tc>
          <w:tcPr>
            <w:tcW w:w="1072" w:type="dxa"/>
          </w:tcPr>
          <w:p w14:paraId="429FC321"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7</w:t>
            </w:r>
            <w:r>
              <w:rPr>
                <w:rFonts w:ascii="Times New Roman" w:hAnsi="Times New Roman" w:cs="Times New Roman"/>
                <w:sz w:val="20"/>
                <w:szCs w:val="20"/>
              </w:rPr>
              <w:t>.</w:t>
            </w:r>
            <w:r w:rsidRPr="002524D2">
              <w:rPr>
                <w:rFonts w:ascii="Times New Roman" w:hAnsi="Times New Roman" w:cs="Times New Roman"/>
                <w:sz w:val="20"/>
                <w:szCs w:val="20"/>
              </w:rPr>
              <w:t>7707</w:t>
            </w:r>
            <w:r>
              <w:rPr>
                <w:rFonts w:ascii="Times New Roman" w:hAnsi="Times New Roman" w:cs="Times New Roman"/>
                <w:sz w:val="20"/>
                <w:szCs w:val="20"/>
              </w:rPr>
              <w:t>E-04</w:t>
            </w:r>
          </w:p>
        </w:tc>
        <w:tc>
          <w:tcPr>
            <w:tcW w:w="998" w:type="dxa"/>
          </w:tcPr>
          <w:p w14:paraId="060DB21E"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2890</w:t>
            </w:r>
            <w:r>
              <w:rPr>
                <w:rFonts w:ascii="Times New Roman" w:hAnsi="Times New Roman" w:cs="Times New Roman"/>
                <w:sz w:val="20"/>
                <w:szCs w:val="20"/>
              </w:rPr>
              <w:t>E-04</w:t>
            </w:r>
          </w:p>
        </w:tc>
      </w:tr>
      <w:tr w:rsidR="00E55257" w:rsidRPr="001861E8" w14:paraId="3CD180DA" w14:textId="77777777" w:rsidTr="00C97947">
        <w:trPr>
          <w:trHeight w:val="326"/>
        </w:trPr>
        <w:tc>
          <w:tcPr>
            <w:tcW w:w="816" w:type="dxa"/>
          </w:tcPr>
          <w:p w14:paraId="28084B06"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9</w:t>
            </w:r>
          </w:p>
        </w:tc>
        <w:tc>
          <w:tcPr>
            <w:tcW w:w="1069" w:type="dxa"/>
          </w:tcPr>
          <w:p w14:paraId="6132F31A"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7AA5290C"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1.45690e-06</w:t>
            </w:r>
          </w:p>
        </w:tc>
        <w:tc>
          <w:tcPr>
            <w:tcW w:w="1072" w:type="dxa"/>
          </w:tcPr>
          <w:p w14:paraId="2D24B430"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8</w:t>
            </w:r>
            <w:r>
              <w:rPr>
                <w:rFonts w:ascii="Times New Roman" w:hAnsi="Times New Roman" w:cs="Times New Roman"/>
                <w:sz w:val="20"/>
                <w:szCs w:val="20"/>
              </w:rPr>
              <w:t>.</w:t>
            </w:r>
            <w:r w:rsidRPr="002524D2">
              <w:rPr>
                <w:rFonts w:ascii="Times New Roman" w:hAnsi="Times New Roman" w:cs="Times New Roman"/>
                <w:sz w:val="20"/>
                <w:szCs w:val="20"/>
              </w:rPr>
              <w:t>2569</w:t>
            </w:r>
            <w:r>
              <w:rPr>
                <w:rFonts w:ascii="Times New Roman" w:hAnsi="Times New Roman" w:cs="Times New Roman"/>
                <w:sz w:val="20"/>
                <w:szCs w:val="20"/>
              </w:rPr>
              <w:t>E-04</w:t>
            </w:r>
          </w:p>
        </w:tc>
        <w:tc>
          <w:tcPr>
            <w:tcW w:w="998" w:type="dxa"/>
          </w:tcPr>
          <w:p w14:paraId="74214E9B"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3050</w:t>
            </w:r>
            <w:r>
              <w:rPr>
                <w:rFonts w:ascii="Times New Roman" w:hAnsi="Times New Roman" w:cs="Times New Roman"/>
                <w:sz w:val="20"/>
                <w:szCs w:val="20"/>
              </w:rPr>
              <w:t>E-04</w:t>
            </w:r>
          </w:p>
        </w:tc>
      </w:tr>
      <w:tr w:rsidR="00E55257" w:rsidRPr="001861E8" w14:paraId="6E9F3A91" w14:textId="77777777" w:rsidTr="00C97947">
        <w:trPr>
          <w:trHeight w:val="335"/>
        </w:trPr>
        <w:tc>
          <w:tcPr>
            <w:tcW w:w="816" w:type="dxa"/>
          </w:tcPr>
          <w:p w14:paraId="4C48FE71"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10</w:t>
            </w:r>
          </w:p>
        </w:tc>
        <w:tc>
          <w:tcPr>
            <w:tcW w:w="1069" w:type="dxa"/>
          </w:tcPr>
          <w:p w14:paraId="27560753"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6.5132E-05</w:t>
            </w:r>
          </w:p>
        </w:tc>
        <w:tc>
          <w:tcPr>
            <w:tcW w:w="1080" w:type="dxa"/>
          </w:tcPr>
          <w:p w14:paraId="2A63BF90"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1.46030e-06</w:t>
            </w:r>
          </w:p>
        </w:tc>
        <w:tc>
          <w:tcPr>
            <w:tcW w:w="1072" w:type="dxa"/>
          </w:tcPr>
          <w:p w14:paraId="4FB8CAEF"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7</w:t>
            </w:r>
            <w:r>
              <w:rPr>
                <w:rFonts w:ascii="Times New Roman" w:hAnsi="Times New Roman" w:cs="Times New Roman"/>
                <w:sz w:val="20"/>
                <w:szCs w:val="20"/>
              </w:rPr>
              <w:t>.</w:t>
            </w:r>
            <w:r w:rsidRPr="002524D2">
              <w:rPr>
                <w:rFonts w:ascii="Times New Roman" w:hAnsi="Times New Roman" w:cs="Times New Roman"/>
                <w:sz w:val="20"/>
                <w:szCs w:val="20"/>
              </w:rPr>
              <w:t>2862</w:t>
            </w:r>
            <w:r>
              <w:rPr>
                <w:rFonts w:ascii="Times New Roman" w:hAnsi="Times New Roman" w:cs="Times New Roman"/>
                <w:sz w:val="20"/>
                <w:szCs w:val="20"/>
              </w:rPr>
              <w:t>E-04</w:t>
            </w:r>
          </w:p>
        </w:tc>
        <w:tc>
          <w:tcPr>
            <w:tcW w:w="998" w:type="dxa"/>
          </w:tcPr>
          <w:p w14:paraId="7F4E0192"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2</w:t>
            </w:r>
            <w:r>
              <w:rPr>
                <w:rFonts w:ascii="Times New Roman" w:hAnsi="Times New Roman" w:cs="Times New Roman"/>
                <w:sz w:val="20"/>
                <w:szCs w:val="20"/>
              </w:rPr>
              <w:t>.</w:t>
            </w:r>
            <w:r w:rsidRPr="000F5BD0">
              <w:rPr>
                <w:rFonts w:ascii="Times New Roman" w:hAnsi="Times New Roman" w:cs="Times New Roman"/>
                <w:sz w:val="20"/>
                <w:szCs w:val="20"/>
              </w:rPr>
              <w:t>6430</w:t>
            </w:r>
            <w:r>
              <w:rPr>
                <w:rFonts w:ascii="Times New Roman" w:hAnsi="Times New Roman" w:cs="Times New Roman"/>
                <w:sz w:val="20"/>
                <w:szCs w:val="20"/>
              </w:rPr>
              <w:t>E-04</w:t>
            </w:r>
          </w:p>
        </w:tc>
      </w:tr>
      <w:tr w:rsidR="00E55257" w:rsidRPr="001861E8" w14:paraId="25E9621E" w14:textId="77777777" w:rsidTr="00C97947">
        <w:trPr>
          <w:trHeight w:val="326"/>
        </w:trPr>
        <w:tc>
          <w:tcPr>
            <w:tcW w:w="816" w:type="dxa"/>
          </w:tcPr>
          <w:p w14:paraId="6D96C8AE"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11</w:t>
            </w:r>
          </w:p>
        </w:tc>
        <w:tc>
          <w:tcPr>
            <w:tcW w:w="1069" w:type="dxa"/>
          </w:tcPr>
          <w:p w14:paraId="4C9DACBA"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1.0857E-04</w:t>
            </w:r>
          </w:p>
        </w:tc>
        <w:tc>
          <w:tcPr>
            <w:tcW w:w="1080" w:type="dxa"/>
          </w:tcPr>
          <w:p w14:paraId="57F83C9A"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2.43610e-06</w:t>
            </w:r>
          </w:p>
        </w:tc>
        <w:tc>
          <w:tcPr>
            <w:tcW w:w="1072" w:type="dxa"/>
          </w:tcPr>
          <w:p w14:paraId="6939C266"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1</w:t>
            </w:r>
            <w:r>
              <w:rPr>
                <w:rFonts w:ascii="Times New Roman" w:hAnsi="Times New Roman" w:cs="Times New Roman"/>
                <w:sz w:val="20"/>
                <w:szCs w:val="20"/>
              </w:rPr>
              <w:t>.0686E-03</w:t>
            </w:r>
          </w:p>
        </w:tc>
        <w:tc>
          <w:tcPr>
            <w:tcW w:w="998" w:type="dxa"/>
          </w:tcPr>
          <w:p w14:paraId="67E3B6D1"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3</w:t>
            </w:r>
            <w:r>
              <w:rPr>
                <w:rFonts w:ascii="Times New Roman" w:hAnsi="Times New Roman" w:cs="Times New Roman"/>
                <w:sz w:val="20"/>
                <w:szCs w:val="20"/>
              </w:rPr>
              <w:t>.</w:t>
            </w:r>
            <w:r w:rsidRPr="000F5BD0">
              <w:rPr>
                <w:rFonts w:ascii="Times New Roman" w:hAnsi="Times New Roman" w:cs="Times New Roman"/>
                <w:sz w:val="20"/>
                <w:szCs w:val="20"/>
              </w:rPr>
              <w:t>1205</w:t>
            </w:r>
            <w:r>
              <w:rPr>
                <w:rFonts w:ascii="Times New Roman" w:hAnsi="Times New Roman" w:cs="Times New Roman"/>
                <w:sz w:val="20"/>
                <w:szCs w:val="20"/>
              </w:rPr>
              <w:t>E-04</w:t>
            </w:r>
          </w:p>
        </w:tc>
      </w:tr>
      <w:tr w:rsidR="00E55257" w:rsidRPr="001861E8" w14:paraId="2FB68597" w14:textId="77777777" w:rsidTr="00C97947">
        <w:trPr>
          <w:trHeight w:val="326"/>
        </w:trPr>
        <w:tc>
          <w:tcPr>
            <w:tcW w:w="816" w:type="dxa"/>
          </w:tcPr>
          <w:p w14:paraId="0565EBD9" w14:textId="77777777" w:rsidR="00E55257" w:rsidRPr="001074D6" w:rsidRDefault="00E55257" w:rsidP="00E55257">
            <w:pPr>
              <w:jc w:val="center"/>
              <w:rPr>
                <w:rFonts w:ascii="Times New Roman" w:hAnsi="Times New Roman" w:cs="Times New Roman"/>
                <w:sz w:val="20"/>
                <w:szCs w:val="20"/>
              </w:rPr>
            </w:pPr>
            <w:r w:rsidRPr="001074D6">
              <w:rPr>
                <w:rFonts w:ascii="Times New Roman" w:hAnsi="Times New Roman" w:cs="Times New Roman"/>
                <w:sz w:val="20"/>
                <w:szCs w:val="20"/>
              </w:rPr>
              <w:t>12</w:t>
            </w:r>
          </w:p>
        </w:tc>
        <w:tc>
          <w:tcPr>
            <w:tcW w:w="1069" w:type="dxa"/>
          </w:tcPr>
          <w:p w14:paraId="32159A3B" w14:textId="77777777" w:rsidR="00E55257" w:rsidRPr="001074D6" w:rsidRDefault="00E55257" w:rsidP="00E55257">
            <w:pPr>
              <w:jc w:val="center"/>
              <w:rPr>
                <w:rFonts w:ascii="Times New Roman" w:hAnsi="Times New Roman" w:cs="Times New Roman"/>
                <w:sz w:val="20"/>
                <w:szCs w:val="20"/>
              </w:rPr>
            </w:pPr>
            <w:r>
              <w:rPr>
                <w:rFonts w:ascii="Times New Roman" w:hAnsi="Times New Roman" w:cs="Times New Roman"/>
                <w:sz w:val="20"/>
                <w:szCs w:val="20"/>
              </w:rPr>
              <w:t>4.3434E-05</w:t>
            </w:r>
          </w:p>
        </w:tc>
        <w:tc>
          <w:tcPr>
            <w:tcW w:w="1080" w:type="dxa"/>
          </w:tcPr>
          <w:p w14:paraId="01CA9E55" w14:textId="77777777" w:rsidR="00E55257" w:rsidRPr="001074D6" w:rsidRDefault="00E55257" w:rsidP="00E55257">
            <w:pPr>
              <w:jc w:val="center"/>
              <w:rPr>
                <w:rFonts w:ascii="Times New Roman" w:hAnsi="Times New Roman" w:cs="Times New Roman"/>
                <w:sz w:val="20"/>
                <w:szCs w:val="20"/>
              </w:rPr>
            </w:pPr>
            <w:r w:rsidRPr="00D00D07">
              <w:rPr>
                <w:rFonts w:ascii="Times New Roman" w:hAnsi="Times New Roman" w:cs="Times New Roman"/>
                <w:sz w:val="20"/>
                <w:szCs w:val="20"/>
              </w:rPr>
              <w:t>1.82580e-06</w:t>
            </w:r>
          </w:p>
        </w:tc>
        <w:tc>
          <w:tcPr>
            <w:tcW w:w="1072" w:type="dxa"/>
          </w:tcPr>
          <w:p w14:paraId="5528CEA3" w14:textId="77777777" w:rsidR="00E55257" w:rsidRPr="001074D6" w:rsidRDefault="00E55257" w:rsidP="00E55257">
            <w:pPr>
              <w:jc w:val="center"/>
              <w:rPr>
                <w:rFonts w:ascii="Times New Roman" w:hAnsi="Times New Roman" w:cs="Times New Roman"/>
                <w:sz w:val="20"/>
                <w:szCs w:val="20"/>
              </w:rPr>
            </w:pPr>
            <w:r w:rsidRPr="002524D2">
              <w:rPr>
                <w:rFonts w:ascii="Times New Roman" w:hAnsi="Times New Roman" w:cs="Times New Roman"/>
                <w:sz w:val="20"/>
                <w:szCs w:val="20"/>
              </w:rPr>
              <w:t>4</w:t>
            </w:r>
            <w:r>
              <w:rPr>
                <w:rFonts w:ascii="Times New Roman" w:hAnsi="Times New Roman" w:cs="Times New Roman"/>
                <w:sz w:val="20"/>
                <w:szCs w:val="20"/>
              </w:rPr>
              <w:t>.</w:t>
            </w:r>
            <w:r w:rsidRPr="002524D2">
              <w:rPr>
                <w:rFonts w:ascii="Times New Roman" w:hAnsi="Times New Roman" w:cs="Times New Roman"/>
                <w:sz w:val="20"/>
                <w:szCs w:val="20"/>
              </w:rPr>
              <w:t>8569</w:t>
            </w:r>
            <w:r>
              <w:rPr>
                <w:rFonts w:ascii="Times New Roman" w:hAnsi="Times New Roman" w:cs="Times New Roman"/>
                <w:sz w:val="20"/>
                <w:szCs w:val="20"/>
              </w:rPr>
              <w:t>E-04</w:t>
            </w:r>
          </w:p>
        </w:tc>
        <w:tc>
          <w:tcPr>
            <w:tcW w:w="998" w:type="dxa"/>
          </w:tcPr>
          <w:p w14:paraId="198C200E" w14:textId="77777777" w:rsidR="00E55257" w:rsidRPr="001074D6" w:rsidRDefault="00E55257" w:rsidP="00E55257">
            <w:pPr>
              <w:jc w:val="center"/>
              <w:rPr>
                <w:rFonts w:ascii="Times New Roman" w:hAnsi="Times New Roman" w:cs="Times New Roman"/>
                <w:sz w:val="20"/>
                <w:szCs w:val="20"/>
              </w:rPr>
            </w:pPr>
            <w:r w:rsidRPr="000F5BD0">
              <w:rPr>
                <w:rFonts w:ascii="Times New Roman" w:hAnsi="Times New Roman" w:cs="Times New Roman"/>
                <w:sz w:val="20"/>
                <w:szCs w:val="20"/>
              </w:rPr>
              <w:t>1</w:t>
            </w:r>
            <w:r>
              <w:rPr>
                <w:rFonts w:ascii="Times New Roman" w:hAnsi="Times New Roman" w:cs="Times New Roman"/>
                <w:sz w:val="20"/>
                <w:szCs w:val="20"/>
              </w:rPr>
              <w:t>.</w:t>
            </w:r>
            <w:r w:rsidRPr="000F5BD0">
              <w:rPr>
                <w:rFonts w:ascii="Times New Roman" w:hAnsi="Times New Roman" w:cs="Times New Roman"/>
                <w:sz w:val="20"/>
                <w:szCs w:val="20"/>
              </w:rPr>
              <w:t>3250</w:t>
            </w:r>
            <w:r>
              <w:rPr>
                <w:rFonts w:ascii="Times New Roman" w:hAnsi="Times New Roman" w:cs="Times New Roman"/>
                <w:sz w:val="20"/>
                <w:szCs w:val="20"/>
              </w:rPr>
              <w:t>E-04</w:t>
            </w:r>
          </w:p>
        </w:tc>
      </w:tr>
    </w:tbl>
    <w:p w14:paraId="082FB6CB" w14:textId="77777777" w:rsidR="00E55257" w:rsidRDefault="00E55257" w:rsidP="00A05925">
      <w:pPr>
        <w:jc w:val="both"/>
        <w:rPr>
          <w:rFonts w:ascii="Times New Roman" w:hAnsi="Times New Roman" w:cs="Times New Roman"/>
          <w:sz w:val="20"/>
          <w:szCs w:val="20"/>
        </w:rPr>
      </w:pPr>
    </w:p>
    <w:p w14:paraId="3E675F3C" w14:textId="60EE7757" w:rsidR="00DF1B4B" w:rsidRPr="00DF1B4B" w:rsidRDefault="00DF1B4B" w:rsidP="00DF1B4B">
      <w:pPr>
        <w:spacing w:after="120" w:line="276" w:lineRule="auto"/>
        <w:jc w:val="both"/>
        <w:rPr>
          <w:rFonts w:ascii="Times New Roman" w:eastAsia="Times New Roman" w:hAnsi="Times New Roman" w:cs="Times New Roman"/>
          <w:sz w:val="20"/>
          <w:szCs w:val="24"/>
        </w:rPr>
      </w:pPr>
      <w:r w:rsidRPr="00187E0C">
        <w:rPr>
          <w:rFonts w:ascii="Times New Roman" w:eastAsia="Times New Roman" w:hAnsi="Times New Roman" w:cs="Times New Roman"/>
          <w:sz w:val="20"/>
          <w:szCs w:val="24"/>
        </w:rPr>
        <w:t>The cancer risk (CR) assessment for dermal exposure to heavy metals in drinking water is</w:t>
      </w:r>
      <w:r>
        <w:rPr>
          <w:rFonts w:ascii="Times New Roman" w:eastAsia="Times New Roman" w:hAnsi="Times New Roman" w:cs="Times New Roman"/>
          <w:sz w:val="20"/>
          <w:szCs w:val="24"/>
        </w:rPr>
        <w:t xml:space="preserve"> shown in Table 22</w:t>
      </w:r>
      <w:r w:rsidRPr="00187E0C">
        <w:rPr>
          <w:rFonts w:ascii="Times New Roman" w:eastAsia="Times New Roman" w:hAnsi="Times New Roman" w:cs="Times New Roman"/>
          <w:sz w:val="20"/>
          <w:szCs w:val="24"/>
        </w:rPr>
        <w:t xml:space="preserve">. Among these metals, </w:t>
      </w:r>
      <w:r w:rsidRPr="00187E0C">
        <w:rPr>
          <w:rFonts w:ascii="Times New Roman" w:eastAsia="Times New Roman" w:hAnsi="Times New Roman" w:cs="Times New Roman"/>
          <w:bCs/>
          <w:sz w:val="20"/>
          <w:szCs w:val="24"/>
        </w:rPr>
        <w:t>nickel (Ni) exhibited the highest CR values</w:t>
      </w:r>
      <w:r w:rsidRPr="00187E0C">
        <w:rPr>
          <w:rFonts w:ascii="Times New Roman" w:eastAsia="Times New Roman" w:hAnsi="Times New Roman" w:cs="Times New Roman"/>
          <w:sz w:val="20"/>
          <w:szCs w:val="24"/>
        </w:rPr>
        <w:t xml:space="preserve">, ranging from </w:t>
      </w:r>
      <w:r w:rsidRPr="00187E0C">
        <w:rPr>
          <w:rFonts w:ascii="Times New Roman" w:eastAsia="Times New Roman" w:hAnsi="Times New Roman" w:cs="Times New Roman"/>
          <w:bCs/>
          <w:sz w:val="20"/>
          <w:szCs w:val="24"/>
        </w:rPr>
        <w:t>1.092675E-04</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2.404225E-04</w:t>
      </w:r>
      <w:r w:rsidRPr="00187E0C">
        <w:rPr>
          <w:rFonts w:ascii="Times New Roman" w:eastAsia="Times New Roman" w:hAnsi="Times New Roman" w:cs="Times New Roman"/>
          <w:sz w:val="20"/>
          <w:szCs w:val="24"/>
        </w:rPr>
        <w:t xml:space="preserve">, indicating a significant potential health risk from dermal absorption. Borehole samples </w:t>
      </w:r>
      <w:r w:rsidRPr="00187E0C">
        <w:rPr>
          <w:rFonts w:ascii="Times New Roman" w:eastAsia="Times New Roman" w:hAnsi="Times New Roman" w:cs="Times New Roman"/>
          <w:bCs/>
          <w:sz w:val="20"/>
          <w:szCs w:val="24"/>
        </w:rPr>
        <w:t>4 and 12</w:t>
      </w:r>
      <w:r w:rsidRPr="00187E0C">
        <w:rPr>
          <w:rFonts w:ascii="Times New Roman" w:eastAsia="Times New Roman" w:hAnsi="Times New Roman" w:cs="Times New Roman"/>
          <w:sz w:val="20"/>
          <w:szCs w:val="24"/>
        </w:rPr>
        <w:t xml:space="preserve"> recorded the highest CR values for Ni, suggesting that individuals exposed to water from these sources may be at greater risk of developing long-term health co</w:t>
      </w:r>
      <w:r>
        <w:rPr>
          <w:rFonts w:ascii="Times New Roman" w:eastAsia="Times New Roman" w:hAnsi="Times New Roman" w:cs="Times New Roman"/>
          <w:sz w:val="20"/>
          <w:szCs w:val="24"/>
        </w:rPr>
        <w:t xml:space="preserve">mplications due to Ni exposure. </w:t>
      </w:r>
      <w:r w:rsidRPr="00187E0C">
        <w:rPr>
          <w:rFonts w:ascii="Times New Roman" w:eastAsia="Times New Roman" w:hAnsi="Times New Roman" w:cs="Times New Roman"/>
          <w:sz w:val="20"/>
          <w:szCs w:val="24"/>
        </w:rPr>
        <w:t xml:space="preserve">Chromium (Cr) also showed relatively high cancer risk values, ranging from </w:t>
      </w:r>
      <w:r w:rsidRPr="00187E0C">
        <w:rPr>
          <w:rFonts w:ascii="Times New Roman" w:eastAsia="Times New Roman" w:hAnsi="Times New Roman" w:cs="Times New Roman"/>
          <w:bCs/>
          <w:sz w:val="20"/>
          <w:szCs w:val="24"/>
        </w:rPr>
        <w:t>4.088E-05</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9.574E-05</w:t>
      </w:r>
      <w:r w:rsidRPr="00187E0C">
        <w:rPr>
          <w:rFonts w:ascii="Times New Roman" w:eastAsia="Times New Roman" w:hAnsi="Times New Roman" w:cs="Times New Roman"/>
          <w:sz w:val="20"/>
          <w:szCs w:val="24"/>
        </w:rPr>
        <w:t xml:space="preserve">. The highest CR values for Cr were observed in samples </w:t>
      </w:r>
      <w:r w:rsidRPr="00187E0C">
        <w:rPr>
          <w:rFonts w:ascii="Times New Roman" w:eastAsia="Times New Roman" w:hAnsi="Times New Roman" w:cs="Times New Roman"/>
          <w:bCs/>
          <w:sz w:val="20"/>
          <w:szCs w:val="24"/>
        </w:rPr>
        <w:t>6, 9, and 11</w:t>
      </w:r>
      <w:r w:rsidRPr="00187E0C">
        <w:rPr>
          <w:rFonts w:ascii="Times New Roman" w:eastAsia="Times New Roman" w:hAnsi="Times New Roman" w:cs="Times New Roman"/>
          <w:sz w:val="20"/>
          <w:szCs w:val="24"/>
        </w:rPr>
        <w:t>, reinforcing the concern over its potential adverse health effects. Although Cr levels in dermal exposure were lower than those re</w:t>
      </w:r>
      <w:r>
        <w:rPr>
          <w:rFonts w:ascii="Times New Roman" w:eastAsia="Times New Roman" w:hAnsi="Times New Roman" w:cs="Times New Roman"/>
          <w:sz w:val="20"/>
          <w:szCs w:val="24"/>
        </w:rPr>
        <w:t>ported for ingestion (Table 22</w:t>
      </w:r>
      <w:r w:rsidRPr="00187E0C">
        <w:rPr>
          <w:rFonts w:ascii="Times New Roman" w:eastAsia="Times New Roman" w:hAnsi="Times New Roman" w:cs="Times New Roman"/>
          <w:sz w:val="20"/>
          <w:szCs w:val="24"/>
        </w:rPr>
        <w:t xml:space="preserve">), they remain substantial, especially in samples where values approached </w:t>
      </w:r>
      <w:r w:rsidRPr="00187E0C">
        <w:rPr>
          <w:rFonts w:ascii="Times New Roman" w:eastAsia="Times New Roman" w:hAnsi="Times New Roman" w:cs="Times New Roman"/>
          <w:bCs/>
          <w:sz w:val="20"/>
          <w:szCs w:val="24"/>
        </w:rPr>
        <w:t>1.0E-04</w:t>
      </w:r>
      <w:r w:rsidRPr="00187E0C">
        <w:rPr>
          <w:rFonts w:ascii="Times New Roman" w:eastAsia="Times New Roman" w:hAnsi="Times New Roman" w:cs="Times New Roman"/>
          <w:sz w:val="20"/>
          <w:szCs w:val="24"/>
        </w:rPr>
        <w:t>, which is the upper threshold of the acceptable cancer risk level recommended by the U.S. Environme</w:t>
      </w:r>
      <w:r>
        <w:rPr>
          <w:rFonts w:ascii="Times New Roman" w:eastAsia="Times New Roman" w:hAnsi="Times New Roman" w:cs="Times New Roman"/>
          <w:sz w:val="20"/>
          <w:szCs w:val="24"/>
        </w:rPr>
        <w:t xml:space="preserve">ntal Protection Agency </w:t>
      </w:r>
      <w:r>
        <w:rPr>
          <w:rFonts w:ascii="Times New Roman" w:eastAsia="Times New Roman" w:hAnsi="Times New Roman" w:cs="Times New Roman"/>
          <w:sz w:val="20"/>
          <w:szCs w:val="24"/>
        </w:rPr>
        <w:lastRenderedPageBreak/>
        <w:t xml:space="preserve">(USEPA). </w:t>
      </w:r>
      <w:r w:rsidRPr="00187E0C">
        <w:rPr>
          <w:rFonts w:ascii="Times New Roman" w:eastAsia="Times New Roman" w:hAnsi="Times New Roman" w:cs="Times New Roman"/>
          <w:sz w:val="20"/>
          <w:szCs w:val="24"/>
        </w:rPr>
        <w:t>Cadmium (Cd) and lead (</w:t>
      </w:r>
      <w:proofErr w:type="spellStart"/>
      <w:r w:rsidRPr="00187E0C">
        <w:rPr>
          <w:rFonts w:ascii="Times New Roman" w:eastAsia="Times New Roman" w:hAnsi="Times New Roman" w:cs="Times New Roman"/>
          <w:sz w:val="20"/>
          <w:szCs w:val="24"/>
        </w:rPr>
        <w:t>Pb</w:t>
      </w:r>
      <w:proofErr w:type="spellEnd"/>
      <w:r w:rsidRPr="00187E0C">
        <w:rPr>
          <w:rFonts w:ascii="Times New Roman" w:eastAsia="Times New Roman" w:hAnsi="Times New Roman" w:cs="Times New Roman"/>
          <w:sz w:val="20"/>
          <w:szCs w:val="24"/>
        </w:rPr>
        <w:t xml:space="preserve">) presented relatively lower CR values in comparison to Ni and Cr, with Cd ranging from </w:t>
      </w:r>
      <w:r w:rsidRPr="00187E0C">
        <w:rPr>
          <w:rFonts w:ascii="Times New Roman" w:eastAsia="Times New Roman" w:hAnsi="Times New Roman" w:cs="Times New Roman"/>
          <w:bCs/>
          <w:sz w:val="20"/>
          <w:szCs w:val="24"/>
        </w:rPr>
        <w:t>6.27690E-06</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1.56831E-05</w:t>
      </w:r>
      <w:r w:rsidRPr="00187E0C">
        <w:rPr>
          <w:rFonts w:ascii="Times New Roman" w:eastAsia="Times New Roman" w:hAnsi="Times New Roman" w:cs="Times New Roman"/>
          <w:sz w:val="20"/>
          <w:szCs w:val="24"/>
        </w:rPr>
        <w:t xml:space="preserve"> and </w:t>
      </w:r>
      <w:proofErr w:type="spellStart"/>
      <w:r w:rsidRPr="00187E0C">
        <w:rPr>
          <w:rFonts w:ascii="Times New Roman" w:eastAsia="Times New Roman" w:hAnsi="Times New Roman" w:cs="Times New Roman"/>
          <w:sz w:val="20"/>
          <w:szCs w:val="24"/>
        </w:rPr>
        <w:t>Pb</w:t>
      </w:r>
      <w:proofErr w:type="spellEnd"/>
      <w:r w:rsidRPr="00187E0C">
        <w:rPr>
          <w:rFonts w:ascii="Times New Roman" w:eastAsia="Times New Roman" w:hAnsi="Times New Roman" w:cs="Times New Roman"/>
          <w:sz w:val="20"/>
          <w:szCs w:val="24"/>
        </w:rPr>
        <w:t xml:space="preserve"> ranging from </w:t>
      </w:r>
      <w:r w:rsidRPr="00187E0C">
        <w:rPr>
          <w:rFonts w:ascii="Times New Roman" w:eastAsia="Times New Roman" w:hAnsi="Times New Roman" w:cs="Times New Roman"/>
          <w:bCs/>
          <w:sz w:val="20"/>
          <w:szCs w:val="24"/>
        </w:rPr>
        <w:t>3.8475E-06</w:t>
      </w:r>
      <w:r w:rsidRPr="00187E0C">
        <w:rPr>
          <w:rFonts w:ascii="Times New Roman" w:eastAsia="Times New Roman" w:hAnsi="Times New Roman" w:cs="Times New Roman"/>
          <w:sz w:val="20"/>
          <w:szCs w:val="24"/>
        </w:rPr>
        <w:t xml:space="preserve"> to </w:t>
      </w:r>
      <w:r w:rsidRPr="00187E0C">
        <w:rPr>
          <w:rFonts w:ascii="Times New Roman" w:eastAsia="Times New Roman" w:hAnsi="Times New Roman" w:cs="Times New Roman"/>
          <w:bCs/>
          <w:sz w:val="20"/>
          <w:szCs w:val="24"/>
        </w:rPr>
        <w:t>9.9810E-06</w:t>
      </w:r>
      <w:r w:rsidRPr="00187E0C">
        <w:rPr>
          <w:rFonts w:ascii="Times New Roman" w:eastAsia="Times New Roman" w:hAnsi="Times New Roman" w:cs="Times New Roman"/>
          <w:sz w:val="20"/>
          <w:szCs w:val="24"/>
        </w:rPr>
        <w:t xml:space="preserve">. While these values fall below the high-risk threshold, their cumulative effect, particularly in conjunction with ingestion exposure, could still pose a long-term health risk. The highest CR values for Cd were recorded in </w:t>
      </w:r>
      <w:r w:rsidRPr="00187E0C">
        <w:rPr>
          <w:rFonts w:ascii="Times New Roman" w:eastAsia="Times New Roman" w:hAnsi="Times New Roman" w:cs="Times New Roman"/>
          <w:bCs/>
          <w:sz w:val="20"/>
          <w:szCs w:val="24"/>
        </w:rPr>
        <w:t>samples 4 and 12</w:t>
      </w:r>
      <w:r w:rsidRPr="00187E0C">
        <w:rPr>
          <w:rFonts w:ascii="Times New Roman" w:eastAsia="Times New Roman" w:hAnsi="Times New Roman" w:cs="Times New Roman"/>
          <w:sz w:val="20"/>
          <w:szCs w:val="24"/>
        </w:rPr>
        <w:t xml:space="preserve">, while </w:t>
      </w:r>
      <w:proofErr w:type="spellStart"/>
      <w:r w:rsidRPr="00187E0C">
        <w:rPr>
          <w:rFonts w:ascii="Times New Roman" w:eastAsia="Times New Roman" w:hAnsi="Times New Roman" w:cs="Times New Roman"/>
          <w:sz w:val="20"/>
          <w:szCs w:val="24"/>
        </w:rPr>
        <w:t>Pb</w:t>
      </w:r>
      <w:proofErr w:type="spellEnd"/>
      <w:r w:rsidRPr="00187E0C">
        <w:rPr>
          <w:rFonts w:ascii="Times New Roman" w:eastAsia="Times New Roman" w:hAnsi="Times New Roman" w:cs="Times New Roman"/>
          <w:sz w:val="20"/>
          <w:szCs w:val="24"/>
        </w:rPr>
        <w:t xml:space="preserve"> exhibited the highest risk in </w:t>
      </w:r>
      <w:r w:rsidRPr="00187E0C">
        <w:rPr>
          <w:rFonts w:ascii="Times New Roman" w:eastAsia="Times New Roman" w:hAnsi="Times New Roman" w:cs="Times New Roman"/>
          <w:bCs/>
          <w:sz w:val="20"/>
          <w:szCs w:val="24"/>
        </w:rPr>
        <w:t>sample 9</w:t>
      </w:r>
      <w:r w:rsidRPr="00187E0C">
        <w:rPr>
          <w:rFonts w:ascii="Times New Roman" w:eastAsia="Times New Roman" w:hAnsi="Times New Roman" w:cs="Times New Roman"/>
          <w:sz w:val="20"/>
          <w:szCs w:val="24"/>
        </w:rPr>
        <w:t>, highlighting variations in contamination levels across different boreholes.</w:t>
      </w:r>
    </w:p>
    <w:p w14:paraId="79C9DD80" w14:textId="456397E6" w:rsidR="003969F6" w:rsidRPr="003969F6" w:rsidRDefault="00DF1B4B" w:rsidP="003969F6">
      <w:pPr>
        <w:spacing w:after="12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Table 22:</w:t>
      </w:r>
      <w:r w:rsidR="003969F6" w:rsidRPr="003969F6">
        <w:rPr>
          <w:rFonts w:ascii="Times New Roman" w:eastAsia="Times New Roman" w:hAnsi="Times New Roman" w:cs="Times New Roman"/>
          <w:b/>
          <w:sz w:val="20"/>
          <w:szCs w:val="24"/>
        </w:rPr>
        <w:t xml:space="preserve"> Cancer Risk (CR) for Dermal Exposure of Heavy Metals in Drinking Water</w:t>
      </w:r>
    </w:p>
    <w:tbl>
      <w:tblPr>
        <w:tblStyle w:val="TableGrid"/>
        <w:tblW w:w="9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3"/>
        <w:gridCol w:w="1955"/>
        <w:gridCol w:w="1975"/>
        <w:gridCol w:w="2112"/>
        <w:gridCol w:w="1825"/>
      </w:tblGrid>
      <w:tr w:rsidR="003969F6" w:rsidRPr="001861E8" w14:paraId="2200A1F4" w14:textId="77777777" w:rsidTr="00C97947">
        <w:trPr>
          <w:trHeight w:val="326"/>
        </w:trPr>
        <w:tc>
          <w:tcPr>
            <w:tcW w:w="1493" w:type="dxa"/>
            <w:tcBorders>
              <w:top w:val="single" w:sz="4" w:space="0" w:color="auto"/>
              <w:bottom w:val="single" w:sz="4" w:space="0" w:color="auto"/>
            </w:tcBorders>
          </w:tcPr>
          <w:p w14:paraId="5043811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Sample</w:t>
            </w:r>
          </w:p>
        </w:tc>
        <w:tc>
          <w:tcPr>
            <w:tcW w:w="1955" w:type="dxa"/>
            <w:tcBorders>
              <w:top w:val="single" w:sz="4" w:space="0" w:color="auto"/>
              <w:bottom w:val="single" w:sz="4" w:space="0" w:color="auto"/>
            </w:tcBorders>
          </w:tcPr>
          <w:p w14:paraId="48BB55E6"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Cd</w:t>
            </w:r>
          </w:p>
        </w:tc>
        <w:tc>
          <w:tcPr>
            <w:tcW w:w="1975" w:type="dxa"/>
            <w:tcBorders>
              <w:top w:val="single" w:sz="4" w:space="0" w:color="auto"/>
              <w:bottom w:val="single" w:sz="4" w:space="0" w:color="auto"/>
            </w:tcBorders>
          </w:tcPr>
          <w:p w14:paraId="55DB2189"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Pb</w:t>
            </w:r>
          </w:p>
        </w:tc>
        <w:tc>
          <w:tcPr>
            <w:tcW w:w="2112" w:type="dxa"/>
            <w:tcBorders>
              <w:top w:val="single" w:sz="4" w:space="0" w:color="auto"/>
              <w:bottom w:val="single" w:sz="4" w:space="0" w:color="auto"/>
            </w:tcBorders>
          </w:tcPr>
          <w:p w14:paraId="52A25B76"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Ni</w:t>
            </w:r>
          </w:p>
        </w:tc>
        <w:tc>
          <w:tcPr>
            <w:tcW w:w="1825" w:type="dxa"/>
            <w:tcBorders>
              <w:top w:val="single" w:sz="4" w:space="0" w:color="auto"/>
              <w:bottom w:val="single" w:sz="4" w:space="0" w:color="auto"/>
            </w:tcBorders>
          </w:tcPr>
          <w:p w14:paraId="399B9DC7" w14:textId="77777777" w:rsidR="003969F6" w:rsidRPr="001074D6" w:rsidRDefault="003969F6" w:rsidP="008C6AB4">
            <w:pPr>
              <w:jc w:val="center"/>
              <w:rPr>
                <w:rFonts w:ascii="Times New Roman" w:hAnsi="Times New Roman" w:cs="Times New Roman"/>
                <w:sz w:val="20"/>
                <w:szCs w:val="20"/>
              </w:rPr>
            </w:pPr>
            <w:r>
              <w:rPr>
                <w:rFonts w:ascii="Times New Roman" w:hAnsi="Times New Roman" w:cs="Times New Roman"/>
                <w:sz w:val="20"/>
                <w:szCs w:val="20"/>
              </w:rPr>
              <w:t>Cr</w:t>
            </w:r>
          </w:p>
        </w:tc>
      </w:tr>
      <w:tr w:rsidR="003969F6" w:rsidRPr="001861E8" w14:paraId="2EFA312D" w14:textId="77777777" w:rsidTr="00C97947">
        <w:trPr>
          <w:trHeight w:val="335"/>
        </w:trPr>
        <w:tc>
          <w:tcPr>
            <w:tcW w:w="1493" w:type="dxa"/>
            <w:tcBorders>
              <w:top w:val="single" w:sz="4" w:space="0" w:color="auto"/>
              <w:bottom w:val="nil"/>
            </w:tcBorders>
          </w:tcPr>
          <w:p w14:paraId="0D51CC22"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w:t>
            </w:r>
          </w:p>
        </w:tc>
        <w:tc>
          <w:tcPr>
            <w:tcW w:w="1955" w:type="dxa"/>
            <w:tcBorders>
              <w:top w:val="single" w:sz="4" w:space="0" w:color="auto"/>
              <w:bottom w:val="nil"/>
            </w:tcBorders>
          </w:tcPr>
          <w:p w14:paraId="1610FA90"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7.84460e-06</w:t>
            </w:r>
          </w:p>
        </w:tc>
        <w:tc>
          <w:tcPr>
            <w:tcW w:w="1975" w:type="dxa"/>
            <w:tcBorders>
              <w:top w:val="single" w:sz="4" w:space="0" w:color="auto"/>
              <w:bottom w:val="nil"/>
            </w:tcBorders>
          </w:tcPr>
          <w:p w14:paraId="2469215C"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4.6770e-06</w:t>
            </w:r>
          </w:p>
        </w:tc>
        <w:tc>
          <w:tcPr>
            <w:tcW w:w="2112" w:type="dxa"/>
            <w:tcBorders>
              <w:top w:val="single" w:sz="4" w:space="0" w:color="auto"/>
              <w:bottom w:val="nil"/>
            </w:tcBorders>
          </w:tcPr>
          <w:p w14:paraId="70317EFD"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311550</w:t>
            </w:r>
            <w:r>
              <w:rPr>
                <w:rFonts w:ascii="Times New Roman" w:hAnsi="Times New Roman" w:cs="Times New Roman"/>
                <w:sz w:val="20"/>
                <w:szCs w:val="20"/>
              </w:rPr>
              <w:t>E-04</w:t>
            </w:r>
          </w:p>
        </w:tc>
        <w:tc>
          <w:tcPr>
            <w:tcW w:w="1825" w:type="dxa"/>
            <w:tcBorders>
              <w:top w:val="single" w:sz="4" w:space="0" w:color="auto"/>
              <w:bottom w:val="nil"/>
            </w:tcBorders>
          </w:tcPr>
          <w:p w14:paraId="35E1B56F"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8.572e-05</w:t>
            </w:r>
          </w:p>
        </w:tc>
      </w:tr>
      <w:tr w:rsidR="003969F6" w:rsidRPr="001861E8" w14:paraId="65CF08A2" w14:textId="77777777" w:rsidTr="00C97947">
        <w:trPr>
          <w:trHeight w:val="326"/>
        </w:trPr>
        <w:tc>
          <w:tcPr>
            <w:tcW w:w="1493" w:type="dxa"/>
            <w:tcBorders>
              <w:top w:val="nil"/>
            </w:tcBorders>
          </w:tcPr>
          <w:p w14:paraId="4F3D5A9F"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2</w:t>
            </w:r>
          </w:p>
        </w:tc>
        <w:tc>
          <w:tcPr>
            <w:tcW w:w="1955" w:type="dxa"/>
            <w:tcBorders>
              <w:top w:val="nil"/>
            </w:tcBorders>
          </w:tcPr>
          <w:p w14:paraId="7FCA6657"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1.25477e-05</w:t>
            </w:r>
          </w:p>
        </w:tc>
        <w:tc>
          <w:tcPr>
            <w:tcW w:w="1975" w:type="dxa"/>
            <w:tcBorders>
              <w:top w:val="nil"/>
            </w:tcBorders>
          </w:tcPr>
          <w:p w14:paraId="12C51CFB"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6.9165e-06</w:t>
            </w:r>
          </w:p>
        </w:tc>
        <w:tc>
          <w:tcPr>
            <w:tcW w:w="2112" w:type="dxa"/>
            <w:tcBorders>
              <w:top w:val="nil"/>
            </w:tcBorders>
          </w:tcPr>
          <w:p w14:paraId="2EF588F3"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967325</w:t>
            </w:r>
            <w:r>
              <w:rPr>
                <w:rFonts w:ascii="Times New Roman" w:hAnsi="Times New Roman" w:cs="Times New Roman"/>
                <w:sz w:val="20"/>
                <w:szCs w:val="20"/>
              </w:rPr>
              <w:t>E-04</w:t>
            </w:r>
          </w:p>
        </w:tc>
        <w:tc>
          <w:tcPr>
            <w:tcW w:w="1825" w:type="dxa"/>
            <w:tcBorders>
              <w:top w:val="nil"/>
            </w:tcBorders>
          </w:tcPr>
          <w:p w14:paraId="1C939BDC"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4.088e-05</w:t>
            </w:r>
          </w:p>
        </w:tc>
      </w:tr>
      <w:tr w:rsidR="003969F6" w:rsidRPr="001861E8" w14:paraId="00E0F98F" w14:textId="77777777" w:rsidTr="00C97947">
        <w:trPr>
          <w:trHeight w:val="326"/>
        </w:trPr>
        <w:tc>
          <w:tcPr>
            <w:tcW w:w="1493" w:type="dxa"/>
          </w:tcPr>
          <w:p w14:paraId="528B1427"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3</w:t>
            </w:r>
          </w:p>
        </w:tc>
        <w:tc>
          <w:tcPr>
            <w:tcW w:w="1955" w:type="dxa"/>
          </w:tcPr>
          <w:p w14:paraId="3C910C30"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9.41230e-06</w:t>
            </w:r>
          </w:p>
        </w:tc>
        <w:tc>
          <w:tcPr>
            <w:tcW w:w="1975" w:type="dxa"/>
          </w:tcPr>
          <w:p w14:paraId="238D561F"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5.7135e-06</w:t>
            </w:r>
          </w:p>
        </w:tc>
        <w:tc>
          <w:tcPr>
            <w:tcW w:w="2112" w:type="dxa"/>
          </w:tcPr>
          <w:p w14:paraId="002D9E16"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639225</w:t>
            </w:r>
            <w:r>
              <w:rPr>
                <w:rFonts w:ascii="Times New Roman" w:hAnsi="Times New Roman" w:cs="Times New Roman"/>
                <w:sz w:val="20"/>
                <w:szCs w:val="20"/>
              </w:rPr>
              <w:t>E-04</w:t>
            </w:r>
          </w:p>
        </w:tc>
        <w:tc>
          <w:tcPr>
            <w:tcW w:w="1825" w:type="dxa"/>
          </w:tcPr>
          <w:p w14:paraId="711655A8"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5.096e-05</w:t>
            </w:r>
          </w:p>
        </w:tc>
      </w:tr>
      <w:tr w:rsidR="003969F6" w:rsidRPr="001861E8" w14:paraId="2DDF6171" w14:textId="77777777" w:rsidTr="00C97947">
        <w:trPr>
          <w:trHeight w:val="335"/>
        </w:trPr>
        <w:tc>
          <w:tcPr>
            <w:tcW w:w="1493" w:type="dxa"/>
          </w:tcPr>
          <w:p w14:paraId="51D297A0"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4</w:t>
            </w:r>
          </w:p>
        </w:tc>
        <w:tc>
          <w:tcPr>
            <w:tcW w:w="1955" w:type="dxa"/>
          </w:tcPr>
          <w:p w14:paraId="170FA334"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1.56831e-05</w:t>
            </w:r>
          </w:p>
        </w:tc>
        <w:tc>
          <w:tcPr>
            <w:tcW w:w="1975" w:type="dxa"/>
          </w:tcPr>
          <w:p w14:paraId="4DF4CB2C"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7.7130e-06</w:t>
            </w:r>
          </w:p>
        </w:tc>
        <w:tc>
          <w:tcPr>
            <w:tcW w:w="2112" w:type="dxa"/>
          </w:tcPr>
          <w:p w14:paraId="43232330"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404225</w:t>
            </w:r>
            <w:r>
              <w:rPr>
                <w:rFonts w:ascii="Times New Roman" w:hAnsi="Times New Roman" w:cs="Times New Roman"/>
                <w:sz w:val="20"/>
                <w:szCs w:val="20"/>
              </w:rPr>
              <w:t>E-04</w:t>
            </w:r>
          </w:p>
        </w:tc>
        <w:tc>
          <w:tcPr>
            <w:tcW w:w="1825" w:type="dxa"/>
          </w:tcPr>
          <w:p w14:paraId="3609B7DD"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4.902e-05</w:t>
            </w:r>
          </w:p>
        </w:tc>
      </w:tr>
      <w:tr w:rsidR="003969F6" w:rsidRPr="001861E8" w14:paraId="0FFA7220" w14:textId="77777777" w:rsidTr="00C97947">
        <w:trPr>
          <w:trHeight w:val="326"/>
        </w:trPr>
        <w:tc>
          <w:tcPr>
            <w:tcW w:w="1493" w:type="dxa"/>
          </w:tcPr>
          <w:p w14:paraId="6DAA02D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5</w:t>
            </w:r>
          </w:p>
        </w:tc>
        <w:tc>
          <w:tcPr>
            <w:tcW w:w="1955" w:type="dxa"/>
          </w:tcPr>
          <w:p w14:paraId="2E3AF2CE"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6.27690e-06</w:t>
            </w:r>
          </w:p>
        </w:tc>
        <w:tc>
          <w:tcPr>
            <w:tcW w:w="1975" w:type="dxa"/>
          </w:tcPr>
          <w:p w14:paraId="26818B73"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3.8475e-06</w:t>
            </w:r>
          </w:p>
        </w:tc>
        <w:tc>
          <w:tcPr>
            <w:tcW w:w="2112" w:type="dxa"/>
          </w:tcPr>
          <w:p w14:paraId="52CF809C"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092675</w:t>
            </w:r>
            <w:r>
              <w:rPr>
                <w:rFonts w:ascii="Times New Roman" w:hAnsi="Times New Roman" w:cs="Times New Roman"/>
                <w:sz w:val="20"/>
                <w:szCs w:val="20"/>
              </w:rPr>
              <w:t>E-04</w:t>
            </w:r>
          </w:p>
        </w:tc>
        <w:tc>
          <w:tcPr>
            <w:tcW w:w="1825" w:type="dxa"/>
          </w:tcPr>
          <w:p w14:paraId="7D85C599"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8.090e-05</w:t>
            </w:r>
          </w:p>
        </w:tc>
      </w:tr>
      <w:tr w:rsidR="003969F6" w:rsidRPr="001861E8" w14:paraId="1CD36596" w14:textId="77777777" w:rsidTr="00C97947">
        <w:trPr>
          <w:trHeight w:val="326"/>
        </w:trPr>
        <w:tc>
          <w:tcPr>
            <w:tcW w:w="1493" w:type="dxa"/>
          </w:tcPr>
          <w:p w14:paraId="15F8ECB3"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6</w:t>
            </w:r>
          </w:p>
        </w:tc>
        <w:tc>
          <w:tcPr>
            <w:tcW w:w="1955" w:type="dxa"/>
          </w:tcPr>
          <w:p w14:paraId="099D55EA" w14:textId="77777777" w:rsidR="003969F6" w:rsidRPr="001074D6" w:rsidRDefault="003969F6" w:rsidP="008C6AB4">
            <w:pPr>
              <w:jc w:val="center"/>
              <w:rPr>
                <w:rFonts w:ascii="Times New Roman" w:hAnsi="Times New Roman" w:cs="Times New Roman"/>
                <w:sz w:val="20"/>
                <w:szCs w:val="20"/>
              </w:rPr>
            </w:pPr>
            <w:r w:rsidRPr="00171BE9">
              <w:rPr>
                <w:rFonts w:ascii="Times New Roman" w:hAnsi="Times New Roman" w:cs="Times New Roman"/>
                <w:sz w:val="20"/>
                <w:szCs w:val="20"/>
              </w:rPr>
              <w:t>1.09800e-05</w:t>
            </w:r>
          </w:p>
        </w:tc>
        <w:tc>
          <w:tcPr>
            <w:tcW w:w="1975" w:type="dxa"/>
          </w:tcPr>
          <w:p w14:paraId="73F59F09"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6.2475e-06</w:t>
            </w:r>
          </w:p>
        </w:tc>
        <w:tc>
          <w:tcPr>
            <w:tcW w:w="2112" w:type="dxa"/>
          </w:tcPr>
          <w:p w14:paraId="30E322D8"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530000</w:t>
            </w:r>
            <w:r>
              <w:rPr>
                <w:rFonts w:ascii="Times New Roman" w:hAnsi="Times New Roman" w:cs="Times New Roman"/>
                <w:sz w:val="20"/>
                <w:szCs w:val="20"/>
              </w:rPr>
              <w:t>E-04</w:t>
            </w:r>
          </w:p>
        </w:tc>
        <w:tc>
          <w:tcPr>
            <w:tcW w:w="1825" w:type="dxa"/>
          </w:tcPr>
          <w:p w14:paraId="14BC74A4"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9.574e-05</w:t>
            </w:r>
          </w:p>
        </w:tc>
      </w:tr>
      <w:tr w:rsidR="003969F6" w:rsidRPr="001861E8" w14:paraId="70CF1156" w14:textId="77777777" w:rsidTr="00C97947">
        <w:trPr>
          <w:trHeight w:val="335"/>
        </w:trPr>
        <w:tc>
          <w:tcPr>
            <w:tcW w:w="1493" w:type="dxa"/>
          </w:tcPr>
          <w:p w14:paraId="74ECF332"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7</w:t>
            </w:r>
          </w:p>
        </w:tc>
        <w:tc>
          <w:tcPr>
            <w:tcW w:w="1955" w:type="dxa"/>
          </w:tcPr>
          <w:p w14:paraId="413ABED9"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1.41154e-05</w:t>
            </w:r>
          </w:p>
        </w:tc>
        <w:tc>
          <w:tcPr>
            <w:tcW w:w="1975" w:type="dxa"/>
          </w:tcPr>
          <w:p w14:paraId="05B86413"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8.4720e-06</w:t>
            </w:r>
          </w:p>
        </w:tc>
        <w:tc>
          <w:tcPr>
            <w:tcW w:w="2112" w:type="dxa"/>
          </w:tcPr>
          <w:p w14:paraId="0DE3ED32"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185775</w:t>
            </w:r>
            <w:r>
              <w:rPr>
                <w:rFonts w:ascii="Times New Roman" w:hAnsi="Times New Roman" w:cs="Times New Roman"/>
                <w:sz w:val="20"/>
                <w:szCs w:val="20"/>
              </w:rPr>
              <w:t>E-04</w:t>
            </w:r>
          </w:p>
        </w:tc>
        <w:tc>
          <w:tcPr>
            <w:tcW w:w="1825" w:type="dxa"/>
          </w:tcPr>
          <w:p w14:paraId="7C0F44CB"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4.628e-05</w:t>
            </w:r>
          </w:p>
        </w:tc>
      </w:tr>
      <w:tr w:rsidR="003969F6" w:rsidRPr="001861E8" w14:paraId="7D141039" w14:textId="77777777" w:rsidTr="00C97947">
        <w:trPr>
          <w:trHeight w:val="326"/>
        </w:trPr>
        <w:tc>
          <w:tcPr>
            <w:tcW w:w="1493" w:type="dxa"/>
          </w:tcPr>
          <w:p w14:paraId="52D8F82B"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8</w:t>
            </w:r>
          </w:p>
        </w:tc>
        <w:tc>
          <w:tcPr>
            <w:tcW w:w="1955" w:type="dxa"/>
          </w:tcPr>
          <w:p w14:paraId="68B5610F"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1.09800e-05</w:t>
            </w:r>
          </w:p>
        </w:tc>
        <w:tc>
          <w:tcPr>
            <w:tcW w:w="1975" w:type="dxa"/>
          </w:tcPr>
          <w:p w14:paraId="11597BAE"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6.9810e-06</w:t>
            </w:r>
          </w:p>
        </w:tc>
        <w:tc>
          <w:tcPr>
            <w:tcW w:w="2112" w:type="dxa"/>
          </w:tcPr>
          <w:p w14:paraId="30EA8606"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748450</w:t>
            </w:r>
            <w:r>
              <w:rPr>
                <w:rFonts w:ascii="Times New Roman" w:hAnsi="Times New Roman" w:cs="Times New Roman"/>
                <w:sz w:val="20"/>
                <w:szCs w:val="20"/>
              </w:rPr>
              <w:t>E-04</w:t>
            </w:r>
          </w:p>
        </w:tc>
        <w:tc>
          <w:tcPr>
            <w:tcW w:w="1825" w:type="dxa"/>
          </w:tcPr>
          <w:p w14:paraId="3024566B"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7.664e-05</w:t>
            </w:r>
          </w:p>
        </w:tc>
      </w:tr>
      <w:tr w:rsidR="003969F6" w:rsidRPr="001861E8" w14:paraId="0B58A6C8" w14:textId="77777777" w:rsidTr="00C97947">
        <w:trPr>
          <w:trHeight w:val="326"/>
        </w:trPr>
        <w:tc>
          <w:tcPr>
            <w:tcW w:w="1493" w:type="dxa"/>
          </w:tcPr>
          <w:p w14:paraId="05BF543F"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9</w:t>
            </w:r>
          </w:p>
        </w:tc>
        <w:tc>
          <w:tcPr>
            <w:tcW w:w="1955" w:type="dxa"/>
          </w:tcPr>
          <w:p w14:paraId="180F99FB"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9.41230e-06</w:t>
            </w:r>
          </w:p>
        </w:tc>
        <w:tc>
          <w:tcPr>
            <w:tcW w:w="1975" w:type="dxa"/>
          </w:tcPr>
          <w:p w14:paraId="2992E24A" w14:textId="77777777" w:rsidR="003969F6" w:rsidRPr="001074D6" w:rsidRDefault="003969F6" w:rsidP="008C6AB4">
            <w:pPr>
              <w:jc w:val="center"/>
              <w:rPr>
                <w:rFonts w:ascii="Times New Roman" w:hAnsi="Times New Roman" w:cs="Times New Roman"/>
                <w:sz w:val="20"/>
                <w:szCs w:val="20"/>
              </w:rPr>
            </w:pPr>
            <w:r w:rsidRPr="00B91D56">
              <w:rPr>
                <w:rFonts w:ascii="Times New Roman" w:hAnsi="Times New Roman" w:cs="Times New Roman"/>
                <w:sz w:val="20"/>
                <w:szCs w:val="20"/>
              </w:rPr>
              <w:t>9.9810e-06</w:t>
            </w:r>
          </w:p>
        </w:tc>
        <w:tc>
          <w:tcPr>
            <w:tcW w:w="2112" w:type="dxa"/>
          </w:tcPr>
          <w:p w14:paraId="02FFFBE4"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85767</w:t>
            </w:r>
            <w:r>
              <w:rPr>
                <w:rFonts w:ascii="Times New Roman" w:hAnsi="Times New Roman" w:cs="Times New Roman"/>
                <w:sz w:val="20"/>
                <w:szCs w:val="20"/>
              </w:rPr>
              <w:t>5E-04</w:t>
            </w:r>
          </w:p>
        </w:tc>
        <w:tc>
          <w:tcPr>
            <w:tcW w:w="1825" w:type="dxa"/>
          </w:tcPr>
          <w:p w14:paraId="316F067D"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9.096e-05</w:t>
            </w:r>
          </w:p>
        </w:tc>
      </w:tr>
      <w:tr w:rsidR="003969F6" w:rsidRPr="001861E8" w14:paraId="76371B14" w14:textId="77777777" w:rsidTr="00C97947">
        <w:trPr>
          <w:trHeight w:val="335"/>
        </w:trPr>
        <w:tc>
          <w:tcPr>
            <w:tcW w:w="1493" w:type="dxa"/>
          </w:tcPr>
          <w:p w14:paraId="63030811"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10</w:t>
            </w:r>
          </w:p>
        </w:tc>
        <w:tc>
          <w:tcPr>
            <w:tcW w:w="1955" w:type="dxa"/>
          </w:tcPr>
          <w:p w14:paraId="065963F9"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1.25477e-05</w:t>
            </w:r>
          </w:p>
        </w:tc>
        <w:tc>
          <w:tcPr>
            <w:tcW w:w="1975" w:type="dxa"/>
          </w:tcPr>
          <w:p w14:paraId="2E5CFB3C"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8.4660e-06</w:t>
            </w:r>
          </w:p>
        </w:tc>
        <w:tc>
          <w:tcPr>
            <w:tcW w:w="2112" w:type="dxa"/>
          </w:tcPr>
          <w:p w14:paraId="401EF3FB"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967325</w:t>
            </w:r>
            <w:r>
              <w:rPr>
                <w:rFonts w:ascii="Times New Roman" w:hAnsi="Times New Roman" w:cs="Times New Roman"/>
                <w:sz w:val="20"/>
                <w:szCs w:val="20"/>
              </w:rPr>
              <w:t>E-04</w:t>
            </w:r>
          </w:p>
        </w:tc>
        <w:tc>
          <w:tcPr>
            <w:tcW w:w="1825" w:type="dxa"/>
          </w:tcPr>
          <w:p w14:paraId="7E82AD16"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5.114e-05</w:t>
            </w:r>
          </w:p>
        </w:tc>
      </w:tr>
      <w:tr w:rsidR="003969F6" w:rsidRPr="001861E8" w14:paraId="2BA7804D" w14:textId="77777777" w:rsidTr="00C97947">
        <w:trPr>
          <w:trHeight w:val="326"/>
        </w:trPr>
        <w:tc>
          <w:tcPr>
            <w:tcW w:w="1493" w:type="dxa"/>
          </w:tcPr>
          <w:p w14:paraId="3B16B24C"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11</w:t>
            </w:r>
          </w:p>
        </w:tc>
        <w:tc>
          <w:tcPr>
            <w:tcW w:w="1955" w:type="dxa"/>
          </w:tcPr>
          <w:p w14:paraId="70C2D3F7"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9.41230e-06</w:t>
            </w:r>
          </w:p>
        </w:tc>
        <w:tc>
          <w:tcPr>
            <w:tcW w:w="1975" w:type="dxa"/>
          </w:tcPr>
          <w:p w14:paraId="7D4A9A12"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5.7330e-06</w:t>
            </w:r>
          </w:p>
        </w:tc>
        <w:tc>
          <w:tcPr>
            <w:tcW w:w="2112" w:type="dxa"/>
          </w:tcPr>
          <w:p w14:paraId="3205A1BF"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1</w:t>
            </w:r>
            <w:r>
              <w:rPr>
                <w:rFonts w:ascii="Times New Roman" w:hAnsi="Times New Roman" w:cs="Times New Roman"/>
                <w:sz w:val="20"/>
                <w:szCs w:val="20"/>
              </w:rPr>
              <w:t>.</w:t>
            </w:r>
            <w:r w:rsidRPr="005B5ACE">
              <w:rPr>
                <w:rFonts w:ascii="Times New Roman" w:hAnsi="Times New Roman" w:cs="Times New Roman"/>
                <w:sz w:val="20"/>
                <w:szCs w:val="20"/>
              </w:rPr>
              <w:t>639225</w:t>
            </w:r>
            <w:r>
              <w:rPr>
                <w:rFonts w:ascii="Times New Roman" w:hAnsi="Times New Roman" w:cs="Times New Roman"/>
                <w:sz w:val="20"/>
                <w:szCs w:val="20"/>
              </w:rPr>
              <w:t>E-04</w:t>
            </w:r>
          </w:p>
        </w:tc>
        <w:tc>
          <w:tcPr>
            <w:tcW w:w="1825" w:type="dxa"/>
          </w:tcPr>
          <w:p w14:paraId="1D1AE3F2" w14:textId="77777777" w:rsidR="003969F6" w:rsidRPr="001074D6" w:rsidRDefault="003969F6" w:rsidP="008C6AB4">
            <w:pPr>
              <w:jc w:val="center"/>
              <w:rPr>
                <w:rFonts w:ascii="Times New Roman" w:hAnsi="Times New Roman" w:cs="Times New Roman"/>
                <w:sz w:val="20"/>
                <w:szCs w:val="20"/>
              </w:rPr>
            </w:pPr>
            <w:r w:rsidRPr="00A021CF">
              <w:rPr>
                <w:rFonts w:ascii="Times New Roman" w:hAnsi="Times New Roman" w:cs="Times New Roman"/>
                <w:sz w:val="20"/>
                <w:szCs w:val="20"/>
              </w:rPr>
              <w:t>9.312e-05</w:t>
            </w:r>
          </w:p>
        </w:tc>
      </w:tr>
      <w:tr w:rsidR="003969F6" w:rsidRPr="001861E8" w14:paraId="5977DED1" w14:textId="77777777" w:rsidTr="00C97947">
        <w:trPr>
          <w:trHeight w:val="326"/>
        </w:trPr>
        <w:tc>
          <w:tcPr>
            <w:tcW w:w="1493" w:type="dxa"/>
          </w:tcPr>
          <w:p w14:paraId="53F1C517" w14:textId="77777777" w:rsidR="003969F6" w:rsidRPr="001074D6" w:rsidRDefault="003969F6" w:rsidP="008C6AB4">
            <w:pPr>
              <w:jc w:val="center"/>
              <w:rPr>
                <w:rFonts w:ascii="Times New Roman" w:hAnsi="Times New Roman" w:cs="Times New Roman"/>
                <w:sz w:val="20"/>
                <w:szCs w:val="20"/>
              </w:rPr>
            </w:pPr>
            <w:r w:rsidRPr="001074D6">
              <w:rPr>
                <w:rFonts w:ascii="Times New Roman" w:hAnsi="Times New Roman" w:cs="Times New Roman"/>
                <w:sz w:val="20"/>
                <w:szCs w:val="20"/>
              </w:rPr>
              <w:t>12</w:t>
            </w:r>
          </w:p>
        </w:tc>
        <w:tc>
          <w:tcPr>
            <w:tcW w:w="1955" w:type="dxa"/>
          </w:tcPr>
          <w:p w14:paraId="7D22E941" w14:textId="77777777" w:rsidR="003969F6" w:rsidRPr="001074D6" w:rsidRDefault="003969F6" w:rsidP="008C6AB4">
            <w:pPr>
              <w:jc w:val="center"/>
              <w:rPr>
                <w:rFonts w:ascii="Times New Roman" w:hAnsi="Times New Roman" w:cs="Times New Roman"/>
                <w:sz w:val="20"/>
                <w:szCs w:val="20"/>
              </w:rPr>
            </w:pPr>
            <w:r w:rsidRPr="001A0DEA">
              <w:rPr>
                <w:rFonts w:ascii="Times New Roman" w:hAnsi="Times New Roman" w:cs="Times New Roman"/>
                <w:sz w:val="20"/>
                <w:szCs w:val="20"/>
              </w:rPr>
              <w:t>1.56831e-05</w:t>
            </w:r>
          </w:p>
        </w:tc>
        <w:tc>
          <w:tcPr>
            <w:tcW w:w="1975" w:type="dxa"/>
          </w:tcPr>
          <w:p w14:paraId="3F5B6404" w14:textId="77777777" w:rsidR="003969F6" w:rsidRPr="001074D6" w:rsidRDefault="003969F6" w:rsidP="008C6AB4">
            <w:pPr>
              <w:jc w:val="center"/>
              <w:rPr>
                <w:rFonts w:ascii="Times New Roman" w:hAnsi="Times New Roman" w:cs="Times New Roman"/>
                <w:sz w:val="20"/>
                <w:szCs w:val="20"/>
              </w:rPr>
            </w:pPr>
            <w:r w:rsidRPr="00523DB7">
              <w:rPr>
                <w:rFonts w:ascii="Times New Roman" w:hAnsi="Times New Roman" w:cs="Times New Roman"/>
                <w:sz w:val="20"/>
                <w:szCs w:val="20"/>
              </w:rPr>
              <w:t>9.7260e-06</w:t>
            </w:r>
          </w:p>
        </w:tc>
        <w:tc>
          <w:tcPr>
            <w:tcW w:w="2112" w:type="dxa"/>
          </w:tcPr>
          <w:p w14:paraId="3018BB9B" w14:textId="77777777" w:rsidR="003969F6" w:rsidRPr="001074D6" w:rsidRDefault="003969F6" w:rsidP="008C6AB4">
            <w:pPr>
              <w:jc w:val="center"/>
              <w:rPr>
                <w:rFonts w:ascii="Times New Roman" w:hAnsi="Times New Roman" w:cs="Times New Roman"/>
                <w:sz w:val="20"/>
                <w:szCs w:val="20"/>
              </w:rPr>
            </w:pPr>
            <w:r w:rsidRPr="005B5ACE">
              <w:rPr>
                <w:rFonts w:ascii="Times New Roman" w:hAnsi="Times New Roman" w:cs="Times New Roman"/>
                <w:sz w:val="20"/>
                <w:szCs w:val="20"/>
              </w:rPr>
              <w:t>2</w:t>
            </w:r>
            <w:r>
              <w:rPr>
                <w:rFonts w:ascii="Times New Roman" w:hAnsi="Times New Roman" w:cs="Times New Roman"/>
                <w:sz w:val="20"/>
                <w:szCs w:val="20"/>
              </w:rPr>
              <w:t>.</w:t>
            </w:r>
            <w:r w:rsidRPr="005B5ACE">
              <w:rPr>
                <w:rFonts w:ascii="Times New Roman" w:hAnsi="Times New Roman" w:cs="Times New Roman"/>
                <w:sz w:val="20"/>
                <w:szCs w:val="20"/>
              </w:rPr>
              <w:t>404225</w:t>
            </w:r>
            <w:r>
              <w:rPr>
                <w:rFonts w:ascii="Times New Roman" w:hAnsi="Times New Roman" w:cs="Times New Roman"/>
                <w:sz w:val="20"/>
                <w:szCs w:val="20"/>
              </w:rPr>
              <w:t>E-04</w:t>
            </w:r>
          </w:p>
        </w:tc>
        <w:tc>
          <w:tcPr>
            <w:tcW w:w="1825" w:type="dxa"/>
          </w:tcPr>
          <w:p w14:paraId="3FE1EE18" w14:textId="77777777" w:rsidR="003969F6" w:rsidRPr="001074D6" w:rsidRDefault="003969F6" w:rsidP="008C6AB4">
            <w:pPr>
              <w:jc w:val="center"/>
              <w:rPr>
                <w:rFonts w:ascii="Times New Roman" w:hAnsi="Times New Roman" w:cs="Times New Roman"/>
                <w:sz w:val="20"/>
                <w:szCs w:val="20"/>
              </w:rPr>
            </w:pPr>
            <w:r w:rsidRPr="00D51534">
              <w:rPr>
                <w:rFonts w:ascii="Times New Roman" w:hAnsi="Times New Roman" w:cs="Times New Roman"/>
                <w:sz w:val="20"/>
                <w:szCs w:val="20"/>
              </w:rPr>
              <w:t>5.132e-05</w:t>
            </w:r>
          </w:p>
        </w:tc>
      </w:tr>
    </w:tbl>
    <w:p w14:paraId="66ABD86E" w14:textId="77777777" w:rsidR="00BB56DE" w:rsidRDefault="00BB56DE" w:rsidP="00A05925">
      <w:pPr>
        <w:jc w:val="both"/>
        <w:rPr>
          <w:rFonts w:ascii="Times New Roman" w:hAnsi="Times New Roman" w:cs="Times New Roman"/>
          <w:sz w:val="20"/>
          <w:szCs w:val="20"/>
        </w:rPr>
      </w:pPr>
    </w:p>
    <w:p w14:paraId="5C6B4BA1" w14:textId="77777777" w:rsidR="00A05925" w:rsidRPr="00471ED3" w:rsidRDefault="006F7E07" w:rsidP="00A05925">
      <w:pPr>
        <w:jc w:val="both"/>
        <w:rPr>
          <w:rFonts w:ascii="Times New Roman" w:hAnsi="Times New Roman" w:cs="Times New Roman"/>
          <w:b/>
          <w:sz w:val="20"/>
          <w:szCs w:val="20"/>
        </w:rPr>
      </w:pPr>
      <w:r w:rsidRPr="00471ED3">
        <w:rPr>
          <w:rFonts w:ascii="Times New Roman" w:hAnsi="Times New Roman" w:cs="Times New Roman"/>
          <w:b/>
          <w:sz w:val="20"/>
          <w:szCs w:val="20"/>
        </w:rPr>
        <w:t xml:space="preserve">4. </w:t>
      </w:r>
      <w:r w:rsidR="00A05925" w:rsidRPr="00471ED3">
        <w:rPr>
          <w:rFonts w:ascii="Times New Roman" w:hAnsi="Times New Roman" w:cs="Times New Roman"/>
          <w:b/>
          <w:sz w:val="20"/>
          <w:szCs w:val="20"/>
        </w:rPr>
        <w:t xml:space="preserve">Conclusion </w:t>
      </w:r>
    </w:p>
    <w:p w14:paraId="1B413A01" w14:textId="77777777" w:rsidR="003A27DA" w:rsidRPr="001D693C" w:rsidRDefault="003A27DA" w:rsidP="003A27DA">
      <w:pPr>
        <w:pStyle w:val="NormalWeb"/>
        <w:spacing w:before="0" w:beforeAutospacing="0" w:after="120" w:afterAutospacing="0" w:line="276" w:lineRule="auto"/>
        <w:jc w:val="both"/>
        <w:rPr>
          <w:sz w:val="20"/>
        </w:rPr>
      </w:pPr>
      <w:r w:rsidRPr="001D693C">
        <w:rPr>
          <w:sz w:val="20"/>
        </w:rPr>
        <w:t xml:space="preserve">This study assessed the water quality of selected boreholes in Enugu North Local Government Area, Enugu State, Nigeria, by evaluating both the </w:t>
      </w:r>
      <w:proofErr w:type="spellStart"/>
      <w:r w:rsidRPr="001D693C">
        <w:rPr>
          <w:sz w:val="20"/>
        </w:rPr>
        <w:t>physico</w:t>
      </w:r>
      <w:proofErr w:type="spellEnd"/>
      <w:r w:rsidRPr="001D693C">
        <w:rPr>
          <w:sz w:val="20"/>
        </w:rPr>
        <w:t>-chemical and bacteriological properties, as well as the concentrations of heavy metals (Mn, Cd, Pb, Ni, Cu, Zn, Cr, Fe) and their associated health risks. The findings underscore the presence of several heavy metals at varying concentrations, some of which pose significant health risks to both adults and children through ingestion and dermal exposure.</w:t>
      </w:r>
    </w:p>
    <w:p w14:paraId="305AFC06" w14:textId="77777777" w:rsidR="003A27DA" w:rsidRPr="001D693C" w:rsidRDefault="003A27DA" w:rsidP="003A27DA">
      <w:pPr>
        <w:pStyle w:val="NormalWeb"/>
        <w:spacing w:before="0" w:beforeAutospacing="0" w:after="120" w:afterAutospacing="0" w:line="276" w:lineRule="auto"/>
        <w:jc w:val="both"/>
        <w:rPr>
          <w:sz w:val="20"/>
        </w:rPr>
      </w:pPr>
      <w:r w:rsidRPr="001D693C">
        <w:rPr>
          <w:sz w:val="20"/>
        </w:rPr>
        <w:t xml:space="preserve">The Chronic Daily Intake (CDI) values for heavy metals suggest that ingestion of contaminated water from certain samples could lead to potential health concerns, particularly for children, who are more susceptible to the toxic effects of these metals. In addition, the Hazard Quotient (HQ) values and the Hazard Indices (HI) indicate that, while the overall risk from the water samples may not always exceed the safety thresholds, some boreholes have higher risks, especially with elevated levels of nickel and chromium, which are known carcinogens. Furthermore, the </w:t>
      </w:r>
      <w:r w:rsidRPr="001D693C">
        <w:rPr>
          <w:rStyle w:val="Strong"/>
          <w:b w:val="0"/>
          <w:sz w:val="20"/>
        </w:rPr>
        <w:t>Cancer Risk (CR)</w:t>
      </w:r>
      <w:r w:rsidRPr="001D693C">
        <w:rPr>
          <w:sz w:val="20"/>
        </w:rPr>
        <w:t xml:space="preserve"> values for ingestion and dermal exposure provide additional evidence of the potential long-term cancer risk associated with prolonged exposure to specific heavy metals, particularly in areas where concentrations surpass the acceptable limits.</w:t>
      </w:r>
    </w:p>
    <w:p w14:paraId="2D834CD8" w14:textId="5799B35B" w:rsidR="006F7E07" w:rsidRDefault="003A27DA" w:rsidP="00AC7524">
      <w:pPr>
        <w:pStyle w:val="NormalWeb"/>
        <w:spacing w:before="0" w:beforeAutospacing="0" w:after="120" w:afterAutospacing="0" w:line="276" w:lineRule="auto"/>
        <w:jc w:val="both"/>
        <w:rPr>
          <w:sz w:val="20"/>
        </w:rPr>
      </w:pPr>
      <w:r w:rsidRPr="001D693C">
        <w:rPr>
          <w:sz w:val="20"/>
        </w:rPr>
        <w:t>However, while many of the boreholes in Enugu North Local Government Area may provide water that meets basic drinking water standards, a substantial portion of the samples indicate concerning levels of heavy metals that require attention. Given the potential health risks, especially for vulnerable populations, it is recommended that water quality monitoring and regular testing be conducted to ensure safe drinking water. The implementation of effective water treatment systems and public awareness programs about the risks of water contamination are essential steps toward safeguarding public health. Additionally, further research should focus on identifying the sources of contamination and exploring cost-effective methods for water remediation in the affected areas.</w:t>
      </w:r>
    </w:p>
    <w:p w14:paraId="3E82828D" w14:textId="2FD7228E" w:rsidR="008A7083" w:rsidRDefault="008A7083" w:rsidP="00AC7524">
      <w:pPr>
        <w:pStyle w:val="NormalWeb"/>
        <w:spacing w:before="0" w:beforeAutospacing="0" w:after="120" w:afterAutospacing="0" w:line="276" w:lineRule="auto"/>
        <w:jc w:val="both"/>
        <w:rPr>
          <w:sz w:val="20"/>
        </w:rPr>
      </w:pPr>
    </w:p>
    <w:p w14:paraId="48F9DB71" w14:textId="77777777" w:rsidR="008A7083" w:rsidRPr="00FE7640" w:rsidRDefault="008A7083" w:rsidP="008A7083">
      <w:pPr>
        <w:rPr>
          <w:rFonts w:ascii="Calibri" w:eastAsia="Calibri" w:hAnsi="Calibri" w:cs="Times New Roman"/>
          <w:kern w:val="2"/>
          <w:highlight w:val="yellow"/>
        </w:rPr>
      </w:pPr>
      <w:bookmarkStart w:id="1" w:name="_Hlk193540946"/>
      <w:bookmarkStart w:id="2" w:name="_Hlk180402183"/>
      <w:bookmarkStart w:id="3" w:name="_Hlk183680988"/>
      <w:r w:rsidRPr="00FE7640">
        <w:rPr>
          <w:rFonts w:ascii="Calibri" w:eastAsia="Calibri" w:hAnsi="Calibri" w:cs="Times New Roman"/>
          <w:kern w:val="2"/>
          <w:highlight w:val="yellow"/>
        </w:rPr>
        <w:lastRenderedPageBreak/>
        <w:t>Disclaimer (Artificial intelligence)</w:t>
      </w:r>
    </w:p>
    <w:p w14:paraId="346462FB" w14:textId="77777777" w:rsidR="008A7083" w:rsidRPr="009C5487" w:rsidRDefault="008A7083" w:rsidP="008A708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A36045D" w14:textId="77777777" w:rsidR="008A7083" w:rsidRPr="009C5487" w:rsidRDefault="008A7083" w:rsidP="008A708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55521AB5" w14:textId="77777777" w:rsidR="008A7083" w:rsidRPr="009C5487" w:rsidRDefault="008A7083" w:rsidP="008A708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9D77110" w14:textId="77777777" w:rsidR="008A7083" w:rsidRPr="009C5487" w:rsidRDefault="008A7083" w:rsidP="008A708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194E73" w14:textId="77777777" w:rsidR="008A7083" w:rsidRPr="009C5487" w:rsidRDefault="008A7083" w:rsidP="008A708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AE3713D" w14:textId="77777777" w:rsidR="008A7083" w:rsidRPr="009C5487" w:rsidRDefault="008A7083" w:rsidP="008A708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27BF45F" w14:textId="77777777" w:rsidR="008A7083" w:rsidRPr="009C5487" w:rsidRDefault="008A7083" w:rsidP="008A708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85AB7BA" w14:textId="77777777" w:rsidR="008A7083" w:rsidRPr="009C5487" w:rsidRDefault="008A7083" w:rsidP="008A7083">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p w14:paraId="6B55786D" w14:textId="77777777" w:rsidR="008A7083" w:rsidRPr="00AC7524" w:rsidRDefault="008A7083" w:rsidP="00AC7524">
      <w:pPr>
        <w:pStyle w:val="NormalWeb"/>
        <w:spacing w:before="0" w:beforeAutospacing="0" w:after="120" w:afterAutospacing="0" w:line="276" w:lineRule="auto"/>
        <w:jc w:val="both"/>
        <w:rPr>
          <w:sz w:val="20"/>
        </w:rPr>
      </w:pPr>
    </w:p>
    <w:p w14:paraId="2127CC11" w14:textId="77777777" w:rsidR="00A05925" w:rsidRDefault="00A05925" w:rsidP="00A05925">
      <w:pPr>
        <w:jc w:val="both"/>
        <w:rPr>
          <w:rFonts w:ascii="Times New Roman" w:hAnsi="Times New Roman" w:cs="Times New Roman"/>
          <w:b/>
          <w:sz w:val="20"/>
          <w:szCs w:val="20"/>
        </w:rPr>
      </w:pPr>
      <w:r w:rsidRPr="002C1419">
        <w:rPr>
          <w:rFonts w:ascii="Times New Roman" w:hAnsi="Times New Roman" w:cs="Times New Roman"/>
          <w:b/>
          <w:sz w:val="20"/>
          <w:szCs w:val="20"/>
        </w:rPr>
        <w:t xml:space="preserve">References </w:t>
      </w:r>
    </w:p>
    <w:p w14:paraId="5B643ED2"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 </w:t>
      </w:r>
      <w:proofErr w:type="spellStart"/>
      <w:r w:rsidRPr="006D37AB">
        <w:rPr>
          <w:rFonts w:ascii="Times New Roman" w:hAnsi="Times New Roman" w:cs="Times New Roman"/>
          <w:sz w:val="20"/>
        </w:rPr>
        <w:t>Osunkiyesi</w:t>
      </w:r>
      <w:proofErr w:type="spellEnd"/>
      <w:r w:rsidRPr="006D37AB">
        <w:rPr>
          <w:rFonts w:ascii="Times New Roman" w:hAnsi="Times New Roman" w:cs="Times New Roman"/>
          <w:sz w:val="20"/>
        </w:rPr>
        <w:t xml:space="preserve">, A.A (2012) </w:t>
      </w:r>
      <w:proofErr w:type="gramStart"/>
      <w:r w:rsidRPr="006D37AB">
        <w:rPr>
          <w:rFonts w:ascii="Times New Roman" w:hAnsi="Times New Roman" w:cs="Times New Roman"/>
          <w:sz w:val="20"/>
        </w:rPr>
        <w:t>Physicochemical</w:t>
      </w:r>
      <w:proofErr w:type="gramEnd"/>
      <w:r w:rsidRPr="006D37AB">
        <w:rPr>
          <w:rFonts w:ascii="Times New Roman" w:hAnsi="Times New Roman" w:cs="Times New Roman"/>
          <w:sz w:val="20"/>
        </w:rPr>
        <w:t xml:space="preserve"> analysis of </w:t>
      </w:r>
      <w:proofErr w:type="spellStart"/>
      <w:r w:rsidRPr="006D37AB">
        <w:rPr>
          <w:rFonts w:ascii="Times New Roman" w:hAnsi="Times New Roman" w:cs="Times New Roman"/>
          <w:sz w:val="20"/>
        </w:rPr>
        <w:t>Ogun</w:t>
      </w:r>
      <w:proofErr w:type="spellEnd"/>
      <w:r w:rsidRPr="006D37AB">
        <w:rPr>
          <w:rFonts w:ascii="Times New Roman" w:hAnsi="Times New Roman" w:cs="Times New Roman"/>
          <w:sz w:val="20"/>
        </w:rPr>
        <w:t xml:space="preserve"> River (water samples) within two locations (</w:t>
      </w:r>
      <w:proofErr w:type="spellStart"/>
      <w:r w:rsidRPr="006D37AB">
        <w:rPr>
          <w:rFonts w:ascii="Times New Roman" w:hAnsi="Times New Roman" w:cs="Times New Roman"/>
          <w:sz w:val="20"/>
        </w:rPr>
        <w:t>AkinOlugbade</w:t>
      </w:r>
      <w:proofErr w:type="spellEnd"/>
      <w:r w:rsidRPr="006D37AB">
        <w:rPr>
          <w:rFonts w:ascii="Times New Roman" w:hAnsi="Times New Roman" w:cs="Times New Roman"/>
          <w:sz w:val="20"/>
        </w:rPr>
        <w:t xml:space="preserve"> and </w:t>
      </w:r>
      <w:proofErr w:type="spellStart"/>
      <w:r w:rsidRPr="006D37AB">
        <w:rPr>
          <w:rFonts w:ascii="Times New Roman" w:hAnsi="Times New Roman" w:cs="Times New Roman"/>
          <w:sz w:val="20"/>
        </w:rPr>
        <w:t>Lafenwa</w:t>
      </w:r>
      <w:proofErr w:type="spellEnd"/>
      <w:r w:rsidRPr="006D37AB">
        <w:rPr>
          <w:rFonts w:ascii="Times New Roman" w:hAnsi="Times New Roman" w:cs="Times New Roman"/>
          <w:sz w:val="20"/>
        </w:rPr>
        <w:t xml:space="preserve">) in </w:t>
      </w:r>
      <w:proofErr w:type="spellStart"/>
      <w:r w:rsidRPr="006D37AB">
        <w:rPr>
          <w:rFonts w:ascii="Times New Roman" w:hAnsi="Times New Roman" w:cs="Times New Roman"/>
          <w:sz w:val="20"/>
        </w:rPr>
        <w:t>Aboekuta</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Ogun</w:t>
      </w:r>
      <w:proofErr w:type="spellEnd"/>
      <w:r w:rsidRPr="006D37AB">
        <w:rPr>
          <w:rFonts w:ascii="Times New Roman" w:hAnsi="Times New Roman" w:cs="Times New Roman"/>
          <w:sz w:val="20"/>
        </w:rPr>
        <w:t xml:space="preserve"> State. IOSR Journal of Applied </w:t>
      </w:r>
      <w:proofErr w:type="gramStart"/>
      <w:r w:rsidRPr="006D37AB">
        <w:rPr>
          <w:rFonts w:ascii="Times New Roman" w:hAnsi="Times New Roman" w:cs="Times New Roman"/>
          <w:sz w:val="20"/>
        </w:rPr>
        <w:t>Chemistry.1(</w:t>
      </w:r>
      <w:proofErr w:type="gramEnd"/>
      <w:r w:rsidRPr="006D37AB">
        <w:rPr>
          <w:rFonts w:ascii="Times New Roman" w:hAnsi="Times New Roman" w:cs="Times New Roman"/>
          <w:sz w:val="20"/>
        </w:rPr>
        <w:t>4):24-27.</w:t>
      </w:r>
    </w:p>
    <w:p w14:paraId="2FCAEFBB"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 </w:t>
      </w:r>
      <w:proofErr w:type="spellStart"/>
      <w:r w:rsidRPr="006D37AB">
        <w:rPr>
          <w:rFonts w:ascii="Times New Roman" w:hAnsi="Times New Roman" w:cs="Times New Roman"/>
          <w:sz w:val="20"/>
        </w:rPr>
        <w:t>Ogbuagu</w:t>
      </w:r>
      <w:proofErr w:type="spellEnd"/>
      <w:r w:rsidRPr="006D37AB">
        <w:rPr>
          <w:rFonts w:ascii="Times New Roman" w:hAnsi="Times New Roman" w:cs="Times New Roman"/>
          <w:sz w:val="20"/>
        </w:rPr>
        <w:t xml:space="preserve">, J.O., </w:t>
      </w:r>
      <w:proofErr w:type="spellStart"/>
      <w:r w:rsidRPr="006D37AB">
        <w:rPr>
          <w:rFonts w:ascii="Times New Roman" w:hAnsi="Times New Roman" w:cs="Times New Roman"/>
          <w:sz w:val="20"/>
        </w:rPr>
        <w:t>Okeke</w:t>
      </w:r>
      <w:proofErr w:type="spellEnd"/>
      <w:r w:rsidRPr="006D37AB">
        <w:rPr>
          <w:rFonts w:ascii="Times New Roman" w:hAnsi="Times New Roman" w:cs="Times New Roman"/>
          <w:sz w:val="20"/>
        </w:rPr>
        <w:t xml:space="preserve">, A.P., </w:t>
      </w:r>
      <w:proofErr w:type="spellStart"/>
      <w:r w:rsidRPr="006D37AB">
        <w:rPr>
          <w:rFonts w:ascii="Times New Roman" w:hAnsi="Times New Roman" w:cs="Times New Roman"/>
          <w:sz w:val="20"/>
        </w:rPr>
        <w:t>Ogbuagu</w:t>
      </w:r>
      <w:proofErr w:type="spellEnd"/>
      <w:r w:rsidRPr="006D37AB">
        <w:rPr>
          <w:rFonts w:ascii="Times New Roman" w:hAnsi="Times New Roman" w:cs="Times New Roman"/>
          <w:sz w:val="20"/>
        </w:rPr>
        <w:t xml:space="preserve"> A.S., </w:t>
      </w:r>
      <w:proofErr w:type="spellStart"/>
      <w:r w:rsidRPr="006D37AB">
        <w:rPr>
          <w:rFonts w:ascii="Times New Roman" w:hAnsi="Times New Roman" w:cs="Times New Roman"/>
          <w:sz w:val="20"/>
        </w:rPr>
        <w:t>Anyanwu</w:t>
      </w:r>
      <w:proofErr w:type="spellEnd"/>
      <w:r w:rsidRPr="006D37AB">
        <w:rPr>
          <w:rFonts w:ascii="Times New Roman" w:hAnsi="Times New Roman" w:cs="Times New Roman"/>
          <w:sz w:val="20"/>
        </w:rPr>
        <w:t xml:space="preserve">, A.P. and </w:t>
      </w:r>
      <w:proofErr w:type="spellStart"/>
      <w:r w:rsidRPr="006D37AB">
        <w:rPr>
          <w:rFonts w:ascii="Times New Roman" w:hAnsi="Times New Roman" w:cs="Times New Roman"/>
          <w:sz w:val="20"/>
        </w:rPr>
        <w:t>Anyanwu</w:t>
      </w:r>
      <w:proofErr w:type="spellEnd"/>
      <w:r w:rsidRPr="006D37AB">
        <w:rPr>
          <w:rFonts w:ascii="Times New Roman" w:hAnsi="Times New Roman" w:cs="Times New Roman"/>
          <w:sz w:val="20"/>
        </w:rPr>
        <w:t xml:space="preserve">, C.F (2024). Quality Characteristics of Groundwater </w:t>
      </w:r>
      <w:proofErr w:type="gramStart"/>
      <w:r w:rsidRPr="006D37AB">
        <w:rPr>
          <w:rFonts w:ascii="Times New Roman" w:hAnsi="Times New Roman" w:cs="Times New Roman"/>
          <w:sz w:val="20"/>
        </w:rPr>
        <w:t>Within</w:t>
      </w:r>
      <w:proofErr w:type="gramEnd"/>
      <w:r w:rsidRPr="006D37AB">
        <w:rPr>
          <w:rFonts w:ascii="Times New Roman" w:hAnsi="Times New Roman" w:cs="Times New Roman"/>
          <w:sz w:val="20"/>
        </w:rPr>
        <w:t xml:space="preserve"> Hostels in Nnamdi Azikiwe University, </w:t>
      </w:r>
      <w:proofErr w:type="spellStart"/>
      <w:r w:rsidRPr="006D37AB">
        <w:rPr>
          <w:rFonts w:ascii="Times New Roman" w:hAnsi="Times New Roman" w:cs="Times New Roman"/>
          <w:sz w:val="20"/>
        </w:rPr>
        <w:t>Awka</w:t>
      </w:r>
      <w:proofErr w:type="spellEnd"/>
      <w:r w:rsidRPr="006D37AB">
        <w:rPr>
          <w:rFonts w:ascii="Times New Roman" w:hAnsi="Times New Roman" w:cs="Times New Roman"/>
          <w:sz w:val="20"/>
        </w:rPr>
        <w:t>. Iconic Research Engineering Journals, 8(4): 552-559.</w:t>
      </w:r>
    </w:p>
    <w:p w14:paraId="175BB2ED"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[3] </w:t>
      </w:r>
      <w:proofErr w:type="spellStart"/>
      <w:r w:rsidRPr="006D37AB">
        <w:rPr>
          <w:rFonts w:ascii="Times New Roman" w:hAnsi="Times New Roman" w:cs="Times New Roman"/>
          <w:sz w:val="20"/>
        </w:rPr>
        <w:t>Imoh</w:t>
      </w:r>
      <w:proofErr w:type="spellEnd"/>
      <w:r w:rsidRPr="006D37AB">
        <w:rPr>
          <w:rFonts w:ascii="Times New Roman" w:hAnsi="Times New Roman" w:cs="Times New Roman"/>
          <w:sz w:val="20"/>
        </w:rPr>
        <w:t xml:space="preserve">, C. B. A., </w:t>
      </w:r>
      <w:proofErr w:type="spellStart"/>
      <w:r w:rsidRPr="006D37AB">
        <w:rPr>
          <w:rFonts w:ascii="Times New Roman" w:hAnsi="Times New Roman" w:cs="Times New Roman"/>
          <w:sz w:val="20"/>
        </w:rPr>
        <w:t>Etuke</w:t>
      </w:r>
      <w:proofErr w:type="spellEnd"/>
      <w:r w:rsidRPr="006D37AB">
        <w:rPr>
          <w:rFonts w:ascii="Times New Roman" w:hAnsi="Times New Roman" w:cs="Times New Roman"/>
          <w:sz w:val="20"/>
        </w:rPr>
        <w:t xml:space="preserve">, U. U., </w:t>
      </w:r>
      <w:proofErr w:type="spellStart"/>
      <w:r w:rsidRPr="006D37AB">
        <w:rPr>
          <w:rFonts w:ascii="Times New Roman" w:hAnsi="Times New Roman" w:cs="Times New Roman"/>
          <w:sz w:val="20"/>
        </w:rPr>
        <w:t>Bassey</w:t>
      </w:r>
      <w:proofErr w:type="spellEnd"/>
      <w:r w:rsidRPr="006D37AB">
        <w:rPr>
          <w:rFonts w:ascii="Times New Roman" w:hAnsi="Times New Roman" w:cs="Times New Roman"/>
          <w:sz w:val="20"/>
        </w:rPr>
        <w:t xml:space="preserve">, J. and John, E. (2021). Physiochemical Assessment on Borehole Water Quality in </w:t>
      </w:r>
      <w:proofErr w:type="spellStart"/>
      <w:r w:rsidRPr="006D37AB">
        <w:rPr>
          <w:rFonts w:ascii="Times New Roman" w:hAnsi="Times New Roman" w:cs="Times New Roman"/>
          <w:sz w:val="20"/>
        </w:rPr>
        <w:t>Uyo</w:t>
      </w:r>
      <w:proofErr w:type="spellEnd"/>
      <w:r w:rsidRPr="006D37AB">
        <w:rPr>
          <w:rFonts w:ascii="Times New Roman" w:hAnsi="Times New Roman" w:cs="Times New Roman"/>
          <w:sz w:val="20"/>
        </w:rPr>
        <w:t xml:space="preserve"> Metropolis. International Journal of Innovative Research in Advanced Engineering, 8(9), 222–238.</w:t>
      </w:r>
    </w:p>
    <w:p w14:paraId="33EBE758"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[4] </w:t>
      </w:r>
      <w:proofErr w:type="spellStart"/>
      <w:r w:rsidRPr="006D37AB">
        <w:rPr>
          <w:rFonts w:ascii="Times New Roman" w:hAnsi="Times New Roman" w:cs="Times New Roman"/>
          <w:sz w:val="20"/>
        </w:rPr>
        <w:t>Aleru</w:t>
      </w:r>
      <w:proofErr w:type="spellEnd"/>
      <w:r w:rsidRPr="006D37AB">
        <w:rPr>
          <w:rFonts w:ascii="Times New Roman" w:hAnsi="Times New Roman" w:cs="Times New Roman"/>
          <w:sz w:val="20"/>
        </w:rPr>
        <w:t xml:space="preserve">, C. P., </w:t>
      </w:r>
      <w:proofErr w:type="spellStart"/>
      <w:r w:rsidRPr="006D37AB">
        <w:rPr>
          <w:rFonts w:ascii="Times New Roman" w:hAnsi="Times New Roman" w:cs="Times New Roman"/>
          <w:sz w:val="20"/>
        </w:rPr>
        <w:t>Ollor</w:t>
      </w:r>
      <w:proofErr w:type="spellEnd"/>
      <w:r w:rsidRPr="006D37AB">
        <w:rPr>
          <w:rFonts w:ascii="Times New Roman" w:hAnsi="Times New Roman" w:cs="Times New Roman"/>
          <w:sz w:val="20"/>
        </w:rPr>
        <w:t xml:space="preserve">, O. A., </w:t>
      </w:r>
      <w:proofErr w:type="spellStart"/>
      <w:r w:rsidRPr="006D37AB">
        <w:rPr>
          <w:rFonts w:ascii="Times New Roman" w:hAnsi="Times New Roman" w:cs="Times New Roman"/>
          <w:sz w:val="20"/>
        </w:rPr>
        <w:t>Agi</w:t>
      </w:r>
      <w:proofErr w:type="spellEnd"/>
      <w:r w:rsidRPr="006D37AB">
        <w:rPr>
          <w:rFonts w:ascii="Times New Roman" w:hAnsi="Times New Roman" w:cs="Times New Roman"/>
          <w:sz w:val="20"/>
        </w:rPr>
        <w:t xml:space="preserve">, V. N. and </w:t>
      </w:r>
      <w:proofErr w:type="spellStart"/>
      <w:r w:rsidRPr="006D37AB">
        <w:rPr>
          <w:rFonts w:ascii="Times New Roman" w:hAnsi="Times New Roman" w:cs="Times New Roman"/>
          <w:sz w:val="20"/>
        </w:rPr>
        <w:t>Azike</w:t>
      </w:r>
      <w:proofErr w:type="spellEnd"/>
      <w:r w:rsidRPr="006D37AB">
        <w:rPr>
          <w:rFonts w:ascii="Times New Roman" w:hAnsi="Times New Roman" w:cs="Times New Roman"/>
          <w:sz w:val="20"/>
        </w:rPr>
        <w:t xml:space="preserve">, C. A. (2019). Assessment of physicochemical and bacteriological qualities of borehole water sources in </w:t>
      </w:r>
      <w:proofErr w:type="spellStart"/>
      <w:r w:rsidRPr="006D37AB">
        <w:rPr>
          <w:rFonts w:ascii="Times New Roman" w:hAnsi="Times New Roman" w:cs="Times New Roman"/>
          <w:sz w:val="20"/>
        </w:rPr>
        <w:t>Gokana</w:t>
      </w:r>
      <w:proofErr w:type="spellEnd"/>
      <w:r w:rsidRPr="006D37AB">
        <w:rPr>
          <w:rFonts w:ascii="Times New Roman" w:hAnsi="Times New Roman" w:cs="Times New Roman"/>
          <w:sz w:val="20"/>
        </w:rPr>
        <w:t xml:space="preserve"> local government area, Rivers state, Nigeria. International Journal of Pathogen Research, 3(3-4), 1-8.</w:t>
      </w:r>
    </w:p>
    <w:p w14:paraId="7C16EC1D"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[5] </w:t>
      </w:r>
      <w:proofErr w:type="spellStart"/>
      <w:r w:rsidRPr="006D37AB">
        <w:rPr>
          <w:rFonts w:ascii="Times New Roman" w:hAnsi="Times New Roman" w:cs="Times New Roman"/>
          <w:sz w:val="20"/>
        </w:rPr>
        <w:t>Udongwo</w:t>
      </w:r>
      <w:proofErr w:type="spellEnd"/>
      <w:r w:rsidRPr="006D37AB">
        <w:rPr>
          <w:rFonts w:ascii="Times New Roman" w:hAnsi="Times New Roman" w:cs="Times New Roman"/>
          <w:sz w:val="20"/>
        </w:rPr>
        <w:t xml:space="preserve">, A. M. and </w:t>
      </w:r>
      <w:proofErr w:type="spellStart"/>
      <w:r w:rsidRPr="006D37AB">
        <w:rPr>
          <w:rFonts w:ascii="Times New Roman" w:hAnsi="Times New Roman" w:cs="Times New Roman"/>
          <w:sz w:val="20"/>
        </w:rPr>
        <w:t>Sambo</w:t>
      </w:r>
      <w:proofErr w:type="spellEnd"/>
      <w:r w:rsidRPr="006D37AB">
        <w:rPr>
          <w:rFonts w:ascii="Times New Roman" w:hAnsi="Times New Roman" w:cs="Times New Roman"/>
          <w:sz w:val="20"/>
        </w:rPr>
        <w:t xml:space="preserve">, D. D. (2022). Assessment of heavy metal contamination in boreholes around mechanic workshops in </w:t>
      </w:r>
      <w:proofErr w:type="spellStart"/>
      <w:r w:rsidRPr="006D37AB">
        <w:rPr>
          <w:rFonts w:ascii="Times New Roman" w:hAnsi="Times New Roman" w:cs="Times New Roman"/>
          <w:sz w:val="20"/>
        </w:rPr>
        <w:t>Uyo</w:t>
      </w:r>
      <w:proofErr w:type="spellEnd"/>
      <w:r w:rsidRPr="006D37AB">
        <w:rPr>
          <w:rFonts w:ascii="Times New Roman" w:hAnsi="Times New Roman" w:cs="Times New Roman"/>
          <w:sz w:val="20"/>
        </w:rPr>
        <w:t xml:space="preserve"> Metropolis, </w:t>
      </w:r>
      <w:proofErr w:type="spellStart"/>
      <w:r w:rsidRPr="006D37AB">
        <w:rPr>
          <w:rFonts w:ascii="Times New Roman" w:hAnsi="Times New Roman" w:cs="Times New Roman"/>
          <w:sz w:val="20"/>
        </w:rPr>
        <w:t>Akwa</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Ibom</w:t>
      </w:r>
      <w:proofErr w:type="spellEnd"/>
      <w:r w:rsidRPr="006D37AB">
        <w:rPr>
          <w:rFonts w:ascii="Times New Roman" w:hAnsi="Times New Roman" w:cs="Times New Roman"/>
          <w:sz w:val="20"/>
        </w:rPr>
        <w:t xml:space="preserve"> State, Nigeria. Journal of Chemical Society of Nigeria, 47(4).</w:t>
      </w:r>
    </w:p>
    <w:p w14:paraId="166D09E0"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[6] </w:t>
      </w:r>
      <w:proofErr w:type="spellStart"/>
      <w:r w:rsidRPr="006D37AB">
        <w:rPr>
          <w:rFonts w:ascii="Times New Roman" w:hAnsi="Times New Roman" w:cs="Times New Roman"/>
          <w:sz w:val="20"/>
        </w:rPr>
        <w:t>Pawari</w:t>
      </w:r>
      <w:proofErr w:type="spellEnd"/>
      <w:r w:rsidRPr="006D37AB">
        <w:rPr>
          <w:rFonts w:ascii="Times New Roman" w:hAnsi="Times New Roman" w:cs="Times New Roman"/>
          <w:sz w:val="20"/>
        </w:rPr>
        <w:t xml:space="preserve">, M. J. and </w:t>
      </w:r>
      <w:proofErr w:type="spellStart"/>
      <w:r w:rsidRPr="006D37AB">
        <w:rPr>
          <w:rFonts w:ascii="Times New Roman" w:hAnsi="Times New Roman" w:cs="Times New Roman"/>
          <w:sz w:val="20"/>
        </w:rPr>
        <w:t>Gawande</w:t>
      </w:r>
      <w:proofErr w:type="spellEnd"/>
      <w:r w:rsidRPr="006D37AB">
        <w:rPr>
          <w:rFonts w:ascii="Times New Roman" w:hAnsi="Times New Roman" w:cs="Times New Roman"/>
          <w:sz w:val="20"/>
        </w:rPr>
        <w:t>, S. (2015). Ground water pollution and its consequence. International Journal of Engineering Research any General Science, 3 (4):773-76.</w:t>
      </w:r>
    </w:p>
    <w:p w14:paraId="70209B3B"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[7] </w:t>
      </w:r>
      <w:proofErr w:type="spellStart"/>
      <w:r w:rsidRPr="006D37AB">
        <w:rPr>
          <w:rFonts w:ascii="Times New Roman" w:hAnsi="Times New Roman" w:cs="Times New Roman"/>
          <w:sz w:val="20"/>
        </w:rPr>
        <w:t>Edori</w:t>
      </w:r>
      <w:proofErr w:type="spellEnd"/>
      <w:r w:rsidRPr="006D37AB">
        <w:rPr>
          <w:rFonts w:ascii="Times New Roman" w:hAnsi="Times New Roman" w:cs="Times New Roman"/>
          <w:sz w:val="20"/>
        </w:rPr>
        <w:t xml:space="preserve">, O. S. and </w:t>
      </w:r>
      <w:proofErr w:type="spellStart"/>
      <w:r w:rsidRPr="006D37AB">
        <w:rPr>
          <w:rFonts w:ascii="Times New Roman" w:hAnsi="Times New Roman" w:cs="Times New Roman"/>
          <w:sz w:val="20"/>
        </w:rPr>
        <w:t>Kpee</w:t>
      </w:r>
      <w:proofErr w:type="spellEnd"/>
      <w:r w:rsidRPr="006D37AB">
        <w:rPr>
          <w:rFonts w:ascii="Times New Roman" w:hAnsi="Times New Roman" w:cs="Times New Roman"/>
          <w:sz w:val="20"/>
        </w:rPr>
        <w:t>, F. (2016). Physicochemical and heavy metal assessment of water samples from boreholes near some abattoirs in Port Harcourt, Rivers State, Nigeria. American Chemical Science Journal, 14(3), 1-8.</w:t>
      </w:r>
    </w:p>
    <w:p w14:paraId="2DF023DD"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[8] </w:t>
      </w:r>
      <w:proofErr w:type="spellStart"/>
      <w:r w:rsidRPr="006D37AB">
        <w:rPr>
          <w:rFonts w:ascii="Times New Roman" w:hAnsi="Times New Roman" w:cs="Times New Roman"/>
          <w:sz w:val="20"/>
        </w:rPr>
        <w:t>Ebong</w:t>
      </w:r>
      <w:proofErr w:type="spellEnd"/>
      <w:r w:rsidRPr="006D37AB">
        <w:rPr>
          <w:rFonts w:ascii="Times New Roman" w:hAnsi="Times New Roman" w:cs="Times New Roman"/>
          <w:sz w:val="20"/>
        </w:rPr>
        <w:t xml:space="preserve">, S. S., </w:t>
      </w:r>
      <w:proofErr w:type="spellStart"/>
      <w:r w:rsidRPr="006D37AB">
        <w:rPr>
          <w:rFonts w:ascii="Times New Roman" w:hAnsi="Times New Roman" w:cs="Times New Roman"/>
          <w:sz w:val="20"/>
        </w:rPr>
        <w:t>Etim</w:t>
      </w:r>
      <w:proofErr w:type="spellEnd"/>
      <w:r w:rsidRPr="006D37AB">
        <w:rPr>
          <w:rFonts w:ascii="Times New Roman" w:hAnsi="Times New Roman" w:cs="Times New Roman"/>
          <w:sz w:val="20"/>
        </w:rPr>
        <w:t xml:space="preserve">, D. U., </w:t>
      </w:r>
      <w:proofErr w:type="spellStart"/>
      <w:r w:rsidRPr="006D37AB">
        <w:rPr>
          <w:rFonts w:ascii="Times New Roman" w:hAnsi="Times New Roman" w:cs="Times New Roman"/>
          <w:sz w:val="20"/>
        </w:rPr>
        <w:t>Otugo</w:t>
      </w:r>
      <w:proofErr w:type="spellEnd"/>
      <w:r w:rsidRPr="006D37AB">
        <w:rPr>
          <w:rFonts w:ascii="Times New Roman" w:hAnsi="Times New Roman" w:cs="Times New Roman"/>
          <w:sz w:val="20"/>
        </w:rPr>
        <w:t xml:space="preserve">, V. N. and </w:t>
      </w:r>
      <w:proofErr w:type="spellStart"/>
      <w:r w:rsidRPr="006D37AB">
        <w:rPr>
          <w:rFonts w:ascii="Times New Roman" w:hAnsi="Times New Roman" w:cs="Times New Roman"/>
          <w:sz w:val="20"/>
        </w:rPr>
        <w:t>Uko</w:t>
      </w:r>
      <w:proofErr w:type="spellEnd"/>
      <w:r w:rsidRPr="006D37AB">
        <w:rPr>
          <w:rFonts w:ascii="Times New Roman" w:hAnsi="Times New Roman" w:cs="Times New Roman"/>
          <w:sz w:val="20"/>
        </w:rPr>
        <w:t xml:space="preserve">, O. E. (2018). Evaluation of physicochemical and microbiological characteristics of borehole water in </w:t>
      </w:r>
      <w:proofErr w:type="spellStart"/>
      <w:r w:rsidRPr="006D37AB">
        <w:rPr>
          <w:rFonts w:ascii="Times New Roman" w:hAnsi="Times New Roman" w:cs="Times New Roman"/>
          <w:sz w:val="20"/>
        </w:rPr>
        <w:t>Mgboushimini</w:t>
      </w:r>
      <w:proofErr w:type="spellEnd"/>
      <w:r w:rsidRPr="006D37AB">
        <w:rPr>
          <w:rFonts w:ascii="Times New Roman" w:hAnsi="Times New Roman" w:cs="Times New Roman"/>
          <w:sz w:val="20"/>
        </w:rPr>
        <w:t xml:space="preserve"> community of Rivers state, Nigeria. Journal of Advances in Medicine and Medical Research, 27(8), 1-9.</w:t>
      </w:r>
    </w:p>
    <w:p w14:paraId="709CB1D2"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lastRenderedPageBreak/>
        <w:t xml:space="preserve">[9] </w:t>
      </w:r>
      <w:proofErr w:type="spellStart"/>
      <w:r w:rsidRPr="006D37AB">
        <w:rPr>
          <w:rFonts w:ascii="Times New Roman" w:hAnsi="Times New Roman" w:cs="Times New Roman"/>
          <w:sz w:val="20"/>
        </w:rPr>
        <w:t>Obioma</w:t>
      </w:r>
      <w:proofErr w:type="spellEnd"/>
      <w:r w:rsidRPr="006D37AB">
        <w:rPr>
          <w:rFonts w:ascii="Times New Roman" w:hAnsi="Times New Roman" w:cs="Times New Roman"/>
          <w:sz w:val="20"/>
        </w:rPr>
        <w:t xml:space="preserve">, A., </w:t>
      </w:r>
      <w:proofErr w:type="spellStart"/>
      <w:r w:rsidRPr="006D37AB">
        <w:rPr>
          <w:rFonts w:ascii="Times New Roman" w:hAnsi="Times New Roman" w:cs="Times New Roman"/>
          <w:sz w:val="20"/>
        </w:rPr>
        <w:t>Nnenna</w:t>
      </w:r>
      <w:proofErr w:type="spellEnd"/>
      <w:r w:rsidRPr="006D37AB">
        <w:rPr>
          <w:rFonts w:ascii="Times New Roman" w:hAnsi="Times New Roman" w:cs="Times New Roman"/>
          <w:sz w:val="20"/>
        </w:rPr>
        <w:t>, I. and Golden, O. (2020). Bacteriological risk assessment of borehole sources of drinking water in some part of Port Harcourt metropolis of Niger Delta, Nigeria. Journal of Scientific and Technical Research, 18477- 18487.</w:t>
      </w:r>
    </w:p>
    <w:p w14:paraId="465EABA4"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[10] Solana, O. I., </w:t>
      </w:r>
      <w:proofErr w:type="spellStart"/>
      <w:r w:rsidRPr="006D37AB">
        <w:rPr>
          <w:rFonts w:ascii="Times New Roman" w:hAnsi="Times New Roman" w:cs="Times New Roman"/>
          <w:sz w:val="20"/>
        </w:rPr>
        <w:t>Omotola</w:t>
      </w:r>
      <w:proofErr w:type="spellEnd"/>
      <w:r w:rsidRPr="006D37AB">
        <w:rPr>
          <w:rFonts w:ascii="Times New Roman" w:hAnsi="Times New Roman" w:cs="Times New Roman"/>
          <w:sz w:val="20"/>
        </w:rPr>
        <w:t xml:space="preserve">, F. A., </w:t>
      </w:r>
      <w:proofErr w:type="spellStart"/>
      <w:r w:rsidRPr="006D37AB">
        <w:rPr>
          <w:rFonts w:ascii="Times New Roman" w:hAnsi="Times New Roman" w:cs="Times New Roman"/>
          <w:sz w:val="20"/>
        </w:rPr>
        <w:t>Ogungbayi</w:t>
      </w:r>
      <w:proofErr w:type="spellEnd"/>
      <w:r w:rsidRPr="006D37AB">
        <w:rPr>
          <w:rFonts w:ascii="Times New Roman" w:hAnsi="Times New Roman" w:cs="Times New Roman"/>
          <w:sz w:val="20"/>
        </w:rPr>
        <w:t xml:space="preserve">, G. B. and </w:t>
      </w:r>
      <w:proofErr w:type="spellStart"/>
      <w:r w:rsidRPr="006D37AB">
        <w:rPr>
          <w:rFonts w:ascii="Times New Roman" w:hAnsi="Times New Roman" w:cs="Times New Roman"/>
          <w:sz w:val="20"/>
        </w:rPr>
        <w:t>Opafola</w:t>
      </w:r>
      <w:proofErr w:type="spellEnd"/>
      <w:r w:rsidRPr="006D37AB">
        <w:rPr>
          <w:rFonts w:ascii="Times New Roman" w:hAnsi="Times New Roman" w:cs="Times New Roman"/>
          <w:sz w:val="20"/>
        </w:rPr>
        <w:t xml:space="preserve">, O. T. (2020). Quantification of metals, physicochemical and microbiological properties of consumed sachet/surface waters in </w:t>
      </w:r>
      <w:proofErr w:type="spellStart"/>
      <w:r w:rsidRPr="006D37AB">
        <w:rPr>
          <w:rFonts w:ascii="Times New Roman" w:hAnsi="Times New Roman" w:cs="Times New Roman"/>
          <w:sz w:val="20"/>
        </w:rPr>
        <w:t>Ayetoro</w:t>
      </w:r>
      <w:proofErr w:type="spellEnd"/>
      <w:r w:rsidRPr="006D37AB">
        <w:rPr>
          <w:rFonts w:ascii="Times New Roman" w:hAnsi="Times New Roman" w:cs="Times New Roman"/>
          <w:sz w:val="20"/>
        </w:rPr>
        <w:t xml:space="preserve"> community, </w:t>
      </w:r>
      <w:proofErr w:type="spellStart"/>
      <w:r w:rsidRPr="006D37AB">
        <w:rPr>
          <w:rFonts w:ascii="Times New Roman" w:hAnsi="Times New Roman" w:cs="Times New Roman"/>
          <w:sz w:val="20"/>
        </w:rPr>
        <w:t>Ogun</w:t>
      </w:r>
      <w:proofErr w:type="spellEnd"/>
      <w:r w:rsidRPr="006D37AB">
        <w:rPr>
          <w:rFonts w:ascii="Times New Roman" w:hAnsi="Times New Roman" w:cs="Times New Roman"/>
          <w:sz w:val="20"/>
        </w:rPr>
        <w:t xml:space="preserve"> State, Nigeria. Journal of Materials and Environmental Science, 11(6), 856-867.</w:t>
      </w:r>
    </w:p>
    <w:p w14:paraId="38EB9137"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[11] </w:t>
      </w:r>
      <w:proofErr w:type="spellStart"/>
      <w:r w:rsidRPr="006D37AB">
        <w:rPr>
          <w:rFonts w:ascii="Times New Roman" w:hAnsi="Times New Roman" w:cs="Times New Roman"/>
          <w:sz w:val="20"/>
        </w:rPr>
        <w:t>Zige</w:t>
      </w:r>
      <w:proofErr w:type="spellEnd"/>
      <w:r w:rsidRPr="006D37AB">
        <w:rPr>
          <w:rFonts w:ascii="Times New Roman" w:hAnsi="Times New Roman" w:cs="Times New Roman"/>
          <w:sz w:val="20"/>
        </w:rPr>
        <w:t xml:space="preserve">, D. V., </w:t>
      </w:r>
      <w:proofErr w:type="spellStart"/>
      <w:r w:rsidRPr="006D37AB">
        <w:rPr>
          <w:rFonts w:ascii="Times New Roman" w:hAnsi="Times New Roman" w:cs="Times New Roman"/>
          <w:sz w:val="20"/>
        </w:rPr>
        <w:t>Ogbolosingha</w:t>
      </w:r>
      <w:proofErr w:type="spellEnd"/>
      <w:r w:rsidRPr="006D37AB">
        <w:rPr>
          <w:rFonts w:ascii="Times New Roman" w:hAnsi="Times New Roman" w:cs="Times New Roman"/>
          <w:sz w:val="20"/>
        </w:rPr>
        <w:t xml:space="preserve">, A. J. and </w:t>
      </w:r>
      <w:proofErr w:type="spellStart"/>
      <w:r w:rsidRPr="006D37AB">
        <w:rPr>
          <w:rFonts w:ascii="Times New Roman" w:hAnsi="Times New Roman" w:cs="Times New Roman"/>
          <w:sz w:val="20"/>
        </w:rPr>
        <w:t>Agboun</w:t>
      </w:r>
      <w:proofErr w:type="spellEnd"/>
      <w:r w:rsidRPr="006D37AB">
        <w:rPr>
          <w:rFonts w:ascii="Times New Roman" w:hAnsi="Times New Roman" w:cs="Times New Roman"/>
          <w:sz w:val="20"/>
        </w:rPr>
        <w:t xml:space="preserve">, T. D. T. (2018). </w:t>
      </w:r>
      <w:proofErr w:type="spellStart"/>
      <w:r w:rsidRPr="006D37AB">
        <w:rPr>
          <w:rFonts w:ascii="Times New Roman" w:hAnsi="Times New Roman" w:cs="Times New Roman"/>
          <w:sz w:val="20"/>
        </w:rPr>
        <w:t>Physico</w:t>
      </w:r>
      <w:proofErr w:type="spellEnd"/>
      <w:r w:rsidRPr="006D37AB">
        <w:rPr>
          <w:rFonts w:ascii="Times New Roman" w:hAnsi="Times New Roman" w:cs="Times New Roman"/>
          <w:sz w:val="20"/>
        </w:rPr>
        <w:t xml:space="preserve">-chemical and bacteriological quality of water from boreholes in </w:t>
      </w:r>
      <w:proofErr w:type="spellStart"/>
      <w:r w:rsidRPr="006D37AB">
        <w:rPr>
          <w:rFonts w:ascii="Times New Roman" w:hAnsi="Times New Roman" w:cs="Times New Roman"/>
          <w:sz w:val="20"/>
        </w:rPr>
        <w:t>Otuoke</w:t>
      </w:r>
      <w:proofErr w:type="spellEnd"/>
      <w:r w:rsidRPr="006D37AB">
        <w:rPr>
          <w:rFonts w:ascii="Times New Roman" w:hAnsi="Times New Roman" w:cs="Times New Roman"/>
          <w:sz w:val="20"/>
        </w:rPr>
        <w:t xml:space="preserve"> community, </w:t>
      </w:r>
      <w:proofErr w:type="spellStart"/>
      <w:r w:rsidRPr="006D37AB">
        <w:rPr>
          <w:rFonts w:ascii="Times New Roman" w:hAnsi="Times New Roman" w:cs="Times New Roman"/>
          <w:sz w:val="20"/>
        </w:rPr>
        <w:t>Bayelsa</w:t>
      </w:r>
      <w:proofErr w:type="spellEnd"/>
      <w:r w:rsidRPr="006D37AB">
        <w:rPr>
          <w:rFonts w:ascii="Times New Roman" w:hAnsi="Times New Roman" w:cs="Times New Roman"/>
          <w:sz w:val="20"/>
        </w:rPr>
        <w:t xml:space="preserve"> state, Nigeria. Journal of Water, 1(1), 1-10.</w:t>
      </w:r>
    </w:p>
    <w:p w14:paraId="402EAE44"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[12] </w:t>
      </w:r>
      <w:proofErr w:type="spellStart"/>
      <w:r w:rsidRPr="006D37AB">
        <w:rPr>
          <w:rFonts w:ascii="Times New Roman" w:hAnsi="Times New Roman" w:cs="Times New Roman"/>
          <w:sz w:val="20"/>
        </w:rPr>
        <w:t>Abdulsalam</w:t>
      </w:r>
      <w:proofErr w:type="spellEnd"/>
      <w:r w:rsidRPr="006D37AB">
        <w:rPr>
          <w:rFonts w:ascii="Times New Roman" w:hAnsi="Times New Roman" w:cs="Times New Roman"/>
          <w:sz w:val="20"/>
        </w:rPr>
        <w:t xml:space="preserve">, H., </w:t>
      </w:r>
      <w:proofErr w:type="spellStart"/>
      <w:r w:rsidRPr="006D37AB">
        <w:rPr>
          <w:rFonts w:ascii="Times New Roman" w:hAnsi="Times New Roman" w:cs="Times New Roman"/>
          <w:sz w:val="20"/>
        </w:rPr>
        <w:t>Nuhu</w:t>
      </w:r>
      <w:proofErr w:type="spellEnd"/>
      <w:r w:rsidRPr="006D37AB">
        <w:rPr>
          <w:rFonts w:ascii="Times New Roman" w:hAnsi="Times New Roman" w:cs="Times New Roman"/>
          <w:sz w:val="20"/>
        </w:rPr>
        <w:t xml:space="preserve">, I. and </w:t>
      </w:r>
      <w:proofErr w:type="spellStart"/>
      <w:r w:rsidRPr="006D37AB">
        <w:rPr>
          <w:rFonts w:ascii="Times New Roman" w:hAnsi="Times New Roman" w:cs="Times New Roman"/>
          <w:sz w:val="20"/>
        </w:rPr>
        <w:t>Lawal</w:t>
      </w:r>
      <w:proofErr w:type="spellEnd"/>
      <w:r w:rsidRPr="006D37AB">
        <w:rPr>
          <w:rFonts w:ascii="Times New Roman" w:hAnsi="Times New Roman" w:cs="Times New Roman"/>
          <w:sz w:val="20"/>
        </w:rPr>
        <w:t xml:space="preserve">, Y. (2019). Physicochemical and heavy metals assessment of some selected borehole water in </w:t>
      </w:r>
      <w:proofErr w:type="spellStart"/>
      <w:r w:rsidRPr="006D37AB">
        <w:rPr>
          <w:rFonts w:ascii="Times New Roman" w:hAnsi="Times New Roman" w:cs="Times New Roman"/>
          <w:sz w:val="20"/>
        </w:rPr>
        <w:t>Dutse</w:t>
      </w:r>
      <w:proofErr w:type="spellEnd"/>
      <w:r w:rsidRPr="006D37AB">
        <w:rPr>
          <w:rFonts w:ascii="Times New Roman" w:hAnsi="Times New Roman" w:cs="Times New Roman"/>
          <w:sz w:val="20"/>
        </w:rPr>
        <w:t xml:space="preserve"> town of </w:t>
      </w:r>
      <w:proofErr w:type="spellStart"/>
      <w:r w:rsidRPr="006D37AB">
        <w:rPr>
          <w:rFonts w:ascii="Times New Roman" w:hAnsi="Times New Roman" w:cs="Times New Roman"/>
          <w:sz w:val="20"/>
        </w:rPr>
        <w:t>Jigawa</w:t>
      </w:r>
      <w:proofErr w:type="spellEnd"/>
      <w:r w:rsidRPr="006D37AB">
        <w:rPr>
          <w:rFonts w:ascii="Times New Roman" w:hAnsi="Times New Roman" w:cs="Times New Roman"/>
          <w:sz w:val="20"/>
        </w:rPr>
        <w:t xml:space="preserve"> state. FUDMA Journal of Science, 3(4), 212-223.</w:t>
      </w:r>
    </w:p>
    <w:p w14:paraId="59E044E3"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[13] </w:t>
      </w:r>
      <w:proofErr w:type="spellStart"/>
      <w:r w:rsidRPr="006D37AB">
        <w:rPr>
          <w:rFonts w:ascii="Times New Roman" w:hAnsi="Times New Roman" w:cs="Times New Roman"/>
          <w:sz w:val="20"/>
        </w:rPr>
        <w:t>Oko</w:t>
      </w:r>
      <w:proofErr w:type="spellEnd"/>
      <w:r w:rsidRPr="006D37AB">
        <w:rPr>
          <w:rFonts w:ascii="Times New Roman" w:hAnsi="Times New Roman" w:cs="Times New Roman"/>
          <w:sz w:val="20"/>
        </w:rPr>
        <w:t xml:space="preserve">, O. J., </w:t>
      </w:r>
      <w:proofErr w:type="spellStart"/>
      <w:r w:rsidRPr="006D37AB">
        <w:rPr>
          <w:rFonts w:ascii="Times New Roman" w:hAnsi="Times New Roman" w:cs="Times New Roman"/>
          <w:sz w:val="20"/>
        </w:rPr>
        <w:t>Aremu</w:t>
      </w:r>
      <w:proofErr w:type="spellEnd"/>
      <w:r w:rsidRPr="006D37AB">
        <w:rPr>
          <w:rFonts w:ascii="Times New Roman" w:hAnsi="Times New Roman" w:cs="Times New Roman"/>
          <w:sz w:val="20"/>
        </w:rPr>
        <w:t xml:space="preserve">, M. O. and Andrew, C. (2017). Evaluation of the physicochemical and heavy metal content of ground water sources in </w:t>
      </w:r>
      <w:proofErr w:type="spellStart"/>
      <w:r w:rsidRPr="006D37AB">
        <w:rPr>
          <w:rFonts w:ascii="Times New Roman" w:hAnsi="Times New Roman" w:cs="Times New Roman"/>
          <w:sz w:val="20"/>
        </w:rPr>
        <w:t>Bantaji</w:t>
      </w:r>
      <w:proofErr w:type="spellEnd"/>
      <w:r w:rsidRPr="006D37AB">
        <w:rPr>
          <w:rFonts w:ascii="Times New Roman" w:hAnsi="Times New Roman" w:cs="Times New Roman"/>
          <w:sz w:val="20"/>
        </w:rPr>
        <w:t xml:space="preserve"> and </w:t>
      </w:r>
      <w:proofErr w:type="spellStart"/>
      <w:r w:rsidRPr="006D37AB">
        <w:rPr>
          <w:rFonts w:ascii="Times New Roman" w:hAnsi="Times New Roman" w:cs="Times New Roman"/>
          <w:sz w:val="20"/>
        </w:rPr>
        <w:t>Rafin-Kada</w:t>
      </w:r>
      <w:proofErr w:type="spellEnd"/>
      <w:r w:rsidRPr="006D37AB">
        <w:rPr>
          <w:rFonts w:ascii="Times New Roman" w:hAnsi="Times New Roman" w:cs="Times New Roman"/>
          <w:sz w:val="20"/>
        </w:rPr>
        <w:t xml:space="preserve"> settlements of </w:t>
      </w:r>
      <w:proofErr w:type="spellStart"/>
      <w:r w:rsidRPr="006D37AB">
        <w:rPr>
          <w:rFonts w:ascii="Times New Roman" w:hAnsi="Times New Roman" w:cs="Times New Roman"/>
          <w:sz w:val="20"/>
        </w:rPr>
        <w:t>Wukari</w:t>
      </w:r>
      <w:proofErr w:type="spellEnd"/>
      <w:r w:rsidRPr="006D37AB">
        <w:rPr>
          <w:rFonts w:ascii="Times New Roman" w:hAnsi="Times New Roman" w:cs="Times New Roman"/>
          <w:sz w:val="20"/>
        </w:rPr>
        <w:t xml:space="preserve"> local government area, </w:t>
      </w:r>
      <w:proofErr w:type="spellStart"/>
      <w:r w:rsidRPr="006D37AB">
        <w:rPr>
          <w:rFonts w:ascii="Times New Roman" w:hAnsi="Times New Roman" w:cs="Times New Roman"/>
          <w:sz w:val="20"/>
        </w:rPr>
        <w:t>Taraba</w:t>
      </w:r>
      <w:proofErr w:type="spellEnd"/>
      <w:r w:rsidRPr="006D37AB">
        <w:rPr>
          <w:rFonts w:ascii="Times New Roman" w:hAnsi="Times New Roman" w:cs="Times New Roman"/>
          <w:sz w:val="20"/>
        </w:rPr>
        <w:t xml:space="preserve"> state, Nigeria. Journal of Environmental Chemistry and Ecotoxicology, 9(4), 43-53.</w:t>
      </w:r>
    </w:p>
    <w:p w14:paraId="0BBF9EAC"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[14] Salami, L., </w:t>
      </w:r>
      <w:proofErr w:type="spellStart"/>
      <w:r w:rsidRPr="006D37AB">
        <w:rPr>
          <w:rFonts w:ascii="Times New Roman" w:hAnsi="Times New Roman" w:cs="Times New Roman"/>
          <w:sz w:val="20"/>
        </w:rPr>
        <w:t>Fadayini</w:t>
      </w:r>
      <w:proofErr w:type="spellEnd"/>
      <w:r w:rsidRPr="006D37AB">
        <w:rPr>
          <w:rFonts w:ascii="Times New Roman" w:hAnsi="Times New Roman" w:cs="Times New Roman"/>
          <w:sz w:val="20"/>
        </w:rPr>
        <w:t xml:space="preserve">, M.O. and </w:t>
      </w:r>
      <w:proofErr w:type="spellStart"/>
      <w:r w:rsidRPr="006D37AB">
        <w:rPr>
          <w:rFonts w:ascii="Times New Roman" w:hAnsi="Times New Roman" w:cs="Times New Roman"/>
          <w:sz w:val="20"/>
        </w:rPr>
        <w:t>Madu</w:t>
      </w:r>
      <w:proofErr w:type="spellEnd"/>
      <w:r w:rsidRPr="006D37AB">
        <w:rPr>
          <w:rFonts w:ascii="Times New Roman" w:hAnsi="Times New Roman" w:cs="Times New Roman"/>
          <w:sz w:val="20"/>
        </w:rPr>
        <w:t xml:space="preserve">, C. (2014). Assessment of a closed dumpsite and its impact on surface and groundwater integrity: A case of </w:t>
      </w:r>
      <w:proofErr w:type="spellStart"/>
      <w:r w:rsidRPr="006D37AB">
        <w:rPr>
          <w:rFonts w:ascii="Times New Roman" w:hAnsi="Times New Roman" w:cs="Times New Roman"/>
          <w:sz w:val="20"/>
        </w:rPr>
        <w:t>Oke</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Afa</w:t>
      </w:r>
      <w:proofErr w:type="spellEnd"/>
      <w:r w:rsidRPr="006D37AB">
        <w:rPr>
          <w:rFonts w:ascii="Times New Roman" w:hAnsi="Times New Roman" w:cs="Times New Roman"/>
          <w:sz w:val="20"/>
        </w:rPr>
        <w:t xml:space="preserve"> dumpsite, Lagos, Nigeria. International Journal of Research and Reviews in Applied Sciences, 18(3): 222-230.</w:t>
      </w:r>
    </w:p>
    <w:p w14:paraId="5136D6AB"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[15] Hassan, A., Kura, N.U., </w:t>
      </w:r>
      <w:proofErr w:type="spellStart"/>
      <w:r w:rsidRPr="006D37AB">
        <w:rPr>
          <w:rFonts w:ascii="Times New Roman" w:hAnsi="Times New Roman" w:cs="Times New Roman"/>
          <w:sz w:val="20"/>
        </w:rPr>
        <w:t>Amoo</w:t>
      </w:r>
      <w:proofErr w:type="spellEnd"/>
      <w:r w:rsidRPr="006D37AB">
        <w:rPr>
          <w:rFonts w:ascii="Times New Roman" w:hAnsi="Times New Roman" w:cs="Times New Roman"/>
          <w:sz w:val="20"/>
        </w:rPr>
        <w:t xml:space="preserve">, A.O., </w:t>
      </w:r>
      <w:proofErr w:type="spellStart"/>
      <w:r w:rsidRPr="006D37AB">
        <w:rPr>
          <w:rFonts w:ascii="Times New Roman" w:hAnsi="Times New Roman" w:cs="Times New Roman"/>
          <w:sz w:val="20"/>
        </w:rPr>
        <w:t>Adeleye</w:t>
      </w:r>
      <w:proofErr w:type="spellEnd"/>
      <w:r w:rsidRPr="006D37AB">
        <w:rPr>
          <w:rFonts w:ascii="Times New Roman" w:hAnsi="Times New Roman" w:cs="Times New Roman"/>
          <w:sz w:val="20"/>
        </w:rPr>
        <w:t xml:space="preserve">, A.O., </w:t>
      </w:r>
      <w:proofErr w:type="spellStart"/>
      <w:r w:rsidRPr="006D37AB">
        <w:rPr>
          <w:rFonts w:ascii="Times New Roman" w:hAnsi="Times New Roman" w:cs="Times New Roman"/>
          <w:sz w:val="20"/>
        </w:rPr>
        <w:t>Ijanu</w:t>
      </w:r>
      <w:proofErr w:type="spellEnd"/>
      <w:r w:rsidRPr="006D37AB">
        <w:rPr>
          <w:rFonts w:ascii="Times New Roman" w:hAnsi="Times New Roman" w:cs="Times New Roman"/>
          <w:sz w:val="20"/>
        </w:rPr>
        <w:t xml:space="preserve">, E.M., Bate, G.B.  </w:t>
      </w:r>
      <w:proofErr w:type="spellStart"/>
      <w:r w:rsidRPr="006D37AB">
        <w:rPr>
          <w:rFonts w:ascii="Times New Roman" w:hAnsi="Times New Roman" w:cs="Times New Roman"/>
          <w:sz w:val="20"/>
        </w:rPr>
        <w:t>Amoo</w:t>
      </w:r>
      <w:proofErr w:type="spellEnd"/>
      <w:r w:rsidRPr="006D37AB">
        <w:rPr>
          <w:rFonts w:ascii="Times New Roman" w:hAnsi="Times New Roman" w:cs="Times New Roman"/>
          <w:sz w:val="20"/>
        </w:rPr>
        <w:t xml:space="preserve">, N.B. and </w:t>
      </w:r>
      <w:proofErr w:type="spellStart"/>
      <w:r w:rsidRPr="006D37AB">
        <w:rPr>
          <w:rFonts w:ascii="Times New Roman" w:hAnsi="Times New Roman" w:cs="Times New Roman"/>
          <w:sz w:val="20"/>
        </w:rPr>
        <w:t>Okunlola</w:t>
      </w:r>
      <w:proofErr w:type="spellEnd"/>
      <w:r w:rsidRPr="006D37AB">
        <w:rPr>
          <w:rFonts w:ascii="Times New Roman" w:hAnsi="Times New Roman" w:cs="Times New Roman"/>
          <w:sz w:val="20"/>
        </w:rPr>
        <w:t xml:space="preserve">, I.A (2018). Assessment of Landfill Induced Ground Water Pollution of Selected Boreholes and Hand-Dug Wells around Ultra-Modern Market </w:t>
      </w:r>
      <w:proofErr w:type="spellStart"/>
      <w:r w:rsidRPr="006D37AB">
        <w:rPr>
          <w:rFonts w:ascii="Times New Roman" w:hAnsi="Times New Roman" w:cs="Times New Roman"/>
          <w:sz w:val="20"/>
        </w:rPr>
        <w:t>Dutse</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NorthWest</w:t>
      </w:r>
      <w:proofErr w:type="spellEnd"/>
      <w:r w:rsidRPr="006D37AB">
        <w:rPr>
          <w:rFonts w:ascii="Times New Roman" w:hAnsi="Times New Roman" w:cs="Times New Roman"/>
          <w:sz w:val="20"/>
        </w:rPr>
        <w:t>, Nigeria. The Environmental Studies: A Multidisciplinary Journal, 1:4, pp1-10.</w:t>
      </w:r>
    </w:p>
    <w:p w14:paraId="3FD64213"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[16] Umar, S., Muhammad, A. and Elijah, S. (2023). Assessment of heavy metal contamination in groundwater from motorized boreholes in </w:t>
      </w:r>
      <w:proofErr w:type="spellStart"/>
      <w:r w:rsidRPr="006D37AB">
        <w:rPr>
          <w:rFonts w:ascii="Times New Roman" w:hAnsi="Times New Roman" w:cs="Times New Roman"/>
          <w:sz w:val="20"/>
        </w:rPr>
        <w:t>Maitumbi</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Tipa</w:t>
      </w:r>
      <w:proofErr w:type="spellEnd"/>
      <w:r w:rsidRPr="006D37AB">
        <w:rPr>
          <w:rFonts w:ascii="Times New Roman" w:hAnsi="Times New Roman" w:cs="Times New Roman"/>
          <w:sz w:val="20"/>
        </w:rPr>
        <w:t xml:space="preserve"> Garage Area, </w:t>
      </w:r>
      <w:proofErr w:type="spellStart"/>
      <w:r w:rsidRPr="006D37AB">
        <w:rPr>
          <w:rFonts w:ascii="Times New Roman" w:hAnsi="Times New Roman" w:cs="Times New Roman"/>
          <w:sz w:val="20"/>
        </w:rPr>
        <w:t>Minna</w:t>
      </w:r>
      <w:proofErr w:type="spellEnd"/>
      <w:r w:rsidRPr="006D37AB">
        <w:rPr>
          <w:rFonts w:ascii="Times New Roman" w:hAnsi="Times New Roman" w:cs="Times New Roman"/>
          <w:sz w:val="20"/>
        </w:rPr>
        <w:t>, Niger State. Science World Journal, 18(2), 212–215.</w:t>
      </w:r>
    </w:p>
    <w:p w14:paraId="19B1B895"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[17] Aja, O. E., </w:t>
      </w:r>
      <w:proofErr w:type="spellStart"/>
      <w:r w:rsidRPr="006D37AB">
        <w:rPr>
          <w:rFonts w:ascii="Times New Roman" w:hAnsi="Times New Roman" w:cs="Times New Roman"/>
          <w:sz w:val="20"/>
        </w:rPr>
        <w:t>Obiageli</w:t>
      </w:r>
      <w:proofErr w:type="spellEnd"/>
      <w:r w:rsidRPr="006D37AB">
        <w:rPr>
          <w:rFonts w:ascii="Times New Roman" w:hAnsi="Times New Roman" w:cs="Times New Roman"/>
          <w:sz w:val="20"/>
        </w:rPr>
        <w:t xml:space="preserve">, O. V., </w:t>
      </w:r>
      <w:proofErr w:type="spellStart"/>
      <w:r w:rsidRPr="006D37AB">
        <w:rPr>
          <w:rFonts w:ascii="Times New Roman" w:hAnsi="Times New Roman" w:cs="Times New Roman"/>
          <w:sz w:val="20"/>
        </w:rPr>
        <w:t>Oragwu</w:t>
      </w:r>
      <w:proofErr w:type="spellEnd"/>
      <w:r w:rsidRPr="006D37AB">
        <w:rPr>
          <w:rFonts w:ascii="Times New Roman" w:hAnsi="Times New Roman" w:cs="Times New Roman"/>
          <w:sz w:val="20"/>
        </w:rPr>
        <w:t xml:space="preserve">, I. P., </w:t>
      </w:r>
      <w:proofErr w:type="spellStart"/>
      <w:r w:rsidRPr="006D37AB">
        <w:rPr>
          <w:rFonts w:ascii="Times New Roman" w:hAnsi="Times New Roman" w:cs="Times New Roman"/>
          <w:sz w:val="20"/>
        </w:rPr>
        <w:t>Princewill</w:t>
      </w:r>
      <w:proofErr w:type="spellEnd"/>
      <w:r w:rsidRPr="006D37AB">
        <w:rPr>
          <w:rFonts w:ascii="Times New Roman" w:hAnsi="Times New Roman" w:cs="Times New Roman"/>
          <w:sz w:val="20"/>
        </w:rPr>
        <w:t xml:space="preserve">, O. A., &amp; </w:t>
      </w:r>
      <w:proofErr w:type="spellStart"/>
      <w:r w:rsidRPr="006D37AB">
        <w:rPr>
          <w:rFonts w:ascii="Times New Roman" w:hAnsi="Times New Roman" w:cs="Times New Roman"/>
          <w:sz w:val="20"/>
        </w:rPr>
        <w:t>Okwuego</w:t>
      </w:r>
      <w:proofErr w:type="spellEnd"/>
      <w:r w:rsidRPr="006D37AB">
        <w:rPr>
          <w:rFonts w:ascii="Times New Roman" w:hAnsi="Times New Roman" w:cs="Times New Roman"/>
          <w:sz w:val="20"/>
        </w:rPr>
        <w:t xml:space="preserve">, P. O. (2025). Assessment of Heavy Metals and Polycyclic Aromatic Hydrocarbons in Soil and Water in Selected Mining Areas of </w:t>
      </w:r>
      <w:proofErr w:type="spellStart"/>
      <w:r w:rsidRPr="006D37AB">
        <w:rPr>
          <w:rFonts w:ascii="Times New Roman" w:hAnsi="Times New Roman" w:cs="Times New Roman"/>
          <w:sz w:val="20"/>
        </w:rPr>
        <w:t>Ebonyi</w:t>
      </w:r>
      <w:proofErr w:type="spellEnd"/>
      <w:r w:rsidRPr="006D37AB">
        <w:rPr>
          <w:rFonts w:ascii="Times New Roman" w:hAnsi="Times New Roman" w:cs="Times New Roman"/>
          <w:sz w:val="20"/>
        </w:rPr>
        <w:t xml:space="preserve"> State, Nigeria. Journal of Global Ecology and Environment, 21(2), 12–27. https://doi.org/10.56557/jogee/2025/v21i29123.</w:t>
      </w:r>
    </w:p>
    <w:p w14:paraId="5202F243"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[18] </w:t>
      </w:r>
      <w:proofErr w:type="spellStart"/>
      <w:r w:rsidRPr="006D37AB">
        <w:rPr>
          <w:rFonts w:ascii="Times New Roman" w:hAnsi="Times New Roman" w:cs="Times New Roman"/>
          <w:sz w:val="20"/>
        </w:rPr>
        <w:t>Obasi</w:t>
      </w:r>
      <w:proofErr w:type="spellEnd"/>
      <w:r w:rsidRPr="006D37AB">
        <w:rPr>
          <w:rFonts w:ascii="Times New Roman" w:hAnsi="Times New Roman" w:cs="Times New Roman"/>
          <w:sz w:val="20"/>
        </w:rPr>
        <w:t xml:space="preserve">, P. N. and </w:t>
      </w:r>
      <w:proofErr w:type="spellStart"/>
      <w:r w:rsidRPr="006D37AB">
        <w:rPr>
          <w:rFonts w:ascii="Times New Roman" w:hAnsi="Times New Roman" w:cs="Times New Roman"/>
          <w:sz w:val="20"/>
        </w:rPr>
        <w:t>Akudinobi</w:t>
      </w:r>
      <w:proofErr w:type="spellEnd"/>
      <w:r w:rsidRPr="006D37AB">
        <w:rPr>
          <w:rFonts w:ascii="Times New Roman" w:hAnsi="Times New Roman" w:cs="Times New Roman"/>
          <w:sz w:val="20"/>
        </w:rPr>
        <w:t xml:space="preserve">, B. B. (2020). Potential health risk and levels of heavy metals in water resources of lead-zinc mining communities of </w:t>
      </w:r>
      <w:proofErr w:type="spellStart"/>
      <w:r w:rsidRPr="006D37AB">
        <w:rPr>
          <w:rFonts w:ascii="Times New Roman" w:hAnsi="Times New Roman" w:cs="Times New Roman"/>
          <w:sz w:val="20"/>
        </w:rPr>
        <w:t>Abakiliki</w:t>
      </w:r>
      <w:proofErr w:type="spellEnd"/>
      <w:r w:rsidRPr="006D37AB">
        <w:rPr>
          <w:rFonts w:ascii="Times New Roman" w:hAnsi="Times New Roman" w:cs="Times New Roman"/>
          <w:sz w:val="20"/>
        </w:rPr>
        <w:t>, southeast, Nigeria. Applied Water Science, 10 (184), 1-23.</w:t>
      </w:r>
    </w:p>
    <w:p w14:paraId="5614CEC7"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[19] </w:t>
      </w:r>
      <w:proofErr w:type="spellStart"/>
      <w:r w:rsidRPr="006D37AB">
        <w:rPr>
          <w:rFonts w:ascii="Times New Roman" w:hAnsi="Times New Roman" w:cs="Times New Roman"/>
          <w:sz w:val="20"/>
        </w:rPr>
        <w:t>Oladapo</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Okareh</w:t>
      </w:r>
      <w:proofErr w:type="spellEnd"/>
      <w:r w:rsidRPr="006D37AB">
        <w:rPr>
          <w:rFonts w:ascii="Times New Roman" w:hAnsi="Times New Roman" w:cs="Times New Roman"/>
          <w:sz w:val="20"/>
        </w:rPr>
        <w:t xml:space="preserve">, T., Allen </w:t>
      </w:r>
      <w:proofErr w:type="spellStart"/>
      <w:r w:rsidRPr="006D37AB">
        <w:rPr>
          <w:rFonts w:ascii="Times New Roman" w:hAnsi="Times New Roman" w:cs="Times New Roman"/>
          <w:sz w:val="20"/>
        </w:rPr>
        <w:t>Sokan-Adeaga</w:t>
      </w:r>
      <w:proofErr w:type="spellEnd"/>
      <w:r w:rsidRPr="006D37AB">
        <w:rPr>
          <w:rFonts w:ascii="Times New Roman" w:hAnsi="Times New Roman" w:cs="Times New Roman"/>
          <w:sz w:val="20"/>
        </w:rPr>
        <w:t>, A., Akin-</w:t>
      </w:r>
      <w:proofErr w:type="spellStart"/>
      <w:r w:rsidRPr="006D37AB">
        <w:rPr>
          <w:rFonts w:ascii="Times New Roman" w:hAnsi="Times New Roman" w:cs="Times New Roman"/>
          <w:sz w:val="20"/>
        </w:rPr>
        <w:t>Brandom</w:t>
      </w:r>
      <w:proofErr w:type="spellEnd"/>
      <w:r w:rsidRPr="006D37AB">
        <w:rPr>
          <w:rFonts w:ascii="Times New Roman" w:hAnsi="Times New Roman" w:cs="Times New Roman"/>
          <w:sz w:val="20"/>
        </w:rPr>
        <w:t xml:space="preserve">, T., </w:t>
      </w:r>
      <w:proofErr w:type="spellStart"/>
      <w:r w:rsidRPr="006D37AB">
        <w:rPr>
          <w:rFonts w:ascii="Times New Roman" w:hAnsi="Times New Roman" w:cs="Times New Roman"/>
          <w:sz w:val="20"/>
        </w:rPr>
        <w:t>Ayodeji</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Sokan-Adeaga</w:t>
      </w:r>
      <w:proofErr w:type="spellEnd"/>
      <w:r w:rsidRPr="006D37AB">
        <w:rPr>
          <w:rFonts w:ascii="Times New Roman" w:hAnsi="Times New Roman" w:cs="Times New Roman"/>
          <w:sz w:val="20"/>
        </w:rPr>
        <w:t xml:space="preserve">, M., and Deborah </w:t>
      </w:r>
      <w:proofErr w:type="spellStart"/>
      <w:r w:rsidRPr="006D37AB">
        <w:rPr>
          <w:rFonts w:ascii="Times New Roman" w:hAnsi="Times New Roman" w:cs="Times New Roman"/>
          <w:sz w:val="20"/>
        </w:rPr>
        <w:t>Sokan-Adeaga</w:t>
      </w:r>
      <w:proofErr w:type="spellEnd"/>
      <w:r w:rsidRPr="006D37AB">
        <w:rPr>
          <w:rFonts w:ascii="Times New Roman" w:hAnsi="Times New Roman" w:cs="Times New Roman"/>
          <w:sz w:val="20"/>
        </w:rPr>
        <w:t xml:space="preserve">, E. (2023). Assessment of Heavy Metals Contamination in Groundwater and Its Implications for Public Health Education: A Case Study of an Industrial Area in Southwestern Nigeria. </w:t>
      </w:r>
    </w:p>
    <w:p w14:paraId="774D8B58"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[20] </w:t>
      </w:r>
      <w:proofErr w:type="spellStart"/>
      <w:r w:rsidRPr="006D37AB">
        <w:rPr>
          <w:rFonts w:ascii="Times New Roman" w:hAnsi="Times New Roman" w:cs="Times New Roman"/>
          <w:sz w:val="20"/>
        </w:rPr>
        <w:t>Opasola</w:t>
      </w:r>
      <w:proofErr w:type="spellEnd"/>
      <w:r w:rsidRPr="006D37AB">
        <w:rPr>
          <w:rFonts w:ascii="Times New Roman" w:hAnsi="Times New Roman" w:cs="Times New Roman"/>
          <w:sz w:val="20"/>
        </w:rPr>
        <w:t xml:space="preserve">, O.A. and Otto, E. (2024) Evaluation of Heavy Metal Levels and Contamination Indices of Groundwater Sources in Kaduna South Local Government Area, Kaduna State, </w:t>
      </w:r>
      <w:proofErr w:type="gramStart"/>
      <w:r w:rsidRPr="006D37AB">
        <w:rPr>
          <w:rFonts w:ascii="Times New Roman" w:hAnsi="Times New Roman" w:cs="Times New Roman"/>
          <w:sz w:val="20"/>
        </w:rPr>
        <w:t>Northern</w:t>
      </w:r>
      <w:proofErr w:type="gramEnd"/>
      <w:r w:rsidRPr="006D37AB">
        <w:rPr>
          <w:rFonts w:ascii="Times New Roman" w:hAnsi="Times New Roman" w:cs="Times New Roman"/>
          <w:sz w:val="20"/>
        </w:rPr>
        <w:t xml:space="preserve"> Nigeria. J. Appl. Sci. Environ. Manage. 28 (6) 1841-1852.</w:t>
      </w:r>
    </w:p>
    <w:p w14:paraId="74E7B41D"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[21] </w:t>
      </w:r>
      <w:proofErr w:type="spellStart"/>
      <w:r w:rsidRPr="006D37AB">
        <w:rPr>
          <w:rFonts w:ascii="Times New Roman" w:hAnsi="Times New Roman" w:cs="Times New Roman"/>
          <w:sz w:val="20"/>
        </w:rPr>
        <w:t>Emenike</w:t>
      </w:r>
      <w:proofErr w:type="spellEnd"/>
      <w:r w:rsidRPr="006D37AB">
        <w:rPr>
          <w:rFonts w:ascii="Times New Roman" w:hAnsi="Times New Roman" w:cs="Times New Roman"/>
          <w:sz w:val="20"/>
        </w:rPr>
        <w:t xml:space="preserve">, C.P., </w:t>
      </w:r>
      <w:proofErr w:type="spellStart"/>
      <w:r w:rsidRPr="006D37AB">
        <w:rPr>
          <w:rFonts w:ascii="Times New Roman" w:hAnsi="Times New Roman" w:cs="Times New Roman"/>
          <w:sz w:val="20"/>
        </w:rPr>
        <w:t>Tenebe</w:t>
      </w:r>
      <w:proofErr w:type="spellEnd"/>
      <w:r w:rsidRPr="006D37AB">
        <w:rPr>
          <w:rFonts w:ascii="Times New Roman" w:hAnsi="Times New Roman" w:cs="Times New Roman"/>
          <w:sz w:val="20"/>
        </w:rPr>
        <w:t>, I.T. and Jarvis, P. (2018). Fluoride contamination in groundwater sources in Southwestern Nigeria: Assessment using multivariate statistical approach and human health risk. Ecotoxicology and Environmental Safety, 156: 391–402.</w:t>
      </w:r>
    </w:p>
    <w:p w14:paraId="77F5B431"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[22] </w:t>
      </w:r>
      <w:proofErr w:type="spellStart"/>
      <w:r w:rsidRPr="006D37AB">
        <w:rPr>
          <w:rFonts w:ascii="Times New Roman" w:hAnsi="Times New Roman" w:cs="Times New Roman"/>
          <w:sz w:val="20"/>
        </w:rPr>
        <w:t>Titilawo</w:t>
      </w:r>
      <w:proofErr w:type="spellEnd"/>
      <w:r w:rsidRPr="006D37AB">
        <w:rPr>
          <w:rFonts w:ascii="Times New Roman" w:hAnsi="Times New Roman" w:cs="Times New Roman"/>
          <w:sz w:val="20"/>
        </w:rPr>
        <w:t xml:space="preserve">, Y., </w:t>
      </w:r>
      <w:proofErr w:type="spellStart"/>
      <w:r w:rsidRPr="006D37AB">
        <w:rPr>
          <w:rFonts w:ascii="Times New Roman" w:hAnsi="Times New Roman" w:cs="Times New Roman"/>
          <w:sz w:val="20"/>
        </w:rPr>
        <w:t>Adeniji</w:t>
      </w:r>
      <w:proofErr w:type="spellEnd"/>
      <w:r w:rsidRPr="006D37AB">
        <w:rPr>
          <w:rFonts w:ascii="Times New Roman" w:hAnsi="Times New Roman" w:cs="Times New Roman"/>
          <w:sz w:val="20"/>
        </w:rPr>
        <w:t xml:space="preserve">, A., </w:t>
      </w:r>
      <w:proofErr w:type="spellStart"/>
      <w:r w:rsidRPr="006D37AB">
        <w:rPr>
          <w:rFonts w:ascii="Times New Roman" w:hAnsi="Times New Roman" w:cs="Times New Roman"/>
          <w:sz w:val="20"/>
        </w:rPr>
        <w:t>Adeniyi</w:t>
      </w:r>
      <w:proofErr w:type="spellEnd"/>
      <w:r w:rsidRPr="006D37AB">
        <w:rPr>
          <w:rFonts w:ascii="Times New Roman" w:hAnsi="Times New Roman" w:cs="Times New Roman"/>
          <w:sz w:val="20"/>
        </w:rPr>
        <w:t xml:space="preserve">, M. and </w:t>
      </w:r>
      <w:proofErr w:type="spellStart"/>
      <w:r w:rsidRPr="006D37AB">
        <w:rPr>
          <w:rFonts w:ascii="Times New Roman" w:hAnsi="Times New Roman" w:cs="Times New Roman"/>
          <w:sz w:val="20"/>
        </w:rPr>
        <w:t>Okoh</w:t>
      </w:r>
      <w:proofErr w:type="spellEnd"/>
      <w:r w:rsidRPr="006D37AB">
        <w:rPr>
          <w:rFonts w:ascii="Times New Roman" w:hAnsi="Times New Roman" w:cs="Times New Roman"/>
          <w:sz w:val="20"/>
        </w:rPr>
        <w:t xml:space="preserve">, A. (2018). Determination of levels of some metal contaminants in the freshwater environments of </w:t>
      </w:r>
      <w:proofErr w:type="spellStart"/>
      <w:r w:rsidRPr="006D37AB">
        <w:rPr>
          <w:rFonts w:ascii="Times New Roman" w:hAnsi="Times New Roman" w:cs="Times New Roman"/>
          <w:sz w:val="20"/>
        </w:rPr>
        <w:t>Osun</w:t>
      </w:r>
      <w:proofErr w:type="spellEnd"/>
      <w:r w:rsidRPr="006D37AB">
        <w:rPr>
          <w:rFonts w:ascii="Times New Roman" w:hAnsi="Times New Roman" w:cs="Times New Roman"/>
          <w:sz w:val="20"/>
        </w:rPr>
        <w:t xml:space="preserve"> State, Southwest Nigeria: A risk assessment approach to predict health threat. Chemosphere, 211: 834-843.</w:t>
      </w:r>
    </w:p>
    <w:p w14:paraId="280EBF27"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[23] </w:t>
      </w:r>
      <w:proofErr w:type="spellStart"/>
      <w:r w:rsidRPr="006D37AB">
        <w:rPr>
          <w:rFonts w:ascii="Times New Roman" w:hAnsi="Times New Roman" w:cs="Times New Roman"/>
          <w:sz w:val="20"/>
        </w:rPr>
        <w:t>Ayedun</w:t>
      </w:r>
      <w:proofErr w:type="spellEnd"/>
      <w:r w:rsidRPr="006D37AB">
        <w:rPr>
          <w:rFonts w:ascii="Times New Roman" w:hAnsi="Times New Roman" w:cs="Times New Roman"/>
          <w:sz w:val="20"/>
        </w:rPr>
        <w:t xml:space="preserve">, H., </w:t>
      </w:r>
      <w:proofErr w:type="spellStart"/>
      <w:r w:rsidRPr="006D37AB">
        <w:rPr>
          <w:rFonts w:ascii="Times New Roman" w:hAnsi="Times New Roman" w:cs="Times New Roman"/>
          <w:sz w:val="20"/>
        </w:rPr>
        <w:t>Gbadebo</w:t>
      </w:r>
      <w:proofErr w:type="spellEnd"/>
      <w:r w:rsidRPr="006D37AB">
        <w:rPr>
          <w:rFonts w:ascii="Times New Roman" w:hAnsi="Times New Roman" w:cs="Times New Roman"/>
          <w:sz w:val="20"/>
        </w:rPr>
        <w:t xml:space="preserve">, A.M., </w:t>
      </w:r>
      <w:proofErr w:type="spellStart"/>
      <w:r w:rsidRPr="006D37AB">
        <w:rPr>
          <w:rFonts w:ascii="Times New Roman" w:hAnsi="Times New Roman" w:cs="Times New Roman"/>
          <w:sz w:val="20"/>
        </w:rPr>
        <w:t>Idowu</w:t>
      </w:r>
      <w:proofErr w:type="spellEnd"/>
      <w:r w:rsidRPr="006D37AB">
        <w:rPr>
          <w:rFonts w:ascii="Times New Roman" w:hAnsi="Times New Roman" w:cs="Times New Roman"/>
          <w:sz w:val="20"/>
        </w:rPr>
        <w:t xml:space="preserve">, O.A., and </w:t>
      </w:r>
      <w:proofErr w:type="spellStart"/>
      <w:r w:rsidRPr="006D37AB">
        <w:rPr>
          <w:rFonts w:ascii="Times New Roman" w:hAnsi="Times New Roman" w:cs="Times New Roman"/>
          <w:sz w:val="20"/>
        </w:rPr>
        <w:t>Arowolo</w:t>
      </w:r>
      <w:proofErr w:type="spellEnd"/>
      <w:r w:rsidRPr="006D37AB">
        <w:rPr>
          <w:rFonts w:ascii="Times New Roman" w:hAnsi="Times New Roman" w:cs="Times New Roman"/>
          <w:sz w:val="20"/>
        </w:rPr>
        <w:t xml:space="preserve"> T.A. (2015). Toxic elements in groundwater of Lagos and </w:t>
      </w:r>
      <w:proofErr w:type="spellStart"/>
      <w:r w:rsidRPr="006D37AB">
        <w:rPr>
          <w:rFonts w:ascii="Times New Roman" w:hAnsi="Times New Roman" w:cs="Times New Roman"/>
          <w:sz w:val="20"/>
        </w:rPr>
        <w:t>Ogun</w:t>
      </w:r>
      <w:proofErr w:type="spellEnd"/>
      <w:r w:rsidRPr="006D37AB">
        <w:rPr>
          <w:rFonts w:ascii="Times New Roman" w:hAnsi="Times New Roman" w:cs="Times New Roman"/>
          <w:sz w:val="20"/>
        </w:rPr>
        <w:t xml:space="preserve"> States, Southwest, Nigeria and their human health risk assessment. Environmental Monitoring and Assessment, 187: 351-367.</w:t>
      </w:r>
    </w:p>
    <w:p w14:paraId="58C7FEAD"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lastRenderedPageBreak/>
        <w:t xml:space="preserve">[24] </w:t>
      </w:r>
      <w:proofErr w:type="spellStart"/>
      <w:r w:rsidRPr="006D37AB">
        <w:rPr>
          <w:rFonts w:ascii="Times New Roman" w:hAnsi="Times New Roman" w:cs="Times New Roman"/>
          <w:sz w:val="20"/>
        </w:rPr>
        <w:t>Adekunle</w:t>
      </w:r>
      <w:proofErr w:type="spellEnd"/>
      <w:r w:rsidRPr="006D37AB">
        <w:rPr>
          <w:rFonts w:ascii="Times New Roman" w:hAnsi="Times New Roman" w:cs="Times New Roman"/>
          <w:sz w:val="20"/>
        </w:rPr>
        <w:t xml:space="preserve">, A.S., </w:t>
      </w:r>
      <w:proofErr w:type="spellStart"/>
      <w:r w:rsidRPr="006D37AB">
        <w:rPr>
          <w:rFonts w:ascii="Times New Roman" w:hAnsi="Times New Roman" w:cs="Times New Roman"/>
          <w:sz w:val="20"/>
        </w:rPr>
        <w:t>Oyekunle</w:t>
      </w:r>
      <w:proofErr w:type="spellEnd"/>
      <w:r w:rsidRPr="006D37AB">
        <w:rPr>
          <w:rFonts w:ascii="Times New Roman" w:hAnsi="Times New Roman" w:cs="Times New Roman"/>
          <w:sz w:val="20"/>
        </w:rPr>
        <w:t xml:space="preserve">, J.A.O., </w:t>
      </w:r>
      <w:proofErr w:type="spellStart"/>
      <w:r w:rsidRPr="006D37AB">
        <w:rPr>
          <w:rFonts w:ascii="Times New Roman" w:hAnsi="Times New Roman" w:cs="Times New Roman"/>
          <w:sz w:val="20"/>
        </w:rPr>
        <w:t>Ojo</w:t>
      </w:r>
      <w:proofErr w:type="spellEnd"/>
      <w:r w:rsidRPr="006D37AB">
        <w:rPr>
          <w:rFonts w:ascii="Times New Roman" w:hAnsi="Times New Roman" w:cs="Times New Roman"/>
          <w:sz w:val="20"/>
        </w:rPr>
        <w:t xml:space="preserve">, O.S., </w:t>
      </w:r>
      <w:proofErr w:type="spellStart"/>
      <w:r w:rsidRPr="006D37AB">
        <w:rPr>
          <w:rFonts w:ascii="Times New Roman" w:hAnsi="Times New Roman" w:cs="Times New Roman"/>
          <w:sz w:val="20"/>
        </w:rPr>
        <w:t>Maxakato</w:t>
      </w:r>
      <w:proofErr w:type="spellEnd"/>
      <w:r w:rsidRPr="006D37AB">
        <w:rPr>
          <w:rFonts w:ascii="Times New Roman" w:hAnsi="Times New Roman" w:cs="Times New Roman"/>
          <w:sz w:val="20"/>
        </w:rPr>
        <w:t xml:space="preserve">, N.W., </w:t>
      </w:r>
      <w:proofErr w:type="spellStart"/>
      <w:r w:rsidRPr="006D37AB">
        <w:rPr>
          <w:rFonts w:ascii="Times New Roman" w:hAnsi="Times New Roman" w:cs="Times New Roman"/>
          <w:sz w:val="20"/>
        </w:rPr>
        <w:t>Olutona</w:t>
      </w:r>
      <w:proofErr w:type="spellEnd"/>
      <w:r w:rsidRPr="006D37AB">
        <w:rPr>
          <w:rFonts w:ascii="Times New Roman" w:hAnsi="Times New Roman" w:cs="Times New Roman"/>
          <w:sz w:val="20"/>
        </w:rPr>
        <w:t xml:space="preserve">, G.O. and </w:t>
      </w:r>
      <w:proofErr w:type="spellStart"/>
      <w:r w:rsidRPr="006D37AB">
        <w:rPr>
          <w:rFonts w:ascii="Times New Roman" w:hAnsi="Times New Roman" w:cs="Times New Roman"/>
          <w:sz w:val="20"/>
        </w:rPr>
        <w:t>Obisesan</w:t>
      </w:r>
      <w:proofErr w:type="spellEnd"/>
      <w:r w:rsidRPr="006D37AB">
        <w:rPr>
          <w:rFonts w:ascii="Times New Roman" w:hAnsi="Times New Roman" w:cs="Times New Roman"/>
          <w:sz w:val="20"/>
        </w:rPr>
        <w:t xml:space="preserve">, O.R. (2017). Determination of Polycyclic Aromatic Hydrocarbon Levels of Groundwater in Ife North Local Government Area of </w:t>
      </w:r>
      <w:proofErr w:type="spellStart"/>
      <w:r w:rsidRPr="006D37AB">
        <w:rPr>
          <w:rFonts w:ascii="Times New Roman" w:hAnsi="Times New Roman" w:cs="Times New Roman"/>
          <w:sz w:val="20"/>
        </w:rPr>
        <w:t>Osun</w:t>
      </w:r>
      <w:proofErr w:type="spellEnd"/>
      <w:r w:rsidRPr="006D37AB">
        <w:rPr>
          <w:rFonts w:ascii="Times New Roman" w:hAnsi="Times New Roman" w:cs="Times New Roman"/>
          <w:sz w:val="20"/>
        </w:rPr>
        <w:t xml:space="preserve"> State, Nigeria. Toxicology Report, 4: 39-48.</w:t>
      </w:r>
    </w:p>
    <w:p w14:paraId="0B8225F1"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[25] </w:t>
      </w:r>
      <w:proofErr w:type="spellStart"/>
      <w:r w:rsidRPr="006D37AB">
        <w:rPr>
          <w:rFonts w:ascii="Times New Roman" w:hAnsi="Times New Roman" w:cs="Times New Roman"/>
          <w:sz w:val="20"/>
        </w:rPr>
        <w:t>Princewill</w:t>
      </w:r>
      <w:proofErr w:type="spellEnd"/>
      <w:r w:rsidRPr="006D37AB">
        <w:rPr>
          <w:rFonts w:ascii="Times New Roman" w:hAnsi="Times New Roman" w:cs="Times New Roman"/>
          <w:sz w:val="20"/>
        </w:rPr>
        <w:t xml:space="preserve">, O. A.; </w:t>
      </w:r>
      <w:proofErr w:type="spellStart"/>
      <w:r w:rsidRPr="006D37AB">
        <w:rPr>
          <w:rFonts w:ascii="Times New Roman" w:hAnsi="Times New Roman" w:cs="Times New Roman"/>
          <w:sz w:val="20"/>
        </w:rPr>
        <w:t>Okechukwu</w:t>
      </w:r>
      <w:proofErr w:type="spellEnd"/>
      <w:r w:rsidRPr="006D37AB">
        <w:rPr>
          <w:rFonts w:ascii="Times New Roman" w:hAnsi="Times New Roman" w:cs="Times New Roman"/>
          <w:sz w:val="20"/>
        </w:rPr>
        <w:t xml:space="preserve">, O. J.; </w:t>
      </w:r>
      <w:proofErr w:type="spellStart"/>
      <w:r w:rsidRPr="006D37AB">
        <w:rPr>
          <w:rFonts w:ascii="Times New Roman" w:hAnsi="Times New Roman" w:cs="Times New Roman"/>
          <w:sz w:val="20"/>
        </w:rPr>
        <w:t>Uche</w:t>
      </w:r>
      <w:proofErr w:type="spellEnd"/>
      <w:r w:rsidRPr="006D37AB">
        <w:rPr>
          <w:rFonts w:ascii="Times New Roman" w:hAnsi="Times New Roman" w:cs="Times New Roman"/>
          <w:sz w:val="20"/>
        </w:rPr>
        <w:t xml:space="preserve">, A. R.; </w:t>
      </w:r>
      <w:proofErr w:type="spellStart"/>
      <w:r w:rsidRPr="006D37AB">
        <w:rPr>
          <w:rFonts w:ascii="Times New Roman" w:hAnsi="Times New Roman" w:cs="Times New Roman"/>
          <w:sz w:val="20"/>
        </w:rPr>
        <w:t>Stellamaris</w:t>
      </w:r>
      <w:proofErr w:type="spellEnd"/>
      <w:r w:rsidRPr="006D37AB">
        <w:rPr>
          <w:rFonts w:ascii="Times New Roman" w:hAnsi="Times New Roman" w:cs="Times New Roman"/>
          <w:sz w:val="20"/>
        </w:rPr>
        <w:t>, O. A. (2024). Phthalate Esters in Water and Surface Sediments of Anambra River in Dry Season: Distribution and Human Health Risks Assessment. Journal of Global Ecology and Environment, [S. l.], v. 20, n. 4, p. 52–65, 2024. DOI: 10.56557/</w:t>
      </w:r>
      <w:proofErr w:type="spellStart"/>
      <w:r w:rsidRPr="006D37AB">
        <w:rPr>
          <w:rFonts w:ascii="Times New Roman" w:hAnsi="Times New Roman" w:cs="Times New Roman"/>
          <w:sz w:val="20"/>
        </w:rPr>
        <w:t>jogee</w:t>
      </w:r>
      <w:proofErr w:type="spellEnd"/>
      <w:r w:rsidRPr="006D37AB">
        <w:rPr>
          <w:rFonts w:ascii="Times New Roman" w:hAnsi="Times New Roman" w:cs="Times New Roman"/>
          <w:sz w:val="20"/>
        </w:rPr>
        <w:t>/2024/v20i48886.</w:t>
      </w:r>
    </w:p>
    <w:p w14:paraId="1AF64207"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[26] Ahmad, W., </w:t>
      </w:r>
      <w:proofErr w:type="spellStart"/>
      <w:r w:rsidRPr="006D37AB">
        <w:rPr>
          <w:rFonts w:ascii="Times New Roman" w:hAnsi="Times New Roman" w:cs="Times New Roman"/>
          <w:sz w:val="20"/>
        </w:rPr>
        <w:t>Alharthy</w:t>
      </w:r>
      <w:proofErr w:type="spellEnd"/>
      <w:r w:rsidRPr="006D37AB">
        <w:rPr>
          <w:rFonts w:ascii="Times New Roman" w:hAnsi="Times New Roman" w:cs="Times New Roman"/>
          <w:sz w:val="20"/>
        </w:rPr>
        <w:t xml:space="preserve">, R. D., </w:t>
      </w:r>
      <w:proofErr w:type="spellStart"/>
      <w:r w:rsidRPr="006D37AB">
        <w:rPr>
          <w:rFonts w:ascii="Times New Roman" w:hAnsi="Times New Roman" w:cs="Times New Roman"/>
          <w:sz w:val="20"/>
        </w:rPr>
        <w:t>Zubair</w:t>
      </w:r>
      <w:proofErr w:type="spellEnd"/>
      <w:r w:rsidRPr="006D37AB">
        <w:rPr>
          <w:rFonts w:ascii="Times New Roman" w:hAnsi="Times New Roman" w:cs="Times New Roman"/>
          <w:sz w:val="20"/>
        </w:rPr>
        <w:t xml:space="preserve">, M., Ahmed, M., Hameed, A., and </w:t>
      </w:r>
      <w:proofErr w:type="spellStart"/>
      <w:r w:rsidRPr="006D37AB">
        <w:rPr>
          <w:rFonts w:ascii="Times New Roman" w:hAnsi="Times New Roman" w:cs="Times New Roman"/>
          <w:sz w:val="20"/>
        </w:rPr>
        <w:t>Rafique</w:t>
      </w:r>
      <w:proofErr w:type="spellEnd"/>
      <w:r w:rsidRPr="006D37AB">
        <w:rPr>
          <w:rFonts w:ascii="Times New Roman" w:hAnsi="Times New Roman" w:cs="Times New Roman"/>
          <w:sz w:val="20"/>
        </w:rPr>
        <w:t>, S. (2021). Toxic and heavy metals contamination assessment in soil and water to evaluate human health risk. Scientific reports, 11(1), 17006.</w:t>
      </w:r>
    </w:p>
    <w:p w14:paraId="744FD836"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[27] Wu, S., </w:t>
      </w:r>
      <w:proofErr w:type="spellStart"/>
      <w:r w:rsidRPr="006D37AB">
        <w:rPr>
          <w:rFonts w:ascii="Times New Roman" w:hAnsi="Times New Roman" w:cs="Times New Roman"/>
          <w:sz w:val="20"/>
        </w:rPr>
        <w:t>Hrudey</w:t>
      </w:r>
      <w:proofErr w:type="spellEnd"/>
      <w:r w:rsidRPr="006D37AB">
        <w:rPr>
          <w:rFonts w:ascii="Times New Roman" w:hAnsi="Times New Roman" w:cs="Times New Roman"/>
          <w:sz w:val="20"/>
        </w:rPr>
        <w:t xml:space="preserve">, S., French, S., Bedford, T., </w:t>
      </w:r>
      <w:proofErr w:type="spellStart"/>
      <w:r w:rsidRPr="006D37AB">
        <w:rPr>
          <w:rFonts w:ascii="Times New Roman" w:hAnsi="Times New Roman" w:cs="Times New Roman"/>
          <w:sz w:val="20"/>
        </w:rPr>
        <w:t>Soane</w:t>
      </w:r>
      <w:proofErr w:type="spellEnd"/>
      <w:r w:rsidRPr="006D37AB">
        <w:rPr>
          <w:rFonts w:ascii="Times New Roman" w:hAnsi="Times New Roman" w:cs="Times New Roman"/>
          <w:sz w:val="20"/>
        </w:rPr>
        <w:t>, E., and Pollard, S. (2009). A role for human reliability analysis (HRA) in preventing drinking water incidents and securing safe drinking water. Water research, 43(13), 3227-3238.</w:t>
      </w:r>
    </w:p>
    <w:p w14:paraId="36268F5F"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[28] </w:t>
      </w:r>
      <w:proofErr w:type="spellStart"/>
      <w:r w:rsidRPr="006D37AB">
        <w:rPr>
          <w:rFonts w:ascii="Times New Roman" w:hAnsi="Times New Roman" w:cs="Times New Roman"/>
          <w:sz w:val="20"/>
        </w:rPr>
        <w:t>Fallahzadeh</w:t>
      </w:r>
      <w:proofErr w:type="spellEnd"/>
      <w:r w:rsidRPr="006D37AB">
        <w:rPr>
          <w:rFonts w:ascii="Times New Roman" w:hAnsi="Times New Roman" w:cs="Times New Roman"/>
          <w:sz w:val="20"/>
        </w:rPr>
        <w:t xml:space="preserve">, R. A., </w:t>
      </w:r>
      <w:proofErr w:type="spellStart"/>
      <w:r w:rsidRPr="006D37AB">
        <w:rPr>
          <w:rFonts w:ascii="Times New Roman" w:hAnsi="Times New Roman" w:cs="Times New Roman"/>
          <w:sz w:val="20"/>
        </w:rPr>
        <w:t>Ghaneian</w:t>
      </w:r>
      <w:proofErr w:type="spellEnd"/>
      <w:r w:rsidRPr="006D37AB">
        <w:rPr>
          <w:rFonts w:ascii="Times New Roman" w:hAnsi="Times New Roman" w:cs="Times New Roman"/>
          <w:sz w:val="20"/>
        </w:rPr>
        <w:t xml:space="preserve">, M. T., </w:t>
      </w:r>
      <w:proofErr w:type="spellStart"/>
      <w:r w:rsidRPr="006D37AB">
        <w:rPr>
          <w:rFonts w:ascii="Times New Roman" w:hAnsi="Times New Roman" w:cs="Times New Roman"/>
          <w:sz w:val="20"/>
        </w:rPr>
        <w:t>Miri</w:t>
      </w:r>
      <w:proofErr w:type="spellEnd"/>
      <w:r w:rsidRPr="006D37AB">
        <w:rPr>
          <w:rFonts w:ascii="Times New Roman" w:hAnsi="Times New Roman" w:cs="Times New Roman"/>
          <w:sz w:val="20"/>
        </w:rPr>
        <w:t xml:space="preserve">, M., and </w:t>
      </w:r>
      <w:proofErr w:type="spellStart"/>
      <w:r w:rsidRPr="006D37AB">
        <w:rPr>
          <w:rFonts w:ascii="Times New Roman" w:hAnsi="Times New Roman" w:cs="Times New Roman"/>
          <w:sz w:val="20"/>
        </w:rPr>
        <w:t>Dashti</w:t>
      </w:r>
      <w:proofErr w:type="spellEnd"/>
      <w:r w:rsidRPr="006D37AB">
        <w:rPr>
          <w:rFonts w:ascii="Times New Roman" w:hAnsi="Times New Roman" w:cs="Times New Roman"/>
          <w:sz w:val="20"/>
        </w:rPr>
        <w:t>, M. M. (2017). Spatial analysis and health risk assessment of heavy metals concentration in drinking water resources. Environmental Science and Pollution Research, 24, 24790-24802.</w:t>
      </w:r>
    </w:p>
    <w:p w14:paraId="0056FDD1"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[29] </w:t>
      </w:r>
      <w:proofErr w:type="spellStart"/>
      <w:r w:rsidRPr="006D37AB">
        <w:rPr>
          <w:rFonts w:ascii="Times New Roman" w:hAnsi="Times New Roman" w:cs="Times New Roman"/>
          <w:sz w:val="20"/>
        </w:rPr>
        <w:t>Alidadi</w:t>
      </w:r>
      <w:proofErr w:type="spellEnd"/>
      <w:r w:rsidRPr="006D37AB">
        <w:rPr>
          <w:rFonts w:ascii="Times New Roman" w:hAnsi="Times New Roman" w:cs="Times New Roman"/>
          <w:sz w:val="20"/>
        </w:rPr>
        <w:t xml:space="preserve">, H., </w:t>
      </w:r>
      <w:proofErr w:type="spellStart"/>
      <w:r w:rsidRPr="006D37AB">
        <w:rPr>
          <w:rFonts w:ascii="Times New Roman" w:hAnsi="Times New Roman" w:cs="Times New Roman"/>
          <w:sz w:val="20"/>
        </w:rPr>
        <w:t>Tavakoly</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Sany</w:t>
      </w:r>
      <w:proofErr w:type="spellEnd"/>
      <w:r w:rsidRPr="006D37AB">
        <w:rPr>
          <w:rFonts w:ascii="Times New Roman" w:hAnsi="Times New Roman" w:cs="Times New Roman"/>
          <w:sz w:val="20"/>
        </w:rPr>
        <w:t xml:space="preserve">, S. B., </w:t>
      </w:r>
      <w:proofErr w:type="spellStart"/>
      <w:r w:rsidRPr="006D37AB">
        <w:rPr>
          <w:rFonts w:ascii="Times New Roman" w:hAnsi="Times New Roman" w:cs="Times New Roman"/>
          <w:sz w:val="20"/>
        </w:rPr>
        <w:t>Zarif</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Garaati</w:t>
      </w:r>
      <w:proofErr w:type="spell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Oftadeh</w:t>
      </w:r>
      <w:proofErr w:type="spellEnd"/>
      <w:r w:rsidRPr="006D37AB">
        <w:rPr>
          <w:rFonts w:ascii="Times New Roman" w:hAnsi="Times New Roman" w:cs="Times New Roman"/>
          <w:sz w:val="20"/>
        </w:rPr>
        <w:t xml:space="preserve">, B., </w:t>
      </w:r>
      <w:proofErr w:type="spellStart"/>
      <w:r w:rsidRPr="006D37AB">
        <w:rPr>
          <w:rFonts w:ascii="Times New Roman" w:hAnsi="Times New Roman" w:cs="Times New Roman"/>
          <w:sz w:val="20"/>
        </w:rPr>
        <w:t>Mohamad</w:t>
      </w:r>
      <w:proofErr w:type="spellEnd"/>
      <w:r w:rsidRPr="006D37AB">
        <w:rPr>
          <w:rFonts w:ascii="Times New Roman" w:hAnsi="Times New Roman" w:cs="Times New Roman"/>
          <w:sz w:val="20"/>
        </w:rPr>
        <w:t xml:space="preserve">, T., </w:t>
      </w:r>
      <w:proofErr w:type="spellStart"/>
      <w:r w:rsidRPr="006D37AB">
        <w:rPr>
          <w:rFonts w:ascii="Times New Roman" w:hAnsi="Times New Roman" w:cs="Times New Roman"/>
          <w:sz w:val="20"/>
        </w:rPr>
        <w:t>Shamszade</w:t>
      </w:r>
      <w:proofErr w:type="spellEnd"/>
      <w:r w:rsidRPr="006D37AB">
        <w:rPr>
          <w:rFonts w:ascii="Times New Roman" w:hAnsi="Times New Roman" w:cs="Times New Roman"/>
          <w:sz w:val="20"/>
        </w:rPr>
        <w:t xml:space="preserve">, H., and </w:t>
      </w:r>
      <w:proofErr w:type="spellStart"/>
      <w:r w:rsidRPr="006D37AB">
        <w:rPr>
          <w:rFonts w:ascii="Times New Roman" w:hAnsi="Times New Roman" w:cs="Times New Roman"/>
          <w:sz w:val="20"/>
        </w:rPr>
        <w:t>Fakhari</w:t>
      </w:r>
      <w:proofErr w:type="spellEnd"/>
      <w:r w:rsidRPr="006D37AB">
        <w:rPr>
          <w:rFonts w:ascii="Times New Roman" w:hAnsi="Times New Roman" w:cs="Times New Roman"/>
          <w:sz w:val="20"/>
        </w:rPr>
        <w:t>, M. (2019). Health risk assessments of arsenic and toxic heavy metal exposure in drinking water in northeast Iran. Environmental health and preventive medicine, 24, 1-17.</w:t>
      </w:r>
    </w:p>
    <w:p w14:paraId="2453E749"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[30] Vogt, R., Bennett, D., </w:t>
      </w:r>
      <w:proofErr w:type="spellStart"/>
      <w:r w:rsidRPr="006D37AB">
        <w:rPr>
          <w:rFonts w:ascii="Times New Roman" w:hAnsi="Times New Roman" w:cs="Times New Roman"/>
          <w:sz w:val="20"/>
        </w:rPr>
        <w:t>Cassady</w:t>
      </w:r>
      <w:proofErr w:type="spellEnd"/>
      <w:r w:rsidRPr="006D37AB">
        <w:rPr>
          <w:rFonts w:ascii="Times New Roman" w:hAnsi="Times New Roman" w:cs="Times New Roman"/>
          <w:sz w:val="20"/>
        </w:rPr>
        <w:t>, D., Frost, J., Ritz, B., and Hertz-</w:t>
      </w:r>
      <w:proofErr w:type="spellStart"/>
      <w:r w:rsidRPr="006D37AB">
        <w:rPr>
          <w:rFonts w:ascii="Times New Roman" w:hAnsi="Times New Roman" w:cs="Times New Roman"/>
          <w:sz w:val="20"/>
        </w:rPr>
        <w:t>Picciotto</w:t>
      </w:r>
      <w:proofErr w:type="spellEnd"/>
      <w:r w:rsidRPr="006D37AB">
        <w:rPr>
          <w:rFonts w:ascii="Times New Roman" w:hAnsi="Times New Roman" w:cs="Times New Roman"/>
          <w:sz w:val="20"/>
        </w:rPr>
        <w:t>, I. (2012). Cancer and non-cancer health effects from food contaminant exposures for children and adults in California: a risk assessment. Environmental Health, 11, 1-14.</w:t>
      </w:r>
    </w:p>
    <w:p w14:paraId="41DCA361"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[31] Du, S., Liu, Y., Zhang, L., Li, H., and </w:t>
      </w:r>
      <w:proofErr w:type="spellStart"/>
      <w:r w:rsidRPr="006D37AB">
        <w:rPr>
          <w:rFonts w:ascii="Times New Roman" w:hAnsi="Times New Roman" w:cs="Times New Roman"/>
          <w:sz w:val="20"/>
        </w:rPr>
        <w:t>Huan</w:t>
      </w:r>
      <w:proofErr w:type="spellEnd"/>
      <w:r w:rsidRPr="006D37AB">
        <w:rPr>
          <w:rFonts w:ascii="Times New Roman" w:hAnsi="Times New Roman" w:cs="Times New Roman"/>
          <w:sz w:val="20"/>
        </w:rPr>
        <w:t>, H. (2017). Assessment of non-carcinogenic health risks due to water contamination in a loess distribution area, northeastern China. Environmental Earth Sciences, 76, 1-13.</w:t>
      </w:r>
    </w:p>
    <w:p w14:paraId="48748985"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[32] </w:t>
      </w:r>
      <w:proofErr w:type="spellStart"/>
      <w:r w:rsidRPr="006D37AB">
        <w:rPr>
          <w:rFonts w:ascii="Times New Roman" w:hAnsi="Times New Roman" w:cs="Times New Roman"/>
          <w:sz w:val="20"/>
        </w:rPr>
        <w:t>Ogbuagu</w:t>
      </w:r>
      <w:proofErr w:type="spellEnd"/>
      <w:r w:rsidRPr="006D37AB">
        <w:rPr>
          <w:rFonts w:ascii="Times New Roman" w:hAnsi="Times New Roman" w:cs="Times New Roman"/>
          <w:sz w:val="20"/>
        </w:rPr>
        <w:t xml:space="preserve">, J.O., </w:t>
      </w:r>
      <w:proofErr w:type="spellStart"/>
      <w:r w:rsidRPr="006D37AB">
        <w:rPr>
          <w:rFonts w:ascii="Times New Roman" w:hAnsi="Times New Roman" w:cs="Times New Roman"/>
          <w:sz w:val="20"/>
        </w:rPr>
        <w:t>Nweke</w:t>
      </w:r>
      <w:proofErr w:type="spellEnd"/>
      <w:r w:rsidRPr="006D37AB">
        <w:rPr>
          <w:rFonts w:ascii="Times New Roman" w:hAnsi="Times New Roman" w:cs="Times New Roman"/>
          <w:sz w:val="20"/>
        </w:rPr>
        <w:t xml:space="preserve">, E.N., </w:t>
      </w:r>
      <w:proofErr w:type="spellStart"/>
      <w:r w:rsidRPr="006D37AB">
        <w:rPr>
          <w:rFonts w:ascii="Times New Roman" w:hAnsi="Times New Roman" w:cs="Times New Roman"/>
          <w:sz w:val="20"/>
        </w:rPr>
        <w:t>Okeke</w:t>
      </w:r>
      <w:proofErr w:type="spellEnd"/>
      <w:r w:rsidRPr="006D37AB">
        <w:rPr>
          <w:rFonts w:ascii="Times New Roman" w:hAnsi="Times New Roman" w:cs="Times New Roman"/>
          <w:sz w:val="20"/>
        </w:rPr>
        <w:t xml:space="preserve"> A.P and </w:t>
      </w:r>
      <w:proofErr w:type="spellStart"/>
      <w:r w:rsidRPr="006D37AB">
        <w:rPr>
          <w:rFonts w:ascii="Times New Roman" w:hAnsi="Times New Roman" w:cs="Times New Roman"/>
          <w:sz w:val="20"/>
        </w:rPr>
        <w:t>Ukpai</w:t>
      </w:r>
      <w:proofErr w:type="spellEnd"/>
      <w:r w:rsidRPr="006D37AB">
        <w:rPr>
          <w:rFonts w:ascii="Times New Roman" w:hAnsi="Times New Roman" w:cs="Times New Roman"/>
          <w:sz w:val="20"/>
        </w:rPr>
        <w:t xml:space="preserve">, U.E. (2021). "Concentration and Risk Assessment of Selected Polycyclic Aromatic Hydrocarbons in Water and Sediment Samples </w:t>
      </w:r>
      <w:proofErr w:type="gramStart"/>
      <w:r w:rsidRPr="006D37AB">
        <w:rPr>
          <w:rFonts w:ascii="Times New Roman" w:hAnsi="Times New Roman" w:cs="Times New Roman"/>
          <w:sz w:val="20"/>
        </w:rPr>
        <w:t>From</w:t>
      </w:r>
      <w:proofErr w:type="gramEnd"/>
      <w:r w:rsidRPr="006D37AB">
        <w:rPr>
          <w:rFonts w:ascii="Times New Roman" w:hAnsi="Times New Roman" w:cs="Times New Roman"/>
          <w:sz w:val="20"/>
        </w:rPr>
        <w:t xml:space="preserve"> </w:t>
      </w:r>
      <w:proofErr w:type="spellStart"/>
      <w:r w:rsidRPr="006D37AB">
        <w:rPr>
          <w:rFonts w:ascii="Times New Roman" w:hAnsi="Times New Roman" w:cs="Times New Roman"/>
          <w:sz w:val="20"/>
        </w:rPr>
        <w:t>Ezu</w:t>
      </w:r>
      <w:proofErr w:type="spellEnd"/>
      <w:r w:rsidRPr="006D37AB">
        <w:rPr>
          <w:rFonts w:ascii="Times New Roman" w:hAnsi="Times New Roman" w:cs="Times New Roman"/>
          <w:sz w:val="20"/>
        </w:rPr>
        <w:t xml:space="preserve">-river, </w:t>
      </w:r>
      <w:proofErr w:type="spellStart"/>
      <w:r w:rsidRPr="006D37AB">
        <w:rPr>
          <w:rFonts w:ascii="Times New Roman" w:hAnsi="Times New Roman" w:cs="Times New Roman"/>
          <w:sz w:val="20"/>
        </w:rPr>
        <w:t>Anaku</w:t>
      </w:r>
      <w:proofErr w:type="spellEnd"/>
      <w:r w:rsidRPr="006D37AB">
        <w:rPr>
          <w:rFonts w:ascii="Times New Roman" w:hAnsi="Times New Roman" w:cs="Times New Roman"/>
          <w:sz w:val="20"/>
        </w:rPr>
        <w:t>, Anambra State." Iconic Research and Engineering Journals Volume 5 Issue 4: Page 77-84.</w:t>
      </w:r>
    </w:p>
    <w:p w14:paraId="39CC7F85"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[33] United States Environmental Protection Agency (USEPA). (2020). "Water Quality Standards." European Commission. Water Framework Directive.</w:t>
      </w:r>
    </w:p>
    <w:p w14:paraId="7544E0BD"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[34] </w:t>
      </w:r>
      <w:proofErr w:type="spellStart"/>
      <w:r w:rsidRPr="006D37AB">
        <w:rPr>
          <w:rFonts w:ascii="Times New Roman" w:hAnsi="Times New Roman" w:cs="Times New Roman"/>
          <w:sz w:val="20"/>
        </w:rPr>
        <w:t>Omokpariola</w:t>
      </w:r>
      <w:proofErr w:type="spellEnd"/>
      <w:r w:rsidRPr="006D37AB">
        <w:rPr>
          <w:rFonts w:ascii="Times New Roman" w:hAnsi="Times New Roman" w:cs="Times New Roman"/>
          <w:sz w:val="20"/>
        </w:rPr>
        <w:t xml:space="preserve">, D. O., </w:t>
      </w:r>
      <w:proofErr w:type="spellStart"/>
      <w:r w:rsidRPr="006D37AB">
        <w:rPr>
          <w:rFonts w:ascii="Times New Roman" w:hAnsi="Times New Roman" w:cs="Times New Roman"/>
          <w:sz w:val="20"/>
        </w:rPr>
        <w:t>Omokpariola</w:t>
      </w:r>
      <w:proofErr w:type="spellEnd"/>
      <w:r w:rsidRPr="006D37AB">
        <w:rPr>
          <w:rFonts w:ascii="Times New Roman" w:hAnsi="Times New Roman" w:cs="Times New Roman"/>
          <w:sz w:val="20"/>
        </w:rPr>
        <w:t xml:space="preserve">, P. L., </w:t>
      </w:r>
      <w:proofErr w:type="spellStart"/>
      <w:r w:rsidRPr="006D37AB">
        <w:rPr>
          <w:rFonts w:ascii="Times New Roman" w:hAnsi="Times New Roman" w:cs="Times New Roman"/>
          <w:sz w:val="20"/>
        </w:rPr>
        <w:t>Okechukwu</w:t>
      </w:r>
      <w:proofErr w:type="spellEnd"/>
      <w:r w:rsidRPr="006D37AB">
        <w:rPr>
          <w:rFonts w:ascii="Times New Roman" w:hAnsi="Times New Roman" w:cs="Times New Roman"/>
          <w:sz w:val="20"/>
        </w:rPr>
        <w:t xml:space="preserve">, V. U., </w:t>
      </w:r>
      <w:proofErr w:type="spellStart"/>
      <w:r w:rsidRPr="006D37AB">
        <w:rPr>
          <w:rFonts w:ascii="Times New Roman" w:hAnsi="Times New Roman" w:cs="Times New Roman"/>
          <w:sz w:val="20"/>
        </w:rPr>
        <w:t>Okeke</w:t>
      </w:r>
      <w:proofErr w:type="spellEnd"/>
      <w:r w:rsidRPr="006D37AB">
        <w:rPr>
          <w:rFonts w:ascii="Times New Roman" w:hAnsi="Times New Roman" w:cs="Times New Roman"/>
          <w:sz w:val="20"/>
        </w:rPr>
        <w:t xml:space="preserve">, A. P., &amp; </w:t>
      </w:r>
      <w:proofErr w:type="spellStart"/>
      <w:r w:rsidRPr="006D37AB">
        <w:rPr>
          <w:rFonts w:ascii="Times New Roman" w:hAnsi="Times New Roman" w:cs="Times New Roman"/>
          <w:sz w:val="20"/>
        </w:rPr>
        <w:t>Daramola</w:t>
      </w:r>
      <w:proofErr w:type="spellEnd"/>
      <w:r w:rsidRPr="006D37AB">
        <w:rPr>
          <w:rFonts w:ascii="Times New Roman" w:hAnsi="Times New Roman" w:cs="Times New Roman"/>
          <w:sz w:val="20"/>
        </w:rPr>
        <w:t>, A. A. (2025). Assessing the role of Persistent Organic Pollutants (POPs) in cancer development in Nigeria: environmental exposure, risk factors, and policy gaps. Discover Toxicology, 2(1), 1-28.</w:t>
      </w:r>
    </w:p>
    <w:p w14:paraId="6E6EA12D"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[35] Oka, O.K., E.N </w:t>
      </w:r>
      <w:proofErr w:type="spellStart"/>
      <w:r w:rsidRPr="006D37AB">
        <w:rPr>
          <w:rFonts w:ascii="Times New Roman" w:hAnsi="Times New Roman" w:cs="Times New Roman"/>
          <w:sz w:val="20"/>
        </w:rPr>
        <w:t>Ojiako</w:t>
      </w:r>
      <w:proofErr w:type="spellEnd"/>
      <w:r w:rsidRPr="006D37AB">
        <w:rPr>
          <w:rFonts w:ascii="Times New Roman" w:hAnsi="Times New Roman" w:cs="Times New Roman"/>
          <w:sz w:val="20"/>
        </w:rPr>
        <w:t xml:space="preserve">., A.P. </w:t>
      </w:r>
      <w:proofErr w:type="spellStart"/>
      <w:r w:rsidRPr="006D37AB">
        <w:rPr>
          <w:rFonts w:ascii="Times New Roman" w:hAnsi="Times New Roman" w:cs="Times New Roman"/>
          <w:sz w:val="20"/>
        </w:rPr>
        <w:t>Okeke</w:t>
      </w:r>
      <w:proofErr w:type="spellEnd"/>
      <w:r w:rsidRPr="006D37AB">
        <w:rPr>
          <w:rFonts w:ascii="Times New Roman" w:hAnsi="Times New Roman" w:cs="Times New Roman"/>
          <w:sz w:val="20"/>
        </w:rPr>
        <w:t xml:space="preserve">, and E.N. </w:t>
      </w:r>
      <w:proofErr w:type="spellStart"/>
      <w:r w:rsidRPr="006D37AB">
        <w:rPr>
          <w:rFonts w:ascii="Times New Roman" w:hAnsi="Times New Roman" w:cs="Times New Roman"/>
          <w:sz w:val="20"/>
        </w:rPr>
        <w:t>Anagbogu</w:t>
      </w:r>
      <w:proofErr w:type="spellEnd"/>
      <w:r w:rsidRPr="006D37AB">
        <w:rPr>
          <w:rFonts w:ascii="Times New Roman" w:hAnsi="Times New Roman" w:cs="Times New Roman"/>
          <w:sz w:val="20"/>
        </w:rPr>
        <w:t xml:space="preserve">. (2025). “Characterization and Risk Assessment of Heavy Metals and Hydrocarbon Sludge in the </w:t>
      </w:r>
      <w:proofErr w:type="spellStart"/>
      <w:r w:rsidRPr="006D37AB">
        <w:rPr>
          <w:rFonts w:ascii="Times New Roman" w:hAnsi="Times New Roman" w:cs="Times New Roman"/>
          <w:sz w:val="20"/>
        </w:rPr>
        <w:t>Nsisioken</w:t>
      </w:r>
      <w:proofErr w:type="spellEnd"/>
      <w:r w:rsidRPr="006D37AB">
        <w:rPr>
          <w:rFonts w:ascii="Times New Roman" w:hAnsi="Times New Roman" w:cs="Times New Roman"/>
          <w:sz w:val="20"/>
        </w:rPr>
        <w:t xml:space="preserve"> Environment, Rivers State Nigeria”. Journal of Global Ecology and Environment</w:t>
      </w:r>
      <w:bookmarkStart w:id="4" w:name="_GoBack"/>
      <w:bookmarkEnd w:id="4"/>
      <w:r w:rsidRPr="006D37AB">
        <w:rPr>
          <w:rFonts w:ascii="Times New Roman" w:hAnsi="Times New Roman" w:cs="Times New Roman"/>
          <w:sz w:val="20"/>
        </w:rPr>
        <w:t xml:space="preserve"> 21 (3):110-23. https://doi.org/10.56557/jogee/2025/v21i39392.</w:t>
      </w:r>
    </w:p>
    <w:p w14:paraId="252A388E" w14:textId="77777777" w:rsidR="006D37AB" w:rsidRPr="006D37AB" w:rsidRDefault="006D37AB" w:rsidP="006D37AB">
      <w:pPr>
        <w:jc w:val="both"/>
        <w:rPr>
          <w:rFonts w:ascii="Times New Roman" w:hAnsi="Times New Roman" w:cs="Times New Roman"/>
          <w:sz w:val="20"/>
        </w:rPr>
      </w:pPr>
      <w:r w:rsidRPr="006D37AB">
        <w:rPr>
          <w:rFonts w:ascii="Times New Roman" w:hAnsi="Times New Roman" w:cs="Times New Roman"/>
          <w:sz w:val="20"/>
        </w:rPr>
        <w:t xml:space="preserve">[36] </w:t>
      </w:r>
      <w:proofErr w:type="spellStart"/>
      <w:r w:rsidRPr="006D37AB">
        <w:rPr>
          <w:rFonts w:ascii="Times New Roman" w:hAnsi="Times New Roman" w:cs="Times New Roman"/>
          <w:sz w:val="20"/>
        </w:rPr>
        <w:t>Ogundele</w:t>
      </w:r>
      <w:proofErr w:type="spellEnd"/>
      <w:r w:rsidRPr="006D37AB">
        <w:rPr>
          <w:rFonts w:ascii="Times New Roman" w:hAnsi="Times New Roman" w:cs="Times New Roman"/>
          <w:sz w:val="20"/>
        </w:rPr>
        <w:t xml:space="preserve">, J.O. (2010) Physicochemical and Metal Analysis of Well Water Samples from </w:t>
      </w:r>
      <w:proofErr w:type="spellStart"/>
      <w:r w:rsidRPr="006D37AB">
        <w:rPr>
          <w:rFonts w:ascii="Times New Roman" w:hAnsi="Times New Roman" w:cs="Times New Roman"/>
          <w:sz w:val="20"/>
        </w:rPr>
        <w:t>Akure</w:t>
      </w:r>
      <w:proofErr w:type="spellEnd"/>
      <w:r w:rsidRPr="006D37AB">
        <w:rPr>
          <w:rFonts w:ascii="Times New Roman" w:hAnsi="Times New Roman" w:cs="Times New Roman"/>
          <w:sz w:val="20"/>
        </w:rPr>
        <w:t>, Nigeria. Pp. 1-6.</w:t>
      </w:r>
    </w:p>
    <w:p w14:paraId="30FD310A" w14:textId="77777777" w:rsidR="0037626D" w:rsidRPr="002C1419" w:rsidRDefault="0037626D" w:rsidP="00A05925">
      <w:pPr>
        <w:jc w:val="both"/>
        <w:rPr>
          <w:rFonts w:ascii="Times New Roman" w:hAnsi="Times New Roman" w:cs="Times New Roman"/>
          <w:b/>
          <w:sz w:val="20"/>
          <w:szCs w:val="20"/>
        </w:rPr>
      </w:pPr>
    </w:p>
    <w:sectPr w:rsidR="0037626D" w:rsidRPr="002C141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30A41" w14:textId="77777777" w:rsidR="00AC76BD" w:rsidRDefault="00AC76BD" w:rsidP="002B6999">
      <w:pPr>
        <w:spacing w:after="0" w:line="240" w:lineRule="auto"/>
      </w:pPr>
      <w:r>
        <w:separator/>
      </w:r>
    </w:p>
  </w:endnote>
  <w:endnote w:type="continuationSeparator" w:id="0">
    <w:p w14:paraId="46978959" w14:textId="77777777" w:rsidR="00AC76BD" w:rsidRDefault="00AC76BD" w:rsidP="002B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3EA64" w14:textId="77777777" w:rsidR="00610073" w:rsidRDefault="006100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E29B" w14:textId="77777777" w:rsidR="00610073" w:rsidRDefault="006100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B9F25" w14:textId="77777777" w:rsidR="00610073" w:rsidRDefault="00610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94E35" w14:textId="77777777" w:rsidR="00AC76BD" w:rsidRDefault="00AC76BD" w:rsidP="002B6999">
      <w:pPr>
        <w:spacing w:after="0" w:line="240" w:lineRule="auto"/>
      </w:pPr>
      <w:r>
        <w:separator/>
      </w:r>
    </w:p>
  </w:footnote>
  <w:footnote w:type="continuationSeparator" w:id="0">
    <w:p w14:paraId="02EFF32E" w14:textId="77777777" w:rsidR="00AC76BD" w:rsidRDefault="00AC76BD" w:rsidP="002B6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9C514" w14:textId="03FC411E" w:rsidR="00610073" w:rsidRDefault="00610073">
    <w:pPr>
      <w:pStyle w:val="Header"/>
    </w:pPr>
    <w:r>
      <w:rPr>
        <w:noProof/>
      </w:rPr>
      <w:pict w14:anchorId="6B465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1E3E" w14:textId="09624267" w:rsidR="00610073" w:rsidRDefault="00610073">
    <w:pPr>
      <w:pStyle w:val="Header"/>
    </w:pPr>
    <w:r>
      <w:rPr>
        <w:noProof/>
      </w:rPr>
      <w:pict w14:anchorId="4158D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3CEE0" w14:textId="7D709C8B" w:rsidR="00610073" w:rsidRDefault="00610073">
    <w:pPr>
      <w:pStyle w:val="Header"/>
    </w:pPr>
    <w:r>
      <w:rPr>
        <w:noProof/>
      </w:rPr>
      <w:pict w14:anchorId="1168D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254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25"/>
    <w:rsid w:val="000067E9"/>
    <w:rsid w:val="00027C1B"/>
    <w:rsid w:val="00035990"/>
    <w:rsid w:val="0004119B"/>
    <w:rsid w:val="00070EA9"/>
    <w:rsid w:val="00072CCC"/>
    <w:rsid w:val="00074ECF"/>
    <w:rsid w:val="00077982"/>
    <w:rsid w:val="00084991"/>
    <w:rsid w:val="000856A9"/>
    <w:rsid w:val="000916EA"/>
    <w:rsid w:val="000A21AE"/>
    <w:rsid w:val="000A2D48"/>
    <w:rsid w:val="000B0929"/>
    <w:rsid w:val="000B38CB"/>
    <w:rsid w:val="000B5067"/>
    <w:rsid w:val="000E2E6F"/>
    <w:rsid w:val="000E4AC0"/>
    <w:rsid w:val="00105111"/>
    <w:rsid w:val="00106EB4"/>
    <w:rsid w:val="001148BA"/>
    <w:rsid w:val="00133BE9"/>
    <w:rsid w:val="001523D2"/>
    <w:rsid w:val="00153FF2"/>
    <w:rsid w:val="00155919"/>
    <w:rsid w:val="00164614"/>
    <w:rsid w:val="00165B1B"/>
    <w:rsid w:val="00181534"/>
    <w:rsid w:val="00187E0C"/>
    <w:rsid w:val="001B395D"/>
    <w:rsid w:val="001C216A"/>
    <w:rsid w:val="001C2CC0"/>
    <w:rsid w:val="001F3E10"/>
    <w:rsid w:val="00205986"/>
    <w:rsid w:val="00222BD4"/>
    <w:rsid w:val="0022384F"/>
    <w:rsid w:val="0023164C"/>
    <w:rsid w:val="00255B52"/>
    <w:rsid w:val="002573B2"/>
    <w:rsid w:val="0027069D"/>
    <w:rsid w:val="0027540B"/>
    <w:rsid w:val="00277A64"/>
    <w:rsid w:val="00277BEA"/>
    <w:rsid w:val="002820A4"/>
    <w:rsid w:val="00297703"/>
    <w:rsid w:val="002A55E2"/>
    <w:rsid w:val="002B3639"/>
    <w:rsid w:val="002B6999"/>
    <w:rsid w:val="002C1419"/>
    <w:rsid w:val="002D068D"/>
    <w:rsid w:val="002D62B3"/>
    <w:rsid w:val="002E4DED"/>
    <w:rsid w:val="002E6021"/>
    <w:rsid w:val="002F7AF2"/>
    <w:rsid w:val="00300B30"/>
    <w:rsid w:val="003013D1"/>
    <w:rsid w:val="00317AB4"/>
    <w:rsid w:val="00341BD9"/>
    <w:rsid w:val="003442AB"/>
    <w:rsid w:val="0037626D"/>
    <w:rsid w:val="00394CCF"/>
    <w:rsid w:val="003969F6"/>
    <w:rsid w:val="003A27DA"/>
    <w:rsid w:val="003C6339"/>
    <w:rsid w:val="003F38B0"/>
    <w:rsid w:val="004001BA"/>
    <w:rsid w:val="004067FF"/>
    <w:rsid w:val="00407091"/>
    <w:rsid w:val="00411359"/>
    <w:rsid w:val="00412362"/>
    <w:rsid w:val="00416D9C"/>
    <w:rsid w:val="0042122F"/>
    <w:rsid w:val="00422156"/>
    <w:rsid w:val="004231A7"/>
    <w:rsid w:val="00425D63"/>
    <w:rsid w:val="004512CB"/>
    <w:rsid w:val="00462073"/>
    <w:rsid w:val="00471ED3"/>
    <w:rsid w:val="00497859"/>
    <w:rsid w:val="004F0BBB"/>
    <w:rsid w:val="00501025"/>
    <w:rsid w:val="005071F4"/>
    <w:rsid w:val="00525477"/>
    <w:rsid w:val="00533CC3"/>
    <w:rsid w:val="00536F3F"/>
    <w:rsid w:val="00547559"/>
    <w:rsid w:val="00562FE4"/>
    <w:rsid w:val="005737F2"/>
    <w:rsid w:val="0057495A"/>
    <w:rsid w:val="00587A0A"/>
    <w:rsid w:val="00587BFC"/>
    <w:rsid w:val="005957F1"/>
    <w:rsid w:val="005A2CC5"/>
    <w:rsid w:val="005B4195"/>
    <w:rsid w:val="005B7164"/>
    <w:rsid w:val="005C5124"/>
    <w:rsid w:val="005E6C3A"/>
    <w:rsid w:val="005F133C"/>
    <w:rsid w:val="005F6511"/>
    <w:rsid w:val="0060769A"/>
    <w:rsid w:val="00610073"/>
    <w:rsid w:val="006123F0"/>
    <w:rsid w:val="0062192D"/>
    <w:rsid w:val="00624CFE"/>
    <w:rsid w:val="0065300E"/>
    <w:rsid w:val="006606B5"/>
    <w:rsid w:val="00664E13"/>
    <w:rsid w:val="0066675F"/>
    <w:rsid w:val="0067111F"/>
    <w:rsid w:val="00680ABF"/>
    <w:rsid w:val="006843CB"/>
    <w:rsid w:val="00685EAF"/>
    <w:rsid w:val="00687BE4"/>
    <w:rsid w:val="00692D68"/>
    <w:rsid w:val="006A3B4F"/>
    <w:rsid w:val="006A5B8F"/>
    <w:rsid w:val="006B1826"/>
    <w:rsid w:val="006B1EF6"/>
    <w:rsid w:val="006C79B6"/>
    <w:rsid w:val="006D37AB"/>
    <w:rsid w:val="006E0BA6"/>
    <w:rsid w:val="006E0F50"/>
    <w:rsid w:val="006E572D"/>
    <w:rsid w:val="006E60D9"/>
    <w:rsid w:val="006F7E07"/>
    <w:rsid w:val="0071529A"/>
    <w:rsid w:val="007216D1"/>
    <w:rsid w:val="00723CD7"/>
    <w:rsid w:val="0072494B"/>
    <w:rsid w:val="00763DBC"/>
    <w:rsid w:val="00776F52"/>
    <w:rsid w:val="007A5E61"/>
    <w:rsid w:val="007B76D1"/>
    <w:rsid w:val="007C0581"/>
    <w:rsid w:val="007C5F4E"/>
    <w:rsid w:val="007C64C9"/>
    <w:rsid w:val="007D14FC"/>
    <w:rsid w:val="007E28C4"/>
    <w:rsid w:val="007E5A63"/>
    <w:rsid w:val="007E5D0B"/>
    <w:rsid w:val="0080414B"/>
    <w:rsid w:val="00804C12"/>
    <w:rsid w:val="008113F1"/>
    <w:rsid w:val="00817F14"/>
    <w:rsid w:val="00846413"/>
    <w:rsid w:val="008479DF"/>
    <w:rsid w:val="00853E69"/>
    <w:rsid w:val="00866960"/>
    <w:rsid w:val="00874869"/>
    <w:rsid w:val="00874E5F"/>
    <w:rsid w:val="0088348D"/>
    <w:rsid w:val="008A143C"/>
    <w:rsid w:val="008A358A"/>
    <w:rsid w:val="008A7083"/>
    <w:rsid w:val="008A7A29"/>
    <w:rsid w:val="008B50F5"/>
    <w:rsid w:val="008C6AB4"/>
    <w:rsid w:val="008D2246"/>
    <w:rsid w:val="008E0EBA"/>
    <w:rsid w:val="00901069"/>
    <w:rsid w:val="009240BF"/>
    <w:rsid w:val="00932028"/>
    <w:rsid w:val="00947FC2"/>
    <w:rsid w:val="00967143"/>
    <w:rsid w:val="00971B15"/>
    <w:rsid w:val="00991497"/>
    <w:rsid w:val="009921CC"/>
    <w:rsid w:val="009948D1"/>
    <w:rsid w:val="009A0049"/>
    <w:rsid w:val="009A4911"/>
    <w:rsid w:val="009A5268"/>
    <w:rsid w:val="009A7FCF"/>
    <w:rsid w:val="009C60FE"/>
    <w:rsid w:val="009E213C"/>
    <w:rsid w:val="009E3576"/>
    <w:rsid w:val="009F0EE9"/>
    <w:rsid w:val="00A00A29"/>
    <w:rsid w:val="00A02153"/>
    <w:rsid w:val="00A02D51"/>
    <w:rsid w:val="00A05925"/>
    <w:rsid w:val="00A30FE6"/>
    <w:rsid w:val="00A37976"/>
    <w:rsid w:val="00A41A1E"/>
    <w:rsid w:val="00A463DD"/>
    <w:rsid w:val="00A57CE8"/>
    <w:rsid w:val="00A603B7"/>
    <w:rsid w:val="00A67306"/>
    <w:rsid w:val="00A73DD0"/>
    <w:rsid w:val="00A826CA"/>
    <w:rsid w:val="00A859EF"/>
    <w:rsid w:val="00AA5C85"/>
    <w:rsid w:val="00AC7524"/>
    <w:rsid w:val="00AC76BD"/>
    <w:rsid w:val="00AD3302"/>
    <w:rsid w:val="00AD5B5B"/>
    <w:rsid w:val="00AE6384"/>
    <w:rsid w:val="00B040BE"/>
    <w:rsid w:val="00B15FA7"/>
    <w:rsid w:val="00B34BCF"/>
    <w:rsid w:val="00B36D44"/>
    <w:rsid w:val="00B4537E"/>
    <w:rsid w:val="00B50BC5"/>
    <w:rsid w:val="00B5254A"/>
    <w:rsid w:val="00B562F2"/>
    <w:rsid w:val="00B65B3F"/>
    <w:rsid w:val="00B710B2"/>
    <w:rsid w:val="00B75C62"/>
    <w:rsid w:val="00BA6FD5"/>
    <w:rsid w:val="00BB56DE"/>
    <w:rsid w:val="00BD29C5"/>
    <w:rsid w:val="00BD5F25"/>
    <w:rsid w:val="00BE1F6C"/>
    <w:rsid w:val="00BE2B62"/>
    <w:rsid w:val="00BF759C"/>
    <w:rsid w:val="00C11341"/>
    <w:rsid w:val="00C171D9"/>
    <w:rsid w:val="00C2375C"/>
    <w:rsid w:val="00C2602B"/>
    <w:rsid w:val="00C41B5D"/>
    <w:rsid w:val="00C43247"/>
    <w:rsid w:val="00C43686"/>
    <w:rsid w:val="00C50679"/>
    <w:rsid w:val="00C532FE"/>
    <w:rsid w:val="00C537F8"/>
    <w:rsid w:val="00C621E5"/>
    <w:rsid w:val="00C62485"/>
    <w:rsid w:val="00C70D4F"/>
    <w:rsid w:val="00C76133"/>
    <w:rsid w:val="00C857FB"/>
    <w:rsid w:val="00C87B55"/>
    <w:rsid w:val="00C91D93"/>
    <w:rsid w:val="00C95662"/>
    <w:rsid w:val="00C97947"/>
    <w:rsid w:val="00CA1D14"/>
    <w:rsid w:val="00CA5B04"/>
    <w:rsid w:val="00CA6C42"/>
    <w:rsid w:val="00CA761A"/>
    <w:rsid w:val="00CB1454"/>
    <w:rsid w:val="00CB284C"/>
    <w:rsid w:val="00CB570D"/>
    <w:rsid w:val="00CC1566"/>
    <w:rsid w:val="00CC215C"/>
    <w:rsid w:val="00CE7561"/>
    <w:rsid w:val="00CF3123"/>
    <w:rsid w:val="00CF7CCE"/>
    <w:rsid w:val="00D04543"/>
    <w:rsid w:val="00D072E1"/>
    <w:rsid w:val="00D12DCB"/>
    <w:rsid w:val="00D17F6E"/>
    <w:rsid w:val="00D36B2C"/>
    <w:rsid w:val="00D755B4"/>
    <w:rsid w:val="00D764A0"/>
    <w:rsid w:val="00D84A12"/>
    <w:rsid w:val="00D84F8C"/>
    <w:rsid w:val="00D85A01"/>
    <w:rsid w:val="00DA17B0"/>
    <w:rsid w:val="00DA2650"/>
    <w:rsid w:val="00DB03CF"/>
    <w:rsid w:val="00DD34B4"/>
    <w:rsid w:val="00DD728C"/>
    <w:rsid w:val="00DE498B"/>
    <w:rsid w:val="00DE4E17"/>
    <w:rsid w:val="00DE68A5"/>
    <w:rsid w:val="00DF1B4B"/>
    <w:rsid w:val="00DF5DCE"/>
    <w:rsid w:val="00DF6363"/>
    <w:rsid w:val="00DF7C94"/>
    <w:rsid w:val="00DF7EA9"/>
    <w:rsid w:val="00E002F4"/>
    <w:rsid w:val="00E1491D"/>
    <w:rsid w:val="00E17AA9"/>
    <w:rsid w:val="00E34E18"/>
    <w:rsid w:val="00E45BF4"/>
    <w:rsid w:val="00E55257"/>
    <w:rsid w:val="00E616A8"/>
    <w:rsid w:val="00E64B06"/>
    <w:rsid w:val="00E65A29"/>
    <w:rsid w:val="00E8280C"/>
    <w:rsid w:val="00EB32A8"/>
    <w:rsid w:val="00EC425A"/>
    <w:rsid w:val="00ED271F"/>
    <w:rsid w:val="00ED6754"/>
    <w:rsid w:val="00ED67EE"/>
    <w:rsid w:val="00EF6CBB"/>
    <w:rsid w:val="00F0152D"/>
    <w:rsid w:val="00F0451F"/>
    <w:rsid w:val="00F21467"/>
    <w:rsid w:val="00F35219"/>
    <w:rsid w:val="00F367A4"/>
    <w:rsid w:val="00F411A9"/>
    <w:rsid w:val="00F66F5A"/>
    <w:rsid w:val="00F7029A"/>
    <w:rsid w:val="00F720BA"/>
    <w:rsid w:val="00F73987"/>
    <w:rsid w:val="00F7434E"/>
    <w:rsid w:val="00F81B33"/>
    <w:rsid w:val="00F8298C"/>
    <w:rsid w:val="00F850BF"/>
    <w:rsid w:val="00F86BAC"/>
    <w:rsid w:val="00F905A7"/>
    <w:rsid w:val="00FB09F4"/>
    <w:rsid w:val="00FB5F23"/>
    <w:rsid w:val="00FB6759"/>
    <w:rsid w:val="00FC5892"/>
    <w:rsid w:val="00FD1B99"/>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F7FBF63"/>
  <w15:chartTrackingRefBased/>
  <w15:docId w15:val="{B0FBA013-334C-4BE0-94D1-46C6AD23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B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73"/>
    <w:pPr>
      <w:ind w:left="720"/>
      <w:contextualSpacing/>
    </w:pPr>
  </w:style>
  <w:style w:type="character" w:styleId="Hyperlink">
    <w:name w:val="Hyperlink"/>
    <w:basedOn w:val="DefaultParagraphFont"/>
    <w:uiPriority w:val="99"/>
    <w:unhideWhenUsed/>
    <w:rsid w:val="00164614"/>
    <w:rPr>
      <w:color w:val="0000FF"/>
      <w:u w:val="single"/>
    </w:rPr>
  </w:style>
  <w:style w:type="character" w:styleId="Strong">
    <w:name w:val="Strong"/>
    <w:basedOn w:val="DefaultParagraphFont"/>
    <w:uiPriority w:val="22"/>
    <w:qFormat/>
    <w:rsid w:val="00ED271F"/>
    <w:rPr>
      <w:b/>
      <w:bCs/>
    </w:rPr>
  </w:style>
  <w:style w:type="character" w:customStyle="1" w:styleId="katex-mathml">
    <w:name w:val="katex-mathml"/>
    <w:basedOn w:val="DefaultParagraphFont"/>
    <w:rsid w:val="00ED271F"/>
  </w:style>
  <w:style w:type="character" w:customStyle="1" w:styleId="Heading1Char">
    <w:name w:val="Heading 1 Char"/>
    <w:basedOn w:val="DefaultParagraphFont"/>
    <w:link w:val="Heading1"/>
    <w:uiPriority w:val="9"/>
    <w:rsid w:val="004F0BBB"/>
    <w:rPr>
      <w:rFonts w:ascii="Times New Roman" w:eastAsia="Times New Roman" w:hAnsi="Times New Roman" w:cs="Times New Roman"/>
      <w:b/>
      <w:bCs/>
      <w:kern w:val="36"/>
      <w:sz w:val="48"/>
      <w:szCs w:val="48"/>
    </w:rPr>
  </w:style>
  <w:style w:type="table" w:styleId="TableGrid">
    <w:name w:val="Table Grid"/>
    <w:basedOn w:val="TableNormal"/>
    <w:uiPriority w:val="39"/>
    <w:rsid w:val="004F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479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7E07"/>
    <w:rPr>
      <w:i/>
      <w:iCs/>
    </w:rPr>
  </w:style>
  <w:style w:type="paragraph" w:styleId="BodyText2">
    <w:name w:val="Body Text 2"/>
    <w:basedOn w:val="Normal"/>
    <w:link w:val="BodyText2Char"/>
    <w:uiPriority w:val="99"/>
    <w:unhideWhenUsed/>
    <w:rsid w:val="00C97947"/>
    <w:pPr>
      <w:spacing w:after="0" w:line="276"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C97947"/>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2C1419"/>
    <w:pPr>
      <w:spacing w:after="120"/>
      <w:ind w:left="360"/>
    </w:pPr>
  </w:style>
  <w:style w:type="character" w:customStyle="1" w:styleId="BodyTextIndentChar">
    <w:name w:val="Body Text Indent Char"/>
    <w:basedOn w:val="DefaultParagraphFont"/>
    <w:link w:val="BodyTextIndent"/>
    <w:uiPriority w:val="99"/>
    <w:semiHidden/>
    <w:rsid w:val="002C1419"/>
  </w:style>
  <w:style w:type="character" w:customStyle="1" w:styleId="UnresolvedMention">
    <w:name w:val="Unresolved Mention"/>
    <w:basedOn w:val="DefaultParagraphFont"/>
    <w:uiPriority w:val="99"/>
    <w:semiHidden/>
    <w:unhideWhenUsed/>
    <w:rsid w:val="00F81B33"/>
    <w:rPr>
      <w:color w:val="605E5C"/>
      <w:shd w:val="clear" w:color="auto" w:fill="E1DFDD"/>
    </w:rPr>
  </w:style>
  <w:style w:type="paragraph" w:styleId="Header">
    <w:name w:val="header"/>
    <w:basedOn w:val="Normal"/>
    <w:link w:val="HeaderChar"/>
    <w:uiPriority w:val="99"/>
    <w:unhideWhenUsed/>
    <w:rsid w:val="002B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99"/>
  </w:style>
  <w:style w:type="paragraph" w:styleId="Footer">
    <w:name w:val="footer"/>
    <w:basedOn w:val="Normal"/>
    <w:link w:val="FooterChar"/>
    <w:uiPriority w:val="99"/>
    <w:unhideWhenUsed/>
    <w:rsid w:val="002B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igeria"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en.wikipedia.org/wiki/Enugu_State" TargetMode="Externa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hyperlink" Target="https://en.wikipedia.org/wiki/Local_Government_Areas_of_Nigeria" TargetMode="External"/><Relationship Id="rId11" Type="http://schemas.openxmlformats.org/officeDocument/2006/relationships/hyperlink" Target="https://en.wikipedia.org/wiki/Enugu_South"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Enugu_East" TargetMode="External"/><Relationship Id="rId19" Type="http://schemas.openxmlformats.org/officeDocument/2006/relationships/image" Target="media/image8.emf"/><Relationship Id="rId4" Type="http://schemas.openxmlformats.org/officeDocument/2006/relationships/footnotes" Target="footnotes.xml"/><Relationship Id="rId9" Type="http://schemas.openxmlformats.org/officeDocument/2006/relationships/hyperlink" Target="https://en.wikipedia.org/wiki/Enugu" TargetMode="External"/><Relationship Id="rId14" Type="http://schemas.openxmlformats.org/officeDocument/2006/relationships/image" Target="media/image3.e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21</Pages>
  <Words>10585</Words>
  <Characters>54092</Characters>
  <Application>Microsoft Office Word</Application>
  <DocSecurity>0</DocSecurity>
  <Lines>1352</Lines>
  <Paragraphs>1347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49</cp:revision>
  <dcterms:created xsi:type="dcterms:W3CDTF">2025-04-26T12:52:00Z</dcterms:created>
  <dcterms:modified xsi:type="dcterms:W3CDTF">2025-06-06T12:34:00Z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493b2036-f1b2-415b-8c55-89ae8d15ddf1</vt:lpwstr>
  </property>
</Properties>
</file>