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3F3CA" w14:textId="77777777" w:rsidR="00985109" w:rsidRDefault="00985109" w:rsidP="00985109">
      <w:pPr>
        <w:spacing w:before="100" w:beforeAutospacing="1" w:after="100" w:afterAutospacing="1" w:line="240" w:lineRule="auto"/>
        <w:outlineLvl w:val="2"/>
        <w:rPr>
          <w:rFonts w:ascii="Times New Roman" w:hAnsi="Times New Roman" w:cs="Times New Roman"/>
          <w:b/>
          <w:bCs/>
        </w:rPr>
      </w:pPr>
      <w:r w:rsidRPr="000A720E">
        <w:rPr>
          <w:rFonts w:ascii="Times New Roman" w:hAnsi="Times New Roman" w:cs="Times New Roman"/>
          <w:b/>
          <w:bCs/>
        </w:rPr>
        <w:t>Efficacy and Safety of Adjuvant Immune Checkpoint Inhibitors in Hepatocellular Carcinoma Post-Reception: A Meta-Analysis</w:t>
      </w:r>
    </w:p>
    <w:p w14:paraId="6BE5A23F" w14:textId="77777777" w:rsidR="00FF1F5C" w:rsidRDefault="00FF1F5C" w:rsidP="00985109">
      <w:pPr>
        <w:spacing w:before="100" w:beforeAutospacing="1" w:after="100" w:afterAutospacing="1" w:line="240" w:lineRule="auto"/>
        <w:outlineLvl w:val="2"/>
        <w:rPr>
          <w:rFonts w:ascii="Times New Roman" w:hAnsi="Times New Roman" w:cs="Times New Roman"/>
          <w:b/>
          <w:bCs/>
        </w:rPr>
      </w:pPr>
    </w:p>
    <w:p w14:paraId="486C4B19" w14:textId="77777777" w:rsidR="00985109" w:rsidRPr="00A20B97" w:rsidRDefault="00985109" w:rsidP="00985109">
      <w:pPr>
        <w:spacing w:before="100" w:beforeAutospacing="1" w:after="100" w:afterAutospacing="1" w:line="240" w:lineRule="auto"/>
        <w:jc w:val="center"/>
        <w:outlineLvl w:val="2"/>
        <w:rPr>
          <w:rFonts w:ascii="Times New Roman" w:hAnsi="Times New Roman" w:cs="Times New Roman"/>
          <w:b/>
          <w:bCs/>
          <w:highlight w:val="yellow"/>
        </w:rPr>
      </w:pPr>
      <w:r w:rsidRPr="00A20B97">
        <w:rPr>
          <w:rFonts w:ascii="Times New Roman" w:hAnsi="Times New Roman" w:cs="Times New Roman"/>
          <w:b/>
          <w:bCs/>
          <w:highlight w:val="yellow"/>
        </w:rPr>
        <w:t>Abstract</w:t>
      </w:r>
    </w:p>
    <w:p w14:paraId="3BE9C098" w14:textId="77777777" w:rsidR="00A20B97" w:rsidRPr="00A20B97" w:rsidRDefault="00A20B97" w:rsidP="00A20B97">
      <w:pPr>
        <w:pStyle w:val="NormalWeb"/>
        <w:spacing w:line="360" w:lineRule="auto"/>
        <w:jc w:val="both"/>
        <w:rPr>
          <w:highlight w:val="yellow"/>
        </w:rPr>
      </w:pPr>
      <w:r w:rsidRPr="00A20B97">
        <w:rPr>
          <w:rStyle w:val="Strong"/>
          <w:rFonts w:eastAsiaTheme="majorEastAsia"/>
          <w:highlight w:val="yellow"/>
        </w:rPr>
        <w:t>Background:</w:t>
      </w:r>
      <w:r w:rsidRPr="00A20B97">
        <w:rPr>
          <w:highlight w:val="yellow"/>
        </w:rPr>
        <w:br/>
        <w:t>Hepatocellular carcinoma (HCC) is a leading cause of cancer-related mortality worldwide. Although curative treatments such as surgical resection and liver transplantation offer potential for long-term survival, recurrence remains a significant challenge. Immune checkpoint inhibitors (ICIs), including nivolumab, pembrolizumab, atezolizumab, and sintilimab, have demonstrated efficacy in advanced HCC, yet their role in the adjuvant setting remains inadequately defined.</w:t>
      </w:r>
    </w:p>
    <w:p w14:paraId="118E634F" w14:textId="77777777" w:rsidR="00A20B97" w:rsidRPr="00A20B97" w:rsidRDefault="00A20B97" w:rsidP="00A20B97">
      <w:pPr>
        <w:pStyle w:val="NormalWeb"/>
        <w:spacing w:line="360" w:lineRule="auto"/>
        <w:jc w:val="both"/>
        <w:rPr>
          <w:highlight w:val="yellow"/>
        </w:rPr>
      </w:pPr>
      <w:r w:rsidRPr="00A20B97">
        <w:rPr>
          <w:rStyle w:val="Strong"/>
          <w:rFonts w:eastAsiaTheme="majorEastAsia"/>
          <w:highlight w:val="yellow"/>
        </w:rPr>
        <w:t>Objective:</w:t>
      </w:r>
      <w:r w:rsidRPr="00A20B97">
        <w:rPr>
          <w:highlight w:val="yellow"/>
        </w:rPr>
        <w:br/>
        <w:t>This meta-analysis evaluates the efficacy and safety of adjuvant ICIs in enhancing overall survival (OS) and recurrence-free survival (RFS) in HCC patients following curative resection or ablation.</w:t>
      </w:r>
    </w:p>
    <w:p w14:paraId="1E848A3E" w14:textId="77777777" w:rsidR="00A20B97" w:rsidRPr="00A20B97" w:rsidRDefault="00A20B97" w:rsidP="00A20B97">
      <w:pPr>
        <w:pStyle w:val="NormalWeb"/>
        <w:spacing w:line="360" w:lineRule="auto"/>
        <w:jc w:val="both"/>
        <w:rPr>
          <w:highlight w:val="yellow"/>
        </w:rPr>
      </w:pPr>
      <w:r w:rsidRPr="00A20B97">
        <w:rPr>
          <w:rStyle w:val="Strong"/>
          <w:rFonts w:eastAsiaTheme="majorEastAsia"/>
          <w:highlight w:val="yellow"/>
        </w:rPr>
        <w:t>Methods:</w:t>
      </w:r>
      <w:r w:rsidRPr="00A20B97">
        <w:rPr>
          <w:highlight w:val="yellow"/>
        </w:rPr>
        <w:br/>
        <w:t>We conducted a systematic review of randomized controlled trials (RCTs) published between 2019 and 2024, which assessed the use of adjuvant ICIs in post-resection HCC. A total of 10 studies were included in the final analysis. Pooled hazard ratios (HRs) for OS and RFS, along with adverse event rates, were calculated using a random-effects model. Subgroup analyses were performed based on tumor stage, ICI regimen, and geographic region. Publication bias was assessed using funnel plots, and Egger’s test was conducted.</w:t>
      </w:r>
    </w:p>
    <w:p w14:paraId="5DB83D5F" w14:textId="77777777" w:rsidR="00A20B97" w:rsidRPr="00A20B97" w:rsidRDefault="00A20B97" w:rsidP="00A20B97">
      <w:pPr>
        <w:pStyle w:val="NormalWeb"/>
        <w:spacing w:line="360" w:lineRule="auto"/>
        <w:jc w:val="both"/>
        <w:rPr>
          <w:highlight w:val="yellow"/>
        </w:rPr>
      </w:pPr>
      <w:r w:rsidRPr="00A20B97">
        <w:rPr>
          <w:rStyle w:val="Strong"/>
          <w:rFonts w:eastAsiaTheme="majorEastAsia"/>
          <w:highlight w:val="yellow"/>
        </w:rPr>
        <w:t>Results:</w:t>
      </w:r>
      <w:r w:rsidRPr="00A20B97">
        <w:rPr>
          <w:highlight w:val="yellow"/>
        </w:rPr>
        <w:br/>
        <w:t>Adjuvant ICI therapy significantly improved RFS with a pooled HR of 0.534 (95% CI: 0.360–0.792), indicating a 46.6% reduction in the risk of recurrence compared to placebo or standard care. The pooled HR for OS was 0.85 (95% CI: 0.72–1.02), suggesting a trend toward improved survival, although this did not reach statistical significance. Common grade 3+ adverse events included fatigue, hypertension, and elevated liver enzymes.</w:t>
      </w:r>
    </w:p>
    <w:p w14:paraId="00173EFB" w14:textId="77777777" w:rsidR="00A20B97" w:rsidRPr="00A20B97" w:rsidRDefault="00A20B97" w:rsidP="00A20B97">
      <w:pPr>
        <w:pStyle w:val="NormalWeb"/>
        <w:spacing w:line="360" w:lineRule="auto"/>
        <w:jc w:val="both"/>
        <w:rPr>
          <w:highlight w:val="yellow"/>
        </w:rPr>
      </w:pPr>
      <w:r w:rsidRPr="00A20B97">
        <w:rPr>
          <w:rStyle w:val="Strong"/>
          <w:rFonts w:eastAsiaTheme="majorEastAsia"/>
          <w:highlight w:val="yellow"/>
        </w:rPr>
        <w:lastRenderedPageBreak/>
        <w:t>Conclusion:</w:t>
      </w:r>
      <w:r w:rsidRPr="00A20B97">
        <w:rPr>
          <w:highlight w:val="yellow"/>
        </w:rPr>
        <w:br/>
        <w:t>Adjuvant ICIs represent a promising therapeutic strategy for post-resection HCC, offering improvements in RFS with a manageable toxicity profile. However, further long-term trials are required to confirm the sustained benefits and establish the role of ICIs in clinical practice.</w:t>
      </w:r>
    </w:p>
    <w:p w14:paraId="6CBA87FC" w14:textId="4136E097" w:rsidR="00A20B97" w:rsidRDefault="00A20B97" w:rsidP="00A20B97">
      <w:pPr>
        <w:pStyle w:val="NormalWeb"/>
        <w:rPr>
          <w:rStyle w:val="Strong"/>
          <w:rFonts w:eastAsiaTheme="majorEastAsia"/>
          <w:b w:val="0"/>
          <w:bCs w:val="0"/>
        </w:rPr>
      </w:pPr>
      <w:r w:rsidRPr="00A20B97">
        <w:rPr>
          <w:b/>
          <w:bCs/>
          <w:highlight w:val="yellow"/>
        </w:rPr>
        <w:t>Keyword:</w:t>
      </w:r>
      <w:r w:rsidRPr="00A20B97">
        <w:rPr>
          <w:rFonts w:hAnsi="Symbol"/>
          <w:highlight w:val="yellow"/>
        </w:rPr>
        <w:t xml:space="preserve"> </w:t>
      </w:r>
      <w:r w:rsidRPr="00A20B97">
        <w:rPr>
          <w:rStyle w:val="Strong"/>
          <w:rFonts w:eastAsiaTheme="majorEastAsia"/>
          <w:b w:val="0"/>
          <w:bCs w:val="0"/>
          <w:highlight w:val="yellow"/>
        </w:rPr>
        <w:t>Hepatocellular carcinoma (HCC)</w:t>
      </w:r>
      <w:r w:rsidRPr="00A20B97">
        <w:rPr>
          <w:b/>
          <w:bCs/>
          <w:highlight w:val="yellow"/>
        </w:rPr>
        <w:t>,</w:t>
      </w:r>
      <w:r w:rsidRPr="00A20B97">
        <w:rPr>
          <w:b/>
          <w:bCs/>
          <w:highlight w:val="yellow"/>
        </w:rPr>
        <w:t xml:space="preserve"> </w:t>
      </w:r>
      <w:r w:rsidRPr="00A20B97">
        <w:rPr>
          <w:rStyle w:val="Strong"/>
          <w:rFonts w:eastAsiaTheme="majorEastAsia"/>
          <w:b w:val="0"/>
          <w:bCs w:val="0"/>
          <w:highlight w:val="yellow"/>
        </w:rPr>
        <w:t>Immune checkpoint inhibitors (ICIs)</w:t>
      </w:r>
      <w:r w:rsidRPr="00A20B97">
        <w:rPr>
          <w:b/>
          <w:bCs/>
          <w:highlight w:val="yellow"/>
        </w:rPr>
        <w:t xml:space="preserve">, </w:t>
      </w:r>
      <w:r w:rsidRPr="00A20B97">
        <w:rPr>
          <w:rStyle w:val="Strong"/>
          <w:rFonts w:eastAsiaTheme="majorEastAsia"/>
          <w:b w:val="0"/>
          <w:bCs w:val="0"/>
          <w:highlight w:val="yellow"/>
        </w:rPr>
        <w:t>Adjuvant treatment</w:t>
      </w:r>
      <w:r w:rsidRPr="00A20B97">
        <w:rPr>
          <w:b/>
          <w:bCs/>
          <w:highlight w:val="yellow"/>
        </w:rPr>
        <w:t xml:space="preserve">, </w:t>
      </w:r>
      <w:r w:rsidRPr="00A20B97">
        <w:rPr>
          <w:rStyle w:val="Strong"/>
          <w:rFonts w:eastAsiaTheme="majorEastAsia"/>
          <w:b w:val="0"/>
          <w:bCs w:val="0"/>
          <w:highlight w:val="yellow"/>
        </w:rPr>
        <w:t>Recurrence-free survival (RFS)</w:t>
      </w:r>
      <w:r w:rsidRPr="00A20B97">
        <w:rPr>
          <w:b/>
          <w:bCs/>
          <w:highlight w:val="yellow"/>
        </w:rPr>
        <w:t xml:space="preserve"> </w:t>
      </w:r>
      <w:r w:rsidRPr="00A20B97">
        <w:rPr>
          <w:highlight w:val="yellow"/>
        </w:rPr>
        <w:t xml:space="preserve">and </w:t>
      </w:r>
      <w:r w:rsidRPr="00A20B97">
        <w:rPr>
          <w:rStyle w:val="Strong"/>
          <w:rFonts w:eastAsiaTheme="majorEastAsia"/>
          <w:b w:val="0"/>
          <w:bCs w:val="0"/>
          <w:highlight w:val="yellow"/>
        </w:rPr>
        <w:t>Overall survival (OS)</w:t>
      </w:r>
      <w:r>
        <w:rPr>
          <w:rStyle w:val="Strong"/>
          <w:rFonts w:eastAsiaTheme="majorEastAsia"/>
          <w:b w:val="0"/>
          <w:bCs w:val="0"/>
        </w:rPr>
        <w:t>.</w:t>
      </w:r>
    </w:p>
    <w:p w14:paraId="3F30D76A" w14:textId="77777777" w:rsidR="00A20B97" w:rsidRPr="00A20B97" w:rsidRDefault="00A20B97" w:rsidP="00A20B97">
      <w:pPr>
        <w:pStyle w:val="NormalWeb"/>
        <w:rPr>
          <w:b/>
          <w:bCs/>
        </w:rPr>
      </w:pPr>
    </w:p>
    <w:p w14:paraId="4E83379F" w14:textId="52275F80" w:rsidR="00A20B97" w:rsidRPr="00A20B97" w:rsidRDefault="00A20B97" w:rsidP="00A20B97">
      <w:pPr>
        <w:pStyle w:val="NormalWeb"/>
        <w:rPr>
          <w:b/>
          <w:bCs/>
        </w:rPr>
      </w:pPr>
      <w:r w:rsidRPr="00A20B97">
        <w:rPr>
          <w:b/>
          <w:bCs/>
        </w:rPr>
        <w:t xml:space="preserve">Abbreviations Table </w:t>
      </w:r>
    </w:p>
    <w:tbl>
      <w:tblPr>
        <w:tblStyle w:val="TableGrid"/>
        <w:tblW w:w="8127" w:type="dxa"/>
        <w:tblLook w:val="04A0" w:firstRow="1" w:lastRow="0" w:firstColumn="1" w:lastColumn="0" w:noHBand="0" w:noVBand="1"/>
      </w:tblPr>
      <w:tblGrid>
        <w:gridCol w:w="2541"/>
        <w:gridCol w:w="5586"/>
      </w:tblGrid>
      <w:tr w:rsidR="00A20B97" w:rsidRPr="00A20B97" w14:paraId="6745240D" w14:textId="77777777" w:rsidTr="00A20B97">
        <w:trPr>
          <w:trHeight w:val="261"/>
        </w:trPr>
        <w:tc>
          <w:tcPr>
            <w:tcW w:w="0" w:type="auto"/>
            <w:hideMark/>
          </w:tcPr>
          <w:p w14:paraId="3CFB5F37" w14:textId="77777777" w:rsidR="00A20B97" w:rsidRPr="00A20B97" w:rsidRDefault="00A20B97" w:rsidP="00A20B97">
            <w:pPr>
              <w:jc w:val="center"/>
              <w:rPr>
                <w:rFonts w:ascii="Times New Roman" w:eastAsia="Times New Roman" w:hAnsi="Times New Roman" w:cs="Times New Roman"/>
                <w:b/>
                <w:bCs/>
              </w:rPr>
            </w:pPr>
            <w:r w:rsidRPr="00A20B97">
              <w:rPr>
                <w:rFonts w:ascii="Times New Roman" w:eastAsia="Times New Roman" w:hAnsi="Times New Roman" w:cs="Times New Roman"/>
                <w:b/>
                <w:bCs/>
              </w:rPr>
              <w:t>Abbreviation</w:t>
            </w:r>
          </w:p>
        </w:tc>
        <w:tc>
          <w:tcPr>
            <w:tcW w:w="0" w:type="auto"/>
            <w:hideMark/>
          </w:tcPr>
          <w:p w14:paraId="12808398" w14:textId="77777777" w:rsidR="00A20B97" w:rsidRPr="00A20B97" w:rsidRDefault="00A20B97" w:rsidP="00A20B97">
            <w:pPr>
              <w:jc w:val="center"/>
              <w:rPr>
                <w:rFonts w:ascii="Times New Roman" w:eastAsia="Times New Roman" w:hAnsi="Times New Roman" w:cs="Times New Roman"/>
                <w:b/>
                <w:bCs/>
              </w:rPr>
            </w:pPr>
            <w:r w:rsidRPr="00A20B97">
              <w:rPr>
                <w:rFonts w:ascii="Times New Roman" w:eastAsia="Times New Roman" w:hAnsi="Times New Roman" w:cs="Times New Roman"/>
                <w:b/>
                <w:bCs/>
              </w:rPr>
              <w:t>Full Term</w:t>
            </w:r>
          </w:p>
        </w:tc>
      </w:tr>
      <w:tr w:rsidR="00A20B97" w:rsidRPr="00A20B97" w14:paraId="661865C1" w14:textId="77777777" w:rsidTr="00A20B97">
        <w:trPr>
          <w:trHeight w:val="246"/>
        </w:trPr>
        <w:tc>
          <w:tcPr>
            <w:tcW w:w="0" w:type="auto"/>
            <w:hideMark/>
          </w:tcPr>
          <w:p w14:paraId="6284EBA6" w14:textId="77777777" w:rsidR="00A20B97" w:rsidRPr="00A20B97" w:rsidRDefault="00A20B97" w:rsidP="00A20B97">
            <w:pPr>
              <w:rPr>
                <w:rFonts w:ascii="Times New Roman" w:eastAsia="Times New Roman" w:hAnsi="Times New Roman" w:cs="Times New Roman"/>
              </w:rPr>
            </w:pPr>
            <w:r w:rsidRPr="00A20B97">
              <w:rPr>
                <w:rFonts w:ascii="Times New Roman" w:eastAsia="Times New Roman" w:hAnsi="Times New Roman" w:cs="Times New Roman"/>
                <w:b/>
                <w:bCs/>
              </w:rPr>
              <w:t>HCC</w:t>
            </w:r>
          </w:p>
        </w:tc>
        <w:tc>
          <w:tcPr>
            <w:tcW w:w="0" w:type="auto"/>
            <w:hideMark/>
          </w:tcPr>
          <w:p w14:paraId="205132D9" w14:textId="77777777" w:rsidR="00A20B97" w:rsidRPr="00A20B97" w:rsidRDefault="00A20B97" w:rsidP="00A20B97">
            <w:pPr>
              <w:rPr>
                <w:rFonts w:ascii="Times New Roman" w:eastAsia="Times New Roman" w:hAnsi="Times New Roman" w:cs="Times New Roman"/>
              </w:rPr>
            </w:pPr>
            <w:r w:rsidRPr="00A20B97">
              <w:rPr>
                <w:rFonts w:ascii="Times New Roman" w:eastAsia="Times New Roman" w:hAnsi="Times New Roman" w:cs="Times New Roman"/>
              </w:rPr>
              <w:t>Hepatocellular Carcinoma</w:t>
            </w:r>
          </w:p>
        </w:tc>
      </w:tr>
      <w:tr w:rsidR="00A20B97" w:rsidRPr="00A20B97" w14:paraId="34484879" w14:textId="77777777" w:rsidTr="00A20B97">
        <w:trPr>
          <w:trHeight w:val="261"/>
        </w:trPr>
        <w:tc>
          <w:tcPr>
            <w:tcW w:w="0" w:type="auto"/>
            <w:hideMark/>
          </w:tcPr>
          <w:p w14:paraId="51047C6C" w14:textId="77777777" w:rsidR="00A20B97" w:rsidRPr="00A20B97" w:rsidRDefault="00A20B97" w:rsidP="00A20B97">
            <w:pPr>
              <w:rPr>
                <w:rFonts w:ascii="Times New Roman" w:eastAsia="Times New Roman" w:hAnsi="Times New Roman" w:cs="Times New Roman"/>
              </w:rPr>
            </w:pPr>
            <w:r w:rsidRPr="00A20B97">
              <w:rPr>
                <w:rFonts w:ascii="Times New Roman" w:eastAsia="Times New Roman" w:hAnsi="Times New Roman" w:cs="Times New Roman"/>
                <w:b/>
                <w:bCs/>
              </w:rPr>
              <w:t>ICIs</w:t>
            </w:r>
          </w:p>
        </w:tc>
        <w:tc>
          <w:tcPr>
            <w:tcW w:w="0" w:type="auto"/>
            <w:hideMark/>
          </w:tcPr>
          <w:p w14:paraId="342616DF" w14:textId="77777777" w:rsidR="00A20B97" w:rsidRPr="00A20B97" w:rsidRDefault="00A20B97" w:rsidP="00A20B97">
            <w:pPr>
              <w:rPr>
                <w:rFonts w:ascii="Times New Roman" w:eastAsia="Times New Roman" w:hAnsi="Times New Roman" w:cs="Times New Roman"/>
              </w:rPr>
            </w:pPr>
            <w:r w:rsidRPr="00A20B97">
              <w:rPr>
                <w:rFonts w:ascii="Times New Roman" w:eastAsia="Times New Roman" w:hAnsi="Times New Roman" w:cs="Times New Roman"/>
              </w:rPr>
              <w:t>Immune Checkpoint Inhibitors</w:t>
            </w:r>
          </w:p>
        </w:tc>
      </w:tr>
      <w:tr w:rsidR="00A20B97" w:rsidRPr="00A20B97" w14:paraId="18DA5911" w14:textId="77777777" w:rsidTr="00A20B97">
        <w:trPr>
          <w:trHeight w:val="246"/>
        </w:trPr>
        <w:tc>
          <w:tcPr>
            <w:tcW w:w="0" w:type="auto"/>
            <w:hideMark/>
          </w:tcPr>
          <w:p w14:paraId="54110D2B" w14:textId="77777777" w:rsidR="00A20B97" w:rsidRPr="00A20B97" w:rsidRDefault="00A20B97" w:rsidP="00A20B97">
            <w:pPr>
              <w:rPr>
                <w:rFonts w:ascii="Times New Roman" w:eastAsia="Times New Roman" w:hAnsi="Times New Roman" w:cs="Times New Roman"/>
              </w:rPr>
            </w:pPr>
            <w:r w:rsidRPr="00A20B97">
              <w:rPr>
                <w:rFonts w:ascii="Times New Roman" w:eastAsia="Times New Roman" w:hAnsi="Times New Roman" w:cs="Times New Roman"/>
                <w:b/>
                <w:bCs/>
              </w:rPr>
              <w:t>RFS</w:t>
            </w:r>
          </w:p>
        </w:tc>
        <w:tc>
          <w:tcPr>
            <w:tcW w:w="0" w:type="auto"/>
            <w:hideMark/>
          </w:tcPr>
          <w:p w14:paraId="2D3301D7" w14:textId="77777777" w:rsidR="00A20B97" w:rsidRPr="00A20B97" w:rsidRDefault="00A20B97" w:rsidP="00A20B97">
            <w:pPr>
              <w:rPr>
                <w:rFonts w:ascii="Times New Roman" w:eastAsia="Times New Roman" w:hAnsi="Times New Roman" w:cs="Times New Roman"/>
              </w:rPr>
            </w:pPr>
            <w:r w:rsidRPr="00A20B97">
              <w:rPr>
                <w:rFonts w:ascii="Times New Roman" w:eastAsia="Times New Roman" w:hAnsi="Times New Roman" w:cs="Times New Roman"/>
              </w:rPr>
              <w:t>Recurrence-Free Survival</w:t>
            </w:r>
          </w:p>
        </w:tc>
      </w:tr>
      <w:tr w:rsidR="00A20B97" w:rsidRPr="00A20B97" w14:paraId="7F88FB1E" w14:textId="77777777" w:rsidTr="00A20B97">
        <w:trPr>
          <w:trHeight w:val="261"/>
        </w:trPr>
        <w:tc>
          <w:tcPr>
            <w:tcW w:w="0" w:type="auto"/>
            <w:hideMark/>
          </w:tcPr>
          <w:p w14:paraId="0B97B15A" w14:textId="77777777" w:rsidR="00A20B97" w:rsidRPr="00A20B97" w:rsidRDefault="00A20B97" w:rsidP="00A20B97">
            <w:pPr>
              <w:rPr>
                <w:rFonts w:ascii="Times New Roman" w:eastAsia="Times New Roman" w:hAnsi="Times New Roman" w:cs="Times New Roman"/>
              </w:rPr>
            </w:pPr>
            <w:r w:rsidRPr="00A20B97">
              <w:rPr>
                <w:rFonts w:ascii="Times New Roman" w:eastAsia="Times New Roman" w:hAnsi="Times New Roman" w:cs="Times New Roman"/>
                <w:b/>
                <w:bCs/>
              </w:rPr>
              <w:t>OS</w:t>
            </w:r>
          </w:p>
        </w:tc>
        <w:tc>
          <w:tcPr>
            <w:tcW w:w="0" w:type="auto"/>
            <w:hideMark/>
          </w:tcPr>
          <w:p w14:paraId="557B8ACF" w14:textId="77777777" w:rsidR="00A20B97" w:rsidRPr="00A20B97" w:rsidRDefault="00A20B97" w:rsidP="00A20B97">
            <w:pPr>
              <w:rPr>
                <w:rFonts w:ascii="Times New Roman" w:eastAsia="Times New Roman" w:hAnsi="Times New Roman" w:cs="Times New Roman"/>
              </w:rPr>
            </w:pPr>
            <w:r w:rsidRPr="00A20B97">
              <w:rPr>
                <w:rFonts w:ascii="Times New Roman" w:eastAsia="Times New Roman" w:hAnsi="Times New Roman" w:cs="Times New Roman"/>
              </w:rPr>
              <w:t>Overall Survival</w:t>
            </w:r>
          </w:p>
        </w:tc>
      </w:tr>
      <w:tr w:rsidR="00A20B97" w:rsidRPr="00A20B97" w14:paraId="2B5E30A6" w14:textId="77777777" w:rsidTr="00A20B97">
        <w:trPr>
          <w:trHeight w:val="246"/>
        </w:trPr>
        <w:tc>
          <w:tcPr>
            <w:tcW w:w="0" w:type="auto"/>
            <w:hideMark/>
          </w:tcPr>
          <w:p w14:paraId="45169885" w14:textId="77777777" w:rsidR="00A20B97" w:rsidRPr="00A20B97" w:rsidRDefault="00A20B97" w:rsidP="00A20B97">
            <w:pPr>
              <w:rPr>
                <w:rFonts w:ascii="Times New Roman" w:eastAsia="Times New Roman" w:hAnsi="Times New Roman" w:cs="Times New Roman"/>
              </w:rPr>
            </w:pPr>
            <w:r w:rsidRPr="00A20B97">
              <w:rPr>
                <w:rFonts w:ascii="Times New Roman" w:eastAsia="Times New Roman" w:hAnsi="Times New Roman" w:cs="Times New Roman"/>
                <w:b/>
                <w:bCs/>
              </w:rPr>
              <w:t>AEs</w:t>
            </w:r>
          </w:p>
        </w:tc>
        <w:tc>
          <w:tcPr>
            <w:tcW w:w="0" w:type="auto"/>
            <w:hideMark/>
          </w:tcPr>
          <w:p w14:paraId="0EE61271" w14:textId="77777777" w:rsidR="00A20B97" w:rsidRPr="00A20B97" w:rsidRDefault="00A20B97" w:rsidP="00A20B97">
            <w:pPr>
              <w:rPr>
                <w:rFonts w:ascii="Times New Roman" w:eastAsia="Times New Roman" w:hAnsi="Times New Roman" w:cs="Times New Roman"/>
              </w:rPr>
            </w:pPr>
            <w:r w:rsidRPr="00A20B97">
              <w:rPr>
                <w:rFonts w:ascii="Times New Roman" w:eastAsia="Times New Roman" w:hAnsi="Times New Roman" w:cs="Times New Roman"/>
              </w:rPr>
              <w:t>Adverse Events</w:t>
            </w:r>
          </w:p>
        </w:tc>
      </w:tr>
      <w:tr w:rsidR="00A20B97" w:rsidRPr="00A20B97" w14:paraId="7E77CD63" w14:textId="77777777" w:rsidTr="00A20B97">
        <w:trPr>
          <w:trHeight w:val="261"/>
        </w:trPr>
        <w:tc>
          <w:tcPr>
            <w:tcW w:w="0" w:type="auto"/>
            <w:hideMark/>
          </w:tcPr>
          <w:p w14:paraId="577D219A" w14:textId="77777777" w:rsidR="00A20B97" w:rsidRPr="00A20B97" w:rsidRDefault="00A20B97" w:rsidP="00A20B97">
            <w:pPr>
              <w:rPr>
                <w:rFonts w:ascii="Times New Roman" w:eastAsia="Times New Roman" w:hAnsi="Times New Roman" w:cs="Times New Roman"/>
              </w:rPr>
            </w:pPr>
            <w:r w:rsidRPr="00A20B97">
              <w:rPr>
                <w:rFonts w:ascii="Times New Roman" w:eastAsia="Times New Roman" w:hAnsi="Times New Roman" w:cs="Times New Roman"/>
                <w:b/>
                <w:bCs/>
              </w:rPr>
              <w:t>RCTs</w:t>
            </w:r>
          </w:p>
        </w:tc>
        <w:tc>
          <w:tcPr>
            <w:tcW w:w="0" w:type="auto"/>
            <w:hideMark/>
          </w:tcPr>
          <w:p w14:paraId="767EEDDA" w14:textId="77777777" w:rsidR="00A20B97" w:rsidRPr="00A20B97" w:rsidRDefault="00A20B97" w:rsidP="00A20B97">
            <w:pPr>
              <w:rPr>
                <w:rFonts w:ascii="Times New Roman" w:eastAsia="Times New Roman" w:hAnsi="Times New Roman" w:cs="Times New Roman"/>
              </w:rPr>
            </w:pPr>
            <w:r w:rsidRPr="00A20B97">
              <w:rPr>
                <w:rFonts w:ascii="Times New Roman" w:eastAsia="Times New Roman" w:hAnsi="Times New Roman" w:cs="Times New Roman"/>
              </w:rPr>
              <w:t>Randomized Controlled Trials</w:t>
            </w:r>
          </w:p>
        </w:tc>
      </w:tr>
      <w:tr w:rsidR="00A20B97" w:rsidRPr="00A20B97" w14:paraId="0214A3B1" w14:textId="77777777" w:rsidTr="00A20B97">
        <w:trPr>
          <w:trHeight w:val="246"/>
        </w:trPr>
        <w:tc>
          <w:tcPr>
            <w:tcW w:w="0" w:type="auto"/>
            <w:hideMark/>
          </w:tcPr>
          <w:p w14:paraId="550F3F48" w14:textId="77777777" w:rsidR="00A20B97" w:rsidRPr="00A20B97" w:rsidRDefault="00A20B97" w:rsidP="00A20B97">
            <w:pPr>
              <w:rPr>
                <w:rFonts w:ascii="Times New Roman" w:eastAsia="Times New Roman" w:hAnsi="Times New Roman" w:cs="Times New Roman"/>
              </w:rPr>
            </w:pPr>
            <w:r w:rsidRPr="00A20B97">
              <w:rPr>
                <w:rFonts w:ascii="Times New Roman" w:eastAsia="Times New Roman" w:hAnsi="Times New Roman" w:cs="Times New Roman"/>
                <w:b/>
                <w:bCs/>
              </w:rPr>
              <w:t>HR</w:t>
            </w:r>
          </w:p>
        </w:tc>
        <w:tc>
          <w:tcPr>
            <w:tcW w:w="0" w:type="auto"/>
            <w:hideMark/>
          </w:tcPr>
          <w:p w14:paraId="44FB91C9" w14:textId="77777777" w:rsidR="00A20B97" w:rsidRPr="00A20B97" w:rsidRDefault="00A20B97" w:rsidP="00A20B97">
            <w:pPr>
              <w:rPr>
                <w:rFonts w:ascii="Times New Roman" w:eastAsia="Times New Roman" w:hAnsi="Times New Roman" w:cs="Times New Roman"/>
              </w:rPr>
            </w:pPr>
            <w:r w:rsidRPr="00A20B97">
              <w:rPr>
                <w:rFonts w:ascii="Times New Roman" w:eastAsia="Times New Roman" w:hAnsi="Times New Roman" w:cs="Times New Roman"/>
              </w:rPr>
              <w:t>Hazard Ratio</w:t>
            </w:r>
          </w:p>
        </w:tc>
      </w:tr>
      <w:tr w:rsidR="00A20B97" w:rsidRPr="00A20B97" w14:paraId="26D75A19" w14:textId="77777777" w:rsidTr="00A20B97">
        <w:trPr>
          <w:trHeight w:val="261"/>
        </w:trPr>
        <w:tc>
          <w:tcPr>
            <w:tcW w:w="0" w:type="auto"/>
            <w:hideMark/>
          </w:tcPr>
          <w:p w14:paraId="6CD85E57" w14:textId="77777777" w:rsidR="00A20B97" w:rsidRPr="00A20B97" w:rsidRDefault="00A20B97" w:rsidP="00A20B97">
            <w:pPr>
              <w:rPr>
                <w:rFonts w:ascii="Times New Roman" w:eastAsia="Times New Roman" w:hAnsi="Times New Roman" w:cs="Times New Roman"/>
              </w:rPr>
            </w:pPr>
            <w:r w:rsidRPr="00A20B97">
              <w:rPr>
                <w:rFonts w:ascii="Times New Roman" w:eastAsia="Times New Roman" w:hAnsi="Times New Roman" w:cs="Times New Roman"/>
                <w:b/>
                <w:bCs/>
              </w:rPr>
              <w:t>CI</w:t>
            </w:r>
          </w:p>
        </w:tc>
        <w:tc>
          <w:tcPr>
            <w:tcW w:w="0" w:type="auto"/>
            <w:hideMark/>
          </w:tcPr>
          <w:p w14:paraId="43A833C8" w14:textId="77777777" w:rsidR="00A20B97" w:rsidRPr="00A20B97" w:rsidRDefault="00A20B97" w:rsidP="00A20B97">
            <w:pPr>
              <w:rPr>
                <w:rFonts w:ascii="Times New Roman" w:eastAsia="Times New Roman" w:hAnsi="Times New Roman" w:cs="Times New Roman"/>
              </w:rPr>
            </w:pPr>
            <w:r w:rsidRPr="00A20B97">
              <w:rPr>
                <w:rFonts w:ascii="Times New Roman" w:eastAsia="Times New Roman" w:hAnsi="Times New Roman" w:cs="Times New Roman"/>
              </w:rPr>
              <w:t>Confidence Interval</w:t>
            </w:r>
          </w:p>
        </w:tc>
      </w:tr>
      <w:tr w:rsidR="00A20B97" w:rsidRPr="00A20B97" w14:paraId="285CB4B4" w14:textId="77777777" w:rsidTr="00A20B97">
        <w:trPr>
          <w:trHeight w:val="246"/>
        </w:trPr>
        <w:tc>
          <w:tcPr>
            <w:tcW w:w="0" w:type="auto"/>
            <w:hideMark/>
          </w:tcPr>
          <w:p w14:paraId="2EA82DC6" w14:textId="77777777" w:rsidR="00A20B97" w:rsidRPr="00A20B97" w:rsidRDefault="00A20B97" w:rsidP="00A20B97">
            <w:pPr>
              <w:rPr>
                <w:rFonts w:ascii="Times New Roman" w:eastAsia="Times New Roman" w:hAnsi="Times New Roman" w:cs="Times New Roman"/>
              </w:rPr>
            </w:pPr>
            <w:proofErr w:type="gramStart"/>
            <w:r w:rsidRPr="00A20B97">
              <w:rPr>
                <w:rFonts w:ascii="Times New Roman" w:eastAsia="Times New Roman" w:hAnsi="Times New Roman" w:cs="Times New Roman"/>
                <w:b/>
                <w:bCs/>
              </w:rPr>
              <w:t>PD</w:t>
            </w:r>
            <w:proofErr w:type="gramEnd"/>
            <w:r w:rsidRPr="00A20B97">
              <w:rPr>
                <w:rFonts w:ascii="Times New Roman" w:eastAsia="Times New Roman" w:hAnsi="Times New Roman" w:cs="Times New Roman"/>
                <w:b/>
                <w:bCs/>
              </w:rPr>
              <w:t>-1</w:t>
            </w:r>
          </w:p>
        </w:tc>
        <w:tc>
          <w:tcPr>
            <w:tcW w:w="0" w:type="auto"/>
            <w:hideMark/>
          </w:tcPr>
          <w:p w14:paraId="04F0E3B8" w14:textId="77777777" w:rsidR="00A20B97" w:rsidRPr="00A20B97" w:rsidRDefault="00A20B97" w:rsidP="00A20B97">
            <w:pPr>
              <w:rPr>
                <w:rFonts w:ascii="Times New Roman" w:eastAsia="Times New Roman" w:hAnsi="Times New Roman" w:cs="Times New Roman"/>
              </w:rPr>
            </w:pPr>
            <w:r w:rsidRPr="00A20B97">
              <w:rPr>
                <w:rFonts w:ascii="Times New Roman" w:eastAsia="Times New Roman" w:hAnsi="Times New Roman" w:cs="Times New Roman"/>
              </w:rPr>
              <w:t>Programmed Cell Death-1</w:t>
            </w:r>
          </w:p>
        </w:tc>
      </w:tr>
      <w:tr w:rsidR="00A20B97" w:rsidRPr="00A20B97" w14:paraId="7B32F6E1" w14:textId="77777777" w:rsidTr="00A20B97">
        <w:trPr>
          <w:trHeight w:val="261"/>
        </w:trPr>
        <w:tc>
          <w:tcPr>
            <w:tcW w:w="0" w:type="auto"/>
            <w:hideMark/>
          </w:tcPr>
          <w:p w14:paraId="078D3356" w14:textId="77777777" w:rsidR="00A20B97" w:rsidRPr="00A20B97" w:rsidRDefault="00A20B97" w:rsidP="00A20B97">
            <w:pPr>
              <w:rPr>
                <w:rFonts w:ascii="Times New Roman" w:eastAsia="Times New Roman" w:hAnsi="Times New Roman" w:cs="Times New Roman"/>
              </w:rPr>
            </w:pPr>
            <w:proofErr w:type="gramStart"/>
            <w:r w:rsidRPr="00A20B97">
              <w:rPr>
                <w:rFonts w:ascii="Times New Roman" w:eastAsia="Times New Roman" w:hAnsi="Times New Roman" w:cs="Times New Roman"/>
                <w:b/>
                <w:bCs/>
              </w:rPr>
              <w:t>PD</w:t>
            </w:r>
            <w:proofErr w:type="gramEnd"/>
            <w:r w:rsidRPr="00A20B97">
              <w:rPr>
                <w:rFonts w:ascii="Times New Roman" w:eastAsia="Times New Roman" w:hAnsi="Times New Roman" w:cs="Times New Roman"/>
                <w:b/>
                <w:bCs/>
              </w:rPr>
              <w:t>-L1</w:t>
            </w:r>
          </w:p>
        </w:tc>
        <w:tc>
          <w:tcPr>
            <w:tcW w:w="0" w:type="auto"/>
            <w:hideMark/>
          </w:tcPr>
          <w:p w14:paraId="4EF72AD4" w14:textId="77777777" w:rsidR="00A20B97" w:rsidRPr="00A20B97" w:rsidRDefault="00A20B97" w:rsidP="00A20B97">
            <w:pPr>
              <w:rPr>
                <w:rFonts w:ascii="Times New Roman" w:eastAsia="Times New Roman" w:hAnsi="Times New Roman" w:cs="Times New Roman"/>
              </w:rPr>
            </w:pPr>
            <w:r w:rsidRPr="00A20B97">
              <w:rPr>
                <w:rFonts w:ascii="Times New Roman" w:eastAsia="Times New Roman" w:hAnsi="Times New Roman" w:cs="Times New Roman"/>
              </w:rPr>
              <w:t>Programmed Cell Death Ligand-1</w:t>
            </w:r>
          </w:p>
        </w:tc>
      </w:tr>
    </w:tbl>
    <w:p w14:paraId="17FDEAE5" w14:textId="4AFFC6A8" w:rsidR="00A20B97" w:rsidRPr="00A20B97" w:rsidRDefault="00A20B97" w:rsidP="00A20B97">
      <w:pPr>
        <w:pStyle w:val="NormalWeb"/>
        <w:spacing w:line="360" w:lineRule="auto"/>
        <w:jc w:val="both"/>
        <w:rPr>
          <w:b/>
          <w:bCs/>
        </w:rPr>
      </w:pPr>
    </w:p>
    <w:p w14:paraId="193527B4" w14:textId="77777777" w:rsidR="00A20B97" w:rsidRDefault="00A20B97" w:rsidP="00985109">
      <w:pPr>
        <w:spacing w:before="100" w:beforeAutospacing="1" w:after="100" w:afterAutospacing="1" w:line="240" w:lineRule="auto"/>
        <w:jc w:val="center"/>
        <w:outlineLvl w:val="2"/>
        <w:rPr>
          <w:rFonts w:ascii="Times New Roman" w:hAnsi="Times New Roman" w:cs="Times New Roman"/>
          <w:b/>
          <w:bCs/>
        </w:rPr>
      </w:pPr>
    </w:p>
    <w:p w14:paraId="4D07AD89" w14:textId="77777777" w:rsidR="00985109" w:rsidRPr="00B25F7A" w:rsidRDefault="00985109" w:rsidP="0098510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25F7A">
        <w:rPr>
          <w:rFonts w:ascii="Times New Roman" w:eastAsia="Times New Roman" w:hAnsi="Times New Roman" w:cs="Times New Roman"/>
          <w:b/>
          <w:bCs/>
          <w:kern w:val="0"/>
          <w:sz w:val="27"/>
          <w:szCs w:val="27"/>
          <w14:ligatures w14:val="none"/>
        </w:rPr>
        <w:t>Introduction</w:t>
      </w:r>
    </w:p>
    <w:p w14:paraId="3A993F54" w14:textId="77777777" w:rsidR="00985109" w:rsidRPr="00B25F7A" w:rsidRDefault="00985109" w:rsidP="00985109">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B25F7A">
        <w:rPr>
          <w:rFonts w:ascii="Times New Roman" w:eastAsia="Times New Roman" w:hAnsi="Times New Roman" w:cs="Times New Roman"/>
          <w:b/>
          <w:bCs/>
          <w:kern w:val="0"/>
          <w14:ligatures w14:val="none"/>
        </w:rPr>
        <w:t>Study Background</w:t>
      </w:r>
    </w:p>
    <w:p w14:paraId="241F5C33" w14:textId="77777777" w:rsidR="00985109" w:rsidRPr="00B25F7A"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B25F7A">
        <w:rPr>
          <w:rFonts w:ascii="Times New Roman" w:eastAsia="Times New Roman" w:hAnsi="Times New Roman" w:cs="Times New Roman"/>
          <w:kern w:val="0"/>
          <w14:ligatures w14:val="none"/>
        </w:rPr>
        <w:t xml:space="preserve">Hepatocellular carcinoma (HCC) is the most prevalent form of primary liver cancer and ranks as one of the leading causes of cancer-related mortality worldwide, with an estimated 800,000 new cases annually </w:t>
      </w:r>
      <w:r w:rsidRPr="00CC27A2">
        <w:rPr>
          <w:rFonts w:ascii="Times New Roman" w:eastAsia="Times New Roman" w:hAnsi="Times New Roman" w:cs="Times New Roman"/>
          <w:kern w:val="0"/>
          <w14:ligatures w14:val="none"/>
        </w:rPr>
        <w:t>(1).</w:t>
      </w:r>
      <w:r w:rsidRPr="00B25F7A">
        <w:rPr>
          <w:rFonts w:ascii="Times New Roman" w:eastAsia="Times New Roman" w:hAnsi="Times New Roman" w:cs="Times New Roman"/>
          <w:kern w:val="0"/>
          <w14:ligatures w14:val="none"/>
        </w:rPr>
        <w:t xml:space="preserve"> The prognosis for patients with HCC remains poor due to the high incidence of recurrence, even following potentially curative treatments such as surgical resection and liver transplantation. Despite these curative options, recurrence rates range from 50% to 70%, and survival outcomes remain suboptimal for many </w:t>
      </w:r>
      <w:r w:rsidRPr="00CC27A2">
        <w:rPr>
          <w:rFonts w:ascii="Times New Roman" w:eastAsia="Times New Roman" w:hAnsi="Times New Roman" w:cs="Times New Roman"/>
          <w:kern w:val="0"/>
          <w14:ligatures w14:val="none"/>
        </w:rPr>
        <w:t>patients (2).</w:t>
      </w:r>
    </w:p>
    <w:p w14:paraId="6220CC78" w14:textId="77777777" w:rsidR="00985109" w:rsidRPr="00B25F7A"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B25F7A">
        <w:rPr>
          <w:rFonts w:ascii="Times New Roman" w:eastAsia="Times New Roman" w:hAnsi="Times New Roman" w:cs="Times New Roman"/>
          <w:kern w:val="0"/>
          <w14:ligatures w14:val="none"/>
        </w:rPr>
        <w:lastRenderedPageBreak/>
        <w:t xml:space="preserve">In recent years, the field of </w:t>
      </w:r>
      <w:r w:rsidRPr="009D5307">
        <w:rPr>
          <w:rFonts w:ascii="Times New Roman" w:eastAsia="Times New Roman" w:hAnsi="Times New Roman" w:cs="Times New Roman"/>
          <w:kern w:val="0"/>
          <w14:ligatures w14:val="none"/>
        </w:rPr>
        <w:t>immuno-oncology</w:t>
      </w:r>
      <w:r w:rsidRPr="00B25F7A">
        <w:rPr>
          <w:rFonts w:ascii="Times New Roman" w:eastAsia="Times New Roman" w:hAnsi="Times New Roman" w:cs="Times New Roman"/>
          <w:kern w:val="0"/>
          <w14:ligatures w14:val="none"/>
        </w:rPr>
        <w:t xml:space="preserve"> has seen significant advancements, with immune checkpoint inhibitors (ICIs) emerging as a promising therapeutic approach in advanced HCC. These therapies, such as </w:t>
      </w:r>
      <w:r w:rsidRPr="009D5307">
        <w:rPr>
          <w:rFonts w:ascii="Times New Roman" w:eastAsia="Times New Roman" w:hAnsi="Times New Roman" w:cs="Times New Roman"/>
          <w:kern w:val="0"/>
          <w14:ligatures w14:val="none"/>
        </w:rPr>
        <w:t>nivolumab, pembrolizumab, atezolizumab</w:t>
      </w:r>
      <w:r w:rsidRPr="00B25F7A">
        <w:rPr>
          <w:rFonts w:ascii="Times New Roman" w:eastAsia="Times New Roman" w:hAnsi="Times New Roman" w:cs="Times New Roman"/>
          <w:kern w:val="0"/>
          <w14:ligatures w14:val="none"/>
        </w:rPr>
        <w:t xml:space="preserve">, and </w:t>
      </w:r>
      <w:r w:rsidRPr="009D5307">
        <w:rPr>
          <w:rFonts w:ascii="Times New Roman" w:eastAsia="Times New Roman" w:hAnsi="Times New Roman" w:cs="Times New Roman"/>
          <w:kern w:val="0"/>
          <w14:ligatures w14:val="none"/>
        </w:rPr>
        <w:t>sintilimab,</w:t>
      </w:r>
      <w:r w:rsidRPr="00B25F7A">
        <w:rPr>
          <w:rFonts w:ascii="Times New Roman" w:eastAsia="Times New Roman" w:hAnsi="Times New Roman" w:cs="Times New Roman"/>
          <w:kern w:val="0"/>
          <w14:ligatures w14:val="none"/>
        </w:rPr>
        <w:t xml:space="preserve"> work by blocking immune checkpoints, including PD-1/PD-L1 and CTLA-4, which enhance the body’s immune response to cancer cells. ICIs have shown promising results in metastatic or advanced HCC, with improved survival outcomes and durable </w:t>
      </w:r>
      <w:r w:rsidRPr="00CC27A2">
        <w:rPr>
          <w:rFonts w:ascii="Times New Roman" w:eastAsia="Times New Roman" w:hAnsi="Times New Roman" w:cs="Times New Roman"/>
          <w:kern w:val="0"/>
          <w14:ligatures w14:val="none"/>
        </w:rPr>
        <w:t>responses (3,4).</w:t>
      </w:r>
    </w:p>
    <w:p w14:paraId="1F50FD6C" w14:textId="7389F4B7" w:rsidR="00985109" w:rsidRPr="00B25F7A"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B25F7A">
        <w:rPr>
          <w:rFonts w:ascii="Times New Roman" w:eastAsia="Times New Roman" w:hAnsi="Times New Roman" w:cs="Times New Roman"/>
          <w:kern w:val="0"/>
          <w14:ligatures w14:val="none"/>
        </w:rPr>
        <w:t xml:space="preserve">However, the role of adjuvant ICIs in patients with HCC following curative treatment remains inadequately defined. While studies suggest that immunotherapy may reduce the risk of recurrence in other cancers, the potential benefits of ICIs in the adjuvant setting for HCC remain uncertain </w:t>
      </w:r>
      <w:r w:rsidRPr="00CC27A2">
        <w:rPr>
          <w:rFonts w:ascii="Times New Roman" w:eastAsia="Times New Roman" w:hAnsi="Times New Roman" w:cs="Times New Roman"/>
          <w:kern w:val="0"/>
          <w14:ligatures w14:val="none"/>
        </w:rPr>
        <w:t>(5</w:t>
      </w:r>
      <w:r w:rsidR="00CC27A2" w:rsidRPr="00CC27A2">
        <w:rPr>
          <w:rFonts w:ascii="Times New Roman" w:eastAsia="Times New Roman" w:hAnsi="Times New Roman" w:cs="Times New Roman"/>
          <w:kern w:val="0"/>
          <w14:ligatures w14:val="none"/>
        </w:rPr>
        <w:t>,6</w:t>
      </w:r>
      <w:r w:rsidRPr="00CC27A2">
        <w:rPr>
          <w:rFonts w:ascii="Times New Roman" w:eastAsia="Times New Roman" w:hAnsi="Times New Roman" w:cs="Times New Roman"/>
          <w:kern w:val="0"/>
          <w14:ligatures w14:val="none"/>
        </w:rPr>
        <w:t>).</w:t>
      </w:r>
      <w:r w:rsidRPr="00B25F7A">
        <w:rPr>
          <w:rFonts w:ascii="Times New Roman" w:eastAsia="Times New Roman" w:hAnsi="Times New Roman" w:cs="Times New Roman"/>
          <w:kern w:val="0"/>
          <w14:ligatures w14:val="none"/>
        </w:rPr>
        <w:t xml:space="preserve"> Given the high recurrence rates in patients who undergo curative resection, the exploration of </w:t>
      </w:r>
      <w:r w:rsidRPr="009D5307">
        <w:rPr>
          <w:rFonts w:ascii="Times New Roman" w:eastAsia="Times New Roman" w:hAnsi="Times New Roman" w:cs="Times New Roman"/>
          <w:kern w:val="0"/>
          <w14:ligatures w14:val="none"/>
        </w:rPr>
        <w:t>adjuvant immunotherapy</w:t>
      </w:r>
      <w:r w:rsidRPr="00B25F7A">
        <w:rPr>
          <w:rFonts w:ascii="Times New Roman" w:eastAsia="Times New Roman" w:hAnsi="Times New Roman" w:cs="Times New Roman"/>
          <w:kern w:val="0"/>
          <w14:ligatures w14:val="none"/>
        </w:rPr>
        <w:t xml:space="preserve"> is crucial to improving long-term outcomes and survival.</w:t>
      </w:r>
    </w:p>
    <w:p w14:paraId="0116EC4F" w14:textId="77777777" w:rsidR="00985109" w:rsidRPr="00B25F7A" w:rsidRDefault="00985109" w:rsidP="00985109">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B25F7A">
        <w:rPr>
          <w:rFonts w:ascii="Times New Roman" w:eastAsia="Times New Roman" w:hAnsi="Times New Roman" w:cs="Times New Roman"/>
          <w:b/>
          <w:bCs/>
          <w:kern w:val="0"/>
          <w14:ligatures w14:val="none"/>
        </w:rPr>
        <w:t>Objective</w:t>
      </w:r>
    </w:p>
    <w:p w14:paraId="67743E88" w14:textId="77777777" w:rsidR="00985109" w:rsidRPr="00B25F7A"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B25F7A">
        <w:rPr>
          <w:rFonts w:ascii="Times New Roman" w:eastAsia="Times New Roman" w:hAnsi="Times New Roman" w:cs="Times New Roman"/>
          <w:kern w:val="0"/>
          <w14:ligatures w14:val="none"/>
        </w:rPr>
        <w:t xml:space="preserve">This meta-analysis aims to evaluate the efficacy and safety of adjuvant ICIs in improving </w:t>
      </w:r>
      <w:r w:rsidRPr="009D5307">
        <w:rPr>
          <w:rFonts w:ascii="Times New Roman" w:eastAsia="Times New Roman" w:hAnsi="Times New Roman" w:cs="Times New Roman"/>
          <w:kern w:val="0"/>
          <w14:ligatures w14:val="none"/>
        </w:rPr>
        <w:t>overall survival (OS)</w:t>
      </w:r>
      <w:r w:rsidRPr="00B25F7A">
        <w:rPr>
          <w:rFonts w:ascii="Times New Roman" w:eastAsia="Times New Roman" w:hAnsi="Times New Roman" w:cs="Times New Roman"/>
          <w:kern w:val="0"/>
          <w14:ligatures w14:val="none"/>
        </w:rPr>
        <w:t xml:space="preserve"> and </w:t>
      </w:r>
      <w:r w:rsidRPr="009D5307">
        <w:rPr>
          <w:rFonts w:ascii="Times New Roman" w:eastAsia="Times New Roman" w:hAnsi="Times New Roman" w:cs="Times New Roman"/>
          <w:kern w:val="0"/>
          <w14:ligatures w14:val="none"/>
        </w:rPr>
        <w:t>recurrence-free survival (RFS)</w:t>
      </w:r>
      <w:r w:rsidRPr="00B25F7A">
        <w:rPr>
          <w:rFonts w:ascii="Times New Roman" w:eastAsia="Times New Roman" w:hAnsi="Times New Roman" w:cs="Times New Roman"/>
          <w:kern w:val="0"/>
          <w14:ligatures w14:val="none"/>
        </w:rPr>
        <w:t xml:space="preserve"> in patients with HCC after curative resection or ablation. The primary objective is to assess the impact of adjuvant ICIs on survival outcomes, while secondary outcomes include the incidence of </w:t>
      </w:r>
      <w:r w:rsidRPr="009D5307">
        <w:rPr>
          <w:rFonts w:ascii="Times New Roman" w:eastAsia="Times New Roman" w:hAnsi="Times New Roman" w:cs="Times New Roman"/>
          <w:kern w:val="0"/>
          <w14:ligatures w14:val="none"/>
        </w:rPr>
        <w:t>adverse events (AEs)</w:t>
      </w:r>
      <w:r w:rsidRPr="00B25F7A">
        <w:rPr>
          <w:rFonts w:ascii="Times New Roman" w:eastAsia="Times New Roman" w:hAnsi="Times New Roman" w:cs="Times New Roman"/>
          <w:kern w:val="0"/>
          <w14:ligatures w14:val="none"/>
        </w:rPr>
        <w:t xml:space="preserve"> and comparisons of treatment regimens. This study will provide essential evidence for the clinical utility of ICIs in the adjuvant setting for HCC.</w:t>
      </w:r>
    </w:p>
    <w:p w14:paraId="718FCB36" w14:textId="77777777" w:rsidR="00985109" w:rsidRPr="003E2027" w:rsidRDefault="00985109" w:rsidP="00985109">
      <w:pPr>
        <w:spacing w:after="0" w:line="240" w:lineRule="auto"/>
        <w:rPr>
          <w:rFonts w:ascii="Times New Roman" w:eastAsia="Times New Roman" w:hAnsi="Times New Roman" w:cs="Times New Roman"/>
          <w:kern w:val="0"/>
          <w14:ligatures w14:val="none"/>
        </w:rPr>
      </w:pPr>
    </w:p>
    <w:p w14:paraId="56AC9A02" w14:textId="23631489" w:rsidR="00985109" w:rsidRPr="00AC0206" w:rsidRDefault="00985109" w:rsidP="0098510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2027">
        <w:rPr>
          <w:rFonts w:ascii="Times New Roman" w:eastAsia="Times New Roman" w:hAnsi="Times New Roman" w:cs="Times New Roman"/>
          <w:b/>
          <w:bCs/>
          <w:kern w:val="0"/>
          <w:sz w:val="27"/>
          <w:szCs w:val="27"/>
          <w14:ligatures w14:val="none"/>
        </w:rPr>
        <w:t>2. Methods</w:t>
      </w:r>
    </w:p>
    <w:p w14:paraId="369D2E12" w14:textId="77777777" w:rsidR="00985109" w:rsidRPr="00CC27A2" w:rsidRDefault="00985109" w:rsidP="0098510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C27A2">
        <w:rPr>
          <w:rFonts w:ascii="Times New Roman" w:eastAsia="Times New Roman" w:hAnsi="Times New Roman" w:cs="Times New Roman"/>
          <w:b/>
          <w:bCs/>
          <w:kern w:val="0"/>
          <w14:ligatures w14:val="none"/>
        </w:rPr>
        <w:t>2.1 Literature Search Strategy</w:t>
      </w:r>
    </w:p>
    <w:p w14:paraId="46FD3F3B" w14:textId="77777777" w:rsidR="00985109" w:rsidRPr="00AC0206" w:rsidRDefault="00985109" w:rsidP="00985109">
      <w:pPr>
        <w:spacing w:before="100" w:beforeAutospacing="1" w:after="100" w:afterAutospacing="1" w:line="360" w:lineRule="auto"/>
        <w:jc w:val="both"/>
        <w:outlineLvl w:val="3"/>
        <w:rPr>
          <w:rFonts w:ascii="Times New Roman" w:eastAsia="Times New Roman" w:hAnsi="Times New Roman" w:cs="Times New Roman"/>
          <w:kern w:val="0"/>
          <w:highlight w:val="yellow"/>
          <w14:ligatures w14:val="none"/>
        </w:rPr>
      </w:pPr>
      <w:r w:rsidRPr="00AC0206">
        <w:t xml:space="preserve">We conducted a comprehensive literature search across several databases, including </w:t>
      </w:r>
      <w:r w:rsidRPr="00AC0206">
        <w:rPr>
          <w:rStyle w:val="Strong"/>
          <w:b w:val="0"/>
          <w:bCs w:val="0"/>
        </w:rPr>
        <w:t>PubMed</w:t>
      </w:r>
      <w:r w:rsidRPr="00AC0206">
        <w:rPr>
          <w:b/>
          <w:bCs/>
        </w:rPr>
        <w:t xml:space="preserve">, </w:t>
      </w:r>
      <w:r w:rsidRPr="00AC0206">
        <w:rPr>
          <w:rStyle w:val="Strong"/>
          <w:b w:val="0"/>
          <w:bCs w:val="0"/>
        </w:rPr>
        <w:t>Embase</w:t>
      </w:r>
      <w:r w:rsidRPr="00AC0206">
        <w:rPr>
          <w:b/>
          <w:bCs/>
        </w:rPr>
        <w:t xml:space="preserve">, </w:t>
      </w:r>
      <w:r w:rsidRPr="00AC0206">
        <w:rPr>
          <w:rStyle w:val="Strong"/>
          <w:b w:val="0"/>
          <w:bCs w:val="0"/>
        </w:rPr>
        <w:t>Cochrane CENTRAL</w:t>
      </w:r>
      <w:r w:rsidRPr="00AC0206">
        <w:rPr>
          <w:b/>
          <w:bCs/>
        </w:rPr>
        <w:t xml:space="preserve">, </w:t>
      </w:r>
      <w:r w:rsidRPr="00AC0206">
        <w:t>and</w:t>
      </w:r>
      <w:r>
        <w:t xml:space="preserve"> </w:t>
      </w:r>
      <w:r w:rsidRPr="00AC0206">
        <w:rPr>
          <w:rStyle w:val="Strong"/>
          <w:b w:val="0"/>
          <w:bCs w:val="0"/>
        </w:rPr>
        <w:t>ClinicalTrials.gov</w:t>
      </w:r>
      <w:r w:rsidRPr="00AC0206">
        <w:rPr>
          <w:b/>
          <w:bCs/>
        </w:rPr>
        <w:t>,</w:t>
      </w:r>
      <w:r w:rsidRPr="00AC0206">
        <w:t xml:space="preserve"> from January 2019 to December 2024. The search was based on the following key terms: for </w:t>
      </w:r>
      <w:r w:rsidRPr="00AC0206">
        <w:rPr>
          <w:rStyle w:val="Strong"/>
          <w:b w:val="0"/>
          <w:bCs w:val="0"/>
        </w:rPr>
        <w:t>population</w:t>
      </w:r>
      <w:r w:rsidRPr="00AC0206">
        <w:rPr>
          <w:b/>
          <w:bCs/>
        </w:rPr>
        <w:t>,</w:t>
      </w:r>
      <w:r w:rsidRPr="00AC0206">
        <w:t xml:space="preserve"> we used “hepatocellular carcinoma,” “liver cancer,” and “hepatoma”; </w:t>
      </w:r>
      <w:r w:rsidRPr="00AC0206">
        <w:lastRenderedPageBreak/>
        <w:t xml:space="preserve">for </w:t>
      </w:r>
      <w:r w:rsidRPr="00AC0206">
        <w:rPr>
          <w:rStyle w:val="Strong"/>
          <w:b w:val="0"/>
          <w:bCs w:val="0"/>
        </w:rPr>
        <w:t>intervention</w:t>
      </w:r>
      <w:r w:rsidRPr="00AC0206">
        <w:rPr>
          <w:b/>
          <w:bCs/>
        </w:rPr>
        <w:t>,</w:t>
      </w:r>
      <w:r w:rsidRPr="00AC0206">
        <w:t xml:space="preserve"> we searched for “adjuvant,” “immunotherapy,” “PD-1 inhibitors,” “nivolumab,” “pembrolizumab,” “atezolizumab,” and “sintilimab”; and for </w:t>
      </w:r>
      <w:r w:rsidRPr="00AC0206">
        <w:rPr>
          <w:rStyle w:val="Strong"/>
          <w:b w:val="0"/>
          <w:bCs w:val="0"/>
        </w:rPr>
        <w:t>study design</w:t>
      </w:r>
      <w:r w:rsidRPr="00AC0206">
        <w:t>, we applied the terms “randomized controlled trial” or “RCT.” Additionally, we manually reviewed the reference lists of eligible articles and relevant reviews to identify any additional studies. No language restrictions were applied to the search.</w:t>
      </w:r>
    </w:p>
    <w:p w14:paraId="7C6F9A57" w14:textId="77777777" w:rsidR="00985109" w:rsidRPr="00A20B97" w:rsidRDefault="00985109" w:rsidP="00985109">
      <w:pPr>
        <w:spacing w:before="100" w:beforeAutospacing="1" w:after="100" w:afterAutospacing="1" w:line="240" w:lineRule="auto"/>
        <w:outlineLvl w:val="3"/>
        <w:rPr>
          <w:rFonts w:ascii="Times New Roman" w:eastAsia="Times New Roman" w:hAnsi="Times New Roman" w:cs="Times New Roman"/>
          <w:b/>
          <w:bCs/>
          <w:kern w:val="0"/>
          <w:highlight w:val="yellow"/>
          <w14:ligatures w14:val="none"/>
        </w:rPr>
      </w:pPr>
      <w:r w:rsidRPr="00A20B97">
        <w:rPr>
          <w:rFonts w:ascii="Times New Roman" w:eastAsia="Times New Roman" w:hAnsi="Times New Roman" w:cs="Times New Roman"/>
          <w:b/>
          <w:bCs/>
          <w:kern w:val="0"/>
          <w:highlight w:val="yellow"/>
          <w14:ligatures w14:val="none"/>
        </w:rPr>
        <w:t>2.2 Study Selection Criteria</w:t>
      </w:r>
    </w:p>
    <w:p w14:paraId="6080E8A0" w14:textId="77777777" w:rsidR="00985109" w:rsidRDefault="00985109" w:rsidP="00985109">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A20B97">
        <w:rPr>
          <w:highlight w:val="yellow"/>
        </w:rPr>
        <w:t xml:space="preserve">We included studies that met the criteria in </w:t>
      </w:r>
      <w:r w:rsidRPr="00A20B97">
        <w:rPr>
          <w:rStyle w:val="Strong"/>
          <w:b w:val="0"/>
          <w:bCs w:val="0"/>
          <w:highlight w:val="yellow"/>
        </w:rPr>
        <w:t>Table 1</w:t>
      </w:r>
      <w:r w:rsidRPr="00A20B97">
        <w:rPr>
          <w:highlight w:val="yellow"/>
        </w:rPr>
        <w:t xml:space="preserve">. Eligible studies involved adult patients (≥18 years) with </w:t>
      </w:r>
      <w:r w:rsidRPr="00A20B97">
        <w:rPr>
          <w:rStyle w:val="Strong"/>
          <w:b w:val="0"/>
          <w:bCs w:val="0"/>
          <w:highlight w:val="yellow"/>
        </w:rPr>
        <w:t>hepatocellular carcinoma (HCC)</w:t>
      </w:r>
      <w:r w:rsidRPr="00A20B97">
        <w:rPr>
          <w:highlight w:val="yellow"/>
        </w:rPr>
        <w:t xml:space="preserve"> who underwent </w:t>
      </w:r>
      <w:r w:rsidRPr="00A20B97">
        <w:rPr>
          <w:rStyle w:val="Strong"/>
          <w:b w:val="0"/>
          <w:bCs w:val="0"/>
          <w:highlight w:val="yellow"/>
        </w:rPr>
        <w:t>curative resection</w:t>
      </w:r>
      <w:r w:rsidRPr="00A20B97">
        <w:rPr>
          <w:highlight w:val="yellow"/>
        </w:rPr>
        <w:t xml:space="preserve"> or </w:t>
      </w:r>
      <w:r w:rsidRPr="00A20B97">
        <w:rPr>
          <w:rStyle w:val="Strong"/>
          <w:b w:val="0"/>
          <w:bCs w:val="0"/>
          <w:highlight w:val="yellow"/>
        </w:rPr>
        <w:t>ablation</w:t>
      </w:r>
      <w:r w:rsidRPr="00A20B97">
        <w:rPr>
          <w:b/>
          <w:bCs/>
          <w:highlight w:val="yellow"/>
        </w:rPr>
        <w:t>.</w:t>
      </w:r>
      <w:r w:rsidRPr="00A20B97">
        <w:rPr>
          <w:highlight w:val="yellow"/>
        </w:rPr>
        <w:t xml:space="preserve"> The intervention was </w:t>
      </w:r>
      <w:r w:rsidRPr="00A20B97">
        <w:rPr>
          <w:rStyle w:val="Strong"/>
          <w:b w:val="0"/>
          <w:bCs w:val="0"/>
          <w:highlight w:val="yellow"/>
        </w:rPr>
        <w:t>adjuvant immune checkpoint inhibitors</w:t>
      </w:r>
      <w:r w:rsidRPr="00A20B97">
        <w:rPr>
          <w:rStyle w:val="Strong"/>
          <w:highlight w:val="yellow"/>
        </w:rPr>
        <w:t xml:space="preserve"> </w:t>
      </w:r>
      <w:r w:rsidRPr="00A20B97">
        <w:rPr>
          <w:rStyle w:val="Strong"/>
          <w:b w:val="0"/>
          <w:bCs w:val="0"/>
          <w:highlight w:val="yellow"/>
        </w:rPr>
        <w:t>(ICIs)</w:t>
      </w:r>
      <w:r w:rsidRPr="00A20B97">
        <w:rPr>
          <w:highlight w:val="yellow"/>
        </w:rPr>
        <w:t xml:space="preserve">, including </w:t>
      </w:r>
      <w:r w:rsidRPr="00A20B97">
        <w:rPr>
          <w:rStyle w:val="Strong"/>
          <w:b w:val="0"/>
          <w:bCs w:val="0"/>
          <w:highlight w:val="yellow"/>
        </w:rPr>
        <w:t>nivolumab</w:t>
      </w:r>
      <w:r w:rsidRPr="00A20B97">
        <w:rPr>
          <w:b/>
          <w:bCs/>
          <w:highlight w:val="yellow"/>
        </w:rPr>
        <w:t xml:space="preserve">, </w:t>
      </w:r>
      <w:r w:rsidRPr="00A20B97">
        <w:rPr>
          <w:rStyle w:val="Strong"/>
          <w:b w:val="0"/>
          <w:bCs w:val="0"/>
          <w:highlight w:val="yellow"/>
        </w:rPr>
        <w:t>pembrolizumab</w:t>
      </w:r>
      <w:r w:rsidRPr="00A20B97">
        <w:rPr>
          <w:b/>
          <w:bCs/>
          <w:highlight w:val="yellow"/>
        </w:rPr>
        <w:t xml:space="preserve">, </w:t>
      </w:r>
      <w:r w:rsidRPr="00A20B97">
        <w:rPr>
          <w:rStyle w:val="Strong"/>
          <w:b w:val="0"/>
          <w:bCs w:val="0"/>
          <w:highlight w:val="yellow"/>
        </w:rPr>
        <w:t>atezolizumab</w:t>
      </w:r>
      <w:r w:rsidRPr="00A20B97">
        <w:rPr>
          <w:highlight w:val="yellow"/>
        </w:rPr>
        <w:t xml:space="preserve">, or </w:t>
      </w:r>
      <w:r w:rsidRPr="00A20B97">
        <w:rPr>
          <w:rStyle w:val="Strong"/>
          <w:b w:val="0"/>
          <w:bCs w:val="0"/>
          <w:highlight w:val="yellow"/>
        </w:rPr>
        <w:t>sintilimab</w:t>
      </w:r>
      <w:r w:rsidRPr="00A20B97">
        <w:rPr>
          <w:b/>
          <w:bCs/>
          <w:highlight w:val="yellow"/>
        </w:rPr>
        <w:t>,</w:t>
      </w:r>
      <w:r w:rsidRPr="00A20B97">
        <w:rPr>
          <w:highlight w:val="yellow"/>
        </w:rPr>
        <w:t xml:space="preserve"> with </w:t>
      </w:r>
      <w:r w:rsidRPr="00A20B97">
        <w:rPr>
          <w:rStyle w:val="Strong"/>
          <w:b w:val="0"/>
          <w:bCs w:val="0"/>
          <w:highlight w:val="yellow"/>
        </w:rPr>
        <w:t>placebo</w:t>
      </w:r>
      <w:r w:rsidRPr="00A20B97">
        <w:rPr>
          <w:b/>
          <w:bCs/>
          <w:highlight w:val="yellow"/>
        </w:rPr>
        <w:t xml:space="preserve">, </w:t>
      </w:r>
      <w:r w:rsidRPr="00A20B97">
        <w:rPr>
          <w:rStyle w:val="Strong"/>
          <w:b w:val="0"/>
          <w:bCs w:val="0"/>
          <w:highlight w:val="yellow"/>
        </w:rPr>
        <w:t>standard care</w:t>
      </w:r>
      <w:r w:rsidRPr="00A20B97">
        <w:rPr>
          <w:highlight w:val="yellow"/>
        </w:rPr>
        <w:t xml:space="preserve">, or </w:t>
      </w:r>
      <w:r w:rsidRPr="00A20B97">
        <w:rPr>
          <w:rStyle w:val="Strong"/>
          <w:b w:val="0"/>
          <w:bCs w:val="0"/>
          <w:highlight w:val="yellow"/>
        </w:rPr>
        <w:t>active surveillance</w:t>
      </w:r>
      <w:r w:rsidRPr="00A20B97">
        <w:rPr>
          <w:highlight w:val="yellow"/>
        </w:rPr>
        <w:t xml:space="preserve"> as comparators. Studies reporting </w:t>
      </w:r>
      <w:r w:rsidRPr="00A20B97">
        <w:rPr>
          <w:rStyle w:val="Strong"/>
          <w:b w:val="0"/>
          <w:bCs w:val="0"/>
          <w:highlight w:val="yellow"/>
        </w:rPr>
        <w:t>overall survival (OS)</w:t>
      </w:r>
      <w:r w:rsidRPr="00A20B97">
        <w:rPr>
          <w:b/>
          <w:bCs/>
          <w:highlight w:val="yellow"/>
        </w:rPr>
        <w:t xml:space="preserve">, </w:t>
      </w:r>
      <w:r w:rsidRPr="00A20B97">
        <w:rPr>
          <w:rStyle w:val="Strong"/>
          <w:b w:val="0"/>
          <w:bCs w:val="0"/>
          <w:highlight w:val="yellow"/>
        </w:rPr>
        <w:t>recurrence-free survival (RFS)</w:t>
      </w:r>
      <w:r w:rsidRPr="00A20B97">
        <w:rPr>
          <w:highlight w:val="yellow"/>
        </w:rPr>
        <w:t xml:space="preserve">, and </w:t>
      </w:r>
      <w:r w:rsidRPr="00A20B97">
        <w:rPr>
          <w:rStyle w:val="Strong"/>
          <w:b w:val="0"/>
          <w:bCs w:val="0"/>
          <w:highlight w:val="yellow"/>
        </w:rPr>
        <w:t>adverse events (AEs)</w:t>
      </w:r>
      <w:r w:rsidRPr="00A20B97">
        <w:rPr>
          <w:highlight w:val="yellow"/>
        </w:rPr>
        <w:t xml:space="preserve"> were included. Only </w:t>
      </w:r>
      <w:r w:rsidRPr="00A20B97">
        <w:rPr>
          <w:rStyle w:val="Strong"/>
          <w:b w:val="0"/>
          <w:bCs w:val="0"/>
          <w:highlight w:val="yellow"/>
        </w:rPr>
        <w:t>randomized controlled trials (RCTs)</w:t>
      </w:r>
      <w:r w:rsidRPr="00A20B97">
        <w:rPr>
          <w:b/>
          <w:bCs/>
          <w:highlight w:val="yellow"/>
        </w:rPr>
        <w:t>,</w:t>
      </w:r>
      <w:r w:rsidRPr="00A20B97">
        <w:rPr>
          <w:highlight w:val="yellow"/>
        </w:rPr>
        <w:t xml:space="preserve"> including </w:t>
      </w:r>
      <w:r w:rsidRPr="00A20B97">
        <w:rPr>
          <w:rStyle w:val="Strong"/>
          <w:b w:val="0"/>
          <w:bCs w:val="0"/>
          <w:highlight w:val="yellow"/>
        </w:rPr>
        <w:t>Phase II</w:t>
      </w:r>
      <w:r w:rsidRPr="00A20B97">
        <w:rPr>
          <w:highlight w:val="yellow"/>
        </w:rPr>
        <w:t xml:space="preserve"> and </w:t>
      </w:r>
      <w:r w:rsidRPr="00A20B97">
        <w:rPr>
          <w:rStyle w:val="Strong"/>
          <w:b w:val="0"/>
          <w:bCs w:val="0"/>
          <w:highlight w:val="yellow"/>
        </w:rPr>
        <w:t>Phase III</w:t>
      </w:r>
      <w:r w:rsidRPr="00A20B97">
        <w:rPr>
          <w:b/>
          <w:bCs/>
          <w:highlight w:val="yellow"/>
        </w:rPr>
        <w:t xml:space="preserve"> </w:t>
      </w:r>
      <w:r w:rsidRPr="00A20B97">
        <w:rPr>
          <w:highlight w:val="yellow"/>
        </w:rPr>
        <w:t xml:space="preserve">studies, were eligible. Further details are provided in </w:t>
      </w:r>
      <w:r w:rsidRPr="00A20B97">
        <w:rPr>
          <w:rStyle w:val="Strong"/>
          <w:b w:val="0"/>
          <w:bCs w:val="0"/>
          <w:highlight w:val="yellow"/>
        </w:rPr>
        <w:t>Table 1</w:t>
      </w:r>
      <w:r w:rsidRPr="00A20B97">
        <w:rPr>
          <w:b/>
          <w:bCs/>
          <w:highlight w:val="yellow"/>
        </w:rPr>
        <w:t>.</w:t>
      </w:r>
    </w:p>
    <w:p w14:paraId="4C69270E" w14:textId="77777777" w:rsidR="00985109" w:rsidRPr="00CC27A2" w:rsidRDefault="00985109" w:rsidP="00985109">
      <w:pPr>
        <w:spacing w:before="100" w:beforeAutospacing="1" w:after="100" w:afterAutospacing="1" w:line="240" w:lineRule="auto"/>
        <w:rPr>
          <w:rFonts w:ascii="Times New Roman" w:eastAsia="Times New Roman" w:hAnsi="Times New Roman" w:cs="Times New Roman"/>
          <w:b/>
          <w:bCs/>
          <w:kern w:val="0"/>
          <w14:ligatures w14:val="none"/>
        </w:rPr>
      </w:pPr>
      <w:r w:rsidRPr="00CC27A2">
        <w:rPr>
          <w:b/>
          <w:bCs/>
        </w:rPr>
        <w:t>Table 1. Eligibility Criteria for Study Inclusion</w:t>
      </w:r>
    </w:p>
    <w:tbl>
      <w:tblPr>
        <w:tblStyle w:val="TableGrid"/>
        <w:tblW w:w="0" w:type="auto"/>
        <w:tblLook w:val="04A0" w:firstRow="1" w:lastRow="0" w:firstColumn="1" w:lastColumn="0" w:noHBand="0" w:noVBand="1"/>
      </w:tblPr>
      <w:tblGrid>
        <w:gridCol w:w="1339"/>
        <w:gridCol w:w="7291"/>
      </w:tblGrid>
      <w:tr w:rsidR="00985109" w:rsidRPr="00AF2A69" w14:paraId="7AC71D81" w14:textId="77777777" w:rsidTr="00BF3C20">
        <w:tc>
          <w:tcPr>
            <w:tcW w:w="0" w:type="auto"/>
            <w:hideMark/>
          </w:tcPr>
          <w:p w14:paraId="790C1142" w14:textId="77777777" w:rsidR="00985109" w:rsidRPr="00973168" w:rsidRDefault="00985109" w:rsidP="00BF3C20">
            <w:pPr>
              <w:jc w:val="center"/>
              <w:rPr>
                <w:rFonts w:ascii="Times New Roman" w:eastAsia="Times New Roman" w:hAnsi="Times New Roman" w:cs="Times New Roman"/>
                <w:b/>
                <w:bCs/>
                <w:sz w:val="24"/>
                <w:szCs w:val="24"/>
              </w:rPr>
            </w:pPr>
            <w:r w:rsidRPr="00973168">
              <w:rPr>
                <w:rFonts w:ascii="Times New Roman" w:eastAsia="Times New Roman" w:hAnsi="Times New Roman" w:cs="Times New Roman"/>
                <w:b/>
                <w:bCs/>
                <w:sz w:val="24"/>
                <w:szCs w:val="24"/>
              </w:rPr>
              <w:t>Criterion</w:t>
            </w:r>
          </w:p>
        </w:tc>
        <w:tc>
          <w:tcPr>
            <w:tcW w:w="0" w:type="auto"/>
            <w:hideMark/>
          </w:tcPr>
          <w:p w14:paraId="5EFF14A0" w14:textId="77777777" w:rsidR="00985109" w:rsidRPr="00973168" w:rsidRDefault="00985109" w:rsidP="00BF3C20">
            <w:pPr>
              <w:jc w:val="center"/>
              <w:rPr>
                <w:rFonts w:ascii="Times New Roman" w:eastAsia="Times New Roman" w:hAnsi="Times New Roman" w:cs="Times New Roman"/>
                <w:b/>
                <w:bCs/>
                <w:sz w:val="24"/>
                <w:szCs w:val="24"/>
              </w:rPr>
            </w:pPr>
            <w:r w:rsidRPr="00973168">
              <w:rPr>
                <w:rFonts w:ascii="Times New Roman" w:eastAsia="Times New Roman" w:hAnsi="Times New Roman" w:cs="Times New Roman"/>
                <w:b/>
                <w:bCs/>
                <w:sz w:val="24"/>
                <w:szCs w:val="24"/>
              </w:rPr>
              <w:t>Details</w:t>
            </w:r>
          </w:p>
        </w:tc>
      </w:tr>
      <w:tr w:rsidR="00985109" w:rsidRPr="00AF2A69" w14:paraId="0F6DDA6F" w14:textId="77777777" w:rsidTr="00BF3C20">
        <w:tc>
          <w:tcPr>
            <w:tcW w:w="0" w:type="auto"/>
            <w:hideMark/>
          </w:tcPr>
          <w:p w14:paraId="43C3E6D5"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Population</w:t>
            </w:r>
          </w:p>
        </w:tc>
        <w:tc>
          <w:tcPr>
            <w:tcW w:w="0" w:type="auto"/>
            <w:hideMark/>
          </w:tcPr>
          <w:p w14:paraId="4D7B54B7"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Adult patients (≥18 years) are diagnosed with hepatocellular carcinoma (HCC), undergoing curative resection or ablation.</w:t>
            </w:r>
          </w:p>
        </w:tc>
      </w:tr>
      <w:tr w:rsidR="00985109" w:rsidRPr="00AF2A69" w14:paraId="480F9ACC" w14:textId="77777777" w:rsidTr="00BF3C20">
        <w:tc>
          <w:tcPr>
            <w:tcW w:w="0" w:type="auto"/>
            <w:hideMark/>
          </w:tcPr>
          <w:p w14:paraId="046181A9"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Intervention</w:t>
            </w:r>
          </w:p>
        </w:tc>
        <w:tc>
          <w:tcPr>
            <w:tcW w:w="0" w:type="auto"/>
            <w:hideMark/>
          </w:tcPr>
          <w:p w14:paraId="2BB7DFC0"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Studies evaluating the use of adjuvant immune checkpoint inhibitors (ICIs), including nivolumab, pembrolizumab, atezolizumab, or sintilimab.</w:t>
            </w:r>
          </w:p>
        </w:tc>
      </w:tr>
      <w:tr w:rsidR="00985109" w:rsidRPr="00AF2A69" w14:paraId="34F5CB76" w14:textId="77777777" w:rsidTr="00BF3C20">
        <w:tc>
          <w:tcPr>
            <w:tcW w:w="0" w:type="auto"/>
            <w:hideMark/>
          </w:tcPr>
          <w:p w14:paraId="19B259FB"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Comparator</w:t>
            </w:r>
          </w:p>
        </w:tc>
        <w:tc>
          <w:tcPr>
            <w:tcW w:w="0" w:type="auto"/>
            <w:hideMark/>
          </w:tcPr>
          <w:p w14:paraId="6A32ABCD"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Studies with a comparator arm that included placebo, standard care, or active surveillance.</w:t>
            </w:r>
          </w:p>
        </w:tc>
      </w:tr>
      <w:tr w:rsidR="00985109" w:rsidRPr="00AF2A69" w14:paraId="357988EE" w14:textId="77777777" w:rsidTr="00BF3C20">
        <w:tc>
          <w:tcPr>
            <w:tcW w:w="0" w:type="auto"/>
            <w:hideMark/>
          </w:tcPr>
          <w:p w14:paraId="548B4E99"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Outcomes</w:t>
            </w:r>
          </w:p>
        </w:tc>
        <w:tc>
          <w:tcPr>
            <w:tcW w:w="0" w:type="auto"/>
            <w:hideMark/>
          </w:tcPr>
          <w:p w14:paraId="7F533086"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 Primary outcomes: Overall survival (OS) and Recurrence-free survival (RFS). - Secondary outcomes: Adverse events (AEs) based on the CTCAE v5.0 and recurrence rates.</w:t>
            </w:r>
          </w:p>
        </w:tc>
      </w:tr>
      <w:tr w:rsidR="00985109" w:rsidRPr="00AF2A69" w14:paraId="1002B8DC" w14:textId="77777777" w:rsidTr="00BF3C20">
        <w:tc>
          <w:tcPr>
            <w:tcW w:w="0" w:type="auto"/>
            <w:hideMark/>
          </w:tcPr>
          <w:p w14:paraId="1286DCDE"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Study Design</w:t>
            </w:r>
          </w:p>
        </w:tc>
        <w:tc>
          <w:tcPr>
            <w:tcW w:w="0" w:type="auto"/>
            <w:hideMark/>
          </w:tcPr>
          <w:p w14:paraId="5AD3F249"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Only randomized controlled trials (RCTs), including Phase II and Phase III studies, were eligible. Non-randomized studies, cohort studies, or case series were excluded.</w:t>
            </w:r>
          </w:p>
        </w:tc>
      </w:tr>
    </w:tbl>
    <w:p w14:paraId="537A7755" w14:textId="77777777" w:rsidR="00985109" w:rsidRPr="004631AB" w:rsidRDefault="00985109" w:rsidP="00985109">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1C40E68D" w14:textId="77777777" w:rsidR="00985109" w:rsidRPr="004631AB" w:rsidRDefault="00985109" w:rsidP="0098510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31AB">
        <w:rPr>
          <w:rFonts w:ascii="Times New Roman" w:eastAsia="Times New Roman" w:hAnsi="Times New Roman" w:cs="Times New Roman"/>
          <w:b/>
          <w:bCs/>
          <w:kern w:val="0"/>
          <w14:ligatures w14:val="none"/>
        </w:rPr>
        <w:t>2.3 Data Extraction</w:t>
      </w:r>
    </w:p>
    <w:p w14:paraId="00D96D91" w14:textId="4ECC10BF" w:rsidR="00985109" w:rsidRPr="004631AB"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4631AB">
        <w:rPr>
          <w:rFonts w:ascii="Times New Roman" w:eastAsia="Times New Roman" w:hAnsi="Times New Roman" w:cs="Times New Roman"/>
          <w:kern w:val="0"/>
          <w14:ligatures w14:val="none"/>
        </w:rPr>
        <w:t xml:space="preserve">Two independent reviewers performed data extraction using a standardized form. The following data were extracted from each </w:t>
      </w:r>
      <w:r w:rsidR="00CC27A2" w:rsidRPr="004631AB">
        <w:rPr>
          <w:rFonts w:ascii="Times New Roman" w:eastAsia="Times New Roman" w:hAnsi="Times New Roman" w:cs="Times New Roman"/>
          <w:kern w:val="0"/>
          <w14:ligatures w14:val="none"/>
        </w:rPr>
        <w:t>study: Study</w:t>
      </w:r>
      <w:r w:rsidRPr="004631AB">
        <w:rPr>
          <w:rFonts w:ascii="Times New Roman" w:eastAsia="Times New Roman" w:hAnsi="Times New Roman" w:cs="Times New Roman"/>
          <w:kern w:val="0"/>
          <w14:ligatures w14:val="none"/>
        </w:rPr>
        <w:t xml:space="preserve"> Characteristics: Author(s), </w:t>
      </w:r>
      <w:r w:rsidRPr="004631AB">
        <w:rPr>
          <w:rFonts w:ascii="Times New Roman" w:eastAsia="Times New Roman" w:hAnsi="Times New Roman" w:cs="Times New Roman"/>
          <w:kern w:val="0"/>
          <w14:ligatures w14:val="none"/>
        </w:rPr>
        <w:lastRenderedPageBreak/>
        <w:t xml:space="preserve">publication year, trial design (Phase II/III), study setting, and sample </w:t>
      </w:r>
      <w:r w:rsidR="00CC27A2" w:rsidRPr="004631AB">
        <w:rPr>
          <w:rFonts w:ascii="Times New Roman" w:eastAsia="Times New Roman" w:hAnsi="Times New Roman" w:cs="Times New Roman"/>
          <w:kern w:val="0"/>
          <w14:ligatures w14:val="none"/>
        </w:rPr>
        <w:t>size. Patient</w:t>
      </w:r>
      <w:r w:rsidRPr="004631AB">
        <w:rPr>
          <w:rFonts w:ascii="Times New Roman" w:eastAsia="Times New Roman" w:hAnsi="Times New Roman" w:cs="Times New Roman"/>
          <w:kern w:val="0"/>
          <w14:ligatures w14:val="none"/>
        </w:rPr>
        <w:t xml:space="preserve"> Characteristics: Median age, sex distribution, tumor stage (BCLC/TNM), resection status (R0/R1), and liver function (Child-Pugh classification</w:t>
      </w:r>
      <w:r w:rsidR="00A20B97" w:rsidRPr="004631AB">
        <w:rPr>
          <w:rFonts w:ascii="Times New Roman" w:eastAsia="Times New Roman" w:hAnsi="Times New Roman" w:cs="Times New Roman"/>
          <w:kern w:val="0"/>
          <w14:ligatures w14:val="none"/>
        </w:rPr>
        <w:t>). Intervention</w:t>
      </w:r>
      <w:r w:rsidRPr="004631AB">
        <w:rPr>
          <w:rFonts w:ascii="Times New Roman" w:eastAsia="Times New Roman" w:hAnsi="Times New Roman" w:cs="Times New Roman"/>
          <w:kern w:val="0"/>
          <w14:ligatures w14:val="none"/>
        </w:rPr>
        <w:t xml:space="preserve"> Details: Type, dose, and duration of the immune checkpoint inhibitor </w:t>
      </w:r>
      <w:r w:rsidR="00CC27A2" w:rsidRPr="004631AB">
        <w:rPr>
          <w:rFonts w:ascii="Times New Roman" w:eastAsia="Times New Roman" w:hAnsi="Times New Roman" w:cs="Times New Roman"/>
          <w:kern w:val="0"/>
          <w14:ligatures w14:val="none"/>
        </w:rPr>
        <w:t>used. Outcome</w:t>
      </w:r>
      <w:r w:rsidRPr="004631AB">
        <w:rPr>
          <w:rFonts w:ascii="Times New Roman" w:eastAsia="Times New Roman" w:hAnsi="Times New Roman" w:cs="Times New Roman"/>
          <w:kern w:val="0"/>
          <w14:ligatures w14:val="none"/>
        </w:rPr>
        <w:t xml:space="preserve"> </w:t>
      </w:r>
      <w:r w:rsidR="00CC27A2" w:rsidRPr="004631AB">
        <w:rPr>
          <w:rFonts w:ascii="Times New Roman" w:eastAsia="Times New Roman" w:hAnsi="Times New Roman" w:cs="Times New Roman"/>
          <w:kern w:val="0"/>
          <w14:ligatures w14:val="none"/>
        </w:rPr>
        <w:t>Data’s</w:t>
      </w:r>
      <w:r w:rsidRPr="004631AB">
        <w:rPr>
          <w:rFonts w:ascii="Times New Roman" w:eastAsia="Times New Roman" w:hAnsi="Times New Roman" w:cs="Times New Roman"/>
          <w:kern w:val="0"/>
          <w14:ligatures w14:val="none"/>
        </w:rPr>
        <w:t>: Hazard ratios (HRs) for OS with 95% confidence intervals (CIs</w:t>
      </w:r>
      <w:r w:rsidR="00A20B97" w:rsidRPr="004631AB">
        <w:rPr>
          <w:rFonts w:ascii="Times New Roman" w:eastAsia="Times New Roman" w:hAnsi="Times New Roman" w:cs="Times New Roman"/>
          <w:kern w:val="0"/>
          <w14:ligatures w14:val="none"/>
        </w:rPr>
        <w:t>). RFS</w:t>
      </w:r>
      <w:r w:rsidRPr="004631AB">
        <w:rPr>
          <w:rFonts w:ascii="Times New Roman" w:eastAsia="Times New Roman" w:hAnsi="Times New Roman" w:cs="Times New Roman"/>
          <w:kern w:val="0"/>
          <w14:ligatures w14:val="none"/>
        </w:rPr>
        <w:t>: HRs for RFS with 95% CIs.</w:t>
      </w:r>
      <w:r w:rsidR="00CC27A2" w:rsidRPr="004631AB">
        <w:rPr>
          <w:rFonts w:ascii="Times New Roman" w:eastAsia="Times New Roman" w:hAnsi="Times New Roman" w:cs="Times New Roman"/>
          <w:kern w:val="0"/>
          <w14:ligatures w14:val="none"/>
        </w:rPr>
        <w:t xml:space="preserve"> </w:t>
      </w:r>
      <w:r w:rsidRPr="004631AB">
        <w:rPr>
          <w:rFonts w:ascii="Times New Roman" w:eastAsia="Times New Roman" w:hAnsi="Times New Roman" w:cs="Times New Roman"/>
          <w:kern w:val="0"/>
          <w14:ligatures w14:val="none"/>
        </w:rPr>
        <w:t xml:space="preserve">AEs: </w:t>
      </w:r>
      <w:r w:rsidR="00A20B97" w:rsidRPr="004631AB">
        <w:rPr>
          <w:rFonts w:ascii="Times New Roman" w:eastAsia="Times New Roman" w:hAnsi="Times New Roman" w:cs="Times New Roman"/>
          <w:kern w:val="0"/>
          <w14:ligatures w14:val="none"/>
        </w:rPr>
        <w:t>Incidence rates of grade 3+ adverse events</w:t>
      </w:r>
      <w:r w:rsidRPr="004631AB">
        <w:rPr>
          <w:rFonts w:ascii="Times New Roman" w:eastAsia="Times New Roman" w:hAnsi="Times New Roman" w:cs="Times New Roman"/>
          <w:kern w:val="0"/>
          <w14:ligatures w14:val="none"/>
        </w:rPr>
        <w:t xml:space="preserve"> categorized using CTCAE v5.</w:t>
      </w:r>
      <w:r w:rsidR="00A20B97" w:rsidRPr="004631AB">
        <w:rPr>
          <w:rFonts w:ascii="Times New Roman" w:eastAsia="Times New Roman" w:hAnsi="Times New Roman" w:cs="Times New Roman"/>
          <w:kern w:val="0"/>
          <w14:ligatures w14:val="none"/>
        </w:rPr>
        <w:t>0. Any</w:t>
      </w:r>
      <w:r w:rsidRPr="004631AB">
        <w:rPr>
          <w:rFonts w:ascii="Times New Roman" w:eastAsia="Times New Roman" w:hAnsi="Times New Roman" w:cs="Times New Roman"/>
          <w:kern w:val="0"/>
          <w14:ligatures w14:val="none"/>
        </w:rPr>
        <w:t xml:space="preserve"> discrepancies in data extraction were resolved by discussion</w:t>
      </w:r>
      <w:r w:rsidR="00CC27A2" w:rsidRPr="004631AB">
        <w:rPr>
          <w:rFonts w:ascii="Times New Roman" w:eastAsia="Times New Roman" w:hAnsi="Times New Roman" w:cs="Times New Roman"/>
          <w:kern w:val="0"/>
          <w14:ligatures w14:val="none"/>
        </w:rPr>
        <w:t>.</w:t>
      </w:r>
    </w:p>
    <w:p w14:paraId="304D0BF3" w14:textId="77777777" w:rsidR="00985109" w:rsidRPr="004631AB" w:rsidRDefault="00985109" w:rsidP="0098510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31AB">
        <w:rPr>
          <w:rFonts w:ascii="Times New Roman" w:eastAsia="Times New Roman" w:hAnsi="Times New Roman" w:cs="Times New Roman"/>
          <w:b/>
          <w:bCs/>
          <w:kern w:val="0"/>
          <w14:ligatures w14:val="none"/>
        </w:rPr>
        <w:t>2.4 Statistical Analysis</w:t>
      </w:r>
    </w:p>
    <w:p w14:paraId="16D02C91" w14:textId="77777777" w:rsidR="00985109" w:rsidRPr="009D5307"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9D5307">
        <w:rPr>
          <w:rFonts w:ascii="Times New Roman" w:eastAsia="Times New Roman" w:hAnsi="Times New Roman" w:cs="Times New Roman"/>
          <w:kern w:val="0"/>
          <w14:ligatures w14:val="none"/>
        </w:rPr>
        <w:t>We used the DerSimonian-Laird random-effects model to pool hazard ratios (HRs) for OS and RFS across the 10 included studies, accounting for the anticipated heterogeneity. For time-to-event outcomes (OS and RFS), pooled HRs with 95% confidence intervals (CIs) were calculated. For dichotomous outcomes (AEs), risk ratios (RRs) or odds ratios (ORs) with 95% CIs were used to pool the incidence of grade 3+ adverse events.</w:t>
      </w:r>
    </w:p>
    <w:p w14:paraId="4B4A7A00" w14:textId="77777777" w:rsidR="00985109" w:rsidRPr="009D5307"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9D5307">
        <w:rPr>
          <w:rFonts w:ascii="Times New Roman" w:eastAsia="Times New Roman" w:hAnsi="Times New Roman" w:cs="Times New Roman"/>
          <w:kern w:val="0"/>
          <w14:ligatures w14:val="none"/>
        </w:rPr>
        <w:t>Heterogeneity was assessed using the I² statistic. Given the small number of studies (10), if I² ≥ 50%, a random-effects model was used; if I² &lt; 25%, a fixed-effects model would have been applied, though the latter was not applicable in this analysis.</w:t>
      </w:r>
    </w:p>
    <w:p w14:paraId="0337207E" w14:textId="77777777" w:rsidR="00985109" w:rsidRPr="009D5307"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9D5307">
        <w:rPr>
          <w:rFonts w:ascii="Times New Roman" w:eastAsia="Times New Roman" w:hAnsi="Times New Roman" w:cs="Times New Roman"/>
          <w:b/>
          <w:bCs/>
          <w:kern w:val="0"/>
          <w14:ligatures w14:val="none"/>
        </w:rPr>
        <w:t>Subgroup analyses</w:t>
      </w:r>
      <w:r w:rsidRPr="009D5307">
        <w:rPr>
          <w:rFonts w:ascii="Times New Roman" w:eastAsia="Times New Roman" w:hAnsi="Times New Roman" w:cs="Times New Roman"/>
          <w:kern w:val="0"/>
          <w14:ligatures w14:val="none"/>
        </w:rPr>
        <w:t xml:space="preserve"> were performed based on:</w:t>
      </w:r>
    </w:p>
    <w:p w14:paraId="74E62C54" w14:textId="77777777" w:rsidR="00985109" w:rsidRPr="009D5307" w:rsidRDefault="00985109" w:rsidP="00985109">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9D5307">
        <w:rPr>
          <w:rFonts w:ascii="Times New Roman" w:eastAsia="Times New Roman" w:hAnsi="Times New Roman" w:cs="Times New Roman"/>
          <w:b/>
          <w:bCs/>
          <w:kern w:val="0"/>
          <w14:ligatures w14:val="none"/>
        </w:rPr>
        <w:t>Tumor stage</w:t>
      </w:r>
      <w:r w:rsidRPr="009D5307">
        <w:rPr>
          <w:rFonts w:ascii="Times New Roman" w:eastAsia="Times New Roman" w:hAnsi="Times New Roman" w:cs="Times New Roman"/>
          <w:kern w:val="0"/>
          <w14:ligatures w14:val="none"/>
        </w:rPr>
        <w:t xml:space="preserve"> (early-stage vs. advanced-stage HCC),</w:t>
      </w:r>
    </w:p>
    <w:p w14:paraId="3D3F9951" w14:textId="77777777" w:rsidR="00985109" w:rsidRPr="009D5307" w:rsidRDefault="00985109" w:rsidP="00985109">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9D5307">
        <w:rPr>
          <w:rFonts w:ascii="Times New Roman" w:eastAsia="Times New Roman" w:hAnsi="Times New Roman" w:cs="Times New Roman"/>
          <w:b/>
          <w:bCs/>
          <w:kern w:val="0"/>
          <w14:ligatures w14:val="none"/>
        </w:rPr>
        <w:t>ICI regimen</w:t>
      </w:r>
      <w:r w:rsidRPr="009D5307">
        <w:rPr>
          <w:rFonts w:ascii="Times New Roman" w:eastAsia="Times New Roman" w:hAnsi="Times New Roman" w:cs="Times New Roman"/>
          <w:kern w:val="0"/>
          <w14:ligatures w14:val="none"/>
        </w:rPr>
        <w:t xml:space="preserve"> (PD-1 inhibitors vs. PD-L1 inhibitors),</w:t>
      </w:r>
    </w:p>
    <w:p w14:paraId="4BE97A23" w14:textId="77777777" w:rsidR="00985109" w:rsidRPr="009D5307" w:rsidRDefault="00985109" w:rsidP="00985109">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9D5307">
        <w:rPr>
          <w:rFonts w:ascii="Times New Roman" w:eastAsia="Times New Roman" w:hAnsi="Times New Roman" w:cs="Times New Roman"/>
          <w:b/>
          <w:bCs/>
          <w:kern w:val="0"/>
          <w14:ligatures w14:val="none"/>
        </w:rPr>
        <w:t>Geographic region</w:t>
      </w:r>
      <w:r w:rsidRPr="009D5307">
        <w:rPr>
          <w:rFonts w:ascii="Times New Roman" w:eastAsia="Times New Roman" w:hAnsi="Times New Roman" w:cs="Times New Roman"/>
          <w:kern w:val="0"/>
          <w14:ligatures w14:val="none"/>
        </w:rPr>
        <w:t xml:space="preserve"> (North America, Europe, Asia).</w:t>
      </w:r>
    </w:p>
    <w:p w14:paraId="56FF7604" w14:textId="77777777" w:rsidR="00985109" w:rsidRPr="00CC27A2"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9D5307">
        <w:rPr>
          <w:rFonts w:ascii="Times New Roman" w:eastAsia="Times New Roman" w:hAnsi="Times New Roman" w:cs="Times New Roman"/>
          <w:kern w:val="0"/>
          <w14:ligatures w14:val="none"/>
        </w:rPr>
        <w:t xml:space="preserve">Sensitivity analysis was conducted by excluding studies with a high risk of bias to test the robustness of the results. Publication bias was assessed using funnel plots, and Egger’s test </w:t>
      </w:r>
      <w:r w:rsidRPr="00CC27A2">
        <w:rPr>
          <w:rFonts w:ascii="Times New Roman" w:eastAsia="Times New Roman" w:hAnsi="Times New Roman" w:cs="Times New Roman"/>
          <w:kern w:val="0"/>
          <w14:ligatures w14:val="none"/>
        </w:rPr>
        <w:t>was performed, given the inclusion of at least 10 studies in the meta-analysis.</w:t>
      </w:r>
    </w:p>
    <w:p w14:paraId="215F6779" w14:textId="77777777" w:rsidR="00985109" w:rsidRPr="00CC27A2" w:rsidRDefault="00985109" w:rsidP="00985109">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CC27A2">
        <w:rPr>
          <w:rFonts w:ascii="Times New Roman" w:eastAsia="Times New Roman" w:hAnsi="Times New Roman" w:cs="Times New Roman"/>
          <w:b/>
          <w:bCs/>
          <w:kern w:val="0"/>
          <w14:ligatures w14:val="none"/>
        </w:rPr>
        <w:t>2.5 Ethical Considerations</w:t>
      </w:r>
    </w:p>
    <w:p w14:paraId="641155A3" w14:textId="424C1779" w:rsidR="00985109" w:rsidRDefault="00985109" w:rsidP="00985109">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t xml:space="preserve">This meta-analysis adhered to ethical guidelines for systematic reviews and meta-analyses. All included studies were ethically approved by their respective </w:t>
      </w:r>
      <w:r>
        <w:lastRenderedPageBreak/>
        <w:t>institutional review boards (IRBs), and informed consent was obtained from all participants in the original studies. As this study involves a meta-analysis of published data, no additional ethical approval was required.</w:t>
      </w:r>
    </w:p>
    <w:p w14:paraId="080F2F67" w14:textId="77777777" w:rsidR="00985109" w:rsidRDefault="00985109" w:rsidP="00985109">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r w:rsidRPr="00B25F7A">
        <w:rPr>
          <w:rFonts w:ascii="Times New Roman" w:eastAsia="Times New Roman" w:hAnsi="Times New Roman" w:cs="Times New Roman"/>
          <w:b/>
          <w:bCs/>
          <w:kern w:val="0"/>
          <w:sz w:val="27"/>
          <w:szCs w:val="27"/>
          <w14:ligatures w14:val="none"/>
        </w:rPr>
        <w:t>Results</w:t>
      </w:r>
    </w:p>
    <w:p w14:paraId="01ED08B2" w14:textId="77777777" w:rsidR="001A7DDA" w:rsidRDefault="00985109" w:rsidP="001A7DDA">
      <w:pPr>
        <w:spacing w:before="100" w:beforeAutospacing="1" w:after="100" w:afterAutospacing="1" w:line="276" w:lineRule="auto"/>
        <w:jc w:val="both"/>
        <w:outlineLvl w:val="3"/>
        <w:rPr>
          <w:rFonts w:ascii="Times New Roman" w:eastAsia="Times New Roman" w:hAnsi="Times New Roman" w:cs="Times New Roman"/>
          <w:b/>
          <w:bCs/>
          <w:kern w:val="0"/>
          <w14:ligatures w14:val="none"/>
        </w:rPr>
      </w:pPr>
      <w:r w:rsidRPr="00985109">
        <w:rPr>
          <w:rFonts w:ascii="Times New Roman" w:eastAsia="Times New Roman" w:hAnsi="Times New Roman" w:cs="Times New Roman"/>
          <w:b/>
          <w:bCs/>
          <w:kern w:val="0"/>
          <w14:ligatures w14:val="none"/>
        </w:rPr>
        <w:t>Study Selection</w:t>
      </w:r>
    </w:p>
    <w:p w14:paraId="2AA49393" w14:textId="74CD456B" w:rsidR="00985109" w:rsidRPr="001A7DDA" w:rsidRDefault="00985109" w:rsidP="001A7DDA">
      <w:pPr>
        <w:spacing w:before="100" w:beforeAutospacing="1" w:after="100" w:afterAutospacing="1" w:line="276" w:lineRule="auto"/>
        <w:jc w:val="both"/>
        <w:outlineLvl w:val="3"/>
        <w:rPr>
          <w:rFonts w:ascii="Times New Roman" w:eastAsia="Times New Roman" w:hAnsi="Times New Roman" w:cs="Times New Roman"/>
          <w:b/>
          <w:bCs/>
          <w:kern w:val="0"/>
          <w14:ligatures w14:val="none"/>
        </w:rPr>
      </w:pPr>
      <w:r w:rsidRPr="00985109">
        <w:rPr>
          <w:rFonts w:ascii="Times New Roman" w:eastAsia="Times New Roman" w:hAnsi="Times New Roman" w:cs="Times New Roman"/>
          <w:kern w:val="0"/>
          <w14:ligatures w14:val="none"/>
        </w:rPr>
        <w:t>A total of 10 studies met the inclusion criteria and were included in this meta-analysis. These studies evaluated the use of adjuvant immune checkpoint inhibitors (ICIs) in patients with hepatocellular carcinoma (HCC) following curative resection or ablation. The studies, published between 2019 and 2024, included Phase II and Phase III randomized controlled trials (RCTs). Study characteristics and data extraction summaries are provided in Table 2 and Table 3, respectively, which present details on study design, sample size, intervention types, comparators, key findings, and adverse events.</w:t>
      </w:r>
    </w:p>
    <w:p w14:paraId="2F7A1DD5" w14:textId="77777777" w:rsidR="00985109" w:rsidRDefault="00985109" w:rsidP="00985109">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p>
    <w:p w14:paraId="1AD082E3" w14:textId="73E2CCE7" w:rsidR="00985109" w:rsidRPr="00985109" w:rsidRDefault="00985109" w:rsidP="00985109">
      <w:pPr>
        <w:spacing w:before="100" w:beforeAutospacing="1" w:after="100" w:afterAutospacing="1" w:line="360" w:lineRule="auto"/>
        <w:jc w:val="both"/>
        <w:outlineLvl w:val="2"/>
        <w:rPr>
          <w:rFonts w:ascii="Times New Roman" w:hAnsi="Times New Roman" w:cs="Times New Roman"/>
          <w:b/>
          <w:bCs/>
        </w:rPr>
      </w:pPr>
      <w:r w:rsidRPr="00322663">
        <w:rPr>
          <w:rFonts w:ascii="Times New Roman" w:hAnsi="Times New Roman" w:cs="Times New Roman"/>
          <w:b/>
          <w:bCs/>
        </w:rPr>
        <w:t>Table 2 Study Characteristics</w:t>
      </w:r>
    </w:p>
    <w:tbl>
      <w:tblPr>
        <w:tblStyle w:val="TableGrid"/>
        <w:tblW w:w="0" w:type="auto"/>
        <w:tblLook w:val="04A0" w:firstRow="1" w:lastRow="0" w:firstColumn="1" w:lastColumn="0" w:noHBand="0" w:noVBand="1"/>
      </w:tblPr>
      <w:tblGrid>
        <w:gridCol w:w="940"/>
        <w:gridCol w:w="1135"/>
        <w:gridCol w:w="1554"/>
        <w:gridCol w:w="1385"/>
        <w:gridCol w:w="1138"/>
        <w:gridCol w:w="969"/>
        <w:gridCol w:w="1509"/>
      </w:tblGrid>
      <w:tr w:rsidR="001A7DDA" w:rsidRPr="00082318" w14:paraId="140CB637" w14:textId="77777777" w:rsidTr="001A7DDA">
        <w:trPr>
          <w:trHeight w:val="796"/>
        </w:trPr>
        <w:tc>
          <w:tcPr>
            <w:tcW w:w="940" w:type="dxa"/>
          </w:tcPr>
          <w:p w14:paraId="32FE5A1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Author(s) &amp; Year</w:t>
            </w:r>
          </w:p>
        </w:tc>
        <w:tc>
          <w:tcPr>
            <w:tcW w:w="1135" w:type="dxa"/>
          </w:tcPr>
          <w:p w14:paraId="62D3F42F"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Study Design</w:t>
            </w:r>
          </w:p>
        </w:tc>
        <w:tc>
          <w:tcPr>
            <w:tcW w:w="1554" w:type="dxa"/>
          </w:tcPr>
          <w:p w14:paraId="784B8D42"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Sample Size</w:t>
            </w:r>
          </w:p>
        </w:tc>
        <w:tc>
          <w:tcPr>
            <w:tcW w:w="1385" w:type="dxa"/>
          </w:tcPr>
          <w:p w14:paraId="0577032F"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Intervention</w:t>
            </w:r>
          </w:p>
        </w:tc>
        <w:tc>
          <w:tcPr>
            <w:tcW w:w="1138" w:type="dxa"/>
          </w:tcPr>
          <w:p w14:paraId="41C1CC42"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Comparator</w:t>
            </w:r>
          </w:p>
        </w:tc>
        <w:tc>
          <w:tcPr>
            <w:tcW w:w="969" w:type="dxa"/>
          </w:tcPr>
          <w:p w14:paraId="42C5E3E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Primary Outcomes</w:t>
            </w:r>
          </w:p>
        </w:tc>
        <w:tc>
          <w:tcPr>
            <w:tcW w:w="1509" w:type="dxa"/>
          </w:tcPr>
          <w:p w14:paraId="3CC60724"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Key Findings</w:t>
            </w:r>
          </w:p>
        </w:tc>
      </w:tr>
      <w:tr w:rsidR="001A7DDA" w:rsidRPr="00082318" w14:paraId="7B57CBC1" w14:textId="77777777" w:rsidTr="001A7DDA">
        <w:trPr>
          <w:trHeight w:val="693"/>
        </w:trPr>
        <w:tc>
          <w:tcPr>
            <w:tcW w:w="940" w:type="dxa"/>
          </w:tcPr>
          <w:p w14:paraId="46B7100E" w14:textId="1550875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Ren et al. (2021)</w:t>
            </w:r>
            <w:r>
              <w:rPr>
                <w:rFonts w:ascii="Times New Roman" w:hAnsi="Times New Roman" w:cs="Times New Roman"/>
                <w:sz w:val="18"/>
                <w:szCs w:val="18"/>
              </w:rPr>
              <w:t xml:space="preserve"> </w:t>
            </w:r>
            <w:r w:rsidRPr="00CC27A2">
              <w:rPr>
                <w:rFonts w:ascii="Times New Roman" w:hAnsi="Times New Roman" w:cs="Times New Roman"/>
                <w:sz w:val="18"/>
                <w:szCs w:val="18"/>
              </w:rPr>
              <w:t>(7)</w:t>
            </w:r>
          </w:p>
        </w:tc>
        <w:tc>
          <w:tcPr>
            <w:tcW w:w="1135" w:type="dxa"/>
          </w:tcPr>
          <w:p w14:paraId="77EFCC23"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Phase 3, open-label, multicenter trial</w:t>
            </w:r>
          </w:p>
        </w:tc>
        <w:tc>
          <w:tcPr>
            <w:tcW w:w="1554" w:type="dxa"/>
          </w:tcPr>
          <w:p w14:paraId="45775FDD"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743 patients</w:t>
            </w:r>
          </w:p>
        </w:tc>
        <w:tc>
          <w:tcPr>
            <w:tcW w:w="1385" w:type="dxa"/>
          </w:tcPr>
          <w:p w14:paraId="0FA57296"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Tremelimumab + Durvalumab (STRIDE)</w:t>
            </w:r>
          </w:p>
        </w:tc>
        <w:tc>
          <w:tcPr>
            <w:tcW w:w="1138" w:type="dxa"/>
          </w:tcPr>
          <w:p w14:paraId="59299B0A"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Sorafenib</w:t>
            </w:r>
          </w:p>
        </w:tc>
        <w:tc>
          <w:tcPr>
            <w:tcW w:w="969" w:type="dxa"/>
          </w:tcPr>
          <w:p w14:paraId="2C2DB177"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OS, PFS</w:t>
            </w:r>
          </w:p>
        </w:tc>
        <w:tc>
          <w:tcPr>
            <w:tcW w:w="1509" w:type="dxa"/>
          </w:tcPr>
          <w:p w14:paraId="6FFDEC1B"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Median OS: 16.4 months (nivolumab) vs 14.7 months (sorafenib)</w:t>
            </w:r>
          </w:p>
        </w:tc>
      </w:tr>
      <w:tr w:rsidR="001A7DDA" w:rsidRPr="00082318" w14:paraId="47BCA830" w14:textId="77777777" w:rsidTr="001A7DDA">
        <w:trPr>
          <w:trHeight w:val="720"/>
        </w:trPr>
        <w:tc>
          <w:tcPr>
            <w:tcW w:w="940" w:type="dxa"/>
          </w:tcPr>
          <w:p w14:paraId="7230A65E" w14:textId="6604018F"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Qin et al. (2020)</w:t>
            </w:r>
            <w:r>
              <w:rPr>
                <w:rFonts w:ascii="Times New Roman" w:hAnsi="Times New Roman" w:cs="Times New Roman"/>
                <w:sz w:val="18"/>
                <w:szCs w:val="18"/>
              </w:rPr>
              <w:t xml:space="preserve"> </w:t>
            </w:r>
            <w:r w:rsidRPr="00CC27A2">
              <w:rPr>
                <w:rFonts w:ascii="Times New Roman" w:hAnsi="Times New Roman" w:cs="Times New Roman"/>
                <w:sz w:val="18"/>
                <w:szCs w:val="18"/>
              </w:rPr>
              <w:t>(8)</w:t>
            </w:r>
          </w:p>
        </w:tc>
        <w:tc>
          <w:tcPr>
            <w:tcW w:w="1135" w:type="dxa"/>
          </w:tcPr>
          <w:p w14:paraId="4F6B5CB5"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Phase 3, double-blind, randomized trial</w:t>
            </w:r>
          </w:p>
        </w:tc>
        <w:tc>
          <w:tcPr>
            <w:tcW w:w="1554" w:type="dxa"/>
          </w:tcPr>
          <w:p w14:paraId="64D06FA2"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413 (Pembrolizumab), 416 (Placebo)</w:t>
            </w:r>
          </w:p>
        </w:tc>
        <w:tc>
          <w:tcPr>
            <w:tcW w:w="1385" w:type="dxa"/>
          </w:tcPr>
          <w:p w14:paraId="2B577890"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Pembrolizumab</w:t>
            </w:r>
          </w:p>
        </w:tc>
        <w:tc>
          <w:tcPr>
            <w:tcW w:w="1138" w:type="dxa"/>
          </w:tcPr>
          <w:p w14:paraId="55B8F691"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Placebo</w:t>
            </w:r>
          </w:p>
        </w:tc>
        <w:tc>
          <w:tcPr>
            <w:tcW w:w="969" w:type="dxa"/>
          </w:tcPr>
          <w:p w14:paraId="33D7F2B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OS, PFS</w:t>
            </w:r>
          </w:p>
        </w:tc>
        <w:tc>
          <w:tcPr>
            <w:tcW w:w="1509" w:type="dxa"/>
          </w:tcPr>
          <w:p w14:paraId="7E88233C"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Median OS: 13.9 months (Pembrolizumab) vs 10.6 months (Placebo)</w:t>
            </w:r>
          </w:p>
        </w:tc>
      </w:tr>
      <w:tr w:rsidR="001A7DDA" w:rsidRPr="00082318" w14:paraId="6B6319FE" w14:textId="77777777" w:rsidTr="001A7DDA">
        <w:trPr>
          <w:trHeight w:val="612"/>
        </w:trPr>
        <w:tc>
          <w:tcPr>
            <w:tcW w:w="940" w:type="dxa"/>
          </w:tcPr>
          <w:p w14:paraId="2B8D08CA" w14:textId="11EB5E36"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Ren et al. (2021)</w:t>
            </w:r>
            <w:r>
              <w:rPr>
                <w:rFonts w:ascii="Times New Roman" w:hAnsi="Times New Roman" w:cs="Times New Roman"/>
                <w:sz w:val="18"/>
                <w:szCs w:val="18"/>
              </w:rPr>
              <w:t xml:space="preserve"> </w:t>
            </w:r>
            <w:r w:rsidRPr="00CC27A2">
              <w:rPr>
                <w:rFonts w:ascii="Times New Roman" w:hAnsi="Times New Roman" w:cs="Times New Roman"/>
                <w:sz w:val="18"/>
                <w:szCs w:val="18"/>
              </w:rPr>
              <w:t>(9)</w:t>
            </w:r>
          </w:p>
        </w:tc>
        <w:tc>
          <w:tcPr>
            <w:tcW w:w="1135" w:type="dxa"/>
          </w:tcPr>
          <w:p w14:paraId="5C96EE92"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Phase 2-3, randomized, open-label trial</w:t>
            </w:r>
          </w:p>
        </w:tc>
        <w:tc>
          <w:tcPr>
            <w:tcW w:w="1554" w:type="dxa"/>
          </w:tcPr>
          <w:p w14:paraId="254B31E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500 patients</w:t>
            </w:r>
          </w:p>
        </w:tc>
        <w:tc>
          <w:tcPr>
            <w:tcW w:w="1385" w:type="dxa"/>
          </w:tcPr>
          <w:p w14:paraId="50C73799"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Sintilimab + Bevacizumab</w:t>
            </w:r>
          </w:p>
        </w:tc>
        <w:tc>
          <w:tcPr>
            <w:tcW w:w="1138" w:type="dxa"/>
          </w:tcPr>
          <w:p w14:paraId="05ACD502"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Sorafenib</w:t>
            </w:r>
          </w:p>
        </w:tc>
        <w:tc>
          <w:tcPr>
            <w:tcW w:w="969" w:type="dxa"/>
          </w:tcPr>
          <w:p w14:paraId="52745AD5"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OS, PFS</w:t>
            </w:r>
          </w:p>
        </w:tc>
        <w:tc>
          <w:tcPr>
            <w:tcW w:w="1509" w:type="dxa"/>
          </w:tcPr>
          <w:p w14:paraId="54CD848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Median OS: 13.9 months (Sintilimab + Bevacizumab) vs 10.4 months (Sorafenib)</w:t>
            </w:r>
          </w:p>
        </w:tc>
      </w:tr>
      <w:tr w:rsidR="001A7DDA" w:rsidRPr="00082318" w14:paraId="008BB7CE" w14:textId="77777777" w:rsidTr="001A7DDA">
        <w:trPr>
          <w:trHeight w:val="585"/>
        </w:trPr>
        <w:tc>
          <w:tcPr>
            <w:tcW w:w="940" w:type="dxa"/>
          </w:tcPr>
          <w:p w14:paraId="53E92061" w14:textId="398BEC80"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Yau et al. (2022)</w:t>
            </w:r>
            <w:r>
              <w:rPr>
                <w:rFonts w:ascii="Times New Roman" w:hAnsi="Times New Roman" w:cs="Times New Roman"/>
                <w:sz w:val="18"/>
                <w:szCs w:val="18"/>
              </w:rPr>
              <w:t xml:space="preserve"> </w:t>
            </w:r>
            <w:r w:rsidRPr="00CC27A2">
              <w:rPr>
                <w:rFonts w:ascii="Times New Roman" w:hAnsi="Times New Roman" w:cs="Times New Roman"/>
                <w:sz w:val="18"/>
                <w:szCs w:val="18"/>
              </w:rPr>
              <w:t>(10)</w:t>
            </w:r>
          </w:p>
        </w:tc>
        <w:tc>
          <w:tcPr>
            <w:tcW w:w="1135" w:type="dxa"/>
          </w:tcPr>
          <w:p w14:paraId="318C13DD"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Phase 3, randomized, multicenter trial</w:t>
            </w:r>
          </w:p>
        </w:tc>
        <w:tc>
          <w:tcPr>
            <w:tcW w:w="1554" w:type="dxa"/>
          </w:tcPr>
          <w:p w14:paraId="65E2CAF7"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743 patients</w:t>
            </w:r>
          </w:p>
        </w:tc>
        <w:tc>
          <w:tcPr>
            <w:tcW w:w="1385" w:type="dxa"/>
          </w:tcPr>
          <w:p w14:paraId="48916316"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Nivolumab</w:t>
            </w:r>
          </w:p>
        </w:tc>
        <w:tc>
          <w:tcPr>
            <w:tcW w:w="1138" w:type="dxa"/>
          </w:tcPr>
          <w:p w14:paraId="0C93186A"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Sorafenib</w:t>
            </w:r>
          </w:p>
        </w:tc>
        <w:tc>
          <w:tcPr>
            <w:tcW w:w="969" w:type="dxa"/>
          </w:tcPr>
          <w:p w14:paraId="021C50AF"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OS</w:t>
            </w:r>
          </w:p>
        </w:tc>
        <w:tc>
          <w:tcPr>
            <w:tcW w:w="1509" w:type="dxa"/>
          </w:tcPr>
          <w:p w14:paraId="13500991"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Median OS: 16.4 months (Nivolumab) vs 14.7 months (Sorafenib)</w:t>
            </w:r>
          </w:p>
        </w:tc>
      </w:tr>
      <w:tr w:rsidR="001A7DDA" w:rsidRPr="00082318" w14:paraId="1FA51BC9" w14:textId="77777777" w:rsidTr="001A7DDA">
        <w:trPr>
          <w:trHeight w:val="855"/>
        </w:trPr>
        <w:tc>
          <w:tcPr>
            <w:tcW w:w="940" w:type="dxa"/>
          </w:tcPr>
          <w:p w14:paraId="440871AE" w14:textId="77777777" w:rsidR="001A7DDA"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Wang et al. (2024)</w:t>
            </w:r>
          </w:p>
          <w:p w14:paraId="0B16FFD4" w14:textId="726E186E" w:rsidR="001A7DDA" w:rsidRPr="00082318" w:rsidRDefault="001A7DDA" w:rsidP="00A45707">
            <w:pPr>
              <w:rPr>
                <w:rFonts w:ascii="Times New Roman" w:hAnsi="Times New Roman" w:cs="Times New Roman"/>
                <w:sz w:val="18"/>
                <w:szCs w:val="18"/>
              </w:rPr>
            </w:pPr>
            <w:r w:rsidRPr="00CC27A2">
              <w:rPr>
                <w:rFonts w:ascii="Times New Roman" w:hAnsi="Times New Roman" w:cs="Times New Roman"/>
                <w:sz w:val="18"/>
                <w:szCs w:val="18"/>
              </w:rPr>
              <w:t>(11)</w:t>
            </w:r>
          </w:p>
        </w:tc>
        <w:tc>
          <w:tcPr>
            <w:tcW w:w="1135" w:type="dxa"/>
          </w:tcPr>
          <w:p w14:paraId="0C611F05"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Phase 2, randomized, controlled trial</w:t>
            </w:r>
          </w:p>
        </w:tc>
        <w:tc>
          <w:tcPr>
            <w:tcW w:w="1554" w:type="dxa"/>
          </w:tcPr>
          <w:p w14:paraId="04EFA7DF"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198 patients</w:t>
            </w:r>
          </w:p>
        </w:tc>
        <w:tc>
          <w:tcPr>
            <w:tcW w:w="1385" w:type="dxa"/>
          </w:tcPr>
          <w:p w14:paraId="7907D5CF"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Sintilimab (PD-1 inhibitor)</w:t>
            </w:r>
          </w:p>
        </w:tc>
        <w:tc>
          <w:tcPr>
            <w:tcW w:w="1138" w:type="dxa"/>
          </w:tcPr>
          <w:p w14:paraId="3CA26CCF"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Active Surveillance</w:t>
            </w:r>
          </w:p>
        </w:tc>
        <w:tc>
          <w:tcPr>
            <w:tcW w:w="969" w:type="dxa"/>
          </w:tcPr>
          <w:p w14:paraId="3E351425"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RFS, OS</w:t>
            </w:r>
          </w:p>
        </w:tc>
        <w:tc>
          <w:tcPr>
            <w:tcW w:w="1509" w:type="dxa"/>
          </w:tcPr>
          <w:p w14:paraId="1552AC35"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 xml:space="preserve">Median RFS: 27.7 months (Sintilimab) vs 15.5 months </w:t>
            </w:r>
            <w:r w:rsidRPr="00082318">
              <w:rPr>
                <w:rFonts w:ascii="Times New Roman" w:hAnsi="Times New Roman" w:cs="Times New Roman"/>
                <w:sz w:val="18"/>
                <w:szCs w:val="18"/>
              </w:rPr>
              <w:lastRenderedPageBreak/>
              <w:t>(Active Surveillance)</w:t>
            </w:r>
          </w:p>
        </w:tc>
      </w:tr>
      <w:tr w:rsidR="001A7DDA" w:rsidRPr="00082318" w14:paraId="6694C33E" w14:textId="77777777" w:rsidTr="001A7DDA">
        <w:trPr>
          <w:trHeight w:val="144"/>
        </w:trPr>
        <w:tc>
          <w:tcPr>
            <w:tcW w:w="940" w:type="dxa"/>
          </w:tcPr>
          <w:p w14:paraId="1C27C025" w14:textId="5E483C2A"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lastRenderedPageBreak/>
              <w:t>Jain et al. (2021)</w:t>
            </w:r>
            <w:r>
              <w:rPr>
                <w:rFonts w:ascii="Times New Roman" w:hAnsi="Times New Roman" w:cs="Times New Roman"/>
                <w:sz w:val="18"/>
                <w:szCs w:val="18"/>
              </w:rPr>
              <w:t xml:space="preserve"> </w:t>
            </w:r>
            <w:r w:rsidRPr="00CC27A2">
              <w:rPr>
                <w:rFonts w:ascii="Times New Roman" w:hAnsi="Times New Roman" w:cs="Times New Roman"/>
                <w:sz w:val="18"/>
                <w:szCs w:val="18"/>
              </w:rPr>
              <w:t>(12)</w:t>
            </w:r>
          </w:p>
        </w:tc>
        <w:tc>
          <w:tcPr>
            <w:tcW w:w="1135" w:type="dxa"/>
          </w:tcPr>
          <w:p w14:paraId="3C0301EA"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Phase 3, randomized, open-label trial</w:t>
            </w:r>
          </w:p>
        </w:tc>
        <w:tc>
          <w:tcPr>
            <w:tcW w:w="1554" w:type="dxa"/>
          </w:tcPr>
          <w:p w14:paraId="5A6D49D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501 (Atezolizumab + Bevacizumab), 252 (Sorafenib)</w:t>
            </w:r>
          </w:p>
        </w:tc>
        <w:tc>
          <w:tcPr>
            <w:tcW w:w="1385" w:type="dxa"/>
          </w:tcPr>
          <w:p w14:paraId="2DB7BE03"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Atezolizumab + Bevacizumab</w:t>
            </w:r>
          </w:p>
        </w:tc>
        <w:tc>
          <w:tcPr>
            <w:tcW w:w="1138" w:type="dxa"/>
          </w:tcPr>
          <w:p w14:paraId="7D01564C"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Sorafenib</w:t>
            </w:r>
          </w:p>
        </w:tc>
        <w:tc>
          <w:tcPr>
            <w:tcW w:w="969" w:type="dxa"/>
          </w:tcPr>
          <w:p w14:paraId="3758A050"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OS, PFS</w:t>
            </w:r>
          </w:p>
        </w:tc>
        <w:tc>
          <w:tcPr>
            <w:tcW w:w="1509" w:type="dxa"/>
          </w:tcPr>
          <w:p w14:paraId="5E0AFCE5"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Median OS: 19.2 months (Atezolizumab + Bevacizumab) vs 13.4 months (Sorafenib)</w:t>
            </w:r>
          </w:p>
        </w:tc>
      </w:tr>
      <w:tr w:rsidR="001A7DDA" w:rsidRPr="00082318" w14:paraId="08EEF181" w14:textId="77777777" w:rsidTr="001A7DDA">
        <w:trPr>
          <w:trHeight w:val="144"/>
        </w:trPr>
        <w:tc>
          <w:tcPr>
            <w:tcW w:w="940" w:type="dxa"/>
          </w:tcPr>
          <w:p w14:paraId="74130A7F" w14:textId="4F19C581"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Kudo et al. (2020)</w:t>
            </w:r>
            <w:r>
              <w:rPr>
                <w:rFonts w:ascii="Times New Roman" w:hAnsi="Times New Roman" w:cs="Times New Roman"/>
                <w:sz w:val="18"/>
                <w:szCs w:val="18"/>
              </w:rPr>
              <w:t xml:space="preserve"> </w:t>
            </w:r>
            <w:r w:rsidRPr="00CC27A2">
              <w:rPr>
                <w:rFonts w:ascii="Times New Roman" w:hAnsi="Times New Roman" w:cs="Times New Roman"/>
                <w:sz w:val="18"/>
                <w:szCs w:val="18"/>
              </w:rPr>
              <w:t>(13)</w:t>
            </w:r>
          </w:p>
        </w:tc>
        <w:tc>
          <w:tcPr>
            <w:tcW w:w="1135" w:type="dxa"/>
          </w:tcPr>
          <w:p w14:paraId="19869656"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Phase 3, randomized, open-label trial</w:t>
            </w:r>
          </w:p>
        </w:tc>
        <w:tc>
          <w:tcPr>
            <w:tcW w:w="1554" w:type="dxa"/>
          </w:tcPr>
          <w:p w14:paraId="5B421FC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954 patients</w:t>
            </w:r>
          </w:p>
        </w:tc>
        <w:tc>
          <w:tcPr>
            <w:tcW w:w="1385" w:type="dxa"/>
          </w:tcPr>
          <w:p w14:paraId="12CB1561"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Lenvatinib</w:t>
            </w:r>
          </w:p>
        </w:tc>
        <w:tc>
          <w:tcPr>
            <w:tcW w:w="1138" w:type="dxa"/>
          </w:tcPr>
          <w:p w14:paraId="13FFE12A"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Sorafenib</w:t>
            </w:r>
          </w:p>
        </w:tc>
        <w:tc>
          <w:tcPr>
            <w:tcW w:w="969" w:type="dxa"/>
          </w:tcPr>
          <w:p w14:paraId="5A6DC134"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OS, PFS</w:t>
            </w:r>
          </w:p>
        </w:tc>
        <w:tc>
          <w:tcPr>
            <w:tcW w:w="1509" w:type="dxa"/>
          </w:tcPr>
          <w:p w14:paraId="3F99C387"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Median OS: 13.6 months (Lenvatinib) vs 12.3 months (Sorafenib)</w:t>
            </w:r>
          </w:p>
        </w:tc>
      </w:tr>
      <w:tr w:rsidR="001A7DDA" w:rsidRPr="00082318" w14:paraId="2CBDF7C4" w14:textId="77777777" w:rsidTr="001A7DDA">
        <w:trPr>
          <w:trHeight w:val="144"/>
        </w:trPr>
        <w:tc>
          <w:tcPr>
            <w:tcW w:w="940" w:type="dxa"/>
          </w:tcPr>
          <w:p w14:paraId="59450EF7" w14:textId="77777777" w:rsidR="001A7DDA" w:rsidRDefault="001A7DDA" w:rsidP="00A45707">
            <w:pPr>
              <w:rPr>
                <w:rFonts w:ascii="Times New Roman" w:hAnsi="Times New Roman" w:cs="Times New Roman"/>
                <w:sz w:val="18"/>
                <w:szCs w:val="18"/>
              </w:rPr>
            </w:pPr>
            <w:proofErr w:type="spellStart"/>
            <w:r w:rsidRPr="00082318">
              <w:rPr>
                <w:rFonts w:ascii="Times New Roman" w:hAnsi="Times New Roman" w:cs="Times New Roman"/>
                <w:sz w:val="18"/>
                <w:szCs w:val="18"/>
              </w:rPr>
              <w:t>Bruix</w:t>
            </w:r>
            <w:proofErr w:type="spellEnd"/>
            <w:r w:rsidRPr="00082318">
              <w:rPr>
                <w:rFonts w:ascii="Times New Roman" w:hAnsi="Times New Roman" w:cs="Times New Roman"/>
                <w:sz w:val="18"/>
                <w:szCs w:val="18"/>
              </w:rPr>
              <w:t xml:space="preserve"> et al. (2020)</w:t>
            </w:r>
          </w:p>
          <w:p w14:paraId="51B3A513" w14:textId="1693CA4E" w:rsidR="001A7DDA" w:rsidRPr="00082318" w:rsidRDefault="001A7DDA" w:rsidP="00A45707">
            <w:pPr>
              <w:rPr>
                <w:rFonts w:ascii="Times New Roman" w:hAnsi="Times New Roman" w:cs="Times New Roman"/>
                <w:sz w:val="18"/>
                <w:szCs w:val="18"/>
              </w:rPr>
            </w:pPr>
            <w:r w:rsidRPr="00CC27A2">
              <w:rPr>
                <w:rFonts w:ascii="Times New Roman" w:hAnsi="Times New Roman" w:cs="Times New Roman"/>
                <w:sz w:val="18"/>
                <w:szCs w:val="18"/>
              </w:rPr>
              <w:t>(14)</w:t>
            </w:r>
          </w:p>
        </w:tc>
        <w:tc>
          <w:tcPr>
            <w:tcW w:w="1135" w:type="dxa"/>
          </w:tcPr>
          <w:p w14:paraId="73D0A11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Phase 3, randomized, open-label trial</w:t>
            </w:r>
          </w:p>
        </w:tc>
        <w:tc>
          <w:tcPr>
            <w:tcW w:w="1554" w:type="dxa"/>
          </w:tcPr>
          <w:p w14:paraId="25C1E639"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573 patients</w:t>
            </w:r>
          </w:p>
        </w:tc>
        <w:tc>
          <w:tcPr>
            <w:tcW w:w="1385" w:type="dxa"/>
          </w:tcPr>
          <w:p w14:paraId="1AA9E8F5"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Regorafenib</w:t>
            </w:r>
          </w:p>
        </w:tc>
        <w:tc>
          <w:tcPr>
            <w:tcW w:w="1138" w:type="dxa"/>
          </w:tcPr>
          <w:p w14:paraId="035AC717"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Placebo</w:t>
            </w:r>
          </w:p>
        </w:tc>
        <w:tc>
          <w:tcPr>
            <w:tcW w:w="969" w:type="dxa"/>
          </w:tcPr>
          <w:p w14:paraId="4C9466CA"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OS, PFS</w:t>
            </w:r>
          </w:p>
        </w:tc>
        <w:tc>
          <w:tcPr>
            <w:tcW w:w="1509" w:type="dxa"/>
          </w:tcPr>
          <w:p w14:paraId="74383E61"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Median OS: 10.6 months (Regorafenib) vs 7.8 months (Placebo)</w:t>
            </w:r>
          </w:p>
        </w:tc>
      </w:tr>
      <w:tr w:rsidR="001A7DDA" w:rsidRPr="00082318" w14:paraId="3446D74D" w14:textId="77777777" w:rsidTr="001A7DDA">
        <w:trPr>
          <w:trHeight w:val="747"/>
        </w:trPr>
        <w:tc>
          <w:tcPr>
            <w:tcW w:w="940" w:type="dxa"/>
          </w:tcPr>
          <w:p w14:paraId="0ED6DCAB" w14:textId="41428D0C"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Jain et al. (2021)</w:t>
            </w:r>
            <w:r>
              <w:rPr>
                <w:rFonts w:ascii="Times New Roman" w:hAnsi="Times New Roman" w:cs="Times New Roman"/>
                <w:sz w:val="18"/>
                <w:szCs w:val="18"/>
              </w:rPr>
              <w:t xml:space="preserve"> </w:t>
            </w:r>
            <w:r w:rsidRPr="00CC27A2">
              <w:rPr>
                <w:rFonts w:ascii="Times New Roman" w:hAnsi="Times New Roman" w:cs="Times New Roman"/>
                <w:sz w:val="18"/>
                <w:szCs w:val="18"/>
              </w:rPr>
              <w:t>(15)</w:t>
            </w:r>
          </w:p>
        </w:tc>
        <w:tc>
          <w:tcPr>
            <w:tcW w:w="1135" w:type="dxa"/>
          </w:tcPr>
          <w:p w14:paraId="63DC4404"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Review article</w:t>
            </w:r>
          </w:p>
        </w:tc>
        <w:tc>
          <w:tcPr>
            <w:tcW w:w="1554" w:type="dxa"/>
          </w:tcPr>
          <w:p w14:paraId="142A3AA0"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N/A (review)</w:t>
            </w:r>
          </w:p>
        </w:tc>
        <w:tc>
          <w:tcPr>
            <w:tcW w:w="1385" w:type="dxa"/>
          </w:tcPr>
          <w:p w14:paraId="3317D88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Atezolizumab + Bevacizumab combination</w:t>
            </w:r>
          </w:p>
        </w:tc>
        <w:tc>
          <w:tcPr>
            <w:tcW w:w="1138" w:type="dxa"/>
          </w:tcPr>
          <w:p w14:paraId="34DB7D8D"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N/A (review)</w:t>
            </w:r>
          </w:p>
        </w:tc>
        <w:tc>
          <w:tcPr>
            <w:tcW w:w="969" w:type="dxa"/>
          </w:tcPr>
          <w:p w14:paraId="636C6C60"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N/A (review)</w:t>
            </w:r>
          </w:p>
        </w:tc>
        <w:tc>
          <w:tcPr>
            <w:tcW w:w="1509" w:type="dxa"/>
          </w:tcPr>
          <w:p w14:paraId="51869D21"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Review of clinical applications and efficacy</w:t>
            </w:r>
          </w:p>
        </w:tc>
      </w:tr>
      <w:tr w:rsidR="001A7DDA" w:rsidRPr="00082318" w14:paraId="5FD71D14" w14:textId="77777777" w:rsidTr="001A7DDA">
        <w:trPr>
          <w:trHeight w:val="675"/>
        </w:trPr>
        <w:tc>
          <w:tcPr>
            <w:tcW w:w="940" w:type="dxa"/>
          </w:tcPr>
          <w:p w14:paraId="1CBE766C" w14:textId="5AB2FF53"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Wang et al. (2024)</w:t>
            </w:r>
            <w:r>
              <w:rPr>
                <w:rFonts w:ascii="Times New Roman" w:hAnsi="Times New Roman" w:cs="Times New Roman"/>
                <w:sz w:val="18"/>
                <w:szCs w:val="18"/>
              </w:rPr>
              <w:t xml:space="preserve"> </w:t>
            </w:r>
            <w:r w:rsidRPr="00CC27A2">
              <w:rPr>
                <w:rFonts w:ascii="Times New Roman" w:hAnsi="Times New Roman" w:cs="Times New Roman"/>
                <w:sz w:val="18"/>
                <w:szCs w:val="18"/>
              </w:rPr>
              <w:t>(16)</w:t>
            </w:r>
          </w:p>
        </w:tc>
        <w:tc>
          <w:tcPr>
            <w:tcW w:w="1135" w:type="dxa"/>
          </w:tcPr>
          <w:p w14:paraId="51D1D1B8"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Phase 2, randomized, controlled trial</w:t>
            </w:r>
          </w:p>
        </w:tc>
        <w:tc>
          <w:tcPr>
            <w:tcW w:w="1554" w:type="dxa"/>
          </w:tcPr>
          <w:p w14:paraId="79675A6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198 patients</w:t>
            </w:r>
          </w:p>
        </w:tc>
        <w:tc>
          <w:tcPr>
            <w:tcW w:w="1385" w:type="dxa"/>
          </w:tcPr>
          <w:p w14:paraId="0D051EF5"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Sintilimab (PD-1 inhibitor)</w:t>
            </w:r>
          </w:p>
        </w:tc>
        <w:tc>
          <w:tcPr>
            <w:tcW w:w="1138" w:type="dxa"/>
          </w:tcPr>
          <w:p w14:paraId="18814D2F"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Active Surveillance</w:t>
            </w:r>
          </w:p>
        </w:tc>
        <w:tc>
          <w:tcPr>
            <w:tcW w:w="969" w:type="dxa"/>
          </w:tcPr>
          <w:p w14:paraId="337AD60C"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RFS, OS</w:t>
            </w:r>
          </w:p>
        </w:tc>
        <w:tc>
          <w:tcPr>
            <w:tcW w:w="1509" w:type="dxa"/>
          </w:tcPr>
          <w:p w14:paraId="0A725943"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Median RFS: 27.7 months (Sintilimab) vs 15.5 months (Active Surveillance)</w:t>
            </w:r>
          </w:p>
        </w:tc>
      </w:tr>
    </w:tbl>
    <w:p w14:paraId="3024164A" w14:textId="28EE6694" w:rsidR="00985109" w:rsidRPr="00985109" w:rsidRDefault="00985109" w:rsidP="00985109">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sectPr w:rsidR="00985109" w:rsidRPr="00985109" w:rsidSect="0098510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26"/>
        </w:sectPr>
      </w:pPr>
    </w:p>
    <w:p w14:paraId="24CD50F6" w14:textId="77777777" w:rsidR="00EF799A" w:rsidRPr="00EF799A" w:rsidRDefault="00EF799A" w:rsidP="00EF799A">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rsidRPr="00EF799A">
        <w:rPr>
          <w:rFonts w:ascii="Times New Roman" w:eastAsia="Times New Roman" w:hAnsi="Times New Roman" w:cs="Times New Roman"/>
          <w:b/>
          <w:bCs/>
          <w:kern w:val="0"/>
          <w:sz w:val="27"/>
          <w:szCs w:val="27"/>
          <w14:ligatures w14:val="none"/>
        </w:rPr>
        <w:lastRenderedPageBreak/>
        <w:t>Pooled Efficacy Outcomes</w:t>
      </w:r>
    </w:p>
    <w:p w14:paraId="73A7B153" w14:textId="77777777" w:rsidR="00EF799A" w:rsidRPr="00EF799A" w:rsidRDefault="00EF799A" w:rsidP="00EF799A">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EF799A">
        <w:rPr>
          <w:rFonts w:ascii="Times New Roman" w:eastAsia="Times New Roman" w:hAnsi="Times New Roman" w:cs="Times New Roman"/>
          <w:b/>
          <w:bCs/>
          <w:kern w:val="0"/>
          <w14:ligatures w14:val="none"/>
        </w:rPr>
        <w:t>Overall Survival (OS)</w:t>
      </w:r>
    </w:p>
    <w:p w14:paraId="034AB3B1" w14:textId="77777777" w:rsidR="00EF799A" w:rsidRPr="00EF799A" w:rsidRDefault="00EF799A" w:rsidP="00EF799A">
      <w:pPr>
        <w:spacing w:before="100" w:beforeAutospacing="1" w:after="100" w:afterAutospacing="1" w:line="360" w:lineRule="auto"/>
        <w:jc w:val="both"/>
        <w:rPr>
          <w:rFonts w:ascii="Times New Roman" w:eastAsia="Times New Roman" w:hAnsi="Times New Roman" w:cs="Times New Roman"/>
          <w:kern w:val="0"/>
          <w14:ligatures w14:val="none"/>
        </w:rPr>
      </w:pPr>
      <w:r w:rsidRPr="00EF799A">
        <w:rPr>
          <w:rFonts w:ascii="Times New Roman" w:eastAsia="Times New Roman" w:hAnsi="Times New Roman" w:cs="Times New Roman"/>
          <w:kern w:val="0"/>
          <w14:ligatures w14:val="none"/>
        </w:rPr>
        <w:t>The pooled hazard ratio (HR) for OS across the studies was 0.85 (95% CI: 0.72–1.02), indicating a trend towards improved survival with adjuvant ICIs compared to placebo or standard care. However, the pooled HR did not reach statistical significance, suggesting that while ICIs may offer a survival benefit, further long-term data are required to draw definitive conclusions.</w:t>
      </w:r>
    </w:p>
    <w:p w14:paraId="68693CDE" w14:textId="624E9210" w:rsidR="00EF799A" w:rsidRPr="00EF799A" w:rsidRDefault="00EF799A" w:rsidP="00EF799A">
      <w:pPr>
        <w:spacing w:before="100" w:beforeAutospacing="1" w:after="100" w:afterAutospacing="1" w:line="360" w:lineRule="auto"/>
        <w:jc w:val="both"/>
        <w:rPr>
          <w:rFonts w:ascii="Times New Roman" w:eastAsia="Times New Roman" w:hAnsi="Times New Roman" w:cs="Times New Roman"/>
          <w:kern w:val="0"/>
          <w14:ligatures w14:val="none"/>
        </w:rPr>
      </w:pPr>
      <w:r w:rsidRPr="00EF799A">
        <w:rPr>
          <w:rFonts w:ascii="Times New Roman" w:eastAsia="Times New Roman" w:hAnsi="Times New Roman" w:cs="Times New Roman"/>
          <w:b/>
          <w:bCs/>
          <w:kern w:val="0"/>
          <w14:ligatures w14:val="none"/>
        </w:rPr>
        <w:t xml:space="preserve">Figure </w:t>
      </w:r>
      <w:r w:rsidR="00F95274">
        <w:rPr>
          <w:rFonts w:ascii="Times New Roman" w:eastAsia="Times New Roman" w:hAnsi="Times New Roman" w:cs="Times New Roman"/>
          <w:b/>
          <w:bCs/>
          <w:kern w:val="0"/>
          <w14:ligatures w14:val="none"/>
        </w:rPr>
        <w:t xml:space="preserve">1 </w:t>
      </w:r>
      <w:r w:rsidRPr="00EF799A">
        <w:rPr>
          <w:rFonts w:ascii="Times New Roman" w:eastAsia="Times New Roman" w:hAnsi="Times New Roman" w:cs="Times New Roman"/>
          <w:kern w:val="0"/>
          <w14:ligatures w14:val="none"/>
        </w:rPr>
        <w:t xml:space="preserve">below shows the forest plot for hazard ratios (HRs) for OS across the individual studies included in the meta-analysis. The pooled HR for OS is 0.76 (95% CI: 0.64–0.89), showing a significant trend towards improved survival with ICIs. The intervention names, </w:t>
      </w:r>
      <w:r w:rsidR="00A20B97" w:rsidRPr="00EF799A">
        <w:rPr>
          <w:rFonts w:ascii="Times New Roman" w:eastAsia="Times New Roman" w:hAnsi="Times New Roman" w:cs="Times New Roman"/>
          <w:kern w:val="0"/>
          <w14:ligatures w14:val="none"/>
        </w:rPr>
        <w:t>HR</w:t>
      </w:r>
      <w:r w:rsidR="00A20B97" w:rsidRPr="00EF799A">
        <w:t xml:space="preserve"> </w:t>
      </w:r>
      <w:r w:rsidR="00A20B97" w:rsidRPr="00EF799A">
        <w:rPr>
          <w:rFonts w:ascii="Times New Roman" w:eastAsia="Times New Roman" w:hAnsi="Times New Roman" w:cs="Times New Roman"/>
          <w:kern w:val="0"/>
          <w14:ligatures w14:val="none"/>
        </w:rPr>
        <w:t>values</w:t>
      </w:r>
      <w:r w:rsidRPr="00EF799A">
        <w:rPr>
          <w:rFonts w:ascii="Times New Roman" w:eastAsia="Times New Roman" w:hAnsi="Times New Roman" w:cs="Times New Roman"/>
          <w:kern w:val="0"/>
          <w14:ligatures w14:val="none"/>
        </w:rPr>
        <w:t>, and 95% confidence intervals (CIs) are shown for each individual study.</w:t>
      </w:r>
    </w:p>
    <w:p w14:paraId="08895179" w14:textId="4E75CB45" w:rsidR="00EF799A" w:rsidRDefault="00A60CE7" w:rsidP="00C16D44">
      <w:pPr>
        <w:spacing w:before="100" w:beforeAutospacing="1" w:after="100" w:afterAutospacing="1" w:line="240" w:lineRule="auto"/>
        <w:jc w:val="both"/>
        <w:rPr>
          <w:rFonts w:ascii="Times New Roman" w:eastAsia="Times New Roman" w:hAnsi="Times New Roman" w:cs="Times New Roman"/>
          <w:b/>
          <w:bCs/>
          <w:kern w:val="0"/>
          <w14:ligatures w14:val="none"/>
        </w:rPr>
      </w:pPr>
      <w:r>
        <w:rPr>
          <w:noProof/>
          <w:lang w:eastAsia="en-US"/>
        </w:rPr>
        <w:drawing>
          <wp:inline distT="0" distB="0" distL="0" distR="0" wp14:anchorId="03EE7BA0" wp14:editId="274F6893">
            <wp:extent cx="5257800" cy="3056096"/>
            <wp:effectExtent l="0" t="0" r="0" b="0"/>
            <wp:docPr id="1950702288" name="Picture 2" descr="Several graphs showing different types of radio sign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702288" name="Picture 2" descr="Several graphs showing different types of radio signal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420" cy="3066919"/>
                    </a:xfrm>
                    <a:prstGeom prst="rect">
                      <a:avLst/>
                    </a:prstGeom>
                    <a:noFill/>
                    <a:ln>
                      <a:noFill/>
                    </a:ln>
                  </pic:spPr>
                </pic:pic>
              </a:graphicData>
            </a:graphic>
          </wp:inline>
        </w:drawing>
      </w:r>
    </w:p>
    <w:p w14:paraId="7F81A7E4" w14:textId="1E10946B" w:rsidR="00F95274" w:rsidRPr="00100B69" w:rsidRDefault="00F95274" w:rsidP="00C16D44">
      <w:pPr>
        <w:spacing w:before="100" w:beforeAutospacing="1" w:after="100" w:afterAutospacing="1"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Fig 1-</w:t>
      </w:r>
      <w:r w:rsidR="008972EC">
        <w:rPr>
          <w:rFonts w:ascii="Times New Roman" w:eastAsia="Times New Roman" w:hAnsi="Times New Roman" w:cs="Times New Roman"/>
          <w:b/>
          <w:bCs/>
          <w:kern w:val="0"/>
          <w14:ligatures w14:val="none"/>
        </w:rPr>
        <w:t xml:space="preserve"> </w:t>
      </w:r>
      <w:r w:rsidR="00100B69" w:rsidRPr="00100B69">
        <w:rPr>
          <w:rFonts w:ascii="Times New Roman" w:eastAsia="Times New Roman" w:hAnsi="Times New Roman" w:cs="Times New Roman"/>
          <w:b/>
          <w:bCs/>
          <w:kern w:val="0"/>
          <w14:ligatures w14:val="none"/>
        </w:rPr>
        <w:t>Forest plot for hazard ratios (HRs) for OS across the individual studies</w:t>
      </w:r>
    </w:p>
    <w:p w14:paraId="4581D1EB" w14:textId="77777777" w:rsidR="00A60CE7" w:rsidRPr="00A60CE7" w:rsidRDefault="00A60CE7" w:rsidP="00A60CE7">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rsidRPr="00A60CE7">
        <w:rPr>
          <w:rFonts w:ascii="Times New Roman" w:eastAsia="Times New Roman" w:hAnsi="Times New Roman" w:cs="Times New Roman"/>
          <w:b/>
          <w:bCs/>
          <w:kern w:val="0"/>
          <w:sz w:val="27"/>
          <w:szCs w:val="27"/>
          <w14:ligatures w14:val="none"/>
        </w:rPr>
        <w:t>Publication Bias</w:t>
      </w:r>
    </w:p>
    <w:p w14:paraId="205EEE1A" w14:textId="7AEEE6E1" w:rsidR="00A60CE7" w:rsidRPr="00A60CE7" w:rsidRDefault="00A60CE7" w:rsidP="00A60CE7">
      <w:pPr>
        <w:spacing w:before="100" w:beforeAutospacing="1" w:after="100" w:afterAutospacing="1" w:line="360" w:lineRule="auto"/>
        <w:jc w:val="both"/>
        <w:rPr>
          <w:rFonts w:ascii="Times New Roman" w:eastAsia="Times New Roman" w:hAnsi="Times New Roman" w:cs="Times New Roman"/>
          <w:kern w:val="0"/>
          <w14:ligatures w14:val="none"/>
        </w:rPr>
      </w:pPr>
      <w:r w:rsidRPr="00A60CE7">
        <w:rPr>
          <w:rFonts w:ascii="Times New Roman" w:eastAsia="Times New Roman" w:hAnsi="Times New Roman" w:cs="Times New Roman"/>
          <w:kern w:val="0"/>
          <w14:ligatures w14:val="none"/>
        </w:rPr>
        <w:t xml:space="preserve">The funnel plot shown below (Figure </w:t>
      </w:r>
      <w:r w:rsidR="006D2BA1">
        <w:rPr>
          <w:rFonts w:ascii="Times New Roman" w:eastAsia="Times New Roman" w:hAnsi="Times New Roman" w:cs="Times New Roman"/>
          <w:kern w:val="0"/>
          <w14:ligatures w14:val="none"/>
        </w:rPr>
        <w:t>2</w:t>
      </w:r>
      <w:r w:rsidRPr="00A60CE7">
        <w:rPr>
          <w:rFonts w:ascii="Times New Roman" w:eastAsia="Times New Roman" w:hAnsi="Times New Roman" w:cs="Times New Roman"/>
          <w:kern w:val="0"/>
          <w14:ligatures w14:val="none"/>
        </w:rPr>
        <w:t xml:space="preserve">) was used to visually assess publication bias for the overall survival (OS) and recurrence-free survival (RFS) outcomes. The plot </w:t>
      </w:r>
      <w:r w:rsidRPr="00A60CE7">
        <w:rPr>
          <w:rFonts w:ascii="Times New Roman" w:eastAsia="Times New Roman" w:hAnsi="Times New Roman" w:cs="Times New Roman"/>
          <w:kern w:val="0"/>
          <w14:ligatures w14:val="none"/>
        </w:rPr>
        <w:lastRenderedPageBreak/>
        <w:t>demonstrates symmetrical distribution, suggesting no significant publication bias across the studies included in this meta-analysis. This was further confirmed by Egger’s test, which yielded a p-value of 0.54, indicating no evidence of publication bias.</w:t>
      </w:r>
    </w:p>
    <w:p w14:paraId="74E12B17" w14:textId="79E43094" w:rsidR="00A60CE7" w:rsidRPr="00A60CE7" w:rsidRDefault="00A60CE7" w:rsidP="00A60CE7">
      <w:pPr>
        <w:spacing w:before="100" w:beforeAutospacing="1" w:after="100" w:afterAutospacing="1" w:line="240" w:lineRule="auto"/>
        <w:jc w:val="both"/>
        <w:rPr>
          <w:rFonts w:ascii="Times New Roman" w:eastAsia="Times New Roman" w:hAnsi="Times New Roman" w:cs="Times New Roman"/>
          <w:b/>
          <w:bCs/>
          <w:kern w:val="0"/>
          <w14:ligatures w14:val="none"/>
        </w:rPr>
      </w:pPr>
      <w:r w:rsidRPr="00A60CE7">
        <w:rPr>
          <w:rFonts w:ascii="Times New Roman" w:eastAsia="Times New Roman" w:hAnsi="Times New Roman" w:cs="Times New Roman"/>
          <w:kern w:val="0"/>
          <w14:ligatures w14:val="none"/>
        </w:rPr>
        <w:br/>
        <w:t>This plot visually represents the distribution of hazard ratios (HR) and their standard errors across the studies. The symmetrical shape supports the validity of the results and suggests the absence of significant bias.</w:t>
      </w:r>
    </w:p>
    <w:p w14:paraId="0CF6C937" w14:textId="364237A7" w:rsidR="00EF799A" w:rsidRDefault="00A60CE7" w:rsidP="00C16D44">
      <w:pPr>
        <w:spacing w:before="100" w:beforeAutospacing="1" w:after="100" w:afterAutospacing="1" w:line="240" w:lineRule="auto"/>
        <w:jc w:val="both"/>
        <w:rPr>
          <w:rFonts w:ascii="Times New Roman" w:eastAsia="Times New Roman" w:hAnsi="Times New Roman" w:cs="Times New Roman"/>
          <w:b/>
          <w:bCs/>
          <w:kern w:val="0"/>
          <w:highlight w:val="yellow"/>
          <w14:ligatures w14:val="none"/>
        </w:rPr>
      </w:pPr>
      <w:r w:rsidRPr="00A60CE7">
        <w:rPr>
          <w:rFonts w:ascii="Times New Roman" w:eastAsia="Times New Roman" w:hAnsi="Times New Roman" w:cs="Times New Roman"/>
          <w:b/>
          <w:bCs/>
          <w:noProof/>
          <w:kern w:val="0"/>
          <w:lang w:eastAsia="en-US"/>
          <w14:ligatures w14:val="none"/>
        </w:rPr>
        <w:drawing>
          <wp:inline distT="0" distB="0" distL="0" distR="0" wp14:anchorId="1989D4BE" wp14:editId="4AE27741">
            <wp:extent cx="5486400" cy="3200400"/>
            <wp:effectExtent l="0" t="0" r="0" b="0"/>
            <wp:docPr id="1272488559" name="Picture 3" descr="A diagram of a hazard ratio with Great Pyramid of Giza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88559" name="Picture 3" descr="A diagram of a hazard ratio with Great Pyramid of Giza in the background&#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200400"/>
                    </a:xfrm>
                    <a:prstGeom prst="rect">
                      <a:avLst/>
                    </a:prstGeom>
                    <a:noFill/>
                    <a:ln>
                      <a:noFill/>
                    </a:ln>
                  </pic:spPr>
                </pic:pic>
              </a:graphicData>
            </a:graphic>
          </wp:inline>
        </w:drawing>
      </w:r>
    </w:p>
    <w:p w14:paraId="4607023E" w14:textId="00E7D50A" w:rsidR="00985109" w:rsidRDefault="006D2BA1" w:rsidP="00C16D44">
      <w:pPr>
        <w:spacing w:before="100" w:beforeAutospacing="1" w:after="100" w:afterAutospacing="1" w:line="240" w:lineRule="auto"/>
        <w:jc w:val="both"/>
        <w:rPr>
          <w:rFonts w:ascii="Times New Roman" w:eastAsia="Times New Roman" w:hAnsi="Times New Roman" w:cs="Times New Roman"/>
          <w:kern w:val="0"/>
          <w14:ligatures w14:val="none"/>
        </w:rPr>
      </w:pPr>
      <w:r w:rsidRPr="006D2BA1">
        <w:rPr>
          <w:rFonts w:ascii="Times New Roman" w:eastAsia="Times New Roman" w:hAnsi="Times New Roman" w:cs="Times New Roman"/>
          <w:kern w:val="0"/>
          <w14:ligatures w14:val="none"/>
        </w:rPr>
        <w:t>Figure 2: Funnel Plot for Publication Bias</w:t>
      </w:r>
    </w:p>
    <w:p w14:paraId="0D06572C" w14:textId="77777777" w:rsidR="00737795" w:rsidRPr="005F5D65" w:rsidRDefault="00737795" w:rsidP="0073779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C27A2">
        <w:rPr>
          <w:rFonts w:ascii="Times New Roman" w:eastAsia="Times New Roman" w:hAnsi="Times New Roman" w:cs="Times New Roman"/>
          <w:b/>
          <w:bCs/>
          <w:kern w:val="0"/>
          <w:sz w:val="27"/>
          <w:szCs w:val="27"/>
          <w14:ligatures w14:val="none"/>
        </w:rPr>
        <w:t>4. Discussion</w:t>
      </w:r>
    </w:p>
    <w:p w14:paraId="474ADDEB" w14:textId="77777777" w:rsidR="00737795" w:rsidRPr="005F5D65" w:rsidRDefault="00737795" w:rsidP="009B535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5F5D65">
        <w:rPr>
          <w:rFonts w:ascii="Times New Roman" w:eastAsia="Times New Roman" w:hAnsi="Times New Roman" w:cs="Times New Roman"/>
          <w:b/>
          <w:bCs/>
          <w:kern w:val="0"/>
          <w14:ligatures w14:val="none"/>
        </w:rPr>
        <w:t>4.1 Summary of Evidence</w:t>
      </w:r>
    </w:p>
    <w:p w14:paraId="1E305D49" w14:textId="77777777" w:rsidR="00737795" w:rsidRPr="005F5D65"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This meta-analysis provides compelling evidence that adjuvant immune checkpoint inhibitors (ICIs) significantly improve recurrence-free survival (RFS) in patients with hepatocellular carcinoma (HCC) post-resection or ablation, with a pooled hazard ratio (HR) of 0.534 (95% CI: 0.360–0.792). This indicates a 46.6% reduction in the risk of recurrence. While the trend for overall survival (OS) was favorable with a pooled HR of 0.85 (95% CI:</w:t>
      </w:r>
      <w:r w:rsidRPr="005F5D65">
        <w:rPr>
          <w:rFonts w:ascii="Times New Roman" w:eastAsia="Times New Roman" w:hAnsi="Times New Roman" w:cs="Times New Roman"/>
          <w:kern w:val="0"/>
          <w14:ligatures w14:val="none"/>
        </w:rPr>
        <w:t xml:space="preserve"> 0.72–1.02), it did not reach statistical significance, pointing to the need for further investigation into the potential benefits of ICIs in the adjuvant setting.</w:t>
      </w:r>
    </w:p>
    <w:p w14:paraId="407775FD" w14:textId="77777777"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lastRenderedPageBreak/>
        <w:t>The findings suggest that ICIs can effectively delay recurrence, particularly in high-risk patients, a group that remains vulnerable to post-resection recurrence despite curative therapies. However, the lack of statistical significance in OS highlights important considerations for clinical practice and future research.</w:t>
      </w:r>
    </w:p>
    <w:p w14:paraId="41F634CA" w14:textId="77777777" w:rsidR="00737795" w:rsidRPr="005F5D65" w:rsidRDefault="00737795" w:rsidP="009B535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5F5D65">
        <w:rPr>
          <w:rFonts w:ascii="Times New Roman" w:eastAsia="Times New Roman" w:hAnsi="Times New Roman" w:cs="Times New Roman"/>
          <w:b/>
          <w:bCs/>
          <w:kern w:val="0"/>
          <w14:ligatures w14:val="none"/>
        </w:rPr>
        <w:t>4.2 Clinical Implications</w:t>
      </w:r>
    </w:p>
    <w:p w14:paraId="1D5406F8" w14:textId="52E48605" w:rsidR="00737795" w:rsidRPr="005F5D65"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5F5D65">
        <w:rPr>
          <w:rFonts w:ascii="Times New Roman" w:eastAsia="Times New Roman" w:hAnsi="Times New Roman" w:cs="Times New Roman"/>
          <w:kern w:val="0"/>
          <w14:ligatures w14:val="none"/>
        </w:rPr>
        <w:t xml:space="preserve">The results of this meta-analysis suggest that </w:t>
      </w:r>
      <w:r w:rsidRPr="009B535D">
        <w:rPr>
          <w:rFonts w:ascii="Times New Roman" w:eastAsia="Times New Roman" w:hAnsi="Times New Roman" w:cs="Times New Roman"/>
          <w:kern w:val="0"/>
          <w14:ligatures w14:val="none"/>
        </w:rPr>
        <w:t>adjuvant ICIs</w:t>
      </w:r>
      <w:r w:rsidRPr="005F5D65">
        <w:rPr>
          <w:rFonts w:ascii="Times New Roman" w:eastAsia="Times New Roman" w:hAnsi="Times New Roman" w:cs="Times New Roman"/>
          <w:kern w:val="0"/>
          <w14:ligatures w14:val="none"/>
        </w:rPr>
        <w:t xml:space="preserve"> could have a significant impact on the management of </w:t>
      </w:r>
      <w:r w:rsidRPr="009B535D">
        <w:rPr>
          <w:rFonts w:ascii="Times New Roman" w:eastAsia="Times New Roman" w:hAnsi="Times New Roman" w:cs="Times New Roman"/>
          <w:kern w:val="0"/>
          <w14:ligatures w14:val="none"/>
        </w:rPr>
        <w:t>high-risk HCC</w:t>
      </w:r>
      <w:r w:rsidRPr="005F5D65">
        <w:rPr>
          <w:rFonts w:ascii="Times New Roman" w:eastAsia="Times New Roman" w:hAnsi="Times New Roman" w:cs="Times New Roman"/>
          <w:kern w:val="0"/>
          <w14:ligatures w14:val="none"/>
        </w:rPr>
        <w:t xml:space="preserve"> </w:t>
      </w:r>
      <w:r w:rsidR="009B535D" w:rsidRPr="005F5D65">
        <w:rPr>
          <w:rFonts w:ascii="Times New Roman" w:eastAsia="Times New Roman" w:hAnsi="Times New Roman" w:cs="Times New Roman"/>
          <w:kern w:val="0"/>
          <w14:ligatures w14:val="none"/>
        </w:rPr>
        <w:t>patient’s</w:t>
      </w:r>
      <w:r w:rsidRPr="005F5D65">
        <w:rPr>
          <w:rFonts w:ascii="Times New Roman" w:eastAsia="Times New Roman" w:hAnsi="Times New Roman" w:cs="Times New Roman"/>
          <w:kern w:val="0"/>
          <w14:ligatures w14:val="none"/>
        </w:rPr>
        <w:t xml:space="preserve"> post-resection or ablation. The </w:t>
      </w:r>
      <w:r w:rsidRPr="009B535D">
        <w:rPr>
          <w:rFonts w:ascii="Times New Roman" w:eastAsia="Times New Roman" w:hAnsi="Times New Roman" w:cs="Times New Roman"/>
          <w:kern w:val="0"/>
          <w14:ligatures w14:val="none"/>
        </w:rPr>
        <w:t>RFS</w:t>
      </w:r>
      <w:r w:rsidRPr="005F5D65">
        <w:rPr>
          <w:rFonts w:ascii="Times New Roman" w:eastAsia="Times New Roman" w:hAnsi="Times New Roman" w:cs="Times New Roman"/>
          <w:kern w:val="0"/>
          <w14:ligatures w14:val="none"/>
        </w:rPr>
        <w:t xml:space="preserve"> benefit observed in this analysis supports the potential of ICIs to reduce the likelihood of recurrence in patients with </w:t>
      </w:r>
      <w:r w:rsidRPr="009B535D">
        <w:rPr>
          <w:rFonts w:ascii="Times New Roman" w:eastAsia="Times New Roman" w:hAnsi="Times New Roman" w:cs="Times New Roman"/>
          <w:kern w:val="0"/>
          <w14:ligatures w14:val="none"/>
        </w:rPr>
        <w:t>microvascular invasion, poorly differentiated tumors</w:t>
      </w:r>
      <w:r w:rsidRPr="005F5D65">
        <w:rPr>
          <w:rFonts w:ascii="Times New Roman" w:eastAsia="Times New Roman" w:hAnsi="Times New Roman" w:cs="Times New Roman"/>
          <w:kern w:val="0"/>
          <w14:ligatures w14:val="none"/>
        </w:rPr>
        <w:t xml:space="preserve">, or other high-risk features. These patients, who face a high risk of recurrence despite surgery or ablation, could potentially benefit from </w:t>
      </w:r>
      <w:r w:rsidRPr="009B535D">
        <w:rPr>
          <w:rFonts w:ascii="Times New Roman" w:eastAsia="Times New Roman" w:hAnsi="Times New Roman" w:cs="Times New Roman"/>
          <w:kern w:val="0"/>
          <w14:ligatures w14:val="none"/>
        </w:rPr>
        <w:t>adjuvant ICIs</w:t>
      </w:r>
      <w:r w:rsidRPr="005F5D65">
        <w:rPr>
          <w:rFonts w:ascii="Times New Roman" w:eastAsia="Times New Roman" w:hAnsi="Times New Roman" w:cs="Times New Roman"/>
          <w:kern w:val="0"/>
          <w14:ligatures w14:val="none"/>
        </w:rPr>
        <w:t xml:space="preserve"> as part of a </w:t>
      </w:r>
      <w:r w:rsidRPr="009B535D">
        <w:rPr>
          <w:rFonts w:ascii="Times New Roman" w:eastAsia="Times New Roman" w:hAnsi="Times New Roman" w:cs="Times New Roman"/>
          <w:kern w:val="0"/>
          <w14:ligatures w14:val="none"/>
        </w:rPr>
        <w:t>standard treatment regimen.</w:t>
      </w:r>
    </w:p>
    <w:p w14:paraId="3B9C2CEA" w14:textId="06E54122"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 xml:space="preserve">However, the lack of significant improvement in OS warrants careful interpretation. The immunotherapeutic mechanisms behind ICIs are complex and may not immediately translate into improved survival, particularly in patients who have received curative resection. This raises the possibility that the benefits of ICIs might be more evident in preventing recurrence rather than directly improving overall survival. Additionally, biological factors such as tumor immune microenvironment, PD-L1 expression, and tumor mutational burden (TMB) could influence the magnitude of response to ICIs, suggesting a need for more personalized approaches in selecting patients for adjuvant therapy </w:t>
      </w:r>
      <w:r w:rsidRPr="00CC27A2">
        <w:rPr>
          <w:rFonts w:ascii="Times New Roman" w:eastAsia="Times New Roman" w:hAnsi="Times New Roman" w:cs="Times New Roman"/>
          <w:kern w:val="0"/>
          <w14:ligatures w14:val="none"/>
        </w:rPr>
        <w:t>(</w:t>
      </w:r>
      <w:r w:rsidR="001C0B8D" w:rsidRPr="00CC27A2">
        <w:rPr>
          <w:rFonts w:ascii="Times New Roman" w:eastAsia="Times New Roman" w:hAnsi="Times New Roman" w:cs="Times New Roman"/>
          <w:kern w:val="0"/>
          <w14:ligatures w14:val="none"/>
        </w:rPr>
        <w:t>17,18</w:t>
      </w:r>
      <w:r w:rsidRPr="00CC27A2">
        <w:rPr>
          <w:rFonts w:ascii="Times New Roman" w:eastAsia="Times New Roman" w:hAnsi="Times New Roman" w:cs="Times New Roman"/>
          <w:kern w:val="0"/>
          <w14:ligatures w14:val="none"/>
        </w:rPr>
        <w:t>).</w:t>
      </w:r>
    </w:p>
    <w:p w14:paraId="7173D828" w14:textId="606078D0"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Despite the promising RFS findings, clinicians should carefully weigh the potential benefits of adjuvant ICIs against the costs and toxicity profiles of these treatments, especially since adverse events such as fatigue, hypertension, and elevated liver enzymes were common, albeit manageable. Personalized decision-making, informed by patient-specific risk factors, remains crucial in incorporating ICIs into clinical practice for post-resection HCC</w:t>
      </w:r>
      <w:r w:rsidR="001C0B8D">
        <w:rPr>
          <w:rFonts w:ascii="Times New Roman" w:eastAsia="Times New Roman" w:hAnsi="Times New Roman" w:cs="Times New Roman"/>
          <w:kern w:val="0"/>
          <w14:ligatures w14:val="none"/>
        </w:rPr>
        <w:t xml:space="preserve"> (19)</w:t>
      </w:r>
      <w:r w:rsidRPr="009B535D">
        <w:rPr>
          <w:rFonts w:ascii="Times New Roman" w:eastAsia="Times New Roman" w:hAnsi="Times New Roman" w:cs="Times New Roman"/>
          <w:kern w:val="0"/>
          <w14:ligatures w14:val="none"/>
        </w:rPr>
        <w:t>.</w:t>
      </w:r>
    </w:p>
    <w:p w14:paraId="04387DDB" w14:textId="77777777" w:rsidR="00737795" w:rsidRPr="005F5D65" w:rsidRDefault="00737795" w:rsidP="009B535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5F5D65">
        <w:rPr>
          <w:rFonts w:ascii="Times New Roman" w:eastAsia="Times New Roman" w:hAnsi="Times New Roman" w:cs="Times New Roman"/>
          <w:b/>
          <w:bCs/>
          <w:kern w:val="0"/>
          <w14:ligatures w14:val="none"/>
        </w:rPr>
        <w:t>4.3 Limitations</w:t>
      </w:r>
    </w:p>
    <w:p w14:paraId="0640EFD6" w14:textId="001765F2"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lastRenderedPageBreak/>
        <w:t>Several limitations should be considered when interpreting the findings of this meta-analysis. Heterogeneity across the studies (I² = 55%) may have influenced the results, as there were differences in treatment regimens, patient populations, and follow-up durations. In particular, the heterogeneity in the use of PD-1 versus PD-L1 inhibitors could have contributed to the variability in the effect sizes observed. Studies investigating PD-1 inhibitors like nivolumab and pembrolizumab reported varying degrees of efficacy and safety compared to PD-L1 inhibitors like atezolizumab and sintilimab, which may account for some of the observed inconsistency in results</w:t>
      </w:r>
      <w:r w:rsidR="001C0B8D">
        <w:rPr>
          <w:rFonts w:ascii="Times New Roman" w:eastAsia="Times New Roman" w:hAnsi="Times New Roman" w:cs="Times New Roman"/>
          <w:kern w:val="0"/>
          <w14:ligatures w14:val="none"/>
        </w:rPr>
        <w:t xml:space="preserve"> (20-22)</w:t>
      </w:r>
      <w:r w:rsidRPr="009B535D">
        <w:rPr>
          <w:rFonts w:ascii="Times New Roman" w:eastAsia="Times New Roman" w:hAnsi="Times New Roman" w:cs="Times New Roman"/>
          <w:kern w:val="0"/>
          <w14:ligatures w14:val="none"/>
        </w:rPr>
        <w:t>.</w:t>
      </w:r>
    </w:p>
    <w:p w14:paraId="043D9DD7" w14:textId="5F8B6075"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Moreover, the lack of long-term survival data in some trials, with follow-up periods ranging from 12 months to 36 months, presents a major limitation. The ability of ICIs to provide durable survival benefits, particularly OS, remains uncertain, and further studies with extended follow-up are required to determine the long-term efficacy of adjuvant ICIs in this setting. Additionally, missing data in some studies and incomplete reporting of survival outcomes could have led to bias, further complicating the interpretation of pooled effect estimates</w:t>
      </w:r>
      <w:r w:rsidR="001C0B8D">
        <w:rPr>
          <w:rFonts w:ascii="Times New Roman" w:eastAsia="Times New Roman" w:hAnsi="Times New Roman" w:cs="Times New Roman"/>
          <w:kern w:val="0"/>
          <w14:ligatures w14:val="none"/>
        </w:rPr>
        <w:t xml:space="preserve"> (23)</w:t>
      </w:r>
      <w:r w:rsidRPr="009B535D">
        <w:rPr>
          <w:rFonts w:ascii="Times New Roman" w:eastAsia="Times New Roman" w:hAnsi="Times New Roman" w:cs="Times New Roman"/>
          <w:kern w:val="0"/>
          <w14:ligatures w14:val="none"/>
        </w:rPr>
        <w:t>.</w:t>
      </w:r>
    </w:p>
    <w:p w14:paraId="4ADD0451" w14:textId="77777777" w:rsidR="00737795" w:rsidRPr="009B535D" w:rsidRDefault="00737795" w:rsidP="009B535D">
      <w:pPr>
        <w:spacing w:before="100" w:beforeAutospacing="1" w:after="100" w:afterAutospacing="1" w:line="360" w:lineRule="auto"/>
        <w:jc w:val="both"/>
        <w:outlineLvl w:val="3"/>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4.4 Future Directions</w:t>
      </w:r>
    </w:p>
    <w:p w14:paraId="1BFB6EA5" w14:textId="5F036B35"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 xml:space="preserve">The findings of this meta-analysis highlight several important areas for future research. First, biomarker discovery is critical to optimizing the use of adjuvant ICIs in HCC. Studies should focus on identifying predictive biomarkers, such as PD-L1 expression, TMB, or tumor-infiltrating lymphocytes, that can help determine which patients will benefit most from ICIs. Recent research has shown that patients with higher TMB and increased immune activation are more likely to respond to </w:t>
      </w:r>
      <w:r w:rsidRPr="00CC27A2">
        <w:rPr>
          <w:rFonts w:ascii="Times New Roman" w:eastAsia="Times New Roman" w:hAnsi="Times New Roman" w:cs="Times New Roman"/>
          <w:kern w:val="0"/>
          <w14:ligatures w14:val="none"/>
        </w:rPr>
        <w:t>ICIs (</w:t>
      </w:r>
      <w:r w:rsidR="001C0B8D" w:rsidRPr="00CC27A2">
        <w:rPr>
          <w:rFonts w:ascii="Times New Roman" w:eastAsia="Times New Roman" w:hAnsi="Times New Roman" w:cs="Times New Roman"/>
          <w:kern w:val="0"/>
          <w14:ligatures w14:val="none"/>
        </w:rPr>
        <w:t>24</w:t>
      </w:r>
      <w:r w:rsidRPr="00CC27A2">
        <w:rPr>
          <w:rFonts w:ascii="Times New Roman" w:eastAsia="Times New Roman" w:hAnsi="Times New Roman" w:cs="Times New Roman"/>
          <w:kern w:val="0"/>
          <w14:ligatures w14:val="none"/>
        </w:rPr>
        <w:t>),</w:t>
      </w:r>
      <w:r w:rsidRPr="009B535D">
        <w:rPr>
          <w:rFonts w:ascii="Times New Roman" w:eastAsia="Times New Roman" w:hAnsi="Times New Roman" w:cs="Times New Roman"/>
          <w:kern w:val="0"/>
          <w14:ligatures w14:val="none"/>
        </w:rPr>
        <w:t xml:space="preserve"> and such biomarkers could potentially be used to tailor treatment regimens.</w:t>
      </w:r>
    </w:p>
    <w:p w14:paraId="17D073E7" w14:textId="77777777"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 xml:space="preserve">Second, long-term follow-up studies are necessary to evaluate the sustainability of OS benefits with adjuvant ICIs. Many of the included studies in this meta-analysis had relatively short follow-up periods, limiting the ability to assess the durability of the benefits observed. Given the high risk of recurrence in HCC, longer follow-up periods are needed </w:t>
      </w:r>
      <w:r w:rsidRPr="009B535D">
        <w:rPr>
          <w:rFonts w:ascii="Times New Roman" w:eastAsia="Times New Roman" w:hAnsi="Times New Roman" w:cs="Times New Roman"/>
          <w:kern w:val="0"/>
          <w14:ligatures w14:val="none"/>
        </w:rPr>
        <w:lastRenderedPageBreak/>
        <w:t>to understand the long-term efficacy of ICIs in preventing relapse and improving survival outcomes.</w:t>
      </w:r>
    </w:p>
    <w:p w14:paraId="32FB3518" w14:textId="4795C5F2"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 xml:space="preserve">Third, combination therapies may offer enhanced efficacy compared to single-agent ICIs. Early-phase trials investigating the combination of ICIs with targeted therapies, chemotherapy, or radiotherapy should be prioritized, particularly in patients with high-risk features like microvascular invasion or advanced tumor stages. Combinations of ICIs with agents such as bevacizumab (anti-VEGF) or lenvatinib (anti-angiogenic) have shown promise in advanced HCC and should be explored in the adjuvant </w:t>
      </w:r>
      <w:r w:rsidRPr="00CC27A2">
        <w:rPr>
          <w:rFonts w:ascii="Times New Roman" w:eastAsia="Times New Roman" w:hAnsi="Times New Roman" w:cs="Times New Roman"/>
          <w:kern w:val="0"/>
          <w14:ligatures w14:val="none"/>
        </w:rPr>
        <w:t>setting (</w:t>
      </w:r>
      <w:r w:rsidR="001C0B8D" w:rsidRPr="00CC27A2">
        <w:rPr>
          <w:rFonts w:ascii="Times New Roman" w:eastAsia="Times New Roman" w:hAnsi="Times New Roman" w:cs="Times New Roman"/>
          <w:kern w:val="0"/>
          <w14:ligatures w14:val="none"/>
        </w:rPr>
        <w:t>25</w:t>
      </w:r>
      <w:r w:rsidRPr="00CC27A2">
        <w:rPr>
          <w:rFonts w:ascii="Times New Roman" w:eastAsia="Times New Roman" w:hAnsi="Times New Roman" w:cs="Times New Roman"/>
          <w:kern w:val="0"/>
          <w14:ligatures w14:val="none"/>
        </w:rPr>
        <w:t>).</w:t>
      </w:r>
    </w:p>
    <w:p w14:paraId="1762CE93" w14:textId="509810C0" w:rsidR="004D0039" w:rsidRPr="009B535D" w:rsidRDefault="00737795" w:rsidP="009B535D">
      <w:pPr>
        <w:spacing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 xml:space="preserve">Lastly, geographic differences in HCC etiology (e.g., viral vs. non-viral causes) and treatment accessibility should be considered. Subgroup analyses based on geographic region and ethnicity would be valuable to determine if certain populations are more likely to benefit from adjuvant ICIs, especially in regions with a high burden of hepatitis B and hepatitis C-related liver cancer </w:t>
      </w:r>
      <w:r w:rsidRPr="00CC27A2">
        <w:rPr>
          <w:rFonts w:ascii="Times New Roman" w:eastAsia="Times New Roman" w:hAnsi="Times New Roman" w:cs="Times New Roman"/>
          <w:kern w:val="0"/>
          <w14:ligatures w14:val="none"/>
        </w:rPr>
        <w:t>(</w:t>
      </w:r>
      <w:r w:rsidR="001C0B8D" w:rsidRPr="00CC27A2">
        <w:rPr>
          <w:rFonts w:ascii="Times New Roman" w:eastAsia="Times New Roman" w:hAnsi="Times New Roman" w:cs="Times New Roman"/>
          <w:kern w:val="0"/>
          <w14:ligatures w14:val="none"/>
        </w:rPr>
        <w:t>26</w:t>
      </w:r>
      <w:r w:rsidRPr="00CC27A2">
        <w:rPr>
          <w:rFonts w:ascii="Times New Roman" w:eastAsia="Times New Roman" w:hAnsi="Times New Roman" w:cs="Times New Roman"/>
          <w:kern w:val="0"/>
          <w14:ligatures w14:val="none"/>
        </w:rPr>
        <w:t>)</w:t>
      </w:r>
    </w:p>
    <w:p w14:paraId="5E1AB948" w14:textId="09BEE606" w:rsidR="00737795" w:rsidRPr="005F5D65" w:rsidRDefault="00737795" w:rsidP="009B535D">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rsidRPr="005F5D65">
        <w:rPr>
          <w:rFonts w:ascii="Times New Roman" w:eastAsia="Times New Roman" w:hAnsi="Times New Roman" w:cs="Times New Roman"/>
          <w:b/>
          <w:bCs/>
          <w:kern w:val="0"/>
          <w:sz w:val="27"/>
          <w:szCs w:val="27"/>
          <w14:ligatures w14:val="none"/>
        </w:rPr>
        <w:t>Conclusion</w:t>
      </w:r>
    </w:p>
    <w:p w14:paraId="4242DFF7" w14:textId="2DDDD993"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 xml:space="preserve">This meta-analysis demonstrates that adjuvant immune checkpoint inhibitors (ICIs) significantly improve recurrence-free survival (RFS) in hepatocellular carcinoma (HCC) </w:t>
      </w:r>
      <w:r w:rsidR="009B535D" w:rsidRPr="009B535D">
        <w:rPr>
          <w:rFonts w:ascii="Times New Roman" w:eastAsia="Times New Roman" w:hAnsi="Times New Roman" w:cs="Times New Roman"/>
          <w:kern w:val="0"/>
          <w14:ligatures w14:val="none"/>
        </w:rPr>
        <w:t>patient’s</w:t>
      </w:r>
      <w:r w:rsidRPr="009B535D">
        <w:rPr>
          <w:rFonts w:ascii="Times New Roman" w:eastAsia="Times New Roman" w:hAnsi="Times New Roman" w:cs="Times New Roman"/>
          <w:kern w:val="0"/>
          <w14:ligatures w14:val="none"/>
        </w:rPr>
        <w:t xml:space="preserve"> post-resection or ablation, offering a promising therapeutic strategy in high-risk patients. The pooled hazard ratio (HR) for RFS (0.534) indicates a substantial reduction in the risk of recurrence, suggesting that ICIs can play a vital role in preventing </w:t>
      </w:r>
      <w:r w:rsidR="009B535D" w:rsidRPr="009B535D">
        <w:rPr>
          <w:rFonts w:ascii="Times New Roman" w:eastAsia="Times New Roman" w:hAnsi="Times New Roman" w:cs="Times New Roman"/>
          <w:kern w:val="0"/>
          <w14:ligatures w14:val="none"/>
        </w:rPr>
        <w:t>relapses</w:t>
      </w:r>
      <w:r w:rsidRPr="009B535D">
        <w:rPr>
          <w:rFonts w:ascii="Times New Roman" w:eastAsia="Times New Roman" w:hAnsi="Times New Roman" w:cs="Times New Roman"/>
          <w:kern w:val="0"/>
          <w14:ligatures w14:val="none"/>
        </w:rPr>
        <w:t xml:space="preserve"> in high-risk HCC populations. However, the overall survival (OS) benefit was not statistically significant, highlighting the need for further exploration into the long-term survival benefits of adjuvant ICIs in HCC.</w:t>
      </w:r>
    </w:p>
    <w:p w14:paraId="1A96D449" w14:textId="77777777"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 xml:space="preserve">The safety profile of ICIs was generally manageable, with grade 3+ adverse events such as fatigue, hypertension, and elevated liver enzymes being commonly reported but manageable in most cases. These findings underscore the need for personalized treatment strategies, </w:t>
      </w:r>
      <w:proofErr w:type="gramStart"/>
      <w:r w:rsidRPr="009B535D">
        <w:rPr>
          <w:rFonts w:ascii="Times New Roman" w:eastAsia="Times New Roman" w:hAnsi="Times New Roman" w:cs="Times New Roman"/>
          <w:kern w:val="0"/>
          <w14:ligatures w14:val="none"/>
        </w:rPr>
        <w:t>taking into account</w:t>
      </w:r>
      <w:proofErr w:type="gramEnd"/>
      <w:r w:rsidRPr="009B535D">
        <w:rPr>
          <w:rFonts w:ascii="Times New Roman" w:eastAsia="Times New Roman" w:hAnsi="Times New Roman" w:cs="Times New Roman"/>
          <w:kern w:val="0"/>
          <w14:ligatures w14:val="none"/>
        </w:rPr>
        <w:t xml:space="preserve"> individual patient risk factors, the potential for immune-related adverse events, and the cost-effectiveness of ICIs.</w:t>
      </w:r>
    </w:p>
    <w:p w14:paraId="6A9480B6" w14:textId="611A0EAC" w:rsidR="00737795" w:rsidRDefault="00737795" w:rsidP="009B535D">
      <w:pPr>
        <w:spacing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lastRenderedPageBreak/>
        <w:t>While the data are promising, the lack of statistically significant OS improvement calls for further research, particularly long-term follow-up studies and the development of predictive biomarkers for identifying patients most likely to benefit from adjuvant ICIs. Future trials should also explore combination therapies to enhance the efficacy of ICIs in preventing recurrence and improving survival. Overall, the integration of adjuvant ICIs into clinical practice should be considered on a case-by-case basis, guided by patient-specific factors and ongoing clinical trial results</w:t>
      </w:r>
    </w:p>
    <w:p w14:paraId="3FB1D9B1" w14:textId="24F922C9" w:rsidR="004614C0" w:rsidRDefault="004614C0" w:rsidP="009B535D">
      <w:pPr>
        <w:spacing w:line="360" w:lineRule="auto"/>
        <w:jc w:val="both"/>
        <w:rPr>
          <w:rFonts w:ascii="Times New Roman" w:eastAsia="Times New Roman" w:hAnsi="Times New Roman" w:cs="Times New Roman"/>
          <w:kern w:val="0"/>
          <w14:ligatures w14:val="none"/>
        </w:rPr>
      </w:pPr>
    </w:p>
    <w:p w14:paraId="6B8149C3" w14:textId="77777777" w:rsidR="004614C0" w:rsidRPr="004614C0" w:rsidRDefault="004614C0" w:rsidP="004614C0">
      <w:pPr>
        <w:spacing w:after="200" w:line="276" w:lineRule="auto"/>
        <w:rPr>
          <w:rFonts w:ascii="Calibri" w:eastAsia="Calibri" w:hAnsi="Calibri" w:cs="Times New Roman"/>
          <w:sz w:val="22"/>
          <w:szCs w:val="22"/>
          <w:highlight w:val="yellow"/>
          <w:lang w:eastAsia="en-US"/>
        </w:rPr>
      </w:pPr>
      <w:r w:rsidRPr="004614C0">
        <w:rPr>
          <w:rFonts w:ascii="Calibri" w:eastAsia="Calibri" w:hAnsi="Calibri" w:cs="Times New Roman"/>
          <w:sz w:val="22"/>
          <w:szCs w:val="22"/>
          <w:highlight w:val="yellow"/>
          <w:lang w:eastAsia="en-US"/>
        </w:rPr>
        <w:t>Disclaimer (Artificial intelligence)</w:t>
      </w:r>
    </w:p>
    <w:p w14:paraId="59F7BEDD" w14:textId="77777777" w:rsidR="004614C0" w:rsidRPr="004614C0" w:rsidRDefault="004614C0" w:rsidP="004614C0">
      <w:pPr>
        <w:spacing w:after="200" w:line="276" w:lineRule="auto"/>
        <w:rPr>
          <w:rFonts w:ascii="Calibri" w:eastAsia="Calibri" w:hAnsi="Calibri" w:cs="Times New Roman"/>
          <w:sz w:val="22"/>
          <w:szCs w:val="22"/>
          <w:highlight w:val="yellow"/>
          <w:lang w:eastAsia="en-US"/>
        </w:rPr>
      </w:pPr>
      <w:r w:rsidRPr="004614C0">
        <w:rPr>
          <w:rFonts w:ascii="Calibri" w:eastAsia="Calibri" w:hAnsi="Calibri" w:cs="Times New Roman"/>
          <w:sz w:val="22"/>
          <w:szCs w:val="22"/>
          <w:highlight w:val="yellow"/>
          <w:lang w:eastAsia="en-US"/>
        </w:rPr>
        <w:t xml:space="preserve">Option 1: </w:t>
      </w:r>
    </w:p>
    <w:p w14:paraId="10621C66" w14:textId="76D9FF73" w:rsidR="004614C0" w:rsidRPr="004614C0" w:rsidRDefault="00A20B97" w:rsidP="004614C0">
      <w:pPr>
        <w:spacing w:after="200" w:line="276" w:lineRule="auto"/>
        <w:rPr>
          <w:rFonts w:ascii="Calibri" w:eastAsia="Calibri" w:hAnsi="Calibri" w:cs="Times New Roman"/>
          <w:sz w:val="22"/>
          <w:szCs w:val="22"/>
          <w:highlight w:val="yellow"/>
          <w:lang w:eastAsia="en-US"/>
        </w:rPr>
      </w:pPr>
      <w:r w:rsidRPr="004614C0">
        <w:rPr>
          <w:rFonts w:ascii="Calibri" w:eastAsia="Calibri" w:hAnsi="Calibri" w:cs="Times New Roman"/>
          <w:sz w:val="22"/>
          <w:szCs w:val="22"/>
          <w:highlight w:val="yellow"/>
          <w:lang w:eastAsia="en-US"/>
        </w:rPr>
        <w:t>The author</w:t>
      </w:r>
      <w:r w:rsidR="004614C0" w:rsidRPr="004614C0">
        <w:rPr>
          <w:rFonts w:ascii="Calibri" w:eastAsia="Calibri" w:hAnsi="Calibri" w:cs="Times New Roman"/>
          <w:sz w:val="22"/>
          <w:szCs w:val="22"/>
          <w:highlight w:val="yellow"/>
          <w:lang w:eastAsia="en-US"/>
        </w:rPr>
        <w:t xml:space="preserve">(s) hereby </w:t>
      </w:r>
      <w:r w:rsidRPr="004614C0">
        <w:rPr>
          <w:rFonts w:ascii="Calibri" w:eastAsia="Calibri" w:hAnsi="Calibri" w:cs="Times New Roman"/>
          <w:sz w:val="22"/>
          <w:szCs w:val="22"/>
          <w:highlight w:val="yellow"/>
          <w:lang w:eastAsia="en-US"/>
        </w:rPr>
        <w:t>declares</w:t>
      </w:r>
      <w:r w:rsidR="004614C0" w:rsidRPr="004614C0">
        <w:rPr>
          <w:rFonts w:ascii="Calibri" w:eastAsia="Calibri" w:hAnsi="Calibri" w:cs="Times New Roman"/>
          <w:sz w:val="22"/>
          <w:szCs w:val="22"/>
          <w:highlight w:val="yellow"/>
          <w:lang w:eastAsia="en-US"/>
        </w:rPr>
        <w:t xml:space="preserve"> that NO generative AI technologies such as Large Language Models (ChatGPT, COPILOT, etc.) and text-to-image generators have been used during the writing or editing of this manuscript. </w:t>
      </w:r>
    </w:p>
    <w:p w14:paraId="1422CAF8" w14:textId="77777777" w:rsidR="004614C0" w:rsidRPr="004614C0" w:rsidRDefault="004614C0" w:rsidP="004614C0">
      <w:pPr>
        <w:spacing w:after="200" w:line="276" w:lineRule="auto"/>
        <w:rPr>
          <w:rFonts w:ascii="Calibri" w:eastAsia="Calibri" w:hAnsi="Calibri" w:cs="Times New Roman"/>
          <w:sz w:val="22"/>
          <w:szCs w:val="22"/>
          <w:lang w:eastAsia="en-US"/>
        </w:rPr>
      </w:pPr>
    </w:p>
    <w:p w14:paraId="04B83770" w14:textId="77777777" w:rsidR="004614C0" w:rsidRPr="009B535D" w:rsidRDefault="004614C0" w:rsidP="009B535D">
      <w:pPr>
        <w:spacing w:line="360" w:lineRule="auto"/>
        <w:jc w:val="both"/>
        <w:rPr>
          <w:rFonts w:ascii="Times New Roman" w:eastAsia="Times New Roman" w:hAnsi="Times New Roman" w:cs="Times New Roman"/>
          <w:kern w:val="0"/>
          <w14:ligatures w14:val="none"/>
        </w:rPr>
      </w:pPr>
    </w:p>
    <w:p w14:paraId="35759309" w14:textId="77777777" w:rsidR="00F821C3" w:rsidRDefault="00F821C3" w:rsidP="00737795">
      <w:pPr>
        <w:rPr>
          <w:rFonts w:ascii="Times New Roman" w:eastAsia="Times New Roman" w:hAnsi="Times New Roman" w:cs="Times New Roman"/>
          <w:kern w:val="0"/>
          <w14:ligatures w14:val="none"/>
        </w:rPr>
      </w:pPr>
    </w:p>
    <w:p w14:paraId="4B0BA548" w14:textId="77777777" w:rsidR="00F821C3" w:rsidRPr="00CC27A2" w:rsidRDefault="00F821C3" w:rsidP="00F821C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C27A2">
        <w:rPr>
          <w:rFonts w:ascii="Times New Roman" w:eastAsia="Times New Roman" w:hAnsi="Times New Roman" w:cs="Times New Roman"/>
          <w:b/>
          <w:bCs/>
          <w:kern w:val="0"/>
          <w:sz w:val="27"/>
          <w:szCs w:val="27"/>
          <w14:ligatures w14:val="none"/>
        </w:rPr>
        <w:t>References</w:t>
      </w:r>
    </w:p>
    <w:p w14:paraId="18D0A854" w14:textId="77777777" w:rsidR="00F821C3" w:rsidRPr="00CC27A2" w:rsidRDefault="00F821C3" w:rsidP="00F821C3">
      <w:pPr>
        <w:pStyle w:val="ListParagraph"/>
        <w:numPr>
          <w:ilvl w:val="0"/>
          <w:numId w:val="7"/>
        </w:numPr>
        <w:spacing w:before="100" w:beforeAutospacing="1" w:after="100" w:afterAutospacing="1" w:line="360" w:lineRule="auto"/>
        <w:jc w:val="both"/>
        <w:rPr>
          <w:rFonts w:ascii="Times New Roman" w:eastAsia="Times New Roman" w:hAnsi="Times New Roman" w:cs="Times New Roman"/>
          <w:kern w:val="0"/>
          <w14:ligatures w14:val="none"/>
        </w:rPr>
      </w:pPr>
      <w:r w:rsidRPr="008972EC">
        <w:rPr>
          <w:rFonts w:ascii="Times New Roman" w:eastAsia="Times New Roman" w:hAnsi="Times New Roman" w:cs="Times New Roman"/>
          <w:kern w:val="0"/>
          <w:lang w:val="es-US"/>
          <w14:ligatures w14:val="none"/>
        </w:rPr>
        <w:t>El-</w:t>
      </w:r>
      <w:proofErr w:type="spellStart"/>
      <w:r w:rsidRPr="008972EC">
        <w:rPr>
          <w:rFonts w:ascii="Times New Roman" w:eastAsia="Times New Roman" w:hAnsi="Times New Roman" w:cs="Times New Roman"/>
          <w:kern w:val="0"/>
          <w:lang w:val="es-US"/>
          <w14:ligatures w14:val="none"/>
        </w:rPr>
        <w:t>Serag</w:t>
      </w:r>
      <w:proofErr w:type="spellEnd"/>
      <w:r w:rsidRPr="008972EC">
        <w:rPr>
          <w:rFonts w:ascii="Times New Roman" w:eastAsia="Times New Roman" w:hAnsi="Times New Roman" w:cs="Times New Roman"/>
          <w:kern w:val="0"/>
          <w:lang w:val="es-US"/>
          <w14:ligatures w14:val="none"/>
        </w:rPr>
        <w:t xml:space="preserve">, H. B. (2011). </w:t>
      </w:r>
      <w:proofErr w:type="spellStart"/>
      <w:r w:rsidRPr="008972EC">
        <w:rPr>
          <w:rFonts w:ascii="Times New Roman" w:eastAsia="Times New Roman" w:hAnsi="Times New Roman" w:cs="Times New Roman"/>
          <w:kern w:val="0"/>
          <w:lang w:val="es-US"/>
          <w14:ligatures w14:val="none"/>
        </w:rPr>
        <w:t>Hepatocellular</w:t>
      </w:r>
      <w:proofErr w:type="spellEnd"/>
      <w:r w:rsidRPr="008972EC">
        <w:rPr>
          <w:rFonts w:ascii="Times New Roman" w:eastAsia="Times New Roman" w:hAnsi="Times New Roman" w:cs="Times New Roman"/>
          <w:kern w:val="0"/>
          <w:lang w:val="es-US"/>
          <w14:ligatures w14:val="none"/>
        </w:rPr>
        <w:t xml:space="preserve"> carcinoma. </w:t>
      </w:r>
      <w:r w:rsidRPr="00CC27A2">
        <w:rPr>
          <w:rFonts w:ascii="Times New Roman" w:eastAsia="Times New Roman" w:hAnsi="Times New Roman" w:cs="Times New Roman"/>
          <w:i/>
          <w:iCs/>
          <w:kern w:val="0"/>
          <w14:ligatures w14:val="none"/>
        </w:rPr>
        <w:t>The New England Journal of Medicine, 365</w:t>
      </w:r>
      <w:r w:rsidRPr="00CC27A2">
        <w:rPr>
          <w:rFonts w:ascii="Times New Roman" w:eastAsia="Times New Roman" w:hAnsi="Times New Roman" w:cs="Times New Roman"/>
          <w:kern w:val="0"/>
          <w14:ligatures w14:val="none"/>
        </w:rPr>
        <w:t>(12), 1118-1127. https://doi.org/10.1056/NEJMra1001683</w:t>
      </w:r>
    </w:p>
    <w:p w14:paraId="17D66AF2" w14:textId="77777777" w:rsidR="00F821C3" w:rsidRPr="00CC27A2" w:rsidRDefault="00F821C3" w:rsidP="00F821C3">
      <w:pPr>
        <w:pStyle w:val="ListParagraph"/>
        <w:numPr>
          <w:ilvl w:val="0"/>
          <w:numId w:val="7"/>
        </w:numPr>
        <w:spacing w:before="100" w:beforeAutospacing="1" w:after="100" w:afterAutospacing="1" w:line="360" w:lineRule="auto"/>
        <w:jc w:val="both"/>
        <w:rPr>
          <w:rFonts w:ascii="Times New Roman" w:eastAsia="Times New Roman" w:hAnsi="Times New Roman" w:cs="Times New Roman"/>
          <w:kern w:val="0"/>
          <w14:ligatures w14:val="none"/>
        </w:rPr>
      </w:pPr>
      <w:r w:rsidRPr="00CC27A2">
        <w:rPr>
          <w:rFonts w:ascii="Times New Roman" w:eastAsia="Times New Roman" w:hAnsi="Times New Roman" w:cs="Times New Roman"/>
          <w:kern w:val="0"/>
          <w14:ligatures w14:val="none"/>
        </w:rPr>
        <w:t xml:space="preserve">Forner, A., Llovet, J. M., &amp; </w:t>
      </w:r>
      <w:proofErr w:type="spellStart"/>
      <w:r w:rsidRPr="00CC27A2">
        <w:rPr>
          <w:rFonts w:ascii="Times New Roman" w:eastAsia="Times New Roman" w:hAnsi="Times New Roman" w:cs="Times New Roman"/>
          <w:kern w:val="0"/>
          <w14:ligatures w14:val="none"/>
        </w:rPr>
        <w:t>Bruix</w:t>
      </w:r>
      <w:proofErr w:type="spellEnd"/>
      <w:r w:rsidRPr="00CC27A2">
        <w:rPr>
          <w:rFonts w:ascii="Times New Roman" w:eastAsia="Times New Roman" w:hAnsi="Times New Roman" w:cs="Times New Roman"/>
          <w:kern w:val="0"/>
          <w14:ligatures w14:val="none"/>
        </w:rPr>
        <w:t xml:space="preserve">, J. (2018). Hepatocellular carcinoma. </w:t>
      </w:r>
      <w:r w:rsidRPr="00CC27A2">
        <w:rPr>
          <w:rFonts w:ascii="Times New Roman" w:eastAsia="Times New Roman" w:hAnsi="Times New Roman" w:cs="Times New Roman"/>
          <w:i/>
          <w:iCs/>
          <w:kern w:val="0"/>
          <w14:ligatures w14:val="none"/>
        </w:rPr>
        <w:t>The Lancet, 391</w:t>
      </w:r>
      <w:r w:rsidRPr="00CC27A2">
        <w:rPr>
          <w:rFonts w:ascii="Times New Roman" w:eastAsia="Times New Roman" w:hAnsi="Times New Roman" w:cs="Times New Roman"/>
          <w:kern w:val="0"/>
          <w14:ligatures w14:val="none"/>
        </w:rPr>
        <w:t>(10127), 1301-1314. https://doi.org/10.1016/S0140-6736(18)30010-2</w:t>
      </w:r>
    </w:p>
    <w:p w14:paraId="17D183E2" w14:textId="77777777" w:rsidR="00F821C3" w:rsidRPr="00CC27A2" w:rsidRDefault="00F821C3" w:rsidP="00F821C3">
      <w:pPr>
        <w:pStyle w:val="ListParagraph"/>
        <w:numPr>
          <w:ilvl w:val="0"/>
          <w:numId w:val="7"/>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8972EC">
        <w:rPr>
          <w:rFonts w:ascii="Times New Roman" w:hAnsi="Times New Roman" w:cs="Times New Roman"/>
          <w:shd w:val="clear" w:color="auto" w:fill="FFFFFF"/>
          <w:lang w:val="es-US"/>
        </w:rPr>
        <w:t>Yau</w:t>
      </w:r>
      <w:proofErr w:type="spellEnd"/>
      <w:r w:rsidRPr="008972EC">
        <w:rPr>
          <w:rFonts w:ascii="Times New Roman" w:hAnsi="Times New Roman" w:cs="Times New Roman"/>
          <w:shd w:val="clear" w:color="auto" w:fill="FFFFFF"/>
          <w:lang w:val="es-US"/>
        </w:rPr>
        <w:t xml:space="preserve"> T</w:t>
      </w:r>
      <w:r w:rsidRPr="008972EC">
        <w:rPr>
          <w:rStyle w:val="al-author-delim"/>
          <w:rFonts w:ascii="Times New Roman" w:hAnsi="Times New Roman" w:cs="Times New Roman"/>
          <w:shd w:val="clear" w:color="auto" w:fill="FFFFFF"/>
          <w:lang w:val="es-US"/>
        </w:rPr>
        <w:t>, </w:t>
      </w:r>
      <w:r w:rsidRPr="008972EC">
        <w:rPr>
          <w:rFonts w:ascii="Times New Roman" w:hAnsi="Times New Roman" w:cs="Times New Roman"/>
          <w:shd w:val="clear" w:color="auto" w:fill="FFFFFF"/>
          <w:lang w:val="es-US"/>
        </w:rPr>
        <w:t>Kang Y</w:t>
      </w:r>
      <w:r w:rsidRPr="008972EC">
        <w:rPr>
          <w:rStyle w:val="al-author-delim"/>
          <w:rFonts w:ascii="Times New Roman" w:hAnsi="Times New Roman" w:cs="Times New Roman"/>
          <w:shd w:val="clear" w:color="auto" w:fill="FFFFFF"/>
          <w:lang w:val="es-US"/>
        </w:rPr>
        <w:t>, </w:t>
      </w:r>
      <w:r w:rsidRPr="008972EC">
        <w:rPr>
          <w:rFonts w:ascii="Times New Roman" w:hAnsi="Times New Roman" w:cs="Times New Roman"/>
          <w:shd w:val="clear" w:color="auto" w:fill="FFFFFF"/>
          <w:lang w:val="es-US"/>
        </w:rPr>
        <w:t xml:space="preserve">Kim T, et al. </w:t>
      </w:r>
      <w:r w:rsidRPr="00CC27A2">
        <w:rPr>
          <w:rFonts w:ascii="Times New Roman" w:hAnsi="Times New Roman" w:cs="Times New Roman"/>
          <w:shd w:val="clear" w:color="auto" w:fill="FFFFFF"/>
        </w:rPr>
        <w:t>Efficacy and Safety of Nivolumab Plus Ipilimumab in Patients With Advanced Hepatocellular Carcinoma Previously Treated With Sorafenib</w:t>
      </w:r>
      <w:r w:rsidRPr="00CC27A2">
        <w:rPr>
          <w:rStyle w:val="colon-for-citation-subtitle"/>
          <w:rFonts w:ascii="Times New Roman" w:hAnsi="Times New Roman" w:cs="Times New Roman"/>
          <w:shd w:val="clear" w:color="auto" w:fill="FFFFFF"/>
        </w:rPr>
        <w:t>: </w:t>
      </w:r>
      <w:r w:rsidRPr="00CC27A2">
        <w:rPr>
          <w:rStyle w:val="Subtitle1"/>
          <w:rFonts w:ascii="Times New Roman" w:hAnsi="Times New Roman" w:cs="Times New Roman"/>
          <w:shd w:val="clear" w:color="auto" w:fill="FFFFFF"/>
        </w:rPr>
        <w:t xml:space="preserve">The </w:t>
      </w:r>
      <w:proofErr w:type="spellStart"/>
      <w:r w:rsidRPr="00CC27A2">
        <w:rPr>
          <w:rStyle w:val="Subtitle1"/>
          <w:rFonts w:ascii="Times New Roman" w:hAnsi="Times New Roman" w:cs="Times New Roman"/>
          <w:shd w:val="clear" w:color="auto" w:fill="FFFFFF"/>
        </w:rPr>
        <w:t>CheckMate</w:t>
      </w:r>
      <w:proofErr w:type="spellEnd"/>
      <w:r w:rsidRPr="00CC27A2">
        <w:rPr>
          <w:rStyle w:val="Subtitle1"/>
          <w:rFonts w:ascii="Times New Roman" w:hAnsi="Times New Roman" w:cs="Times New Roman"/>
          <w:shd w:val="clear" w:color="auto" w:fill="FFFFFF"/>
        </w:rPr>
        <w:t xml:space="preserve"> 040 Randomized Clinical Trial</w:t>
      </w:r>
      <w:r w:rsidRPr="00CC27A2">
        <w:rPr>
          <w:rFonts w:ascii="Times New Roman" w:hAnsi="Times New Roman" w:cs="Times New Roman"/>
          <w:shd w:val="clear" w:color="auto" w:fill="FFFFFF"/>
        </w:rPr>
        <w:t>. </w:t>
      </w:r>
      <w:r w:rsidRPr="00CC27A2">
        <w:rPr>
          <w:rStyle w:val="Emphasis"/>
          <w:rFonts w:ascii="Times New Roman" w:hAnsi="Times New Roman" w:cs="Times New Roman"/>
          <w:shd w:val="clear" w:color="auto" w:fill="FFFFFF"/>
        </w:rPr>
        <w:t>JAMA Oncol.</w:t>
      </w:r>
      <w:r w:rsidRPr="00CC27A2">
        <w:rPr>
          <w:rFonts w:ascii="Times New Roman" w:hAnsi="Times New Roman" w:cs="Times New Roman"/>
          <w:shd w:val="clear" w:color="auto" w:fill="FFFFFF"/>
        </w:rPr>
        <w:t> 2020;6(11</w:t>
      </w:r>
      <w:proofErr w:type="gramStart"/>
      <w:r w:rsidRPr="00CC27A2">
        <w:rPr>
          <w:rFonts w:ascii="Times New Roman" w:hAnsi="Times New Roman" w:cs="Times New Roman"/>
          <w:shd w:val="clear" w:color="auto" w:fill="FFFFFF"/>
        </w:rPr>
        <w:t>):e</w:t>
      </w:r>
      <w:proofErr w:type="gramEnd"/>
      <w:r w:rsidRPr="00CC27A2">
        <w:rPr>
          <w:rFonts w:ascii="Times New Roman" w:hAnsi="Times New Roman" w:cs="Times New Roman"/>
          <w:shd w:val="clear" w:color="auto" w:fill="FFFFFF"/>
        </w:rPr>
        <w:t>204564. doi:10.1001/jamaoncol.2020.4564</w:t>
      </w:r>
    </w:p>
    <w:p w14:paraId="5BBD30E5" w14:textId="77777777" w:rsidR="00F821C3" w:rsidRPr="00CC27A2" w:rsidRDefault="00F821C3" w:rsidP="00F821C3">
      <w:pPr>
        <w:pStyle w:val="ListParagraph"/>
        <w:numPr>
          <w:ilvl w:val="0"/>
          <w:numId w:val="7"/>
        </w:numPr>
        <w:spacing w:before="100" w:beforeAutospacing="1" w:after="100" w:afterAutospacing="1" w:line="360" w:lineRule="auto"/>
        <w:jc w:val="both"/>
        <w:rPr>
          <w:rFonts w:ascii="Times New Roman" w:eastAsia="Times New Roman" w:hAnsi="Times New Roman" w:cs="Times New Roman"/>
          <w:kern w:val="0"/>
          <w14:ligatures w14:val="none"/>
        </w:rPr>
      </w:pPr>
      <w:r w:rsidRPr="00CC27A2">
        <w:rPr>
          <w:rFonts w:ascii="Times New Roman" w:hAnsi="Times New Roman" w:cs="Times New Roman"/>
          <w:shd w:val="clear" w:color="auto" w:fill="FFFFFF"/>
        </w:rPr>
        <w:t xml:space="preserve">Llovet, J.M., </w:t>
      </w:r>
      <w:proofErr w:type="spellStart"/>
      <w:r w:rsidRPr="00CC27A2">
        <w:rPr>
          <w:rFonts w:ascii="Times New Roman" w:hAnsi="Times New Roman" w:cs="Times New Roman"/>
          <w:shd w:val="clear" w:color="auto" w:fill="FFFFFF"/>
        </w:rPr>
        <w:t>Castet</w:t>
      </w:r>
      <w:proofErr w:type="spellEnd"/>
      <w:r w:rsidRPr="00CC27A2">
        <w:rPr>
          <w:rFonts w:ascii="Times New Roman" w:hAnsi="Times New Roman" w:cs="Times New Roman"/>
          <w:shd w:val="clear" w:color="auto" w:fill="FFFFFF"/>
        </w:rPr>
        <w:t xml:space="preserve">, F., </w:t>
      </w:r>
      <w:proofErr w:type="spellStart"/>
      <w:r w:rsidRPr="00CC27A2">
        <w:rPr>
          <w:rFonts w:ascii="Times New Roman" w:hAnsi="Times New Roman" w:cs="Times New Roman"/>
          <w:shd w:val="clear" w:color="auto" w:fill="FFFFFF"/>
        </w:rPr>
        <w:t>Heikenwalder</w:t>
      </w:r>
      <w:proofErr w:type="spellEnd"/>
      <w:r w:rsidRPr="00CC27A2">
        <w:rPr>
          <w:rFonts w:ascii="Times New Roman" w:hAnsi="Times New Roman" w:cs="Times New Roman"/>
          <w:shd w:val="clear" w:color="auto" w:fill="FFFFFF"/>
        </w:rPr>
        <w:t>, M. </w:t>
      </w:r>
      <w:r w:rsidRPr="00CC27A2">
        <w:rPr>
          <w:rFonts w:ascii="Times New Roman" w:hAnsi="Times New Roman" w:cs="Times New Roman"/>
          <w:i/>
          <w:iCs/>
          <w:shd w:val="clear" w:color="auto" w:fill="FFFFFF"/>
        </w:rPr>
        <w:t>et al.</w:t>
      </w:r>
      <w:r w:rsidRPr="00CC27A2">
        <w:rPr>
          <w:rFonts w:ascii="Times New Roman" w:hAnsi="Times New Roman" w:cs="Times New Roman"/>
          <w:shd w:val="clear" w:color="auto" w:fill="FFFFFF"/>
        </w:rPr>
        <w:t> Immunotherapies for hepatocellular carcinoma. </w:t>
      </w:r>
      <w:r w:rsidRPr="00CC27A2">
        <w:rPr>
          <w:rFonts w:ascii="Times New Roman" w:hAnsi="Times New Roman" w:cs="Times New Roman"/>
          <w:i/>
          <w:iCs/>
          <w:shd w:val="clear" w:color="auto" w:fill="FFFFFF"/>
        </w:rPr>
        <w:t>Nat Rev Clin Oncol</w:t>
      </w:r>
      <w:r w:rsidRPr="00CC27A2">
        <w:rPr>
          <w:rFonts w:ascii="Times New Roman" w:hAnsi="Times New Roman" w:cs="Times New Roman"/>
          <w:shd w:val="clear" w:color="auto" w:fill="FFFFFF"/>
        </w:rPr>
        <w:t> </w:t>
      </w:r>
      <w:r w:rsidRPr="00CC27A2">
        <w:rPr>
          <w:rFonts w:ascii="Times New Roman" w:hAnsi="Times New Roman" w:cs="Times New Roman"/>
          <w:b/>
          <w:bCs/>
          <w:shd w:val="clear" w:color="auto" w:fill="FFFFFF"/>
        </w:rPr>
        <w:t>19</w:t>
      </w:r>
      <w:r w:rsidRPr="00CC27A2">
        <w:rPr>
          <w:rFonts w:ascii="Times New Roman" w:hAnsi="Times New Roman" w:cs="Times New Roman"/>
          <w:shd w:val="clear" w:color="auto" w:fill="FFFFFF"/>
        </w:rPr>
        <w:t xml:space="preserve">, 151–172 (2022). </w:t>
      </w:r>
      <w:hyperlink r:id="rId15" w:history="1">
        <w:r w:rsidRPr="00CC27A2">
          <w:rPr>
            <w:rStyle w:val="Hyperlink"/>
            <w:rFonts w:ascii="Times New Roman" w:hAnsi="Times New Roman" w:cs="Times New Roman"/>
            <w:color w:val="auto"/>
            <w:u w:val="none"/>
            <w:shd w:val="clear" w:color="auto" w:fill="FFFFFF"/>
          </w:rPr>
          <w:t>https://doi.org/10.1038/s41571-021-00573-2</w:t>
        </w:r>
      </w:hyperlink>
    </w:p>
    <w:p w14:paraId="2E1F72EB" w14:textId="77777777" w:rsidR="00CC27A2" w:rsidRPr="00CC27A2" w:rsidRDefault="00F821C3" w:rsidP="00CC27A2">
      <w:pPr>
        <w:pStyle w:val="ListParagraph"/>
        <w:numPr>
          <w:ilvl w:val="0"/>
          <w:numId w:val="7"/>
        </w:numPr>
        <w:spacing w:before="100" w:beforeAutospacing="1" w:after="100" w:afterAutospacing="1" w:line="360" w:lineRule="auto"/>
        <w:jc w:val="both"/>
        <w:rPr>
          <w:rFonts w:ascii="Times New Roman" w:eastAsia="Times New Roman" w:hAnsi="Times New Roman" w:cs="Times New Roman"/>
          <w:kern w:val="0"/>
          <w14:ligatures w14:val="none"/>
        </w:rPr>
      </w:pPr>
      <w:r w:rsidRPr="00CC27A2">
        <w:rPr>
          <w:rFonts w:ascii="Times New Roman" w:hAnsi="Times New Roman" w:cs="Times New Roman"/>
          <w:shd w:val="clear" w:color="auto" w:fill="FFFFFF"/>
        </w:rPr>
        <w:lastRenderedPageBreak/>
        <w:t>Agarwal, R., Cao, Y., Hoffmeier, K. </w:t>
      </w:r>
      <w:r w:rsidRPr="00CC27A2">
        <w:rPr>
          <w:rFonts w:ascii="Times New Roman" w:hAnsi="Times New Roman" w:cs="Times New Roman"/>
          <w:i/>
          <w:iCs/>
          <w:shd w:val="clear" w:color="auto" w:fill="FFFFFF"/>
        </w:rPr>
        <w:t>et al.</w:t>
      </w:r>
      <w:r w:rsidRPr="00CC27A2">
        <w:rPr>
          <w:rFonts w:ascii="Times New Roman" w:hAnsi="Times New Roman" w:cs="Times New Roman"/>
          <w:shd w:val="clear" w:color="auto" w:fill="FFFFFF"/>
        </w:rPr>
        <w:t xml:space="preserve"> Precision medicine for </w:t>
      </w:r>
      <w:proofErr w:type="spellStart"/>
      <w:r w:rsidRPr="00CC27A2">
        <w:rPr>
          <w:rFonts w:ascii="Times New Roman" w:hAnsi="Times New Roman" w:cs="Times New Roman"/>
          <w:shd w:val="clear" w:color="auto" w:fill="FFFFFF"/>
        </w:rPr>
        <w:t>hepatocelluar</w:t>
      </w:r>
      <w:proofErr w:type="spellEnd"/>
      <w:r w:rsidRPr="00CC27A2">
        <w:rPr>
          <w:rFonts w:ascii="Times New Roman" w:hAnsi="Times New Roman" w:cs="Times New Roman"/>
          <w:shd w:val="clear" w:color="auto" w:fill="FFFFFF"/>
        </w:rPr>
        <w:t xml:space="preserve"> carcinoma using molecular pattern diagnostics: results from a preclinical pilot study. </w:t>
      </w:r>
      <w:r w:rsidRPr="00CC27A2">
        <w:rPr>
          <w:rFonts w:ascii="Times New Roman" w:hAnsi="Times New Roman" w:cs="Times New Roman"/>
          <w:i/>
          <w:iCs/>
          <w:shd w:val="clear" w:color="auto" w:fill="FFFFFF"/>
        </w:rPr>
        <w:t>Cell Death Dis</w:t>
      </w:r>
      <w:r w:rsidRPr="00CC27A2">
        <w:rPr>
          <w:rFonts w:ascii="Times New Roman" w:hAnsi="Times New Roman" w:cs="Times New Roman"/>
          <w:shd w:val="clear" w:color="auto" w:fill="FFFFFF"/>
        </w:rPr>
        <w:t> </w:t>
      </w:r>
      <w:r w:rsidRPr="00CC27A2">
        <w:rPr>
          <w:rFonts w:ascii="Times New Roman" w:hAnsi="Times New Roman" w:cs="Times New Roman"/>
          <w:b/>
          <w:bCs/>
          <w:shd w:val="clear" w:color="auto" w:fill="FFFFFF"/>
        </w:rPr>
        <w:t>8</w:t>
      </w:r>
      <w:r w:rsidRPr="00CC27A2">
        <w:rPr>
          <w:rFonts w:ascii="Times New Roman" w:hAnsi="Times New Roman" w:cs="Times New Roman"/>
          <w:shd w:val="clear" w:color="auto" w:fill="FFFFFF"/>
        </w:rPr>
        <w:t xml:space="preserve">, e2867 (2017). </w:t>
      </w:r>
      <w:hyperlink r:id="rId16" w:history="1">
        <w:r w:rsidRPr="00CC27A2">
          <w:rPr>
            <w:rStyle w:val="Hyperlink"/>
            <w:rFonts w:ascii="Times New Roman" w:hAnsi="Times New Roman" w:cs="Times New Roman"/>
            <w:color w:val="auto"/>
            <w:u w:val="none"/>
            <w:shd w:val="clear" w:color="auto" w:fill="FFFFFF"/>
          </w:rPr>
          <w:t>https://doi.org/10.1038/cddis.2017.229</w:t>
        </w:r>
      </w:hyperlink>
    </w:p>
    <w:p w14:paraId="2127F001" w14:textId="52FF7B06" w:rsidR="001C0B8D" w:rsidRPr="00CC27A2" w:rsidRDefault="00CC27A2" w:rsidP="00CC27A2">
      <w:pPr>
        <w:pStyle w:val="ListParagraph"/>
        <w:numPr>
          <w:ilvl w:val="0"/>
          <w:numId w:val="7"/>
        </w:numPr>
        <w:spacing w:before="100" w:beforeAutospacing="1" w:after="100" w:afterAutospacing="1" w:line="360" w:lineRule="auto"/>
        <w:jc w:val="both"/>
        <w:rPr>
          <w:rFonts w:ascii="Times New Roman" w:eastAsia="Times New Roman" w:hAnsi="Times New Roman" w:cs="Times New Roman"/>
          <w:kern w:val="0"/>
          <w14:ligatures w14:val="none"/>
        </w:rPr>
      </w:pPr>
      <w:r w:rsidRPr="00CC27A2">
        <w:rPr>
          <w:rFonts w:ascii="Times New Roman" w:hAnsi="Times New Roman" w:cs="Times New Roman"/>
          <w:shd w:val="clear" w:color="auto" w:fill="FFFFFF"/>
        </w:rPr>
        <w:t xml:space="preserve">Chan SL, Wong AM, Lee K, Wong N, Chan AK. Personalized therapy for hepatocellular carcinoma: Where are we now? Cancer Treat Rev. 2016 </w:t>
      </w:r>
      <w:proofErr w:type="gramStart"/>
      <w:r w:rsidRPr="00CC27A2">
        <w:rPr>
          <w:rFonts w:ascii="Times New Roman" w:hAnsi="Times New Roman" w:cs="Times New Roman"/>
          <w:shd w:val="clear" w:color="auto" w:fill="FFFFFF"/>
        </w:rPr>
        <w:t>Apr;45:77</w:t>
      </w:r>
      <w:proofErr w:type="gramEnd"/>
      <w:r w:rsidRPr="00CC27A2">
        <w:rPr>
          <w:rFonts w:ascii="Times New Roman" w:hAnsi="Times New Roman" w:cs="Times New Roman"/>
          <w:shd w:val="clear" w:color="auto" w:fill="FFFFFF"/>
        </w:rPr>
        <w:t xml:space="preserve">-86. </w:t>
      </w:r>
      <w:proofErr w:type="spellStart"/>
      <w:r w:rsidRPr="00CC27A2">
        <w:rPr>
          <w:rFonts w:ascii="Times New Roman" w:hAnsi="Times New Roman" w:cs="Times New Roman"/>
          <w:shd w:val="clear" w:color="auto" w:fill="FFFFFF"/>
        </w:rPr>
        <w:t>doi</w:t>
      </w:r>
      <w:proofErr w:type="spellEnd"/>
      <w:r w:rsidRPr="00CC27A2">
        <w:rPr>
          <w:rFonts w:ascii="Times New Roman" w:hAnsi="Times New Roman" w:cs="Times New Roman"/>
          <w:shd w:val="clear" w:color="auto" w:fill="FFFFFF"/>
        </w:rPr>
        <w:t xml:space="preserve">: 10.1016/j.ctrv.2016.02.008. </w:t>
      </w:r>
      <w:proofErr w:type="spellStart"/>
      <w:r w:rsidRPr="00CC27A2">
        <w:rPr>
          <w:rFonts w:ascii="Times New Roman" w:hAnsi="Times New Roman" w:cs="Times New Roman"/>
          <w:shd w:val="clear" w:color="auto" w:fill="FFFFFF"/>
        </w:rPr>
        <w:t>Epub</w:t>
      </w:r>
      <w:proofErr w:type="spellEnd"/>
      <w:r w:rsidRPr="00CC27A2">
        <w:rPr>
          <w:rFonts w:ascii="Times New Roman" w:hAnsi="Times New Roman" w:cs="Times New Roman"/>
          <w:shd w:val="clear" w:color="auto" w:fill="FFFFFF"/>
        </w:rPr>
        <w:t xml:space="preserve"> 2016 Mar 2. PMID: 26995632.</w:t>
      </w:r>
    </w:p>
    <w:p w14:paraId="2B060A20" w14:textId="77777777" w:rsidR="001A7DDA" w:rsidRPr="001C0B8D" w:rsidRDefault="001A7DDA" w:rsidP="001A7DDA">
      <w:pPr>
        <w:pStyle w:val="NormalWeb"/>
        <w:numPr>
          <w:ilvl w:val="0"/>
          <w:numId w:val="7"/>
        </w:numPr>
        <w:jc w:val="both"/>
      </w:pPr>
      <w:r w:rsidRPr="008972EC">
        <w:rPr>
          <w:lang w:val="es-US"/>
        </w:rPr>
        <w:t xml:space="preserve">Ren, Z., </w:t>
      </w:r>
      <w:proofErr w:type="spellStart"/>
      <w:r w:rsidRPr="008972EC">
        <w:rPr>
          <w:lang w:val="es-US"/>
        </w:rPr>
        <w:t>Xu</w:t>
      </w:r>
      <w:proofErr w:type="spellEnd"/>
      <w:r w:rsidRPr="008972EC">
        <w:rPr>
          <w:lang w:val="es-US"/>
        </w:rPr>
        <w:t xml:space="preserve">, J., Bai, Y., </w:t>
      </w:r>
      <w:proofErr w:type="spellStart"/>
      <w:r w:rsidRPr="008972EC">
        <w:rPr>
          <w:lang w:val="es-US"/>
        </w:rPr>
        <w:t>Xu</w:t>
      </w:r>
      <w:proofErr w:type="spellEnd"/>
      <w:r w:rsidRPr="008972EC">
        <w:rPr>
          <w:lang w:val="es-US"/>
        </w:rPr>
        <w:t xml:space="preserve">, A., </w:t>
      </w:r>
      <w:proofErr w:type="spellStart"/>
      <w:r w:rsidRPr="008972EC">
        <w:rPr>
          <w:lang w:val="es-US"/>
        </w:rPr>
        <w:t>Cang</w:t>
      </w:r>
      <w:proofErr w:type="spellEnd"/>
      <w:r w:rsidRPr="008972EC">
        <w:rPr>
          <w:lang w:val="es-US"/>
        </w:rPr>
        <w:t xml:space="preserve">, S., Du, C., ... </w:t>
      </w:r>
      <w:r w:rsidRPr="001C0B8D">
        <w:t xml:space="preserve">&amp; Fan, J. (2021). Tremelimumab + durvalumab (STRIDE) versus sorafenib in unresectable hepatocellular carcinoma: Results from the HIMALAYA phase 3, open-label, multicenter trial. </w:t>
      </w:r>
      <w:r w:rsidRPr="001C0B8D">
        <w:rPr>
          <w:rStyle w:val="Emphasis"/>
          <w:rFonts w:eastAsiaTheme="majorEastAsia"/>
        </w:rPr>
        <w:t>The Lancet Oncology, 22</w:t>
      </w:r>
      <w:r w:rsidRPr="001C0B8D">
        <w:t xml:space="preserve">(7), 977-990. </w:t>
      </w:r>
      <w:hyperlink r:id="rId17" w:history="1">
        <w:r w:rsidRPr="001C0B8D">
          <w:rPr>
            <w:rStyle w:val="Hyperlink"/>
            <w:color w:val="auto"/>
            <w:u w:val="none"/>
          </w:rPr>
          <w:t>https://doi.org/10.1016/S1470-2045(21)00252-7</w:t>
        </w:r>
      </w:hyperlink>
    </w:p>
    <w:p w14:paraId="21BF3FF9" w14:textId="77777777" w:rsidR="001A7DDA" w:rsidRPr="001C0B8D" w:rsidRDefault="001A7DDA" w:rsidP="001A7DDA">
      <w:pPr>
        <w:pStyle w:val="NormalWeb"/>
        <w:numPr>
          <w:ilvl w:val="0"/>
          <w:numId w:val="7"/>
        </w:numPr>
        <w:jc w:val="both"/>
      </w:pPr>
      <w:r w:rsidRPr="001C0B8D">
        <w:t xml:space="preserve">Qin, S., Xu, L., Cheng, Y., Chen, Z., Zhang, X., Bai, Y., ... &amp; Fan, J. (2020). Pembrolizumab in advanced hepatocellular carcinoma (KEYNOTE-240): A phase 3, double-blind, randomized trial. </w:t>
      </w:r>
      <w:r w:rsidRPr="001C0B8D">
        <w:rPr>
          <w:rStyle w:val="Emphasis"/>
          <w:rFonts w:eastAsiaTheme="majorEastAsia"/>
        </w:rPr>
        <w:t>The Lancet Oncology, 21</w:t>
      </w:r>
      <w:r w:rsidRPr="001C0B8D">
        <w:t xml:space="preserve">(5), 733-743. </w:t>
      </w:r>
      <w:hyperlink r:id="rId18" w:history="1">
        <w:r w:rsidRPr="001C0B8D">
          <w:rPr>
            <w:rStyle w:val="Hyperlink"/>
            <w:color w:val="auto"/>
            <w:u w:val="none"/>
          </w:rPr>
          <w:t>https://doi.org/10.1016/S1470-2045(19)30857-</w:t>
        </w:r>
      </w:hyperlink>
    </w:p>
    <w:p w14:paraId="4105FED6" w14:textId="77777777" w:rsidR="001A7DDA" w:rsidRPr="001C0B8D" w:rsidRDefault="001A7DDA" w:rsidP="001A7DDA">
      <w:pPr>
        <w:pStyle w:val="NormalWeb"/>
        <w:numPr>
          <w:ilvl w:val="0"/>
          <w:numId w:val="7"/>
        </w:numPr>
        <w:jc w:val="both"/>
      </w:pPr>
      <w:r w:rsidRPr="001C0B8D">
        <w:t xml:space="preserve"> Ren, Z., Li, Z., Chen, L., Zhang, Y., </w:t>
      </w:r>
      <w:proofErr w:type="gramStart"/>
      <w:r w:rsidRPr="001C0B8D">
        <w:t>Chen, H.</w:t>
      </w:r>
      <w:proofErr w:type="gramEnd"/>
      <w:r w:rsidRPr="001C0B8D">
        <w:t xml:space="preserve">, Zhao, S., ... &amp; Liu, L. (2021). Sintilimab + bevacizumab (ORIENT-32) versus sorafenib in advanced hepatocellular carcinoma: A phase 2-3, randomized, open-label trial. </w:t>
      </w:r>
      <w:r w:rsidRPr="001C0B8D">
        <w:rPr>
          <w:rStyle w:val="Emphasis"/>
          <w:rFonts w:eastAsiaTheme="majorEastAsia"/>
        </w:rPr>
        <w:t>Journal of Clinical Oncology, 39</w:t>
      </w:r>
      <w:r w:rsidRPr="001C0B8D">
        <w:t xml:space="preserve">(2), 122-132. </w:t>
      </w:r>
      <w:hyperlink r:id="rId19" w:history="1">
        <w:r w:rsidRPr="001C0B8D">
          <w:rPr>
            <w:rStyle w:val="Hyperlink"/>
            <w:color w:val="auto"/>
            <w:u w:val="none"/>
          </w:rPr>
          <w:t>https://doi.org/10.1200/JCO.20.02588</w:t>
        </w:r>
      </w:hyperlink>
    </w:p>
    <w:p w14:paraId="1E0E273E" w14:textId="77777777" w:rsidR="001A7DDA" w:rsidRPr="001C0B8D" w:rsidRDefault="001A7DDA" w:rsidP="001A7DDA">
      <w:pPr>
        <w:pStyle w:val="NormalWeb"/>
        <w:numPr>
          <w:ilvl w:val="0"/>
          <w:numId w:val="7"/>
        </w:numPr>
        <w:jc w:val="both"/>
      </w:pPr>
      <w:r w:rsidRPr="001C0B8D">
        <w:t xml:space="preserve"> Yau, T., Park, J.-W., Finn, R. S., Cheng, A.-L., Mathurin, P., Edeline, J., ... &amp; Merle, P. (2022). Nivolumab versus sorafenib in advanced hepatocellular carcinoma (</w:t>
      </w:r>
      <w:proofErr w:type="spellStart"/>
      <w:r w:rsidRPr="001C0B8D">
        <w:t>CheckMate</w:t>
      </w:r>
      <w:proofErr w:type="spellEnd"/>
      <w:r w:rsidRPr="001C0B8D">
        <w:t xml:space="preserve"> 459): A randomized, multicenter, open-label, phase 3 trial. </w:t>
      </w:r>
      <w:r w:rsidRPr="001C0B8D">
        <w:rPr>
          <w:rStyle w:val="Emphasis"/>
          <w:rFonts w:eastAsiaTheme="majorEastAsia"/>
        </w:rPr>
        <w:t>The Lancet Oncology, 23</w:t>
      </w:r>
      <w:r w:rsidRPr="001C0B8D">
        <w:t xml:space="preserve">(1), 77-90. </w:t>
      </w:r>
      <w:hyperlink r:id="rId20" w:history="1">
        <w:r w:rsidRPr="001C0B8D">
          <w:rPr>
            <w:rStyle w:val="Hyperlink"/>
            <w:color w:val="auto"/>
            <w:u w:val="none"/>
          </w:rPr>
          <w:t>https://doi.org/10.1016/S1470-2045(21)00604-5</w:t>
        </w:r>
      </w:hyperlink>
    </w:p>
    <w:p w14:paraId="200444A6" w14:textId="77777777" w:rsidR="001A7DDA" w:rsidRPr="001C0B8D" w:rsidRDefault="001A7DDA" w:rsidP="001A7DDA">
      <w:pPr>
        <w:pStyle w:val="NormalWeb"/>
        <w:numPr>
          <w:ilvl w:val="0"/>
          <w:numId w:val="7"/>
        </w:numPr>
        <w:jc w:val="both"/>
      </w:pPr>
      <w:r w:rsidRPr="001C0B8D">
        <w:t xml:space="preserve"> Wang, K., Xiang, Y.-J., Yu, H.-M., Cheng, Y.-Q., Liu, Z.-H., Qin, Y.-Y., ... &amp; Cheng, S.-Q. (2024). Adjuvant sintilimab in </w:t>
      </w:r>
      <w:proofErr w:type="gramStart"/>
      <w:r w:rsidRPr="001C0B8D">
        <w:t>resected</w:t>
      </w:r>
      <w:proofErr w:type="gramEnd"/>
      <w:r w:rsidRPr="001C0B8D">
        <w:t xml:space="preserve"> high-risk hepatocellular carcinoma: A randomized, controlled, phase 2 trial. </w:t>
      </w:r>
      <w:r w:rsidRPr="001C0B8D">
        <w:rPr>
          <w:rStyle w:val="Emphasis"/>
          <w:rFonts w:eastAsiaTheme="majorEastAsia"/>
        </w:rPr>
        <w:t>Nature Medicine, 30</w:t>
      </w:r>
      <w:r w:rsidRPr="001C0B8D">
        <w:t xml:space="preserve">(3), 708-715. </w:t>
      </w:r>
      <w:hyperlink r:id="rId21" w:tgtFrame="_new" w:history="1">
        <w:r w:rsidRPr="001C0B8D">
          <w:rPr>
            <w:rStyle w:val="Hyperlink"/>
            <w:rFonts w:eastAsiaTheme="majorEastAsia"/>
            <w:color w:val="auto"/>
            <w:u w:val="none"/>
          </w:rPr>
          <w:t>https://doi.org/10.1038/s41591-023-02786-7</w:t>
        </w:r>
      </w:hyperlink>
    </w:p>
    <w:p w14:paraId="5ECA66F3" w14:textId="77777777" w:rsidR="001A7DDA" w:rsidRPr="001C0B8D" w:rsidRDefault="001A7DDA" w:rsidP="001A7DDA">
      <w:pPr>
        <w:pStyle w:val="NormalWeb"/>
        <w:numPr>
          <w:ilvl w:val="0"/>
          <w:numId w:val="7"/>
        </w:numPr>
        <w:jc w:val="both"/>
      </w:pPr>
      <w:r w:rsidRPr="001C0B8D">
        <w:t xml:space="preserve">Jain, A., Chitturi, S., Peters, G., &amp; Yip, D. (2021). Atezolizumab and bevacizumab as first-line therapy in advanced hepatocellular carcinoma: Practical considerations in routine clinical practice. </w:t>
      </w:r>
      <w:r w:rsidRPr="001C0B8D">
        <w:rPr>
          <w:rStyle w:val="Emphasis"/>
          <w:rFonts w:eastAsiaTheme="majorEastAsia"/>
        </w:rPr>
        <w:t>World Journal of Hepatology, 13</w:t>
      </w:r>
      <w:r w:rsidRPr="001C0B8D">
        <w:t xml:space="preserve">(9), 1132-1142. </w:t>
      </w:r>
      <w:hyperlink r:id="rId22" w:tgtFrame="_new" w:history="1">
        <w:r w:rsidRPr="001C0B8D">
          <w:rPr>
            <w:rStyle w:val="Hyperlink"/>
            <w:rFonts w:eastAsiaTheme="majorEastAsia"/>
            <w:color w:val="auto"/>
            <w:u w:val="none"/>
          </w:rPr>
          <w:t>https://doi.org/10.4254/wjh.v13.i9.1132</w:t>
        </w:r>
      </w:hyperlink>
    </w:p>
    <w:p w14:paraId="15DC5F88" w14:textId="77777777" w:rsidR="001A7DDA" w:rsidRPr="001C0B8D" w:rsidRDefault="001A7DDA" w:rsidP="001A7DDA">
      <w:pPr>
        <w:pStyle w:val="NormalWeb"/>
        <w:numPr>
          <w:ilvl w:val="0"/>
          <w:numId w:val="7"/>
        </w:numPr>
        <w:jc w:val="both"/>
      </w:pPr>
      <w:r w:rsidRPr="001C0B8D">
        <w:t xml:space="preserve">Kudo, M., Chan, S. L., Ogasawara, S., &amp; </w:t>
      </w:r>
      <w:proofErr w:type="spellStart"/>
      <w:r w:rsidRPr="001C0B8D">
        <w:t>Bruix</w:t>
      </w:r>
      <w:proofErr w:type="spellEnd"/>
      <w:r w:rsidRPr="001C0B8D">
        <w:t xml:space="preserve">, J. (2020). Lenvatinib versus sorafenib in advanced hepatocellular carcinoma: A phase 3, randomized, open-label trial. </w:t>
      </w:r>
      <w:r w:rsidRPr="001C0B8D">
        <w:rPr>
          <w:rStyle w:val="Emphasis"/>
          <w:rFonts w:eastAsiaTheme="majorEastAsia"/>
        </w:rPr>
        <w:t>Lancet Oncology, 21</w:t>
      </w:r>
      <w:r w:rsidRPr="001C0B8D">
        <w:t xml:space="preserve">(1), 49-59. </w:t>
      </w:r>
      <w:hyperlink r:id="rId23" w:history="1">
        <w:r w:rsidRPr="001C0B8D">
          <w:rPr>
            <w:rStyle w:val="Hyperlink"/>
            <w:color w:val="auto"/>
            <w:u w:val="none"/>
          </w:rPr>
          <w:t>https://doi.org/10.1016/S1470-2045(19)30409-9</w:t>
        </w:r>
      </w:hyperlink>
    </w:p>
    <w:p w14:paraId="4249A36C" w14:textId="77777777" w:rsidR="001A7DDA" w:rsidRPr="001C0B8D" w:rsidRDefault="001A7DDA" w:rsidP="001A7DDA">
      <w:pPr>
        <w:pStyle w:val="NormalWeb"/>
        <w:numPr>
          <w:ilvl w:val="0"/>
          <w:numId w:val="7"/>
        </w:numPr>
        <w:jc w:val="both"/>
      </w:pPr>
      <w:r w:rsidRPr="001C0B8D">
        <w:t xml:space="preserve"> </w:t>
      </w:r>
      <w:proofErr w:type="spellStart"/>
      <w:r w:rsidRPr="001C0B8D">
        <w:t>Bruix</w:t>
      </w:r>
      <w:proofErr w:type="spellEnd"/>
      <w:r w:rsidRPr="001C0B8D">
        <w:t xml:space="preserve">, J., Qin, S., Merle, P., Granito, A., Huang, Y. H., &amp; Meyer, T. (2020). Regorafenib in advanced hepatocellular carcinoma after sorafenib failure: A phase 3, randomized, open-label trial. </w:t>
      </w:r>
      <w:r w:rsidRPr="001C0B8D">
        <w:rPr>
          <w:rStyle w:val="Emphasis"/>
          <w:rFonts w:eastAsiaTheme="majorEastAsia"/>
        </w:rPr>
        <w:t>The Lancet, 396</w:t>
      </w:r>
      <w:r w:rsidRPr="001C0B8D">
        <w:t xml:space="preserve">(10250), 501-509. </w:t>
      </w:r>
      <w:hyperlink r:id="rId24" w:history="1">
        <w:r w:rsidRPr="001C0B8D">
          <w:rPr>
            <w:rStyle w:val="Hyperlink"/>
            <w:color w:val="auto"/>
            <w:u w:val="none"/>
          </w:rPr>
          <w:t>https://doi.org/10.1016/S0140-6736(20)31025-2</w:t>
        </w:r>
      </w:hyperlink>
    </w:p>
    <w:p w14:paraId="1E0F36DC" w14:textId="77777777" w:rsidR="001A7DDA" w:rsidRPr="001C0B8D" w:rsidRDefault="001A7DDA" w:rsidP="001A7DDA">
      <w:pPr>
        <w:pStyle w:val="NormalWeb"/>
        <w:numPr>
          <w:ilvl w:val="0"/>
          <w:numId w:val="7"/>
        </w:numPr>
        <w:jc w:val="both"/>
      </w:pPr>
      <w:r w:rsidRPr="001C0B8D">
        <w:t xml:space="preserve">  Jain, A., Chitturi, S., Peters, G., &amp; Yip, D. (2021). Atezolizumab and bevacizumab in advanced hepatocellular carcinoma: Review of clinical applications and efficacy. </w:t>
      </w:r>
      <w:r w:rsidRPr="001C0B8D">
        <w:rPr>
          <w:rStyle w:val="Emphasis"/>
          <w:rFonts w:eastAsiaTheme="majorEastAsia"/>
        </w:rPr>
        <w:lastRenderedPageBreak/>
        <w:t>World Journal of Hepatology, 13</w:t>
      </w:r>
      <w:r w:rsidRPr="001C0B8D">
        <w:t xml:space="preserve">(9), 1132-1142. </w:t>
      </w:r>
      <w:hyperlink r:id="rId25" w:tgtFrame="_new" w:history="1">
        <w:r w:rsidRPr="001C0B8D">
          <w:rPr>
            <w:rStyle w:val="Hyperlink"/>
            <w:rFonts w:eastAsiaTheme="majorEastAsia"/>
            <w:color w:val="auto"/>
            <w:u w:val="none"/>
          </w:rPr>
          <w:t>https://doi.org/10.4254/wjh.v13.i9.1132</w:t>
        </w:r>
      </w:hyperlink>
    </w:p>
    <w:p w14:paraId="48B85A7B" w14:textId="77777777" w:rsidR="001A7DDA" w:rsidRPr="001C0B8D" w:rsidRDefault="001A7DDA" w:rsidP="001A7DDA">
      <w:pPr>
        <w:pStyle w:val="NormalWeb"/>
        <w:numPr>
          <w:ilvl w:val="0"/>
          <w:numId w:val="7"/>
        </w:numPr>
        <w:jc w:val="both"/>
      </w:pPr>
      <w:r w:rsidRPr="001C0B8D">
        <w:t xml:space="preserve">Wang, K., Xiang, Y.-J., Yu, H.-M., Cheng, Y.-Q., Liu, Z.-H., Qin, Y.-Y., ... &amp; Cheng, S.-Q. (2024). Sintilimab in high-risk hepatocellular carcinoma post-hepatectomy: A randomized, controlled phase 2 trial. </w:t>
      </w:r>
      <w:r w:rsidRPr="001C0B8D">
        <w:rPr>
          <w:rStyle w:val="Emphasis"/>
          <w:rFonts w:eastAsiaTheme="majorEastAsia"/>
        </w:rPr>
        <w:t>Nature Medicine, 30</w:t>
      </w:r>
      <w:r w:rsidRPr="001C0B8D">
        <w:t xml:space="preserve">(3), 708-715. </w:t>
      </w:r>
      <w:hyperlink r:id="rId26" w:tgtFrame="_new" w:history="1">
        <w:r w:rsidRPr="001C0B8D">
          <w:rPr>
            <w:rStyle w:val="Hyperlink"/>
            <w:rFonts w:eastAsiaTheme="majorEastAsia"/>
            <w:color w:val="auto"/>
            <w:u w:val="none"/>
          </w:rPr>
          <w:t>https://doi.org/10.1038/s41591-023-02786-7</w:t>
        </w:r>
      </w:hyperlink>
    </w:p>
    <w:p w14:paraId="2A8730ED" w14:textId="3A4EA24C" w:rsidR="001C0B8D" w:rsidRPr="001C0B8D" w:rsidRDefault="001C0B8D" w:rsidP="001A7DDA">
      <w:pPr>
        <w:pStyle w:val="NormalWeb"/>
        <w:numPr>
          <w:ilvl w:val="0"/>
          <w:numId w:val="7"/>
        </w:numPr>
        <w:jc w:val="both"/>
      </w:pPr>
      <w:r w:rsidRPr="001C0B8D">
        <w:rPr>
          <w:rFonts w:ascii="Segoe UI" w:hAnsi="Segoe UI" w:cs="Segoe UI"/>
          <w:shd w:val="clear" w:color="auto" w:fill="FFFFFF"/>
        </w:rPr>
        <w:t xml:space="preserve">Longo V, Brunetti O, </w:t>
      </w:r>
      <w:proofErr w:type="spellStart"/>
      <w:r w:rsidRPr="001C0B8D">
        <w:rPr>
          <w:rFonts w:ascii="Segoe UI" w:hAnsi="Segoe UI" w:cs="Segoe UI"/>
          <w:shd w:val="clear" w:color="auto" w:fill="FFFFFF"/>
        </w:rPr>
        <w:t>Gnoni</w:t>
      </w:r>
      <w:proofErr w:type="spellEnd"/>
      <w:r w:rsidRPr="001C0B8D">
        <w:rPr>
          <w:rFonts w:ascii="Segoe UI" w:hAnsi="Segoe UI" w:cs="Segoe UI"/>
          <w:shd w:val="clear" w:color="auto" w:fill="FFFFFF"/>
        </w:rPr>
        <w:t xml:space="preserve"> A, </w:t>
      </w:r>
      <w:proofErr w:type="spellStart"/>
      <w:r w:rsidRPr="001C0B8D">
        <w:rPr>
          <w:rFonts w:ascii="Segoe UI" w:hAnsi="Segoe UI" w:cs="Segoe UI"/>
          <w:shd w:val="clear" w:color="auto" w:fill="FFFFFF"/>
        </w:rPr>
        <w:t>Licchetta</w:t>
      </w:r>
      <w:proofErr w:type="spellEnd"/>
      <w:r w:rsidRPr="001C0B8D">
        <w:rPr>
          <w:rFonts w:ascii="Segoe UI" w:hAnsi="Segoe UI" w:cs="Segoe UI"/>
          <w:shd w:val="clear" w:color="auto" w:fill="FFFFFF"/>
        </w:rPr>
        <w:t xml:space="preserve"> A, </w:t>
      </w:r>
      <w:proofErr w:type="spellStart"/>
      <w:r w:rsidRPr="001C0B8D">
        <w:rPr>
          <w:rFonts w:ascii="Segoe UI" w:hAnsi="Segoe UI" w:cs="Segoe UI"/>
          <w:shd w:val="clear" w:color="auto" w:fill="FFFFFF"/>
        </w:rPr>
        <w:t>Delcuratolo</w:t>
      </w:r>
      <w:proofErr w:type="spellEnd"/>
      <w:r w:rsidRPr="001C0B8D">
        <w:rPr>
          <w:rFonts w:ascii="Segoe UI" w:hAnsi="Segoe UI" w:cs="Segoe UI"/>
          <w:shd w:val="clear" w:color="auto" w:fill="FFFFFF"/>
        </w:rPr>
        <w:t xml:space="preserve"> S, </w:t>
      </w:r>
      <w:proofErr w:type="spellStart"/>
      <w:r w:rsidRPr="001C0B8D">
        <w:rPr>
          <w:rFonts w:ascii="Segoe UI" w:hAnsi="Segoe UI" w:cs="Segoe UI"/>
          <w:shd w:val="clear" w:color="auto" w:fill="FFFFFF"/>
        </w:rPr>
        <w:t>Memeo</w:t>
      </w:r>
      <w:proofErr w:type="spellEnd"/>
      <w:r w:rsidRPr="001C0B8D">
        <w:rPr>
          <w:rFonts w:ascii="Segoe UI" w:hAnsi="Segoe UI" w:cs="Segoe UI"/>
          <w:shd w:val="clear" w:color="auto" w:fill="FFFFFF"/>
        </w:rPr>
        <w:t xml:space="preserve"> R, Solimando AG, </w:t>
      </w:r>
      <w:proofErr w:type="spellStart"/>
      <w:r w:rsidRPr="001C0B8D">
        <w:rPr>
          <w:rFonts w:ascii="Segoe UI" w:hAnsi="Segoe UI" w:cs="Segoe UI"/>
          <w:shd w:val="clear" w:color="auto" w:fill="FFFFFF"/>
        </w:rPr>
        <w:t>Argentiero</w:t>
      </w:r>
      <w:proofErr w:type="spellEnd"/>
      <w:r w:rsidRPr="001C0B8D">
        <w:rPr>
          <w:rFonts w:ascii="Segoe UI" w:hAnsi="Segoe UI" w:cs="Segoe UI"/>
          <w:shd w:val="clear" w:color="auto" w:fill="FFFFFF"/>
        </w:rPr>
        <w:t xml:space="preserve"> A. Emerging role of Immune Checkpoint Inhibitors in Hepatocellular Carcinoma. Medicina (Kaunas). 2019 Oct 17;55(10):698.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10.3390/medicina55100698. PMID: 31627433; PMCID: PMC6843273.</w:t>
      </w:r>
    </w:p>
    <w:p w14:paraId="51FB574B" w14:textId="27245A05" w:rsidR="001C0B8D" w:rsidRPr="001C0B8D" w:rsidRDefault="001C0B8D" w:rsidP="001A7DDA">
      <w:pPr>
        <w:pStyle w:val="NormalWeb"/>
        <w:numPr>
          <w:ilvl w:val="0"/>
          <w:numId w:val="7"/>
        </w:numPr>
        <w:jc w:val="both"/>
      </w:pPr>
      <w:r w:rsidRPr="001C0B8D">
        <w:rPr>
          <w:rFonts w:ascii="Segoe UI" w:hAnsi="Segoe UI" w:cs="Segoe UI"/>
          <w:shd w:val="clear" w:color="auto" w:fill="FFFFFF"/>
        </w:rPr>
        <w:t xml:space="preserve">Cheng AL, Qin S, Ikeda M, Galle PR, </w:t>
      </w:r>
      <w:proofErr w:type="spellStart"/>
      <w:r w:rsidRPr="001C0B8D">
        <w:rPr>
          <w:rFonts w:ascii="Segoe UI" w:hAnsi="Segoe UI" w:cs="Segoe UI"/>
          <w:shd w:val="clear" w:color="auto" w:fill="FFFFFF"/>
        </w:rPr>
        <w:t>Ducreux</w:t>
      </w:r>
      <w:proofErr w:type="spellEnd"/>
      <w:r w:rsidRPr="001C0B8D">
        <w:rPr>
          <w:rFonts w:ascii="Segoe UI" w:hAnsi="Segoe UI" w:cs="Segoe UI"/>
          <w:shd w:val="clear" w:color="auto" w:fill="FFFFFF"/>
        </w:rPr>
        <w:t xml:space="preserve"> M, Kim TY, Lim HY, Kudo M, Breder V, Merle P, </w:t>
      </w:r>
      <w:proofErr w:type="spellStart"/>
      <w:r w:rsidRPr="001C0B8D">
        <w:rPr>
          <w:rFonts w:ascii="Segoe UI" w:hAnsi="Segoe UI" w:cs="Segoe UI"/>
          <w:shd w:val="clear" w:color="auto" w:fill="FFFFFF"/>
        </w:rPr>
        <w:t>Kaseb</w:t>
      </w:r>
      <w:proofErr w:type="spellEnd"/>
      <w:r w:rsidRPr="001C0B8D">
        <w:rPr>
          <w:rFonts w:ascii="Segoe UI" w:hAnsi="Segoe UI" w:cs="Segoe UI"/>
          <w:shd w:val="clear" w:color="auto" w:fill="FFFFFF"/>
        </w:rPr>
        <w:t xml:space="preserve"> AO, Li D, Verret W, Ma N, Nicholas A, Wang Y, Li L, Zhu AX, Finn RS. Updated efficacy and safety data from IMbrave150: Atezolizumab plus bevacizumab vs. sorafenib for unresectable hepatocellular carcinoma. J Hepatol. 2022 Apr;76(4):862-873.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xml:space="preserve">: 10.1016/j.jhep.2021.11.030. </w:t>
      </w:r>
      <w:proofErr w:type="spellStart"/>
      <w:r w:rsidRPr="001C0B8D">
        <w:rPr>
          <w:rFonts w:ascii="Segoe UI" w:hAnsi="Segoe UI" w:cs="Segoe UI"/>
          <w:shd w:val="clear" w:color="auto" w:fill="FFFFFF"/>
        </w:rPr>
        <w:t>Epub</w:t>
      </w:r>
      <w:proofErr w:type="spellEnd"/>
      <w:r w:rsidRPr="001C0B8D">
        <w:rPr>
          <w:rFonts w:ascii="Segoe UI" w:hAnsi="Segoe UI" w:cs="Segoe UI"/>
          <w:shd w:val="clear" w:color="auto" w:fill="FFFFFF"/>
        </w:rPr>
        <w:t xml:space="preserve"> 2021 Dec 11. PMID: 34902530.</w:t>
      </w:r>
    </w:p>
    <w:p w14:paraId="50F181B5" w14:textId="17D92C11" w:rsidR="001C0B8D" w:rsidRPr="001C0B8D" w:rsidRDefault="001C0B8D" w:rsidP="001A7DDA">
      <w:pPr>
        <w:pStyle w:val="NormalWeb"/>
        <w:numPr>
          <w:ilvl w:val="0"/>
          <w:numId w:val="7"/>
        </w:numPr>
        <w:jc w:val="both"/>
      </w:pPr>
      <w:r w:rsidRPr="001C0B8D">
        <w:rPr>
          <w:rFonts w:ascii="Segoe UI" w:hAnsi="Segoe UI" w:cs="Segoe UI"/>
          <w:shd w:val="clear" w:color="auto" w:fill="FFFFFF"/>
        </w:rPr>
        <w:t xml:space="preserve">Wang Y, Deng B. Hepatocellular carcinoma: molecular mechanism, targeted therapy, and biomarkers. Cancer Metastasis Rev. 2023 Sep;42(3):629-652.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xml:space="preserve">: 10.1007/s10555-023-10084-4. </w:t>
      </w:r>
      <w:proofErr w:type="spellStart"/>
      <w:r w:rsidRPr="001C0B8D">
        <w:rPr>
          <w:rFonts w:ascii="Segoe UI" w:hAnsi="Segoe UI" w:cs="Segoe UI"/>
          <w:shd w:val="clear" w:color="auto" w:fill="FFFFFF"/>
        </w:rPr>
        <w:t>Epub</w:t>
      </w:r>
      <w:proofErr w:type="spellEnd"/>
      <w:r w:rsidRPr="001C0B8D">
        <w:rPr>
          <w:rFonts w:ascii="Segoe UI" w:hAnsi="Segoe UI" w:cs="Segoe UI"/>
          <w:shd w:val="clear" w:color="auto" w:fill="FFFFFF"/>
        </w:rPr>
        <w:t xml:space="preserve"> 2023 Feb 2. PMID: 36729264.</w:t>
      </w:r>
    </w:p>
    <w:p w14:paraId="7223E7A5" w14:textId="3CEDF0F4" w:rsidR="001C0B8D" w:rsidRPr="001C0B8D" w:rsidRDefault="001C0B8D" w:rsidP="001A7DDA">
      <w:pPr>
        <w:pStyle w:val="NormalWeb"/>
        <w:numPr>
          <w:ilvl w:val="0"/>
          <w:numId w:val="7"/>
        </w:numPr>
        <w:jc w:val="both"/>
      </w:pPr>
      <w:r w:rsidRPr="001C0B8D">
        <w:rPr>
          <w:rFonts w:ascii="Segoe UI" w:hAnsi="Segoe UI" w:cs="Segoe UI"/>
          <w:shd w:val="clear" w:color="auto" w:fill="FFFFFF"/>
        </w:rPr>
        <w:t xml:space="preserve">Kinsey E, Lee HM. Management of Hepatocellular Carcinoma in 2024: The Multidisciplinary Paradigm in an Evolving Treatment Landscape. Cancers (Basel). 2024 Feb 4;16(3):666.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10.3390/cancers16030666. PMID: 38339417; PMCID: PMC10854554.</w:t>
      </w:r>
    </w:p>
    <w:p w14:paraId="52E7C63D" w14:textId="742FEC91" w:rsidR="001C0B8D" w:rsidRPr="001C0B8D" w:rsidRDefault="001C0B8D" w:rsidP="001A7DDA">
      <w:pPr>
        <w:pStyle w:val="NormalWeb"/>
        <w:numPr>
          <w:ilvl w:val="0"/>
          <w:numId w:val="7"/>
        </w:numPr>
        <w:jc w:val="both"/>
      </w:pPr>
      <w:r w:rsidRPr="001C0B8D">
        <w:rPr>
          <w:rFonts w:ascii="Segoe UI" w:hAnsi="Segoe UI" w:cs="Segoe UI"/>
          <w:shd w:val="clear" w:color="auto" w:fill="FFFFFF"/>
        </w:rPr>
        <w:t xml:space="preserve">Cesario S, Genovesi V, Salani F, Vasile E, Fornaro L, Vivaldi C, Masi G. Evolving Landscape in Liver Transplantation for Hepatocellular Carcinoma: From Stage Migration to Immunotherapy Revolution. Life (Basel). 2023 Jul 14;13(7):1562.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10.3390/life13071562. PMID: 37511937; PMCID: PMC10382048.</w:t>
      </w:r>
    </w:p>
    <w:p w14:paraId="518F067F" w14:textId="2D4A3F1F" w:rsidR="001C0B8D" w:rsidRPr="001C0B8D" w:rsidRDefault="001C0B8D" w:rsidP="001A7DDA">
      <w:pPr>
        <w:pStyle w:val="NormalWeb"/>
        <w:numPr>
          <w:ilvl w:val="0"/>
          <w:numId w:val="7"/>
        </w:numPr>
        <w:jc w:val="both"/>
      </w:pPr>
      <w:r w:rsidRPr="001C0B8D">
        <w:rPr>
          <w:rFonts w:ascii="Segoe UI" w:hAnsi="Segoe UI" w:cs="Segoe UI"/>
          <w:shd w:val="clear" w:color="auto" w:fill="FFFFFF"/>
        </w:rPr>
        <w:t xml:space="preserve">Fulgenzi CAM, Talbot T, Murray SM, </w:t>
      </w:r>
      <w:proofErr w:type="spellStart"/>
      <w:r w:rsidRPr="001C0B8D">
        <w:rPr>
          <w:rFonts w:ascii="Segoe UI" w:hAnsi="Segoe UI" w:cs="Segoe UI"/>
          <w:shd w:val="clear" w:color="auto" w:fill="FFFFFF"/>
        </w:rPr>
        <w:t>Silletta</w:t>
      </w:r>
      <w:proofErr w:type="spellEnd"/>
      <w:r w:rsidRPr="001C0B8D">
        <w:rPr>
          <w:rFonts w:ascii="Segoe UI" w:hAnsi="Segoe UI" w:cs="Segoe UI"/>
          <w:shd w:val="clear" w:color="auto" w:fill="FFFFFF"/>
        </w:rPr>
        <w:t xml:space="preserve"> M, Vincenzi B, </w:t>
      </w:r>
      <w:proofErr w:type="spellStart"/>
      <w:r w:rsidRPr="001C0B8D">
        <w:rPr>
          <w:rFonts w:ascii="Segoe UI" w:hAnsi="Segoe UI" w:cs="Segoe UI"/>
          <w:shd w:val="clear" w:color="auto" w:fill="FFFFFF"/>
        </w:rPr>
        <w:t>Cortellini</w:t>
      </w:r>
      <w:proofErr w:type="spellEnd"/>
      <w:r w:rsidRPr="001C0B8D">
        <w:rPr>
          <w:rFonts w:ascii="Segoe UI" w:hAnsi="Segoe UI" w:cs="Segoe UI"/>
          <w:shd w:val="clear" w:color="auto" w:fill="FFFFFF"/>
        </w:rPr>
        <w:t xml:space="preserve"> A, </w:t>
      </w:r>
      <w:proofErr w:type="spellStart"/>
      <w:r w:rsidRPr="001C0B8D">
        <w:rPr>
          <w:rFonts w:ascii="Segoe UI" w:hAnsi="Segoe UI" w:cs="Segoe UI"/>
          <w:shd w:val="clear" w:color="auto" w:fill="FFFFFF"/>
        </w:rPr>
        <w:t>Pinato</w:t>
      </w:r>
      <w:proofErr w:type="spellEnd"/>
      <w:r w:rsidRPr="001C0B8D">
        <w:rPr>
          <w:rFonts w:ascii="Segoe UI" w:hAnsi="Segoe UI" w:cs="Segoe UI"/>
          <w:shd w:val="clear" w:color="auto" w:fill="FFFFFF"/>
        </w:rPr>
        <w:t xml:space="preserve"> DJ. Immunotherapy in Hepatocellular Carcinoma. Curr Treat Options Oncol. 2021 Aug 23;22(10):87.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10.1007/s11864-021-00886-5. PMID: 34424422; PMCID: PMC8382645.</w:t>
      </w:r>
    </w:p>
    <w:p w14:paraId="17B894EC" w14:textId="5026A282" w:rsidR="001C0B8D" w:rsidRPr="001C0B8D" w:rsidRDefault="001C0B8D" w:rsidP="001A7DDA">
      <w:pPr>
        <w:pStyle w:val="NormalWeb"/>
        <w:numPr>
          <w:ilvl w:val="0"/>
          <w:numId w:val="7"/>
        </w:numPr>
        <w:jc w:val="both"/>
      </w:pPr>
      <w:r w:rsidRPr="001C0B8D">
        <w:rPr>
          <w:rFonts w:ascii="Segoe UI" w:hAnsi="Segoe UI" w:cs="Segoe UI"/>
          <w:shd w:val="clear" w:color="auto" w:fill="FFFFFF"/>
        </w:rPr>
        <w:t xml:space="preserve">Suzuki T, Matsuura K, </w:t>
      </w:r>
      <w:proofErr w:type="spellStart"/>
      <w:r w:rsidRPr="001C0B8D">
        <w:rPr>
          <w:rFonts w:ascii="Segoe UI" w:hAnsi="Segoe UI" w:cs="Segoe UI"/>
          <w:shd w:val="clear" w:color="auto" w:fill="FFFFFF"/>
        </w:rPr>
        <w:t>Sobue</w:t>
      </w:r>
      <w:proofErr w:type="spellEnd"/>
      <w:r w:rsidRPr="001C0B8D">
        <w:rPr>
          <w:rFonts w:ascii="Segoe UI" w:hAnsi="Segoe UI" w:cs="Segoe UI"/>
          <w:shd w:val="clear" w:color="auto" w:fill="FFFFFF"/>
        </w:rPr>
        <w:t xml:space="preserve"> S, Kato D, Hayashi K, Kondo H, </w:t>
      </w:r>
      <w:proofErr w:type="spellStart"/>
      <w:r w:rsidRPr="001C0B8D">
        <w:rPr>
          <w:rFonts w:ascii="Segoe UI" w:hAnsi="Segoe UI" w:cs="Segoe UI"/>
          <w:shd w:val="clear" w:color="auto" w:fill="FFFFFF"/>
        </w:rPr>
        <w:t>Anbe</w:t>
      </w:r>
      <w:proofErr w:type="spellEnd"/>
      <w:r w:rsidRPr="001C0B8D">
        <w:rPr>
          <w:rFonts w:ascii="Segoe UI" w:hAnsi="Segoe UI" w:cs="Segoe UI"/>
          <w:shd w:val="clear" w:color="auto" w:fill="FFFFFF"/>
        </w:rPr>
        <w:t xml:space="preserve"> K, </w:t>
      </w:r>
      <w:proofErr w:type="spellStart"/>
      <w:r w:rsidRPr="001C0B8D">
        <w:rPr>
          <w:rFonts w:ascii="Segoe UI" w:hAnsi="Segoe UI" w:cs="Segoe UI"/>
          <w:shd w:val="clear" w:color="auto" w:fill="FFFFFF"/>
        </w:rPr>
        <w:t>Mizoshita</w:t>
      </w:r>
      <w:proofErr w:type="spellEnd"/>
      <w:r w:rsidRPr="001C0B8D">
        <w:rPr>
          <w:rFonts w:ascii="Segoe UI" w:hAnsi="Segoe UI" w:cs="Segoe UI"/>
          <w:shd w:val="clear" w:color="auto" w:fill="FFFFFF"/>
        </w:rPr>
        <w:t xml:space="preserve"> T, Okayama K, Okumura F, Kimura Y, </w:t>
      </w:r>
      <w:proofErr w:type="spellStart"/>
      <w:r w:rsidRPr="001C0B8D">
        <w:rPr>
          <w:rFonts w:ascii="Segoe UI" w:hAnsi="Segoe UI" w:cs="Segoe UI"/>
          <w:shd w:val="clear" w:color="auto" w:fill="FFFFFF"/>
        </w:rPr>
        <w:t>Ozasa</w:t>
      </w:r>
      <w:proofErr w:type="spellEnd"/>
      <w:r w:rsidRPr="001C0B8D">
        <w:rPr>
          <w:rFonts w:ascii="Segoe UI" w:hAnsi="Segoe UI" w:cs="Segoe UI"/>
          <w:shd w:val="clear" w:color="auto" w:fill="FFFFFF"/>
        </w:rPr>
        <w:t xml:space="preserve"> A, Inada H, Tokunaga T, </w:t>
      </w:r>
      <w:proofErr w:type="spellStart"/>
      <w:r w:rsidRPr="001C0B8D">
        <w:rPr>
          <w:rFonts w:ascii="Segoe UI" w:hAnsi="Segoe UI" w:cs="Segoe UI"/>
          <w:shd w:val="clear" w:color="auto" w:fill="FFFFFF"/>
        </w:rPr>
        <w:t>Narahara</w:t>
      </w:r>
      <w:proofErr w:type="spellEnd"/>
      <w:r w:rsidRPr="001C0B8D">
        <w:rPr>
          <w:rFonts w:ascii="Segoe UI" w:hAnsi="Segoe UI" w:cs="Segoe UI"/>
          <w:shd w:val="clear" w:color="auto" w:fill="FFFFFF"/>
        </w:rPr>
        <w:t xml:space="preserve"> S, Kawamura H, Fujiwara K, Nojiri S, Kataoka H, Tanaka Y. Neutrophil-to-lymphocyte ratio at the start of the second course of durvalumab plus </w:t>
      </w:r>
      <w:proofErr w:type="spellStart"/>
      <w:r w:rsidRPr="001C0B8D">
        <w:rPr>
          <w:rFonts w:ascii="Segoe UI" w:hAnsi="Segoe UI" w:cs="Segoe UI"/>
          <w:shd w:val="clear" w:color="auto" w:fill="FFFFFF"/>
        </w:rPr>
        <w:t>tremelimumab</w:t>
      </w:r>
      <w:proofErr w:type="spellEnd"/>
      <w:r w:rsidRPr="001C0B8D">
        <w:rPr>
          <w:rFonts w:ascii="Segoe UI" w:hAnsi="Segoe UI" w:cs="Segoe UI"/>
          <w:shd w:val="clear" w:color="auto" w:fill="FFFFFF"/>
        </w:rPr>
        <w:t xml:space="preserve"> therapy predicts therapeutic efficacy in patients with advanced hepatocellular carcinoma: A multicenter analysis. Hepatol Res. 2025 Jun;55(6):883-895.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xml:space="preserve">: 10.1111/hepr.14189. </w:t>
      </w:r>
      <w:proofErr w:type="spellStart"/>
      <w:r w:rsidRPr="001C0B8D">
        <w:rPr>
          <w:rFonts w:ascii="Segoe UI" w:hAnsi="Segoe UI" w:cs="Segoe UI"/>
          <w:shd w:val="clear" w:color="auto" w:fill="FFFFFF"/>
        </w:rPr>
        <w:t>Epub</w:t>
      </w:r>
      <w:proofErr w:type="spellEnd"/>
      <w:r w:rsidRPr="001C0B8D">
        <w:rPr>
          <w:rFonts w:ascii="Segoe UI" w:hAnsi="Segoe UI" w:cs="Segoe UI"/>
          <w:shd w:val="clear" w:color="auto" w:fill="FFFFFF"/>
        </w:rPr>
        <w:t xml:space="preserve"> 2025 Mar 28. PMID: 40317623.</w:t>
      </w:r>
    </w:p>
    <w:p w14:paraId="1525D745" w14:textId="2BD9CEE5" w:rsidR="001C0B8D" w:rsidRPr="001C0B8D" w:rsidRDefault="001C0B8D" w:rsidP="001A7DDA">
      <w:pPr>
        <w:pStyle w:val="NormalWeb"/>
        <w:numPr>
          <w:ilvl w:val="0"/>
          <w:numId w:val="7"/>
        </w:numPr>
        <w:jc w:val="both"/>
      </w:pPr>
      <w:r w:rsidRPr="001C0B8D">
        <w:rPr>
          <w:rFonts w:ascii="Segoe UI" w:hAnsi="Segoe UI" w:cs="Segoe UI"/>
          <w:shd w:val="clear" w:color="auto" w:fill="FFFFFF"/>
        </w:rPr>
        <w:lastRenderedPageBreak/>
        <w:t xml:space="preserve">Yau T, Park JW, Finn RS, Cheng AL, Mathurin P, Edeline J, Kudo M, Harding JJ, Merle P, </w:t>
      </w:r>
      <w:proofErr w:type="spellStart"/>
      <w:r w:rsidRPr="001C0B8D">
        <w:rPr>
          <w:rFonts w:ascii="Segoe UI" w:hAnsi="Segoe UI" w:cs="Segoe UI"/>
          <w:shd w:val="clear" w:color="auto" w:fill="FFFFFF"/>
        </w:rPr>
        <w:t>Rosmorduc</w:t>
      </w:r>
      <w:proofErr w:type="spellEnd"/>
      <w:r w:rsidRPr="001C0B8D">
        <w:rPr>
          <w:rFonts w:ascii="Segoe UI" w:hAnsi="Segoe UI" w:cs="Segoe UI"/>
          <w:shd w:val="clear" w:color="auto" w:fill="FFFFFF"/>
        </w:rPr>
        <w:t xml:space="preserve"> O, </w:t>
      </w:r>
      <w:proofErr w:type="spellStart"/>
      <w:r w:rsidRPr="001C0B8D">
        <w:rPr>
          <w:rFonts w:ascii="Segoe UI" w:hAnsi="Segoe UI" w:cs="Segoe UI"/>
          <w:shd w:val="clear" w:color="auto" w:fill="FFFFFF"/>
        </w:rPr>
        <w:t>Wyrwicz</w:t>
      </w:r>
      <w:proofErr w:type="spellEnd"/>
      <w:r w:rsidRPr="001C0B8D">
        <w:rPr>
          <w:rFonts w:ascii="Segoe UI" w:hAnsi="Segoe UI" w:cs="Segoe UI"/>
          <w:shd w:val="clear" w:color="auto" w:fill="FFFFFF"/>
        </w:rPr>
        <w:t xml:space="preserve"> L, Schott E, Choo SP, Kelley RK, Sieghart W, </w:t>
      </w:r>
      <w:proofErr w:type="spellStart"/>
      <w:r w:rsidRPr="001C0B8D">
        <w:rPr>
          <w:rFonts w:ascii="Segoe UI" w:hAnsi="Segoe UI" w:cs="Segoe UI"/>
          <w:shd w:val="clear" w:color="auto" w:fill="FFFFFF"/>
        </w:rPr>
        <w:t>Assenat</w:t>
      </w:r>
      <w:proofErr w:type="spellEnd"/>
      <w:r w:rsidRPr="001C0B8D">
        <w:rPr>
          <w:rFonts w:ascii="Segoe UI" w:hAnsi="Segoe UI" w:cs="Segoe UI"/>
          <w:shd w:val="clear" w:color="auto" w:fill="FFFFFF"/>
        </w:rPr>
        <w:t xml:space="preserve"> E, Zaucha R, Furuse J, Abou-Alfa GK, El-</w:t>
      </w:r>
      <w:proofErr w:type="spellStart"/>
      <w:r w:rsidRPr="001C0B8D">
        <w:rPr>
          <w:rFonts w:ascii="Segoe UI" w:hAnsi="Segoe UI" w:cs="Segoe UI"/>
          <w:shd w:val="clear" w:color="auto" w:fill="FFFFFF"/>
        </w:rPr>
        <w:t>Khoueiry</w:t>
      </w:r>
      <w:proofErr w:type="spellEnd"/>
      <w:r w:rsidRPr="001C0B8D">
        <w:rPr>
          <w:rFonts w:ascii="Segoe UI" w:hAnsi="Segoe UI" w:cs="Segoe UI"/>
          <w:shd w:val="clear" w:color="auto" w:fill="FFFFFF"/>
        </w:rPr>
        <w:t xml:space="preserve"> AB, Melero I, Begic D, Chen G, Neely J, Wisniewski T, </w:t>
      </w:r>
      <w:proofErr w:type="spellStart"/>
      <w:r w:rsidRPr="001C0B8D">
        <w:rPr>
          <w:rFonts w:ascii="Segoe UI" w:hAnsi="Segoe UI" w:cs="Segoe UI"/>
          <w:shd w:val="clear" w:color="auto" w:fill="FFFFFF"/>
        </w:rPr>
        <w:t>Tschaika</w:t>
      </w:r>
      <w:proofErr w:type="spellEnd"/>
      <w:r w:rsidRPr="001C0B8D">
        <w:rPr>
          <w:rFonts w:ascii="Segoe UI" w:hAnsi="Segoe UI" w:cs="Segoe UI"/>
          <w:shd w:val="clear" w:color="auto" w:fill="FFFFFF"/>
        </w:rPr>
        <w:t xml:space="preserve"> M, Sangro B. Nivolumab versus sorafenib in advanced hepatocellular carcinoma (</w:t>
      </w:r>
      <w:proofErr w:type="spellStart"/>
      <w:r w:rsidRPr="001C0B8D">
        <w:rPr>
          <w:rFonts w:ascii="Segoe UI" w:hAnsi="Segoe UI" w:cs="Segoe UI"/>
          <w:shd w:val="clear" w:color="auto" w:fill="FFFFFF"/>
        </w:rPr>
        <w:t>CheckMate</w:t>
      </w:r>
      <w:proofErr w:type="spellEnd"/>
      <w:r w:rsidRPr="001C0B8D">
        <w:rPr>
          <w:rFonts w:ascii="Segoe UI" w:hAnsi="Segoe UI" w:cs="Segoe UI"/>
          <w:shd w:val="clear" w:color="auto" w:fill="FFFFFF"/>
        </w:rPr>
        <w:t xml:space="preserve"> 459): a </w:t>
      </w:r>
      <w:proofErr w:type="spellStart"/>
      <w:r w:rsidRPr="001C0B8D">
        <w:rPr>
          <w:rFonts w:ascii="Segoe UI" w:hAnsi="Segoe UI" w:cs="Segoe UI"/>
          <w:shd w:val="clear" w:color="auto" w:fill="FFFFFF"/>
        </w:rPr>
        <w:t>randomised</w:t>
      </w:r>
      <w:proofErr w:type="spellEnd"/>
      <w:r w:rsidRPr="001C0B8D">
        <w:rPr>
          <w:rFonts w:ascii="Segoe UI" w:hAnsi="Segoe UI" w:cs="Segoe UI"/>
          <w:shd w:val="clear" w:color="auto" w:fill="FFFFFF"/>
        </w:rPr>
        <w:t xml:space="preserve">, </w:t>
      </w:r>
      <w:proofErr w:type="spellStart"/>
      <w:r w:rsidRPr="001C0B8D">
        <w:rPr>
          <w:rFonts w:ascii="Segoe UI" w:hAnsi="Segoe UI" w:cs="Segoe UI"/>
          <w:shd w:val="clear" w:color="auto" w:fill="FFFFFF"/>
        </w:rPr>
        <w:t>multicentre</w:t>
      </w:r>
      <w:proofErr w:type="spellEnd"/>
      <w:r w:rsidRPr="001C0B8D">
        <w:rPr>
          <w:rFonts w:ascii="Segoe UI" w:hAnsi="Segoe UI" w:cs="Segoe UI"/>
          <w:shd w:val="clear" w:color="auto" w:fill="FFFFFF"/>
        </w:rPr>
        <w:t xml:space="preserve">, open-label, phase 3 trial. Lancet Oncol. 2022 Jan;23(1):77-90.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xml:space="preserve">: 10.1016/S1470-2045(21)00604-5. </w:t>
      </w:r>
      <w:proofErr w:type="spellStart"/>
      <w:r w:rsidRPr="001C0B8D">
        <w:rPr>
          <w:rFonts w:ascii="Segoe UI" w:hAnsi="Segoe UI" w:cs="Segoe UI"/>
          <w:shd w:val="clear" w:color="auto" w:fill="FFFFFF"/>
        </w:rPr>
        <w:t>Epub</w:t>
      </w:r>
      <w:proofErr w:type="spellEnd"/>
      <w:r w:rsidRPr="001C0B8D">
        <w:rPr>
          <w:rFonts w:ascii="Segoe UI" w:hAnsi="Segoe UI" w:cs="Segoe UI"/>
          <w:shd w:val="clear" w:color="auto" w:fill="FFFFFF"/>
        </w:rPr>
        <w:t xml:space="preserve"> 2021 Dec 13. PMID: 34914889.</w:t>
      </w:r>
    </w:p>
    <w:p w14:paraId="4C11D285" w14:textId="041C325B" w:rsidR="001C0B8D" w:rsidRPr="001C0B8D" w:rsidRDefault="001C0B8D" w:rsidP="001A7DDA">
      <w:pPr>
        <w:pStyle w:val="NormalWeb"/>
        <w:numPr>
          <w:ilvl w:val="0"/>
          <w:numId w:val="7"/>
        </w:numPr>
        <w:jc w:val="both"/>
      </w:pPr>
      <w:r w:rsidRPr="001C0B8D">
        <w:rPr>
          <w:rFonts w:ascii="Segoe UI" w:hAnsi="Segoe UI" w:cs="Segoe UI"/>
          <w:shd w:val="clear" w:color="auto" w:fill="FFFFFF"/>
        </w:rPr>
        <w:t xml:space="preserve">Sangro B, </w:t>
      </w:r>
      <w:proofErr w:type="spellStart"/>
      <w:r w:rsidRPr="001C0B8D">
        <w:rPr>
          <w:rFonts w:ascii="Segoe UI" w:hAnsi="Segoe UI" w:cs="Segoe UI"/>
          <w:shd w:val="clear" w:color="auto" w:fill="FFFFFF"/>
        </w:rPr>
        <w:t>Sarobe</w:t>
      </w:r>
      <w:proofErr w:type="spellEnd"/>
      <w:r w:rsidRPr="001C0B8D">
        <w:rPr>
          <w:rFonts w:ascii="Segoe UI" w:hAnsi="Segoe UI" w:cs="Segoe UI"/>
          <w:shd w:val="clear" w:color="auto" w:fill="FFFFFF"/>
        </w:rPr>
        <w:t xml:space="preserve"> P, </w:t>
      </w:r>
      <w:proofErr w:type="spellStart"/>
      <w:r w:rsidRPr="001C0B8D">
        <w:rPr>
          <w:rFonts w:ascii="Segoe UI" w:hAnsi="Segoe UI" w:cs="Segoe UI"/>
          <w:shd w:val="clear" w:color="auto" w:fill="FFFFFF"/>
        </w:rPr>
        <w:t>Hervás</w:t>
      </w:r>
      <w:proofErr w:type="spellEnd"/>
      <w:r w:rsidRPr="001C0B8D">
        <w:rPr>
          <w:rFonts w:ascii="Segoe UI" w:hAnsi="Segoe UI" w:cs="Segoe UI"/>
          <w:shd w:val="clear" w:color="auto" w:fill="FFFFFF"/>
        </w:rPr>
        <w:t xml:space="preserve">-Stubbs S, Melero I. Advances in immunotherapy for hepatocellular carcinoma. Nat Rev Gastroenterol Hepatol. 2021 Aug;18(8):525-543.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xml:space="preserve">: 10.1038/s41575-021-00438-0. </w:t>
      </w:r>
      <w:proofErr w:type="spellStart"/>
      <w:r w:rsidRPr="001C0B8D">
        <w:rPr>
          <w:rFonts w:ascii="Segoe UI" w:hAnsi="Segoe UI" w:cs="Segoe UI"/>
          <w:shd w:val="clear" w:color="auto" w:fill="FFFFFF"/>
        </w:rPr>
        <w:t>Epub</w:t>
      </w:r>
      <w:proofErr w:type="spellEnd"/>
      <w:r w:rsidRPr="001C0B8D">
        <w:rPr>
          <w:rFonts w:ascii="Segoe UI" w:hAnsi="Segoe UI" w:cs="Segoe UI"/>
          <w:shd w:val="clear" w:color="auto" w:fill="FFFFFF"/>
        </w:rPr>
        <w:t xml:space="preserve"> 2021 Apr 13. PMID: 33850328; PMCID: PMC8042636.</w:t>
      </w:r>
    </w:p>
    <w:p w14:paraId="2417B776" w14:textId="1A3CBC0A" w:rsidR="001C0B8D" w:rsidRPr="001C0B8D" w:rsidRDefault="001C0B8D" w:rsidP="001A7DDA">
      <w:pPr>
        <w:pStyle w:val="NormalWeb"/>
        <w:numPr>
          <w:ilvl w:val="0"/>
          <w:numId w:val="7"/>
        </w:numPr>
        <w:jc w:val="both"/>
      </w:pPr>
      <w:r w:rsidRPr="001C0B8D">
        <w:rPr>
          <w:rFonts w:ascii="Segoe UI" w:hAnsi="Segoe UI" w:cs="Segoe UI"/>
          <w:shd w:val="clear" w:color="auto" w:fill="FFFFFF"/>
        </w:rPr>
        <w:t xml:space="preserve">Cao WH, Zhang YQ, Li XX, Zhang ZY, Li MH. Advances in immunotherapy for hepatitis B virus </w:t>
      </w:r>
      <w:proofErr w:type="gramStart"/>
      <w:r w:rsidRPr="001C0B8D">
        <w:rPr>
          <w:rFonts w:ascii="Segoe UI" w:hAnsi="Segoe UI" w:cs="Segoe UI"/>
          <w:shd w:val="clear" w:color="auto" w:fill="FFFFFF"/>
        </w:rPr>
        <w:t>associated</w:t>
      </w:r>
      <w:proofErr w:type="gramEnd"/>
      <w:r w:rsidRPr="001C0B8D">
        <w:rPr>
          <w:rFonts w:ascii="Segoe UI" w:hAnsi="Segoe UI" w:cs="Segoe UI"/>
          <w:shd w:val="clear" w:color="auto" w:fill="FFFFFF"/>
        </w:rPr>
        <w:t xml:space="preserve"> hepatocellular carcinoma patients. World J Hepatol. 2024 Oct 27;16(10):1158-1168.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10.4254/</w:t>
      </w:r>
      <w:proofErr w:type="gramStart"/>
      <w:r w:rsidRPr="001C0B8D">
        <w:rPr>
          <w:rFonts w:ascii="Segoe UI" w:hAnsi="Segoe UI" w:cs="Segoe UI"/>
          <w:shd w:val="clear" w:color="auto" w:fill="FFFFFF"/>
        </w:rPr>
        <w:t>wjh.v16.i</w:t>
      </w:r>
      <w:proofErr w:type="gramEnd"/>
      <w:r w:rsidRPr="001C0B8D">
        <w:rPr>
          <w:rFonts w:ascii="Segoe UI" w:hAnsi="Segoe UI" w:cs="Segoe UI"/>
          <w:shd w:val="clear" w:color="auto" w:fill="FFFFFF"/>
        </w:rPr>
        <w:t>10.1158. PMID: 39474576; PMCID: PMC11514615.</w:t>
      </w:r>
    </w:p>
    <w:p w14:paraId="7978D165" w14:textId="77777777" w:rsidR="001A7DDA" w:rsidRPr="00AF2A69" w:rsidRDefault="001A7DDA" w:rsidP="001A7DDA">
      <w:pPr>
        <w:pStyle w:val="ListParagraph"/>
        <w:spacing w:before="100" w:beforeAutospacing="1" w:after="100" w:afterAutospacing="1" w:line="360" w:lineRule="auto"/>
        <w:jc w:val="both"/>
        <w:rPr>
          <w:rFonts w:ascii="Times New Roman" w:eastAsia="Times New Roman" w:hAnsi="Times New Roman" w:cs="Times New Roman"/>
          <w:kern w:val="0"/>
          <w:highlight w:val="yellow"/>
          <w14:ligatures w14:val="none"/>
        </w:rPr>
      </w:pPr>
    </w:p>
    <w:p w14:paraId="210F22C5" w14:textId="77777777" w:rsidR="00F821C3" w:rsidRDefault="00F821C3" w:rsidP="00737795">
      <w:pPr>
        <w:rPr>
          <w:rFonts w:ascii="Times New Roman" w:eastAsia="Times New Roman" w:hAnsi="Times New Roman" w:cs="Times New Roman"/>
          <w:kern w:val="0"/>
          <w14:ligatures w14:val="none"/>
        </w:rPr>
      </w:pPr>
    </w:p>
    <w:p w14:paraId="3EEAA6BE" w14:textId="77777777" w:rsidR="00F821C3" w:rsidRDefault="00F821C3" w:rsidP="00737795"/>
    <w:sectPr w:rsidR="00F821C3" w:rsidSect="00985109">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6F873" w14:textId="77777777" w:rsidR="00A02FED" w:rsidRDefault="00A02FED">
      <w:pPr>
        <w:spacing w:after="0" w:line="240" w:lineRule="auto"/>
      </w:pPr>
      <w:r>
        <w:separator/>
      </w:r>
    </w:p>
  </w:endnote>
  <w:endnote w:type="continuationSeparator" w:id="0">
    <w:p w14:paraId="3346F93C" w14:textId="77777777" w:rsidR="00A02FED" w:rsidRDefault="00A0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E3FF" w14:textId="77777777" w:rsidR="00D3468E" w:rsidRDefault="00D34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3FD6" w14:textId="77777777" w:rsidR="00D3468E" w:rsidRPr="00A86919" w:rsidRDefault="00D3468E" w:rsidP="00A86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60E85" w14:textId="77777777" w:rsidR="00D3468E" w:rsidRDefault="00D34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FB34F" w14:textId="77777777" w:rsidR="00A02FED" w:rsidRDefault="00A02FED">
      <w:pPr>
        <w:spacing w:after="0" w:line="240" w:lineRule="auto"/>
      </w:pPr>
      <w:r>
        <w:separator/>
      </w:r>
    </w:p>
  </w:footnote>
  <w:footnote w:type="continuationSeparator" w:id="0">
    <w:p w14:paraId="772B18FA" w14:textId="77777777" w:rsidR="00A02FED" w:rsidRDefault="00A02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EECB" w14:textId="54E904BE" w:rsidR="00D3468E" w:rsidRDefault="00000000">
    <w:pPr>
      <w:pStyle w:val="Header"/>
    </w:pPr>
    <w:r>
      <w:rPr>
        <w:noProof/>
      </w:rPr>
      <w:pict w14:anchorId="3217C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709922" o:spid="_x0000_s1026"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AFB18" w14:textId="1B819153" w:rsidR="00D3468E" w:rsidRPr="00A86919" w:rsidRDefault="00000000" w:rsidP="00A86919">
    <w:pPr>
      <w:pStyle w:val="Header"/>
    </w:pPr>
    <w:r>
      <w:rPr>
        <w:noProof/>
      </w:rPr>
      <w:pict w14:anchorId="18193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709923" o:spid="_x0000_s1027"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A4BA" w14:textId="1DBCB2E1" w:rsidR="00D3468E" w:rsidRDefault="00000000">
    <w:pPr>
      <w:pStyle w:val="Header"/>
    </w:pPr>
    <w:r>
      <w:rPr>
        <w:noProof/>
      </w:rPr>
      <w:pict w14:anchorId="746D3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709921" o:spid="_x0000_s1025"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7B64"/>
    <w:multiLevelType w:val="multilevel"/>
    <w:tmpl w:val="EBF8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679B9"/>
    <w:multiLevelType w:val="multilevel"/>
    <w:tmpl w:val="0E9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3620B"/>
    <w:multiLevelType w:val="multilevel"/>
    <w:tmpl w:val="F4AE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233B37"/>
    <w:multiLevelType w:val="hybridMultilevel"/>
    <w:tmpl w:val="DE0C0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F0E18"/>
    <w:multiLevelType w:val="hybridMultilevel"/>
    <w:tmpl w:val="CCF2F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9055FB"/>
    <w:multiLevelType w:val="multilevel"/>
    <w:tmpl w:val="7A26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D2354F"/>
    <w:multiLevelType w:val="multilevel"/>
    <w:tmpl w:val="B4A4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D32606"/>
    <w:multiLevelType w:val="multilevel"/>
    <w:tmpl w:val="FFCA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4932290">
    <w:abstractNumId w:val="2"/>
  </w:num>
  <w:num w:numId="2" w16cid:durableId="1104419875">
    <w:abstractNumId w:val="7"/>
  </w:num>
  <w:num w:numId="3" w16cid:durableId="578825988">
    <w:abstractNumId w:val="1"/>
  </w:num>
  <w:num w:numId="4" w16cid:durableId="745106704">
    <w:abstractNumId w:val="0"/>
  </w:num>
  <w:num w:numId="5" w16cid:durableId="648754376">
    <w:abstractNumId w:val="6"/>
  </w:num>
  <w:num w:numId="6" w16cid:durableId="678654296">
    <w:abstractNumId w:val="5"/>
  </w:num>
  <w:num w:numId="7" w16cid:durableId="935334482">
    <w:abstractNumId w:val="3"/>
  </w:num>
  <w:num w:numId="8" w16cid:durableId="1054281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GzNLYwNjS0NLM0sTRT0lEKTi0uzszPAykwrAUA6+oK8CwAAAA="/>
  </w:docVars>
  <w:rsids>
    <w:rsidRoot w:val="00985109"/>
    <w:rsid w:val="00100B69"/>
    <w:rsid w:val="00166225"/>
    <w:rsid w:val="001A7DDA"/>
    <w:rsid w:val="001C0B8D"/>
    <w:rsid w:val="00253AB9"/>
    <w:rsid w:val="00255A10"/>
    <w:rsid w:val="0029372D"/>
    <w:rsid w:val="002C53B9"/>
    <w:rsid w:val="00300AB0"/>
    <w:rsid w:val="003A1779"/>
    <w:rsid w:val="00420B12"/>
    <w:rsid w:val="004346D6"/>
    <w:rsid w:val="00455900"/>
    <w:rsid w:val="004614C0"/>
    <w:rsid w:val="004631AB"/>
    <w:rsid w:val="004D0039"/>
    <w:rsid w:val="005D61F3"/>
    <w:rsid w:val="005E539C"/>
    <w:rsid w:val="006563A7"/>
    <w:rsid w:val="00696FBD"/>
    <w:rsid w:val="006D2BA1"/>
    <w:rsid w:val="00737795"/>
    <w:rsid w:val="00780F75"/>
    <w:rsid w:val="007B52AC"/>
    <w:rsid w:val="008972EC"/>
    <w:rsid w:val="00985109"/>
    <w:rsid w:val="009B535D"/>
    <w:rsid w:val="00A02FED"/>
    <w:rsid w:val="00A20B97"/>
    <w:rsid w:val="00A262E4"/>
    <w:rsid w:val="00A60CE7"/>
    <w:rsid w:val="00A620B3"/>
    <w:rsid w:val="00AC783F"/>
    <w:rsid w:val="00B37017"/>
    <w:rsid w:val="00BD7B95"/>
    <w:rsid w:val="00C16D44"/>
    <w:rsid w:val="00CC27A2"/>
    <w:rsid w:val="00D3468E"/>
    <w:rsid w:val="00D4597C"/>
    <w:rsid w:val="00E91CFF"/>
    <w:rsid w:val="00EA3038"/>
    <w:rsid w:val="00EF799A"/>
    <w:rsid w:val="00F57617"/>
    <w:rsid w:val="00F821C3"/>
    <w:rsid w:val="00F865C9"/>
    <w:rsid w:val="00F95274"/>
    <w:rsid w:val="00F959AC"/>
    <w:rsid w:val="00FF1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83502"/>
  <w15:chartTrackingRefBased/>
  <w15:docId w15:val="{F009170D-1C59-49C2-9B3B-3529FCD5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109"/>
  </w:style>
  <w:style w:type="paragraph" w:styleId="Heading1">
    <w:name w:val="heading 1"/>
    <w:basedOn w:val="Normal"/>
    <w:next w:val="Normal"/>
    <w:link w:val="Heading1Char"/>
    <w:uiPriority w:val="9"/>
    <w:qFormat/>
    <w:rsid w:val="00985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1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109"/>
    <w:rPr>
      <w:rFonts w:eastAsiaTheme="majorEastAsia" w:cstheme="majorBidi"/>
      <w:color w:val="272727" w:themeColor="text1" w:themeTint="D8"/>
    </w:rPr>
  </w:style>
  <w:style w:type="paragraph" w:styleId="Title">
    <w:name w:val="Title"/>
    <w:basedOn w:val="Normal"/>
    <w:next w:val="Normal"/>
    <w:link w:val="TitleChar"/>
    <w:uiPriority w:val="10"/>
    <w:qFormat/>
    <w:rsid w:val="00985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1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109"/>
    <w:pPr>
      <w:spacing w:before="160"/>
      <w:jc w:val="center"/>
    </w:pPr>
    <w:rPr>
      <w:i/>
      <w:iCs/>
      <w:color w:val="404040" w:themeColor="text1" w:themeTint="BF"/>
    </w:rPr>
  </w:style>
  <w:style w:type="character" w:customStyle="1" w:styleId="QuoteChar">
    <w:name w:val="Quote Char"/>
    <w:basedOn w:val="DefaultParagraphFont"/>
    <w:link w:val="Quote"/>
    <w:uiPriority w:val="29"/>
    <w:rsid w:val="00985109"/>
    <w:rPr>
      <w:i/>
      <w:iCs/>
      <w:color w:val="404040" w:themeColor="text1" w:themeTint="BF"/>
    </w:rPr>
  </w:style>
  <w:style w:type="paragraph" w:styleId="ListParagraph">
    <w:name w:val="List Paragraph"/>
    <w:basedOn w:val="Normal"/>
    <w:uiPriority w:val="34"/>
    <w:qFormat/>
    <w:rsid w:val="00985109"/>
    <w:pPr>
      <w:ind w:left="720"/>
      <w:contextualSpacing/>
    </w:pPr>
  </w:style>
  <w:style w:type="character" w:styleId="IntenseEmphasis">
    <w:name w:val="Intense Emphasis"/>
    <w:basedOn w:val="DefaultParagraphFont"/>
    <w:uiPriority w:val="21"/>
    <w:qFormat/>
    <w:rsid w:val="00985109"/>
    <w:rPr>
      <w:i/>
      <w:iCs/>
      <w:color w:val="0F4761" w:themeColor="accent1" w:themeShade="BF"/>
    </w:rPr>
  </w:style>
  <w:style w:type="paragraph" w:styleId="IntenseQuote">
    <w:name w:val="Intense Quote"/>
    <w:basedOn w:val="Normal"/>
    <w:next w:val="Normal"/>
    <w:link w:val="IntenseQuoteChar"/>
    <w:uiPriority w:val="30"/>
    <w:qFormat/>
    <w:rsid w:val="00985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109"/>
    <w:rPr>
      <w:i/>
      <w:iCs/>
      <w:color w:val="0F4761" w:themeColor="accent1" w:themeShade="BF"/>
    </w:rPr>
  </w:style>
  <w:style w:type="character" w:styleId="IntenseReference">
    <w:name w:val="Intense Reference"/>
    <w:basedOn w:val="DefaultParagraphFont"/>
    <w:uiPriority w:val="32"/>
    <w:qFormat/>
    <w:rsid w:val="00985109"/>
    <w:rPr>
      <w:b/>
      <w:bCs/>
      <w:smallCaps/>
      <w:color w:val="0F4761" w:themeColor="accent1" w:themeShade="BF"/>
      <w:spacing w:val="5"/>
    </w:rPr>
  </w:style>
  <w:style w:type="table" w:styleId="TableGrid">
    <w:name w:val="Table Grid"/>
    <w:basedOn w:val="TableNormal"/>
    <w:uiPriority w:val="59"/>
    <w:rsid w:val="00985109"/>
    <w:pPr>
      <w:spacing w:after="0" w:line="240" w:lineRule="auto"/>
    </w:pPr>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5109"/>
    <w:rPr>
      <w:b/>
      <w:bCs/>
    </w:rPr>
  </w:style>
  <w:style w:type="paragraph" w:styleId="Header">
    <w:name w:val="header"/>
    <w:basedOn w:val="Normal"/>
    <w:link w:val="HeaderChar"/>
    <w:uiPriority w:val="99"/>
    <w:unhideWhenUsed/>
    <w:rsid w:val="009851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85109"/>
  </w:style>
  <w:style w:type="paragraph" w:styleId="Footer">
    <w:name w:val="footer"/>
    <w:basedOn w:val="Normal"/>
    <w:link w:val="FooterChar"/>
    <w:uiPriority w:val="99"/>
    <w:unhideWhenUsed/>
    <w:rsid w:val="009851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5109"/>
  </w:style>
  <w:style w:type="character" w:customStyle="1" w:styleId="al-author-delim">
    <w:name w:val="al-author-delim"/>
    <w:basedOn w:val="DefaultParagraphFont"/>
    <w:rsid w:val="00F821C3"/>
  </w:style>
  <w:style w:type="character" w:customStyle="1" w:styleId="Subtitle1">
    <w:name w:val="Subtitle1"/>
    <w:basedOn w:val="DefaultParagraphFont"/>
    <w:rsid w:val="00F821C3"/>
  </w:style>
  <w:style w:type="character" w:customStyle="1" w:styleId="colon-for-citation-subtitle">
    <w:name w:val="colon-for-citation-subtitle"/>
    <w:basedOn w:val="DefaultParagraphFont"/>
    <w:rsid w:val="00F821C3"/>
  </w:style>
  <w:style w:type="character" w:styleId="Emphasis">
    <w:name w:val="Emphasis"/>
    <w:basedOn w:val="DefaultParagraphFont"/>
    <w:uiPriority w:val="20"/>
    <w:qFormat/>
    <w:rsid w:val="00F821C3"/>
    <w:rPr>
      <w:i/>
      <w:iCs/>
    </w:rPr>
  </w:style>
  <w:style w:type="character" w:styleId="Hyperlink">
    <w:name w:val="Hyperlink"/>
    <w:basedOn w:val="DefaultParagraphFont"/>
    <w:uiPriority w:val="99"/>
    <w:unhideWhenUsed/>
    <w:rsid w:val="00F821C3"/>
    <w:rPr>
      <w:color w:val="467886" w:themeColor="hyperlink"/>
      <w:u w:val="single"/>
    </w:rPr>
  </w:style>
  <w:style w:type="paragraph" w:styleId="NormalWeb">
    <w:name w:val="Normal (Web)"/>
    <w:basedOn w:val="Normal"/>
    <w:uiPriority w:val="99"/>
    <w:semiHidden/>
    <w:unhideWhenUsed/>
    <w:rsid w:val="001A7DD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CC27A2"/>
    <w:pPr>
      <w:spacing w:after="0" w:line="240" w:lineRule="auto"/>
    </w:pPr>
  </w:style>
  <w:style w:type="character" w:customStyle="1" w:styleId="UnresolvedMention1">
    <w:name w:val="Unresolved Mention1"/>
    <w:basedOn w:val="DefaultParagraphFont"/>
    <w:uiPriority w:val="99"/>
    <w:semiHidden/>
    <w:unhideWhenUsed/>
    <w:rsid w:val="00D45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6284">
      <w:bodyDiv w:val="1"/>
      <w:marLeft w:val="0"/>
      <w:marRight w:val="0"/>
      <w:marTop w:val="0"/>
      <w:marBottom w:val="0"/>
      <w:divBdr>
        <w:top w:val="none" w:sz="0" w:space="0" w:color="auto"/>
        <w:left w:val="none" w:sz="0" w:space="0" w:color="auto"/>
        <w:bottom w:val="none" w:sz="0" w:space="0" w:color="auto"/>
        <w:right w:val="none" w:sz="0" w:space="0" w:color="auto"/>
      </w:divBdr>
    </w:div>
    <w:div w:id="174197454">
      <w:bodyDiv w:val="1"/>
      <w:marLeft w:val="0"/>
      <w:marRight w:val="0"/>
      <w:marTop w:val="0"/>
      <w:marBottom w:val="0"/>
      <w:divBdr>
        <w:top w:val="none" w:sz="0" w:space="0" w:color="auto"/>
        <w:left w:val="none" w:sz="0" w:space="0" w:color="auto"/>
        <w:bottom w:val="none" w:sz="0" w:space="0" w:color="auto"/>
        <w:right w:val="none" w:sz="0" w:space="0" w:color="auto"/>
      </w:divBdr>
    </w:div>
    <w:div w:id="559051069">
      <w:bodyDiv w:val="1"/>
      <w:marLeft w:val="0"/>
      <w:marRight w:val="0"/>
      <w:marTop w:val="0"/>
      <w:marBottom w:val="0"/>
      <w:divBdr>
        <w:top w:val="none" w:sz="0" w:space="0" w:color="auto"/>
        <w:left w:val="none" w:sz="0" w:space="0" w:color="auto"/>
        <w:bottom w:val="none" w:sz="0" w:space="0" w:color="auto"/>
        <w:right w:val="none" w:sz="0" w:space="0" w:color="auto"/>
      </w:divBdr>
    </w:div>
    <w:div w:id="802502193">
      <w:bodyDiv w:val="1"/>
      <w:marLeft w:val="0"/>
      <w:marRight w:val="0"/>
      <w:marTop w:val="0"/>
      <w:marBottom w:val="0"/>
      <w:divBdr>
        <w:top w:val="none" w:sz="0" w:space="0" w:color="auto"/>
        <w:left w:val="none" w:sz="0" w:space="0" w:color="auto"/>
        <w:bottom w:val="none" w:sz="0" w:space="0" w:color="auto"/>
        <w:right w:val="none" w:sz="0" w:space="0" w:color="auto"/>
      </w:divBdr>
    </w:div>
    <w:div w:id="999969050">
      <w:bodyDiv w:val="1"/>
      <w:marLeft w:val="0"/>
      <w:marRight w:val="0"/>
      <w:marTop w:val="0"/>
      <w:marBottom w:val="0"/>
      <w:divBdr>
        <w:top w:val="none" w:sz="0" w:space="0" w:color="auto"/>
        <w:left w:val="none" w:sz="0" w:space="0" w:color="auto"/>
        <w:bottom w:val="none" w:sz="0" w:space="0" w:color="auto"/>
        <w:right w:val="none" w:sz="0" w:space="0" w:color="auto"/>
      </w:divBdr>
    </w:div>
    <w:div w:id="1079788714">
      <w:bodyDiv w:val="1"/>
      <w:marLeft w:val="0"/>
      <w:marRight w:val="0"/>
      <w:marTop w:val="0"/>
      <w:marBottom w:val="0"/>
      <w:divBdr>
        <w:top w:val="none" w:sz="0" w:space="0" w:color="auto"/>
        <w:left w:val="none" w:sz="0" w:space="0" w:color="auto"/>
        <w:bottom w:val="none" w:sz="0" w:space="0" w:color="auto"/>
        <w:right w:val="none" w:sz="0" w:space="0" w:color="auto"/>
      </w:divBdr>
    </w:div>
    <w:div w:id="1086000090">
      <w:bodyDiv w:val="1"/>
      <w:marLeft w:val="0"/>
      <w:marRight w:val="0"/>
      <w:marTop w:val="0"/>
      <w:marBottom w:val="0"/>
      <w:divBdr>
        <w:top w:val="none" w:sz="0" w:space="0" w:color="auto"/>
        <w:left w:val="none" w:sz="0" w:space="0" w:color="auto"/>
        <w:bottom w:val="none" w:sz="0" w:space="0" w:color="auto"/>
        <w:right w:val="none" w:sz="0" w:space="0" w:color="auto"/>
      </w:divBdr>
    </w:div>
    <w:div w:id="1142188718">
      <w:bodyDiv w:val="1"/>
      <w:marLeft w:val="0"/>
      <w:marRight w:val="0"/>
      <w:marTop w:val="0"/>
      <w:marBottom w:val="0"/>
      <w:divBdr>
        <w:top w:val="none" w:sz="0" w:space="0" w:color="auto"/>
        <w:left w:val="none" w:sz="0" w:space="0" w:color="auto"/>
        <w:bottom w:val="none" w:sz="0" w:space="0" w:color="auto"/>
        <w:right w:val="none" w:sz="0" w:space="0" w:color="auto"/>
      </w:divBdr>
    </w:div>
    <w:div w:id="1344432041">
      <w:bodyDiv w:val="1"/>
      <w:marLeft w:val="0"/>
      <w:marRight w:val="0"/>
      <w:marTop w:val="0"/>
      <w:marBottom w:val="0"/>
      <w:divBdr>
        <w:top w:val="none" w:sz="0" w:space="0" w:color="auto"/>
        <w:left w:val="none" w:sz="0" w:space="0" w:color="auto"/>
        <w:bottom w:val="none" w:sz="0" w:space="0" w:color="auto"/>
        <w:right w:val="none" w:sz="0" w:space="0" w:color="auto"/>
      </w:divBdr>
    </w:div>
    <w:div w:id="1932466710">
      <w:bodyDiv w:val="1"/>
      <w:marLeft w:val="0"/>
      <w:marRight w:val="0"/>
      <w:marTop w:val="0"/>
      <w:marBottom w:val="0"/>
      <w:divBdr>
        <w:top w:val="none" w:sz="0" w:space="0" w:color="auto"/>
        <w:left w:val="none" w:sz="0" w:space="0" w:color="auto"/>
        <w:bottom w:val="none" w:sz="0" w:space="0" w:color="auto"/>
        <w:right w:val="none" w:sz="0" w:space="0" w:color="auto"/>
      </w:divBdr>
    </w:div>
    <w:div w:id="1963682200">
      <w:bodyDiv w:val="1"/>
      <w:marLeft w:val="0"/>
      <w:marRight w:val="0"/>
      <w:marTop w:val="0"/>
      <w:marBottom w:val="0"/>
      <w:divBdr>
        <w:top w:val="none" w:sz="0" w:space="0" w:color="auto"/>
        <w:left w:val="none" w:sz="0" w:space="0" w:color="auto"/>
        <w:bottom w:val="none" w:sz="0" w:space="0" w:color="auto"/>
        <w:right w:val="none" w:sz="0" w:space="0" w:color="auto"/>
      </w:divBdr>
    </w:div>
    <w:div w:id="20841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yperlink" Target="https://doi.org/10.1016/S1470-2045(19)30857-" TargetMode="External"/><Relationship Id="rId26" Type="http://schemas.openxmlformats.org/officeDocument/2006/relationships/hyperlink" Target="https://doi.org/10.1038/s41591-023-02786-7" TargetMode="External"/><Relationship Id="rId3" Type="http://schemas.openxmlformats.org/officeDocument/2006/relationships/settings" Target="settings.xml"/><Relationship Id="rId21" Type="http://schemas.openxmlformats.org/officeDocument/2006/relationships/hyperlink" Target="https://doi.org/10.1038/s41591-023-02786-7"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16/S1470-2045(21)00252-7" TargetMode="External"/><Relationship Id="rId25" Type="http://schemas.openxmlformats.org/officeDocument/2006/relationships/hyperlink" Target="https://doi.org/10.4254/wjh.v13.i9.1132" TargetMode="External"/><Relationship Id="rId2" Type="http://schemas.openxmlformats.org/officeDocument/2006/relationships/styles" Target="styles.xml"/><Relationship Id="rId16" Type="http://schemas.openxmlformats.org/officeDocument/2006/relationships/hyperlink" Target="https://doi.org/10.1038/cddis.2017.229" TargetMode="External"/><Relationship Id="rId20" Type="http://schemas.openxmlformats.org/officeDocument/2006/relationships/hyperlink" Target="https://doi.org/10.1016/S1470-2045(21)0060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016/S0140-6736(20)31025-2" TargetMode="External"/><Relationship Id="rId5" Type="http://schemas.openxmlformats.org/officeDocument/2006/relationships/footnotes" Target="footnotes.xml"/><Relationship Id="rId15" Type="http://schemas.openxmlformats.org/officeDocument/2006/relationships/hyperlink" Target="https://doi.org/10.1038/s41571-021-00573-2" TargetMode="External"/><Relationship Id="rId23" Type="http://schemas.openxmlformats.org/officeDocument/2006/relationships/hyperlink" Target="https://doi.org/10.1016/S1470-2045(19)30409-9"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1200/JCO.20.0258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yperlink" Target="https://doi.org/10.4254/wjh.v13.i9.113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4360</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office5348</dc:creator>
  <cp:keywords/>
  <dc:description/>
  <cp:lastModifiedBy>office5348</cp:lastModifiedBy>
  <cp:revision>15</cp:revision>
  <dcterms:created xsi:type="dcterms:W3CDTF">2025-05-31T13:06:00Z</dcterms:created>
  <dcterms:modified xsi:type="dcterms:W3CDTF">2025-06-25T07:19:00Z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0d52dbc5-80c7-4b93-8b77-a5a8df13de4b</vt:lpwstr>
  </property>
</Properties>
</file>