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A3B1" w14:textId="41D218CC" w:rsidR="00F45A60" w:rsidRPr="00F45A60" w:rsidRDefault="00F45A60" w:rsidP="00435E01">
      <w:pPr>
        <w:spacing w:line="360" w:lineRule="auto"/>
        <w:contextualSpacing/>
        <w:jc w:val="both"/>
        <w:rPr>
          <w:rFonts w:ascii="Arial" w:hAnsi="Arial" w:cs="Arial"/>
          <w:b/>
          <w:bCs/>
          <w:u w:val="single"/>
        </w:rPr>
      </w:pPr>
      <w:r w:rsidRPr="00F45A60">
        <w:rPr>
          <w:rFonts w:ascii="Arial" w:hAnsi="Arial" w:cs="Arial"/>
          <w:b/>
          <w:bCs/>
          <w:u w:val="single"/>
        </w:rPr>
        <w:t>Short communication</w:t>
      </w:r>
    </w:p>
    <w:p w14:paraId="304939E9" w14:textId="0BBAF66E" w:rsidR="00435E01" w:rsidRPr="00435E01" w:rsidRDefault="00435E01" w:rsidP="00435E01">
      <w:pPr>
        <w:spacing w:line="360" w:lineRule="auto"/>
        <w:contextualSpacing/>
        <w:jc w:val="both"/>
        <w:rPr>
          <w:rFonts w:ascii="Arial" w:hAnsi="Arial" w:cs="Arial"/>
          <w:b/>
          <w:bCs/>
        </w:rPr>
      </w:pPr>
      <w:r w:rsidRPr="00435E01">
        <w:rPr>
          <w:rFonts w:ascii="Arial" w:hAnsi="Arial" w:cs="Arial"/>
          <w:b/>
          <w:bCs/>
        </w:rPr>
        <w:t>Unusual Ascitic Syndromes in Two Health Districts in Niger: A Public Health Alert and Etiological Hypotheses</w:t>
      </w:r>
    </w:p>
    <w:p w14:paraId="043F7418" w14:textId="77777777" w:rsidR="00435E01" w:rsidRPr="00435E01" w:rsidRDefault="00435E01" w:rsidP="00435E01">
      <w:pPr>
        <w:spacing w:line="360" w:lineRule="auto"/>
        <w:contextualSpacing/>
        <w:jc w:val="both"/>
        <w:rPr>
          <w:rFonts w:ascii="Arial" w:hAnsi="Arial" w:cs="Arial"/>
        </w:rPr>
      </w:pPr>
    </w:p>
    <w:p w14:paraId="78E2D6C1" w14:textId="77777777" w:rsidR="00474E9F" w:rsidRDefault="00474E9F" w:rsidP="00474E9F">
      <w:pPr>
        <w:spacing w:line="360" w:lineRule="auto"/>
        <w:contextualSpacing/>
        <w:jc w:val="both"/>
        <w:rPr>
          <w:rFonts w:ascii="Arial" w:hAnsi="Arial" w:cs="Arial"/>
        </w:rPr>
      </w:pPr>
    </w:p>
    <w:p w14:paraId="0D8D9028" w14:textId="1CA173C4" w:rsidR="00474E9F" w:rsidRPr="00474E9F" w:rsidRDefault="00474E9F" w:rsidP="00474E9F">
      <w:pPr>
        <w:spacing w:line="360" w:lineRule="auto"/>
        <w:contextualSpacing/>
        <w:jc w:val="both"/>
        <w:rPr>
          <w:rFonts w:ascii="Arial" w:hAnsi="Arial" w:cs="Arial"/>
          <w:b/>
          <w:bCs/>
          <w:sz w:val="22"/>
          <w:szCs w:val="22"/>
        </w:rPr>
      </w:pPr>
      <w:r w:rsidRPr="00474E9F">
        <w:rPr>
          <w:rFonts w:ascii="Arial" w:hAnsi="Arial" w:cs="Arial"/>
          <w:b/>
          <w:bCs/>
          <w:sz w:val="22"/>
          <w:szCs w:val="22"/>
        </w:rPr>
        <w:t>Abstract</w:t>
      </w:r>
    </w:p>
    <w:p w14:paraId="4CB74F8C" w14:textId="31559EED" w:rsidR="00474E9F" w:rsidRPr="00474E9F" w:rsidRDefault="00474E9F" w:rsidP="00474E9F">
      <w:pPr>
        <w:spacing w:line="360" w:lineRule="auto"/>
        <w:contextualSpacing/>
        <w:jc w:val="both"/>
        <w:rPr>
          <w:rFonts w:ascii="Arial" w:hAnsi="Arial" w:cs="Arial"/>
          <w:sz w:val="22"/>
          <w:szCs w:val="22"/>
        </w:rPr>
      </w:pPr>
      <w:r w:rsidRPr="00474E9F">
        <w:rPr>
          <w:rFonts w:ascii="Arial" w:hAnsi="Arial" w:cs="Arial"/>
          <w:b/>
          <w:bCs/>
          <w:sz w:val="22"/>
          <w:szCs w:val="22"/>
        </w:rPr>
        <w:t>Background:</w:t>
      </w:r>
      <w:r w:rsidRPr="00474E9F">
        <w:rPr>
          <w:rFonts w:ascii="Arial" w:hAnsi="Arial" w:cs="Arial"/>
          <w:sz w:val="22"/>
          <w:szCs w:val="22"/>
        </w:rPr>
        <w:t xml:space="preserve"> Ascites is rare in children and typically linked to hepatic, infectious, or nutritional causes. In early 2025, an unusual cluster of pediatric ascitic syndromes was reported in two health districts in central Niger, prompting an epidemiological investigation.</w:t>
      </w:r>
    </w:p>
    <w:p w14:paraId="7F68C157" w14:textId="3CBECAD5" w:rsidR="00474E9F" w:rsidRPr="00474E9F" w:rsidRDefault="00474E9F" w:rsidP="00474E9F">
      <w:pPr>
        <w:spacing w:line="360" w:lineRule="auto"/>
        <w:contextualSpacing/>
        <w:jc w:val="both"/>
        <w:rPr>
          <w:rFonts w:ascii="Arial" w:hAnsi="Arial" w:cs="Arial"/>
          <w:sz w:val="22"/>
          <w:szCs w:val="22"/>
        </w:rPr>
      </w:pPr>
      <w:r w:rsidRPr="00474E9F">
        <w:rPr>
          <w:rFonts w:ascii="Arial" w:hAnsi="Arial" w:cs="Arial"/>
          <w:b/>
          <w:bCs/>
          <w:sz w:val="22"/>
          <w:szCs w:val="22"/>
        </w:rPr>
        <w:t>Methods:</w:t>
      </w:r>
      <w:r w:rsidRPr="00474E9F">
        <w:rPr>
          <w:rFonts w:ascii="Arial" w:hAnsi="Arial" w:cs="Arial"/>
          <w:sz w:val="22"/>
          <w:szCs w:val="22"/>
        </w:rPr>
        <w:t xml:space="preserve"> A field investigation was conducted in the </w:t>
      </w:r>
      <w:proofErr w:type="spellStart"/>
      <w:r w:rsidRPr="00474E9F">
        <w:rPr>
          <w:rFonts w:ascii="Arial" w:hAnsi="Arial" w:cs="Arial"/>
          <w:sz w:val="22"/>
          <w:szCs w:val="22"/>
        </w:rPr>
        <w:t>Dogondoutchi</w:t>
      </w:r>
      <w:proofErr w:type="spellEnd"/>
      <w:r w:rsidRPr="00474E9F">
        <w:rPr>
          <w:rFonts w:ascii="Arial" w:hAnsi="Arial" w:cs="Arial"/>
          <w:sz w:val="22"/>
          <w:szCs w:val="22"/>
        </w:rPr>
        <w:t xml:space="preserve"> and </w:t>
      </w:r>
      <w:proofErr w:type="spellStart"/>
      <w:r w:rsidRPr="00474E9F">
        <w:rPr>
          <w:rFonts w:ascii="Arial" w:hAnsi="Arial" w:cs="Arial"/>
          <w:sz w:val="22"/>
          <w:szCs w:val="22"/>
        </w:rPr>
        <w:t>Tibiri</w:t>
      </w:r>
      <w:proofErr w:type="spellEnd"/>
      <w:r w:rsidRPr="00474E9F">
        <w:rPr>
          <w:rFonts w:ascii="Arial" w:hAnsi="Arial" w:cs="Arial"/>
          <w:sz w:val="22"/>
          <w:szCs w:val="22"/>
        </w:rPr>
        <w:t xml:space="preserve"> districts between March 12 and 16, 2025. Data were collected through record reviews, interviews with local health teams, and field visits. Community engagement activities were also implemented to assess local perceptions and identify additional cases.</w:t>
      </w:r>
    </w:p>
    <w:p w14:paraId="3012809B" w14:textId="61B7D707" w:rsidR="00474E9F" w:rsidRPr="00474E9F" w:rsidRDefault="00474E9F" w:rsidP="00474E9F">
      <w:pPr>
        <w:spacing w:line="360" w:lineRule="auto"/>
        <w:contextualSpacing/>
        <w:jc w:val="both"/>
        <w:rPr>
          <w:rFonts w:ascii="Arial" w:hAnsi="Arial" w:cs="Arial"/>
          <w:sz w:val="22"/>
          <w:szCs w:val="22"/>
        </w:rPr>
      </w:pPr>
      <w:r w:rsidRPr="00474E9F">
        <w:rPr>
          <w:rFonts w:ascii="Arial" w:hAnsi="Arial" w:cs="Arial"/>
          <w:b/>
          <w:bCs/>
          <w:sz w:val="22"/>
          <w:szCs w:val="22"/>
        </w:rPr>
        <w:t>Results</w:t>
      </w:r>
      <w:r w:rsidRPr="00474E9F">
        <w:rPr>
          <w:rFonts w:ascii="Arial" w:hAnsi="Arial" w:cs="Arial"/>
          <w:sz w:val="22"/>
          <w:szCs w:val="22"/>
        </w:rPr>
        <w:t xml:space="preserve">: A total of 128 cases, mostly children aged 5–14 years (66.4%), were identified, with a case fatality rate of 1.56%. Clinical features included progressive abdominal distension, ascites, hepatomegaly, and generalized edema. Ascitic fluid was citrine yellow and sterile. No clear infectious cause was found. </w:t>
      </w:r>
    </w:p>
    <w:p w14:paraId="6B2C8FD0" w14:textId="50DC7EDE" w:rsidR="00474E9F" w:rsidRPr="00474E9F" w:rsidRDefault="00474E9F" w:rsidP="00474E9F">
      <w:pPr>
        <w:spacing w:line="360" w:lineRule="auto"/>
        <w:contextualSpacing/>
        <w:jc w:val="both"/>
        <w:rPr>
          <w:rFonts w:ascii="Arial" w:hAnsi="Arial" w:cs="Arial"/>
          <w:sz w:val="22"/>
          <w:szCs w:val="22"/>
        </w:rPr>
      </w:pPr>
      <w:r w:rsidRPr="00474E9F">
        <w:rPr>
          <w:rFonts w:ascii="Arial" w:hAnsi="Arial" w:cs="Arial"/>
          <w:b/>
          <w:bCs/>
          <w:sz w:val="22"/>
          <w:szCs w:val="22"/>
        </w:rPr>
        <w:t>Conclusion:</w:t>
      </w:r>
      <w:r w:rsidRPr="00474E9F">
        <w:rPr>
          <w:rFonts w:ascii="Arial" w:hAnsi="Arial" w:cs="Arial"/>
          <w:sz w:val="22"/>
          <w:szCs w:val="22"/>
        </w:rPr>
        <w:t xml:space="preserve"> This outbreak constitutes a public health alert. Further etiological investigations, including toxicological and </w:t>
      </w:r>
      <w:proofErr w:type="spellStart"/>
      <w:r w:rsidRPr="00474E9F">
        <w:rPr>
          <w:rFonts w:ascii="Arial" w:hAnsi="Arial" w:cs="Arial"/>
          <w:sz w:val="22"/>
          <w:szCs w:val="22"/>
        </w:rPr>
        <w:t>virological</w:t>
      </w:r>
      <w:proofErr w:type="spellEnd"/>
      <w:r w:rsidRPr="00474E9F">
        <w:rPr>
          <w:rFonts w:ascii="Arial" w:hAnsi="Arial" w:cs="Arial"/>
          <w:sz w:val="22"/>
          <w:szCs w:val="22"/>
        </w:rPr>
        <w:t xml:space="preserve"> analyses, are urgently needed. A One Health approach involving human and veterinary sectors is crucial to identify the source and prevent recurrence.</w:t>
      </w:r>
    </w:p>
    <w:p w14:paraId="415C9400" w14:textId="77777777" w:rsidR="00435E01" w:rsidRPr="00474E9F" w:rsidRDefault="00435E01" w:rsidP="00435E01">
      <w:pPr>
        <w:spacing w:line="360" w:lineRule="auto"/>
        <w:contextualSpacing/>
        <w:jc w:val="both"/>
        <w:rPr>
          <w:rFonts w:ascii="Arial" w:hAnsi="Arial" w:cs="Arial"/>
          <w:sz w:val="22"/>
          <w:szCs w:val="22"/>
        </w:rPr>
      </w:pPr>
    </w:p>
    <w:p w14:paraId="42020F7A" w14:textId="0EED5B0F" w:rsidR="00474E9F" w:rsidRPr="004B797B" w:rsidRDefault="0000467C" w:rsidP="00474E9F">
      <w:pPr>
        <w:rPr>
          <w:rFonts w:ascii="Arial" w:hAnsi="Arial" w:cs="Arial"/>
          <w:b/>
          <w:bCs/>
          <w:sz w:val="22"/>
          <w:szCs w:val="22"/>
        </w:rPr>
      </w:pPr>
      <w:r>
        <w:rPr>
          <w:rFonts w:ascii="Arial" w:hAnsi="Arial" w:cs="Arial"/>
          <w:b/>
          <w:bCs/>
          <w:sz w:val="22"/>
          <w:szCs w:val="22"/>
        </w:rPr>
        <w:t xml:space="preserve">Keywords: </w:t>
      </w:r>
      <w:proofErr w:type="spellStart"/>
      <w:r w:rsidRPr="0000467C">
        <w:rPr>
          <w:rFonts w:ascii="Arial" w:hAnsi="Arial" w:cs="Arial"/>
          <w:bCs/>
          <w:sz w:val="22"/>
          <w:szCs w:val="22"/>
        </w:rPr>
        <w:t>Virological</w:t>
      </w:r>
      <w:proofErr w:type="spellEnd"/>
      <w:r w:rsidRPr="0000467C">
        <w:rPr>
          <w:rFonts w:ascii="Arial" w:hAnsi="Arial" w:cs="Arial"/>
          <w:bCs/>
          <w:sz w:val="22"/>
          <w:szCs w:val="22"/>
        </w:rPr>
        <w:t xml:space="preserve"> analyses, Ascitic Syndromes, abdominal distension, serological evidence</w:t>
      </w:r>
      <w:r w:rsidRPr="0000467C">
        <w:rPr>
          <w:rFonts w:ascii="Arial" w:hAnsi="Arial" w:cs="Arial"/>
          <w:b/>
          <w:bCs/>
          <w:sz w:val="22"/>
          <w:szCs w:val="22"/>
        </w:rPr>
        <w:t xml:space="preserve"> </w:t>
      </w:r>
      <w:r w:rsidR="00474E9F" w:rsidRPr="004B797B">
        <w:rPr>
          <w:rFonts w:ascii="Arial" w:hAnsi="Arial" w:cs="Arial"/>
          <w:b/>
          <w:bCs/>
          <w:sz w:val="22"/>
          <w:szCs w:val="22"/>
        </w:rPr>
        <w:br w:type="page"/>
      </w:r>
    </w:p>
    <w:p w14:paraId="1A2BCA42" w14:textId="5FA2A240" w:rsidR="00435E01" w:rsidRPr="004B797B" w:rsidRDefault="00435E01" w:rsidP="00435E01">
      <w:pPr>
        <w:spacing w:line="360" w:lineRule="auto"/>
        <w:contextualSpacing/>
        <w:jc w:val="both"/>
        <w:rPr>
          <w:rFonts w:ascii="Arial" w:hAnsi="Arial" w:cs="Arial"/>
          <w:b/>
          <w:bCs/>
        </w:rPr>
      </w:pPr>
      <w:r w:rsidRPr="00435E01">
        <w:rPr>
          <w:rFonts w:ascii="Arial" w:hAnsi="Arial" w:cs="Arial"/>
          <w:b/>
          <w:bCs/>
        </w:rPr>
        <w:lastRenderedPageBreak/>
        <w:t>Introduction</w:t>
      </w:r>
    </w:p>
    <w:p w14:paraId="62F30C4D" w14:textId="38D79D18" w:rsidR="00435E01" w:rsidRPr="004B797B" w:rsidRDefault="00435E01" w:rsidP="00435E01">
      <w:pPr>
        <w:spacing w:line="360" w:lineRule="auto"/>
        <w:contextualSpacing/>
        <w:jc w:val="both"/>
        <w:rPr>
          <w:rFonts w:ascii="Arial" w:hAnsi="Arial" w:cs="Arial"/>
        </w:rPr>
      </w:pPr>
      <w:r w:rsidRPr="00435E01">
        <w:rPr>
          <w:rFonts w:ascii="Arial" w:hAnsi="Arial" w:cs="Arial"/>
        </w:rPr>
        <w:t xml:space="preserve">Ascites is defined as the abnormal accumulation of fluid in the peritoneal cavity. In children, it is most often secondary to liver disease, infections, or severe nutritional disorders. In low-resource settings, the most common causes include malnutrition, viral hepatitis, and peritoneal tuberculosis </w:t>
      </w:r>
      <w:r w:rsidR="00E25A79">
        <w:rPr>
          <w:rFonts w:ascii="Arial" w:hAnsi="Arial" w:cs="Arial"/>
        </w:rPr>
        <w:t>[1,2]</w:t>
      </w:r>
      <w:r w:rsidRPr="00435E01">
        <w:rPr>
          <w:rFonts w:ascii="Arial" w:hAnsi="Arial" w:cs="Arial"/>
        </w:rPr>
        <w:t>. However, the simultaneous and clustered appearance of ascites cases among previously healthy children within a limited geographical area constitutes an unusual epidemiological signal requiring thorough investigation.</w:t>
      </w:r>
    </w:p>
    <w:p w14:paraId="2B864565" w14:textId="3B5888FA" w:rsidR="00435E01" w:rsidRPr="004B797B" w:rsidRDefault="00435E01" w:rsidP="00435E01">
      <w:pPr>
        <w:spacing w:line="360" w:lineRule="auto"/>
        <w:contextualSpacing/>
        <w:jc w:val="both"/>
        <w:rPr>
          <w:rFonts w:ascii="Arial" w:hAnsi="Arial" w:cs="Arial"/>
        </w:rPr>
      </w:pPr>
      <w:r w:rsidRPr="00435E01">
        <w:rPr>
          <w:rFonts w:ascii="Arial" w:hAnsi="Arial" w:cs="Arial"/>
        </w:rPr>
        <w:t>In Niger, the prevalence of malnutrition among children under five remains high, regularly exceeding WHO emergency thresholds</w:t>
      </w:r>
      <w:r w:rsidR="00BC4C8A">
        <w:rPr>
          <w:rFonts w:ascii="Arial" w:hAnsi="Arial" w:cs="Arial"/>
        </w:rPr>
        <w:t xml:space="preserve"> </w:t>
      </w:r>
      <w:r w:rsidR="00E25A79">
        <w:rPr>
          <w:rFonts w:ascii="Arial" w:hAnsi="Arial" w:cs="Arial"/>
        </w:rPr>
        <w:t>[3]</w:t>
      </w:r>
      <w:r w:rsidRPr="00435E01">
        <w:rPr>
          <w:rFonts w:ascii="Arial" w:hAnsi="Arial" w:cs="Arial"/>
        </w:rPr>
        <w:t>. In this context, any atypical clinical manifestation</w:t>
      </w:r>
      <w:r w:rsidR="00B54FDA">
        <w:rPr>
          <w:rFonts w:ascii="Arial" w:hAnsi="Arial" w:cs="Arial"/>
        </w:rPr>
        <w:t xml:space="preserve"> - </w:t>
      </w:r>
      <w:r w:rsidRPr="00435E01">
        <w:rPr>
          <w:rFonts w:ascii="Arial" w:hAnsi="Arial" w:cs="Arial"/>
        </w:rPr>
        <w:t xml:space="preserve">particularly non-traumatic, non-infectious ascitic </w:t>
      </w:r>
      <w:r w:rsidR="00B54FDA" w:rsidRPr="00435E01">
        <w:rPr>
          <w:rFonts w:ascii="Arial" w:hAnsi="Arial" w:cs="Arial"/>
        </w:rPr>
        <w:t>syndrome</w:t>
      </w:r>
      <w:r w:rsidR="00B54FDA">
        <w:rPr>
          <w:rFonts w:ascii="Arial" w:hAnsi="Arial" w:cs="Arial"/>
        </w:rPr>
        <w:t xml:space="preserve"> - </w:t>
      </w:r>
      <w:r w:rsidRPr="00435E01">
        <w:rPr>
          <w:rFonts w:ascii="Arial" w:hAnsi="Arial" w:cs="Arial"/>
        </w:rPr>
        <w:t>should alert health authorities.</w:t>
      </w:r>
    </w:p>
    <w:p w14:paraId="5EF506EB" w14:textId="4552595E" w:rsidR="00435E01" w:rsidRPr="004B797B" w:rsidRDefault="00435E01" w:rsidP="00435E01">
      <w:pPr>
        <w:spacing w:line="360" w:lineRule="auto"/>
        <w:contextualSpacing/>
        <w:jc w:val="both"/>
        <w:rPr>
          <w:rFonts w:ascii="Arial" w:hAnsi="Arial" w:cs="Arial"/>
        </w:rPr>
      </w:pPr>
      <w:r w:rsidRPr="00435E01">
        <w:rPr>
          <w:rFonts w:ascii="Arial" w:hAnsi="Arial" w:cs="Arial"/>
        </w:rPr>
        <w:t xml:space="preserve">Between January and March 2025, several districts in central </w:t>
      </w:r>
      <w:proofErr w:type="spellStart"/>
      <w:r w:rsidRPr="00435E01">
        <w:rPr>
          <w:rFonts w:ascii="Arial" w:hAnsi="Arial" w:cs="Arial"/>
        </w:rPr>
        <w:t>Dosso</w:t>
      </w:r>
      <w:proofErr w:type="spellEnd"/>
      <w:r w:rsidRPr="00435E01">
        <w:rPr>
          <w:rFonts w:ascii="Arial" w:hAnsi="Arial" w:cs="Arial"/>
        </w:rPr>
        <w:t xml:space="preserve"> Region reported dozens of pediatric cases of unexplained ascites, often associated with generalized edema and moderate to severe malnutrition. Signs of liver involvement were sometimes observed, without serological evidence of viral hepatitis or clinical suspicion of tuberculosis.</w:t>
      </w:r>
    </w:p>
    <w:p w14:paraId="79176066" w14:textId="78DEA068" w:rsidR="00435E01" w:rsidRPr="00435E01" w:rsidRDefault="00435E01" w:rsidP="00435E01">
      <w:pPr>
        <w:spacing w:line="360" w:lineRule="auto"/>
        <w:contextualSpacing/>
        <w:jc w:val="both"/>
        <w:rPr>
          <w:rFonts w:ascii="Arial" w:hAnsi="Arial" w:cs="Arial"/>
        </w:rPr>
      </w:pPr>
      <w:r w:rsidRPr="00435E01">
        <w:rPr>
          <w:rFonts w:ascii="Arial" w:hAnsi="Arial" w:cs="Arial"/>
        </w:rPr>
        <w:t>A multifactorial origin was hypothesized, including micronutrient malnutrition (especially zinc deficiency), environmental intoxication (toxins), and socioeconomic factors, prompting a detailed epidemiological investigation. To our knowledge, this is the first systematic investigation of a pediatric ascitic cluster in Niger, within a highly nutritionally vulnerable context</w:t>
      </w:r>
      <w:r w:rsidR="00E25A79">
        <w:rPr>
          <w:rFonts w:ascii="Arial" w:hAnsi="Arial" w:cs="Arial"/>
        </w:rPr>
        <w:t xml:space="preserve"> [4,5]</w:t>
      </w:r>
      <w:r w:rsidRPr="00435E01">
        <w:rPr>
          <w:rFonts w:ascii="Arial" w:hAnsi="Arial" w:cs="Arial"/>
        </w:rPr>
        <w:t>.</w:t>
      </w:r>
    </w:p>
    <w:p w14:paraId="1DE349EA" w14:textId="033B4F8E" w:rsidR="00435E01" w:rsidRPr="004B797B" w:rsidRDefault="00435E01" w:rsidP="00435E01">
      <w:pPr>
        <w:spacing w:line="360" w:lineRule="auto"/>
        <w:contextualSpacing/>
        <w:jc w:val="both"/>
        <w:rPr>
          <w:rFonts w:ascii="Arial" w:hAnsi="Arial" w:cs="Arial"/>
          <w:b/>
          <w:bCs/>
        </w:rPr>
      </w:pPr>
      <w:r w:rsidRPr="00435E01">
        <w:rPr>
          <w:rFonts w:ascii="Arial" w:hAnsi="Arial" w:cs="Arial"/>
          <w:b/>
          <w:bCs/>
        </w:rPr>
        <w:t>Methods</w:t>
      </w:r>
    </w:p>
    <w:p w14:paraId="4F18BE24" w14:textId="3235DCF2" w:rsidR="00435E01" w:rsidRPr="004B797B" w:rsidRDefault="00435E01" w:rsidP="00435E01">
      <w:pPr>
        <w:spacing w:line="360" w:lineRule="auto"/>
        <w:contextualSpacing/>
        <w:jc w:val="both"/>
        <w:rPr>
          <w:rFonts w:ascii="Arial" w:hAnsi="Arial" w:cs="Arial"/>
        </w:rPr>
      </w:pPr>
      <w:r w:rsidRPr="00435E01">
        <w:rPr>
          <w:rFonts w:ascii="Arial" w:hAnsi="Arial" w:cs="Arial"/>
        </w:rPr>
        <w:t xml:space="preserve">An investigative mission was conducted from March 12 to 16, 2025, in the health districts of </w:t>
      </w:r>
      <w:proofErr w:type="spellStart"/>
      <w:r w:rsidRPr="00435E01">
        <w:rPr>
          <w:rFonts w:ascii="Arial" w:hAnsi="Arial" w:cs="Arial"/>
        </w:rPr>
        <w:t>Dogondoutchi</w:t>
      </w:r>
      <w:proofErr w:type="spellEnd"/>
      <w:r w:rsidRPr="00435E01">
        <w:rPr>
          <w:rFonts w:ascii="Arial" w:hAnsi="Arial" w:cs="Arial"/>
        </w:rPr>
        <w:t xml:space="preserve"> and </w:t>
      </w:r>
      <w:proofErr w:type="spellStart"/>
      <w:r w:rsidRPr="00435E01">
        <w:rPr>
          <w:rFonts w:ascii="Arial" w:hAnsi="Arial" w:cs="Arial"/>
        </w:rPr>
        <w:t>Tibiri</w:t>
      </w:r>
      <w:proofErr w:type="spellEnd"/>
      <w:r w:rsidRPr="00435E01">
        <w:rPr>
          <w:rFonts w:ascii="Arial" w:hAnsi="Arial" w:cs="Arial"/>
        </w:rPr>
        <w:t xml:space="preserve"> to explore the emergence of ascitic syndromes among children. The mission began with a planning meeting at the Regional Directorate of Public Health in </w:t>
      </w:r>
      <w:proofErr w:type="spellStart"/>
      <w:r w:rsidRPr="00435E01">
        <w:rPr>
          <w:rFonts w:ascii="Arial" w:hAnsi="Arial" w:cs="Arial"/>
        </w:rPr>
        <w:t>Dosso</w:t>
      </w:r>
      <w:proofErr w:type="spellEnd"/>
      <w:r w:rsidRPr="00435E01">
        <w:rPr>
          <w:rFonts w:ascii="Arial" w:hAnsi="Arial" w:cs="Arial"/>
        </w:rPr>
        <w:t>, where objectives were presented to local health authorities.</w:t>
      </w:r>
    </w:p>
    <w:p w14:paraId="034339C2" w14:textId="1CA58A0D" w:rsidR="00435E01" w:rsidRPr="00435E01" w:rsidRDefault="00435E01" w:rsidP="00435E01">
      <w:pPr>
        <w:spacing w:line="360" w:lineRule="auto"/>
        <w:contextualSpacing/>
        <w:jc w:val="both"/>
        <w:rPr>
          <w:rFonts w:ascii="Arial" w:hAnsi="Arial" w:cs="Arial"/>
        </w:rPr>
      </w:pPr>
      <w:r w:rsidRPr="00435E01">
        <w:rPr>
          <w:rFonts w:ascii="Arial" w:hAnsi="Arial" w:cs="Arial"/>
        </w:rPr>
        <w:t xml:space="preserve">In each district, interviews were conducted with District Management Teams (ECDs), followed by field visits to the reported case sites and care centers. Protocol meetings were also held with local administrative authorities to gather their perceptions of the situation. The investigation relied on a comprehensive review of medical records (consultations, epidemic reports, hospitalizations, notifications, line lists) at the </w:t>
      </w:r>
      <w:r w:rsidRPr="00435E01">
        <w:rPr>
          <w:rFonts w:ascii="Arial" w:hAnsi="Arial" w:cs="Arial"/>
        </w:rPr>
        <w:lastRenderedPageBreak/>
        <w:t xml:space="preserve">Integrated Health Centers (CSIs) and the </w:t>
      </w:r>
      <w:proofErr w:type="spellStart"/>
      <w:r w:rsidRPr="00435E01">
        <w:rPr>
          <w:rFonts w:ascii="Arial" w:hAnsi="Arial" w:cs="Arial"/>
        </w:rPr>
        <w:t>Dogondoutchi</w:t>
      </w:r>
      <w:proofErr w:type="spellEnd"/>
      <w:r w:rsidRPr="00435E01">
        <w:rPr>
          <w:rFonts w:ascii="Arial" w:hAnsi="Arial" w:cs="Arial"/>
        </w:rPr>
        <w:t xml:space="preserve"> hospital. This review allowed identification of additional unreported cases.</w:t>
      </w:r>
    </w:p>
    <w:p w14:paraId="62E086AD" w14:textId="281052C3" w:rsidR="00435E01" w:rsidRPr="004B797B" w:rsidRDefault="00435E01" w:rsidP="00435E01">
      <w:pPr>
        <w:spacing w:line="360" w:lineRule="auto"/>
        <w:contextualSpacing/>
        <w:jc w:val="both"/>
        <w:rPr>
          <w:rFonts w:ascii="Arial" w:hAnsi="Arial" w:cs="Arial"/>
          <w:b/>
          <w:bCs/>
        </w:rPr>
      </w:pPr>
      <w:r w:rsidRPr="00435E01">
        <w:rPr>
          <w:rFonts w:ascii="Arial" w:hAnsi="Arial" w:cs="Arial"/>
          <w:b/>
          <w:bCs/>
        </w:rPr>
        <w:t>Results</w:t>
      </w:r>
    </w:p>
    <w:p w14:paraId="1DAF3DDF" w14:textId="14FFA28B" w:rsidR="00435E01" w:rsidRPr="000C5449" w:rsidRDefault="00435E01" w:rsidP="000C5449">
      <w:pPr>
        <w:spacing w:line="360" w:lineRule="auto"/>
        <w:jc w:val="both"/>
      </w:pPr>
      <w:r w:rsidRPr="00435E01">
        <w:rPr>
          <w:rFonts w:ascii="Arial" w:hAnsi="Arial" w:cs="Arial"/>
        </w:rPr>
        <w:t xml:space="preserve">The investigation took place mainly in the health districts of </w:t>
      </w:r>
      <w:proofErr w:type="spellStart"/>
      <w:r w:rsidRPr="00435E01">
        <w:rPr>
          <w:rFonts w:ascii="Arial" w:hAnsi="Arial" w:cs="Arial"/>
        </w:rPr>
        <w:t>Dogondoutchi</w:t>
      </w:r>
      <w:proofErr w:type="spellEnd"/>
      <w:r w:rsidRPr="00435E01">
        <w:rPr>
          <w:rFonts w:ascii="Arial" w:hAnsi="Arial" w:cs="Arial"/>
        </w:rPr>
        <w:t xml:space="preserve"> and </w:t>
      </w:r>
      <w:proofErr w:type="spellStart"/>
      <w:r w:rsidRPr="00435E01">
        <w:rPr>
          <w:rFonts w:ascii="Arial" w:hAnsi="Arial" w:cs="Arial"/>
        </w:rPr>
        <w:t>Tibiri</w:t>
      </w:r>
      <w:proofErr w:type="spellEnd"/>
      <w:r w:rsidRPr="00435E01">
        <w:rPr>
          <w:rFonts w:ascii="Arial" w:hAnsi="Arial" w:cs="Arial"/>
        </w:rPr>
        <w:t xml:space="preserve"> to understand an outbreak of ascitic syndromes between epidemiological weeks 1 and 11 of 2025. The index case in </w:t>
      </w:r>
      <w:proofErr w:type="spellStart"/>
      <w:r w:rsidRPr="00435E01">
        <w:rPr>
          <w:rFonts w:ascii="Arial" w:hAnsi="Arial" w:cs="Arial"/>
        </w:rPr>
        <w:t>Tibiri</w:t>
      </w:r>
      <w:proofErr w:type="spellEnd"/>
      <w:r w:rsidRPr="00435E01">
        <w:rPr>
          <w:rFonts w:ascii="Arial" w:hAnsi="Arial" w:cs="Arial"/>
        </w:rPr>
        <w:t xml:space="preserve"> was an adult woman without travel history or fever; in </w:t>
      </w:r>
      <w:proofErr w:type="spellStart"/>
      <w:r w:rsidRPr="00435E01">
        <w:rPr>
          <w:rFonts w:ascii="Arial" w:hAnsi="Arial" w:cs="Arial"/>
        </w:rPr>
        <w:t>Dogondoutchi</w:t>
      </w:r>
      <w:proofErr w:type="spellEnd"/>
      <w:r w:rsidRPr="00435E01">
        <w:rPr>
          <w:rFonts w:ascii="Arial" w:hAnsi="Arial" w:cs="Arial"/>
        </w:rPr>
        <w:t>, it was an 11-year-old girl, also afebrile and without recent travel.</w:t>
      </w:r>
    </w:p>
    <w:p w14:paraId="248B9771" w14:textId="2E0B73A8" w:rsidR="000C5449" w:rsidRPr="000C5449" w:rsidRDefault="001C2967" w:rsidP="000C5449">
      <w:pPr>
        <w:spacing w:line="360" w:lineRule="auto"/>
        <w:contextualSpacing/>
        <w:jc w:val="both"/>
        <w:rPr>
          <w:rFonts w:ascii="Arial" w:hAnsi="Arial" w:cs="Arial"/>
        </w:rPr>
      </w:pPr>
      <w:r w:rsidRPr="00FD1E03">
        <w:rPr>
          <w:rFonts w:ascii="Arial" w:hAnsi="Arial" w:cs="Arial"/>
          <w:noProof/>
          <w:sz w:val="26"/>
          <w:szCs w:val="26"/>
          <w:lang w:val="en-IN" w:eastAsia="en-IN"/>
        </w:rPr>
        <w:drawing>
          <wp:anchor distT="0" distB="0" distL="114300" distR="114300" simplePos="0" relativeHeight="251659264" behindDoc="0" locked="0" layoutInCell="1" allowOverlap="1" wp14:anchorId="61E20AFE" wp14:editId="457062CD">
            <wp:simplePos x="0" y="0"/>
            <wp:positionH relativeFrom="margin">
              <wp:posOffset>1470025</wp:posOffset>
            </wp:positionH>
            <wp:positionV relativeFrom="margin">
              <wp:posOffset>2238375</wp:posOffset>
            </wp:positionV>
            <wp:extent cx="2435225" cy="1981200"/>
            <wp:effectExtent l="0" t="0" r="3175" b="0"/>
            <wp:wrapSquare wrapText="bothSides"/>
            <wp:docPr id="4" name="Image 4" descr="C:\Users\LENOVO\AppData\Local\Packages\5319275A.WhatsAppDesktop_cv1g1gvanyjgm\TempState\F8580959E35CB0934479BB007FB241C2\WhatsApp Image 2025-03-13 à 21.53.01_46fcef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Packages\5319275A.WhatsAppDesktop_cv1g1gvanyjgm\TempState\F8580959E35CB0934479BB007FB241C2\WhatsApp Image 2025-03-13 à 21.53.01_46fcef5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5225"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5E01" w:rsidRPr="00435E01">
        <w:rPr>
          <w:rFonts w:ascii="Arial" w:hAnsi="Arial" w:cs="Arial"/>
        </w:rPr>
        <w:t>A total of 128 cases were recorded, with two deaths—yielding a case fatality rate of 1.56%.</w:t>
      </w:r>
    </w:p>
    <w:p w14:paraId="0E8F038A" w14:textId="77777777" w:rsidR="001C2967" w:rsidRPr="001C2967" w:rsidRDefault="001C2967" w:rsidP="000C5449">
      <w:pPr>
        <w:spacing w:line="360" w:lineRule="auto"/>
        <w:contextualSpacing/>
        <w:jc w:val="both"/>
        <w:rPr>
          <w:b/>
          <w:bCs/>
        </w:rPr>
      </w:pPr>
    </w:p>
    <w:p w14:paraId="2BBA83E1" w14:textId="77777777" w:rsidR="001C2967" w:rsidRPr="001C2967" w:rsidRDefault="001C2967" w:rsidP="000C5449">
      <w:pPr>
        <w:spacing w:line="360" w:lineRule="auto"/>
        <w:contextualSpacing/>
        <w:jc w:val="both"/>
        <w:rPr>
          <w:b/>
          <w:bCs/>
        </w:rPr>
      </w:pPr>
    </w:p>
    <w:p w14:paraId="278820CA" w14:textId="77777777" w:rsidR="001C2967" w:rsidRPr="001C2967" w:rsidRDefault="001C2967" w:rsidP="000C5449">
      <w:pPr>
        <w:spacing w:line="360" w:lineRule="auto"/>
        <w:contextualSpacing/>
        <w:jc w:val="both"/>
        <w:rPr>
          <w:b/>
          <w:bCs/>
        </w:rPr>
      </w:pPr>
    </w:p>
    <w:p w14:paraId="0A0EF8F1" w14:textId="77777777" w:rsidR="001C2967" w:rsidRPr="001C2967" w:rsidRDefault="001C2967" w:rsidP="000C5449">
      <w:pPr>
        <w:spacing w:line="360" w:lineRule="auto"/>
        <w:contextualSpacing/>
        <w:jc w:val="both"/>
        <w:rPr>
          <w:b/>
          <w:bCs/>
        </w:rPr>
      </w:pPr>
    </w:p>
    <w:p w14:paraId="37D62A20" w14:textId="77777777" w:rsidR="001C2967" w:rsidRPr="001C2967" w:rsidRDefault="001C2967" w:rsidP="000C5449">
      <w:pPr>
        <w:spacing w:line="360" w:lineRule="auto"/>
        <w:contextualSpacing/>
        <w:jc w:val="both"/>
        <w:rPr>
          <w:b/>
          <w:bCs/>
        </w:rPr>
      </w:pPr>
    </w:p>
    <w:p w14:paraId="5A090813" w14:textId="77777777" w:rsidR="001C2967" w:rsidRPr="001C2967" w:rsidRDefault="001C2967" w:rsidP="000C5449">
      <w:pPr>
        <w:spacing w:line="360" w:lineRule="auto"/>
        <w:contextualSpacing/>
        <w:jc w:val="both"/>
        <w:rPr>
          <w:b/>
          <w:bCs/>
        </w:rPr>
      </w:pPr>
    </w:p>
    <w:p w14:paraId="07326EDE" w14:textId="77777777" w:rsidR="001C2967" w:rsidRPr="00D91921" w:rsidRDefault="001C2967" w:rsidP="000C5449">
      <w:pPr>
        <w:spacing w:line="360" w:lineRule="auto"/>
        <w:contextualSpacing/>
        <w:jc w:val="both"/>
        <w:rPr>
          <w:b/>
          <w:bCs/>
        </w:rPr>
      </w:pPr>
    </w:p>
    <w:p w14:paraId="24A4BA93" w14:textId="17A745EE" w:rsidR="000C5449" w:rsidRPr="001C2967" w:rsidRDefault="000C5449" w:rsidP="000C5449">
      <w:pPr>
        <w:spacing w:line="360" w:lineRule="auto"/>
        <w:contextualSpacing/>
        <w:jc w:val="both"/>
        <w:rPr>
          <w:rFonts w:ascii="Arial" w:hAnsi="Arial" w:cs="Arial"/>
        </w:rPr>
      </w:pPr>
      <w:r w:rsidRPr="001C2967">
        <w:rPr>
          <w:rFonts w:ascii="Arial" w:hAnsi="Arial" w:cs="Arial"/>
          <w:b/>
          <w:bCs/>
        </w:rPr>
        <w:t>Figure 1:</w:t>
      </w:r>
      <w:r w:rsidRPr="001C2967">
        <w:rPr>
          <w:rFonts w:ascii="Arial" w:hAnsi="Arial" w:cs="Arial"/>
        </w:rPr>
        <w:t xml:space="preserve"> A 6-year-old child presenting with ascites</w:t>
      </w:r>
    </w:p>
    <w:p w14:paraId="116AF94E" w14:textId="77777777" w:rsidR="000C5449" w:rsidRPr="000C5449" w:rsidRDefault="000C5449" w:rsidP="000C5449">
      <w:pPr>
        <w:spacing w:line="360" w:lineRule="auto"/>
        <w:contextualSpacing/>
        <w:jc w:val="both"/>
        <w:rPr>
          <w:rFonts w:ascii="Arial" w:hAnsi="Arial" w:cs="Arial"/>
          <w:sz w:val="6"/>
          <w:szCs w:val="6"/>
        </w:rPr>
      </w:pPr>
    </w:p>
    <w:p w14:paraId="08EB0A6F" w14:textId="4EC908FF" w:rsidR="00435E01" w:rsidRPr="004B797B" w:rsidRDefault="00435E01" w:rsidP="000C5449">
      <w:pPr>
        <w:spacing w:line="360" w:lineRule="auto"/>
        <w:contextualSpacing/>
        <w:jc w:val="both"/>
        <w:rPr>
          <w:rFonts w:ascii="Arial" w:hAnsi="Arial" w:cs="Arial"/>
        </w:rPr>
      </w:pPr>
      <w:proofErr w:type="spellStart"/>
      <w:r w:rsidRPr="00435E01">
        <w:rPr>
          <w:rFonts w:ascii="Arial" w:hAnsi="Arial" w:cs="Arial"/>
        </w:rPr>
        <w:t>Dogondoutchi</w:t>
      </w:r>
      <w:proofErr w:type="spellEnd"/>
      <w:r w:rsidRPr="00435E01">
        <w:rPr>
          <w:rFonts w:ascii="Arial" w:hAnsi="Arial" w:cs="Arial"/>
        </w:rPr>
        <w:t xml:space="preserve"> reported 81 cases, and </w:t>
      </w:r>
      <w:proofErr w:type="spellStart"/>
      <w:r w:rsidRPr="00435E01">
        <w:rPr>
          <w:rFonts w:ascii="Arial" w:hAnsi="Arial" w:cs="Arial"/>
        </w:rPr>
        <w:t>Tibiri</w:t>
      </w:r>
      <w:proofErr w:type="spellEnd"/>
      <w:r w:rsidRPr="00435E01">
        <w:rPr>
          <w:rFonts w:ascii="Arial" w:hAnsi="Arial" w:cs="Arial"/>
        </w:rPr>
        <w:t xml:space="preserve"> 47. Most cases involved children, particularly those aged 5–14 years (66.41%) and 1–4 years (23.44%). Females were slightly more affected (52.34%).</w:t>
      </w:r>
    </w:p>
    <w:p w14:paraId="4CC2E09E" w14:textId="1CA28394" w:rsidR="00435E01" w:rsidRPr="004B797B" w:rsidRDefault="00435E01" w:rsidP="00435E01">
      <w:pPr>
        <w:spacing w:line="360" w:lineRule="auto"/>
        <w:contextualSpacing/>
        <w:jc w:val="both"/>
        <w:rPr>
          <w:rFonts w:ascii="Arial" w:hAnsi="Arial" w:cs="Arial"/>
        </w:rPr>
      </w:pPr>
      <w:r w:rsidRPr="00435E01">
        <w:rPr>
          <w:rFonts w:ascii="Arial" w:hAnsi="Arial" w:cs="Arial"/>
        </w:rPr>
        <w:t xml:space="preserve">Clinically, patients presented with progressive abdominal distension due to abundant ascites, diffuse abdominal pain, vomiting, and occasionally minor bleeding signs (epistaxis, hematemesis). </w:t>
      </w:r>
      <w:proofErr w:type="spellStart"/>
      <w:r w:rsidRPr="00435E01">
        <w:rPr>
          <w:rFonts w:ascii="Arial" w:hAnsi="Arial" w:cs="Arial"/>
        </w:rPr>
        <w:t>Subicterus</w:t>
      </w:r>
      <w:proofErr w:type="spellEnd"/>
      <w:r w:rsidRPr="00435E01">
        <w:rPr>
          <w:rFonts w:ascii="Arial" w:hAnsi="Arial" w:cs="Arial"/>
        </w:rPr>
        <w:t xml:space="preserve"> was noted in one case. Ascites was often associated with hepatomegaly or splenomegaly. No neurological signs, encephalopathy, or cholestasis were observed. Ultrasound revealed homogeneous hepatomegaly, sometimes with gallstones. Ascitic taps showed citrine yellow or clear fluid. No in-depth etiological analysis was initially performed, but biological samples (blood, ascitic fluid, urine, stool) were collected for further analysis. Treatment included antibiotics and diuretics. The clinical picture suggested decompensated cirrhosis due to toxic or infectious hepatitis. A zoonotic origin was considered due to the reported death of dogs in several villages.</w:t>
      </w:r>
    </w:p>
    <w:p w14:paraId="291731B4" w14:textId="219E7579" w:rsidR="00435E01" w:rsidRPr="004B797B" w:rsidRDefault="00435E01" w:rsidP="00435E01">
      <w:pPr>
        <w:spacing w:line="360" w:lineRule="auto"/>
        <w:contextualSpacing/>
        <w:jc w:val="both"/>
        <w:rPr>
          <w:rFonts w:ascii="Arial" w:hAnsi="Arial" w:cs="Arial"/>
        </w:rPr>
      </w:pPr>
      <w:r w:rsidRPr="00435E01">
        <w:rPr>
          <w:rFonts w:ascii="Arial" w:hAnsi="Arial" w:cs="Arial"/>
        </w:rPr>
        <w:lastRenderedPageBreak/>
        <w:t xml:space="preserve">Active case finding identified additional cases in </w:t>
      </w:r>
      <w:proofErr w:type="spellStart"/>
      <w:r w:rsidRPr="00435E01">
        <w:rPr>
          <w:rFonts w:ascii="Arial" w:hAnsi="Arial" w:cs="Arial"/>
        </w:rPr>
        <w:t>Badifa</w:t>
      </w:r>
      <w:proofErr w:type="spellEnd"/>
      <w:r w:rsidRPr="00435E01">
        <w:rPr>
          <w:rFonts w:ascii="Arial" w:hAnsi="Arial" w:cs="Arial"/>
        </w:rPr>
        <w:t xml:space="preserve"> (5 cases), </w:t>
      </w:r>
      <w:proofErr w:type="spellStart"/>
      <w:r w:rsidRPr="00435E01">
        <w:rPr>
          <w:rFonts w:ascii="Arial" w:hAnsi="Arial" w:cs="Arial"/>
        </w:rPr>
        <w:t>Koré</w:t>
      </w:r>
      <w:proofErr w:type="spellEnd"/>
      <w:r w:rsidRPr="00435E01">
        <w:rPr>
          <w:rFonts w:ascii="Arial" w:hAnsi="Arial" w:cs="Arial"/>
        </w:rPr>
        <w:t xml:space="preserve"> </w:t>
      </w:r>
      <w:proofErr w:type="spellStart"/>
      <w:r w:rsidRPr="00435E01">
        <w:rPr>
          <w:rFonts w:ascii="Arial" w:hAnsi="Arial" w:cs="Arial"/>
        </w:rPr>
        <w:t>Mairoua</w:t>
      </w:r>
      <w:proofErr w:type="spellEnd"/>
      <w:r w:rsidRPr="00435E01">
        <w:rPr>
          <w:rFonts w:ascii="Arial" w:hAnsi="Arial" w:cs="Arial"/>
        </w:rPr>
        <w:t xml:space="preserve"> (19), </w:t>
      </w:r>
      <w:proofErr w:type="spellStart"/>
      <w:r w:rsidRPr="00435E01">
        <w:rPr>
          <w:rFonts w:ascii="Arial" w:hAnsi="Arial" w:cs="Arial"/>
        </w:rPr>
        <w:t>Matankari</w:t>
      </w:r>
      <w:proofErr w:type="spellEnd"/>
      <w:r w:rsidRPr="00435E01">
        <w:rPr>
          <w:rFonts w:ascii="Arial" w:hAnsi="Arial" w:cs="Arial"/>
        </w:rPr>
        <w:t xml:space="preserve">, and the </w:t>
      </w:r>
      <w:proofErr w:type="spellStart"/>
      <w:r w:rsidRPr="00435E01">
        <w:rPr>
          <w:rFonts w:ascii="Arial" w:hAnsi="Arial" w:cs="Arial"/>
        </w:rPr>
        <w:t>Dogondoutchi</w:t>
      </w:r>
      <w:proofErr w:type="spellEnd"/>
      <w:r w:rsidRPr="00435E01">
        <w:rPr>
          <w:rFonts w:ascii="Arial" w:hAnsi="Arial" w:cs="Arial"/>
        </w:rPr>
        <w:t xml:space="preserve"> hospital (46 cases). Of the 128 reported cases, 123 were still undergoing treatment during the investigation.</w:t>
      </w:r>
    </w:p>
    <w:p w14:paraId="79DA8A0C" w14:textId="77777777" w:rsidR="00435E01" w:rsidRPr="00435E01" w:rsidRDefault="00435E01" w:rsidP="00435E01">
      <w:pPr>
        <w:spacing w:line="360" w:lineRule="auto"/>
        <w:contextualSpacing/>
        <w:jc w:val="both"/>
        <w:rPr>
          <w:rFonts w:ascii="Arial" w:hAnsi="Arial" w:cs="Arial"/>
        </w:rPr>
      </w:pPr>
      <w:r w:rsidRPr="00435E01">
        <w:rPr>
          <w:rFonts w:ascii="Arial" w:hAnsi="Arial" w:cs="Arial"/>
        </w:rPr>
        <w:t>At the community level, significant risk communication and community engagement were undertaken. Rumors linked the illness to mystical causes (“</w:t>
      </w:r>
      <w:proofErr w:type="spellStart"/>
      <w:r w:rsidRPr="00435E01">
        <w:rPr>
          <w:rFonts w:ascii="Arial" w:hAnsi="Arial" w:cs="Arial"/>
        </w:rPr>
        <w:t>Iska</w:t>
      </w:r>
      <w:proofErr w:type="spellEnd"/>
      <w:r w:rsidRPr="00435E01">
        <w:rPr>
          <w:rFonts w:ascii="Arial" w:hAnsi="Arial" w:cs="Arial"/>
        </w:rPr>
        <w:t>”), leading to delays in seeking care. Briefings with village and opinion leaders helped counter these beliefs, raise awareness about clinical signs, the importance of early consultation, hygiene, and the dangers of self-medication. Home visits reassured families and identified new cases. Sick dogs were noted in several households, having died shortly before human cases appeared.</w:t>
      </w:r>
    </w:p>
    <w:p w14:paraId="1C627AB7" w14:textId="570D58FB" w:rsidR="00435E01" w:rsidRPr="004B797B" w:rsidRDefault="00435E01" w:rsidP="00435E01">
      <w:pPr>
        <w:spacing w:line="360" w:lineRule="auto"/>
        <w:contextualSpacing/>
        <w:jc w:val="both"/>
        <w:rPr>
          <w:rFonts w:ascii="Arial" w:hAnsi="Arial" w:cs="Arial"/>
          <w:b/>
          <w:bCs/>
        </w:rPr>
      </w:pPr>
      <w:r w:rsidRPr="00435E01">
        <w:rPr>
          <w:rFonts w:ascii="Arial" w:hAnsi="Arial" w:cs="Arial"/>
          <w:b/>
          <w:bCs/>
        </w:rPr>
        <w:t>Discussion</w:t>
      </w:r>
    </w:p>
    <w:p w14:paraId="71BCAA6C" w14:textId="5769F047" w:rsidR="00435E01" w:rsidRPr="004B797B" w:rsidRDefault="00435E01" w:rsidP="00435E01">
      <w:pPr>
        <w:spacing w:line="360" w:lineRule="auto"/>
        <w:contextualSpacing/>
        <w:jc w:val="both"/>
        <w:rPr>
          <w:rFonts w:ascii="Arial" w:hAnsi="Arial" w:cs="Arial"/>
        </w:rPr>
      </w:pPr>
      <w:r w:rsidRPr="00435E01">
        <w:rPr>
          <w:rFonts w:ascii="Arial" w:hAnsi="Arial" w:cs="Arial"/>
        </w:rPr>
        <w:t xml:space="preserve">The investigation revealed an unusual cluster of ascitic syndromes in the </w:t>
      </w:r>
      <w:proofErr w:type="spellStart"/>
      <w:r w:rsidRPr="00435E01">
        <w:rPr>
          <w:rFonts w:ascii="Arial" w:hAnsi="Arial" w:cs="Arial"/>
        </w:rPr>
        <w:t>Dogondoutchi</w:t>
      </w:r>
      <w:proofErr w:type="spellEnd"/>
      <w:r w:rsidRPr="00435E01">
        <w:rPr>
          <w:rFonts w:ascii="Arial" w:hAnsi="Arial" w:cs="Arial"/>
        </w:rPr>
        <w:t xml:space="preserve"> and </w:t>
      </w:r>
      <w:proofErr w:type="spellStart"/>
      <w:r w:rsidRPr="00435E01">
        <w:rPr>
          <w:rFonts w:ascii="Arial" w:hAnsi="Arial" w:cs="Arial"/>
        </w:rPr>
        <w:t>Tibiri</w:t>
      </w:r>
      <w:proofErr w:type="spellEnd"/>
      <w:r w:rsidRPr="00435E01">
        <w:rPr>
          <w:rFonts w:ascii="Arial" w:hAnsi="Arial" w:cs="Arial"/>
        </w:rPr>
        <w:t xml:space="preserve"> health districts, mainly affecting children and adolescents, with a female predominance. The massive ascites developed </w:t>
      </w:r>
      <w:proofErr w:type="spellStart"/>
      <w:r w:rsidRPr="00435E01">
        <w:rPr>
          <w:rFonts w:ascii="Arial" w:hAnsi="Arial" w:cs="Arial"/>
        </w:rPr>
        <w:t>subacutely</w:t>
      </w:r>
      <w:proofErr w:type="spellEnd"/>
      <w:r w:rsidRPr="00435E01">
        <w:rPr>
          <w:rFonts w:ascii="Arial" w:hAnsi="Arial" w:cs="Arial"/>
        </w:rPr>
        <w:t>, with signs suggestive of chronic liver disease, likely toxic or infectious. This raises several epidemiological, clinical, and environmental hypotheses.</w:t>
      </w:r>
    </w:p>
    <w:p w14:paraId="34471F07" w14:textId="2B5A103F" w:rsidR="00435E01" w:rsidRPr="004B797B" w:rsidRDefault="00435E01" w:rsidP="00435E01">
      <w:pPr>
        <w:spacing w:line="360" w:lineRule="auto"/>
        <w:contextualSpacing/>
        <w:jc w:val="both"/>
        <w:rPr>
          <w:rFonts w:ascii="Arial" w:hAnsi="Arial" w:cs="Arial"/>
        </w:rPr>
      </w:pPr>
      <w:r w:rsidRPr="00435E01">
        <w:rPr>
          <w:rFonts w:ascii="Arial" w:hAnsi="Arial" w:cs="Arial"/>
        </w:rPr>
        <w:t>The high prevalence among 5</w:t>
      </w:r>
      <w:r w:rsidR="00ED1B38">
        <w:rPr>
          <w:rFonts w:ascii="Arial" w:hAnsi="Arial" w:cs="Arial"/>
        </w:rPr>
        <w:t xml:space="preserve"> - </w:t>
      </w:r>
      <w:r w:rsidRPr="00435E01">
        <w:rPr>
          <w:rFonts w:ascii="Arial" w:hAnsi="Arial" w:cs="Arial"/>
        </w:rPr>
        <w:t xml:space="preserve">14-year-olds (66.41%) is atypical for decompensated cirrhosis, usually seen in adults. This could suggest acute or subacute exposure to environmental toxins, as documented in other African contexts where ascitic outbreaks were linked to ingestion of plants or products contaminated with hepatotoxic </w:t>
      </w:r>
      <w:r w:rsidR="00BC4C8A" w:rsidRPr="00435E01">
        <w:rPr>
          <w:rFonts w:ascii="Arial" w:hAnsi="Arial" w:cs="Arial"/>
        </w:rPr>
        <w:t>compounds</w:t>
      </w:r>
      <w:r w:rsidR="00BC4C8A">
        <w:rPr>
          <w:rFonts w:ascii="Arial" w:hAnsi="Arial" w:cs="Arial"/>
        </w:rPr>
        <w:t xml:space="preserve"> [</w:t>
      </w:r>
      <w:r w:rsidR="00E25A79">
        <w:rPr>
          <w:rFonts w:ascii="Arial" w:hAnsi="Arial" w:cs="Arial"/>
        </w:rPr>
        <w:t>6-8]</w:t>
      </w:r>
      <w:r w:rsidRPr="00435E01">
        <w:rPr>
          <w:rFonts w:ascii="Arial" w:hAnsi="Arial" w:cs="Arial"/>
        </w:rPr>
        <w:t>.</w:t>
      </w:r>
    </w:p>
    <w:p w14:paraId="2C00FD8E" w14:textId="293EB53B" w:rsidR="00435E01" w:rsidRPr="004B797B" w:rsidRDefault="00435E01" w:rsidP="00435E01">
      <w:pPr>
        <w:spacing w:line="360" w:lineRule="auto"/>
        <w:contextualSpacing/>
        <w:jc w:val="both"/>
        <w:rPr>
          <w:rFonts w:ascii="Arial" w:hAnsi="Arial" w:cs="Arial"/>
        </w:rPr>
      </w:pPr>
      <w:r w:rsidRPr="00435E01">
        <w:rPr>
          <w:rFonts w:ascii="Arial" w:hAnsi="Arial" w:cs="Arial"/>
        </w:rPr>
        <w:t>The rural context, frequent use of traditional herbal remedies, and rumors of mystical causes (e.g., spirits or “</w:t>
      </w:r>
      <w:proofErr w:type="spellStart"/>
      <w:r w:rsidRPr="00435E01">
        <w:rPr>
          <w:rFonts w:ascii="Arial" w:hAnsi="Arial" w:cs="Arial"/>
        </w:rPr>
        <w:t>Iska</w:t>
      </w:r>
      <w:proofErr w:type="spellEnd"/>
      <w:r w:rsidRPr="00435E01">
        <w:rPr>
          <w:rFonts w:ascii="Arial" w:hAnsi="Arial" w:cs="Arial"/>
        </w:rPr>
        <w:t xml:space="preserve">”) underscore the need for an integrated approach—including epidemiology, health anthropology, and community outreach. Similar outbreaks in Nigeria involved acute liver diseases following ingestion of herbal decoctions containing pyrrolizidine alkaloids </w:t>
      </w:r>
      <w:r w:rsidR="00E25A79">
        <w:rPr>
          <w:rFonts w:ascii="Arial" w:hAnsi="Arial" w:cs="Arial"/>
        </w:rPr>
        <w:t>[9]</w:t>
      </w:r>
      <w:r w:rsidRPr="00435E01">
        <w:rPr>
          <w:rFonts w:ascii="Arial" w:hAnsi="Arial" w:cs="Arial"/>
        </w:rPr>
        <w:t>.</w:t>
      </w:r>
    </w:p>
    <w:p w14:paraId="0E163605" w14:textId="49108E48" w:rsidR="00435E01" w:rsidRPr="004B797B" w:rsidRDefault="00435E01" w:rsidP="00435E01">
      <w:pPr>
        <w:spacing w:line="360" w:lineRule="auto"/>
        <w:contextualSpacing/>
        <w:jc w:val="both"/>
        <w:rPr>
          <w:rFonts w:ascii="Arial" w:hAnsi="Arial" w:cs="Arial"/>
        </w:rPr>
      </w:pPr>
      <w:r w:rsidRPr="00435E01">
        <w:rPr>
          <w:rFonts w:ascii="Arial" w:hAnsi="Arial" w:cs="Arial"/>
        </w:rPr>
        <w:t xml:space="preserve">Additionally, family-reported associations between human cases and the unexplained deaths of dogs with respiratory signs and progressive emaciation raise suspicion of a zoonotic liver disease, such as leptospirosis or certain zoonotic hepatitis viruses. West African studies have shown that neglected zoonoses can cause severe hepatic presentations </w:t>
      </w:r>
      <w:r w:rsidR="00E25A79">
        <w:rPr>
          <w:rFonts w:ascii="Arial" w:hAnsi="Arial" w:cs="Arial"/>
        </w:rPr>
        <w:t>[10-12]</w:t>
      </w:r>
      <w:r w:rsidRPr="00435E01">
        <w:rPr>
          <w:rFonts w:ascii="Arial" w:hAnsi="Arial" w:cs="Arial"/>
        </w:rPr>
        <w:t>.</w:t>
      </w:r>
    </w:p>
    <w:p w14:paraId="2E413193" w14:textId="34F6C108" w:rsidR="00435E01" w:rsidRPr="004B797B" w:rsidRDefault="00435E01" w:rsidP="00435E01">
      <w:pPr>
        <w:spacing w:line="360" w:lineRule="auto"/>
        <w:contextualSpacing/>
        <w:jc w:val="both"/>
        <w:rPr>
          <w:rFonts w:ascii="Arial" w:hAnsi="Arial" w:cs="Arial"/>
        </w:rPr>
      </w:pPr>
      <w:r w:rsidRPr="00435E01">
        <w:rPr>
          <w:rFonts w:ascii="Arial" w:hAnsi="Arial" w:cs="Arial"/>
        </w:rPr>
        <w:t xml:space="preserve">The ascitic fluid was citrine yellow and sterile in most cases. The absence of fever and homogeneous hepatomegaly on ultrasound (with occasional splenomegaly) </w:t>
      </w:r>
      <w:r w:rsidR="00B54FDA" w:rsidRPr="00435E01">
        <w:rPr>
          <w:rFonts w:ascii="Arial" w:hAnsi="Arial" w:cs="Arial"/>
        </w:rPr>
        <w:t>suggests</w:t>
      </w:r>
      <w:r w:rsidRPr="00435E01">
        <w:rPr>
          <w:rFonts w:ascii="Arial" w:hAnsi="Arial" w:cs="Arial"/>
        </w:rPr>
        <w:t xml:space="preserve"> non-cirrhotic portal hypertension or chronic toxic hepatitis. The lack of </w:t>
      </w:r>
      <w:r w:rsidRPr="00435E01">
        <w:rPr>
          <w:rFonts w:ascii="Arial" w:hAnsi="Arial" w:cs="Arial"/>
        </w:rPr>
        <w:lastRenderedPageBreak/>
        <w:t xml:space="preserve">advanced laboratory analyses limits definitive conclusions, although such constraints are common in resource-limited </w:t>
      </w:r>
      <w:r w:rsidR="00BC4C8A" w:rsidRPr="00435E01">
        <w:rPr>
          <w:rFonts w:ascii="Arial" w:hAnsi="Arial" w:cs="Arial"/>
        </w:rPr>
        <w:t>settings</w:t>
      </w:r>
      <w:r w:rsidR="00BC4C8A">
        <w:rPr>
          <w:rFonts w:ascii="Arial" w:hAnsi="Arial" w:cs="Arial"/>
        </w:rPr>
        <w:t xml:space="preserve"> [</w:t>
      </w:r>
      <w:r w:rsidR="00E25A79">
        <w:rPr>
          <w:rFonts w:ascii="Arial" w:hAnsi="Arial" w:cs="Arial"/>
        </w:rPr>
        <w:t>13]</w:t>
      </w:r>
      <w:r w:rsidRPr="00435E01">
        <w:rPr>
          <w:rFonts w:ascii="Arial" w:hAnsi="Arial" w:cs="Arial"/>
        </w:rPr>
        <w:t>.</w:t>
      </w:r>
    </w:p>
    <w:p w14:paraId="22093A4A" w14:textId="4C356096" w:rsidR="00435E01" w:rsidRPr="004B797B" w:rsidRDefault="00435E01" w:rsidP="00435E01">
      <w:pPr>
        <w:spacing w:line="360" w:lineRule="auto"/>
        <w:contextualSpacing/>
        <w:jc w:val="both"/>
        <w:rPr>
          <w:rFonts w:ascii="Arial" w:hAnsi="Arial" w:cs="Arial"/>
        </w:rPr>
      </w:pPr>
      <w:r w:rsidRPr="00435E01">
        <w:rPr>
          <w:rFonts w:ascii="Arial" w:hAnsi="Arial" w:cs="Arial"/>
        </w:rPr>
        <w:t>The low case fatality (1.56%) may reflect functional tolerance of the disease or underreporting of severe or fatal cases occurring outside the health system. However, the high number of ongoing treatments (96.1%) suggests a prolonged, possibly chronic course.</w:t>
      </w:r>
    </w:p>
    <w:p w14:paraId="570DE772" w14:textId="0775B184" w:rsidR="00435E01" w:rsidRPr="00435E01" w:rsidRDefault="00435E01" w:rsidP="00435E01">
      <w:pPr>
        <w:spacing w:line="360" w:lineRule="auto"/>
        <w:contextualSpacing/>
        <w:jc w:val="both"/>
        <w:rPr>
          <w:rFonts w:ascii="Arial" w:hAnsi="Arial" w:cs="Arial"/>
        </w:rPr>
      </w:pPr>
      <w:r w:rsidRPr="00435E01">
        <w:rPr>
          <w:rFonts w:ascii="Arial" w:hAnsi="Arial" w:cs="Arial"/>
        </w:rPr>
        <w:t xml:space="preserve">Risk communication and community engagement were critical. Awareness campaigns helped dispel myths and increased health center attendance, as observed in other community programs across sub-Saharan Africa </w:t>
      </w:r>
      <w:r w:rsidR="00E25A79">
        <w:rPr>
          <w:rFonts w:ascii="Arial" w:hAnsi="Arial" w:cs="Arial"/>
        </w:rPr>
        <w:t>[14-16]</w:t>
      </w:r>
      <w:r w:rsidRPr="00435E01">
        <w:rPr>
          <w:rFonts w:ascii="Arial" w:hAnsi="Arial" w:cs="Arial"/>
        </w:rPr>
        <w:t>. The role of community leaders is crucial for public health message acceptance, especially where modern medicine faces skepticism.</w:t>
      </w:r>
    </w:p>
    <w:p w14:paraId="60BFB4ED" w14:textId="36C72E56" w:rsidR="00435E01" w:rsidRPr="004B797B" w:rsidRDefault="00435E01" w:rsidP="00435E01">
      <w:pPr>
        <w:spacing w:line="360" w:lineRule="auto"/>
        <w:contextualSpacing/>
        <w:jc w:val="both"/>
        <w:rPr>
          <w:rFonts w:ascii="Arial" w:hAnsi="Arial" w:cs="Arial"/>
          <w:b/>
          <w:bCs/>
        </w:rPr>
      </w:pPr>
      <w:r w:rsidRPr="00435E01">
        <w:rPr>
          <w:rFonts w:ascii="Arial" w:hAnsi="Arial" w:cs="Arial"/>
          <w:b/>
          <w:bCs/>
        </w:rPr>
        <w:t>Conclusion</w:t>
      </w:r>
    </w:p>
    <w:p w14:paraId="5C318CC3" w14:textId="35F3035B" w:rsidR="0006081F" w:rsidRDefault="00435E01" w:rsidP="00435E01">
      <w:pPr>
        <w:spacing w:line="360" w:lineRule="auto"/>
        <w:contextualSpacing/>
        <w:jc w:val="both"/>
        <w:rPr>
          <w:rFonts w:ascii="Arial" w:hAnsi="Arial" w:cs="Arial"/>
        </w:rPr>
      </w:pPr>
      <w:r w:rsidRPr="00435E01">
        <w:rPr>
          <w:rFonts w:ascii="Arial" w:hAnsi="Arial" w:cs="Arial"/>
        </w:rPr>
        <w:t xml:space="preserve">This outbreak of ascitic syndromes constitutes a major public health alert requiring further etiological investigation, particularly toxicological and </w:t>
      </w:r>
      <w:proofErr w:type="spellStart"/>
      <w:r w:rsidRPr="00435E01">
        <w:rPr>
          <w:rFonts w:ascii="Arial" w:hAnsi="Arial" w:cs="Arial"/>
        </w:rPr>
        <w:t>virological</w:t>
      </w:r>
      <w:proofErr w:type="spellEnd"/>
      <w:r w:rsidRPr="00435E01">
        <w:rPr>
          <w:rFonts w:ascii="Arial" w:hAnsi="Arial" w:cs="Arial"/>
        </w:rPr>
        <w:t xml:space="preserve"> analysis. Collaboration among health services, veterinarians, toxicology laboratories, and public health researchers is essential to identify the cause and prevent recurrence.</w:t>
      </w:r>
    </w:p>
    <w:p w14:paraId="622F87C3" w14:textId="77777777" w:rsidR="00E6169D" w:rsidRDefault="00E6169D" w:rsidP="00435E01">
      <w:pPr>
        <w:spacing w:line="360" w:lineRule="auto"/>
        <w:contextualSpacing/>
        <w:jc w:val="both"/>
        <w:rPr>
          <w:rFonts w:ascii="Arial" w:hAnsi="Arial" w:cs="Arial"/>
        </w:rPr>
      </w:pPr>
    </w:p>
    <w:p w14:paraId="374C25F9" w14:textId="77777777" w:rsidR="0006081F" w:rsidRPr="0006081F" w:rsidRDefault="0006081F" w:rsidP="0006081F">
      <w:pPr>
        <w:spacing w:after="200" w:line="276" w:lineRule="auto"/>
        <w:jc w:val="both"/>
        <w:outlineLvl w:val="0"/>
        <w:rPr>
          <w:rFonts w:ascii="Arial" w:eastAsia="Times New Roman" w:hAnsi="Arial" w:cs="Arial"/>
          <w:kern w:val="0"/>
          <w:sz w:val="22"/>
          <w:szCs w:val="22"/>
          <w:lang w:val="en-GB" w:eastAsia="en-GB"/>
          <w14:ligatures w14:val="none"/>
        </w:rPr>
      </w:pPr>
      <w:r w:rsidRPr="0006081F">
        <w:rPr>
          <w:rFonts w:ascii="Arial" w:eastAsia="Times New Roman" w:hAnsi="Arial" w:cs="Arial"/>
          <w:b/>
          <w:bCs/>
          <w:kern w:val="0"/>
          <w:sz w:val="22"/>
          <w:szCs w:val="22"/>
          <w:lang w:val="en-GB" w:eastAsia="en-GB"/>
          <w14:ligatures w14:val="none"/>
        </w:rPr>
        <w:t>COMPETING INTERESTS DISCLAIMER:</w:t>
      </w:r>
    </w:p>
    <w:p w14:paraId="7F599453" w14:textId="2DC2C767" w:rsidR="0006081F" w:rsidRPr="00E6169D" w:rsidRDefault="0006081F" w:rsidP="00E6169D">
      <w:pPr>
        <w:spacing w:after="200" w:line="360" w:lineRule="auto"/>
        <w:contextualSpacing/>
        <w:jc w:val="both"/>
        <w:rPr>
          <w:rFonts w:ascii="Arial" w:hAnsi="Arial" w:cs="Arial"/>
        </w:rPr>
      </w:pPr>
      <w:r w:rsidRPr="00E6169D">
        <w:rPr>
          <w:rFonts w:ascii="Arial" w:hAnsi="Arial" w:cs="Arial"/>
        </w:rPr>
        <w:t>Authors have declared that they have no known competing financial interests OR non-financial interests OR personal relationships that could have appeared to influence the work reported in this paper.</w:t>
      </w:r>
    </w:p>
    <w:p w14:paraId="38B4810D" w14:textId="6E69262E" w:rsidR="00E6169D" w:rsidRPr="00E6169D" w:rsidRDefault="00E6169D" w:rsidP="00E6169D">
      <w:pPr>
        <w:spacing w:after="200" w:line="360" w:lineRule="auto"/>
        <w:contextualSpacing/>
        <w:jc w:val="both"/>
        <w:rPr>
          <w:rFonts w:ascii="Arial" w:hAnsi="Arial" w:cs="Arial"/>
          <w:b/>
          <w:bCs/>
        </w:rPr>
      </w:pPr>
      <w:bookmarkStart w:id="0" w:name="_Hlk197682619"/>
      <w:bookmarkStart w:id="1" w:name="_Hlk180402183"/>
      <w:bookmarkStart w:id="2" w:name="_Hlk183680988"/>
      <w:r w:rsidRPr="00E6169D">
        <w:rPr>
          <w:rFonts w:ascii="Arial" w:hAnsi="Arial" w:cs="Arial"/>
          <w:b/>
          <w:bCs/>
        </w:rPr>
        <w:t>DISCLAIMER (ARTIFICIAL INTELLIGENCE)</w:t>
      </w:r>
    </w:p>
    <w:p w14:paraId="23D155B6" w14:textId="01ED83C9" w:rsidR="0006081F" w:rsidRPr="00E6169D" w:rsidRDefault="004E29A6" w:rsidP="00E6169D">
      <w:pPr>
        <w:spacing w:after="200" w:line="360" w:lineRule="auto"/>
        <w:contextualSpacing/>
        <w:jc w:val="both"/>
        <w:rPr>
          <w:rFonts w:ascii="Arial" w:hAnsi="Arial" w:cs="Arial"/>
        </w:rPr>
      </w:pPr>
      <w:r w:rsidRPr="00E6169D">
        <w:rPr>
          <w:rFonts w:ascii="Arial" w:hAnsi="Arial" w:cs="Arial"/>
        </w:rPr>
        <w:t xml:space="preserve">Author(s) hereby </w:t>
      </w:r>
      <w:r w:rsidR="00E6169D" w:rsidRPr="00E6169D">
        <w:rPr>
          <w:rFonts w:ascii="Arial" w:hAnsi="Arial" w:cs="Arial"/>
        </w:rPr>
        <w:t>declare</w:t>
      </w:r>
      <w:r w:rsidRPr="00E6169D">
        <w:rPr>
          <w:rFonts w:ascii="Arial" w:hAnsi="Arial" w:cs="Arial"/>
        </w:rPr>
        <w:t xml:space="preserve"> that </w:t>
      </w:r>
      <w:r w:rsidR="00E6169D">
        <w:rPr>
          <w:rFonts w:ascii="Arial" w:hAnsi="Arial" w:cs="Arial"/>
        </w:rPr>
        <w:t>no</w:t>
      </w:r>
      <w:r w:rsidRPr="00E6169D">
        <w:rPr>
          <w:rFonts w:ascii="Arial" w:hAnsi="Arial" w:cs="Arial"/>
        </w:rPr>
        <w:t xml:space="preserve"> generative AI technologies such as Large Language Models (</w:t>
      </w:r>
      <w:proofErr w:type="spellStart"/>
      <w:r w:rsidRPr="00E6169D">
        <w:rPr>
          <w:rFonts w:ascii="Arial" w:hAnsi="Arial" w:cs="Arial"/>
        </w:rPr>
        <w:t>ChatGPT</w:t>
      </w:r>
      <w:proofErr w:type="spellEnd"/>
      <w:r w:rsidRPr="00E6169D">
        <w:rPr>
          <w:rFonts w:ascii="Arial" w:hAnsi="Arial" w:cs="Arial"/>
        </w:rPr>
        <w:t xml:space="preserve">, COPILOT, etc.) and text-to-image generators have been used during the writing or editing of this manuscript. </w:t>
      </w:r>
      <w:bookmarkEnd w:id="0"/>
      <w:bookmarkEnd w:id="1"/>
      <w:bookmarkEnd w:id="2"/>
    </w:p>
    <w:p w14:paraId="6F0EC375" w14:textId="4C210A72" w:rsidR="00AE0D85" w:rsidRDefault="00AE0D85">
      <w:pPr>
        <w:rPr>
          <w:rFonts w:ascii="Arial" w:hAnsi="Arial" w:cs="Arial"/>
        </w:rPr>
      </w:pPr>
      <w:r>
        <w:rPr>
          <w:rFonts w:ascii="Arial" w:hAnsi="Arial" w:cs="Arial"/>
        </w:rPr>
        <w:br w:type="page"/>
      </w:r>
    </w:p>
    <w:p w14:paraId="74CABC6A" w14:textId="360F50D4" w:rsidR="00435E01" w:rsidRPr="00435E01" w:rsidRDefault="00435E01" w:rsidP="00435E01">
      <w:pPr>
        <w:spacing w:line="360" w:lineRule="auto"/>
        <w:contextualSpacing/>
        <w:jc w:val="both"/>
        <w:rPr>
          <w:rFonts w:ascii="Arial" w:hAnsi="Arial" w:cs="Arial"/>
          <w:b/>
          <w:bCs/>
        </w:rPr>
      </w:pPr>
      <w:r w:rsidRPr="00435E01">
        <w:rPr>
          <w:rFonts w:ascii="Arial" w:hAnsi="Arial" w:cs="Arial"/>
          <w:b/>
          <w:bCs/>
        </w:rPr>
        <w:lastRenderedPageBreak/>
        <w:t>References</w:t>
      </w:r>
    </w:p>
    <w:p w14:paraId="338FD60B" w14:textId="77777777" w:rsidR="00012AA7" w:rsidRPr="00012AA7" w:rsidRDefault="00012AA7" w:rsidP="00175173">
      <w:pPr>
        <w:pStyle w:val="ListParagraph"/>
        <w:numPr>
          <w:ilvl w:val="0"/>
          <w:numId w:val="4"/>
        </w:numPr>
        <w:spacing w:line="360" w:lineRule="auto"/>
        <w:jc w:val="both"/>
        <w:rPr>
          <w:rFonts w:ascii="Arial" w:hAnsi="Arial" w:cs="Arial"/>
          <w:highlight w:val="yellow"/>
        </w:rPr>
      </w:pPr>
      <w:bookmarkStart w:id="3" w:name="_GoBack"/>
      <w:proofErr w:type="spellStart"/>
      <w:r w:rsidRPr="00012AA7">
        <w:rPr>
          <w:rFonts w:ascii="Arial" w:hAnsi="Arial" w:cs="Arial"/>
        </w:rPr>
        <w:t>Vadlapudi</w:t>
      </w:r>
      <w:bookmarkEnd w:id="3"/>
      <w:proofErr w:type="spellEnd"/>
      <w:r w:rsidRPr="00012AA7">
        <w:rPr>
          <w:rFonts w:ascii="Arial" w:hAnsi="Arial" w:cs="Arial"/>
        </w:rPr>
        <w:t xml:space="preserve">, S. S., Srivastava, A., Saini, N., </w:t>
      </w:r>
      <w:proofErr w:type="spellStart"/>
      <w:r w:rsidRPr="00012AA7">
        <w:rPr>
          <w:rFonts w:ascii="Arial" w:hAnsi="Arial" w:cs="Arial"/>
        </w:rPr>
        <w:t>Sarma</w:t>
      </w:r>
      <w:proofErr w:type="spellEnd"/>
      <w:r w:rsidRPr="00012AA7">
        <w:rPr>
          <w:rFonts w:ascii="Arial" w:hAnsi="Arial" w:cs="Arial"/>
        </w:rPr>
        <w:t xml:space="preserve">, M. S., Poddar, U., &amp; </w:t>
      </w:r>
      <w:proofErr w:type="spellStart"/>
      <w:r w:rsidRPr="00012AA7">
        <w:rPr>
          <w:rFonts w:ascii="Arial" w:hAnsi="Arial" w:cs="Arial"/>
        </w:rPr>
        <w:t>Yachha</w:t>
      </w:r>
      <w:proofErr w:type="spellEnd"/>
      <w:r w:rsidRPr="00012AA7">
        <w:rPr>
          <w:rFonts w:ascii="Arial" w:hAnsi="Arial" w:cs="Arial"/>
        </w:rPr>
        <w:t xml:space="preserve">, S. K. (2024). </w:t>
      </w:r>
      <w:proofErr w:type="spellStart"/>
      <w:r w:rsidRPr="00012AA7">
        <w:rPr>
          <w:rFonts w:ascii="Arial" w:hAnsi="Arial" w:cs="Arial"/>
        </w:rPr>
        <w:t>Aetiology</w:t>
      </w:r>
      <w:proofErr w:type="spellEnd"/>
      <w:r w:rsidRPr="00012AA7">
        <w:rPr>
          <w:rFonts w:ascii="Arial" w:hAnsi="Arial" w:cs="Arial"/>
        </w:rPr>
        <w:t xml:space="preserve"> and diagnostic utility of serum ascites albumin gradient in children with ascites. Digestive and Liver Disease, 56(9), 1537-1543.</w:t>
      </w:r>
    </w:p>
    <w:p w14:paraId="60AA8A9C" w14:textId="458FAA94" w:rsidR="00FF1AF4" w:rsidRPr="004F10CA" w:rsidRDefault="00FF1AF4" w:rsidP="00175173">
      <w:pPr>
        <w:pStyle w:val="ListParagraph"/>
        <w:numPr>
          <w:ilvl w:val="0"/>
          <w:numId w:val="4"/>
        </w:numPr>
        <w:spacing w:line="360" w:lineRule="auto"/>
        <w:jc w:val="both"/>
        <w:rPr>
          <w:rFonts w:ascii="Arial" w:hAnsi="Arial" w:cs="Arial"/>
          <w:highlight w:val="yellow"/>
        </w:rPr>
      </w:pPr>
      <w:proofErr w:type="spellStart"/>
      <w:r w:rsidRPr="004F10CA">
        <w:rPr>
          <w:rFonts w:ascii="Arial" w:hAnsi="Arial" w:cs="Arial"/>
          <w:highlight w:val="yellow"/>
        </w:rPr>
        <w:t>Karnsakul</w:t>
      </w:r>
      <w:proofErr w:type="spellEnd"/>
      <w:r w:rsidRPr="004F10CA">
        <w:rPr>
          <w:rFonts w:ascii="Arial" w:hAnsi="Arial" w:cs="Arial"/>
          <w:highlight w:val="yellow"/>
        </w:rPr>
        <w:t xml:space="preserve"> W, </w:t>
      </w:r>
      <w:proofErr w:type="spellStart"/>
      <w:r w:rsidRPr="004F10CA">
        <w:rPr>
          <w:rFonts w:ascii="Arial" w:hAnsi="Arial" w:cs="Arial"/>
          <w:highlight w:val="yellow"/>
        </w:rPr>
        <w:t>Ingviya</w:t>
      </w:r>
      <w:proofErr w:type="spellEnd"/>
      <w:r w:rsidRPr="004F10CA">
        <w:rPr>
          <w:rFonts w:ascii="Arial" w:hAnsi="Arial" w:cs="Arial"/>
          <w:highlight w:val="yellow"/>
        </w:rPr>
        <w:t xml:space="preserve"> T, </w:t>
      </w:r>
      <w:proofErr w:type="spellStart"/>
      <w:r w:rsidRPr="004F10CA">
        <w:rPr>
          <w:rFonts w:ascii="Arial" w:hAnsi="Arial" w:cs="Arial"/>
          <w:highlight w:val="yellow"/>
        </w:rPr>
        <w:t>Seaberg</w:t>
      </w:r>
      <w:proofErr w:type="spellEnd"/>
      <w:r w:rsidRPr="004F10CA">
        <w:rPr>
          <w:rFonts w:ascii="Arial" w:hAnsi="Arial" w:cs="Arial"/>
          <w:highlight w:val="yellow"/>
        </w:rPr>
        <w:t xml:space="preserve"> E, </w:t>
      </w:r>
      <w:proofErr w:type="spellStart"/>
      <w:r w:rsidRPr="004F10CA">
        <w:rPr>
          <w:rFonts w:ascii="Arial" w:hAnsi="Arial" w:cs="Arial"/>
          <w:highlight w:val="yellow"/>
        </w:rPr>
        <w:t>Laengvejkal</w:t>
      </w:r>
      <w:proofErr w:type="spellEnd"/>
      <w:r w:rsidRPr="004F10CA">
        <w:rPr>
          <w:rFonts w:ascii="Arial" w:hAnsi="Arial" w:cs="Arial"/>
          <w:highlight w:val="yellow"/>
        </w:rPr>
        <w:t xml:space="preserve"> P, </w:t>
      </w:r>
      <w:proofErr w:type="spellStart"/>
      <w:r w:rsidRPr="004F10CA">
        <w:rPr>
          <w:rFonts w:ascii="Arial" w:hAnsi="Arial" w:cs="Arial"/>
          <w:highlight w:val="yellow"/>
        </w:rPr>
        <w:t>Imteyaz</w:t>
      </w:r>
      <w:proofErr w:type="spellEnd"/>
      <w:r w:rsidRPr="004F10CA">
        <w:rPr>
          <w:rFonts w:ascii="Arial" w:hAnsi="Arial" w:cs="Arial"/>
          <w:highlight w:val="yellow"/>
        </w:rPr>
        <w:t xml:space="preserve"> H, </w:t>
      </w:r>
      <w:proofErr w:type="spellStart"/>
      <w:r w:rsidRPr="004F10CA">
        <w:rPr>
          <w:rFonts w:ascii="Arial" w:hAnsi="Arial" w:cs="Arial"/>
          <w:highlight w:val="yellow"/>
        </w:rPr>
        <w:t>Vasilescu</w:t>
      </w:r>
      <w:proofErr w:type="spellEnd"/>
      <w:r w:rsidRPr="004F10CA">
        <w:rPr>
          <w:rFonts w:ascii="Arial" w:hAnsi="Arial" w:cs="Arial"/>
          <w:highlight w:val="yellow"/>
        </w:rPr>
        <w:t xml:space="preserve"> A, et al. Ascites in Children: A Single-Center Experience of 27 Years. J </w:t>
      </w:r>
      <w:proofErr w:type="spellStart"/>
      <w:r w:rsidRPr="004F10CA">
        <w:rPr>
          <w:rFonts w:ascii="Arial" w:hAnsi="Arial" w:cs="Arial"/>
          <w:highlight w:val="yellow"/>
        </w:rPr>
        <w:t>Pediatr</w:t>
      </w:r>
      <w:proofErr w:type="spellEnd"/>
      <w:r w:rsidRPr="004F10CA">
        <w:rPr>
          <w:rFonts w:ascii="Arial" w:hAnsi="Arial" w:cs="Arial"/>
          <w:highlight w:val="yellow"/>
        </w:rPr>
        <w:t xml:space="preserve"> Gastroenterol </w:t>
      </w:r>
      <w:proofErr w:type="spellStart"/>
      <w:r w:rsidRPr="004F10CA">
        <w:rPr>
          <w:rFonts w:ascii="Arial" w:hAnsi="Arial" w:cs="Arial"/>
          <w:highlight w:val="yellow"/>
        </w:rPr>
        <w:t>Nutr</w:t>
      </w:r>
      <w:proofErr w:type="spellEnd"/>
      <w:r w:rsidRPr="004F10CA">
        <w:rPr>
          <w:rFonts w:ascii="Arial" w:hAnsi="Arial" w:cs="Arial"/>
          <w:highlight w:val="yellow"/>
        </w:rPr>
        <w:t xml:space="preserve">. 2017 Jan;64(1):83-88. </w:t>
      </w:r>
      <w:proofErr w:type="spellStart"/>
      <w:r w:rsidRPr="004F10CA">
        <w:rPr>
          <w:rFonts w:ascii="Arial" w:hAnsi="Arial" w:cs="Arial"/>
          <w:highlight w:val="yellow"/>
        </w:rPr>
        <w:t>doi</w:t>
      </w:r>
      <w:proofErr w:type="spellEnd"/>
      <w:r w:rsidRPr="004F10CA">
        <w:rPr>
          <w:rFonts w:ascii="Arial" w:hAnsi="Arial" w:cs="Arial"/>
          <w:highlight w:val="yellow"/>
        </w:rPr>
        <w:t xml:space="preserve">: 10.1097/MPG.0000000000001209. </w:t>
      </w:r>
    </w:p>
    <w:p w14:paraId="09947A69" w14:textId="3024B437" w:rsidR="00FF1AF4" w:rsidRPr="004F10CA" w:rsidRDefault="00FF1AF4" w:rsidP="00175173">
      <w:pPr>
        <w:pStyle w:val="ListParagraph"/>
        <w:numPr>
          <w:ilvl w:val="0"/>
          <w:numId w:val="4"/>
        </w:numPr>
        <w:spacing w:line="360" w:lineRule="auto"/>
        <w:jc w:val="both"/>
        <w:rPr>
          <w:rFonts w:ascii="Arial" w:hAnsi="Arial" w:cs="Arial"/>
          <w:highlight w:val="yellow"/>
          <w:lang w:val="fr-FR"/>
        </w:rPr>
      </w:pPr>
      <w:r w:rsidRPr="004F10CA">
        <w:rPr>
          <w:rFonts w:ascii="Arial" w:hAnsi="Arial" w:cs="Arial"/>
          <w:highlight w:val="yellow"/>
          <w:lang w:val="fr-FR"/>
        </w:rPr>
        <w:t>INS. Enquête SMART nationale 2022. Niamey : INS/UNICEF ; 2022</w:t>
      </w:r>
    </w:p>
    <w:p w14:paraId="2028CBAA" w14:textId="3978543A" w:rsidR="00FF1AF4" w:rsidRPr="004F10CA" w:rsidRDefault="00FF1AF4" w:rsidP="00175173">
      <w:pPr>
        <w:pStyle w:val="ListParagraph"/>
        <w:numPr>
          <w:ilvl w:val="0"/>
          <w:numId w:val="4"/>
        </w:numPr>
        <w:spacing w:line="360" w:lineRule="auto"/>
        <w:jc w:val="both"/>
        <w:rPr>
          <w:rFonts w:ascii="Arial" w:hAnsi="Arial" w:cs="Arial"/>
          <w:highlight w:val="yellow"/>
        </w:rPr>
      </w:pPr>
      <w:r w:rsidRPr="004F10CA">
        <w:rPr>
          <w:rFonts w:ascii="Arial" w:hAnsi="Arial" w:cs="Arial"/>
          <w:highlight w:val="yellow"/>
        </w:rPr>
        <w:t xml:space="preserve">Prasad AS. Zinc: mechanisms of host defense. J </w:t>
      </w:r>
      <w:proofErr w:type="spellStart"/>
      <w:r w:rsidRPr="004F10CA">
        <w:rPr>
          <w:rFonts w:ascii="Arial" w:hAnsi="Arial" w:cs="Arial"/>
          <w:highlight w:val="yellow"/>
        </w:rPr>
        <w:t>Nutr</w:t>
      </w:r>
      <w:proofErr w:type="spellEnd"/>
      <w:r w:rsidRPr="004F10CA">
        <w:rPr>
          <w:rFonts w:ascii="Arial" w:hAnsi="Arial" w:cs="Arial"/>
          <w:highlight w:val="yellow"/>
        </w:rPr>
        <w:t xml:space="preserve">. 2007 May;137(5):1345-9. </w:t>
      </w:r>
      <w:proofErr w:type="spellStart"/>
      <w:r w:rsidRPr="004F10CA">
        <w:rPr>
          <w:rFonts w:ascii="Arial" w:hAnsi="Arial" w:cs="Arial"/>
          <w:highlight w:val="yellow"/>
        </w:rPr>
        <w:t>doi</w:t>
      </w:r>
      <w:proofErr w:type="spellEnd"/>
      <w:r w:rsidRPr="004F10CA">
        <w:rPr>
          <w:rFonts w:ascii="Arial" w:hAnsi="Arial" w:cs="Arial"/>
          <w:highlight w:val="yellow"/>
        </w:rPr>
        <w:t>: 10.1093/</w:t>
      </w:r>
      <w:proofErr w:type="spellStart"/>
      <w:r w:rsidRPr="004F10CA">
        <w:rPr>
          <w:rFonts w:ascii="Arial" w:hAnsi="Arial" w:cs="Arial"/>
          <w:highlight w:val="yellow"/>
        </w:rPr>
        <w:t>jn</w:t>
      </w:r>
      <w:proofErr w:type="spellEnd"/>
      <w:r w:rsidRPr="004F10CA">
        <w:rPr>
          <w:rFonts w:ascii="Arial" w:hAnsi="Arial" w:cs="Arial"/>
          <w:highlight w:val="yellow"/>
        </w:rPr>
        <w:t xml:space="preserve">/137.5.1345. </w:t>
      </w:r>
    </w:p>
    <w:p w14:paraId="7131B19F" w14:textId="01F7D3E7" w:rsidR="00FF1AF4" w:rsidRPr="004F10CA" w:rsidRDefault="00FF1AF4" w:rsidP="00175173">
      <w:pPr>
        <w:pStyle w:val="ListParagraph"/>
        <w:numPr>
          <w:ilvl w:val="0"/>
          <w:numId w:val="4"/>
        </w:numPr>
        <w:spacing w:line="360" w:lineRule="auto"/>
        <w:jc w:val="both"/>
        <w:rPr>
          <w:rFonts w:ascii="Arial" w:hAnsi="Arial" w:cs="Arial"/>
          <w:highlight w:val="yellow"/>
        </w:rPr>
      </w:pPr>
      <w:r w:rsidRPr="004F10CA">
        <w:rPr>
          <w:rFonts w:ascii="Arial" w:hAnsi="Arial" w:cs="Arial"/>
          <w:highlight w:val="yellow"/>
        </w:rPr>
        <w:t>Chorus I, Bartram J. Toxic cyanobacteria in water: A guide to their public health consequences, monitoring and management.</w:t>
      </w:r>
      <w:r w:rsidR="00002AAF" w:rsidRPr="004F10CA">
        <w:rPr>
          <w:rFonts w:ascii="Arial" w:hAnsi="Arial" w:cs="Arial"/>
          <w:highlight w:val="yellow"/>
        </w:rPr>
        <w:t xml:space="preserve"> </w:t>
      </w:r>
      <w:r w:rsidR="00175173" w:rsidRPr="004F10CA">
        <w:rPr>
          <w:rFonts w:ascii="Arial" w:hAnsi="Arial" w:cs="Arial"/>
          <w:highlight w:val="yellow"/>
        </w:rPr>
        <w:t>[Internet] WHO; 1999 [cited 2025 May 31]. Available from</w:t>
      </w:r>
      <w:r w:rsidRPr="004F10CA">
        <w:rPr>
          <w:rFonts w:ascii="Arial" w:hAnsi="Arial" w:cs="Arial"/>
          <w:highlight w:val="yellow"/>
        </w:rPr>
        <w:t>: https://www.who.int/publications/m/item/toxic-cyanobacteria-in-water-a-guide-to-their-public-health-consequences-monitoring-and-management</w:t>
      </w:r>
    </w:p>
    <w:p w14:paraId="7643630F" w14:textId="5B197793" w:rsidR="00FF1AF4" w:rsidRPr="001357B6" w:rsidRDefault="00FF1AF4" w:rsidP="00175173">
      <w:pPr>
        <w:pStyle w:val="ListParagraph"/>
        <w:numPr>
          <w:ilvl w:val="0"/>
          <w:numId w:val="4"/>
        </w:numPr>
        <w:spacing w:line="360" w:lineRule="auto"/>
        <w:jc w:val="both"/>
        <w:rPr>
          <w:rFonts w:ascii="Arial" w:hAnsi="Arial" w:cs="Arial"/>
          <w:highlight w:val="yellow"/>
        </w:rPr>
      </w:pPr>
      <w:r w:rsidRPr="001357B6">
        <w:rPr>
          <w:rFonts w:ascii="Arial" w:hAnsi="Arial" w:cs="Arial"/>
          <w:highlight w:val="yellow"/>
        </w:rPr>
        <w:t xml:space="preserve">Stournaras E, </w:t>
      </w:r>
      <w:proofErr w:type="spellStart"/>
      <w:r w:rsidRPr="001357B6">
        <w:rPr>
          <w:rFonts w:ascii="Arial" w:hAnsi="Arial" w:cs="Arial"/>
          <w:highlight w:val="yellow"/>
        </w:rPr>
        <w:t>Tziomalos</w:t>
      </w:r>
      <w:proofErr w:type="spellEnd"/>
      <w:r w:rsidRPr="001357B6">
        <w:rPr>
          <w:rFonts w:ascii="Arial" w:hAnsi="Arial" w:cs="Arial"/>
          <w:highlight w:val="yellow"/>
        </w:rPr>
        <w:t xml:space="preserve"> K. Herbal medicine-related hepatotoxicity. World J </w:t>
      </w:r>
      <w:proofErr w:type="spellStart"/>
      <w:r w:rsidRPr="001357B6">
        <w:rPr>
          <w:rFonts w:ascii="Arial" w:hAnsi="Arial" w:cs="Arial"/>
          <w:highlight w:val="yellow"/>
        </w:rPr>
        <w:t>Hepatol</w:t>
      </w:r>
      <w:proofErr w:type="spellEnd"/>
      <w:r w:rsidRPr="001357B6">
        <w:rPr>
          <w:rFonts w:ascii="Arial" w:hAnsi="Arial" w:cs="Arial"/>
          <w:highlight w:val="yellow"/>
        </w:rPr>
        <w:t xml:space="preserve">. 2015 Sep 8;7(19):2189-93. </w:t>
      </w:r>
      <w:proofErr w:type="spellStart"/>
      <w:r w:rsidRPr="001357B6">
        <w:rPr>
          <w:rFonts w:ascii="Arial" w:hAnsi="Arial" w:cs="Arial"/>
          <w:highlight w:val="yellow"/>
        </w:rPr>
        <w:t>doi</w:t>
      </w:r>
      <w:proofErr w:type="spellEnd"/>
      <w:r w:rsidRPr="001357B6">
        <w:rPr>
          <w:rFonts w:ascii="Arial" w:hAnsi="Arial" w:cs="Arial"/>
          <w:highlight w:val="yellow"/>
        </w:rPr>
        <w:t>: 10.4254/</w:t>
      </w:r>
      <w:proofErr w:type="spellStart"/>
      <w:r w:rsidR="00B54FDA" w:rsidRPr="001357B6">
        <w:rPr>
          <w:rFonts w:ascii="Arial" w:hAnsi="Arial" w:cs="Arial"/>
          <w:highlight w:val="yellow"/>
        </w:rPr>
        <w:t>wjh</w:t>
      </w:r>
      <w:proofErr w:type="spellEnd"/>
      <w:r w:rsidR="00B54FDA" w:rsidRPr="001357B6">
        <w:rPr>
          <w:rFonts w:ascii="Arial" w:hAnsi="Arial" w:cs="Arial"/>
          <w:highlight w:val="yellow"/>
        </w:rPr>
        <w:t>. v</w:t>
      </w:r>
      <w:r w:rsidRPr="001357B6">
        <w:rPr>
          <w:rFonts w:ascii="Arial" w:hAnsi="Arial" w:cs="Arial"/>
          <w:highlight w:val="yellow"/>
        </w:rPr>
        <w:t xml:space="preserve">7.i19.2189. </w:t>
      </w:r>
    </w:p>
    <w:p w14:paraId="6FE6BE68" w14:textId="3E283BA8" w:rsidR="00FF1AF4" w:rsidRPr="001357B6" w:rsidRDefault="00FF1AF4" w:rsidP="00175173">
      <w:pPr>
        <w:pStyle w:val="ListParagraph"/>
        <w:numPr>
          <w:ilvl w:val="0"/>
          <w:numId w:val="4"/>
        </w:numPr>
        <w:spacing w:line="360" w:lineRule="auto"/>
        <w:jc w:val="both"/>
        <w:rPr>
          <w:rFonts w:ascii="Arial" w:hAnsi="Arial" w:cs="Arial"/>
          <w:highlight w:val="yellow"/>
        </w:rPr>
      </w:pPr>
      <w:proofErr w:type="spellStart"/>
      <w:r w:rsidRPr="001357B6">
        <w:rPr>
          <w:rFonts w:ascii="Arial" w:hAnsi="Arial" w:cs="Arial"/>
          <w:highlight w:val="yellow"/>
        </w:rPr>
        <w:t>Okaiyeto</w:t>
      </w:r>
      <w:proofErr w:type="spellEnd"/>
      <w:r w:rsidRPr="001357B6">
        <w:rPr>
          <w:rFonts w:ascii="Arial" w:hAnsi="Arial" w:cs="Arial"/>
          <w:highlight w:val="yellow"/>
        </w:rPr>
        <w:t xml:space="preserve">, K.; </w:t>
      </w:r>
      <w:proofErr w:type="spellStart"/>
      <w:r w:rsidRPr="001357B6">
        <w:rPr>
          <w:rFonts w:ascii="Arial" w:hAnsi="Arial" w:cs="Arial"/>
          <w:highlight w:val="yellow"/>
        </w:rPr>
        <w:t>Oguntibeju</w:t>
      </w:r>
      <w:proofErr w:type="spellEnd"/>
      <w:r w:rsidRPr="001357B6">
        <w:rPr>
          <w:rFonts w:ascii="Arial" w:hAnsi="Arial" w:cs="Arial"/>
          <w:highlight w:val="yellow"/>
        </w:rPr>
        <w:t>, O.O. African Herbal Medicines: Adverse Effects and Cytotoxic</w:t>
      </w:r>
      <w:r w:rsidR="00175173" w:rsidRPr="001357B6">
        <w:rPr>
          <w:rFonts w:ascii="Arial" w:hAnsi="Arial" w:cs="Arial"/>
          <w:highlight w:val="yellow"/>
        </w:rPr>
        <w:t xml:space="preserve"> </w:t>
      </w:r>
      <w:r w:rsidRPr="001357B6">
        <w:rPr>
          <w:rFonts w:ascii="Arial" w:hAnsi="Arial" w:cs="Arial"/>
          <w:highlight w:val="yellow"/>
        </w:rPr>
        <w:t>Potentials with Different Therapeutic Applications. Int. J. Environ. Res. Public Health 2021, 18, 5988. https:// doi.org/10.3390/ijerph18115988</w:t>
      </w:r>
    </w:p>
    <w:p w14:paraId="285544A0" w14:textId="3A72C04F" w:rsidR="00FF1AF4" w:rsidRPr="001357B6" w:rsidRDefault="00FF1AF4" w:rsidP="00175173">
      <w:pPr>
        <w:pStyle w:val="ListParagraph"/>
        <w:numPr>
          <w:ilvl w:val="0"/>
          <w:numId w:val="4"/>
        </w:numPr>
        <w:spacing w:line="360" w:lineRule="auto"/>
        <w:jc w:val="both"/>
        <w:rPr>
          <w:rFonts w:ascii="Arial" w:hAnsi="Arial" w:cs="Arial"/>
          <w:highlight w:val="yellow"/>
        </w:rPr>
      </w:pPr>
      <w:proofErr w:type="spellStart"/>
      <w:r w:rsidRPr="001357B6">
        <w:rPr>
          <w:rFonts w:ascii="Arial" w:hAnsi="Arial" w:cs="Arial"/>
          <w:highlight w:val="yellow"/>
        </w:rPr>
        <w:t>Alshuwaykh</w:t>
      </w:r>
      <w:proofErr w:type="spellEnd"/>
      <w:r w:rsidRPr="001357B6">
        <w:rPr>
          <w:rFonts w:ascii="Arial" w:hAnsi="Arial" w:cs="Arial"/>
          <w:highlight w:val="yellow"/>
        </w:rPr>
        <w:t xml:space="preserve"> O, Cheung A, Goel A, </w:t>
      </w:r>
      <w:proofErr w:type="spellStart"/>
      <w:r w:rsidRPr="001357B6">
        <w:rPr>
          <w:rFonts w:ascii="Arial" w:hAnsi="Arial" w:cs="Arial"/>
          <w:highlight w:val="yellow"/>
        </w:rPr>
        <w:t>Kwong</w:t>
      </w:r>
      <w:proofErr w:type="spellEnd"/>
      <w:r w:rsidRPr="001357B6">
        <w:rPr>
          <w:rFonts w:ascii="Arial" w:hAnsi="Arial" w:cs="Arial"/>
          <w:highlight w:val="yellow"/>
        </w:rPr>
        <w:t xml:space="preserve"> A, </w:t>
      </w:r>
      <w:proofErr w:type="spellStart"/>
      <w:r w:rsidRPr="001357B6">
        <w:rPr>
          <w:rFonts w:ascii="Arial" w:hAnsi="Arial" w:cs="Arial"/>
          <w:highlight w:val="yellow"/>
        </w:rPr>
        <w:t>Dhanasekaran</w:t>
      </w:r>
      <w:proofErr w:type="spellEnd"/>
      <w:r w:rsidRPr="001357B6">
        <w:rPr>
          <w:rFonts w:ascii="Arial" w:hAnsi="Arial" w:cs="Arial"/>
          <w:highlight w:val="yellow"/>
        </w:rPr>
        <w:t xml:space="preserve"> R, </w:t>
      </w:r>
      <w:proofErr w:type="spellStart"/>
      <w:r w:rsidRPr="001357B6">
        <w:rPr>
          <w:rFonts w:ascii="Arial" w:hAnsi="Arial" w:cs="Arial"/>
          <w:highlight w:val="yellow"/>
        </w:rPr>
        <w:t>Ghaziani</w:t>
      </w:r>
      <w:proofErr w:type="spellEnd"/>
      <w:r w:rsidRPr="001357B6">
        <w:rPr>
          <w:rFonts w:ascii="Arial" w:hAnsi="Arial" w:cs="Arial"/>
          <w:highlight w:val="yellow"/>
        </w:rPr>
        <w:t xml:space="preserve"> TT, </w:t>
      </w:r>
      <w:r w:rsidR="00002AAF" w:rsidRPr="001357B6">
        <w:rPr>
          <w:rFonts w:ascii="Arial" w:hAnsi="Arial" w:cs="Arial"/>
          <w:highlight w:val="yellow"/>
        </w:rPr>
        <w:t>et al</w:t>
      </w:r>
      <w:r w:rsidRPr="001357B6">
        <w:rPr>
          <w:rFonts w:ascii="Arial" w:hAnsi="Arial" w:cs="Arial"/>
          <w:highlight w:val="yellow"/>
        </w:rPr>
        <w:t xml:space="preserve">. Clinical characteristics and outcomes in those with primary extrahepatic malignancy and malignant ascites. BMC Gastroenterol. 2022 Sep 5;22(1):410. </w:t>
      </w:r>
      <w:proofErr w:type="spellStart"/>
      <w:r w:rsidRPr="001357B6">
        <w:rPr>
          <w:rFonts w:ascii="Arial" w:hAnsi="Arial" w:cs="Arial"/>
          <w:highlight w:val="yellow"/>
        </w:rPr>
        <w:t>doi</w:t>
      </w:r>
      <w:proofErr w:type="spellEnd"/>
      <w:r w:rsidRPr="001357B6">
        <w:rPr>
          <w:rFonts w:ascii="Arial" w:hAnsi="Arial" w:cs="Arial"/>
          <w:highlight w:val="yellow"/>
        </w:rPr>
        <w:t xml:space="preserve">: 10.1186/s12876-022-02487-4. </w:t>
      </w:r>
    </w:p>
    <w:p w14:paraId="6A3688F0" w14:textId="43BAFDF2" w:rsidR="00FF1AF4" w:rsidRPr="00416EBA" w:rsidRDefault="00002AAF" w:rsidP="00175173">
      <w:pPr>
        <w:pStyle w:val="ListParagraph"/>
        <w:numPr>
          <w:ilvl w:val="0"/>
          <w:numId w:val="4"/>
        </w:numPr>
        <w:spacing w:line="360" w:lineRule="auto"/>
        <w:jc w:val="both"/>
        <w:rPr>
          <w:rFonts w:ascii="Arial" w:hAnsi="Arial" w:cs="Arial"/>
          <w:highlight w:val="yellow"/>
        </w:rPr>
      </w:pPr>
      <w:r w:rsidRPr="00416EBA">
        <w:rPr>
          <w:rFonts w:ascii="Arial" w:hAnsi="Arial" w:cs="Arial"/>
          <w:highlight w:val="yellow"/>
        </w:rPr>
        <w:t xml:space="preserve">UNICEF, </w:t>
      </w:r>
      <w:r w:rsidR="00FF1AF4" w:rsidRPr="00416EBA">
        <w:rPr>
          <w:rFonts w:ascii="Arial" w:hAnsi="Arial" w:cs="Arial"/>
          <w:highlight w:val="yellow"/>
        </w:rPr>
        <w:t xml:space="preserve">Outbreak of acute ascites among children linked to consumption of herbal decoction in rural </w:t>
      </w:r>
      <w:r w:rsidR="00B54FDA" w:rsidRPr="00416EBA">
        <w:rPr>
          <w:rFonts w:ascii="Arial" w:hAnsi="Arial" w:cs="Arial"/>
          <w:highlight w:val="yellow"/>
        </w:rPr>
        <w:t>Nigeria.</w:t>
      </w:r>
      <w:r w:rsidR="00FF1AF4" w:rsidRPr="00416EBA">
        <w:rPr>
          <w:rFonts w:ascii="Arial" w:hAnsi="Arial" w:cs="Arial"/>
          <w:highlight w:val="yellow"/>
        </w:rPr>
        <w:t xml:space="preserve"> Nigeria Humanitarian Situation Report N</w:t>
      </w:r>
      <w:r w:rsidR="00FF1AF4" w:rsidRPr="00416EBA">
        <w:rPr>
          <w:rFonts w:ascii="Arial" w:hAnsi="Arial" w:cs="Arial"/>
          <w:highlight w:val="yellow"/>
          <w:vertAlign w:val="superscript"/>
        </w:rPr>
        <w:t>o</w:t>
      </w:r>
      <w:r w:rsidR="00B54FDA" w:rsidRPr="00416EBA">
        <w:rPr>
          <w:rFonts w:ascii="Arial" w:hAnsi="Arial" w:cs="Arial"/>
          <w:highlight w:val="yellow"/>
        </w:rPr>
        <w:t xml:space="preserve"> </w:t>
      </w:r>
      <w:r w:rsidR="00FF1AF4" w:rsidRPr="00416EBA">
        <w:rPr>
          <w:rFonts w:ascii="Arial" w:hAnsi="Arial" w:cs="Arial"/>
          <w:highlight w:val="yellow"/>
        </w:rPr>
        <w:t>4, 1</w:t>
      </w:r>
      <w:r w:rsidR="00B54FDA" w:rsidRPr="00416EBA">
        <w:rPr>
          <w:rFonts w:ascii="Arial" w:hAnsi="Arial" w:cs="Arial"/>
          <w:highlight w:val="yellow"/>
        </w:rPr>
        <w:t>-</w:t>
      </w:r>
      <w:r w:rsidR="00FF1AF4" w:rsidRPr="00416EBA">
        <w:rPr>
          <w:rFonts w:ascii="Arial" w:hAnsi="Arial" w:cs="Arial"/>
          <w:highlight w:val="yellow"/>
        </w:rPr>
        <w:t xml:space="preserve">30 April 2025. Abuja: </w:t>
      </w:r>
      <w:r w:rsidR="00B54FDA" w:rsidRPr="00416EBA">
        <w:rPr>
          <w:rFonts w:ascii="Arial" w:hAnsi="Arial" w:cs="Arial"/>
          <w:highlight w:val="yellow"/>
        </w:rPr>
        <w:t xml:space="preserve">[Internet] </w:t>
      </w:r>
      <w:r w:rsidR="00FF1AF4" w:rsidRPr="00416EBA">
        <w:rPr>
          <w:rFonts w:ascii="Arial" w:hAnsi="Arial" w:cs="Arial"/>
          <w:highlight w:val="yellow"/>
        </w:rPr>
        <w:t>United Nations Children’s Fund; 2025</w:t>
      </w:r>
      <w:r w:rsidR="00B54FDA" w:rsidRPr="00416EBA">
        <w:rPr>
          <w:rFonts w:ascii="Arial" w:hAnsi="Arial" w:cs="Arial"/>
          <w:highlight w:val="yellow"/>
        </w:rPr>
        <w:t xml:space="preserve"> [cited 2025 May 31]</w:t>
      </w:r>
      <w:r w:rsidR="00FF1AF4" w:rsidRPr="00416EBA">
        <w:rPr>
          <w:rFonts w:ascii="Arial" w:hAnsi="Arial" w:cs="Arial"/>
          <w:highlight w:val="yellow"/>
        </w:rPr>
        <w:t>. Available from: https://www.unicef.org/nigeria/reports/nigeria-humanitarian-situation-report-april-2025</w:t>
      </w:r>
      <w:r w:rsidR="00C21925" w:rsidRPr="00416EBA">
        <w:rPr>
          <w:rFonts w:ascii="Arial" w:hAnsi="Arial" w:cs="Arial"/>
          <w:highlight w:val="yellow"/>
        </w:rPr>
        <w:t xml:space="preserve"> </w:t>
      </w:r>
    </w:p>
    <w:p w14:paraId="493055B9" w14:textId="2BE2FDE9" w:rsidR="00FF1AF4" w:rsidRPr="0074206D" w:rsidRDefault="00FF1AF4" w:rsidP="00175173">
      <w:pPr>
        <w:pStyle w:val="ListParagraph"/>
        <w:numPr>
          <w:ilvl w:val="0"/>
          <w:numId w:val="4"/>
        </w:numPr>
        <w:spacing w:line="360" w:lineRule="auto"/>
        <w:jc w:val="both"/>
        <w:rPr>
          <w:rFonts w:ascii="Arial" w:hAnsi="Arial" w:cs="Arial"/>
          <w:highlight w:val="yellow"/>
        </w:rPr>
      </w:pPr>
      <w:proofErr w:type="spellStart"/>
      <w:r w:rsidRPr="0074206D">
        <w:rPr>
          <w:rFonts w:ascii="Arial" w:hAnsi="Arial" w:cs="Arial"/>
          <w:highlight w:val="yellow"/>
        </w:rPr>
        <w:t>Ateudjieu</w:t>
      </w:r>
      <w:proofErr w:type="spellEnd"/>
      <w:r w:rsidRPr="0074206D">
        <w:rPr>
          <w:rFonts w:ascii="Arial" w:hAnsi="Arial" w:cs="Arial"/>
          <w:highlight w:val="yellow"/>
        </w:rPr>
        <w:t xml:space="preserve"> J, </w:t>
      </w:r>
      <w:proofErr w:type="spellStart"/>
      <w:r w:rsidRPr="0074206D">
        <w:rPr>
          <w:rFonts w:ascii="Arial" w:hAnsi="Arial" w:cs="Arial"/>
          <w:highlight w:val="yellow"/>
        </w:rPr>
        <w:t>Siewe</w:t>
      </w:r>
      <w:proofErr w:type="spellEnd"/>
      <w:r w:rsidRPr="0074206D">
        <w:rPr>
          <w:rFonts w:ascii="Arial" w:hAnsi="Arial" w:cs="Arial"/>
          <w:highlight w:val="yellow"/>
        </w:rPr>
        <w:t xml:space="preserve"> </w:t>
      </w:r>
      <w:proofErr w:type="spellStart"/>
      <w:r w:rsidRPr="0074206D">
        <w:rPr>
          <w:rFonts w:ascii="Arial" w:hAnsi="Arial" w:cs="Arial"/>
          <w:highlight w:val="yellow"/>
        </w:rPr>
        <w:t>Fodjo</w:t>
      </w:r>
      <w:proofErr w:type="spellEnd"/>
      <w:r w:rsidRPr="0074206D">
        <w:rPr>
          <w:rFonts w:ascii="Arial" w:hAnsi="Arial" w:cs="Arial"/>
          <w:highlight w:val="yellow"/>
        </w:rPr>
        <w:t xml:space="preserve"> JN, </w:t>
      </w:r>
      <w:proofErr w:type="spellStart"/>
      <w:r w:rsidRPr="0074206D">
        <w:rPr>
          <w:rFonts w:ascii="Arial" w:hAnsi="Arial" w:cs="Arial"/>
          <w:highlight w:val="yellow"/>
        </w:rPr>
        <w:t>Ambomatei</w:t>
      </w:r>
      <w:proofErr w:type="spellEnd"/>
      <w:r w:rsidRPr="0074206D">
        <w:rPr>
          <w:rFonts w:ascii="Arial" w:hAnsi="Arial" w:cs="Arial"/>
          <w:highlight w:val="yellow"/>
        </w:rPr>
        <w:t xml:space="preserve"> C, </w:t>
      </w:r>
      <w:proofErr w:type="spellStart"/>
      <w:r w:rsidRPr="0074206D">
        <w:rPr>
          <w:rFonts w:ascii="Arial" w:hAnsi="Arial" w:cs="Arial"/>
          <w:highlight w:val="yellow"/>
        </w:rPr>
        <w:t>Tchio-Nighie</w:t>
      </w:r>
      <w:proofErr w:type="spellEnd"/>
      <w:r w:rsidRPr="0074206D">
        <w:rPr>
          <w:rFonts w:ascii="Arial" w:hAnsi="Arial" w:cs="Arial"/>
          <w:highlight w:val="yellow"/>
        </w:rPr>
        <w:t xml:space="preserve"> KH, </w:t>
      </w:r>
      <w:proofErr w:type="spellStart"/>
      <w:r w:rsidRPr="0074206D">
        <w:rPr>
          <w:rFonts w:ascii="Arial" w:hAnsi="Arial" w:cs="Arial"/>
          <w:highlight w:val="yellow"/>
        </w:rPr>
        <w:t>Zoung</w:t>
      </w:r>
      <w:proofErr w:type="spellEnd"/>
      <w:r w:rsidRPr="0074206D">
        <w:rPr>
          <w:rFonts w:ascii="Arial" w:hAnsi="Arial" w:cs="Arial"/>
          <w:highlight w:val="yellow"/>
        </w:rPr>
        <w:t xml:space="preserve"> </w:t>
      </w:r>
      <w:proofErr w:type="spellStart"/>
      <w:r w:rsidRPr="0074206D">
        <w:rPr>
          <w:rFonts w:ascii="Arial" w:hAnsi="Arial" w:cs="Arial"/>
          <w:highlight w:val="yellow"/>
        </w:rPr>
        <w:t>Kanyi</w:t>
      </w:r>
      <w:proofErr w:type="spellEnd"/>
      <w:r w:rsidRPr="0074206D">
        <w:rPr>
          <w:rFonts w:ascii="Arial" w:hAnsi="Arial" w:cs="Arial"/>
          <w:highlight w:val="yellow"/>
        </w:rPr>
        <w:t xml:space="preserve"> </w:t>
      </w:r>
      <w:proofErr w:type="spellStart"/>
      <w:r w:rsidRPr="0074206D">
        <w:rPr>
          <w:rFonts w:ascii="Arial" w:hAnsi="Arial" w:cs="Arial"/>
          <w:highlight w:val="yellow"/>
        </w:rPr>
        <w:t>Bissek</w:t>
      </w:r>
      <w:proofErr w:type="spellEnd"/>
      <w:r w:rsidRPr="0074206D">
        <w:rPr>
          <w:rFonts w:ascii="Arial" w:hAnsi="Arial" w:cs="Arial"/>
          <w:highlight w:val="yellow"/>
        </w:rPr>
        <w:t xml:space="preserve"> A-C. Zoonotic Diseases in Sub-Saharan Africa: A Systematic Review and Meta-</w:t>
      </w:r>
      <w:r w:rsidRPr="0074206D">
        <w:rPr>
          <w:rFonts w:ascii="Arial" w:hAnsi="Arial" w:cs="Arial"/>
          <w:highlight w:val="yellow"/>
        </w:rPr>
        <w:lastRenderedPageBreak/>
        <w:t>Analysis. Zoonotic Diseases. 2023; 3(4):251-265. https://doi.org/10.3390/zoonoticdis3040021</w:t>
      </w:r>
    </w:p>
    <w:p w14:paraId="5E5581AE" w14:textId="77777777" w:rsidR="00FF1AF4" w:rsidRPr="00FF1AF4" w:rsidRDefault="00FF1AF4" w:rsidP="00FF1AF4">
      <w:pPr>
        <w:spacing w:line="360" w:lineRule="auto"/>
        <w:contextualSpacing/>
        <w:jc w:val="both"/>
        <w:rPr>
          <w:rFonts w:ascii="Arial" w:hAnsi="Arial" w:cs="Arial"/>
        </w:rPr>
      </w:pPr>
    </w:p>
    <w:p w14:paraId="349CCE66" w14:textId="544FE328" w:rsidR="00FF1AF4" w:rsidRPr="00E770CD" w:rsidRDefault="00FF1AF4" w:rsidP="00175173">
      <w:pPr>
        <w:pStyle w:val="ListParagraph"/>
        <w:numPr>
          <w:ilvl w:val="0"/>
          <w:numId w:val="4"/>
        </w:numPr>
        <w:spacing w:line="360" w:lineRule="auto"/>
        <w:jc w:val="both"/>
        <w:rPr>
          <w:rFonts w:ascii="Arial" w:hAnsi="Arial" w:cs="Arial"/>
          <w:highlight w:val="yellow"/>
          <w:lang w:val="fr-FR"/>
        </w:rPr>
      </w:pPr>
      <w:proofErr w:type="spellStart"/>
      <w:r w:rsidRPr="00E770CD">
        <w:rPr>
          <w:rFonts w:ascii="Arial" w:hAnsi="Arial" w:cs="Arial"/>
          <w:highlight w:val="yellow"/>
          <w:lang w:val="fr-FR"/>
        </w:rPr>
        <w:t>Nusirat</w:t>
      </w:r>
      <w:proofErr w:type="spellEnd"/>
      <w:r w:rsidRPr="00E770CD">
        <w:rPr>
          <w:rFonts w:ascii="Arial" w:hAnsi="Arial" w:cs="Arial"/>
          <w:highlight w:val="yellow"/>
          <w:lang w:val="fr-FR"/>
        </w:rPr>
        <w:t xml:space="preserve"> </w:t>
      </w:r>
      <w:proofErr w:type="spellStart"/>
      <w:r w:rsidRPr="00E770CD">
        <w:rPr>
          <w:rFonts w:ascii="Arial" w:hAnsi="Arial" w:cs="Arial"/>
          <w:highlight w:val="yellow"/>
          <w:lang w:val="fr-FR"/>
        </w:rPr>
        <w:t>Elelu</w:t>
      </w:r>
      <w:proofErr w:type="spellEnd"/>
      <w:r w:rsidRPr="00E770CD">
        <w:rPr>
          <w:rFonts w:ascii="Arial" w:hAnsi="Arial" w:cs="Arial"/>
          <w:highlight w:val="yellow"/>
          <w:lang w:val="fr-FR"/>
        </w:rPr>
        <w:t xml:space="preserve"> et al. Maladies zoonotiques négligées au </w:t>
      </w:r>
      <w:r w:rsidR="00B54FDA" w:rsidRPr="00E770CD">
        <w:rPr>
          <w:rFonts w:ascii="Arial" w:hAnsi="Arial" w:cs="Arial"/>
          <w:highlight w:val="yellow"/>
          <w:lang w:val="fr-FR"/>
        </w:rPr>
        <w:t>Nigeria :</w:t>
      </w:r>
      <w:r w:rsidRPr="00E770CD">
        <w:rPr>
          <w:rFonts w:ascii="Arial" w:hAnsi="Arial" w:cs="Arial"/>
          <w:highlight w:val="yellow"/>
          <w:lang w:val="fr-FR"/>
        </w:rPr>
        <w:t xml:space="preserve"> rôle du vétérinaire de santé publique. Pan </w:t>
      </w:r>
      <w:proofErr w:type="spellStart"/>
      <w:r w:rsidRPr="00E770CD">
        <w:rPr>
          <w:rFonts w:ascii="Arial" w:hAnsi="Arial" w:cs="Arial"/>
          <w:highlight w:val="yellow"/>
          <w:lang w:val="fr-FR"/>
        </w:rPr>
        <w:t>African</w:t>
      </w:r>
      <w:proofErr w:type="spellEnd"/>
      <w:r w:rsidRPr="00E770CD">
        <w:rPr>
          <w:rFonts w:ascii="Arial" w:hAnsi="Arial" w:cs="Arial"/>
          <w:highlight w:val="yellow"/>
          <w:lang w:val="fr-FR"/>
        </w:rPr>
        <w:t xml:space="preserve"> </w:t>
      </w:r>
      <w:proofErr w:type="spellStart"/>
      <w:r w:rsidRPr="00E770CD">
        <w:rPr>
          <w:rFonts w:ascii="Arial" w:hAnsi="Arial" w:cs="Arial"/>
          <w:highlight w:val="yellow"/>
          <w:lang w:val="fr-FR"/>
        </w:rPr>
        <w:t>Medical</w:t>
      </w:r>
      <w:proofErr w:type="spellEnd"/>
      <w:r w:rsidRPr="00E770CD">
        <w:rPr>
          <w:rFonts w:ascii="Arial" w:hAnsi="Arial" w:cs="Arial"/>
          <w:highlight w:val="yellow"/>
          <w:lang w:val="fr-FR"/>
        </w:rPr>
        <w:t xml:space="preserve"> Journal. 2019;32:36. </w:t>
      </w:r>
      <w:r w:rsidRPr="00E770CD">
        <w:rPr>
          <w:rFonts w:ascii="Arial" w:hAnsi="Arial" w:cs="Arial"/>
          <w:highlight w:val="yellow"/>
        </w:rPr>
        <w:t>[</w:t>
      </w:r>
      <w:proofErr w:type="spellStart"/>
      <w:r w:rsidRPr="00E770CD">
        <w:rPr>
          <w:rFonts w:ascii="Arial" w:hAnsi="Arial" w:cs="Arial"/>
          <w:highlight w:val="yellow"/>
        </w:rPr>
        <w:t>doi</w:t>
      </w:r>
      <w:proofErr w:type="spellEnd"/>
      <w:r w:rsidRPr="00E770CD">
        <w:rPr>
          <w:rFonts w:ascii="Arial" w:hAnsi="Arial" w:cs="Arial"/>
          <w:highlight w:val="yellow"/>
        </w:rPr>
        <w:t xml:space="preserve"> : 10.11604/pamj.2019.32.36.15659</w:t>
      </w:r>
      <w:r w:rsidR="00C87DC9">
        <w:rPr>
          <w:rFonts w:ascii="Arial" w:hAnsi="Arial" w:cs="Arial"/>
          <w:highlight w:val="yellow"/>
        </w:rPr>
        <w:t xml:space="preserve"> (</w:t>
      </w:r>
      <w:r w:rsidR="00C87DC9" w:rsidRPr="00C87DC9">
        <w:rPr>
          <w:rFonts w:ascii="Arial" w:hAnsi="Arial" w:cs="Arial"/>
          <w:b/>
          <w:highlight w:val="yellow"/>
        </w:rPr>
        <w:t>French language</w:t>
      </w:r>
      <w:r w:rsidR="00C87DC9">
        <w:rPr>
          <w:rFonts w:ascii="Arial" w:hAnsi="Arial" w:cs="Arial"/>
          <w:highlight w:val="yellow"/>
        </w:rPr>
        <w:t>)</w:t>
      </w:r>
    </w:p>
    <w:p w14:paraId="63A1FDA6" w14:textId="483D6D14" w:rsidR="00FF1AF4" w:rsidRPr="00087C91" w:rsidRDefault="00FF1AF4" w:rsidP="00175173">
      <w:pPr>
        <w:pStyle w:val="ListParagraph"/>
        <w:numPr>
          <w:ilvl w:val="0"/>
          <w:numId w:val="4"/>
        </w:numPr>
        <w:spacing w:line="360" w:lineRule="auto"/>
        <w:jc w:val="both"/>
        <w:rPr>
          <w:rFonts w:ascii="Arial" w:hAnsi="Arial" w:cs="Arial"/>
          <w:highlight w:val="yellow"/>
        </w:rPr>
      </w:pPr>
      <w:proofErr w:type="spellStart"/>
      <w:r w:rsidRPr="00087C91">
        <w:rPr>
          <w:rFonts w:ascii="Arial" w:hAnsi="Arial" w:cs="Arial"/>
          <w:highlight w:val="yellow"/>
        </w:rPr>
        <w:t>Bagulo</w:t>
      </w:r>
      <w:proofErr w:type="spellEnd"/>
      <w:r w:rsidRPr="00087C91">
        <w:rPr>
          <w:rFonts w:ascii="Arial" w:hAnsi="Arial" w:cs="Arial"/>
          <w:highlight w:val="yellow"/>
        </w:rPr>
        <w:t xml:space="preserve"> H, </w:t>
      </w:r>
      <w:proofErr w:type="spellStart"/>
      <w:r w:rsidRPr="00087C91">
        <w:rPr>
          <w:rFonts w:ascii="Arial" w:hAnsi="Arial" w:cs="Arial"/>
          <w:highlight w:val="yellow"/>
        </w:rPr>
        <w:t>Majekodunmi</w:t>
      </w:r>
      <w:proofErr w:type="spellEnd"/>
      <w:r w:rsidRPr="00087C91">
        <w:rPr>
          <w:rFonts w:ascii="Arial" w:hAnsi="Arial" w:cs="Arial"/>
          <w:highlight w:val="yellow"/>
        </w:rPr>
        <w:t xml:space="preserve"> AO, </w:t>
      </w:r>
      <w:proofErr w:type="spellStart"/>
      <w:r w:rsidRPr="00087C91">
        <w:rPr>
          <w:rFonts w:ascii="Arial" w:hAnsi="Arial" w:cs="Arial"/>
          <w:highlight w:val="yellow"/>
        </w:rPr>
        <w:t>Welburn</w:t>
      </w:r>
      <w:proofErr w:type="spellEnd"/>
      <w:r w:rsidRPr="00087C91">
        <w:rPr>
          <w:rFonts w:ascii="Arial" w:hAnsi="Arial" w:cs="Arial"/>
          <w:highlight w:val="yellow"/>
        </w:rPr>
        <w:t xml:space="preserve"> SC. Hepatitis E in Sub Saharan Africa - A significant emerging disease. One Health. 2020 Oct </w:t>
      </w:r>
      <w:proofErr w:type="gramStart"/>
      <w:r w:rsidRPr="00087C91">
        <w:rPr>
          <w:rFonts w:ascii="Arial" w:hAnsi="Arial" w:cs="Arial"/>
          <w:highlight w:val="yellow"/>
        </w:rPr>
        <w:t>20;11:100186</w:t>
      </w:r>
      <w:proofErr w:type="gramEnd"/>
      <w:r w:rsidRPr="00087C91">
        <w:rPr>
          <w:rFonts w:ascii="Arial" w:hAnsi="Arial" w:cs="Arial"/>
          <w:highlight w:val="yellow"/>
        </w:rPr>
        <w:t xml:space="preserve">. </w:t>
      </w:r>
      <w:proofErr w:type="spellStart"/>
      <w:r w:rsidRPr="00087C91">
        <w:rPr>
          <w:rFonts w:ascii="Arial" w:hAnsi="Arial" w:cs="Arial"/>
          <w:highlight w:val="yellow"/>
        </w:rPr>
        <w:t>doi</w:t>
      </w:r>
      <w:proofErr w:type="spellEnd"/>
      <w:r w:rsidRPr="00087C91">
        <w:rPr>
          <w:rFonts w:ascii="Arial" w:hAnsi="Arial" w:cs="Arial"/>
          <w:highlight w:val="yellow"/>
        </w:rPr>
        <w:t xml:space="preserve">: 10.1016/j.onehlt.2020.100186. </w:t>
      </w:r>
    </w:p>
    <w:p w14:paraId="588CC529" w14:textId="653AA24B" w:rsidR="00FF1AF4" w:rsidRPr="00ED3C6D" w:rsidRDefault="00FF1AF4" w:rsidP="00175173">
      <w:pPr>
        <w:pStyle w:val="ListParagraph"/>
        <w:numPr>
          <w:ilvl w:val="0"/>
          <w:numId w:val="4"/>
        </w:numPr>
        <w:spacing w:line="360" w:lineRule="auto"/>
        <w:jc w:val="both"/>
        <w:rPr>
          <w:rFonts w:ascii="Arial" w:hAnsi="Arial" w:cs="Arial"/>
          <w:highlight w:val="yellow"/>
        </w:rPr>
      </w:pPr>
      <w:r w:rsidRPr="00ED3C6D">
        <w:rPr>
          <w:rFonts w:ascii="Arial" w:hAnsi="Arial" w:cs="Arial"/>
          <w:highlight w:val="yellow"/>
        </w:rPr>
        <w:t xml:space="preserve">Council for International Organizations of Medical Sciences (CIOMS). Clinical research in resource-limited settings: Guidance for planning and conducting ethical research. </w:t>
      </w:r>
      <w:r w:rsidR="00B54FDA" w:rsidRPr="00ED3C6D">
        <w:rPr>
          <w:rFonts w:ascii="Arial" w:hAnsi="Arial" w:cs="Arial"/>
          <w:highlight w:val="yellow"/>
        </w:rPr>
        <w:t>[Internet] Geneva</w:t>
      </w:r>
      <w:r w:rsidRPr="00ED3C6D">
        <w:rPr>
          <w:rFonts w:ascii="Arial" w:hAnsi="Arial" w:cs="Arial"/>
          <w:highlight w:val="yellow"/>
        </w:rPr>
        <w:t>: CIOMS;</w:t>
      </w:r>
      <w:r w:rsidR="00002AAF" w:rsidRPr="00ED3C6D">
        <w:rPr>
          <w:rFonts w:ascii="Arial" w:hAnsi="Arial" w:cs="Arial"/>
          <w:highlight w:val="yellow"/>
        </w:rPr>
        <w:t xml:space="preserve"> </w:t>
      </w:r>
      <w:r w:rsidRPr="00ED3C6D">
        <w:rPr>
          <w:rFonts w:ascii="Arial" w:hAnsi="Arial" w:cs="Arial"/>
          <w:highlight w:val="yellow"/>
        </w:rPr>
        <w:t>2021</w:t>
      </w:r>
      <w:r w:rsidR="008549D2" w:rsidRPr="00ED3C6D">
        <w:rPr>
          <w:rFonts w:ascii="Arial" w:hAnsi="Arial" w:cs="Arial"/>
          <w:highlight w:val="yellow"/>
        </w:rPr>
        <w:t xml:space="preserve"> [cited 2025 May 31].</w:t>
      </w:r>
      <w:r w:rsidRPr="00ED3C6D">
        <w:rPr>
          <w:rFonts w:ascii="Arial" w:hAnsi="Arial" w:cs="Arial"/>
          <w:highlight w:val="yellow"/>
        </w:rPr>
        <w:t xml:space="preserve"> Available from: https://cioms.ch/publications/product/clinical-research-in-resource-limited-settings/</w:t>
      </w:r>
    </w:p>
    <w:p w14:paraId="332DC049" w14:textId="6AFA0937" w:rsidR="00FF1AF4" w:rsidRPr="000C1A7C" w:rsidRDefault="00FF1AF4" w:rsidP="00175173">
      <w:pPr>
        <w:pStyle w:val="ListParagraph"/>
        <w:numPr>
          <w:ilvl w:val="0"/>
          <w:numId w:val="4"/>
        </w:numPr>
        <w:spacing w:line="360" w:lineRule="auto"/>
        <w:jc w:val="both"/>
        <w:rPr>
          <w:rFonts w:ascii="Arial" w:hAnsi="Arial" w:cs="Arial"/>
          <w:highlight w:val="yellow"/>
          <w:lang w:val="fr-FR"/>
        </w:rPr>
      </w:pPr>
      <w:proofErr w:type="spellStart"/>
      <w:r w:rsidRPr="000C1A7C">
        <w:rPr>
          <w:rFonts w:ascii="Arial" w:hAnsi="Arial" w:cs="Arial"/>
          <w:highlight w:val="yellow"/>
          <w:lang w:val="fr-FR"/>
        </w:rPr>
        <w:t>Djoudalbaye</w:t>
      </w:r>
      <w:proofErr w:type="spellEnd"/>
      <w:r w:rsidRPr="000C1A7C">
        <w:rPr>
          <w:rFonts w:ascii="Arial" w:hAnsi="Arial" w:cs="Arial"/>
          <w:highlight w:val="yellow"/>
          <w:lang w:val="fr-FR"/>
        </w:rPr>
        <w:t xml:space="preserve"> B, </w:t>
      </w:r>
      <w:proofErr w:type="spellStart"/>
      <w:r w:rsidRPr="000C1A7C">
        <w:rPr>
          <w:rFonts w:ascii="Arial" w:hAnsi="Arial" w:cs="Arial"/>
          <w:highlight w:val="yellow"/>
          <w:lang w:val="fr-FR"/>
        </w:rPr>
        <w:t>Kabanda</w:t>
      </w:r>
      <w:proofErr w:type="spellEnd"/>
      <w:r w:rsidRPr="000C1A7C">
        <w:rPr>
          <w:rFonts w:ascii="Arial" w:hAnsi="Arial" w:cs="Arial"/>
          <w:highlight w:val="yellow"/>
          <w:lang w:val="fr-FR"/>
        </w:rPr>
        <w:t xml:space="preserve"> R, </w:t>
      </w:r>
      <w:proofErr w:type="spellStart"/>
      <w:r w:rsidRPr="000C1A7C">
        <w:rPr>
          <w:rFonts w:ascii="Arial" w:hAnsi="Arial" w:cs="Arial"/>
          <w:highlight w:val="yellow"/>
          <w:lang w:val="fr-FR"/>
        </w:rPr>
        <w:t>Mavuto</w:t>
      </w:r>
      <w:proofErr w:type="spellEnd"/>
      <w:r w:rsidRPr="000C1A7C">
        <w:rPr>
          <w:rFonts w:ascii="Arial" w:hAnsi="Arial" w:cs="Arial"/>
          <w:highlight w:val="yellow"/>
          <w:lang w:val="fr-FR"/>
        </w:rPr>
        <w:t xml:space="preserve"> T, </w:t>
      </w:r>
      <w:proofErr w:type="spellStart"/>
      <w:r w:rsidRPr="000C1A7C">
        <w:rPr>
          <w:rFonts w:ascii="Arial" w:hAnsi="Arial" w:cs="Arial"/>
          <w:highlight w:val="yellow"/>
          <w:lang w:val="fr-FR"/>
        </w:rPr>
        <w:t>Njai</w:t>
      </w:r>
      <w:proofErr w:type="spellEnd"/>
      <w:r w:rsidRPr="000C1A7C">
        <w:rPr>
          <w:rFonts w:ascii="Arial" w:hAnsi="Arial" w:cs="Arial"/>
          <w:highlight w:val="yellow"/>
          <w:lang w:val="fr-FR"/>
        </w:rPr>
        <w:t xml:space="preserve"> M, </w:t>
      </w:r>
      <w:proofErr w:type="spellStart"/>
      <w:r w:rsidRPr="000C1A7C">
        <w:rPr>
          <w:rFonts w:ascii="Arial" w:hAnsi="Arial" w:cs="Arial"/>
          <w:highlight w:val="yellow"/>
          <w:lang w:val="fr-FR"/>
        </w:rPr>
        <w:t>Mhiraf</w:t>
      </w:r>
      <w:proofErr w:type="spellEnd"/>
      <w:r w:rsidRPr="000C1A7C">
        <w:rPr>
          <w:rFonts w:ascii="Arial" w:hAnsi="Arial" w:cs="Arial"/>
          <w:highlight w:val="yellow"/>
          <w:lang w:val="fr-FR"/>
        </w:rPr>
        <w:t xml:space="preserve"> A, </w:t>
      </w:r>
      <w:proofErr w:type="spellStart"/>
      <w:r w:rsidRPr="000C1A7C">
        <w:rPr>
          <w:rFonts w:ascii="Arial" w:hAnsi="Arial" w:cs="Arial"/>
          <w:highlight w:val="yellow"/>
          <w:lang w:val="fr-FR"/>
        </w:rPr>
        <w:t>Gweh</w:t>
      </w:r>
      <w:proofErr w:type="spellEnd"/>
      <w:r w:rsidRPr="000C1A7C">
        <w:rPr>
          <w:rFonts w:ascii="Arial" w:hAnsi="Arial" w:cs="Arial"/>
          <w:highlight w:val="yellow"/>
          <w:lang w:val="fr-FR"/>
        </w:rPr>
        <w:t xml:space="preserve"> GN. </w:t>
      </w:r>
      <w:r w:rsidRPr="000C1A7C">
        <w:rPr>
          <w:rFonts w:ascii="Arial" w:hAnsi="Arial" w:cs="Arial"/>
          <w:highlight w:val="yellow"/>
        </w:rPr>
        <w:t>Conceptualization of the Africa CDC Public Health Risk Communication and Community Engagement Community of Practice for Africa (PH-RCCE-</w:t>
      </w:r>
      <w:proofErr w:type="spellStart"/>
      <w:r w:rsidRPr="000C1A7C">
        <w:rPr>
          <w:rFonts w:ascii="Arial" w:hAnsi="Arial" w:cs="Arial"/>
          <w:highlight w:val="yellow"/>
        </w:rPr>
        <w:t>CoPA</w:t>
      </w:r>
      <w:proofErr w:type="spellEnd"/>
      <w:r w:rsidRPr="000C1A7C">
        <w:rPr>
          <w:rFonts w:ascii="Arial" w:hAnsi="Arial" w:cs="Arial"/>
          <w:highlight w:val="yellow"/>
        </w:rPr>
        <w:t xml:space="preserve">) in 2020: successes and challenges in implementation. Glob Health </w:t>
      </w:r>
      <w:proofErr w:type="spellStart"/>
      <w:r w:rsidRPr="000C1A7C">
        <w:rPr>
          <w:rFonts w:ascii="Arial" w:hAnsi="Arial" w:cs="Arial"/>
          <w:highlight w:val="yellow"/>
        </w:rPr>
        <w:t>Promot</w:t>
      </w:r>
      <w:proofErr w:type="spellEnd"/>
      <w:r w:rsidRPr="000C1A7C">
        <w:rPr>
          <w:rFonts w:ascii="Arial" w:hAnsi="Arial" w:cs="Arial"/>
          <w:highlight w:val="yellow"/>
        </w:rPr>
        <w:t>. 2025</w:t>
      </w:r>
      <w:r w:rsidR="006D7239" w:rsidRPr="000C1A7C">
        <w:rPr>
          <w:rFonts w:ascii="Arial" w:hAnsi="Arial" w:cs="Arial"/>
          <w:highlight w:val="yellow"/>
          <w:lang w:val="fr-FR"/>
        </w:rPr>
        <w:t xml:space="preserve">. </w:t>
      </w:r>
      <w:proofErr w:type="spellStart"/>
      <w:r w:rsidRPr="000C1A7C">
        <w:rPr>
          <w:rFonts w:ascii="Arial" w:hAnsi="Arial" w:cs="Arial"/>
          <w:highlight w:val="yellow"/>
        </w:rPr>
        <w:t>doi</w:t>
      </w:r>
      <w:proofErr w:type="spellEnd"/>
      <w:r w:rsidRPr="000C1A7C">
        <w:rPr>
          <w:rFonts w:ascii="Arial" w:hAnsi="Arial" w:cs="Arial"/>
          <w:highlight w:val="yellow"/>
        </w:rPr>
        <w:t xml:space="preserve">: 10.1177/17579759251320648. </w:t>
      </w:r>
    </w:p>
    <w:p w14:paraId="7D368F60" w14:textId="2CC5FDA9" w:rsidR="00FF1AF4" w:rsidRPr="000C1A7C" w:rsidRDefault="00FF1AF4" w:rsidP="00175173">
      <w:pPr>
        <w:pStyle w:val="ListParagraph"/>
        <w:numPr>
          <w:ilvl w:val="0"/>
          <w:numId w:val="4"/>
        </w:numPr>
        <w:spacing w:line="360" w:lineRule="auto"/>
        <w:jc w:val="both"/>
        <w:rPr>
          <w:rFonts w:ascii="Arial" w:hAnsi="Arial" w:cs="Arial"/>
          <w:highlight w:val="yellow"/>
        </w:rPr>
      </w:pPr>
      <w:proofErr w:type="spellStart"/>
      <w:r w:rsidRPr="000C1A7C">
        <w:rPr>
          <w:rFonts w:ascii="Arial" w:hAnsi="Arial" w:cs="Arial"/>
          <w:highlight w:val="yellow"/>
        </w:rPr>
        <w:t>Gobena</w:t>
      </w:r>
      <w:proofErr w:type="spellEnd"/>
      <w:r w:rsidRPr="000C1A7C">
        <w:rPr>
          <w:rFonts w:ascii="Arial" w:hAnsi="Arial" w:cs="Arial"/>
          <w:highlight w:val="yellow"/>
        </w:rPr>
        <w:t xml:space="preserve"> D, </w:t>
      </w:r>
      <w:proofErr w:type="spellStart"/>
      <w:r w:rsidRPr="000C1A7C">
        <w:rPr>
          <w:rFonts w:ascii="Arial" w:hAnsi="Arial" w:cs="Arial"/>
          <w:highlight w:val="yellow"/>
        </w:rPr>
        <w:t>Gudina</w:t>
      </w:r>
      <w:proofErr w:type="spellEnd"/>
      <w:r w:rsidRPr="000C1A7C">
        <w:rPr>
          <w:rFonts w:ascii="Arial" w:hAnsi="Arial" w:cs="Arial"/>
          <w:highlight w:val="yellow"/>
        </w:rPr>
        <w:t xml:space="preserve"> EK, </w:t>
      </w:r>
      <w:proofErr w:type="spellStart"/>
      <w:r w:rsidRPr="000C1A7C">
        <w:rPr>
          <w:rFonts w:ascii="Arial" w:hAnsi="Arial" w:cs="Arial"/>
          <w:highlight w:val="yellow"/>
        </w:rPr>
        <w:t>Fetensa</w:t>
      </w:r>
      <w:proofErr w:type="spellEnd"/>
      <w:r w:rsidRPr="000C1A7C">
        <w:rPr>
          <w:rFonts w:ascii="Arial" w:hAnsi="Arial" w:cs="Arial"/>
          <w:highlight w:val="yellow"/>
        </w:rPr>
        <w:t xml:space="preserve"> G, </w:t>
      </w:r>
      <w:proofErr w:type="spellStart"/>
      <w:r w:rsidRPr="000C1A7C">
        <w:rPr>
          <w:rFonts w:ascii="Arial" w:hAnsi="Arial" w:cs="Arial"/>
          <w:highlight w:val="yellow"/>
        </w:rPr>
        <w:t>Degfie</w:t>
      </w:r>
      <w:proofErr w:type="spellEnd"/>
      <w:r w:rsidRPr="000C1A7C">
        <w:rPr>
          <w:rFonts w:ascii="Arial" w:hAnsi="Arial" w:cs="Arial"/>
          <w:highlight w:val="yellow"/>
        </w:rPr>
        <w:t xml:space="preserve"> TT, </w:t>
      </w:r>
      <w:proofErr w:type="spellStart"/>
      <w:r w:rsidRPr="000C1A7C">
        <w:rPr>
          <w:rFonts w:ascii="Arial" w:hAnsi="Arial" w:cs="Arial"/>
          <w:highlight w:val="yellow"/>
        </w:rPr>
        <w:t>Debela</w:t>
      </w:r>
      <w:proofErr w:type="spellEnd"/>
      <w:r w:rsidRPr="000C1A7C">
        <w:rPr>
          <w:rFonts w:ascii="Arial" w:hAnsi="Arial" w:cs="Arial"/>
          <w:highlight w:val="yellow"/>
        </w:rPr>
        <w:t xml:space="preserve"> T, </w:t>
      </w:r>
      <w:proofErr w:type="spellStart"/>
      <w:r w:rsidRPr="000C1A7C">
        <w:rPr>
          <w:rFonts w:ascii="Arial" w:hAnsi="Arial" w:cs="Arial"/>
          <w:highlight w:val="yellow"/>
        </w:rPr>
        <w:t>Tamiru</w:t>
      </w:r>
      <w:proofErr w:type="spellEnd"/>
      <w:r w:rsidRPr="000C1A7C">
        <w:rPr>
          <w:rFonts w:ascii="Arial" w:hAnsi="Arial" w:cs="Arial"/>
          <w:highlight w:val="yellow"/>
        </w:rPr>
        <w:t xml:space="preserve"> A. Risk Communication and Community Engagement (RCCE) implementations to control cholera outbreak in Oromia region, Ethiopia. Trop Med Health. 2025 Jan 13;53(1):4. </w:t>
      </w:r>
      <w:proofErr w:type="spellStart"/>
      <w:r w:rsidRPr="000C1A7C">
        <w:rPr>
          <w:rFonts w:ascii="Arial" w:hAnsi="Arial" w:cs="Arial"/>
          <w:highlight w:val="yellow"/>
        </w:rPr>
        <w:t>doi</w:t>
      </w:r>
      <w:proofErr w:type="spellEnd"/>
      <w:r w:rsidRPr="000C1A7C">
        <w:rPr>
          <w:rFonts w:ascii="Arial" w:hAnsi="Arial" w:cs="Arial"/>
          <w:highlight w:val="yellow"/>
        </w:rPr>
        <w:t>: 10.1186/s41182-024-00679-</w:t>
      </w:r>
      <w:r w:rsidR="008549D2" w:rsidRPr="000C1A7C">
        <w:rPr>
          <w:rFonts w:ascii="Arial" w:hAnsi="Arial" w:cs="Arial"/>
          <w:highlight w:val="yellow"/>
        </w:rPr>
        <w:t>0.</w:t>
      </w:r>
    </w:p>
    <w:p w14:paraId="3127546E" w14:textId="77777777" w:rsidR="00FF1AF4" w:rsidRPr="00FF1AF4" w:rsidRDefault="00FF1AF4" w:rsidP="00FF1AF4">
      <w:pPr>
        <w:spacing w:line="360" w:lineRule="auto"/>
        <w:contextualSpacing/>
        <w:jc w:val="both"/>
        <w:rPr>
          <w:rFonts w:ascii="Arial" w:hAnsi="Arial" w:cs="Arial"/>
        </w:rPr>
      </w:pPr>
    </w:p>
    <w:p w14:paraId="20AB3455" w14:textId="4AC3EEB8" w:rsidR="00435E01" w:rsidRPr="007131BC" w:rsidRDefault="00435E01" w:rsidP="00682EA3">
      <w:pPr>
        <w:spacing w:line="360" w:lineRule="auto"/>
        <w:contextualSpacing/>
        <w:jc w:val="both"/>
        <w:rPr>
          <w:rFonts w:ascii="Arial" w:hAnsi="Arial" w:cs="Arial"/>
        </w:rPr>
      </w:pPr>
    </w:p>
    <w:sectPr w:rsidR="00435E01" w:rsidRPr="007131B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6A168" w14:textId="77777777" w:rsidR="00AF2812" w:rsidRDefault="00AF2812" w:rsidP="00B75B6E">
      <w:pPr>
        <w:spacing w:after="0" w:line="240" w:lineRule="auto"/>
      </w:pPr>
      <w:r>
        <w:separator/>
      </w:r>
    </w:p>
  </w:endnote>
  <w:endnote w:type="continuationSeparator" w:id="0">
    <w:p w14:paraId="7F0B3B56" w14:textId="77777777" w:rsidR="00AF2812" w:rsidRDefault="00AF2812" w:rsidP="00B75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Yu Mincho">
    <w:altName w:val="MS Gothic"/>
    <w:charset w:val="80"/>
    <w:family w:val="roman"/>
    <w:pitch w:val="variable"/>
    <w:sig w:usb0="800002E7" w:usb1="2AC7FCFF" w:usb2="00000012" w:usb3="00000000" w:csb0="0002009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17434" w14:textId="77777777" w:rsidR="00B75B6E" w:rsidRDefault="00B75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C0CC0" w14:textId="77777777" w:rsidR="00B75B6E" w:rsidRDefault="00B75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117F7" w14:textId="77777777" w:rsidR="00B75B6E" w:rsidRDefault="00B75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BC1A8" w14:textId="77777777" w:rsidR="00AF2812" w:rsidRDefault="00AF2812" w:rsidP="00B75B6E">
      <w:pPr>
        <w:spacing w:after="0" w:line="240" w:lineRule="auto"/>
      </w:pPr>
      <w:r>
        <w:separator/>
      </w:r>
    </w:p>
  </w:footnote>
  <w:footnote w:type="continuationSeparator" w:id="0">
    <w:p w14:paraId="1CAF0FCA" w14:textId="77777777" w:rsidR="00AF2812" w:rsidRDefault="00AF2812" w:rsidP="00B75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D7586" w14:textId="4B5A8B00" w:rsidR="00B75B6E" w:rsidRDefault="00012AA7">
    <w:pPr>
      <w:pStyle w:val="Header"/>
    </w:pPr>
    <w:r>
      <w:rPr>
        <w:noProof/>
      </w:rPr>
      <w:pict w14:anchorId="779FD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75301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866F5" w14:textId="44B9CD9B" w:rsidR="00B75B6E" w:rsidRDefault="00012AA7">
    <w:pPr>
      <w:pStyle w:val="Header"/>
    </w:pPr>
    <w:r>
      <w:rPr>
        <w:noProof/>
      </w:rPr>
      <w:pict w14:anchorId="2345B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75301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C9211" w14:textId="10BBD847" w:rsidR="00B75B6E" w:rsidRDefault="00012AA7">
    <w:pPr>
      <w:pStyle w:val="Header"/>
    </w:pPr>
    <w:r>
      <w:rPr>
        <w:noProof/>
      </w:rPr>
      <w:pict w14:anchorId="5F385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75301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2700F"/>
    <w:multiLevelType w:val="hybridMultilevel"/>
    <w:tmpl w:val="7F3E0ECC"/>
    <w:lvl w:ilvl="0" w:tplc="2000000F">
      <w:start w:val="1"/>
      <w:numFmt w:val="decimal"/>
      <w:lvlText w:val="%1."/>
      <w:lvlJc w:val="left"/>
      <w:pPr>
        <w:ind w:left="502" w:hanging="360"/>
      </w:pPr>
    </w:lvl>
    <w:lvl w:ilvl="1" w:tplc="10000019" w:tentative="1">
      <w:start w:val="1"/>
      <w:numFmt w:val="lowerLetter"/>
      <w:lvlText w:val="%2."/>
      <w:lvlJc w:val="left"/>
      <w:pPr>
        <w:ind w:left="1222" w:hanging="360"/>
      </w:pPr>
    </w:lvl>
    <w:lvl w:ilvl="2" w:tplc="1000001B" w:tentative="1">
      <w:start w:val="1"/>
      <w:numFmt w:val="lowerRoman"/>
      <w:lvlText w:val="%3."/>
      <w:lvlJc w:val="right"/>
      <w:pPr>
        <w:ind w:left="1942" w:hanging="180"/>
      </w:pPr>
    </w:lvl>
    <w:lvl w:ilvl="3" w:tplc="1000000F" w:tentative="1">
      <w:start w:val="1"/>
      <w:numFmt w:val="decimal"/>
      <w:lvlText w:val="%4."/>
      <w:lvlJc w:val="left"/>
      <w:pPr>
        <w:ind w:left="2662" w:hanging="360"/>
      </w:pPr>
    </w:lvl>
    <w:lvl w:ilvl="4" w:tplc="10000019" w:tentative="1">
      <w:start w:val="1"/>
      <w:numFmt w:val="lowerLetter"/>
      <w:lvlText w:val="%5."/>
      <w:lvlJc w:val="left"/>
      <w:pPr>
        <w:ind w:left="3382" w:hanging="360"/>
      </w:pPr>
    </w:lvl>
    <w:lvl w:ilvl="5" w:tplc="1000001B" w:tentative="1">
      <w:start w:val="1"/>
      <w:numFmt w:val="lowerRoman"/>
      <w:lvlText w:val="%6."/>
      <w:lvlJc w:val="right"/>
      <w:pPr>
        <w:ind w:left="4102" w:hanging="180"/>
      </w:pPr>
    </w:lvl>
    <w:lvl w:ilvl="6" w:tplc="1000000F" w:tentative="1">
      <w:start w:val="1"/>
      <w:numFmt w:val="decimal"/>
      <w:lvlText w:val="%7."/>
      <w:lvlJc w:val="left"/>
      <w:pPr>
        <w:ind w:left="4822" w:hanging="360"/>
      </w:pPr>
    </w:lvl>
    <w:lvl w:ilvl="7" w:tplc="10000019" w:tentative="1">
      <w:start w:val="1"/>
      <w:numFmt w:val="lowerLetter"/>
      <w:lvlText w:val="%8."/>
      <w:lvlJc w:val="left"/>
      <w:pPr>
        <w:ind w:left="5542" w:hanging="360"/>
      </w:pPr>
    </w:lvl>
    <w:lvl w:ilvl="8" w:tplc="1000001B" w:tentative="1">
      <w:start w:val="1"/>
      <w:numFmt w:val="lowerRoman"/>
      <w:lvlText w:val="%9."/>
      <w:lvlJc w:val="right"/>
      <w:pPr>
        <w:ind w:left="6262" w:hanging="180"/>
      </w:pPr>
    </w:lvl>
  </w:abstractNum>
  <w:abstractNum w:abstractNumId="1" w15:restartNumberingAfterBreak="0">
    <w:nsid w:val="4A4D307D"/>
    <w:multiLevelType w:val="hybridMultilevel"/>
    <w:tmpl w:val="3A9E19F2"/>
    <w:lvl w:ilvl="0" w:tplc="2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506E4A83"/>
    <w:multiLevelType w:val="hybridMultilevel"/>
    <w:tmpl w:val="9176C1D0"/>
    <w:lvl w:ilvl="0" w:tplc="2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 w15:restartNumberingAfterBreak="0">
    <w:nsid w:val="62E11EEE"/>
    <w:multiLevelType w:val="multilevel"/>
    <w:tmpl w:val="839C5C7C"/>
    <w:lvl w:ilvl="0">
      <w:start w:val="1"/>
      <w:numFmt w:val="decimal"/>
      <w:lvlText w:val="%1."/>
      <w:lvlJc w:val="left"/>
      <w:pPr>
        <w:tabs>
          <w:tab w:val="num" w:pos="501"/>
        </w:tabs>
        <w:ind w:left="501" w:hanging="360"/>
      </w:p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4" w15:restartNumberingAfterBreak="0">
    <w:nsid w:val="714C3324"/>
    <w:multiLevelType w:val="hybridMultilevel"/>
    <w:tmpl w:val="47028FB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GwsDQxMDI0NTE3NDJU0lEKTi0uzszPAykwqgUAmmjqEywAAAA="/>
  </w:docVars>
  <w:rsids>
    <w:rsidRoot w:val="00435E01"/>
    <w:rsid w:val="0000051D"/>
    <w:rsid w:val="00002AAF"/>
    <w:rsid w:val="0000467C"/>
    <w:rsid w:val="00012AA7"/>
    <w:rsid w:val="00040B47"/>
    <w:rsid w:val="0006081F"/>
    <w:rsid w:val="00065683"/>
    <w:rsid w:val="00070AC7"/>
    <w:rsid w:val="00087C91"/>
    <w:rsid w:val="000906F9"/>
    <w:rsid w:val="000B3AC1"/>
    <w:rsid w:val="000B5E2F"/>
    <w:rsid w:val="000C1A7C"/>
    <w:rsid w:val="000C5449"/>
    <w:rsid w:val="00115BC2"/>
    <w:rsid w:val="00121894"/>
    <w:rsid w:val="001357B6"/>
    <w:rsid w:val="00175173"/>
    <w:rsid w:val="001B7FBA"/>
    <w:rsid w:val="001C2967"/>
    <w:rsid w:val="00213151"/>
    <w:rsid w:val="002345DB"/>
    <w:rsid w:val="002C209A"/>
    <w:rsid w:val="00367378"/>
    <w:rsid w:val="0038484A"/>
    <w:rsid w:val="00387CE1"/>
    <w:rsid w:val="003C69A0"/>
    <w:rsid w:val="00416EBA"/>
    <w:rsid w:val="00435E01"/>
    <w:rsid w:val="00474E9F"/>
    <w:rsid w:val="00492435"/>
    <w:rsid w:val="004B797B"/>
    <w:rsid w:val="004E29A6"/>
    <w:rsid w:val="004F10CA"/>
    <w:rsid w:val="00521285"/>
    <w:rsid w:val="005347AC"/>
    <w:rsid w:val="00563356"/>
    <w:rsid w:val="005A008D"/>
    <w:rsid w:val="00682EA3"/>
    <w:rsid w:val="0069170E"/>
    <w:rsid w:val="006D7239"/>
    <w:rsid w:val="007131BC"/>
    <w:rsid w:val="0074206D"/>
    <w:rsid w:val="008549D2"/>
    <w:rsid w:val="00963788"/>
    <w:rsid w:val="00982F4E"/>
    <w:rsid w:val="009D7CB8"/>
    <w:rsid w:val="00A544B1"/>
    <w:rsid w:val="00AB4670"/>
    <w:rsid w:val="00AE0D85"/>
    <w:rsid w:val="00AF2812"/>
    <w:rsid w:val="00B0568F"/>
    <w:rsid w:val="00B22E69"/>
    <w:rsid w:val="00B54FDA"/>
    <w:rsid w:val="00B56A50"/>
    <w:rsid w:val="00B75B6E"/>
    <w:rsid w:val="00BA3C86"/>
    <w:rsid w:val="00BC4C8A"/>
    <w:rsid w:val="00C21925"/>
    <w:rsid w:val="00C87DC9"/>
    <w:rsid w:val="00CC2076"/>
    <w:rsid w:val="00D651C9"/>
    <w:rsid w:val="00D65569"/>
    <w:rsid w:val="00D91921"/>
    <w:rsid w:val="00DA75D5"/>
    <w:rsid w:val="00DC19CF"/>
    <w:rsid w:val="00E25A79"/>
    <w:rsid w:val="00E6169D"/>
    <w:rsid w:val="00E770CD"/>
    <w:rsid w:val="00EB2071"/>
    <w:rsid w:val="00ED1B38"/>
    <w:rsid w:val="00ED3C6D"/>
    <w:rsid w:val="00EE3A74"/>
    <w:rsid w:val="00F45A60"/>
    <w:rsid w:val="00F5361D"/>
    <w:rsid w:val="00F61063"/>
    <w:rsid w:val="00FC7A13"/>
    <w:rsid w:val="00FF1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CBB0D3"/>
  <w15:docId w15:val="{07BD9156-4E3E-4C57-8067-8DBF4315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E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E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E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E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E01"/>
    <w:rPr>
      <w:rFonts w:eastAsiaTheme="majorEastAsia" w:cstheme="majorBidi"/>
      <w:color w:val="272727" w:themeColor="text1" w:themeTint="D8"/>
    </w:rPr>
  </w:style>
  <w:style w:type="paragraph" w:styleId="Title">
    <w:name w:val="Title"/>
    <w:basedOn w:val="Normal"/>
    <w:next w:val="Normal"/>
    <w:link w:val="TitleChar"/>
    <w:uiPriority w:val="10"/>
    <w:qFormat/>
    <w:rsid w:val="00435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E01"/>
    <w:pPr>
      <w:spacing w:before="160"/>
      <w:jc w:val="center"/>
    </w:pPr>
    <w:rPr>
      <w:i/>
      <w:iCs/>
      <w:color w:val="404040" w:themeColor="text1" w:themeTint="BF"/>
    </w:rPr>
  </w:style>
  <w:style w:type="character" w:customStyle="1" w:styleId="QuoteChar">
    <w:name w:val="Quote Char"/>
    <w:basedOn w:val="DefaultParagraphFont"/>
    <w:link w:val="Quote"/>
    <w:uiPriority w:val="29"/>
    <w:rsid w:val="00435E01"/>
    <w:rPr>
      <w:i/>
      <w:iCs/>
      <w:color w:val="404040" w:themeColor="text1" w:themeTint="BF"/>
    </w:rPr>
  </w:style>
  <w:style w:type="paragraph" w:styleId="ListParagraph">
    <w:name w:val="List Paragraph"/>
    <w:basedOn w:val="Normal"/>
    <w:uiPriority w:val="34"/>
    <w:qFormat/>
    <w:rsid w:val="00435E01"/>
    <w:pPr>
      <w:ind w:left="720"/>
      <w:contextualSpacing/>
    </w:pPr>
  </w:style>
  <w:style w:type="character" w:styleId="IntenseEmphasis">
    <w:name w:val="Intense Emphasis"/>
    <w:basedOn w:val="DefaultParagraphFont"/>
    <w:uiPriority w:val="21"/>
    <w:qFormat/>
    <w:rsid w:val="00435E01"/>
    <w:rPr>
      <w:i/>
      <w:iCs/>
      <w:color w:val="0F4761" w:themeColor="accent1" w:themeShade="BF"/>
    </w:rPr>
  </w:style>
  <w:style w:type="paragraph" w:styleId="IntenseQuote">
    <w:name w:val="Intense Quote"/>
    <w:basedOn w:val="Normal"/>
    <w:next w:val="Normal"/>
    <w:link w:val="IntenseQuoteChar"/>
    <w:uiPriority w:val="30"/>
    <w:qFormat/>
    <w:rsid w:val="00435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E01"/>
    <w:rPr>
      <w:i/>
      <w:iCs/>
      <w:color w:val="0F4761" w:themeColor="accent1" w:themeShade="BF"/>
    </w:rPr>
  </w:style>
  <w:style w:type="character" w:styleId="IntenseReference">
    <w:name w:val="Intense Reference"/>
    <w:basedOn w:val="DefaultParagraphFont"/>
    <w:uiPriority w:val="32"/>
    <w:qFormat/>
    <w:rsid w:val="00435E01"/>
    <w:rPr>
      <w:b/>
      <w:bCs/>
      <w:smallCaps/>
      <w:color w:val="0F4761" w:themeColor="accent1" w:themeShade="BF"/>
      <w:spacing w:val="5"/>
    </w:rPr>
  </w:style>
  <w:style w:type="character" w:styleId="Hyperlink">
    <w:name w:val="Hyperlink"/>
    <w:basedOn w:val="DefaultParagraphFont"/>
    <w:uiPriority w:val="99"/>
    <w:unhideWhenUsed/>
    <w:rsid w:val="00F5361D"/>
    <w:rPr>
      <w:color w:val="467886" w:themeColor="hyperlink"/>
      <w:u w:val="single"/>
    </w:rPr>
  </w:style>
  <w:style w:type="character" w:customStyle="1" w:styleId="UnresolvedMention1">
    <w:name w:val="Unresolved Mention1"/>
    <w:basedOn w:val="DefaultParagraphFont"/>
    <w:uiPriority w:val="99"/>
    <w:semiHidden/>
    <w:unhideWhenUsed/>
    <w:rsid w:val="00F5361D"/>
    <w:rPr>
      <w:color w:val="605E5C"/>
      <w:shd w:val="clear" w:color="auto" w:fill="E1DFDD"/>
    </w:rPr>
  </w:style>
  <w:style w:type="paragraph" w:styleId="Header">
    <w:name w:val="header"/>
    <w:basedOn w:val="Normal"/>
    <w:link w:val="HeaderChar"/>
    <w:uiPriority w:val="99"/>
    <w:unhideWhenUsed/>
    <w:rsid w:val="00B75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B6E"/>
  </w:style>
  <w:style w:type="paragraph" w:styleId="Footer">
    <w:name w:val="footer"/>
    <w:basedOn w:val="Normal"/>
    <w:link w:val="FooterChar"/>
    <w:uiPriority w:val="99"/>
    <w:unhideWhenUsed/>
    <w:rsid w:val="00B75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B6E"/>
  </w:style>
  <w:style w:type="paragraph" w:styleId="Bibliography">
    <w:name w:val="Bibliography"/>
    <w:basedOn w:val="Normal"/>
    <w:next w:val="Normal"/>
    <w:uiPriority w:val="37"/>
    <w:unhideWhenUsed/>
    <w:rsid w:val="00682EA3"/>
  </w:style>
  <w:style w:type="table" w:styleId="TableGrid">
    <w:name w:val="Table Grid"/>
    <w:basedOn w:val="TableNormal"/>
    <w:uiPriority w:val="59"/>
    <w:rsid w:val="00B0568F"/>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5010">
      <w:bodyDiv w:val="1"/>
      <w:marLeft w:val="0"/>
      <w:marRight w:val="0"/>
      <w:marTop w:val="0"/>
      <w:marBottom w:val="0"/>
      <w:divBdr>
        <w:top w:val="none" w:sz="0" w:space="0" w:color="auto"/>
        <w:left w:val="none" w:sz="0" w:space="0" w:color="auto"/>
        <w:bottom w:val="none" w:sz="0" w:space="0" w:color="auto"/>
        <w:right w:val="none" w:sz="0" w:space="0" w:color="auto"/>
      </w:divBdr>
    </w:div>
    <w:div w:id="89351367">
      <w:bodyDiv w:val="1"/>
      <w:marLeft w:val="0"/>
      <w:marRight w:val="0"/>
      <w:marTop w:val="0"/>
      <w:marBottom w:val="0"/>
      <w:divBdr>
        <w:top w:val="none" w:sz="0" w:space="0" w:color="auto"/>
        <w:left w:val="none" w:sz="0" w:space="0" w:color="auto"/>
        <w:bottom w:val="none" w:sz="0" w:space="0" w:color="auto"/>
        <w:right w:val="none" w:sz="0" w:space="0" w:color="auto"/>
      </w:divBdr>
    </w:div>
    <w:div w:id="183713308">
      <w:bodyDiv w:val="1"/>
      <w:marLeft w:val="0"/>
      <w:marRight w:val="0"/>
      <w:marTop w:val="0"/>
      <w:marBottom w:val="0"/>
      <w:divBdr>
        <w:top w:val="none" w:sz="0" w:space="0" w:color="auto"/>
        <w:left w:val="none" w:sz="0" w:space="0" w:color="auto"/>
        <w:bottom w:val="none" w:sz="0" w:space="0" w:color="auto"/>
        <w:right w:val="none" w:sz="0" w:space="0" w:color="auto"/>
      </w:divBdr>
    </w:div>
    <w:div w:id="193470221">
      <w:bodyDiv w:val="1"/>
      <w:marLeft w:val="0"/>
      <w:marRight w:val="0"/>
      <w:marTop w:val="0"/>
      <w:marBottom w:val="0"/>
      <w:divBdr>
        <w:top w:val="none" w:sz="0" w:space="0" w:color="auto"/>
        <w:left w:val="none" w:sz="0" w:space="0" w:color="auto"/>
        <w:bottom w:val="none" w:sz="0" w:space="0" w:color="auto"/>
        <w:right w:val="none" w:sz="0" w:space="0" w:color="auto"/>
      </w:divBdr>
    </w:div>
    <w:div w:id="207183960">
      <w:bodyDiv w:val="1"/>
      <w:marLeft w:val="0"/>
      <w:marRight w:val="0"/>
      <w:marTop w:val="0"/>
      <w:marBottom w:val="0"/>
      <w:divBdr>
        <w:top w:val="none" w:sz="0" w:space="0" w:color="auto"/>
        <w:left w:val="none" w:sz="0" w:space="0" w:color="auto"/>
        <w:bottom w:val="none" w:sz="0" w:space="0" w:color="auto"/>
        <w:right w:val="none" w:sz="0" w:space="0" w:color="auto"/>
      </w:divBdr>
    </w:div>
    <w:div w:id="239021208">
      <w:bodyDiv w:val="1"/>
      <w:marLeft w:val="0"/>
      <w:marRight w:val="0"/>
      <w:marTop w:val="0"/>
      <w:marBottom w:val="0"/>
      <w:divBdr>
        <w:top w:val="none" w:sz="0" w:space="0" w:color="auto"/>
        <w:left w:val="none" w:sz="0" w:space="0" w:color="auto"/>
        <w:bottom w:val="none" w:sz="0" w:space="0" w:color="auto"/>
        <w:right w:val="none" w:sz="0" w:space="0" w:color="auto"/>
      </w:divBdr>
    </w:div>
    <w:div w:id="259870710">
      <w:bodyDiv w:val="1"/>
      <w:marLeft w:val="0"/>
      <w:marRight w:val="0"/>
      <w:marTop w:val="0"/>
      <w:marBottom w:val="0"/>
      <w:divBdr>
        <w:top w:val="none" w:sz="0" w:space="0" w:color="auto"/>
        <w:left w:val="none" w:sz="0" w:space="0" w:color="auto"/>
        <w:bottom w:val="none" w:sz="0" w:space="0" w:color="auto"/>
        <w:right w:val="none" w:sz="0" w:space="0" w:color="auto"/>
      </w:divBdr>
    </w:div>
    <w:div w:id="297999988">
      <w:bodyDiv w:val="1"/>
      <w:marLeft w:val="0"/>
      <w:marRight w:val="0"/>
      <w:marTop w:val="0"/>
      <w:marBottom w:val="0"/>
      <w:divBdr>
        <w:top w:val="none" w:sz="0" w:space="0" w:color="auto"/>
        <w:left w:val="none" w:sz="0" w:space="0" w:color="auto"/>
        <w:bottom w:val="none" w:sz="0" w:space="0" w:color="auto"/>
        <w:right w:val="none" w:sz="0" w:space="0" w:color="auto"/>
      </w:divBdr>
    </w:div>
    <w:div w:id="321399526">
      <w:bodyDiv w:val="1"/>
      <w:marLeft w:val="0"/>
      <w:marRight w:val="0"/>
      <w:marTop w:val="0"/>
      <w:marBottom w:val="0"/>
      <w:divBdr>
        <w:top w:val="none" w:sz="0" w:space="0" w:color="auto"/>
        <w:left w:val="none" w:sz="0" w:space="0" w:color="auto"/>
        <w:bottom w:val="none" w:sz="0" w:space="0" w:color="auto"/>
        <w:right w:val="none" w:sz="0" w:space="0" w:color="auto"/>
      </w:divBdr>
    </w:div>
    <w:div w:id="322512901">
      <w:bodyDiv w:val="1"/>
      <w:marLeft w:val="0"/>
      <w:marRight w:val="0"/>
      <w:marTop w:val="0"/>
      <w:marBottom w:val="0"/>
      <w:divBdr>
        <w:top w:val="none" w:sz="0" w:space="0" w:color="auto"/>
        <w:left w:val="none" w:sz="0" w:space="0" w:color="auto"/>
        <w:bottom w:val="none" w:sz="0" w:space="0" w:color="auto"/>
        <w:right w:val="none" w:sz="0" w:space="0" w:color="auto"/>
      </w:divBdr>
    </w:div>
    <w:div w:id="332076977">
      <w:bodyDiv w:val="1"/>
      <w:marLeft w:val="0"/>
      <w:marRight w:val="0"/>
      <w:marTop w:val="0"/>
      <w:marBottom w:val="0"/>
      <w:divBdr>
        <w:top w:val="none" w:sz="0" w:space="0" w:color="auto"/>
        <w:left w:val="none" w:sz="0" w:space="0" w:color="auto"/>
        <w:bottom w:val="none" w:sz="0" w:space="0" w:color="auto"/>
        <w:right w:val="none" w:sz="0" w:space="0" w:color="auto"/>
      </w:divBdr>
    </w:div>
    <w:div w:id="341779730">
      <w:bodyDiv w:val="1"/>
      <w:marLeft w:val="0"/>
      <w:marRight w:val="0"/>
      <w:marTop w:val="0"/>
      <w:marBottom w:val="0"/>
      <w:divBdr>
        <w:top w:val="none" w:sz="0" w:space="0" w:color="auto"/>
        <w:left w:val="none" w:sz="0" w:space="0" w:color="auto"/>
        <w:bottom w:val="none" w:sz="0" w:space="0" w:color="auto"/>
        <w:right w:val="none" w:sz="0" w:space="0" w:color="auto"/>
      </w:divBdr>
    </w:div>
    <w:div w:id="346178837">
      <w:bodyDiv w:val="1"/>
      <w:marLeft w:val="0"/>
      <w:marRight w:val="0"/>
      <w:marTop w:val="0"/>
      <w:marBottom w:val="0"/>
      <w:divBdr>
        <w:top w:val="none" w:sz="0" w:space="0" w:color="auto"/>
        <w:left w:val="none" w:sz="0" w:space="0" w:color="auto"/>
        <w:bottom w:val="none" w:sz="0" w:space="0" w:color="auto"/>
        <w:right w:val="none" w:sz="0" w:space="0" w:color="auto"/>
      </w:divBdr>
    </w:div>
    <w:div w:id="370615816">
      <w:bodyDiv w:val="1"/>
      <w:marLeft w:val="0"/>
      <w:marRight w:val="0"/>
      <w:marTop w:val="0"/>
      <w:marBottom w:val="0"/>
      <w:divBdr>
        <w:top w:val="none" w:sz="0" w:space="0" w:color="auto"/>
        <w:left w:val="none" w:sz="0" w:space="0" w:color="auto"/>
        <w:bottom w:val="none" w:sz="0" w:space="0" w:color="auto"/>
        <w:right w:val="none" w:sz="0" w:space="0" w:color="auto"/>
      </w:divBdr>
    </w:div>
    <w:div w:id="418450740">
      <w:bodyDiv w:val="1"/>
      <w:marLeft w:val="0"/>
      <w:marRight w:val="0"/>
      <w:marTop w:val="0"/>
      <w:marBottom w:val="0"/>
      <w:divBdr>
        <w:top w:val="none" w:sz="0" w:space="0" w:color="auto"/>
        <w:left w:val="none" w:sz="0" w:space="0" w:color="auto"/>
        <w:bottom w:val="none" w:sz="0" w:space="0" w:color="auto"/>
        <w:right w:val="none" w:sz="0" w:space="0" w:color="auto"/>
      </w:divBdr>
    </w:div>
    <w:div w:id="466901435">
      <w:bodyDiv w:val="1"/>
      <w:marLeft w:val="0"/>
      <w:marRight w:val="0"/>
      <w:marTop w:val="0"/>
      <w:marBottom w:val="0"/>
      <w:divBdr>
        <w:top w:val="none" w:sz="0" w:space="0" w:color="auto"/>
        <w:left w:val="none" w:sz="0" w:space="0" w:color="auto"/>
        <w:bottom w:val="none" w:sz="0" w:space="0" w:color="auto"/>
        <w:right w:val="none" w:sz="0" w:space="0" w:color="auto"/>
      </w:divBdr>
    </w:div>
    <w:div w:id="509413164">
      <w:bodyDiv w:val="1"/>
      <w:marLeft w:val="0"/>
      <w:marRight w:val="0"/>
      <w:marTop w:val="0"/>
      <w:marBottom w:val="0"/>
      <w:divBdr>
        <w:top w:val="none" w:sz="0" w:space="0" w:color="auto"/>
        <w:left w:val="none" w:sz="0" w:space="0" w:color="auto"/>
        <w:bottom w:val="none" w:sz="0" w:space="0" w:color="auto"/>
        <w:right w:val="none" w:sz="0" w:space="0" w:color="auto"/>
      </w:divBdr>
    </w:div>
    <w:div w:id="633869508">
      <w:bodyDiv w:val="1"/>
      <w:marLeft w:val="0"/>
      <w:marRight w:val="0"/>
      <w:marTop w:val="0"/>
      <w:marBottom w:val="0"/>
      <w:divBdr>
        <w:top w:val="none" w:sz="0" w:space="0" w:color="auto"/>
        <w:left w:val="none" w:sz="0" w:space="0" w:color="auto"/>
        <w:bottom w:val="none" w:sz="0" w:space="0" w:color="auto"/>
        <w:right w:val="none" w:sz="0" w:space="0" w:color="auto"/>
      </w:divBdr>
    </w:div>
    <w:div w:id="694233667">
      <w:bodyDiv w:val="1"/>
      <w:marLeft w:val="0"/>
      <w:marRight w:val="0"/>
      <w:marTop w:val="0"/>
      <w:marBottom w:val="0"/>
      <w:divBdr>
        <w:top w:val="none" w:sz="0" w:space="0" w:color="auto"/>
        <w:left w:val="none" w:sz="0" w:space="0" w:color="auto"/>
        <w:bottom w:val="none" w:sz="0" w:space="0" w:color="auto"/>
        <w:right w:val="none" w:sz="0" w:space="0" w:color="auto"/>
      </w:divBdr>
    </w:div>
    <w:div w:id="720448230">
      <w:bodyDiv w:val="1"/>
      <w:marLeft w:val="0"/>
      <w:marRight w:val="0"/>
      <w:marTop w:val="0"/>
      <w:marBottom w:val="0"/>
      <w:divBdr>
        <w:top w:val="none" w:sz="0" w:space="0" w:color="auto"/>
        <w:left w:val="none" w:sz="0" w:space="0" w:color="auto"/>
        <w:bottom w:val="none" w:sz="0" w:space="0" w:color="auto"/>
        <w:right w:val="none" w:sz="0" w:space="0" w:color="auto"/>
      </w:divBdr>
    </w:div>
    <w:div w:id="745953303">
      <w:bodyDiv w:val="1"/>
      <w:marLeft w:val="0"/>
      <w:marRight w:val="0"/>
      <w:marTop w:val="0"/>
      <w:marBottom w:val="0"/>
      <w:divBdr>
        <w:top w:val="none" w:sz="0" w:space="0" w:color="auto"/>
        <w:left w:val="none" w:sz="0" w:space="0" w:color="auto"/>
        <w:bottom w:val="none" w:sz="0" w:space="0" w:color="auto"/>
        <w:right w:val="none" w:sz="0" w:space="0" w:color="auto"/>
      </w:divBdr>
    </w:div>
    <w:div w:id="773748408">
      <w:bodyDiv w:val="1"/>
      <w:marLeft w:val="0"/>
      <w:marRight w:val="0"/>
      <w:marTop w:val="0"/>
      <w:marBottom w:val="0"/>
      <w:divBdr>
        <w:top w:val="none" w:sz="0" w:space="0" w:color="auto"/>
        <w:left w:val="none" w:sz="0" w:space="0" w:color="auto"/>
        <w:bottom w:val="none" w:sz="0" w:space="0" w:color="auto"/>
        <w:right w:val="none" w:sz="0" w:space="0" w:color="auto"/>
      </w:divBdr>
    </w:div>
    <w:div w:id="779179470">
      <w:bodyDiv w:val="1"/>
      <w:marLeft w:val="0"/>
      <w:marRight w:val="0"/>
      <w:marTop w:val="0"/>
      <w:marBottom w:val="0"/>
      <w:divBdr>
        <w:top w:val="none" w:sz="0" w:space="0" w:color="auto"/>
        <w:left w:val="none" w:sz="0" w:space="0" w:color="auto"/>
        <w:bottom w:val="none" w:sz="0" w:space="0" w:color="auto"/>
        <w:right w:val="none" w:sz="0" w:space="0" w:color="auto"/>
      </w:divBdr>
    </w:div>
    <w:div w:id="782652820">
      <w:bodyDiv w:val="1"/>
      <w:marLeft w:val="0"/>
      <w:marRight w:val="0"/>
      <w:marTop w:val="0"/>
      <w:marBottom w:val="0"/>
      <w:divBdr>
        <w:top w:val="none" w:sz="0" w:space="0" w:color="auto"/>
        <w:left w:val="none" w:sz="0" w:space="0" w:color="auto"/>
        <w:bottom w:val="none" w:sz="0" w:space="0" w:color="auto"/>
        <w:right w:val="none" w:sz="0" w:space="0" w:color="auto"/>
      </w:divBdr>
    </w:div>
    <w:div w:id="786967174">
      <w:bodyDiv w:val="1"/>
      <w:marLeft w:val="0"/>
      <w:marRight w:val="0"/>
      <w:marTop w:val="0"/>
      <w:marBottom w:val="0"/>
      <w:divBdr>
        <w:top w:val="none" w:sz="0" w:space="0" w:color="auto"/>
        <w:left w:val="none" w:sz="0" w:space="0" w:color="auto"/>
        <w:bottom w:val="none" w:sz="0" w:space="0" w:color="auto"/>
        <w:right w:val="none" w:sz="0" w:space="0" w:color="auto"/>
      </w:divBdr>
    </w:div>
    <w:div w:id="792864167">
      <w:bodyDiv w:val="1"/>
      <w:marLeft w:val="0"/>
      <w:marRight w:val="0"/>
      <w:marTop w:val="0"/>
      <w:marBottom w:val="0"/>
      <w:divBdr>
        <w:top w:val="none" w:sz="0" w:space="0" w:color="auto"/>
        <w:left w:val="none" w:sz="0" w:space="0" w:color="auto"/>
        <w:bottom w:val="none" w:sz="0" w:space="0" w:color="auto"/>
        <w:right w:val="none" w:sz="0" w:space="0" w:color="auto"/>
      </w:divBdr>
    </w:div>
    <w:div w:id="847519344">
      <w:bodyDiv w:val="1"/>
      <w:marLeft w:val="0"/>
      <w:marRight w:val="0"/>
      <w:marTop w:val="0"/>
      <w:marBottom w:val="0"/>
      <w:divBdr>
        <w:top w:val="none" w:sz="0" w:space="0" w:color="auto"/>
        <w:left w:val="none" w:sz="0" w:space="0" w:color="auto"/>
        <w:bottom w:val="none" w:sz="0" w:space="0" w:color="auto"/>
        <w:right w:val="none" w:sz="0" w:space="0" w:color="auto"/>
      </w:divBdr>
    </w:div>
    <w:div w:id="886798924">
      <w:bodyDiv w:val="1"/>
      <w:marLeft w:val="0"/>
      <w:marRight w:val="0"/>
      <w:marTop w:val="0"/>
      <w:marBottom w:val="0"/>
      <w:divBdr>
        <w:top w:val="none" w:sz="0" w:space="0" w:color="auto"/>
        <w:left w:val="none" w:sz="0" w:space="0" w:color="auto"/>
        <w:bottom w:val="none" w:sz="0" w:space="0" w:color="auto"/>
        <w:right w:val="none" w:sz="0" w:space="0" w:color="auto"/>
      </w:divBdr>
    </w:div>
    <w:div w:id="917787644">
      <w:bodyDiv w:val="1"/>
      <w:marLeft w:val="0"/>
      <w:marRight w:val="0"/>
      <w:marTop w:val="0"/>
      <w:marBottom w:val="0"/>
      <w:divBdr>
        <w:top w:val="none" w:sz="0" w:space="0" w:color="auto"/>
        <w:left w:val="none" w:sz="0" w:space="0" w:color="auto"/>
        <w:bottom w:val="none" w:sz="0" w:space="0" w:color="auto"/>
        <w:right w:val="none" w:sz="0" w:space="0" w:color="auto"/>
      </w:divBdr>
    </w:div>
    <w:div w:id="1000237995">
      <w:bodyDiv w:val="1"/>
      <w:marLeft w:val="0"/>
      <w:marRight w:val="0"/>
      <w:marTop w:val="0"/>
      <w:marBottom w:val="0"/>
      <w:divBdr>
        <w:top w:val="none" w:sz="0" w:space="0" w:color="auto"/>
        <w:left w:val="none" w:sz="0" w:space="0" w:color="auto"/>
        <w:bottom w:val="none" w:sz="0" w:space="0" w:color="auto"/>
        <w:right w:val="none" w:sz="0" w:space="0" w:color="auto"/>
      </w:divBdr>
    </w:div>
    <w:div w:id="1026179260">
      <w:bodyDiv w:val="1"/>
      <w:marLeft w:val="0"/>
      <w:marRight w:val="0"/>
      <w:marTop w:val="0"/>
      <w:marBottom w:val="0"/>
      <w:divBdr>
        <w:top w:val="none" w:sz="0" w:space="0" w:color="auto"/>
        <w:left w:val="none" w:sz="0" w:space="0" w:color="auto"/>
        <w:bottom w:val="none" w:sz="0" w:space="0" w:color="auto"/>
        <w:right w:val="none" w:sz="0" w:space="0" w:color="auto"/>
      </w:divBdr>
    </w:div>
    <w:div w:id="1078985974">
      <w:bodyDiv w:val="1"/>
      <w:marLeft w:val="0"/>
      <w:marRight w:val="0"/>
      <w:marTop w:val="0"/>
      <w:marBottom w:val="0"/>
      <w:divBdr>
        <w:top w:val="none" w:sz="0" w:space="0" w:color="auto"/>
        <w:left w:val="none" w:sz="0" w:space="0" w:color="auto"/>
        <w:bottom w:val="none" w:sz="0" w:space="0" w:color="auto"/>
        <w:right w:val="none" w:sz="0" w:space="0" w:color="auto"/>
      </w:divBdr>
    </w:div>
    <w:div w:id="1094131832">
      <w:bodyDiv w:val="1"/>
      <w:marLeft w:val="0"/>
      <w:marRight w:val="0"/>
      <w:marTop w:val="0"/>
      <w:marBottom w:val="0"/>
      <w:divBdr>
        <w:top w:val="none" w:sz="0" w:space="0" w:color="auto"/>
        <w:left w:val="none" w:sz="0" w:space="0" w:color="auto"/>
        <w:bottom w:val="none" w:sz="0" w:space="0" w:color="auto"/>
        <w:right w:val="none" w:sz="0" w:space="0" w:color="auto"/>
      </w:divBdr>
    </w:div>
    <w:div w:id="1123353569">
      <w:bodyDiv w:val="1"/>
      <w:marLeft w:val="0"/>
      <w:marRight w:val="0"/>
      <w:marTop w:val="0"/>
      <w:marBottom w:val="0"/>
      <w:divBdr>
        <w:top w:val="none" w:sz="0" w:space="0" w:color="auto"/>
        <w:left w:val="none" w:sz="0" w:space="0" w:color="auto"/>
        <w:bottom w:val="none" w:sz="0" w:space="0" w:color="auto"/>
        <w:right w:val="none" w:sz="0" w:space="0" w:color="auto"/>
      </w:divBdr>
    </w:div>
    <w:div w:id="1174495492">
      <w:bodyDiv w:val="1"/>
      <w:marLeft w:val="0"/>
      <w:marRight w:val="0"/>
      <w:marTop w:val="0"/>
      <w:marBottom w:val="0"/>
      <w:divBdr>
        <w:top w:val="none" w:sz="0" w:space="0" w:color="auto"/>
        <w:left w:val="none" w:sz="0" w:space="0" w:color="auto"/>
        <w:bottom w:val="none" w:sz="0" w:space="0" w:color="auto"/>
        <w:right w:val="none" w:sz="0" w:space="0" w:color="auto"/>
      </w:divBdr>
    </w:div>
    <w:div w:id="1184058349">
      <w:bodyDiv w:val="1"/>
      <w:marLeft w:val="0"/>
      <w:marRight w:val="0"/>
      <w:marTop w:val="0"/>
      <w:marBottom w:val="0"/>
      <w:divBdr>
        <w:top w:val="none" w:sz="0" w:space="0" w:color="auto"/>
        <w:left w:val="none" w:sz="0" w:space="0" w:color="auto"/>
        <w:bottom w:val="none" w:sz="0" w:space="0" w:color="auto"/>
        <w:right w:val="none" w:sz="0" w:space="0" w:color="auto"/>
      </w:divBdr>
    </w:div>
    <w:div w:id="1215199315">
      <w:bodyDiv w:val="1"/>
      <w:marLeft w:val="0"/>
      <w:marRight w:val="0"/>
      <w:marTop w:val="0"/>
      <w:marBottom w:val="0"/>
      <w:divBdr>
        <w:top w:val="none" w:sz="0" w:space="0" w:color="auto"/>
        <w:left w:val="none" w:sz="0" w:space="0" w:color="auto"/>
        <w:bottom w:val="none" w:sz="0" w:space="0" w:color="auto"/>
        <w:right w:val="none" w:sz="0" w:space="0" w:color="auto"/>
      </w:divBdr>
    </w:div>
    <w:div w:id="1218469974">
      <w:bodyDiv w:val="1"/>
      <w:marLeft w:val="0"/>
      <w:marRight w:val="0"/>
      <w:marTop w:val="0"/>
      <w:marBottom w:val="0"/>
      <w:divBdr>
        <w:top w:val="none" w:sz="0" w:space="0" w:color="auto"/>
        <w:left w:val="none" w:sz="0" w:space="0" w:color="auto"/>
        <w:bottom w:val="none" w:sz="0" w:space="0" w:color="auto"/>
        <w:right w:val="none" w:sz="0" w:space="0" w:color="auto"/>
      </w:divBdr>
    </w:div>
    <w:div w:id="1272398112">
      <w:bodyDiv w:val="1"/>
      <w:marLeft w:val="0"/>
      <w:marRight w:val="0"/>
      <w:marTop w:val="0"/>
      <w:marBottom w:val="0"/>
      <w:divBdr>
        <w:top w:val="none" w:sz="0" w:space="0" w:color="auto"/>
        <w:left w:val="none" w:sz="0" w:space="0" w:color="auto"/>
        <w:bottom w:val="none" w:sz="0" w:space="0" w:color="auto"/>
        <w:right w:val="none" w:sz="0" w:space="0" w:color="auto"/>
      </w:divBdr>
    </w:div>
    <w:div w:id="1304240699">
      <w:bodyDiv w:val="1"/>
      <w:marLeft w:val="0"/>
      <w:marRight w:val="0"/>
      <w:marTop w:val="0"/>
      <w:marBottom w:val="0"/>
      <w:divBdr>
        <w:top w:val="none" w:sz="0" w:space="0" w:color="auto"/>
        <w:left w:val="none" w:sz="0" w:space="0" w:color="auto"/>
        <w:bottom w:val="none" w:sz="0" w:space="0" w:color="auto"/>
        <w:right w:val="none" w:sz="0" w:space="0" w:color="auto"/>
      </w:divBdr>
    </w:div>
    <w:div w:id="1334995488">
      <w:bodyDiv w:val="1"/>
      <w:marLeft w:val="0"/>
      <w:marRight w:val="0"/>
      <w:marTop w:val="0"/>
      <w:marBottom w:val="0"/>
      <w:divBdr>
        <w:top w:val="none" w:sz="0" w:space="0" w:color="auto"/>
        <w:left w:val="none" w:sz="0" w:space="0" w:color="auto"/>
        <w:bottom w:val="none" w:sz="0" w:space="0" w:color="auto"/>
        <w:right w:val="none" w:sz="0" w:space="0" w:color="auto"/>
      </w:divBdr>
    </w:div>
    <w:div w:id="1352412090">
      <w:bodyDiv w:val="1"/>
      <w:marLeft w:val="0"/>
      <w:marRight w:val="0"/>
      <w:marTop w:val="0"/>
      <w:marBottom w:val="0"/>
      <w:divBdr>
        <w:top w:val="none" w:sz="0" w:space="0" w:color="auto"/>
        <w:left w:val="none" w:sz="0" w:space="0" w:color="auto"/>
        <w:bottom w:val="none" w:sz="0" w:space="0" w:color="auto"/>
        <w:right w:val="none" w:sz="0" w:space="0" w:color="auto"/>
      </w:divBdr>
    </w:div>
    <w:div w:id="1361394584">
      <w:bodyDiv w:val="1"/>
      <w:marLeft w:val="0"/>
      <w:marRight w:val="0"/>
      <w:marTop w:val="0"/>
      <w:marBottom w:val="0"/>
      <w:divBdr>
        <w:top w:val="none" w:sz="0" w:space="0" w:color="auto"/>
        <w:left w:val="none" w:sz="0" w:space="0" w:color="auto"/>
        <w:bottom w:val="none" w:sz="0" w:space="0" w:color="auto"/>
        <w:right w:val="none" w:sz="0" w:space="0" w:color="auto"/>
      </w:divBdr>
    </w:div>
    <w:div w:id="1371226595">
      <w:bodyDiv w:val="1"/>
      <w:marLeft w:val="0"/>
      <w:marRight w:val="0"/>
      <w:marTop w:val="0"/>
      <w:marBottom w:val="0"/>
      <w:divBdr>
        <w:top w:val="none" w:sz="0" w:space="0" w:color="auto"/>
        <w:left w:val="none" w:sz="0" w:space="0" w:color="auto"/>
        <w:bottom w:val="none" w:sz="0" w:space="0" w:color="auto"/>
        <w:right w:val="none" w:sz="0" w:space="0" w:color="auto"/>
      </w:divBdr>
    </w:div>
    <w:div w:id="1375814587">
      <w:bodyDiv w:val="1"/>
      <w:marLeft w:val="0"/>
      <w:marRight w:val="0"/>
      <w:marTop w:val="0"/>
      <w:marBottom w:val="0"/>
      <w:divBdr>
        <w:top w:val="none" w:sz="0" w:space="0" w:color="auto"/>
        <w:left w:val="none" w:sz="0" w:space="0" w:color="auto"/>
        <w:bottom w:val="none" w:sz="0" w:space="0" w:color="auto"/>
        <w:right w:val="none" w:sz="0" w:space="0" w:color="auto"/>
      </w:divBdr>
    </w:div>
    <w:div w:id="1390961221">
      <w:bodyDiv w:val="1"/>
      <w:marLeft w:val="0"/>
      <w:marRight w:val="0"/>
      <w:marTop w:val="0"/>
      <w:marBottom w:val="0"/>
      <w:divBdr>
        <w:top w:val="none" w:sz="0" w:space="0" w:color="auto"/>
        <w:left w:val="none" w:sz="0" w:space="0" w:color="auto"/>
        <w:bottom w:val="none" w:sz="0" w:space="0" w:color="auto"/>
        <w:right w:val="none" w:sz="0" w:space="0" w:color="auto"/>
      </w:divBdr>
    </w:div>
    <w:div w:id="1399671108">
      <w:bodyDiv w:val="1"/>
      <w:marLeft w:val="0"/>
      <w:marRight w:val="0"/>
      <w:marTop w:val="0"/>
      <w:marBottom w:val="0"/>
      <w:divBdr>
        <w:top w:val="none" w:sz="0" w:space="0" w:color="auto"/>
        <w:left w:val="none" w:sz="0" w:space="0" w:color="auto"/>
        <w:bottom w:val="none" w:sz="0" w:space="0" w:color="auto"/>
        <w:right w:val="none" w:sz="0" w:space="0" w:color="auto"/>
      </w:divBdr>
    </w:div>
    <w:div w:id="1413351403">
      <w:bodyDiv w:val="1"/>
      <w:marLeft w:val="0"/>
      <w:marRight w:val="0"/>
      <w:marTop w:val="0"/>
      <w:marBottom w:val="0"/>
      <w:divBdr>
        <w:top w:val="none" w:sz="0" w:space="0" w:color="auto"/>
        <w:left w:val="none" w:sz="0" w:space="0" w:color="auto"/>
        <w:bottom w:val="none" w:sz="0" w:space="0" w:color="auto"/>
        <w:right w:val="none" w:sz="0" w:space="0" w:color="auto"/>
      </w:divBdr>
    </w:div>
    <w:div w:id="1459180756">
      <w:bodyDiv w:val="1"/>
      <w:marLeft w:val="0"/>
      <w:marRight w:val="0"/>
      <w:marTop w:val="0"/>
      <w:marBottom w:val="0"/>
      <w:divBdr>
        <w:top w:val="none" w:sz="0" w:space="0" w:color="auto"/>
        <w:left w:val="none" w:sz="0" w:space="0" w:color="auto"/>
        <w:bottom w:val="none" w:sz="0" w:space="0" w:color="auto"/>
        <w:right w:val="none" w:sz="0" w:space="0" w:color="auto"/>
      </w:divBdr>
    </w:div>
    <w:div w:id="1482652229">
      <w:bodyDiv w:val="1"/>
      <w:marLeft w:val="0"/>
      <w:marRight w:val="0"/>
      <w:marTop w:val="0"/>
      <w:marBottom w:val="0"/>
      <w:divBdr>
        <w:top w:val="none" w:sz="0" w:space="0" w:color="auto"/>
        <w:left w:val="none" w:sz="0" w:space="0" w:color="auto"/>
        <w:bottom w:val="none" w:sz="0" w:space="0" w:color="auto"/>
        <w:right w:val="none" w:sz="0" w:space="0" w:color="auto"/>
      </w:divBdr>
    </w:div>
    <w:div w:id="1503352324">
      <w:bodyDiv w:val="1"/>
      <w:marLeft w:val="0"/>
      <w:marRight w:val="0"/>
      <w:marTop w:val="0"/>
      <w:marBottom w:val="0"/>
      <w:divBdr>
        <w:top w:val="none" w:sz="0" w:space="0" w:color="auto"/>
        <w:left w:val="none" w:sz="0" w:space="0" w:color="auto"/>
        <w:bottom w:val="none" w:sz="0" w:space="0" w:color="auto"/>
        <w:right w:val="none" w:sz="0" w:space="0" w:color="auto"/>
      </w:divBdr>
    </w:div>
    <w:div w:id="1520923935">
      <w:bodyDiv w:val="1"/>
      <w:marLeft w:val="0"/>
      <w:marRight w:val="0"/>
      <w:marTop w:val="0"/>
      <w:marBottom w:val="0"/>
      <w:divBdr>
        <w:top w:val="none" w:sz="0" w:space="0" w:color="auto"/>
        <w:left w:val="none" w:sz="0" w:space="0" w:color="auto"/>
        <w:bottom w:val="none" w:sz="0" w:space="0" w:color="auto"/>
        <w:right w:val="none" w:sz="0" w:space="0" w:color="auto"/>
      </w:divBdr>
    </w:div>
    <w:div w:id="1545024364">
      <w:bodyDiv w:val="1"/>
      <w:marLeft w:val="0"/>
      <w:marRight w:val="0"/>
      <w:marTop w:val="0"/>
      <w:marBottom w:val="0"/>
      <w:divBdr>
        <w:top w:val="none" w:sz="0" w:space="0" w:color="auto"/>
        <w:left w:val="none" w:sz="0" w:space="0" w:color="auto"/>
        <w:bottom w:val="none" w:sz="0" w:space="0" w:color="auto"/>
        <w:right w:val="none" w:sz="0" w:space="0" w:color="auto"/>
      </w:divBdr>
    </w:div>
    <w:div w:id="1569224427">
      <w:bodyDiv w:val="1"/>
      <w:marLeft w:val="0"/>
      <w:marRight w:val="0"/>
      <w:marTop w:val="0"/>
      <w:marBottom w:val="0"/>
      <w:divBdr>
        <w:top w:val="none" w:sz="0" w:space="0" w:color="auto"/>
        <w:left w:val="none" w:sz="0" w:space="0" w:color="auto"/>
        <w:bottom w:val="none" w:sz="0" w:space="0" w:color="auto"/>
        <w:right w:val="none" w:sz="0" w:space="0" w:color="auto"/>
      </w:divBdr>
    </w:div>
    <w:div w:id="1623686583">
      <w:bodyDiv w:val="1"/>
      <w:marLeft w:val="0"/>
      <w:marRight w:val="0"/>
      <w:marTop w:val="0"/>
      <w:marBottom w:val="0"/>
      <w:divBdr>
        <w:top w:val="none" w:sz="0" w:space="0" w:color="auto"/>
        <w:left w:val="none" w:sz="0" w:space="0" w:color="auto"/>
        <w:bottom w:val="none" w:sz="0" w:space="0" w:color="auto"/>
        <w:right w:val="none" w:sz="0" w:space="0" w:color="auto"/>
      </w:divBdr>
    </w:div>
    <w:div w:id="1626812725">
      <w:bodyDiv w:val="1"/>
      <w:marLeft w:val="0"/>
      <w:marRight w:val="0"/>
      <w:marTop w:val="0"/>
      <w:marBottom w:val="0"/>
      <w:divBdr>
        <w:top w:val="none" w:sz="0" w:space="0" w:color="auto"/>
        <w:left w:val="none" w:sz="0" w:space="0" w:color="auto"/>
        <w:bottom w:val="none" w:sz="0" w:space="0" w:color="auto"/>
        <w:right w:val="none" w:sz="0" w:space="0" w:color="auto"/>
      </w:divBdr>
    </w:div>
    <w:div w:id="1661692455">
      <w:bodyDiv w:val="1"/>
      <w:marLeft w:val="0"/>
      <w:marRight w:val="0"/>
      <w:marTop w:val="0"/>
      <w:marBottom w:val="0"/>
      <w:divBdr>
        <w:top w:val="none" w:sz="0" w:space="0" w:color="auto"/>
        <w:left w:val="none" w:sz="0" w:space="0" w:color="auto"/>
        <w:bottom w:val="none" w:sz="0" w:space="0" w:color="auto"/>
        <w:right w:val="none" w:sz="0" w:space="0" w:color="auto"/>
      </w:divBdr>
    </w:div>
    <w:div w:id="1676153650">
      <w:bodyDiv w:val="1"/>
      <w:marLeft w:val="0"/>
      <w:marRight w:val="0"/>
      <w:marTop w:val="0"/>
      <w:marBottom w:val="0"/>
      <w:divBdr>
        <w:top w:val="none" w:sz="0" w:space="0" w:color="auto"/>
        <w:left w:val="none" w:sz="0" w:space="0" w:color="auto"/>
        <w:bottom w:val="none" w:sz="0" w:space="0" w:color="auto"/>
        <w:right w:val="none" w:sz="0" w:space="0" w:color="auto"/>
      </w:divBdr>
    </w:div>
    <w:div w:id="1678651779">
      <w:bodyDiv w:val="1"/>
      <w:marLeft w:val="0"/>
      <w:marRight w:val="0"/>
      <w:marTop w:val="0"/>
      <w:marBottom w:val="0"/>
      <w:divBdr>
        <w:top w:val="none" w:sz="0" w:space="0" w:color="auto"/>
        <w:left w:val="none" w:sz="0" w:space="0" w:color="auto"/>
        <w:bottom w:val="none" w:sz="0" w:space="0" w:color="auto"/>
        <w:right w:val="none" w:sz="0" w:space="0" w:color="auto"/>
      </w:divBdr>
    </w:div>
    <w:div w:id="1809200859">
      <w:bodyDiv w:val="1"/>
      <w:marLeft w:val="0"/>
      <w:marRight w:val="0"/>
      <w:marTop w:val="0"/>
      <w:marBottom w:val="0"/>
      <w:divBdr>
        <w:top w:val="none" w:sz="0" w:space="0" w:color="auto"/>
        <w:left w:val="none" w:sz="0" w:space="0" w:color="auto"/>
        <w:bottom w:val="none" w:sz="0" w:space="0" w:color="auto"/>
        <w:right w:val="none" w:sz="0" w:space="0" w:color="auto"/>
      </w:divBdr>
    </w:div>
    <w:div w:id="1809401117">
      <w:bodyDiv w:val="1"/>
      <w:marLeft w:val="0"/>
      <w:marRight w:val="0"/>
      <w:marTop w:val="0"/>
      <w:marBottom w:val="0"/>
      <w:divBdr>
        <w:top w:val="none" w:sz="0" w:space="0" w:color="auto"/>
        <w:left w:val="none" w:sz="0" w:space="0" w:color="auto"/>
        <w:bottom w:val="none" w:sz="0" w:space="0" w:color="auto"/>
        <w:right w:val="none" w:sz="0" w:space="0" w:color="auto"/>
      </w:divBdr>
    </w:div>
    <w:div w:id="1868256921">
      <w:bodyDiv w:val="1"/>
      <w:marLeft w:val="0"/>
      <w:marRight w:val="0"/>
      <w:marTop w:val="0"/>
      <w:marBottom w:val="0"/>
      <w:divBdr>
        <w:top w:val="none" w:sz="0" w:space="0" w:color="auto"/>
        <w:left w:val="none" w:sz="0" w:space="0" w:color="auto"/>
        <w:bottom w:val="none" w:sz="0" w:space="0" w:color="auto"/>
        <w:right w:val="none" w:sz="0" w:space="0" w:color="auto"/>
      </w:divBdr>
    </w:div>
    <w:div w:id="1890728273">
      <w:bodyDiv w:val="1"/>
      <w:marLeft w:val="0"/>
      <w:marRight w:val="0"/>
      <w:marTop w:val="0"/>
      <w:marBottom w:val="0"/>
      <w:divBdr>
        <w:top w:val="none" w:sz="0" w:space="0" w:color="auto"/>
        <w:left w:val="none" w:sz="0" w:space="0" w:color="auto"/>
        <w:bottom w:val="none" w:sz="0" w:space="0" w:color="auto"/>
        <w:right w:val="none" w:sz="0" w:space="0" w:color="auto"/>
      </w:divBdr>
    </w:div>
    <w:div w:id="1898005389">
      <w:bodyDiv w:val="1"/>
      <w:marLeft w:val="0"/>
      <w:marRight w:val="0"/>
      <w:marTop w:val="0"/>
      <w:marBottom w:val="0"/>
      <w:divBdr>
        <w:top w:val="none" w:sz="0" w:space="0" w:color="auto"/>
        <w:left w:val="none" w:sz="0" w:space="0" w:color="auto"/>
        <w:bottom w:val="none" w:sz="0" w:space="0" w:color="auto"/>
        <w:right w:val="none" w:sz="0" w:space="0" w:color="auto"/>
      </w:divBdr>
    </w:div>
    <w:div w:id="1898396615">
      <w:bodyDiv w:val="1"/>
      <w:marLeft w:val="0"/>
      <w:marRight w:val="0"/>
      <w:marTop w:val="0"/>
      <w:marBottom w:val="0"/>
      <w:divBdr>
        <w:top w:val="none" w:sz="0" w:space="0" w:color="auto"/>
        <w:left w:val="none" w:sz="0" w:space="0" w:color="auto"/>
        <w:bottom w:val="none" w:sz="0" w:space="0" w:color="auto"/>
        <w:right w:val="none" w:sz="0" w:space="0" w:color="auto"/>
      </w:divBdr>
    </w:div>
    <w:div w:id="1926379846">
      <w:bodyDiv w:val="1"/>
      <w:marLeft w:val="0"/>
      <w:marRight w:val="0"/>
      <w:marTop w:val="0"/>
      <w:marBottom w:val="0"/>
      <w:divBdr>
        <w:top w:val="none" w:sz="0" w:space="0" w:color="auto"/>
        <w:left w:val="none" w:sz="0" w:space="0" w:color="auto"/>
        <w:bottom w:val="none" w:sz="0" w:space="0" w:color="auto"/>
        <w:right w:val="none" w:sz="0" w:space="0" w:color="auto"/>
      </w:divBdr>
    </w:div>
    <w:div w:id="1962222242">
      <w:bodyDiv w:val="1"/>
      <w:marLeft w:val="0"/>
      <w:marRight w:val="0"/>
      <w:marTop w:val="0"/>
      <w:marBottom w:val="0"/>
      <w:divBdr>
        <w:top w:val="none" w:sz="0" w:space="0" w:color="auto"/>
        <w:left w:val="none" w:sz="0" w:space="0" w:color="auto"/>
        <w:bottom w:val="none" w:sz="0" w:space="0" w:color="auto"/>
        <w:right w:val="none" w:sz="0" w:space="0" w:color="auto"/>
      </w:divBdr>
    </w:div>
    <w:div w:id="1970935933">
      <w:bodyDiv w:val="1"/>
      <w:marLeft w:val="0"/>
      <w:marRight w:val="0"/>
      <w:marTop w:val="0"/>
      <w:marBottom w:val="0"/>
      <w:divBdr>
        <w:top w:val="none" w:sz="0" w:space="0" w:color="auto"/>
        <w:left w:val="none" w:sz="0" w:space="0" w:color="auto"/>
        <w:bottom w:val="none" w:sz="0" w:space="0" w:color="auto"/>
        <w:right w:val="none" w:sz="0" w:space="0" w:color="auto"/>
      </w:divBdr>
    </w:div>
    <w:div w:id="2013335726">
      <w:bodyDiv w:val="1"/>
      <w:marLeft w:val="0"/>
      <w:marRight w:val="0"/>
      <w:marTop w:val="0"/>
      <w:marBottom w:val="0"/>
      <w:divBdr>
        <w:top w:val="none" w:sz="0" w:space="0" w:color="auto"/>
        <w:left w:val="none" w:sz="0" w:space="0" w:color="auto"/>
        <w:bottom w:val="none" w:sz="0" w:space="0" w:color="auto"/>
        <w:right w:val="none" w:sz="0" w:space="0" w:color="auto"/>
      </w:divBdr>
    </w:div>
    <w:div w:id="2035225530">
      <w:bodyDiv w:val="1"/>
      <w:marLeft w:val="0"/>
      <w:marRight w:val="0"/>
      <w:marTop w:val="0"/>
      <w:marBottom w:val="0"/>
      <w:divBdr>
        <w:top w:val="none" w:sz="0" w:space="0" w:color="auto"/>
        <w:left w:val="none" w:sz="0" w:space="0" w:color="auto"/>
        <w:bottom w:val="none" w:sz="0" w:space="0" w:color="auto"/>
        <w:right w:val="none" w:sz="0" w:space="0" w:color="auto"/>
      </w:divBdr>
    </w:div>
    <w:div w:id="2096315380">
      <w:bodyDiv w:val="1"/>
      <w:marLeft w:val="0"/>
      <w:marRight w:val="0"/>
      <w:marTop w:val="0"/>
      <w:marBottom w:val="0"/>
      <w:divBdr>
        <w:top w:val="none" w:sz="0" w:space="0" w:color="auto"/>
        <w:left w:val="none" w:sz="0" w:space="0" w:color="auto"/>
        <w:bottom w:val="none" w:sz="0" w:space="0" w:color="auto"/>
        <w:right w:val="none" w:sz="0" w:space="0" w:color="auto"/>
      </w:divBdr>
    </w:div>
    <w:div w:id="2115708080">
      <w:bodyDiv w:val="1"/>
      <w:marLeft w:val="0"/>
      <w:marRight w:val="0"/>
      <w:marTop w:val="0"/>
      <w:marBottom w:val="0"/>
      <w:divBdr>
        <w:top w:val="none" w:sz="0" w:space="0" w:color="auto"/>
        <w:left w:val="none" w:sz="0" w:space="0" w:color="auto"/>
        <w:bottom w:val="none" w:sz="0" w:space="0" w:color="auto"/>
        <w:right w:val="none" w:sz="0" w:space="0" w:color="auto"/>
      </w:divBdr>
    </w:div>
    <w:div w:id="212665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éférence numérique" Version="1987">
  <b:Source>
    <b:Tag>San</b:Tag>
    <b:SourceType>ArticleInAPeriodical</b:SourceType>
    <b:Guid>{1F0907CA-D84B-431F-958F-668881A83099}</b:Guid>
    <b:Author>
      <b:Author>
        <b:NameList>
          <b:Person>
            <b:Last>Sandhu GS</b:Last>
          </b:Person>
        </b:NameList>
      </b:Author>
    </b:Author>
    <b:RefOrder>1</b:RefOrder>
  </b:Source>
  <b:Source>
    <b:Tag>Kar</b:Tag>
    <b:SourceType>ArticleInAPeriodical</b:SourceType>
    <b:Guid>{57890818-13BA-488C-BDCF-842A81CD2F05}</b:Guid>
    <b:Author>
      <b:Author>
        <b:NameList>
          <b:Person>
            <b:Last>Karnsakul W</b:Last>
            <b:First>Ingviya</b:First>
          </b:Person>
        </b:NameList>
      </b:Author>
    </b:Author>
    <b:RefOrder>2</b:RefOrder>
  </b:Source>
  <b:Source>
    <b:Tag>INS1</b:Tag>
    <b:SourceType>ArticleInAPeriodical</b:SourceType>
    <b:Guid>{B543A37B-74AB-489A-805F-660E85ADBFF4}</b:Guid>
    <b:Author>
      <b:Author>
        <b:NameList>
          <b:Person>
            <b:Last>SMART</b:Last>
            <b:First>INS.</b:First>
            <b:Middle>Enquête</b:Middle>
          </b:Person>
        </b:NameList>
      </b:Author>
    </b:Author>
    <b:RefOrder>3</b:RefOrder>
  </b:Source>
  <b:Source>
    <b:Tag>Pra</b:Tag>
    <b:SourceType>ArticleInAPeriodical</b:SourceType>
    <b:Guid>{FB9F33FA-7526-4BF1-9A04-F03BB0CB3955}</b:Guid>
    <b:Author>
      <b:Author>
        <b:NameList>
          <b:Person>
            <b:Last>Zinc</b:Last>
            <b:First>Prasad</b:First>
            <b:Middle>AS.</b:Middle>
          </b:Person>
        </b:NameList>
      </b:Author>
    </b:Author>
    <b:RefOrder>4</b:RefOrder>
  </b:Source>
  <b:Source>
    <b:Tag>Cho</b:Tag>
    <b:SourceType>ArticleInAPeriodical</b:SourceType>
    <b:Guid>{6FF23F72-B73D-47E8-B39F-5149B79CFB7B}</b:Guid>
    <b:Author>
      <b:Author>
        <b:NameList>
          <b:Person>
            <b:Last>Chorus I</b:Last>
            <b:First>Bartram</b:First>
            <b:Middle>J (eds).</b:Middle>
          </b:Person>
        </b:NameList>
      </b:Author>
    </b:Author>
    <b:RefOrder>5</b:RefOrder>
  </b:Source>
  <b:Source>
    <b:Tag>Oka</b:Tag>
    <b:SourceType>ArticleInAPeriodical</b:SourceType>
    <b:Guid>{F98C06C4-BBBA-464F-A458-35E2788F5FA6}</b:Guid>
    <b:Author>
      <b:Author>
        <b:NameList>
          <b:Person>
            <b:Last>Okaiyeto</b:Last>
            <b:First>K.</b:First>
          </b:Person>
          <b:Person>
            <b:Last>Oguntibeju</b:Last>
          </b:Person>
        </b:NameList>
      </b:Author>
    </b:Author>
    <b:RefOrder>7</b:RefOrder>
  </b:Source>
  <b:Source>
    <b:Tag>Als</b:Tag>
    <b:SourceType>ArticleInAPeriodical</b:SourceType>
    <b:Guid>{1741750B-B139-454A-8349-F74EA58B3F7D}</b:Guid>
    <b:Author>
      <b:Author>
        <b:NameList>
          <b:Person>
            <b:Last>Alshuwaykh O</b:Last>
            <b:First>Cheung</b:First>
            <b:Middle>A,</b:Middle>
          </b:Person>
        </b:NameList>
      </b:Author>
    </b:Author>
    <b:RefOrder>8</b:RefOrder>
  </b:Source>
  <b:Source>
    <b:Tag>UNI2</b:Tag>
    <b:SourceType>ArticleInAPeriodical</b:SourceType>
    <b:Guid>{312A03C1-07F8-49A9-BC97-26DC9A249DA6}</b:Guid>
    <b:Author>
      <b:Author>
        <b:NameList>
          <b:Person>
            <b:Last>Nigeria</b:Last>
            <b:First>UNICEF.</b:First>
          </b:Person>
        </b:NameList>
      </b:Author>
    </b:Author>
    <b:RefOrder>9</b:RefOrder>
  </b:Source>
  <b:Source>
    <b:Tag>Ate</b:Tag>
    <b:SourceType>ArticleInAPeriodical</b:SourceType>
    <b:Guid>{7094C752-214C-4BC1-BE76-8160D0629522}</b:Guid>
    <b:Author>
      <b:Author>
        <b:NameList>
          <b:Person>
            <b:Last>Ateudjieu J</b:Last>
            <b:First>Siewe</b:First>
            <b:Middle>Fodjo</b:Middle>
          </b:Person>
        </b:NameList>
      </b:Author>
    </b:Author>
    <b:RefOrder>10</b:RefOrder>
  </b:Source>
  <b:Source>
    <b:Tag>Nus</b:Tag>
    <b:SourceType>ArticleInAPeriodical</b:SourceType>
    <b:Guid>{07E34171-E2D9-4803-B658-A9E2830EC027}</b:Guid>
    <b:Author>
      <b:Author>
        <b:NameList>
          <b:Person>
            <b:Last>al</b:Last>
            <b:First>Nusirat</b:First>
            <b:Middle>Elelu et</b:Middle>
          </b:Person>
        </b:NameList>
      </b:Author>
    </b:Author>
    <b:RefOrder>11</b:RefOrder>
  </b:Source>
  <b:Source>
    <b:Tag>Bag</b:Tag>
    <b:SourceType>ArticleInAPeriodical</b:SourceType>
    <b:Guid>{DFFE3CC5-725B-480F-BC40-7A435E33E571}</b:Guid>
    <b:Author>
      <b:Author>
        <b:NameList>
          <b:Person>
            <b:Last>Bagulo H</b:Last>
            <b:First>Majekodunmi</b:First>
            <b:Middle>AO, Welburn SC</b:Middle>
          </b:Person>
        </b:NameList>
      </b:Author>
    </b:Author>
    <b:RefOrder>12</b:RefOrder>
  </b:Source>
  <b:Source>
    <b:Tag>Cou</b:Tag>
    <b:SourceType>ArticleInAPeriodical</b:SourceType>
    <b:Guid>{213CADFC-B48D-437C-B080-5C2091A0E228}</b:Guid>
    <b:Author>
      <b:Author>
        <b:NameList>
          <b:Person>
            <b:Last>Organizations</b:Last>
            <b:First>Council</b:First>
            <b:Middle>for International</b:Middle>
          </b:Person>
        </b:NameList>
      </b:Author>
    </b:Author>
    <b:RefOrder>13</b:RefOrder>
  </b:Source>
  <b:Source>
    <b:Tag>Djo</b:Tag>
    <b:SourceType>ArticleInAPeriodical</b:SourceType>
    <b:Guid>{EB5922A3-5882-4190-9BD8-321BB7AA4A15}</b:Guid>
    <b:Author>
      <b:Author>
        <b:NameList>
          <b:Person>
            <b:Last>Djoudalbaye B</b:Last>
            <b:First>Kabanda</b:First>
            <b:Middle>R, Mavuto</b:Middle>
          </b:Person>
        </b:NameList>
      </b:Author>
    </b:Author>
    <b:RefOrder>14</b:RefOrder>
  </b:Source>
  <b:Source>
    <b:Tag>Gob</b:Tag>
    <b:SourceType>ArticleInAPeriodical</b:SourceType>
    <b:Guid>{D7B0EE8F-B4C3-4199-A06F-F058D02AE0A0}</b:Guid>
    <b:Author>
      <b:Author>
        <b:NameList>
          <b:Person>
            <b:Last>Gobena D</b:Last>
            <b:First>Gudina</b:First>
            <b:Middle>EK</b:Middle>
          </b:Person>
        </b:NameList>
      </b:Author>
    </b:Author>
    <b:RefOrder>15</b:RefOrder>
  </b:Source>
  <b:Source>
    <b:Tag>Sto1</b:Tag>
    <b:SourceType>ArticleInAPeriodical</b:SourceType>
    <b:Guid>{89A1291A-1ED8-40A6-81F1-BF5EF1616992}</b:Guid>
    <b:Author>
      <b:Author>
        <b:NameList>
          <b:Person>
            <b:Last>Stournaras E</b:Last>
            <b:First>Tziomalos</b:First>
            <b:Middle>K</b:Middle>
          </b:Person>
        </b:NameList>
      </b:Author>
    </b:Author>
    <b:RefOrder>6</b:RefOrder>
  </b:Source>
  <b:Source>
    <b:Tag>Gos</b:Tag>
    <b:SourceType>ArticleInAPeriodical</b:SourceType>
    <b:Guid>{4C5C2CF2-0A17-4B4B-BFB7-C8AC9996A2C4}</b:Guid>
    <b:RefOrder>16</b:RefOrder>
  </b:Source>
</b:Sources>
</file>

<file path=customXml/itemProps1.xml><?xml version="1.0" encoding="utf-8"?>
<ds:datastoreItem xmlns:ds="http://schemas.openxmlformats.org/officeDocument/2006/customXml" ds:itemID="{A10ACFB6-0395-4606-B75B-49BA8D228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1936</Words>
  <Characters>11038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Alkassoum Ibrahim Salifou</dc:creator>
  <cp:keywords/>
  <dc:description/>
  <cp:lastModifiedBy>SDI PC New 16</cp:lastModifiedBy>
  <cp:revision>20</cp:revision>
  <dcterms:created xsi:type="dcterms:W3CDTF">2025-06-16T19:07:00Z</dcterms:created>
  <dcterms:modified xsi:type="dcterms:W3CDTF">2025-06-21T07:52:00Z</dcterms:modified>
</cp:coreProperties>
</file>