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D939F" w14:textId="77777777" w:rsidR="008D3C32" w:rsidRDefault="008D3C32" w:rsidP="008D3C32">
      <w:pPr>
        <w:spacing w:line="480" w:lineRule="auto"/>
        <w:jc w:val="center"/>
        <w:rPr>
          <w:rFonts w:ascii="Times New Roman" w:hAnsi="Times New Roman" w:cs="Times New Roman"/>
          <w:sz w:val="24"/>
          <w:szCs w:val="24"/>
        </w:rPr>
      </w:pPr>
    </w:p>
    <w:p w14:paraId="3B450C0F" w14:textId="77777777" w:rsidR="008D3C32" w:rsidRDefault="008D3C32" w:rsidP="008D3C32">
      <w:pPr>
        <w:spacing w:line="480" w:lineRule="auto"/>
        <w:jc w:val="both"/>
        <w:rPr>
          <w:rFonts w:ascii="Times New Roman" w:hAnsi="Times New Roman" w:cs="Times New Roman"/>
          <w:sz w:val="24"/>
          <w:szCs w:val="24"/>
          <w:lang w:val="en-US"/>
        </w:rPr>
      </w:pPr>
    </w:p>
    <w:p w14:paraId="271EABF1" w14:textId="77777777" w:rsidR="0048601F" w:rsidRDefault="0048601F" w:rsidP="008D3C32">
      <w:pPr>
        <w:spacing w:line="480" w:lineRule="auto"/>
        <w:jc w:val="center"/>
        <w:rPr>
          <w:rFonts w:ascii="Times New Roman" w:eastAsia="Calibri" w:hAnsi="Times New Roman" w:cs="Times New Roman"/>
          <w:b/>
          <w:bCs/>
        </w:rPr>
      </w:pPr>
    </w:p>
    <w:p w14:paraId="5EB716B0" w14:textId="77777777" w:rsidR="0048601F" w:rsidRDefault="0048601F" w:rsidP="008D3C32">
      <w:pPr>
        <w:spacing w:line="480" w:lineRule="auto"/>
        <w:jc w:val="center"/>
        <w:rPr>
          <w:rFonts w:ascii="Times New Roman" w:eastAsia="Calibri" w:hAnsi="Times New Roman" w:cs="Times New Roman"/>
          <w:b/>
          <w:bCs/>
        </w:rPr>
      </w:pPr>
    </w:p>
    <w:p w14:paraId="30EE4B7C" w14:textId="77777777" w:rsidR="008D3C32" w:rsidRPr="00F162DB" w:rsidRDefault="008D3C32" w:rsidP="008D3C32">
      <w:pPr>
        <w:spacing w:line="480" w:lineRule="auto"/>
        <w:jc w:val="center"/>
        <w:rPr>
          <w:rFonts w:ascii="Times New Roman" w:hAnsi="Times New Roman" w:cs="Times New Roman"/>
          <w:b/>
          <w:bCs/>
          <w:lang w:val="en-US"/>
        </w:rPr>
      </w:pPr>
      <w:r w:rsidRPr="00F162DB">
        <w:rPr>
          <w:rFonts w:ascii="Times New Roman" w:eastAsia="Calibri" w:hAnsi="Times New Roman" w:cs="Times New Roman"/>
          <w:b/>
          <w:bCs/>
        </w:rPr>
        <w:t xml:space="preserve">KNOWLEDGE, ATTITUDE AND PRACTICE OF FOOD SAFETY AND </w:t>
      </w:r>
      <w:r w:rsidR="0048601F">
        <w:rPr>
          <w:rFonts w:ascii="Times New Roman" w:eastAsia="Calibri" w:hAnsi="Times New Roman" w:cs="Times New Roman"/>
          <w:b/>
          <w:bCs/>
        </w:rPr>
        <w:t xml:space="preserve">HYGIENE AMONG UNDERGRADUATES AT </w:t>
      </w:r>
      <w:r w:rsidRPr="00F162DB">
        <w:rPr>
          <w:rFonts w:ascii="Times New Roman" w:eastAsia="Calibri" w:hAnsi="Times New Roman" w:cs="Times New Roman"/>
          <w:b/>
          <w:bCs/>
        </w:rPr>
        <w:t>THE UNI</w:t>
      </w:r>
      <w:r>
        <w:rPr>
          <w:rFonts w:ascii="Times New Roman" w:eastAsia="Calibri" w:hAnsi="Times New Roman" w:cs="Times New Roman"/>
          <w:b/>
          <w:bCs/>
        </w:rPr>
        <w:t>VERSITY OF NIGERIA, ENUGU</w:t>
      </w:r>
    </w:p>
    <w:p w14:paraId="40D29CF4" w14:textId="77777777" w:rsidR="008D3C32" w:rsidRPr="00F162DB" w:rsidRDefault="008D3C32" w:rsidP="008D3C32">
      <w:pPr>
        <w:spacing w:line="480" w:lineRule="auto"/>
        <w:rPr>
          <w:rFonts w:ascii="Times New Roman" w:hAnsi="Times New Roman" w:cs="Times New Roman"/>
          <w:b/>
          <w:bCs/>
          <w:lang w:val="en-US"/>
        </w:rPr>
      </w:pPr>
      <w:r w:rsidRPr="00F162DB">
        <w:rPr>
          <w:rFonts w:ascii="Times New Roman" w:hAnsi="Times New Roman" w:cs="Times New Roman"/>
          <w:b/>
          <w:bCs/>
          <w:lang w:val="en-US"/>
        </w:rPr>
        <w:t>ABSTRACT</w:t>
      </w:r>
    </w:p>
    <w:p w14:paraId="6ADC0C5D" w14:textId="77777777" w:rsidR="008D3C32" w:rsidRPr="00F162DB" w:rsidRDefault="008D3C32" w:rsidP="008D3C32">
      <w:pPr>
        <w:spacing w:line="480" w:lineRule="auto"/>
        <w:jc w:val="both"/>
        <w:rPr>
          <w:rFonts w:ascii="Times New Roman" w:hAnsi="Times New Roman" w:cs="Times New Roman"/>
          <w:lang w:val="en-US"/>
        </w:rPr>
      </w:pPr>
      <w:r w:rsidRPr="00F162DB">
        <w:rPr>
          <w:rFonts w:ascii="Times New Roman" w:hAnsi="Times New Roman" w:cs="Times New Roman"/>
          <w:b/>
          <w:bCs/>
          <w:lang w:val="en-US"/>
        </w:rPr>
        <w:t>Introduction:</w:t>
      </w:r>
      <w:r w:rsidRPr="00F162DB">
        <w:rPr>
          <w:rFonts w:ascii="Times New Roman" w:hAnsi="Times New Roman" w:cs="Times New Roman"/>
          <w:lang w:val="en-US"/>
        </w:rPr>
        <w:t xml:space="preserve"> Foodborne diseases pose significant global health and economic burdens, particularly in low- and middle-income countries. Despite existing interventions, poor food safety knowledge, attitudes, and practices (KAP) persist, necessitating targeted assessments among high-risk populations such as university students. </w:t>
      </w:r>
    </w:p>
    <w:p w14:paraId="16D32FD1" w14:textId="77777777" w:rsidR="008D3C32" w:rsidRPr="00F162DB" w:rsidRDefault="008D3C32" w:rsidP="008D3C32">
      <w:pPr>
        <w:spacing w:line="480" w:lineRule="auto"/>
        <w:jc w:val="both"/>
        <w:rPr>
          <w:rFonts w:ascii="Times New Roman" w:hAnsi="Times New Roman" w:cs="Times New Roman"/>
          <w:lang w:val="en-US"/>
        </w:rPr>
      </w:pPr>
      <w:r w:rsidRPr="00F162DB">
        <w:rPr>
          <w:rFonts w:ascii="Times New Roman" w:hAnsi="Times New Roman" w:cs="Times New Roman"/>
          <w:b/>
          <w:bCs/>
          <w:lang w:val="en-US"/>
        </w:rPr>
        <w:t>Objective:</w:t>
      </w:r>
      <w:r w:rsidRPr="00F162DB">
        <w:rPr>
          <w:rFonts w:ascii="Times New Roman" w:hAnsi="Times New Roman" w:cs="Times New Roman"/>
          <w:lang w:val="en-US"/>
        </w:rPr>
        <w:t xml:space="preserve"> This study evaluated KAP towards food safety and hygiene as well as factors contributing to these practices among undergraduates at the University of Nigeria, Enugu Campus (UNEC).  </w:t>
      </w:r>
    </w:p>
    <w:p w14:paraId="3EDE2B49" w14:textId="77777777" w:rsidR="008D3C32" w:rsidRPr="00F162DB" w:rsidRDefault="008D3C32" w:rsidP="008D3C32">
      <w:pPr>
        <w:spacing w:line="480" w:lineRule="auto"/>
        <w:jc w:val="both"/>
        <w:rPr>
          <w:rFonts w:ascii="Times New Roman" w:hAnsi="Times New Roman" w:cs="Times New Roman"/>
          <w:lang w:val="en-US"/>
        </w:rPr>
      </w:pPr>
      <w:r w:rsidRPr="00F162DB">
        <w:rPr>
          <w:rFonts w:ascii="Times New Roman" w:hAnsi="Times New Roman" w:cs="Times New Roman"/>
          <w:b/>
          <w:bCs/>
          <w:lang w:val="en-US"/>
        </w:rPr>
        <w:t>Methods:</w:t>
      </w:r>
      <w:r w:rsidRPr="00F162DB">
        <w:rPr>
          <w:rFonts w:ascii="Times New Roman" w:hAnsi="Times New Roman" w:cs="Times New Roman"/>
          <w:lang w:val="en-US"/>
        </w:rPr>
        <w:t xml:space="preserve"> The study was a descriptive cross-sectional study of 417 undergraduate</w:t>
      </w:r>
      <w:r>
        <w:rPr>
          <w:rFonts w:ascii="Times New Roman" w:hAnsi="Times New Roman" w:cs="Times New Roman"/>
          <w:lang w:val="en-US"/>
        </w:rPr>
        <w:t xml:space="preserve"> students</w:t>
      </w:r>
      <w:r w:rsidRPr="00F162DB">
        <w:rPr>
          <w:rFonts w:ascii="Times New Roman" w:hAnsi="Times New Roman" w:cs="Times New Roman"/>
          <w:lang w:val="en-US"/>
        </w:rPr>
        <w:t xml:space="preserve"> across the faculties of Law, Business Management, and Environmental Sciences at the University of Nigeria, Enugu Campus. Data was collected using pre-tested, self-administered, structured questionnaire and a descriptive inferential analysis was done using Statistical package for social sciences (SPSS). Consent was obtained from all respondents.</w:t>
      </w:r>
    </w:p>
    <w:p w14:paraId="6C2F587F" w14:textId="77777777" w:rsidR="008D3C32" w:rsidRPr="008924F5" w:rsidRDefault="008D3C32" w:rsidP="008D3C32">
      <w:pPr>
        <w:spacing w:line="480" w:lineRule="auto"/>
        <w:jc w:val="both"/>
        <w:rPr>
          <w:rFonts w:ascii="Times New Roman" w:eastAsia="Calibri" w:hAnsi="Times New Roman" w:cs="Times New Roman"/>
        </w:rPr>
      </w:pPr>
      <w:r w:rsidRPr="00F162DB">
        <w:rPr>
          <w:rFonts w:ascii="Times New Roman" w:hAnsi="Times New Roman" w:cs="Times New Roman"/>
          <w:b/>
          <w:bCs/>
          <w:lang w:val="en-US"/>
        </w:rPr>
        <w:t>Results:</w:t>
      </w:r>
      <w:r w:rsidRPr="00F162DB">
        <w:rPr>
          <w:rFonts w:ascii="Times New Roman" w:hAnsi="Times New Roman" w:cs="Times New Roman"/>
          <w:lang w:val="en-US"/>
        </w:rPr>
        <w:t xml:space="preserve"> A total of 417 undergraduate students filled and submitted the form with a response rate of 100%. </w:t>
      </w:r>
      <w:r w:rsidRPr="00F162DB">
        <w:rPr>
          <w:rFonts w:ascii="Times New Roman" w:eastAsia="Calibri" w:hAnsi="Times New Roman" w:cs="Times New Roman"/>
        </w:rPr>
        <w:t xml:space="preserve">The mean age of the respondents was 21.93 ±2.39 SD years. </w:t>
      </w:r>
      <w:r w:rsidRPr="00F162DB">
        <w:rPr>
          <w:rFonts w:ascii="Times New Roman" w:hAnsi="Times New Roman" w:cs="Times New Roman"/>
          <w:lang w:val="en-US"/>
        </w:rPr>
        <w:t xml:space="preserve">Majority demonstrated good food safety knowledge (97%), positive attitudes (88.2%), and good practices (94.5%). Key gaps </w:t>
      </w:r>
      <w:r>
        <w:rPr>
          <w:rFonts w:ascii="Times New Roman" w:hAnsi="Times New Roman" w:cs="Times New Roman"/>
          <w:lang w:val="en-US"/>
        </w:rPr>
        <w:t>identified were</w:t>
      </w:r>
      <w:r w:rsidRPr="00F162DB">
        <w:rPr>
          <w:rFonts w:ascii="Times New Roman" w:hAnsi="Times New Roman" w:cs="Times New Roman"/>
          <w:lang w:val="en-US"/>
        </w:rPr>
        <w:t xml:space="preserve"> </w:t>
      </w:r>
      <w:r>
        <w:rPr>
          <w:rFonts w:ascii="Times New Roman" w:hAnsi="Times New Roman" w:cs="Times New Roman"/>
          <w:lang w:val="en-US"/>
        </w:rPr>
        <w:t>c</w:t>
      </w:r>
      <w:r w:rsidRPr="0082294D">
        <w:rPr>
          <w:rFonts w:ascii="Times New Roman" w:hAnsi="Times New Roman" w:cs="Times New Roman"/>
          <w:lang w:val="en-US"/>
        </w:rPr>
        <w:t>onsumption of food kept at room temperature for long</w:t>
      </w:r>
      <w:r>
        <w:rPr>
          <w:rFonts w:ascii="Times New Roman" w:hAnsi="Times New Roman" w:cs="Times New Roman"/>
          <w:lang w:val="en-US"/>
        </w:rPr>
        <w:t xml:space="preserve"> periods</w:t>
      </w:r>
      <w:r w:rsidRPr="00F162DB">
        <w:rPr>
          <w:rFonts w:ascii="Times New Roman" w:hAnsi="Times New Roman" w:cs="Times New Roman"/>
          <w:lang w:val="en-US"/>
        </w:rPr>
        <w:t xml:space="preserve"> (</w:t>
      </w:r>
      <w:r>
        <w:rPr>
          <w:rFonts w:ascii="Times New Roman" w:hAnsi="Times New Roman" w:cs="Times New Roman"/>
          <w:lang w:val="en-US"/>
        </w:rPr>
        <w:t>93</w:t>
      </w:r>
      <w:r w:rsidRPr="00F162DB">
        <w:rPr>
          <w:rFonts w:ascii="Times New Roman" w:hAnsi="Times New Roman" w:cs="Times New Roman"/>
          <w:lang w:val="en-US"/>
        </w:rPr>
        <w:t>.</w:t>
      </w:r>
      <w:r>
        <w:rPr>
          <w:rFonts w:ascii="Times New Roman" w:hAnsi="Times New Roman" w:cs="Times New Roman"/>
          <w:lang w:val="en-US"/>
        </w:rPr>
        <w:t>3</w:t>
      </w:r>
      <w:r w:rsidRPr="00F162DB">
        <w:rPr>
          <w:rFonts w:ascii="Times New Roman" w:hAnsi="Times New Roman" w:cs="Times New Roman"/>
          <w:lang w:val="en-US"/>
        </w:rPr>
        <w:t>%)</w:t>
      </w:r>
      <w:r>
        <w:rPr>
          <w:rFonts w:ascii="Times New Roman" w:eastAsia="Calibri" w:hAnsi="Times New Roman" w:cs="Times New Roman"/>
        </w:rPr>
        <w:t xml:space="preserve"> and </w:t>
      </w:r>
      <w:r>
        <w:rPr>
          <w:rFonts w:ascii="Times New Roman" w:hAnsi="Times New Roman" w:cs="Times New Roman"/>
          <w:lang w:val="en-US"/>
        </w:rPr>
        <w:t>u</w:t>
      </w:r>
      <w:r w:rsidRPr="0082294D">
        <w:rPr>
          <w:rFonts w:ascii="Times New Roman" w:hAnsi="Times New Roman" w:cs="Times New Roman"/>
          <w:lang w:val="en-US"/>
        </w:rPr>
        <w:t>sing the same cutting board for raw meat, poultry, seafood and vegetables</w:t>
      </w:r>
      <w:r>
        <w:rPr>
          <w:rFonts w:ascii="Times New Roman" w:hAnsi="Times New Roman" w:cs="Times New Roman"/>
          <w:lang w:val="en-US"/>
        </w:rPr>
        <w:t xml:space="preserve"> </w:t>
      </w:r>
      <w:r w:rsidRPr="00F162DB">
        <w:rPr>
          <w:rFonts w:ascii="Times New Roman" w:hAnsi="Times New Roman" w:cs="Times New Roman"/>
          <w:lang w:val="en-US"/>
        </w:rPr>
        <w:t>(</w:t>
      </w:r>
      <w:r>
        <w:rPr>
          <w:rFonts w:ascii="Times New Roman" w:hAnsi="Times New Roman" w:cs="Times New Roman"/>
          <w:lang w:val="en-US"/>
        </w:rPr>
        <w:t>49.9</w:t>
      </w:r>
      <w:r w:rsidRPr="00F162DB">
        <w:rPr>
          <w:rFonts w:ascii="Times New Roman" w:hAnsi="Times New Roman" w:cs="Times New Roman"/>
          <w:lang w:val="en-US"/>
        </w:rPr>
        <w:t>%)</w:t>
      </w:r>
      <w:r>
        <w:rPr>
          <w:rFonts w:ascii="Times New Roman" w:hAnsi="Times New Roman" w:cs="Times New Roman"/>
          <w:lang w:val="en-US"/>
        </w:rPr>
        <w:t>.</w:t>
      </w:r>
      <w:r w:rsidR="008924F5">
        <w:rPr>
          <w:rFonts w:ascii="Times New Roman" w:eastAsia="Calibri" w:hAnsi="Times New Roman" w:cs="Times New Roman"/>
        </w:rPr>
        <w:t xml:space="preserve"> </w:t>
      </w:r>
      <w:r w:rsidRPr="00F162DB">
        <w:rPr>
          <w:rFonts w:ascii="Times New Roman" w:hAnsi="Times New Roman" w:cs="Times New Roman"/>
          <w:lang w:val="en-US"/>
        </w:rPr>
        <w:t xml:space="preserve">Male gender significantly predicted better practice (AOR = 2.98, 95% [CI: 1.256–4.969]). Religion marginally influenced knowledge (p = 0.045), while age, faculty, and accommodation type showed no significant associations.  </w:t>
      </w:r>
    </w:p>
    <w:p w14:paraId="6F62FD31" w14:textId="77777777" w:rsidR="008D3C32" w:rsidRPr="00F162DB" w:rsidRDefault="008D3C32" w:rsidP="008D3C32">
      <w:pPr>
        <w:spacing w:line="480" w:lineRule="auto"/>
        <w:jc w:val="both"/>
        <w:rPr>
          <w:rFonts w:ascii="Times New Roman" w:hAnsi="Times New Roman" w:cs="Times New Roman"/>
          <w:lang w:val="en-US"/>
        </w:rPr>
      </w:pPr>
      <w:r w:rsidRPr="00F162DB">
        <w:rPr>
          <w:rFonts w:ascii="Times New Roman" w:hAnsi="Times New Roman" w:cs="Times New Roman"/>
          <w:b/>
          <w:bCs/>
          <w:lang w:val="en-US"/>
        </w:rPr>
        <w:lastRenderedPageBreak/>
        <w:t>Conclusion:</w:t>
      </w:r>
      <w:r w:rsidRPr="00F162DB">
        <w:rPr>
          <w:rFonts w:ascii="Times New Roman" w:hAnsi="Times New Roman" w:cs="Times New Roman"/>
          <w:lang w:val="en-US"/>
        </w:rPr>
        <w:t xml:space="preserve"> Despite high levels of knowledge, attitude and good practices, </w:t>
      </w:r>
      <w:r>
        <w:rPr>
          <w:rFonts w:ascii="Times New Roman" w:hAnsi="Times New Roman" w:cs="Times New Roman"/>
          <w:lang w:val="en-US"/>
        </w:rPr>
        <w:t>our study identified</w:t>
      </w:r>
      <w:r w:rsidRPr="00F162DB">
        <w:rPr>
          <w:rFonts w:ascii="Times New Roman" w:hAnsi="Times New Roman" w:cs="Times New Roman"/>
          <w:lang w:val="en-US"/>
        </w:rPr>
        <w:t xml:space="preserve"> gaps </w:t>
      </w:r>
      <w:r>
        <w:rPr>
          <w:rFonts w:ascii="Times New Roman" w:hAnsi="Times New Roman" w:cs="Times New Roman"/>
          <w:lang w:val="en-US"/>
        </w:rPr>
        <w:t xml:space="preserve">which </w:t>
      </w:r>
      <w:r w:rsidRPr="00F162DB">
        <w:rPr>
          <w:rFonts w:ascii="Times New Roman" w:hAnsi="Times New Roman" w:cs="Times New Roman"/>
          <w:lang w:val="en-US"/>
        </w:rPr>
        <w:t>highlight</w:t>
      </w:r>
      <w:r>
        <w:rPr>
          <w:rFonts w:ascii="Times New Roman" w:hAnsi="Times New Roman" w:cs="Times New Roman"/>
          <w:lang w:val="en-US"/>
        </w:rPr>
        <w:t>s</w:t>
      </w:r>
      <w:r w:rsidRPr="00F162DB">
        <w:rPr>
          <w:rFonts w:ascii="Times New Roman" w:hAnsi="Times New Roman" w:cs="Times New Roman"/>
          <w:lang w:val="en-US"/>
        </w:rPr>
        <w:t xml:space="preserve"> the need for institutional and policy-level interventions, including curriculum integration of food safety education and public awareness campaigns. </w:t>
      </w:r>
    </w:p>
    <w:p w14:paraId="439820C9" w14:textId="77777777" w:rsidR="008D3C32" w:rsidRPr="008975AF" w:rsidRDefault="008D3C32" w:rsidP="008D3C32">
      <w:pPr>
        <w:spacing w:line="480" w:lineRule="auto"/>
        <w:jc w:val="both"/>
        <w:rPr>
          <w:rFonts w:ascii="Times New Roman" w:hAnsi="Times New Roman" w:cs="Times New Roman"/>
          <w:lang w:val="en-US"/>
        </w:rPr>
      </w:pPr>
      <w:r w:rsidRPr="00F162DB">
        <w:rPr>
          <w:rFonts w:ascii="Times New Roman" w:hAnsi="Times New Roman" w:cs="Times New Roman"/>
          <w:b/>
          <w:bCs/>
          <w:lang w:val="en-US"/>
        </w:rPr>
        <w:t>Keywords:</w:t>
      </w:r>
      <w:r>
        <w:rPr>
          <w:rFonts w:ascii="Times New Roman" w:hAnsi="Times New Roman" w:cs="Times New Roman"/>
          <w:lang w:val="en-US"/>
        </w:rPr>
        <w:t xml:space="preserve"> Food safety, Hygiene, Knowledge, Attitude, Practice, </w:t>
      </w:r>
      <w:r w:rsidRPr="00F162DB">
        <w:rPr>
          <w:rFonts w:ascii="Times New Roman" w:hAnsi="Times New Roman" w:cs="Times New Roman"/>
          <w:lang w:val="en-US"/>
        </w:rPr>
        <w:t xml:space="preserve">Nigeria.  </w:t>
      </w:r>
    </w:p>
    <w:p w14:paraId="3E2E8CB8" w14:textId="77777777" w:rsidR="008D3C32" w:rsidRPr="00F162DB" w:rsidRDefault="008D3C32" w:rsidP="008D3C32">
      <w:pPr>
        <w:spacing w:line="480" w:lineRule="auto"/>
        <w:jc w:val="both"/>
        <w:rPr>
          <w:rFonts w:ascii="Times New Roman" w:hAnsi="Times New Roman" w:cs="Times New Roman"/>
          <w:b/>
          <w:bCs/>
        </w:rPr>
      </w:pPr>
      <w:r w:rsidRPr="00F162DB">
        <w:rPr>
          <w:rFonts w:ascii="Times New Roman" w:hAnsi="Times New Roman" w:cs="Times New Roman"/>
          <w:b/>
          <w:bCs/>
        </w:rPr>
        <w:t>INTRODUCTION</w:t>
      </w:r>
    </w:p>
    <w:p w14:paraId="1AD9568C" w14:textId="77777777" w:rsidR="008D3C32" w:rsidRPr="00F162DB" w:rsidRDefault="008D3C32" w:rsidP="008D3C32">
      <w:pPr>
        <w:spacing w:line="480" w:lineRule="auto"/>
        <w:jc w:val="both"/>
        <w:rPr>
          <w:rFonts w:ascii="Times New Roman" w:eastAsia="MinionPro" w:hAnsi="Times New Roman" w:cs="Times New Roman"/>
          <w:color w:val="000000"/>
          <w:lang w:bidi="ar"/>
        </w:rPr>
      </w:pPr>
      <w:r w:rsidRPr="00F162DB">
        <w:rPr>
          <w:rFonts w:ascii="Times New Roman" w:eastAsia="MinionPro" w:hAnsi="Times New Roman" w:cs="Times New Roman"/>
          <w:color w:val="000000"/>
          <w:lang w:bidi="ar"/>
        </w:rPr>
        <w:t>Pathogenic agents in food, whether they are microbial – such as viruses, bacteria and parasites – or chemicals carry great risk to human health.</w:t>
      </w:r>
      <w:r w:rsidR="008975AF">
        <w:rPr>
          <w:rFonts w:ascii="Times New Roman" w:eastAsia="MinionPro" w:hAnsi="Times New Roman" w:cs="Times New Roman"/>
          <w:color w:val="000000"/>
          <w:lang w:bidi="ar"/>
        </w:rPr>
        <w:t xml:space="preserve"> </w:t>
      </w:r>
      <w:r w:rsidRPr="00F162DB">
        <w:rPr>
          <w:rFonts w:ascii="Times New Roman" w:eastAsia="MinionPro" w:hAnsi="Times New Roman" w:cs="Times New Roman"/>
          <w:color w:val="000000"/>
          <w:vertAlign w:val="superscript"/>
          <w:lang w:bidi="ar"/>
        </w:rPr>
        <w:t>[1]</w:t>
      </w:r>
      <w:r w:rsidRPr="00F162DB">
        <w:rPr>
          <w:rFonts w:ascii="Times New Roman" w:eastAsia="MinionPro" w:hAnsi="Times New Roman" w:cs="Times New Roman"/>
          <w:color w:val="000000"/>
          <w:lang w:bidi="ar"/>
        </w:rPr>
        <w:t xml:space="preserve"> Food safety refers to the procedures used in handling, preparing, and storing food in a way that prevents contamination with these agents and subsequent food-borne diseases.</w:t>
      </w:r>
      <w:r w:rsidR="008975AF">
        <w:rPr>
          <w:rFonts w:ascii="Times New Roman" w:eastAsia="MinionPro" w:hAnsi="Times New Roman" w:cs="Times New Roman"/>
          <w:color w:val="000000"/>
          <w:lang w:bidi="ar"/>
        </w:rPr>
        <w:t xml:space="preserve"> </w:t>
      </w:r>
      <w:r w:rsidRPr="00F162DB">
        <w:rPr>
          <w:rFonts w:ascii="Times New Roman" w:eastAsia="MinionPro" w:hAnsi="Times New Roman" w:cs="Times New Roman"/>
          <w:color w:val="000000"/>
          <w:vertAlign w:val="superscript"/>
          <w:lang w:bidi="ar"/>
        </w:rPr>
        <w:t>[2]</w:t>
      </w:r>
      <w:r w:rsidRPr="00F162DB">
        <w:rPr>
          <w:rFonts w:ascii="Times New Roman" w:eastAsia="MinionPro" w:hAnsi="Times New Roman" w:cs="Times New Roman"/>
          <w:color w:val="000000"/>
          <w:lang w:bidi="ar"/>
        </w:rPr>
        <w:t xml:space="preserve"> </w:t>
      </w:r>
      <w:r w:rsidRPr="00F162DB">
        <w:rPr>
          <w:rFonts w:ascii="Times New Roman" w:hAnsi="Times New Roman" w:cs="Times New Roman"/>
        </w:rPr>
        <w:t>Food hygiene means a certain condition or measure that is needed to ensure the safety of our food from production to consumption</w:t>
      </w:r>
      <w:r w:rsidRPr="00F162DB">
        <w:rPr>
          <w:rFonts w:ascii="Times New Roman" w:hAnsi="Times New Roman" w:cs="Times New Roman"/>
          <w:vertAlign w:val="superscript"/>
        </w:rPr>
        <w:t xml:space="preserve"> [3]</w:t>
      </w:r>
      <w:r w:rsidRPr="00F162DB">
        <w:rPr>
          <w:rFonts w:ascii="Times New Roman" w:hAnsi="Times New Roman" w:cs="Times New Roman"/>
        </w:rPr>
        <w:t xml:space="preserve">. Food borne diseases </w:t>
      </w:r>
      <w:proofErr w:type="gramStart"/>
      <w:r w:rsidRPr="00F162DB">
        <w:rPr>
          <w:rFonts w:ascii="Times New Roman" w:hAnsi="Times New Roman" w:cs="Times New Roman"/>
        </w:rPr>
        <w:t>encompasses</w:t>
      </w:r>
      <w:proofErr w:type="gramEnd"/>
      <w:r w:rsidRPr="00F162DB">
        <w:rPr>
          <w:rFonts w:ascii="Times New Roman" w:hAnsi="Times New Roman" w:cs="Times New Roman"/>
        </w:rPr>
        <w:t xml:space="preserve"> a wide range of illnesses from diarrhoea to cancers with most presenting as gastrointestinal issues, though they can produce neurological, gynaecological and immunological symptoms.</w:t>
      </w:r>
      <w:r w:rsidR="008975AF">
        <w:rPr>
          <w:rFonts w:ascii="Times New Roman" w:hAnsi="Times New Roman" w:cs="Times New Roman"/>
        </w:rPr>
        <w:t xml:space="preserve"> </w:t>
      </w:r>
      <w:r w:rsidRPr="00F162DB">
        <w:rPr>
          <w:rFonts w:ascii="Times New Roman" w:eastAsia="MinionPro" w:hAnsi="Times New Roman" w:cs="Times New Roman"/>
          <w:color w:val="000000"/>
          <w:vertAlign w:val="superscript"/>
          <w:lang w:bidi="ar"/>
        </w:rPr>
        <w:t>[1]</w:t>
      </w:r>
    </w:p>
    <w:p w14:paraId="1ED9FB53"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t>According to World Health Organization (WHO) estimates, foodborne illnesses continue to pose a significant threat to global public health, particularly in low- and middle-income countries where inadequate food safety practices contribute to preventable morbidity, mortality, and economic strain. Each year, unsafe food causes an estimated 600 million illnesses and 420,000 deaths, resulting in loss of 33 million healthy life years (DALYs).</w:t>
      </w:r>
      <w:r w:rsidR="008975AF">
        <w:rPr>
          <w:rFonts w:ascii="Times New Roman" w:hAnsi="Times New Roman" w:cs="Times New Roman"/>
        </w:rPr>
        <w:t xml:space="preserve"> </w:t>
      </w:r>
      <w:r w:rsidRPr="00F162DB">
        <w:rPr>
          <w:rFonts w:ascii="Times New Roman" w:eastAsia="MinionPro" w:hAnsi="Times New Roman" w:cs="Times New Roman"/>
          <w:color w:val="000000"/>
          <w:vertAlign w:val="superscript"/>
          <w:lang w:bidi="ar"/>
        </w:rPr>
        <w:t>[1]</w:t>
      </w:r>
      <w:r w:rsidRPr="00F162DB">
        <w:rPr>
          <w:rFonts w:ascii="Times New Roman" w:hAnsi="Times New Roman" w:cs="Times New Roman"/>
        </w:rPr>
        <w:t xml:space="preserve"> Food can get contaminated during various stages of production, distribution, and storage. Measures usually undertaken to reduce foodborne outbreaks include frequent and correct handwashing, appropriate cleansing of kitchen surfaces, storage of food at suitable temperatures and the separation of raw and cooked food.</w:t>
      </w:r>
      <w:r w:rsidR="008975AF">
        <w:rPr>
          <w:rFonts w:ascii="Times New Roman" w:hAnsi="Times New Roman" w:cs="Times New Roman"/>
        </w:rPr>
        <w:t xml:space="preserve"> </w:t>
      </w:r>
      <w:r w:rsidRPr="00F162DB">
        <w:rPr>
          <w:rFonts w:ascii="Times New Roman" w:eastAsia="MinionPro" w:hAnsi="Times New Roman" w:cs="Times New Roman"/>
          <w:color w:val="000000"/>
          <w:vertAlign w:val="superscript"/>
          <w:lang w:bidi="ar"/>
        </w:rPr>
        <w:t>[4]</w:t>
      </w:r>
      <w:r w:rsidR="008975AF">
        <w:rPr>
          <w:rFonts w:ascii="Times New Roman" w:hAnsi="Times New Roman" w:cs="Times New Roman"/>
        </w:rPr>
        <w:t xml:space="preserve"> </w:t>
      </w:r>
      <w:r w:rsidRPr="00F162DB">
        <w:rPr>
          <w:rFonts w:ascii="Times New Roman" w:hAnsi="Times New Roman" w:cs="Times New Roman"/>
        </w:rPr>
        <w:t>As established, food borne diseases pose a great threat to the general population of which majority are young people.</w:t>
      </w:r>
      <w:r w:rsidRPr="00F162DB">
        <w:rPr>
          <w:rFonts w:ascii="Times New Roman" w:hAnsi="Times New Roman" w:cs="Times New Roman"/>
          <w:vertAlign w:val="superscript"/>
        </w:rPr>
        <w:t>[5]</w:t>
      </w:r>
      <w:r w:rsidRPr="00F162DB">
        <w:rPr>
          <w:rFonts w:ascii="Times New Roman" w:hAnsi="Times New Roman" w:cs="Times New Roman"/>
        </w:rPr>
        <w:t xml:space="preserve"> Undergraduate students, majority of whom are young and are navigating independent living for the first time, often lack the knowledge, resources, or motivation to adhere to safe food handling practices, increasing their susceptibility to foodborne</w:t>
      </w:r>
      <w:r>
        <w:rPr>
          <w:rFonts w:ascii="Times New Roman" w:hAnsi="Times New Roman" w:cs="Times New Roman"/>
        </w:rPr>
        <w:t xml:space="preserve"> </w:t>
      </w:r>
      <w:proofErr w:type="gramStart"/>
      <w:r>
        <w:rPr>
          <w:rFonts w:ascii="Times New Roman" w:hAnsi="Times New Roman" w:cs="Times New Roman"/>
        </w:rPr>
        <w:t>diseases</w:t>
      </w:r>
      <w:r w:rsidRPr="00F162DB">
        <w:rPr>
          <w:rFonts w:ascii="Times New Roman" w:hAnsi="Times New Roman" w:cs="Times New Roman"/>
        </w:rPr>
        <w:t>.</w:t>
      </w:r>
      <w:r w:rsidRPr="00F162DB">
        <w:rPr>
          <w:rFonts w:ascii="Times New Roman" w:hAnsi="Times New Roman" w:cs="Times New Roman"/>
          <w:vertAlign w:val="superscript"/>
        </w:rPr>
        <w:t>[</w:t>
      </w:r>
      <w:proofErr w:type="gramEnd"/>
      <w:r w:rsidRPr="00F162DB">
        <w:rPr>
          <w:rFonts w:ascii="Times New Roman" w:hAnsi="Times New Roman" w:cs="Times New Roman"/>
          <w:vertAlign w:val="superscript"/>
        </w:rPr>
        <w:t>6,7]</w:t>
      </w:r>
    </w:p>
    <w:p w14:paraId="2B8B570D"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t xml:space="preserve">In Nigerian public universities, unregulated food vending systems dominate campus environments where students frequently encounter challenges like improper food storage, inadequate handwashing </w:t>
      </w:r>
      <w:r w:rsidRPr="00F162DB">
        <w:rPr>
          <w:rFonts w:ascii="Times New Roman" w:hAnsi="Times New Roman" w:cs="Times New Roman"/>
        </w:rPr>
        <w:lastRenderedPageBreak/>
        <w:t xml:space="preserve">facilities, and limited awareness of contamination </w:t>
      </w:r>
      <w:proofErr w:type="gramStart"/>
      <w:r w:rsidRPr="00F162DB">
        <w:rPr>
          <w:rFonts w:ascii="Times New Roman" w:hAnsi="Times New Roman" w:cs="Times New Roman"/>
        </w:rPr>
        <w:t>pathways.</w:t>
      </w:r>
      <w:r w:rsidRPr="00F162DB">
        <w:rPr>
          <w:rFonts w:ascii="Times New Roman" w:hAnsi="Times New Roman" w:cs="Times New Roman"/>
          <w:vertAlign w:val="superscript"/>
        </w:rPr>
        <w:t>[</w:t>
      </w:r>
      <w:proofErr w:type="gramEnd"/>
      <w:r w:rsidRPr="00F162DB">
        <w:rPr>
          <w:rFonts w:ascii="Times New Roman" w:hAnsi="Times New Roman" w:cs="Times New Roman"/>
          <w:vertAlign w:val="superscript"/>
        </w:rPr>
        <w:t>8,9]</w:t>
      </w:r>
      <w:r w:rsidRPr="00F162DB">
        <w:rPr>
          <w:rFonts w:ascii="Times New Roman" w:hAnsi="Times New Roman" w:cs="Times New Roman"/>
        </w:rPr>
        <w:t xml:space="preserve"> Systematic challenges such as weak regulatory frameworks, limited access to clean water, and insufficient public health education exacerbate risks associated with contaminated food.</w:t>
      </w:r>
      <w:r w:rsidRPr="00F162DB">
        <w:rPr>
          <w:rFonts w:ascii="Times New Roman" w:hAnsi="Times New Roman" w:cs="Times New Roman"/>
          <w:vertAlign w:val="superscript"/>
        </w:rPr>
        <w:t>[10]</w:t>
      </w:r>
    </w:p>
    <w:p w14:paraId="1B975488"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t>Despite global efforts to mitigate foodborne diseases, continuous gaps exist between theoretical knowledge and practical implementation of food safety measures, especially among young adults in resource-limited contexts. College students in Ethiopia has been found to have overall low knowledge, attitude and practice towards food safety, noting that knowledge did not influence attitude and practices were significantly associated with factors like gender and year of study.</w:t>
      </w:r>
      <w:r w:rsidRPr="00F162DB">
        <w:rPr>
          <w:rFonts w:ascii="Times New Roman" w:hAnsi="Times New Roman" w:cs="Times New Roman"/>
          <w:vertAlign w:val="superscript"/>
        </w:rPr>
        <w:t>[11]</w:t>
      </w:r>
      <w:r w:rsidRPr="00F162DB">
        <w:rPr>
          <w:rFonts w:ascii="Times New Roman" w:hAnsi="Times New Roman" w:cs="Times New Roman"/>
        </w:rPr>
        <w:t xml:space="preserve"> In a Tanzanian University, good food safety knowledge but not attitudes were associated with good food safety practices, but the overall score of food safety practice was bad.</w:t>
      </w:r>
      <w:r w:rsidRPr="00F162DB">
        <w:rPr>
          <w:rFonts w:ascii="Times New Roman" w:hAnsi="Times New Roman" w:cs="Times New Roman"/>
          <w:vertAlign w:val="superscript"/>
        </w:rPr>
        <w:t>[12]</w:t>
      </w:r>
      <w:r w:rsidRPr="00F162DB">
        <w:rPr>
          <w:rFonts w:ascii="Times New Roman" w:hAnsi="Times New Roman" w:cs="Times New Roman"/>
        </w:rPr>
        <w:t xml:space="preserve"> Nigerian universities, characterized by dense student populations, communal living arrangements, and reliance on unregulated food vendors, represent critical yet understudied settings for assessing food safety behavio</w:t>
      </w:r>
      <w:r>
        <w:rPr>
          <w:rFonts w:ascii="Times New Roman" w:hAnsi="Times New Roman" w:cs="Times New Roman"/>
        </w:rPr>
        <w:t>u</w:t>
      </w:r>
      <w:r w:rsidRPr="00F162DB">
        <w:rPr>
          <w:rFonts w:ascii="Times New Roman" w:hAnsi="Times New Roman" w:cs="Times New Roman"/>
        </w:rPr>
        <w:t xml:space="preserve">rs. </w:t>
      </w:r>
    </w:p>
    <w:p w14:paraId="1792B1D6"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t xml:space="preserve">While gender, age and educational disparities in food safety practices have been documented in other </w:t>
      </w:r>
      <w:proofErr w:type="gramStart"/>
      <w:r w:rsidRPr="00F162DB">
        <w:rPr>
          <w:rFonts w:ascii="Times New Roman" w:hAnsi="Times New Roman" w:cs="Times New Roman"/>
        </w:rPr>
        <w:t>regions,</w:t>
      </w:r>
      <w:r w:rsidRPr="00F162DB">
        <w:rPr>
          <w:rFonts w:ascii="Times New Roman" w:hAnsi="Times New Roman" w:cs="Times New Roman"/>
          <w:vertAlign w:val="superscript"/>
        </w:rPr>
        <w:t>[</w:t>
      </w:r>
      <w:proofErr w:type="gramEnd"/>
      <w:r w:rsidRPr="00F162DB">
        <w:rPr>
          <w:rFonts w:ascii="Times New Roman" w:hAnsi="Times New Roman" w:cs="Times New Roman"/>
          <w:vertAlign w:val="superscript"/>
        </w:rPr>
        <w:t>6,11,13,14]</w:t>
      </w:r>
      <w:r w:rsidRPr="00F162DB">
        <w:rPr>
          <w:rFonts w:ascii="Times New Roman" w:hAnsi="Times New Roman" w:cs="Times New Roman"/>
        </w:rPr>
        <w:t xml:space="preserve"> context-specific determinants among Nigerian undergraduates remain poorly understood. The COVID-19 pandemic has underscored the importance of hygiene practices, offering an opportunity to reinforce food safety protocols in</w:t>
      </w:r>
      <w:r>
        <w:rPr>
          <w:rFonts w:ascii="Times New Roman" w:hAnsi="Times New Roman" w:cs="Times New Roman"/>
        </w:rPr>
        <w:t xml:space="preserve"> our</w:t>
      </w:r>
      <w:r w:rsidRPr="00F162DB">
        <w:rPr>
          <w:rFonts w:ascii="Times New Roman" w:hAnsi="Times New Roman" w:cs="Times New Roman"/>
        </w:rPr>
        <w:t xml:space="preserve"> academic institutions.</w:t>
      </w:r>
      <w:r w:rsidRPr="00F162DB">
        <w:rPr>
          <w:rFonts w:ascii="Times New Roman" w:hAnsi="Times New Roman" w:cs="Times New Roman"/>
          <w:vertAlign w:val="superscript"/>
        </w:rPr>
        <w:t>[4]</w:t>
      </w:r>
      <w:r w:rsidRPr="00F162DB">
        <w:rPr>
          <w:rFonts w:ascii="Times New Roman" w:hAnsi="Times New Roman" w:cs="Times New Roman"/>
        </w:rPr>
        <w:t xml:space="preserve"> However, without enough empirical evidence on Nigerian students’ KAP towards food safety and hygiene, targeted interventions remain elusive.</w:t>
      </w:r>
    </w:p>
    <w:p w14:paraId="71BD1CB5"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t xml:space="preserve">By clarifying barriers to safe food hygiene knowledge and practices, and identifying actionable predictors, this study aims to assess the overall knowledge, attitude and practices of undergraduate students at the University of Nigeria, Enugu Campus (UNEC) towards food safety and hygiene as well as to explore the relationship between their </w:t>
      </w:r>
      <w:r>
        <w:rPr>
          <w:rFonts w:ascii="Times New Roman" w:hAnsi="Times New Roman" w:cs="Times New Roman"/>
        </w:rPr>
        <w:t>KAP</w:t>
      </w:r>
      <w:r w:rsidRPr="00F162DB">
        <w:rPr>
          <w:rFonts w:ascii="Times New Roman" w:hAnsi="Times New Roman" w:cs="Times New Roman"/>
        </w:rPr>
        <w:t xml:space="preserve"> and demographic characteristics. This would enable us provide valuable insights for effectively planning educational programmes and also identify available preventive measures that can be implemented to improve student’s food hygiene level.</w:t>
      </w:r>
    </w:p>
    <w:p w14:paraId="7F032DE8" w14:textId="77777777" w:rsidR="008975AF" w:rsidRDefault="008975AF" w:rsidP="008D3C32">
      <w:pPr>
        <w:spacing w:line="480" w:lineRule="auto"/>
        <w:jc w:val="both"/>
        <w:rPr>
          <w:rFonts w:ascii="Times New Roman" w:hAnsi="Times New Roman" w:cs="Times New Roman"/>
          <w:b/>
          <w:bCs/>
        </w:rPr>
      </w:pPr>
    </w:p>
    <w:p w14:paraId="38051BB0" w14:textId="77777777" w:rsidR="008975AF" w:rsidRDefault="008975AF" w:rsidP="008D3C32">
      <w:pPr>
        <w:spacing w:line="480" w:lineRule="auto"/>
        <w:jc w:val="both"/>
        <w:rPr>
          <w:rFonts w:ascii="Times New Roman" w:hAnsi="Times New Roman" w:cs="Times New Roman"/>
          <w:b/>
          <w:bCs/>
        </w:rPr>
      </w:pPr>
    </w:p>
    <w:p w14:paraId="3703F2E6" w14:textId="77777777" w:rsidR="008975AF" w:rsidRDefault="008975AF" w:rsidP="008D3C32">
      <w:pPr>
        <w:spacing w:line="480" w:lineRule="auto"/>
        <w:jc w:val="both"/>
        <w:rPr>
          <w:rFonts w:ascii="Times New Roman" w:hAnsi="Times New Roman" w:cs="Times New Roman"/>
          <w:b/>
          <w:bCs/>
        </w:rPr>
      </w:pPr>
    </w:p>
    <w:p w14:paraId="2D8A31BB" w14:textId="77777777" w:rsidR="008975AF" w:rsidRDefault="008975AF" w:rsidP="008D3C32">
      <w:pPr>
        <w:spacing w:line="480" w:lineRule="auto"/>
        <w:jc w:val="both"/>
        <w:rPr>
          <w:rFonts w:ascii="Times New Roman" w:hAnsi="Times New Roman" w:cs="Times New Roman"/>
          <w:b/>
          <w:bCs/>
        </w:rPr>
      </w:pPr>
    </w:p>
    <w:p w14:paraId="29A2940C" w14:textId="77777777" w:rsidR="008D3C32" w:rsidRPr="00F162DB" w:rsidRDefault="008D3C32" w:rsidP="008D3C32">
      <w:pPr>
        <w:spacing w:line="480" w:lineRule="auto"/>
        <w:jc w:val="both"/>
        <w:rPr>
          <w:rFonts w:ascii="Times New Roman" w:hAnsi="Times New Roman" w:cs="Times New Roman"/>
          <w:b/>
          <w:bCs/>
        </w:rPr>
      </w:pPr>
      <w:r w:rsidRPr="00F162DB">
        <w:rPr>
          <w:rFonts w:ascii="Times New Roman" w:hAnsi="Times New Roman" w:cs="Times New Roman"/>
          <w:b/>
          <w:bCs/>
        </w:rPr>
        <w:t>MATERIAL AND METHODS</w:t>
      </w:r>
    </w:p>
    <w:p w14:paraId="5D166447" w14:textId="77777777" w:rsidR="008D3C32" w:rsidRPr="00F162DB" w:rsidRDefault="008D3C32" w:rsidP="008D3C32">
      <w:pPr>
        <w:spacing w:line="480" w:lineRule="auto"/>
        <w:jc w:val="both"/>
        <w:rPr>
          <w:rFonts w:ascii="Times New Roman" w:hAnsi="Times New Roman" w:cs="Times New Roman"/>
          <w:b/>
          <w:bCs/>
        </w:rPr>
      </w:pPr>
      <w:r w:rsidRPr="00F162DB">
        <w:rPr>
          <w:rFonts w:ascii="Times New Roman" w:hAnsi="Times New Roman" w:cs="Times New Roman"/>
          <w:b/>
          <w:bCs/>
        </w:rPr>
        <w:t>Study Area</w:t>
      </w:r>
      <w:r>
        <w:rPr>
          <w:rFonts w:ascii="Times New Roman" w:hAnsi="Times New Roman" w:cs="Times New Roman"/>
          <w:b/>
          <w:bCs/>
        </w:rPr>
        <w:t xml:space="preserve">, </w:t>
      </w:r>
      <w:r w:rsidRPr="00F162DB">
        <w:rPr>
          <w:rFonts w:ascii="Times New Roman" w:hAnsi="Times New Roman" w:cs="Times New Roman"/>
          <w:b/>
          <w:bCs/>
        </w:rPr>
        <w:t>Design</w:t>
      </w:r>
      <w:r>
        <w:rPr>
          <w:rFonts w:ascii="Times New Roman" w:hAnsi="Times New Roman" w:cs="Times New Roman"/>
          <w:b/>
          <w:bCs/>
        </w:rPr>
        <w:t xml:space="preserve"> and Population</w:t>
      </w:r>
    </w:p>
    <w:p w14:paraId="3F11E26B" w14:textId="77777777" w:rsidR="008D3C32" w:rsidRDefault="008D3C32" w:rsidP="008D3C32">
      <w:pPr>
        <w:spacing w:line="480" w:lineRule="auto"/>
        <w:jc w:val="both"/>
        <w:rPr>
          <w:rFonts w:ascii="Times New Roman" w:hAnsi="Times New Roman" w:cs="Times New Roman"/>
          <w:color w:val="1A1A1A" w:themeColor="background1" w:themeShade="1A"/>
        </w:rPr>
      </w:pPr>
      <w:r w:rsidRPr="00F162DB">
        <w:rPr>
          <w:rFonts w:ascii="Times New Roman" w:hAnsi="Times New Roman" w:cs="Times New Roman"/>
        </w:rPr>
        <w:t xml:space="preserve">This was a descriptive cross-sectional study conducted among the undergraduate students at the </w:t>
      </w:r>
      <w:r w:rsidRPr="00F162DB">
        <w:rPr>
          <w:rFonts w:ascii="Times New Roman" w:hAnsi="Times New Roman" w:cs="Times New Roman"/>
          <w:color w:val="1A1A1A" w:themeColor="background1" w:themeShade="1A"/>
        </w:rPr>
        <w:t>University of Nigeria Enugu Campus (UNEC)</w:t>
      </w:r>
      <w:r w:rsidRPr="00F162DB">
        <w:rPr>
          <w:rFonts w:ascii="Times New Roman" w:hAnsi="Times New Roman" w:cs="Times New Roman"/>
        </w:rPr>
        <w:t>, Enugu State, Nigeria which is classified as a low-</w:t>
      </w:r>
      <w:r w:rsidR="008975AF">
        <w:rPr>
          <w:rFonts w:ascii="Times New Roman" w:hAnsi="Times New Roman" w:cs="Times New Roman"/>
        </w:rPr>
        <w:t>middle-</w:t>
      </w:r>
      <w:r w:rsidRPr="00F162DB">
        <w:rPr>
          <w:rFonts w:ascii="Times New Roman" w:hAnsi="Times New Roman" w:cs="Times New Roman"/>
        </w:rPr>
        <w:t xml:space="preserve">income country according to the World Health Organization. </w:t>
      </w:r>
      <w:r w:rsidRPr="00F162DB">
        <w:rPr>
          <w:rFonts w:ascii="Times New Roman" w:hAnsi="Times New Roman" w:cs="Times New Roman"/>
          <w:color w:val="1A1A1A" w:themeColor="background1" w:themeShade="1A"/>
        </w:rPr>
        <w:t>It is a secondary campus under the University of Nigeria Nsukka and is located in the heart of Enugu city</w:t>
      </w:r>
      <w:r w:rsidRPr="00F162DB">
        <w:rPr>
          <w:rFonts w:ascii="Times New Roman" w:hAnsi="Times New Roman" w:cs="Times New Roman"/>
        </w:rPr>
        <w:t xml:space="preserve">. </w:t>
      </w:r>
      <w:r w:rsidRPr="00F162DB">
        <w:rPr>
          <w:rFonts w:ascii="Times New Roman" w:hAnsi="Times New Roman" w:cs="Times New Roman"/>
          <w:color w:val="1A1A1A" w:themeColor="background1" w:themeShade="1A"/>
        </w:rPr>
        <w:t xml:space="preserve">The campus houses the faculties of Business Administration, Law, Environmental Studies, Basic Medical Sciences, Health Sciences, Dentistry and Medical Sciences. All of which are undergraduate courses, however, postgraduate courses are </w:t>
      </w:r>
      <w:r>
        <w:rPr>
          <w:rFonts w:ascii="Times New Roman" w:hAnsi="Times New Roman" w:cs="Times New Roman"/>
          <w:color w:val="1A1A1A" w:themeColor="background1" w:themeShade="1A"/>
        </w:rPr>
        <w:t>also offered by the faculties</w:t>
      </w:r>
      <w:r w:rsidRPr="00F162DB">
        <w:rPr>
          <w:rFonts w:ascii="Times New Roman" w:hAnsi="Times New Roman" w:cs="Times New Roman"/>
          <w:color w:val="1A1A1A" w:themeColor="background1" w:themeShade="1A"/>
        </w:rPr>
        <w:t>.</w:t>
      </w:r>
    </w:p>
    <w:p w14:paraId="2C27E88E" w14:textId="77777777" w:rsidR="008D3C32" w:rsidRDefault="008D3C32" w:rsidP="008D3C32">
      <w:pPr>
        <w:spacing w:line="480" w:lineRule="auto"/>
        <w:jc w:val="both"/>
        <w:rPr>
          <w:rFonts w:ascii="Times New Roman" w:hAnsi="Times New Roman" w:cs="Times New Roman"/>
          <w:b/>
          <w:bCs/>
        </w:rPr>
      </w:pPr>
      <w:r>
        <w:rPr>
          <w:rFonts w:ascii="Times New Roman" w:hAnsi="Times New Roman" w:cs="Times New Roman"/>
          <w:b/>
          <w:bCs/>
        </w:rPr>
        <w:t xml:space="preserve">Sampling and </w:t>
      </w:r>
      <w:r w:rsidRPr="004D2039">
        <w:rPr>
          <w:rFonts w:ascii="Times New Roman" w:hAnsi="Times New Roman" w:cs="Times New Roman"/>
          <w:b/>
          <w:bCs/>
        </w:rPr>
        <w:t>Sample Size</w:t>
      </w:r>
    </w:p>
    <w:p w14:paraId="12116695" w14:textId="77777777" w:rsidR="008D3C32" w:rsidRDefault="008D3C32" w:rsidP="008D3C32">
      <w:pPr>
        <w:spacing w:line="480" w:lineRule="auto"/>
        <w:jc w:val="both"/>
        <w:rPr>
          <w:rFonts w:ascii="Times New Roman" w:hAnsi="Times New Roman" w:cs="Times New Roman"/>
        </w:rPr>
      </w:pPr>
      <w:r w:rsidRPr="004D2039">
        <w:rPr>
          <w:rFonts w:ascii="Times New Roman" w:hAnsi="Times New Roman" w:cs="Times New Roman"/>
        </w:rPr>
        <w:t xml:space="preserve">A multi-staged sampling </w:t>
      </w:r>
      <w:r>
        <w:rPr>
          <w:rFonts w:ascii="Times New Roman" w:hAnsi="Times New Roman" w:cs="Times New Roman"/>
        </w:rPr>
        <w:t>was</w:t>
      </w:r>
      <w:r w:rsidRPr="004D2039">
        <w:rPr>
          <w:rFonts w:ascii="Times New Roman" w:hAnsi="Times New Roman" w:cs="Times New Roman"/>
        </w:rPr>
        <w:t xml:space="preserve"> used in selecting faculties, department and classes for this </w:t>
      </w:r>
      <w:r>
        <w:rPr>
          <w:rFonts w:ascii="Times New Roman" w:hAnsi="Times New Roman" w:cs="Times New Roman"/>
        </w:rPr>
        <w:t xml:space="preserve">study. </w:t>
      </w:r>
      <w:r w:rsidRPr="004D2039">
        <w:rPr>
          <w:rFonts w:ascii="Times New Roman" w:hAnsi="Times New Roman" w:cs="Times New Roman"/>
        </w:rPr>
        <w:t>Stage 1 involve</w:t>
      </w:r>
      <w:r>
        <w:rPr>
          <w:rFonts w:ascii="Times New Roman" w:hAnsi="Times New Roman" w:cs="Times New Roman"/>
        </w:rPr>
        <w:t>d</w:t>
      </w:r>
      <w:r w:rsidRPr="004D2039">
        <w:rPr>
          <w:rFonts w:ascii="Times New Roman" w:hAnsi="Times New Roman" w:cs="Times New Roman"/>
        </w:rPr>
        <w:t xml:space="preserve"> simple random sampling of seven faculties to get three faculties to be used for the research</w:t>
      </w:r>
      <w:r>
        <w:rPr>
          <w:rFonts w:ascii="Times New Roman" w:hAnsi="Times New Roman" w:cs="Times New Roman"/>
        </w:rPr>
        <w:t xml:space="preserve">. </w:t>
      </w:r>
      <w:r w:rsidRPr="004D2039">
        <w:rPr>
          <w:rFonts w:ascii="Times New Roman" w:hAnsi="Times New Roman" w:cs="Times New Roman"/>
        </w:rPr>
        <w:t>The three faculties chosen were Law, Management and Environmental Sciences.</w:t>
      </w:r>
      <w:r>
        <w:rPr>
          <w:rFonts w:ascii="Times New Roman" w:hAnsi="Times New Roman" w:cs="Times New Roman"/>
        </w:rPr>
        <w:t xml:space="preserve"> </w:t>
      </w:r>
      <w:r w:rsidRPr="004D2039">
        <w:rPr>
          <w:rFonts w:ascii="Times New Roman" w:hAnsi="Times New Roman" w:cs="Times New Roman"/>
        </w:rPr>
        <w:t>Stage 2 involve</w:t>
      </w:r>
      <w:r>
        <w:rPr>
          <w:rFonts w:ascii="Times New Roman" w:hAnsi="Times New Roman" w:cs="Times New Roman"/>
        </w:rPr>
        <w:t>d</w:t>
      </w:r>
      <w:r w:rsidRPr="004D2039">
        <w:rPr>
          <w:rFonts w:ascii="Times New Roman" w:hAnsi="Times New Roman" w:cs="Times New Roman"/>
        </w:rPr>
        <w:t xml:space="preserve"> </w:t>
      </w:r>
      <w:r>
        <w:rPr>
          <w:rFonts w:ascii="Times New Roman" w:hAnsi="Times New Roman" w:cs="Times New Roman"/>
        </w:rPr>
        <w:t xml:space="preserve">the </w:t>
      </w:r>
      <w:r w:rsidRPr="004D2039">
        <w:rPr>
          <w:rFonts w:ascii="Times New Roman" w:hAnsi="Times New Roman" w:cs="Times New Roman"/>
        </w:rPr>
        <w:t>selection of one department in each selected faculty. This g</w:t>
      </w:r>
      <w:r>
        <w:rPr>
          <w:rFonts w:ascii="Times New Roman" w:hAnsi="Times New Roman" w:cs="Times New Roman"/>
        </w:rPr>
        <w:t>ave</w:t>
      </w:r>
      <w:r w:rsidRPr="004D2039">
        <w:rPr>
          <w:rFonts w:ascii="Times New Roman" w:hAnsi="Times New Roman" w:cs="Times New Roman"/>
        </w:rPr>
        <w:t xml:space="preserve"> a total of three departments</w:t>
      </w:r>
      <w:r>
        <w:rPr>
          <w:rFonts w:ascii="Times New Roman" w:hAnsi="Times New Roman" w:cs="Times New Roman"/>
        </w:rPr>
        <w:t xml:space="preserve"> – t</w:t>
      </w:r>
      <w:r w:rsidRPr="004D2039">
        <w:rPr>
          <w:rFonts w:ascii="Times New Roman" w:hAnsi="Times New Roman" w:cs="Times New Roman"/>
        </w:rPr>
        <w:t xml:space="preserve">he departments </w:t>
      </w:r>
      <w:r>
        <w:rPr>
          <w:rFonts w:ascii="Times New Roman" w:hAnsi="Times New Roman" w:cs="Times New Roman"/>
        </w:rPr>
        <w:t>of</w:t>
      </w:r>
      <w:r w:rsidRPr="004D2039">
        <w:rPr>
          <w:rFonts w:ascii="Times New Roman" w:hAnsi="Times New Roman" w:cs="Times New Roman"/>
        </w:rPr>
        <w:t xml:space="preserve"> Law, Accounting and Architecture</w:t>
      </w:r>
      <w:r>
        <w:rPr>
          <w:rFonts w:ascii="Times New Roman" w:hAnsi="Times New Roman" w:cs="Times New Roman"/>
        </w:rPr>
        <w:t xml:space="preserve">. </w:t>
      </w:r>
      <w:r w:rsidRPr="004D2039">
        <w:rPr>
          <w:rFonts w:ascii="Times New Roman" w:hAnsi="Times New Roman" w:cs="Times New Roman"/>
        </w:rPr>
        <w:t>Stage 3 involve</w:t>
      </w:r>
      <w:r>
        <w:rPr>
          <w:rFonts w:ascii="Times New Roman" w:hAnsi="Times New Roman" w:cs="Times New Roman"/>
        </w:rPr>
        <w:t>d</w:t>
      </w:r>
      <w:r w:rsidRPr="004D2039">
        <w:rPr>
          <w:rFonts w:ascii="Times New Roman" w:hAnsi="Times New Roman" w:cs="Times New Roman"/>
        </w:rPr>
        <w:t xml:space="preserve"> the selection of the class or level in each department to be used in the research using a stratified random sampling method.</w:t>
      </w:r>
    </w:p>
    <w:p w14:paraId="4099112F" w14:textId="77777777" w:rsidR="008D3C32" w:rsidRPr="004D2039" w:rsidRDefault="008D3C32" w:rsidP="008D3C32">
      <w:pPr>
        <w:spacing w:line="480" w:lineRule="auto"/>
        <w:jc w:val="both"/>
        <w:rPr>
          <w:rFonts w:ascii="Times New Roman" w:hAnsi="Times New Roman" w:cs="Times New Roman"/>
        </w:rPr>
      </w:pPr>
      <w:r w:rsidRPr="004D2039">
        <w:rPr>
          <w:rFonts w:ascii="Times New Roman" w:hAnsi="Times New Roman" w:cs="Times New Roman"/>
        </w:rPr>
        <w:t xml:space="preserve">The minimum sample size used was determined using the formula: </w:t>
      </w:r>
      <w:r w:rsidRPr="004D2039">
        <w:rPr>
          <w:rFonts w:ascii="Times New Roman" w:hAnsi="Times New Roman" w:cs="Times New Roman"/>
          <w:lang w:val="en-US"/>
        </w:rPr>
        <w:t>n = (</w:t>
      </w:r>
      <w:r>
        <w:rPr>
          <w:rFonts w:ascii="Times New Roman" w:hAnsi="Times New Roman" w:cs="Times New Roman"/>
          <w:lang w:val="en-US"/>
        </w:rPr>
        <w:t>Z</w:t>
      </w:r>
      <w:r w:rsidRPr="004D2039">
        <w:rPr>
          <w:rFonts w:ascii="Times New Roman" w:hAnsi="Times New Roman" w:cs="Times New Roman"/>
          <w:lang w:val="en-US"/>
        </w:rPr>
        <w:t>)</w:t>
      </w:r>
      <w:r w:rsidRPr="004D2039">
        <w:rPr>
          <w:rFonts w:ascii="Times New Roman" w:hAnsi="Times New Roman" w:cs="Times New Roman"/>
          <w:vertAlign w:val="superscript"/>
          <w:lang w:val="en-US"/>
        </w:rPr>
        <w:t xml:space="preserve"> 2 </w:t>
      </w:r>
      <w:r>
        <w:rPr>
          <w:rFonts w:ascii="Times New Roman" w:hAnsi="Times New Roman" w:cs="Times New Roman"/>
          <w:lang w:val="en-US"/>
        </w:rPr>
        <w:t>x P</w:t>
      </w:r>
      <w:r w:rsidR="00902BDE">
        <w:rPr>
          <w:rFonts w:ascii="Times New Roman" w:hAnsi="Times New Roman" w:cs="Times New Roman"/>
          <w:lang w:val="en-US"/>
        </w:rPr>
        <w:t xml:space="preserve"> </w:t>
      </w:r>
      <w:r>
        <w:rPr>
          <w:rFonts w:ascii="Times New Roman" w:hAnsi="Times New Roman" w:cs="Times New Roman"/>
          <w:lang w:val="en-US"/>
        </w:rPr>
        <w:t>(</w:t>
      </w:r>
      <w:r w:rsidRPr="004D2039">
        <w:rPr>
          <w:rFonts w:ascii="Times New Roman" w:hAnsi="Times New Roman" w:cs="Times New Roman"/>
          <w:lang w:val="en-US"/>
        </w:rPr>
        <w:t xml:space="preserve">1 – </w:t>
      </w:r>
      <w:r>
        <w:rPr>
          <w:rFonts w:ascii="Times New Roman" w:hAnsi="Times New Roman" w:cs="Times New Roman"/>
          <w:lang w:val="en-US"/>
        </w:rPr>
        <w:t>P</w:t>
      </w:r>
      <w:r w:rsidRPr="004D2039">
        <w:rPr>
          <w:rFonts w:ascii="Times New Roman" w:hAnsi="Times New Roman" w:cs="Times New Roman"/>
          <w:lang w:val="en-US"/>
        </w:rPr>
        <w:t>) / d</w:t>
      </w:r>
      <w:r w:rsidRPr="004D2039">
        <w:rPr>
          <w:rFonts w:ascii="Times New Roman" w:hAnsi="Times New Roman" w:cs="Times New Roman"/>
          <w:vertAlign w:val="superscript"/>
          <w:lang w:val="en-US"/>
        </w:rPr>
        <w:t xml:space="preserve">2  </w:t>
      </w:r>
    </w:p>
    <w:p w14:paraId="4B35149C" w14:textId="77777777" w:rsidR="008D3C32" w:rsidRPr="004D2039" w:rsidRDefault="008D3C32" w:rsidP="008D3C32">
      <w:pPr>
        <w:spacing w:line="480" w:lineRule="auto"/>
        <w:jc w:val="both"/>
        <w:rPr>
          <w:rFonts w:ascii="Times New Roman" w:hAnsi="Times New Roman" w:cs="Times New Roman"/>
        </w:rPr>
      </w:pPr>
      <w:r w:rsidRPr="004D2039">
        <w:rPr>
          <w:rFonts w:ascii="Times New Roman" w:hAnsi="Times New Roman" w:cs="Times New Roman"/>
        </w:rPr>
        <w:t>Where Z</w:t>
      </w:r>
      <w:r>
        <w:rPr>
          <w:rFonts w:ascii="Times New Roman" w:hAnsi="Times New Roman" w:cs="Times New Roman"/>
        </w:rPr>
        <w:t xml:space="preserve"> </w:t>
      </w:r>
      <w:r w:rsidRPr="004D2039">
        <w:rPr>
          <w:rFonts w:ascii="Times New Roman" w:hAnsi="Times New Roman" w:cs="Times New Roman"/>
        </w:rPr>
        <w:t>=</w:t>
      </w:r>
      <w:r>
        <w:rPr>
          <w:rFonts w:ascii="Times New Roman" w:hAnsi="Times New Roman" w:cs="Times New Roman"/>
        </w:rPr>
        <w:t xml:space="preserve"> </w:t>
      </w:r>
      <w:r w:rsidRPr="004D2039">
        <w:rPr>
          <w:rFonts w:ascii="Times New Roman" w:hAnsi="Times New Roman" w:cs="Times New Roman"/>
        </w:rPr>
        <w:t>1.96 at 95% confidence level</w:t>
      </w:r>
    </w:p>
    <w:p w14:paraId="4E648B06" w14:textId="77777777" w:rsidR="008D3C32" w:rsidRPr="004D2039" w:rsidRDefault="008D3C32" w:rsidP="008D3C32">
      <w:pPr>
        <w:spacing w:line="480" w:lineRule="auto"/>
        <w:jc w:val="both"/>
        <w:rPr>
          <w:rFonts w:ascii="Times New Roman" w:hAnsi="Times New Roman" w:cs="Times New Roman"/>
        </w:rPr>
      </w:pPr>
      <w:r>
        <w:rPr>
          <w:rFonts w:ascii="Times New Roman" w:hAnsi="Times New Roman" w:cs="Times New Roman"/>
        </w:rPr>
        <w:t xml:space="preserve">P </w:t>
      </w:r>
      <w:r w:rsidRPr="004D2039">
        <w:rPr>
          <w:rFonts w:ascii="Times New Roman" w:hAnsi="Times New Roman" w:cs="Times New Roman"/>
        </w:rPr>
        <w:t>=</w:t>
      </w:r>
      <w:r>
        <w:rPr>
          <w:rFonts w:ascii="Times New Roman" w:hAnsi="Times New Roman" w:cs="Times New Roman"/>
        </w:rPr>
        <w:t xml:space="preserve"> </w:t>
      </w:r>
      <w:r w:rsidRPr="004D2039">
        <w:rPr>
          <w:rFonts w:ascii="Times New Roman" w:hAnsi="Times New Roman" w:cs="Times New Roman"/>
        </w:rPr>
        <w:t>50% based on a previous study in Ethiopia in Africa</w:t>
      </w:r>
      <w:r w:rsidR="00902BDE">
        <w:rPr>
          <w:rFonts w:ascii="Times New Roman" w:hAnsi="Times New Roman" w:cs="Times New Roman"/>
        </w:rPr>
        <w:t xml:space="preserve"> </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11</w:t>
      </w:r>
      <w:r w:rsidRPr="00F162DB">
        <w:rPr>
          <w:rFonts w:ascii="Times New Roman" w:eastAsia="Calibri" w:hAnsi="Times New Roman" w:cs="Times New Roman"/>
          <w:vertAlign w:val="superscript"/>
        </w:rPr>
        <w:t>]</w:t>
      </w:r>
    </w:p>
    <w:p w14:paraId="023643AB" w14:textId="77777777" w:rsidR="008D3C32" w:rsidRPr="004D2039" w:rsidRDefault="008D3C32" w:rsidP="008D3C32">
      <w:pPr>
        <w:spacing w:line="480" w:lineRule="auto"/>
        <w:jc w:val="both"/>
        <w:rPr>
          <w:rFonts w:ascii="Times New Roman" w:hAnsi="Times New Roman" w:cs="Times New Roman"/>
        </w:rPr>
      </w:pPr>
      <w:r>
        <w:rPr>
          <w:rFonts w:ascii="Times New Roman" w:hAnsi="Times New Roman" w:cs="Times New Roman"/>
        </w:rPr>
        <w:t xml:space="preserve">d </w:t>
      </w:r>
      <w:r w:rsidRPr="004D2039">
        <w:rPr>
          <w:rFonts w:ascii="Times New Roman" w:hAnsi="Times New Roman" w:cs="Times New Roman"/>
        </w:rPr>
        <w:t>= 5% estimated margins of error</w:t>
      </w:r>
    </w:p>
    <w:p w14:paraId="76CEAC78" w14:textId="77777777" w:rsidR="008D3C32" w:rsidRPr="004D2039" w:rsidRDefault="008D3C32" w:rsidP="008D3C32">
      <w:pPr>
        <w:spacing w:line="480" w:lineRule="auto"/>
        <w:jc w:val="both"/>
        <w:rPr>
          <w:rFonts w:ascii="Times New Roman" w:hAnsi="Times New Roman" w:cs="Times New Roman"/>
          <w:vertAlign w:val="superscript"/>
        </w:rPr>
      </w:pPr>
      <w:r>
        <w:rPr>
          <w:rFonts w:ascii="Times New Roman" w:hAnsi="Times New Roman" w:cs="Times New Roman"/>
        </w:rPr>
        <w:t xml:space="preserve">n </w:t>
      </w:r>
      <w:r w:rsidRPr="004D2039">
        <w:rPr>
          <w:rFonts w:ascii="Times New Roman" w:hAnsi="Times New Roman" w:cs="Times New Roman"/>
        </w:rPr>
        <w:t>= 1.96</w:t>
      </w:r>
      <w:r w:rsidRPr="004D2039">
        <w:rPr>
          <w:rFonts w:ascii="Times New Roman" w:hAnsi="Times New Roman" w:cs="Times New Roman"/>
          <w:vertAlign w:val="superscript"/>
        </w:rPr>
        <w:t>2</w:t>
      </w:r>
      <w:r w:rsidRPr="004D2039">
        <w:rPr>
          <w:rFonts w:ascii="Times New Roman" w:hAnsi="Times New Roman" w:cs="Times New Roman"/>
        </w:rPr>
        <w:t xml:space="preserve"> × 0.5(1-0.5) /0.05</w:t>
      </w:r>
      <w:r w:rsidRPr="004D2039">
        <w:rPr>
          <w:rFonts w:ascii="Times New Roman" w:hAnsi="Times New Roman" w:cs="Times New Roman"/>
          <w:vertAlign w:val="superscript"/>
        </w:rPr>
        <w:t>2</w:t>
      </w:r>
    </w:p>
    <w:p w14:paraId="71BB5E05" w14:textId="77777777" w:rsidR="008D3C32" w:rsidRPr="004D2039" w:rsidRDefault="008D3C32" w:rsidP="008D3C32">
      <w:pPr>
        <w:spacing w:line="480" w:lineRule="auto"/>
        <w:jc w:val="both"/>
        <w:rPr>
          <w:rFonts w:ascii="Times New Roman" w:hAnsi="Times New Roman" w:cs="Times New Roman"/>
        </w:rPr>
      </w:pPr>
      <w:r w:rsidRPr="004D2039">
        <w:rPr>
          <w:rFonts w:ascii="Times New Roman" w:hAnsi="Times New Roman" w:cs="Times New Roman"/>
        </w:rPr>
        <w:t>n</w:t>
      </w:r>
      <w:r>
        <w:rPr>
          <w:rFonts w:ascii="Times New Roman" w:hAnsi="Times New Roman" w:cs="Times New Roman"/>
        </w:rPr>
        <w:t xml:space="preserve"> </w:t>
      </w:r>
      <w:r w:rsidRPr="004D2039">
        <w:rPr>
          <w:rFonts w:ascii="Times New Roman" w:hAnsi="Times New Roman" w:cs="Times New Roman"/>
        </w:rPr>
        <w:t>= 384</w:t>
      </w:r>
    </w:p>
    <w:p w14:paraId="3C12E246" w14:textId="77777777" w:rsidR="008D3C32" w:rsidRPr="004D2039" w:rsidRDefault="008D3C32" w:rsidP="008D3C32">
      <w:pPr>
        <w:spacing w:line="480" w:lineRule="auto"/>
        <w:jc w:val="both"/>
        <w:rPr>
          <w:rFonts w:ascii="Times New Roman" w:hAnsi="Times New Roman" w:cs="Times New Roman"/>
        </w:rPr>
      </w:pPr>
      <w:r w:rsidRPr="004D2039">
        <w:rPr>
          <w:rFonts w:ascii="Times New Roman" w:hAnsi="Times New Roman" w:cs="Times New Roman"/>
        </w:rPr>
        <w:lastRenderedPageBreak/>
        <w:t>An addition of 5% to make up for attrition</w:t>
      </w:r>
      <w:r>
        <w:rPr>
          <w:rFonts w:ascii="Times New Roman" w:hAnsi="Times New Roman" w:cs="Times New Roman"/>
        </w:rPr>
        <w:t>:</w:t>
      </w:r>
      <w:r w:rsidRPr="004D2039">
        <w:rPr>
          <w:rFonts w:ascii="Times New Roman" w:hAnsi="Times New Roman" w:cs="Times New Roman"/>
        </w:rPr>
        <w:t xml:space="preserve"> 5% of 384= 19.2</w:t>
      </w:r>
    </w:p>
    <w:p w14:paraId="3B7F6608" w14:textId="77777777" w:rsidR="008D3C32" w:rsidRPr="004D2039" w:rsidRDefault="008D3C32" w:rsidP="008D3C32">
      <w:pPr>
        <w:spacing w:line="480" w:lineRule="auto"/>
        <w:jc w:val="both"/>
        <w:rPr>
          <w:rFonts w:ascii="Times New Roman" w:hAnsi="Times New Roman" w:cs="Times New Roman"/>
        </w:rPr>
      </w:pPr>
      <w:r w:rsidRPr="004D2039">
        <w:rPr>
          <w:rFonts w:ascii="Times New Roman" w:hAnsi="Times New Roman" w:cs="Times New Roman"/>
        </w:rPr>
        <w:t>Minimum sample size=384+19.2=403.2.</w:t>
      </w:r>
    </w:p>
    <w:p w14:paraId="217A0924" w14:textId="77777777" w:rsidR="008D3C32" w:rsidRPr="004D2039" w:rsidRDefault="008D3C32" w:rsidP="008D3C32">
      <w:pPr>
        <w:spacing w:line="480" w:lineRule="auto"/>
        <w:jc w:val="both"/>
        <w:rPr>
          <w:rFonts w:ascii="Times New Roman" w:hAnsi="Times New Roman" w:cs="Times New Roman"/>
        </w:rPr>
      </w:pPr>
      <w:r w:rsidRPr="004D2039">
        <w:rPr>
          <w:rFonts w:ascii="Times New Roman" w:hAnsi="Times New Roman" w:cs="Times New Roman"/>
        </w:rPr>
        <w:t xml:space="preserve">Rounding it up, a sample size of </w:t>
      </w:r>
      <w:r w:rsidRPr="004D2039">
        <w:rPr>
          <w:rFonts w:ascii="Times New Roman" w:hAnsi="Times New Roman" w:cs="Times New Roman"/>
          <w:b/>
          <w:bCs/>
        </w:rPr>
        <w:t>410</w:t>
      </w:r>
      <w:r w:rsidRPr="004D2039">
        <w:rPr>
          <w:rFonts w:ascii="Times New Roman" w:hAnsi="Times New Roman" w:cs="Times New Roman"/>
        </w:rPr>
        <w:t xml:space="preserve"> </w:t>
      </w:r>
      <w:r>
        <w:rPr>
          <w:rFonts w:ascii="Times New Roman" w:hAnsi="Times New Roman" w:cs="Times New Roman"/>
        </w:rPr>
        <w:t>was</w:t>
      </w:r>
      <w:r w:rsidRPr="004D2039">
        <w:rPr>
          <w:rFonts w:ascii="Times New Roman" w:hAnsi="Times New Roman" w:cs="Times New Roman"/>
        </w:rPr>
        <w:t xml:space="preserve"> be </w:t>
      </w:r>
      <w:r>
        <w:rPr>
          <w:rFonts w:ascii="Times New Roman" w:hAnsi="Times New Roman" w:cs="Times New Roman"/>
        </w:rPr>
        <w:t>determined</w:t>
      </w:r>
      <w:r w:rsidRPr="004D2039">
        <w:rPr>
          <w:rFonts w:ascii="Times New Roman" w:hAnsi="Times New Roman" w:cs="Times New Roman"/>
        </w:rPr>
        <w:t xml:space="preserve">. </w:t>
      </w:r>
    </w:p>
    <w:p w14:paraId="61BD6173" w14:textId="77777777" w:rsidR="008D3C32" w:rsidRPr="00F162DB" w:rsidRDefault="008D3C32" w:rsidP="008D3C32">
      <w:pPr>
        <w:spacing w:line="480" w:lineRule="auto"/>
        <w:jc w:val="both"/>
        <w:rPr>
          <w:rFonts w:ascii="Times New Roman" w:hAnsi="Times New Roman" w:cs="Times New Roman"/>
          <w:b/>
          <w:bCs/>
        </w:rPr>
      </w:pPr>
      <w:r w:rsidRPr="00F162DB">
        <w:rPr>
          <w:rFonts w:ascii="Times New Roman" w:hAnsi="Times New Roman" w:cs="Times New Roman"/>
          <w:b/>
          <w:bCs/>
        </w:rPr>
        <w:t>Data Collection and Methods</w:t>
      </w:r>
    </w:p>
    <w:p w14:paraId="39505B89" w14:textId="77777777" w:rsidR="008D3C32" w:rsidRPr="004D2039" w:rsidRDefault="008D3C32" w:rsidP="008D3C32">
      <w:pPr>
        <w:spacing w:line="480" w:lineRule="auto"/>
        <w:jc w:val="both"/>
        <w:rPr>
          <w:rFonts w:ascii="Times New Roman" w:hAnsi="Times New Roman" w:cs="Times New Roman"/>
          <w:color w:val="1A1A1A" w:themeColor="background1" w:themeShade="1A"/>
        </w:rPr>
      </w:pPr>
      <w:r w:rsidRPr="00F162DB">
        <w:rPr>
          <w:rFonts w:ascii="Times New Roman" w:hAnsi="Times New Roman" w:cs="Times New Roman"/>
        </w:rPr>
        <w:t>The data was collected with self-administered, pretested, structured questionnaire.</w:t>
      </w:r>
      <w:r w:rsidRPr="00912317">
        <w:rPr>
          <w:rFonts w:ascii="Times New Roman" w:hAnsi="Times New Roman" w:cs="Times New Roman"/>
        </w:rPr>
        <w:t xml:space="preserve"> </w:t>
      </w:r>
      <w:r w:rsidRPr="00F162DB">
        <w:rPr>
          <w:rFonts w:ascii="Times New Roman" w:hAnsi="Times New Roman" w:cs="Times New Roman"/>
        </w:rPr>
        <w:t xml:space="preserve">Informed consent </w:t>
      </w:r>
      <w:r>
        <w:rPr>
          <w:rFonts w:ascii="Times New Roman" w:hAnsi="Times New Roman" w:cs="Times New Roman"/>
        </w:rPr>
        <w:t>was</w:t>
      </w:r>
      <w:r w:rsidRPr="00F162DB">
        <w:rPr>
          <w:rFonts w:ascii="Times New Roman" w:hAnsi="Times New Roman" w:cs="Times New Roman"/>
        </w:rPr>
        <w:t xml:space="preserve"> obtained from all participants. </w:t>
      </w:r>
      <w:r w:rsidRPr="00912317">
        <w:rPr>
          <w:rFonts w:ascii="Times New Roman" w:hAnsi="Times New Roman" w:cs="Times New Roman"/>
        </w:rPr>
        <w:t>Confidentiality and anonymity were assured</w:t>
      </w:r>
      <w:r>
        <w:rPr>
          <w:rFonts w:ascii="Times New Roman" w:hAnsi="Times New Roman" w:cs="Times New Roman"/>
        </w:rPr>
        <w:t xml:space="preserve">. </w:t>
      </w:r>
    </w:p>
    <w:p w14:paraId="5AD459AE" w14:textId="77777777" w:rsidR="008D3C32" w:rsidRDefault="008D3C32" w:rsidP="008D3C32">
      <w:pPr>
        <w:spacing w:line="480" w:lineRule="auto"/>
        <w:jc w:val="both"/>
        <w:rPr>
          <w:rFonts w:ascii="Times New Roman" w:hAnsi="Times New Roman" w:cs="Times New Roman"/>
        </w:rPr>
      </w:pPr>
      <w:r>
        <w:rPr>
          <w:rFonts w:ascii="Times New Roman" w:hAnsi="Times New Roman" w:cs="Times New Roman"/>
        </w:rPr>
        <w:t xml:space="preserve"> </w:t>
      </w:r>
      <w:r w:rsidRPr="00F162DB">
        <w:rPr>
          <w:rFonts w:ascii="Times New Roman" w:hAnsi="Times New Roman" w:cs="Times New Roman"/>
        </w:rPr>
        <w:t>Questionnaires were distributed physically while students remained in lecture halls.</w:t>
      </w:r>
      <w:r>
        <w:rPr>
          <w:rFonts w:ascii="Times New Roman" w:hAnsi="Times New Roman" w:cs="Times New Roman"/>
        </w:rPr>
        <w:t xml:space="preserve"> </w:t>
      </w:r>
      <w:r w:rsidRPr="00F162DB">
        <w:rPr>
          <w:rFonts w:ascii="Times New Roman" w:hAnsi="Times New Roman" w:cs="Times New Roman"/>
        </w:rPr>
        <w:t xml:space="preserve">The study was carried out over </w:t>
      </w:r>
      <w:r>
        <w:rPr>
          <w:rFonts w:ascii="Times New Roman" w:hAnsi="Times New Roman" w:cs="Times New Roman"/>
        </w:rPr>
        <w:t>five (</w:t>
      </w:r>
      <w:r w:rsidRPr="00F162DB">
        <w:rPr>
          <w:rFonts w:ascii="Times New Roman" w:hAnsi="Times New Roman" w:cs="Times New Roman"/>
        </w:rPr>
        <w:t>5</w:t>
      </w:r>
      <w:r>
        <w:rPr>
          <w:rFonts w:ascii="Times New Roman" w:hAnsi="Times New Roman" w:cs="Times New Roman"/>
        </w:rPr>
        <w:t>)</w:t>
      </w:r>
      <w:r w:rsidRPr="00F162DB">
        <w:rPr>
          <w:rFonts w:ascii="Times New Roman" w:hAnsi="Times New Roman" w:cs="Times New Roman"/>
        </w:rPr>
        <w:t xml:space="preserve"> months</w:t>
      </w:r>
      <w:r>
        <w:rPr>
          <w:rFonts w:ascii="Times New Roman" w:hAnsi="Times New Roman" w:cs="Times New Roman"/>
        </w:rPr>
        <w:t>. M</w:t>
      </w:r>
      <w:r w:rsidRPr="00F162DB">
        <w:rPr>
          <w:rFonts w:ascii="Times New Roman" w:hAnsi="Times New Roman" w:cs="Times New Roman"/>
        </w:rPr>
        <w:t>easures were put in place to minimize all forms of survey research bias.</w:t>
      </w:r>
      <w:r>
        <w:rPr>
          <w:rFonts w:ascii="Times New Roman" w:hAnsi="Times New Roman" w:cs="Times New Roman"/>
        </w:rPr>
        <w:t xml:space="preserve"> </w:t>
      </w:r>
      <w:r w:rsidRPr="00F162DB">
        <w:rPr>
          <w:rFonts w:ascii="Times New Roman" w:hAnsi="Times New Roman" w:cs="Times New Roman"/>
        </w:rPr>
        <w:t xml:space="preserve">The questionnaire contained four sections. The first section assessed socio-demographic characteristics of the respondents </w:t>
      </w:r>
      <w:r>
        <w:rPr>
          <w:rFonts w:ascii="Times New Roman" w:hAnsi="Times New Roman" w:cs="Times New Roman"/>
        </w:rPr>
        <w:t>which included</w:t>
      </w:r>
      <w:r w:rsidRPr="00F162DB">
        <w:rPr>
          <w:rFonts w:ascii="Times New Roman" w:hAnsi="Times New Roman" w:cs="Times New Roman"/>
        </w:rPr>
        <w:t xml:space="preserve"> age, sex, marital status</w:t>
      </w:r>
      <w:r>
        <w:rPr>
          <w:rFonts w:ascii="Times New Roman" w:hAnsi="Times New Roman" w:cs="Times New Roman"/>
        </w:rPr>
        <w:t xml:space="preserve">, </w:t>
      </w:r>
      <w:r w:rsidRPr="00F162DB">
        <w:rPr>
          <w:rFonts w:ascii="Times New Roman" w:hAnsi="Times New Roman" w:cs="Times New Roman"/>
        </w:rPr>
        <w:t xml:space="preserve">religion, </w:t>
      </w:r>
      <w:r>
        <w:rPr>
          <w:rFonts w:ascii="Times New Roman" w:hAnsi="Times New Roman" w:cs="Times New Roman"/>
        </w:rPr>
        <w:t xml:space="preserve">department, </w:t>
      </w:r>
      <w:r w:rsidRPr="00F162DB">
        <w:rPr>
          <w:rFonts w:ascii="Times New Roman" w:hAnsi="Times New Roman" w:cs="Times New Roman"/>
        </w:rPr>
        <w:t>and year of study</w:t>
      </w:r>
      <w:r>
        <w:rPr>
          <w:rFonts w:ascii="Times New Roman" w:hAnsi="Times New Roman" w:cs="Times New Roman"/>
        </w:rPr>
        <w:t>, living arrangements and cooking habits</w:t>
      </w:r>
      <w:r w:rsidRPr="00F162DB">
        <w:rPr>
          <w:rFonts w:ascii="Times New Roman" w:hAnsi="Times New Roman" w:cs="Times New Roman"/>
        </w:rPr>
        <w:t>.</w:t>
      </w:r>
    </w:p>
    <w:p w14:paraId="1F8149EB" w14:textId="77777777" w:rsidR="008D3C32" w:rsidRDefault="008D3C32" w:rsidP="008D3C32">
      <w:pPr>
        <w:spacing w:line="480" w:lineRule="auto"/>
        <w:jc w:val="both"/>
        <w:rPr>
          <w:rFonts w:ascii="Times New Roman" w:hAnsi="Times New Roman" w:cs="Times New Roman"/>
        </w:rPr>
      </w:pPr>
      <w:r w:rsidRPr="00F162DB">
        <w:rPr>
          <w:rFonts w:ascii="Times New Roman" w:hAnsi="Times New Roman" w:cs="Times New Roman"/>
        </w:rPr>
        <w:t>The second section assessed food safety knowledge of participants</w:t>
      </w:r>
      <w:r>
        <w:rPr>
          <w:rFonts w:ascii="Times New Roman" w:hAnsi="Times New Roman" w:cs="Times New Roman"/>
        </w:rPr>
        <w:t xml:space="preserve"> using 3-Point Likert scale of Yes, No and I don’t know to indicate if the respondent has any knowledge, no knowledge or unallied respectively. </w:t>
      </w:r>
    </w:p>
    <w:p w14:paraId="3DFD90D1" w14:textId="77777777" w:rsidR="008D3C32" w:rsidRDefault="008D3C32" w:rsidP="008D3C32">
      <w:pPr>
        <w:spacing w:line="480" w:lineRule="auto"/>
        <w:jc w:val="both"/>
        <w:rPr>
          <w:rFonts w:ascii="Times New Roman" w:hAnsi="Times New Roman" w:cs="Times New Roman"/>
        </w:rPr>
      </w:pPr>
      <w:r>
        <w:rPr>
          <w:rFonts w:ascii="Times New Roman" w:hAnsi="Times New Roman" w:cs="Times New Roman"/>
        </w:rPr>
        <w:t>T</w:t>
      </w:r>
      <w:r w:rsidRPr="00F162DB">
        <w:rPr>
          <w:rFonts w:ascii="Times New Roman" w:hAnsi="Times New Roman" w:cs="Times New Roman"/>
        </w:rPr>
        <w:t xml:space="preserve">he third </w:t>
      </w:r>
      <w:r>
        <w:rPr>
          <w:rFonts w:ascii="Times New Roman" w:hAnsi="Times New Roman" w:cs="Times New Roman"/>
        </w:rPr>
        <w:t xml:space="preserve">section </w:t>
      </w:r>
      <w:r w:rsidRPr="00F162DB">
        <w:rPr>
          <w:rFonts w:ascii="Times New Roman" w:hAnsi="Times New Roman" w:cs="Times New Roman"/>
        </w:rPr>
        <w:t xml:space="preserve">assessed </w:t>
      </w:r>
      <w:r>
        <w:rPr>
          <w:rFonts w:ascii="Times New Roman" w:hAnsi="Times New Roman" w:cs="Times New Roman"/>
        </w:rPr>
        <w:t>the respondents’</w:t>
      </w:r>
      <w:r w:rsidRPr="00F162DB">
        <w:rPr>
          <w:rFonts w:ascii="Times New Roman" w:hAnsi="Times New Roman" w:cs="Times New Roman"/>
        </w:rPr>
        <w:t xml:space="preserve"> attitude</w:t>
      </w:r>
      <w:r>
        <w:rPr>
          <w:rFonts w:ascii="Times New Roman" w:hAnsi="Times New Roman" w:cs="Times New Roman"/>
        </w:rPr>
        <w:t xml:space="preserve"> to food safety and hygiene. </w:t>
      </w:r>
      <w:r w:rsidRPr="00C93120">
        <w:rPr>
          <w:rFonts w:ascii="Times New Roman" w:hAnsi="Times New Roman" w:cs="Times New Roman"/>
        </w:rPr>
        <w:t xml:space="preserve">In this section, a </w:t>
      </w:r>
      <w:r>
        <w:rPr>
          <w:rFonts w:ascii="Times New Roman" w:hAnsi="Times New Roman" w:cs="Times New Roman"/>
        </w:rPr>
        <w:t xml:space="preserve">5-point </w:t>
      </w:r>
      <w:r w:rsidRPr="00C93120">
        <w:rPr>
          <w:rFonts w:ascii="Times New Roman" w:hAnsi="Times New Roman" w:cs="Times New Roman"/>
        </w:rPr>
        <w:t>Likert scale was used to assess the</w:t>
      </w:r>
      <w:r>
        <w:rPr>
          <w:rFonts w:ascii="Times New Roman" w:hAnsi="Times New Roman" w:cs="Times New Roman"/>
        </w:rPr>
        <w:t>ir</w:t>
      </w:r>
      <w:r w:rsidRPr="00C93120">
        <w:rPr>
          <w:rFonts w:ascii="Times New Roman" w:hAnsi="Times New Roman" w:cs="Times New Roman"/>
        </w:rPr>
        <w:t xml:space="preserve"> </w:t>
      </w:r>
      <w:r>
        <w:rPr>
          <w:rFonts w:ascii="Times New Roman" w:hAnsi="Times New Roman" w:cs="Times New Roman"/>
        </w:rPr>
        <w:t>attitude</w:t>
      </w:r>
      <w:r w:rsidRPr="00C93120">
        <w:rPr>
          <w:rFonts w:ascii="Times New Roman" w:hAnsi="Times New Roman" w:cs="Times New Roman"/>
        </w:rPr>
        <w:t xml:space="preserve">; </w:t>
      </w:r>
      <w:r>
        <w:rPr>
          <w:rFonts w:ascii="Times New Roman" w:hAnsi="Times New Roman" w:cs="Times New Roman"/>
        </w:rPr>
        <w:t>available responses</w:t>
      </w:r>
      <w:r w:rsidRPr="00C93120">
        <w:rPr>
          <w:rFonts w:ascii="Times New Roman" w:hAnsi="Times New Roman" w:cs="Times New Roman"/>
        </w:rPr>
        <w:t xml:space="preserve"> range</w:t>
      </w:r>
      <w:r>
        <w:rPr>
          <w:rFonts w:ascii="Times New Roman" w:hAnsi="Times New Roman" w:cs="Times New Roman"/>
        </w:rPr>
        <w:t>d from Positive (Strongly agree, Agree, Neutral) to Negative</w:t>
      </w:r>
      <w:r w:rsidRPr="00C93120">
        <w:rPr>
          <w:rFonts w:ascii="Times New Roman" w:hAnsi="Times New Roman" w:cs="Times New Roman"/>
        </w:rPr>
        <w:t xml:space="preserve"> </w:t>
      </w:r>
      <w:r>
        <w:rPr>
          <w:rFonts w:ascii="Times New Roman" w:hAnsi="Times New Roman" w:cs="Times New Roman"/>
        </w:rPr>
        <w:t>(Strongly disagree, Disagree)</w:t>
      </w:r>
      <w:r w:rsidRPr="00C93120">
        <w:rPr>
          <w:rFonts w:ascii="Times New Roman" w:hAnsi="Times New Roman" w:cs="Times New Roman"/>
        </w:rPr>
        <w:t>.</w:t>
      </w:r>
      <w:r w:rsidRPr="00F162DB">
        <w:rPr>
          <w:rFonts w:ascii="Times New Roman" w:hAnsi="Times New Roman" w:cs="Times New Roman"/>
        </w:rPr>
        <w:t xml:space="preserve"> </w:t>
      </w:r>
    </w:p>
    <w:p w14:paraId="43A9709A" w14:textId="77777777" w:rsidR="008D3C32" w:rsidRDefault="008D3C32" w:rsidP="008D3C32">
      <w:pPr>
        <w:spacing w:line="480" w:lineRule="auto"/>
        <w:jc w:val="both"/>
        <w:rPr>
          <w:rFonts w:ascii="Times New Roman" w:hAnsi="Times New Roman" w:cs="Times New Roman"/>
        </w:rPr>
      </w:pPr>
      <w:r>
        <w:rPr>
          <w:rFonts w:ascii="Times New Roman" w:hAnsi="Times New Roman" w:cs="Times New Roman"/>
        </w:rPr>
        <w:t>T</w:t>
      </w:r>
      <w:r w:rsidRPr="00F162DB">
        <w:rPr>
          <w:rFonts w:ascii="Times New Roman" w:hAnsi="Times New Roman" w:cs="Times New Roman"/>
        </w:rPr>
        <w:t>he fourth section assessed their food hygiene practices.</w:t>
      </w:r>
      <w:r>
        <w:rPr>
          <w:rFonts w:ascii="Times New Roman" w:hAnsi="Times New Roman" w:cs="Times New Roman"/>
        </w:rPr>
        <w:t xml:space="preserve"> </w:t>
      </w:r>
      <w:r w:rsidRPr="00C93120">
        <w:rPr>
          <w:rFonts w:ascii="Times New Roman" w:hAnsi="Times New Roman" w:cs="Times New Roman"/>
        </w:rPr>
        <w:t xml:space="preserve">In this section, a </w:t>
      </w:r>
      <w:r>
        <w:rPr>
          <w:rFonts w:ascii="Times New Roman" w:hAnsi="Times New Roman" w:cs="Times New Roman"/>
        </w:rPr>
        <w:t xml:space="preserve">5-point </w:t>
      </w:r>
      <w:r w:rsidRPr="00C93120">
        <w:rPr>
          <w:rFonts w:ascii="Times New Roman" w:hAnsi="Times New Roman" w:cs="Times New Roman"/>
        </w:rPr>
        <w:t>Likert scale was used to assess the</w:t>
      </w:r>
      <w:r>
        <w:rPr>
          <w:rFonts w:ascii="Times New Roman" w:hAnsi="Times New Roman" w:cs="Times New Roman"/>
        </w:rPr>
        <w:t>ir</w:t>
      </w:r>
      <w:r w:rsidRPr="00C93120">
        <w:rPr>
          <w:rFonts w:ascii="Times New Roman" w:hAnsi="Times New Roman" w:cs="Times New Roman"/>
        </w:rPr>
        <w:t xml:space="preserve"> </w:t>
      </w:r>
      <w:r>
        <w:rPr>
          <w:rFonts w:ascii="Times New Roman" w:hAnsi="Times New Roman" w:cs="Times New Roman"/>
        </w:rPr>
        <w:t>practice</w:t>
      </w:r>
      <w:r w:rsidRPr="00C93120">
        <w:rPr>
          <w:rFonts w:ascii="Times New Roman" w:hAnsi="Times New Roman" w:cs="Times New Roman"/>
        </w:rPr>
        <w:t xml:space="preserve">; </w:t>
      </w:r>
      <w:r>
        <w:rPr>
          <w:rFonts w:ascii="Times New Roman" w:hAnsi="Times New Roman" w:cs="Times New Roman"/>
        </w:rPr>
        <w:t>available responses</w:t>
      </w:r>
      <w:r w:rsidRPr="00C93120">
        <w:rPr>
          <w:rFonts w:ascii="Times New Roman" w:hAnsi="Times New Roman" w:cs="Times New Roman"/>
        </w:rPr>
        <w:t xml:space="preserve"> range</w:t>
      </w:r>
      <w:r>
        <w:rPr>
          <w:rFonts w:ascii="Times New Roman" w:hAnsi="Times New Roman" w:cs="Times New Roman"/>
        </w:rPr>
        <w:t>d from Correct (Always, Most of the time, Sometimes) to Negative</w:t>
      </w:r>
      <w:r w:rsidRPr="00C93120">
        <w:rPr>
          <w:rFonts w:ascii="Times New Roman" w:hAnsi="Times New Roman" w:cs="Times New Roman"/>
        </w:rPr>
        <w:t xml:space="preserve"> </w:t>
      </w:r>
      <w:r>
        <w:rPr>
          <w:rFonts w:ascii="Times New Roman" w:hAnsi="Times New Roman" w:cs="Times New Roman"/>
        </w:rPr>
        <w:t>(Rarely, Never)</w:t>
      </w:r>
      <w:r w:rsidRPr="00C93120">
        <w:rPr>
          <w:rFonts w:ascii="Times New Roman" w:hAnsi="Times New Roman" w:cs="Times New Roman"/>
        </w:rPr>
        <w:t>.</w:t>
      </w:r>
      <w:r w:rsidRPr="00F162DB">
        <w:rPr>
          <w:rFonts w:ascii="Times New Roman" w:hAnsi="Times New Roman" w:cs="Times New Roman"/>
        </w:rPr>
        <w:t xml:space="preserve"> </w:t>
      </w:r>
    </w:p>
    <w:p w14:paraId="56519325" w14:textId="77777777" w:rsidR="008D3C32" w:rsidRDefault="008D3C32" w:rsidP="008D3C32">
      <w:pPr>
        <w:spacing w:line="480" w:lineRule="auto"/>
        <w:jc w:val="both"/>
        <w:rPr>
          <w:rFonts w:ascii="Times New Roman" w:hAnsi="Times New Roman" w:cs="Times New Roman"/>
        </w:rPr>
      </w:pPr>
      <w:r>
        <w:rPr>
          <w:rFonts w:ascii="Times New Roman" w:hAnsi="Times New Roman" w:cs="Times New Roman"/>
        </w:rPr>
        <w:t xml:space="preserve">For the third and fourth sections, </w:t>
      </w:r>
      <w:r w:rsidRPr="00116F0B">
        <w:rPr>
          <w:rFonts w:ascii="Times New Roman" w:hAnsi="Times New Roman" w:cs="Times New Roman"/>
        </w:rPr>
        <w:t>a range of score 1-5 was assigned with one as the lowest and five as the highest.</w:t>
      </w:r>
    </w:p>
    <w:p w14:paraId="1286CC0F" w14:textId="77777777" w:rsidR="008D3C32" w:rsidRDefault="008D3C32" w:rsidP="008D3C32">
      <w:pPr>
        <w:spacing w:line="480" w:lineRule="auto"/>
        <w:jc w:val="both"/>
        <w:rPr>
          <w:rFonts w:ascii="Times New Roman" w:hAnsi="Times New Roman" w:cs="Times New Roman"/>
        </w:rPr>
      </w:pPr>
      <w:r w:rsidRPr="00912317">
        <w:rPr>
          <w:rFonts w:ascii="Times New Roman" w:hAnsi="Times New Roman" w:cs="Times New Roman"/>
        </w:rPr>
        <w:t>Questions were clear and unbiased</w:t>
      </w:r>
      <w:r>
        <w:rPr>
          <w:rFonts w:ascii="Times New Roman" w:hAnsi="Times New Roman" w:cs="Times New Roman"/>
        </w:rPr>
        <w:t>.</w:t>
      </w:r>
    </w:p>
    <w:p w14:paraId="584F1837" w14:textId="77777777" w:rsidR="008D3C32" w:rsidRPr="002E7D98" w:rsidRDefault="008D3C32" w:rsidP="008D3C32">
      <w:pPr>
        <w:spacing w:line="480" w:lineRule="auto"/>
        <w:jc w:val="both"/>
        <w:rPr>
          <w:rFonts w:ascii="Times New Roman" w:hAnsi="Times New Roman" w:cs="Times New Roman"/>
          <w:b/>
          <w:bCs/>
        </w:rPr>
      </w:pPr>
      <w:r w:rsidRPr="002E7D98">
        <w:rPr>
          <w:rFonts w:ascii="Times New Roman" w:hAnsi="Times New Roman" w:cs="Times New Roman"/>
          <w:b/>
          <w:bCs/>
        </w:rPr>
        <w:t>Eligibility Criteria</w:t>
      </w:r>
    </w:p>
    <w:p w14:paraId="6D60DBBB"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lastRenderedPageBreak/>
        <w:t xml:space="preserve">Fully matriculated undergraduate students across all study levels of </w:t>
      </w:r>
      <w:r>
        <w:rPr>
          <w:rFonts w:ascii="Times New Roman" w:hAnsi="Times New Roman" w:cs="Times New Roman"/>
        </w:rPr>
        <w:t>any</w:t>
      </w:r>
      <w:r w:rsidRPr="00F162DB">
        <w:rPr>
          <w:rFonts w:ascii="Times New Roman" w:hAnsi="Times New Roman" w:cs="Times New Roman"/>
        </w:rPr>
        <w:t xml:space="preserve"> facult</w:t>
      </w:r>
      <w:r>
        <w:rPr>
          <w:rFonts w:ascii="Times New Roman" w:hAnsi="Times New Roman" w:cs="Times New Roman"/>
        </w:rPr>
        <w:t xml:space="preserve">y could </w:t>
      </w:r>
      <w:r w:rsidRPr="00F162DB">
        <w:rPr>
          <w:rFonts w:ascii="Times New Roman" w:hAnsi="Times New Roman" w:cs="Times New Roman"/>
        </w:rPr>
        <w:t>participate</w:t>
      </w:r>
      <w:r>
        <w:rPr>
          <w:rFonts w:ascii="Times New Roman" w:hAnsi="Times New Roman" w:cs="Times New Roman"/>
        </w:rPr>
        <w:t xml:space="preserve"> </w:t>
      </w:r>
      <w:r w:rsidRPr="00F162DB">
        <w:rPr>
          <w:rFonts w:ascii="Times New Roman" w:hAnsi="Times New Roman" w:cs="Times New Roman"/>
        </w:rPr>
        <w:t>in the research</w:t>
      </w:r>
      <w:r>
        <w:rPr>
          <w:rFonts w:ascii="Times New Roman" w:hAnsi="Times New Roman" w:cs="Times New Roman"/>
        </w:rPr>
        <w:t xml:space="preserve">. </w:t>
      </w:r>
      <w:r w:rsidRPr="00E962CA">
        <w:rPr>
          <w:rFonts w:ascii="Times New Roman" w:hAnsi="Times New Roman" w:cs="Times New Roman"/>
        </w:rPr>
        <w:t>This excludes postgraduate, diploma, certificates and part-time students</w:t>
      </w:r>
    </w:p>
    <w:p w14:paraId="37DA8866" w14:textId="77777777" w:rsidR="008D3C32" w:rsidRDefault="008D3C32" w:rsidP="008D3C32">
      <w:pPr>
        <w:spacing w:line="480" w:lineRule="auto"/>
        <w:jc w:val="both"/>
        <w:rPr>
          <w:rFonts w:ascii="Times New Roman" w:hAnsi="Times New Roman" w:cs="Times New Roman"/>
          <w:b/>
          <w:bCs/>
        </w:rPr>
      </w:pPr>
    </w:p>
    <w:p w14:paraId="55AF8772" w14:textId="77777777" w:rsidR="008D3C32" w:rsidRDefault="008D3C32" w:rsidP="008D3C32">
      <w:pPr>
        <w:spacing w:line="480" w:lineRule="auto"/>
        <w:jc w:val="both"/>
        <w:rPr>
          <w:rFonts w:ascii="Times New Roman" w:hAnsi="Times New Roman" w:cs="Times New Roman"/>
          <w:b/>
          <w:bCs/>
        </w:rPr>
      </w:pPr>
    </w:p>
    <w:p w14:paraId="49EC0AD0"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b/>
          <w:bCs/>
        </w:rPr>
        <w:t>Statistical Analysis</w:t>
      </w:r>
    </w:p>
    <w:p w14:paraId="7F67A4B3" w14:textId="77777777" w:rsidR="008D3C32" w:rsidRPr="001A3608" w:rsidRDefault="008D3C32" w:rsidP="008D3C32">
      <w:pPr>
        <w:spacing w:line="480" w:lineRule="auto"/>
        <w:jc w:val="both"/>
        <w:rPr>
          <w:rFonts w:ascii="Times New Roman" w:hAnsi="Times New Roman" w:cs="Times New Roman"/>
        </w:rPr>
      </w:pPr>
      <w:r w:rsidRPr="00F162DB">
        <w:rPr>
          <w:rFonts w:ascii="Times New Roman" w:hAnsi="Times New Roman" w:cs="Times New Roman"/>
        </w:rPr>
        <w:t xml:space="preserve">Data analysis was carried out using Statistical package for Social Sciences (SPSS) version 20 by IBM. Descriptive analyses were conducted to determine frequencies and proportions of categorical variables in the total study sample. </w:t>
      </w:r>
      <w:r w:rsidRPr="004706B7">
        <w:rPr>
          <w:rFonts w:ascii="Times New Roman" w:hAnsi="Times New Roman" w:cs="Times New Roman"/>
        </w:rPr>
        <w:t xml:space="preserve">Chi-square tests </w:t>
      </w:r>
      <w:proofErr w:type="gramStart"/>
      <w:r w:rsidRPr="004706B7">
        <w:rPr>
          <w:rFonts w:ascii="Times New Roman" w:hAnsi="Times New Roman" w:cs="Times New Roman"/>
        </w:rPr>
        <w:t>was</w:t>
      </w:r>
      <w:proofErr w:type="gramEnd"/>
      <w:r w:rsidRPr="004706B7">
        <w:rPr>
          <w:rFonts w:ascii="Times New Roman" w:hAnsi="Times New Roman" w:cs="Times New Roman"/>
        </w:rPr>
        <w:t xml:space="preserve"> used for associations between socio-demographic characteristics of respondents and </w:t>
      </w:r>
      <w:r>
        <w:rPr>
          <w:rFonts w:ascii="Times New Roman" w:hAnsi="Times New Roman" w:cs="Times New Roman"/>
        </w:rPr>
        <w:t xml:space="preserve">their </w:t>
      </w:r>
      <w:r w:rsidRPr="004706B7">
        <w:rPr>
          <w:rFonts w:ascii="Times New Roman" w:hAnsi="Times New Roman" w:cs="Times New Roman"/>
        </w:rPr>
        <w:t>KAP</w:t>
      </w:r>
      <w:r>
        <w:rPr>
          <w:rFonts w:ascii="Times New Roman" w:hAnsi="Times New Roman" w:cs="Times New Roman"/>
        </w:rPr>
        <w:t xml:space="preserve"> to food hygiene. </w:t>
      </w:r>
      <w:r w:rsidRPr="004706B7">
        <w:rPr>
          <w:rFonts w:ascii="Times New Roman" w:hAnsi="Times New Roman" w:cs="Times New Roman"/>
        </w:rPr>
        <w:t>Multivariable logistic regression for estimating the probability of significant KAP variables</w:t>
      </w:r>
      <w:r>
        <w:rPr>
          <w:rFonts w:ascii="Times New Roman" w:hAnsi="Times New Roman" w:cs="Times New Roman"/>
        </w:rPr>
        <w:t xml:space="preserve">. </w:t>
      </w:r>
      <w:r w:rsidRPr="00F162DB">
        <w:rPr>
          <w:rFonts w:ascii="Times New Roman" w:hAnsi="Times New Roman" w:cs="Times New Roman"/>
        </w:rPr>
        <w:t>Two independent analysts were employed to reduce systematic errors.</w:t>
      </w:r>
    </w:p>
    <w:p w14:paraId="462670BF" w14:textId="77777777" w:rsidR="008D3C32" w:rsidRPr="00F162DB" w:rsidRDefault="008D3C32" w:rsidP="008D3C32">
      <w:pPr>
        <w:spacing w:line="480" w:lineRule="auto"/>
        <w:jc w:val="both"/>
        <w:rPr>
          <w:rFonts w:ascii="Times New Roman" w:hAnsi="Times New Roman" w:cs="Times New Roman"/>
          <w:b/>
          <w:bCs/>
        </w:rPr>
      </w:pPr>
      <w:r w:rsidRPr="00F162DB">
        <w:rPr>
          <w:rFonts w:ascii="Times New Roman" w:hAnsi="Times New Roman" w:cs="Times New Roman"/>
          <w:b/>
          <w:bCs/>
        </w:rPr>
        <w:t>Ethical Considerations</w:t>
      </w:r>
    </w:p>
    <w:p w14:paraId="4BC023D5"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t>Information obtained from the study was handled confidentially. Ethical approval was obtained from the Health, Research and Ethical Committee of the University of Nigeria Teaching Hospital, UNTH, Enugu, Nigeria. Personal identifications of respondents were precluded from the study tool. Respondents were informed that their participation was voluntary with verbal consent obtained from all participants. Participants were assured of their rights to withdraw from the study</w:t>
      </w:r>
      <w:r>
        <w:rPr>
          <w:rFonts w:ascii="Times New Roman" w:hAnsi="Times New Roman" w:cs="Times New Roman"/>
        </w:rPr>
        <w:t xml:space="preserve"> at any point, </w:t>
      </w:r>
      <w:r w:rsidRPr="00F162DB">
        <w:rPr>
          <w:rFonts w:ascii="Times New Roman" w:hAnsi="Times New Roman" w:cs="Times New Roman"/>
        </w:rPr>
        <w:t>if desired.</w:t>
      </w:r>
    </w:p>
    <w:p w14:paraId="252B710E" w14:textId="77777777" w:rsidR="00902BDE" w:rsidRDefault="00902BDE" w:rsidP="008D3C32">
      <w:pPr>
        <w:spacing w:line="480" w:lineRule="auto"/>
        <w:jc w:val="both"/>
        <w:rPr>
          <w:rFonts w:ascii="Times New Roman" w:hAnsi="Times New Roman" w:cs="Times New Roman"/>
          <w:b/>
          <w:bCs/>
        </w:rPr>
      </w:pPr>
    </w:p>
    <w:p w14:paraId="0E9CF54A" w14:textId="77777777" w:rsidR="00902BDE" w:rsidRDefault="00902BDE" w:rsidP="008D3C32">
      <w:pPr>
        <w:spacing w:line="480" w:lineRule="auto"/>
        <w:jc w:val="both"/>
        <w:rPr>
          <w:rFonts w:ascii="Times New Roman" w:hAnsi="Times New Roman" w:cs="Times New Roman"/>
          <w:b/>
          <w:bCs/>
        </w:rPr>
      </w:pPr>
    </w:p>
    <w:p w14:paraId="367ACB22" w14:textId="77777777" w:rsidR="00902BDE" w:rsidRDefault="00902BDE" w:rsidP="008D3C32">
      <w:pPr>
        <w:spacing w:line="480" w:lineRule="auto"/>
        <w:jc w:val="both"/>
        <w:rPr>
          <w:rFonts w:ascii="Times New Roman" w:hAnsi="Times New Roman" w:cs="Times New Roman"/>
          <w:b/>
          <w:bCs/>
        </w:rPr>
      </w:pPr>
    </w:p>
    <w:p w14:paraId="1FCFBA7C" w14:textId="77777777" w:rsidR="00902BDE" w:rsidRDefault="00902BDE" w:rsidP="008D3C32">
      <w:pPr>
        <w:spacing w:line="480" w:lineRule="auto"/>
        <w:jc w:val="both"/>
        <w:rPr>
          <w:rFonts w:ascii="Times New Roman" w:hAnsi="Times New Roman" w:cs="Times New Roman"/>
          <w:b/>
          <w:bCs/>
        </w:rPr>
      </w:pPr>
    </w:p>
    <w:p w14:paraId="7F31E66F" w14:textId="77777777" w:rsidR="00902BDE" w:rsidRDefault="00902BDE" w:rsidP="008D3C32">
      <w:pPr>
        <w:spacing w:line="480" w:lineRule="auto"/>
        <w:jc w:val="both"/>
        <w:rPr>
          <w:rFonts w:ascii="Times New Roman" w:hAnsi="Times New Roman" w:cs="Times New Roman"/>
          <w:b/>
          <w:bCs/>
        </w:rPr>
      </w:pPr>
    </w:p>
    <w:p w14:paraId="386223CA" w14:textId="77777777" w:rsidR="00902BDE" w:rsidRDefault="00902BDE" w:rsidP="008D3C32">
      <w:pPr>
        <w:spacing w:line="480" w:lineRule="auto"/>
        <w:jc w:val="both"/>
        <w:rPr>
          <w:rFonts w:ascii="Times New Roman" w:hAnsi="Times New Roman" w:cs="Times New Roman"/>
          <w:b/>
          <w:bCs/>
        </w:rPr>
      </w:pPr>
    </w:p>
    <w:p w14:paraId="2803D2C7" w14:textId="77777777" w:rsidR="00902BDE" w:rsidRDefault="00902BDE" w:rsidP="008D3C32">
      <w:pPr>
        <w:spacing w:line="480" w:lineRule="auto"/>
        <w:jc w:val="both"/>
        <w:rPr>
          <w:rFonts w:ascii="Times New Roman" w:hAnsi="Times New Roman" w:cs="Times New Roman"/>
          <w:b/>
          <w:bCs/>
        </w:rPr>
      </w:pPr>
    </w:p>
    <w:p w14:paraId="35B9E054" w14:textId="77777777" w:rsidR="00902BDE" w:rsidRDefault="00902BDE" w:rsidP="008D3C32">
      <w:pPr>
        <w:spacing w:line="480" w:lineRule="auto"/>
        <w:jc w:val="both"/>
        <w:rPr>
          <w:rFonts w:ascii="Times New Roman" w:hAnsi="Times New Roman" w:cs="Times New Roman"/>
          <w:b/>
          <w:bCs/>
        </w:rPr>
      </w:pPr>
    </w:p>
    <w:p w14:paraId="36DFCDA8" w14:textId="77777777" w:rsidR="008D3C32" w:rsidRPr="00F162DB" w:rsidRDefault="008D3C32" w:rsidP="008D3C32">
      <w:pPr>
        <w:spacing w:line="480" w:lineRule="auto"/>
        <w:jc w:val="both"/>
        <w:rPr>
          <w:rFonts w:ascii="Times New Roman" w:hAnsi="Times New Roman" w:cs="Times New Roman"/>
          <w:b/>
          <w:bCs/>
        </w:rPr>
      </w:pPr>
      <w:r w:rsidRPr="00F162DB">
        <w:rPr>
          <w:rFonts w:ascii="Times New Roman" w:hAnsi="Times New Roman" w:cs="Times New Roman"/>
          <w:b/>
          <w:bCs/>
        </w:rPr>
        <w:t>RESULTS</w:t>
      </w:r>
    </w:p>
    <w:p w14:paraId="42E18963"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t>A total of 417 responses were received from the undergraduate students</w:t>
      </w:r>
      <w:r>
        <w:rPr>
          <w:rFonts w:ascii="Times New Roman" w:hAnsi="Times New Roman" w:cs="Times New Roman"/>
        </w:rPr>
        <w:t xml:space="preserve"> with a response rate of 100%.</w:t>
      </w:r>
      <w:r w:rsidRPr="00F162DB">
        <w:rPr>
          <w:rFonts w:ascii="Times New Roman" w:hAnsi="Times New Roman" w:cs="Times New Roman"/>
        </w:rPr>
        <w:t xml:space="preserve"> </w:t>
      </w:r>
      <w:r w:rsidRPr="00F162DB">
        <w:rPr>
          <w:rFonts w:ascii="Times New Roman" w:eastAsia="Calibri" w:hAnsi="Times New Roman" w:cs="Times New Roman"/>
          <w:b/>
          <w:bCs/>
        </w:rPr>
        <w:t>Table</w:t>
      </w:r>
      <w:r w:rsidRPr="00F162DB">
        <w:rPr>
          <w:rFonts w:ascii="Times New Roman" w:eastAsia="Calibri" w:hAnsi="Times New Roman" w:cs="Times New Roman"/>
        </w:rPr>
        <w:t xml:space="preserve"> </w:t>
      </w:r>
      <w:r w:rsidRPr="00F162DB">
        <w:rPr>
          <w:rFonts w:ascii="Times New Roman" w:eastAsia="Calibri" w:hAnsi="Times New Roman" w:cs="Times New Roman"/>
          <w:b/>
          <w:bCs/>
        </w:rPr>
        <w:t>1</w:t>
      </w:r>
      <w:r w:rsidRPr="00F162DB">
        <w:rPr>
          <w:rFonts w:ascii="Times New Roman" w:eastAsia="Calibri" w:hAnsi="Times New Roman" w:cs="Times New Roman"/>
        </w:rPr>
        <w:t xml:space="preserve"> show</w:t>
      </w:r>
      <w:r>
        <w:rPr>
          <w:rFonts w:ascii="Times New Roman" w:eastAsia="Calibri" w:hAnsi="Times New Roman" w:cs="Times New Roman"/>
        </w:rPr>
        <w:t>ed</w:t>
      </w:r>
      <w:r w:rsidRPr="00F162DB">
        <w:rPr>
          <w:rFonts w:ascii="Times New Roman" w:eastAsia="Calibri" w:hAnsi="Times New Roman" w:cs="Times New Roman"/>
        </w:rPr>
        <w:t xml:space="preserve"> that majority (73.4%) of the respondents were within the age range of 20-24 years of age with a mean age of 21.93±2.39. The respondents were predominantly Christians, (97.4%) and 98.1% were single. A large proportion (82.7%) of the respondents resides in the school hostels. Most (61.6%) of the respondents prepare the meals they consume.</w:t>
      </w:r>
    </w:p>
    <w:p w14:paraId="61606F42" w14:textId="77777777" w:rsidR="008D3C32" w:rsidRDefault="008D3C32" w:rsidP="008D3C32">
      <w:pPr>
        <w:spacing w:line="480" w:lineRule="auto"/>
        <w:jc w:val="both"/>
        <w:rPr>
          <w:rFonts w:ascii="Times New Roman" w:eastAsia="Calibri" w:hAnsi="Times New Roman" w:cs="Times New Roman"/>
          <w:b/>
          <w:bCs/>
          <w:i/>
          <w:iCs/>
        </w:rPr>
      </w:pPr>
    </w:p>
    <w:p w14:paraId="4B991E14" w14:textId="77777777" w:rsidR="008D3C32" w:rsidRPr="00F162DB" w:rsidRDefault="008D3C32" w:rsidP="008D3C32">
      <w:pPr>
        <w:spacing w:line="480" w:lineRule="auto"/>
        <w:jc w:val="both"/>
        <w:rPr>
          <w:rFonts w:ascii="Times New Roman" w:hAnsi="Times New Roman" w:cs="Times New Roman"/>
          <w:i/>
          <w:iCs/>
        </w:rPr>
      </w:pPr>
      <w:r w:rsidRPr="00F162DB">
        <w:rPr>
          <w:rFonts w:ascii="Times New Roman" w:eastAsia="Calibri" w:hAnsi="Times New Roman" w:cs="Times New Roman"/>
          <w:b/>
          <w:bCs/>
          <w:i/>
          <w:iCs/>
        </w:rPr>
        <w:t>Table 1: Socio-demographic characteristics of the respondents (n=417)</w:t>
      </w:r>
    </w:p>
    <w:tbl>
      <w:tblPr>
        <w:tblStyle w:val="PlainTable4"/>
        <w:tblW w:w="0" w:type="auto"/>
        <w:tblLook w:val="04A0" w:firstRow="1" w:lastRow="0" w:firstColumn="1" w:lastColumn="0" w:noHBand="0" w:noVBand="1"/>
      </w:tblPr>
      <w:tblGrid>
        <w:gridCol w:w="5029"/>
        <w:gridCol w:w="2056"/>
        <w:gridCol w:w="1437"/>
      </w:tblGrid>
      <w:tr w:rsidR="008D3C32" w:rsidRPr="00F162DB" w14:paraId="1DE408A4" w14:textId="77777777" w:rsidTr="00B06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4C23BCB5" w14:textId="77777777" w:rsidR="008D3C32" w:rsidRPr="00F162DB" w:rsidRDefault="008D3C32" w:rsidP="00B06251">
            <w:pPr>
              <w:jc w:val="both"/>
              <w:rPr>
                <w:rFonts w:ascii="Times New Roman" w:eastAsia="Calibri" w:hAnsi="Times New Roman" w:cs="Times New Roman"/>
              </w:rPr>
            </w:pPr>
            <w:r w:rsidRPr="00F162DB">
              <w:rPr>
                <w:rFonts w:ascii="Times New Roman" w:eastAsia="Calibri" w:hAnsi="Times New Roman" w:cs="Times New Roman"/>
              </w:rPr>
              <w:t>Socio-demographic variables</w:t>
            </w:r>
          </w:p>
        </w:tc>
        <w:tc>
          <w:tcPr>
            <w:tcW w:w="2056" w:type="dxa"/>
          </w:tcPr>
          <w:p w14:paraId="120B449F" w14:textId="77777777" w:rsidR="008D3C32" w:rsidRPr="00F162DB" w:rsidRDefault="008D3C32" w:rsidP="00B0625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F162DB">
              <w:rPr>
                <w:rFonts w:ascii="Times New Roman" w:eastAsia="Calibri" w:hAnsi="Times New Roman" w:cs="Times New Roman"/>
              </w:rPr>
              <w:t>Frequency (n=417)</w:t>
            </w:r>
          </w:p>
        </w:tc>
        <w:tc>
          <w:tcPr>
            <w:tcW w:w="1437" w:type="dxa"/>
          </w:tcPr>
          <w:p w14:paraId="55544B92" w14:textId="77777777" w:rsidR="008D3C32" w:rsidRPr="00F162DB" w:rsidRDefault="008D3C32" w:rsidP="00B0625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F162DB">
              <w:rPr>
                <w:rFonts w:ascii="Times New Roman" w:eastAsia="Calibri" w:hAnsi="Times New Roman" w:cs="Times New Roman"/>
              </w:rPr>
              <w:t>Percent</w:t>
            </w:r>
          </w:p>
        </w:tc>
      </w:tr>
      <w:tr w:rsidR="008D3C32" w:rsidRPr="00F162DB" w14:paraId="1F629215"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502C44EF" w14:textId="77777777" w:rsidR="008D3C32" w:rsidRPr="00F162DB" w:rsidRDefault="008D3C32" w:rsidP="00B06251">
            <w:pPr>
              <w:jc w:val="both"/>
              <w:rPr>
                <w:rFonts w:ascii="Times New Roman" w:eastAsia="Calibri" w:hAnsi="Times New Roman" w:cs="Times New Roman"/>
                <w:i/>
                <w:iCs/>
              </w:rPr>
            </w:pPr>
            <w:r w:rsidRPr="00F162DB">
              <w:rPr>
                <w:rFonts w:ascii="Times New Roman" w:eastAsia="Calibri" w:hAnsi="Times New Roman" w:cs="Times New Roman"/>
                <w:i/>
                <w:iCs/>
              </w:rPr>
              <w:t>Age in years</w:t>
            </w:r>
          </w:p>
        </w:tc>
        <w:tc>
          <w:tcPr>
            <w:tcW w:w="2056" w:type="dxa"/>
          </w:tcPr>
          <w:p w14:paraId="4D5D57F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c>
          <w:tcPr>
            <w:tcW w:w="1437" w:type="dxa"/>
          </w:tcPr>
          <w:p w14:paraId="11059CF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8D3C32" w:rsidRPr="00F162DB" w14:paraId="72F69919"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238B02E0"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15 – 19</w:t>
            </w:r>
          </w:p>
        </w:tc>
        <w:tc>
          <w:tcPr>
            <w:tcW w:w="2056" w:type="dxa"/>
          </w:tcPr>
          <w:p w14:paraId="26FA1DA6"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53</w:t>
            </w:r>
          </w:p>
        </w:tc>
        <w:tc>
          <w:tcPr>
            <w:tcW w:w="1437" w:type="dxa"/>
          </w:tcPr>
          <w:p w14:paraId="64502DB6"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12.7</w:t>
            </w:r>
          </w:p>
        </w:tc>
      </w:tr>
      <w:tr w:rsidR="008D3C32" w:rsidRPr="00F162DB" w14:paraId="4129D4C7" w14:textId="77777777" w:rsidTr="00B06251">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029" w:type="dxa"/>
          </w:tcPr>
          <w:p w14:paraId="795C4931"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20 – 24</w:t>
            </w:r>
          </w:p>
        </w:tc>
        <w:tc>
          <w:tcPr>
            <w:tcW w:w="2056" w:type="dxa"/>
          </w:tcPr>
          <w:p w14:paraId="6470D968"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306</w:t>
            </w:r>
          </w:p>
        </w:tc>
        <w:tc>
          <w:tcPr>
            <w:tcW w:w="1437" w:type="dxa"/>
          </w:tcPr>
          <w:p w14:paraId="58514751"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73.4</w:t>
            </w:r>
          </w:p>
        </w:tc>
      </w:tr>
      <w:tr w:rsidR="008D3C32" w:rsidRPr="00F162DB" w14:paraId="0070A8D7"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7CD4B4C6"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25 – 29</w:t>
            </w:r>
          </w:p>
        </w:tc>
        <w:tc>
          <w:tcPr>
            <w:tcW w:w="2056" w:type="dxa"/>
          </w:tcPr>
          <w:p w14:paraId="07281202"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54</w:t>
            </w:r>
          </w:p>
        </w:tc>
        <w:tc>
          <w:tcPr>
            <w:tcW w:w="1437" w:type="dxa"/>
          </w:tcPr>
          <w:p w14:paraId="274796CB"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12.9</w:t>
            </w:r>
          </w:p>
        </w:tc>
      </w:tr>
      <w:tr w:rsidR="008D3C32" w:rsidRPr="00F162DB" w14:paraId="6C43AB83"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7D09F154"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 xml:space="preserve">30 – 34 </w:t>
            </w:r>
          </w:p>
        </w:tc>
        <w:tc>
          <w:tcPr>
            <w:tcW w:w="2056" w:type="dxa"/>
          </w:tcPr>
          <w:p w14:paraId="017C30B0"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w:t>
            </w:r>
          </w:p>
        </w:tc>
        <w:tc>
          <w:tcPr>
            <w:tcW w:w="1437" w:type="dxa"/>
          </w:tcPr>
          <w:p w14:paraId="146470AF"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1.0</w:t>
            </w:r>
          </w:p>
        </w:tc>
      </w:tr>
      <w:tr w:rsidR="008D3C32" w:rsidRPr="00F162DB" w14:paraId="76C8B55B"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7B179FEF" w14:textId="77777777" w:rsidR="008D3C32" w:rsidRPr="00F162DB" w:rsidRDefault="008D3C32" w:rsidP="00B06251">
            <w:pPr>
              <w:jc w:val="both"/>
              <w:rPr>
                <w:rFonts w:ascii="Times New Roman" w:eastAsia="Calibri" w:hAnsi="Times New Roman" w:cs="Times New Roman"/>
                <w:i/>
                <w:iCs/>
              </w:rPr>
            </w:pPr>
            <w:r w:rsidRPr="00F162DB">
              <w:rPr>
                <w:rFonts w:ascii="Times New Roman" w:eastAsia="Times New Roman" w:hAnsi="Times New Roman" w:cs="Times New Roman"/>
                <w:i/>
                <w:iCs/>
                <w:color w:val="000000"/>
              </w:rPr>
              <w:t xml:space="preserve">                     Mean ± SD = 21.93 ±2.39</w:t>
            </w:r>
          </w:p>
        </w:tc>
        <w:tc>
          <w:tcPr>
            <w:tcW w:w="2056" w:type="dxa"/>
          </w:tcPr>
          <w:p w14:paraId="545F863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c>
          <w:tcPr>
            <w:tcW w:w="1437" w:type="dxa"/>
          </w:tcPr>
          <w:p w14:paraId="6FADBA1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r>
      <w:tr w:rsidR="008D3C32" w:rsidRPr="00F162DB" w14:paraId="536C5DB6"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0CE25C79" w14:textId="77777777" w:rsidR="008D3C32" w:rsidRPr="00F162DB" w:rsidRDefault="008D3C32" w:rsidP="00B06251">
            <w:pPr>
              <w:jc w:val="both"/>
              <w:rPr>
                <w:rFonts w:ascii="Times New Roman" w:eastAsia="Calibri" w:hAnsi="Times New Roman" w:cs="Times New Roman"/>
                <w:i/>
                <w:iCs/>
              </w:rPr>
            </w:pPr>
            <w:r w:rsidRPr="00F162DB">
              <w:rPr>
                <w:rFonts w:ascii="Times New Roman" w:eastAsia="Calibri" w:hAnsi="Times New Roman" w:cs="Times New Roman"/>
                <w:i/>
                <w:iCs/>
              </w:rPr>
              <w:t>Gender</w:t>
            </w:r>
          </w:p>
        </w:tc>
        <w:tc>
          <w:tcPr>
            <w:tcW w:w="2056" w:type="dxa"/>
          </w:tcPr>
          <w:p w14:paraId="63023D8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c>
          <w:tcPr>
            <w:tcW w:w="1437" w:type="dxa"/>
          </w:tcPr>
          <w:p w14:paraId="67FF97B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8D3C32" w:rsidRPr="00F162DB" w14:paraId="1EAC73ED"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7F53F039"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Male</w:t>
            </w:r>
          </w:p>
        </w:tc>
        <w:tc>
          <w:tcPr>
            <w:tcW w:w="2056" w:type="dxa"/>
          </w:tcPr>
          <w:p w14:paraId="5233A421"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179</w:t>
            </w:r>
          </w:p>
        </w:tc>
        <w:tc>
          <w:tcPr>
            <w:tcW w:w="1437" w:type="dxa"/>
          </w:tcPr>
          <w:p w14:paraId="222C75B5"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42.9</w:t>
            </w:r>
          </w:p>
        </w:tc>
      </w:tr>
      <w:tr w:rsidR="008D3C32" w:rsidRPr="00F162DB" w14:paraId="218CACF4"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58E81666"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Female</w:t>
            </w:r>
          </w:p>
        </w:tc>
        <w:tc>
          <w:tcPr>
            <w:tcW w:w="2056" w:type="dxa"/>
          </w:tcPr>
          <w:p w14:paraId="5AB035F2"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238</w:t>
            </w:r>
          </w:p>
        </w:tc>
        <w:tc>
          <w:tcPr>
            <w:tcW w:w="1437" w:type="dxa"/>
          </w:tcPr>
          <w:p w14:paraId="35127E86"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57.1</w:t>
            </w:r>
          </w:p>
        </w:tc>
      </w:tr>
      <w:tr w:rsidR="008D3C32" w:rsidRPr="00F162DB" w14:paraId="4E803A03"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2CD3D10D" w14:textId="77777777" w:rsidR="008D3C32" w:rsidRPr="00F162DB" w:rsidRDefault="008D3C32" w:rsidP="00B06251">
            <w:pPr>
              <w:jc w:val="both"/>
              <w:rPr>
                <w:rFonts w:ascii="Times New Roman" w:eastAsia="Calibri" w:hAnsi="Times New Roman" w:cs="Times New Roman"/>
                <w:b w:val="0"/>
                <w:bCs w:val="0"/>
                <w:i/>
                <w:iCs/>
              </w:rPr>
            </w:pPr>
          </w:p>
        </w:tc>
        <w:tc>
          <w:tcPr>
            <w:tcW w:w="2056" w:type="dxa"/>
          </w:tcPr>
          <w:p w14:paraId="5507B35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c>
          <w:tcPr>
            <w:tcW w:w="1437" w:type="dxa"/>
          </w:tcPr>
          <w:p w14:paraId="237805B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r>
      <w:tr w:rsidR="008D3C32" w:rsidRPr="00F162DB" w14:paraId="006EDA91"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283E5A96" w14:textId="77777777" w:rsidR="008D3C32" w:rsidRPr="00F162DB" w:rsidRDefault="008D3C32" w:rsidP="00B06251">
            <w:pPr>
              <w:jc w:val="both"/>
              <w:rPr>
                <w:rFonts w:ascii="Times New Roman" w:eastAsia="Calibri" w:hAnsi="Times New Roman" w:cs="Times New Roman"/>
                <w:i/>
                <w:iCs/>
              </w:rPr>
            </w:pPr>
            <w:r w:rsidRPr="00F162DB">
              <w:rPr>
                <w:rFonts w:ascii="Times New Roman" w:eastAsia="Calibri" w:hAnsi="Times New Roman" w:cs="Times New Roman"/>
                <w:i/>
                <w:iCs/>
              </w:rPr>
              <w:t>Marital status</w:t>
            </w:r>
          </w:p>
        </w:tc>
        <w:tc>
          <w:tcPr>
            <w:tcW w:w="2056" w:type="dxa"/>
          </w:tcPr>
          <w:p w14:paraId="7B25E9A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c>
          <w:tcPr>
            <w:tcW w:w="1437" w:type="dxa"/>
          </w:tcPr>
          <w:p w14:paraId="7880CE1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8D3C32" w:rsidRPr="00F162DB" w14:paraId="05712F2E"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37C3A58C"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Married</w:t>
            </w:r>
          </w:p>
        </w:tc>
        <w:tc>
          <w:tcPr>
            <w:tcW w:w="2056" w:type="dxa"/>
          </w:tcPr>
          <w:p w14:paraId="67B2C087"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6</w:t>
            </w:r>
          </w:p>
        </w:tc>
        <w:tc>
          <w:tcPr>
            <w:tcW w:w="1437" w:type="dxa"/>
          </w:tcPr>
          <w:p w14:paraId="4F90EA16"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1.4</w:t>
            </w:r>
          </w:p>
        </w:tc>
      </w:tr>
      <w:tr w:rsidR="008D3C32" w:rsidRPr="00F162DB" w14:paraId="7F6EF8C0"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622B9B60"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 xml:space="preserve">Single </w:t>
            </w:r>
          </w:p>
        </w:tc>
        <w:tc>
          <w:tcPr>
            <w:tcW w:w="2056" w:type="dxa"/>
          </w:tcPr>
          <w:p w14:paraId="3DF49D66"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409</w:t>
            </w:r>
          </w:p>
        </w:tc>
        <w:tc>
          <w:tcPr>
            <w:tcW w:w="1437" w:type="dxa"/>
          </w:tcPr>
          <w:p w14:paraId="6C471EA1"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98.1</w:t>
            </w:r>
          </w:p>
        </w:tc>
      </w:tr>
      <w:tr w:rsidR="008D3C32" w:rsidRPr="00F162DB" w14:paraId="3D003BAA"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5F49DE1A"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Co-habiting</w:t>
            </w:r>
          </w:p>
        </w:tc>
        <w:tc>
          <w:tcPr>
            <w:tcW w:w="2056" w:type="dxa"/>
          </w:tcPr>
          <w:p w14:paraId="2FDA6B21"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w:t>
            </w:r>
          </w:p>
        </w:tc>
        <w:tc>
          <w:tcPr>
            <w:tcW w:w="1437" w:type="dxa"/>
          </w:tcPr>
          <w:p w14:paraId="694CA91A"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0.5</w:t>
            </w:r>
          </w:p>
        </w:tc>
      </w:tr>
      <w:tr w:rsidR="008D3C32" w:rsidRPr="00F162DB" w14:paraId="15B1C86D"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4CFDADD7" w14:textId="77777777" w:rsidR="008D3C32" w:rsidRPr="00F162DB" w:rsidRDefault="008D3C32" w:rsidP="00B06251">
            <w:pPr>
              <w:ind w:right="60"/>
              <w:jc w:val="both"/>
              <w:rPr>
                <w:rFonts w:ascii="Times New Roman" w:eastAsia="Calibri" w:hAnsi="Times New Roman" w:cs="Times New Roman"/>
                <w:b w:val="0"/>
                <w:bCs w:val="0"/>
                <w:i/>
                <w:iCs/>
              </w:rPr>
            </w:pPr>
          </w:p>
        </w:tc>
        <w:tc>
          <w:tcPr>
            <w:tcW w:w="2056" w:type="dxa"/>
          </w:tcPr>
          <w:p w14:paraId="3B02FD14"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37" w:type="dxa"/>
          </w:tcPr>
          <w:p w14:paraId="7CB3B849"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8D3C32" w:rsidRPr="00F162DB" w14:paraId="12A48F76"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6062B378" w14:textId="77777777" w:rsidR="008D3C32" w:rsidRPr="00F162DB" w:rsidRDefault="008D3C32" w:rsidP="00B06251">
            <w:pPr>
              <w:ind w:right="60"/>
              <w:jc w:val="both"/>
              <w:rPr>
                <w:rFonts w:ascii="Times New Roman" w:eastAsia="Calibri" w:hAnsi="Times New Roman" w:cs="Times New Roman"/>
                <w:i/>
                <w:iCs/>
              </w:rPr>
            </w:pPr>
            <w:r w:rsidRPr="00F162DB">
              <w:rPr>
                <w:rFonts w:ascii="Times New Roman" w:eastAsia="Calibri" w:hAnsi="Times New Roman" w:cs="Times New Roman"/>
                <w:i/>
                <w:iCs/>
              </w:rPr>
              <w:t>Religion</w:t>
            </w:r>
          </w:p>
        </w:tc>
        <w:tc>
          <w:tcPr>
            <w:tcW w:w="2056" w:type="dxa"/>
          </w:tcPr>
          <w:p w14:paraId="458BF370"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37" w:type="dxa"/>
          </w:tcPr>
          <w:p w14:paraId="2506D84C"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8D3C32" w:rsidRPr="00F162DB" w14:paraId="2D232E81"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4E207004"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Christianity</w:t>
            </w:r>
          </w:p>
        </w:tc>
        <w:tc>
          <w:tcPr>
            <w:tcW w:w="2056" w:type="dxa"/>
          </w:tcPr>
          <w:p w14:paraId="4D76349A"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406</w:t>
            </w:r>
          </w:p>
        </w:tc>
        <w:tc>
          <w:tcPr>
            <w:tcW w:w="1437" w:type="dxa"/>
          </w:tcPr>
          <w:p w14:paraId="4ACCC80B"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97.4</w:t>
            </w:r>
          </w:p>
        </w:tc>
      </w:tr>
      <w:tr w:rsidR="008D3C32" w:rsidRPr="00F162DB" w14:paraId="62B9CE53"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39BBE2E8" w14:textId="77777777" w:rsidR="008D3C32" w:rsidRPr="00F162DB" w:rsidRDefault="008D3C32" w:rsidP="00B06251">
            <w:pPr>
              <w:ind w:right="60"/>
              <w:jc w:val="both"/>
              <w:rPr>
                <w:rFonts w:ascii="Times New Roman" w:eastAsia="Calibri" w:hAnsi="Times New Roman" w:cs="Times New Roman"/>
                <w:b w:val="0"/>
                <w:bCs w:val="0"/>
                <w:i/>
                <w:iCs/>
              </w:rPr>
            </w:pPr>
            <w:r>
              <w:rPr>
                <w:rFonts w:ascii="Times New Roman" w:eastAsia="Calibri" w:hAnsi="Times New Roman" w:cs="Times New Roman"/>
                <w:b w:val="0"/>
                <w:bCs w:val="0"/>
                <w:i/>
                <w:iCs/>
              </w:rPr>
              <w:t>Islam</w:t>
            </w:r>
          </w:p>
        </w:tc>
        <w:tc>
          <w:tcPr>
            <w:tcW w:w="2056" w:type="dxa"/>
          </w:tcPr>
          <w:p w14:paraId="77FCA22A"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w:t>
            </w:r>
          </w:p>
        </w:tc>
        <w:tc>
          <w:tcPr>
            <w:tcW w:w="1437" w:type="dxa"/>
          </w:tcPr>
          <w:p w14:paraId="31E614D4"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1.0</w:t>
            </w:r>
          </w:p>
        </w:tc>
      </w:tr>
      <w:tr w:rsidR="008D3C32" w:rsidRPr="00F162DB" w14:paraId="3D161D63"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0D2D20AB" w14:textId="77777777" w:rsidR="008D3C32" w:rsidRPr="00F162DB" w:rsidRDefault="008D3C32" w:rsidP="00B06251">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Traditional Religion</w:t>
            </w:r>
          </w:p>
        </w:tc>
        <w:tc>
          <w:tcPr>
            <w:tcW w:w="2056" w:type="dxa"/>
          </w:tcPr>
          <w:p w14:paraId="174B03C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3</w:t>
            </w:r>
          </w:p>
        </w:tc>
        <w:tc>
          <w:tcPr>
            <w:tcW w:w="1437" w:type="dxa"/>
          </w:tcPr>
          <w:p w14:paraId="33DCEA5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0.7</w:t>
            </w:r>
          </w:p>
        </w:tc>
      </w:tr>
      <w:tr w:rsidR="008D3C32" w:rsidRPr="00F162DB" w14:paraId="2C1043B3"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14723164" w14:textId="77777777" w:rsidR="008D3C32" w:rsidRPr="00F162DB" w:rsidRDefault="008D3C32" w:rsidP="00B06251">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Atheism</w:t>
            </w:r>
          </w:p>
        </w:tc>
        <w:tc>
          <w:tcPr>
            <w:tcW w:w="2056" w:type="dxa"/>
          </w:tcPr>
          <w:p w14:paraId="7BDD754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4</w:t>
            </w:r>
          </w:p>
        </w:tc>
        <w:tc>
          <w:tcPr>
            <w:tcW w:w="1437" w:type="dxa"/>
          </w:tcPr>
          <w:p w14:paraId="79EA497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1.0</w:t>
            </w:r>
          </w:p>
        </w:tc>
      </w:tr>
      <w:tr w:rsidR="008D3C32" w:rsidRPr="00F162DB" w14:paraId="355487EF"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0702072B" w14:textId="77777777" w:rsidR="008D3C32" w:rsidRPr="00F162DB" w:rsidRDefault="008D3C32" w:rsidP="00B06251">
            <w:pPr>
              <w:jc w:val="both"/>
              <w:rPr>
                <w:rFonts w:ascii="Times New Roman" w:eastAsia="Calibri" w:hAnsi="Times New Roman" w:cs="Times New Roman"/>
                <w:b w:val="0"/>
                <w:bCs w:val="0"/>
                <w:i/>
                <w:iCs/>
              </w:rPr>
            </w:pPr>
          </w:p>
        </w:tc>
        <w:tc>
          <w:tcPr>
            <w:tcW w:w="2056" w:type="dxa"/>
          </w:tcPr>
          <w:p w14:paraId="73D9A7A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c>
          <w:tcPr>
            <w:tcW w:w="1437" w:type="dxa"/>
          </w:tcPr>
          <w:p w14:paraId="0000AF5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8D3C32" w:rsidRPr="00F162DB" w14:paraId="393AAC7C"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06EFAD0D" w14:textId="77777777" w:rsidR="008D3C32" w:rsidRPr="00F162DB" w:rsidRDefault="008D3C32" w:rsidP="00B06251">
            <w:pPr>
              <w:jc w:val="both"/>
              <w:rPr>
                <w:rFonts w:ascii="Times New Roman" w:eastAsia="Calibri" w:hAnsi="Times New Roman" w:cs="Times New Roman"/>
                <w:i/>
                <w:iCs/>
              </w:rPr>
            </w:pPr>
            <w:r w:rsidRPr="00F162DB">
              <w:rPr>
                <w:rFonts w:ascii="Times New Roman" w:eastAsia="Calibri" w:hAnsi="Times New Roman" w:cs="Times New Roman"/>
                <w:i/>
                <w:iCs/>
              </w:rPr>
              <w:t>Faculty/Dept</w:t>
            </w:r>
          </w:p>
        </w:tc>
        <w:tc>
          <w:tcPr>
            <w:tcW w:w="2056" w:type="dxa"/>
          </w:tcPr>
          <w:p w14:paraId="33CE891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c>
          <w:tcPr>
            <w:tcW w:w="1437" w:type="dxa"/>
          </w:tcPr>
          <w:p w14:paraId="156E082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r>
      <w:tr w:rsidR="008D3C32" w:rsidRPr="00F162DB" w14:paraId="3288F89E"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1AF7EA5D"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 xml:space="preserve">Law </w:t>
            </w:r>
          </w:p>
        </w:tc>
        <w:tc>
          <w:tcPr>
            <w:tcW w:w="2056" w:type="dxa"/>
          </w:tcPr>
          <w:p w14:paraId="33E6B90B"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101</w:t>
            </w:r>
          </w:p>
        </w:tc>
        <w:tc>
          <w:tcPr>
            <w:tcW w:w="1437" w:type="dxa"/>
          </w:tcPr>
          <w:p w14:paraId="3555AADF"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24.2</w:t>
            </w:r>
          </w:p>
        </w:tc>
      </w:tr>
      <w:tr w:rsidR="008D3C32" w:rsidRPr="00F162DB" w14:paraId="50D4C491"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4BB68370"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Environmental</w:t>
            </w:r>
          </w:p>
        </w:tc>
        <w:tc>
          <w:tcPr>
            <w:tcW w:w="2056" w:type="dxa"/>
          </w:tcPr>
          <w:p w14:paraId="33DD48D0"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123</w:t>
            </w:r>
          </w:p>
        </w:tc>
        <w:tc>
          <w:tcPr>
            <w:tcW w:w="1437" w:type="dxa"/>
          </w:tcPr>
          <w:p w14:paraId="4B3F2755"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29.5</w:t>
            </w:r>
          </w:p>
        </w:tc>
      </w:tr>
      <w:tr w:rsidR="008D3C32" w:rsidRPr="00F162DB" w14:paraId="06D775F1"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0D85BC9B" w14:textId="77777777" w:rsidR="008D3C32" w:rsidRPr="00F162DB" w:rsidRDefault="008D3C32" w:rsidP="00B06251">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Management</w:t>
            </w:r>
          </w:p>
        </w:tc>
        <w:tc>
          <w:tcPr>
            <w:tcW w:w="2056" w:type="dxa"/>
          </w:tcPr>
          <w:p w14:paraId="5EA13630"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198</w:t>
            </w:r>
          </w:p>
        </w:tc>
        <w:tc>
          <w:tcPr>
            <w:tcW w:w="1437" w:type="dxa"/>
          </w:tcPr>
          <w:p w14:paraId="69A8ABE6"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46.3</w:t>
            </w:r>
          </w:p>
        </w:tc>
      </w:tr>
      <w:tr w:rsidR="008D3C32" w:rsidRPr="00F162DB" w14:paraId="060DF59D"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12D45ACC" w14:textId="77777777" w:rsidR="008D3C32" w:rsidRPr="00F162DB" w:rsidRDefault="008D3C32" w:rsidP="00B06251">
            <w:pPr>
              <w:ind w:right="60"/>
              <w:jc w:val="both"/>
              <w:rPr>
                <w:rFonts w:ascii="Times New Roman" w:eastAsia="Calibri" w:hAnsi="Times New Roman" w:cs="Times New Roman"/>
                <w:b w:val="0"/>
                <w:bCs w:val="0"/>
                <w:i/>
                <w:iCs/>
              </w:rPr>
            </w:pPr>
          </w:p>
        </w:tc>
        <w:tc>
          <w:tcPr>
            <w:tcW w:w="2056" w:type="dxa"/>
          </w:tcPr>
          <w:p w14:paraId="77ABF915"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37" w:type="dxa"/>
          </w:tcPr>
          <w:p w14:paraId="1B7F8495"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8D3C32" w:rsidRPr="00F162DB" w14:paraId="6896C7B8"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60944553" w14:textId="77777777" w:rsidR="008D3C32" w:rsidRPr="00F162DB" w:rsidRDefault="008D3C32" w:rsidP="00B06251">
            <w:pPr>
              <w:ind w:right="60"/>
              <w:jc w:val="both"/>
              <w:rPr>
                <w:rFonts w:ascii="Times New Roman" w:eastAsia="Calibri" w:hAnsi="Times New Roman" w:cs="Times New Roman"/>
                <w:i/>
                <w:iCs/>
              </w:rPr>
            </w:pPr>
            <w:r w:rsidRPr="00F162DB">
              <w:rPr>
                <w:rFonts w:ascii="Times New Roman" w:eastAsia="Times New Roman" w:hAnsi="Times New Roman" w:cs="Times New Roman"/>
                <w:i/>
                <w:iCs/>
              </w:rPr>
              <w:lastRenderedPageBreak/>
              <w:t>Year of Study</w:t>
            </w:r>
          </w:p>
        </w:tc>
        <w:tc>
          <w:tcPr>
            <w:tcW w:w="2056" w:type="dxa"/>
          </w:tcPr>
          <w:p w14:paraId="33347152"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37" w:type="dxa"/>
          </w:tcPr>
          <w:p w14:paraId="7DEC2D67"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8D3C32" w:rsidRPr="00F162DB" w14:paraId="2D4E0906"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7B78CF0F" w14:textId="77777777" w:rsidR="008D3C32" w:rsidRPr="00F162DB" w:rsidRDefault="008D3C32" w:rsidP="00B06251">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1</w:t>
            </w:r>
          </w:p>
        </w:tc>
        <w:tc>
          <w:tcPr>
            <w:tcW w:w="2056" w:type="dxa"/>
          </w:tcPr>
          <w:p w14:paraId="64AC5DE5"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44</w:t>
            </w:r>
          </w:p>
        </w:tc>
        <w:tc>
          <w:tcPr>
            <w:tcW w:w="1437" w:type="dxa"/>
          </w:tcPr>
          <w:p w14:paraId="439B0650"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10.6</w:t>
            </w:r>
          </w:p>
        </w:tc>
      </w:tr>
      <w:tr w:rsidR="008D3C32" w:rsidRPr="00F162DB" w14:paraId="25ED8596"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25BCFC7B" w14:textId="77777777" w:rsidR="008D3C32" w:rsidRPr="00F162DB" w:rsidRDefault="008D3C32" w:rsidP="00B06251">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2</w:t>
            </w:r>
          </w:p>
        </w:tc>
        <w:tc>
          <w:tcPr>
            <w:tcW w:w="2056" w:type="dxa"/>
          </w:tcPr>
          <w:p w14:paraId="5E2EB13B"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70</w:t>
            </w:r>
          </w:p>
        </w:tc>
        <w:tc>
          <w:tcPr>
            <w:tcW w:w="1437" w:type="dxa"/>
          </w:tcPr>
          <w:p w14:paraId="40520744"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16.8</w:t>
            </w:r>
          </w:p>
        </w:tc>
      </w:tr>
      <w:tr w:rsidR="008D3C32" w:rsidRPr="00F162DB" w14:paraId="29832095"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242A82B7" w14:textId="77777777" w:rsidR="008D3C32" w:rsidRPr="00F162DB" w:rsidRDefault="008D3C32" w:rsidP="00B06251">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3</w:t>
            </w:r>
          </w:p>
        </w:tc>
        <w:tc>
          <w:tcPr>
            <w:tcW w:w="2056" w:type="dxa"/>
          </w:tcPr>
          <w:p w14:paraId="0DE57B4D"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79</w:t>
            </w:r>
          </w:p>
        </w:tc>
        <w:tc>
          <w:tcPr>
            <w:tcW w:w="1437" w:type="dxa"/>
          </w:tcPr>
          <w:p w14:paraId="37B80420"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18.9</w:t>
            </w:r>
          </w:p>
        </w:tc>
      </w:tr>
      <w:tr w:rsidR="008D3C32" w:rsidRPr="00F162DB" w14:paraId="4BAAE5FB"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2685CF9E" w14:textId="77777777" w:rsidR="008D3C32" w:rsidRPr="00F162DB" w:rsidRDefault="008D3C32" w:rsidP="00B06251">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4</w:t>
            </w:r>
          </w:p>
        </w:tc>
        <w:tc>
          <w:tcPr>
            <w:tcW w:w="2056" w:type="dxa"/>
          </w:tcPr>
          <w:p w14:paraId="767AB1EB"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162</w:t>
            </w:r>
          </w:p>
        </w:tc>
        <w:tc>
          <w:tcPr>
            <w:tcW w:w="1437" w:type="dxa"/>
          </w:tcPr>
          <w:p w14:paraId="5C087630" w14:textId="77777777" w:rsidR="008D3C32" w:rsidRPr="00F162DB" w:rsidRDefault="008D3C32" w:rsidP="00B06251">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38.8</w:t>
            </w:r>
          </w:p>
        </w:tc>
      </w:tr>
      <w:tr w:rsidR="008D3C32" w:rsidRPr="00F162DB" w14:paraId="7B762E4B"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7645A027" w14:textId="77777777" w:rsidR="008D3C32" w:rsidRPr="00F162DB" w:rsidRDefault="008D3C32" w:rsidP="00B06251">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5</w:t>
            </w:r>
          </w:p>
        </w:tc>
        <w:tc>
          <w:tcPr>
            <w:tcW w:w="2056" w:type="dxa"/>
          </w:tcPr>
          <w:p w14:paraId="681DED6E"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62</w:t>
            </w:r>
          </w:p>
        </w:tc>
        <w:tc>
          <w:tcPr>
            <w:tcW w:w="1437" w:type="dxa"/>
          </w:tcPr>
          <w:p w14:paraId="5F2A7923" w14:textId="77777777" w:rsidR="008D3C32" w:rsidRPr="00F162DB" w:rsidRDefault="008D3C32" w:rsidP="00B06251">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14.8</w:t>
            </w:r>
          </w:p>
        </w:tc>
      </w:tr>
      <w:tr w:rsidR="008D3C32" w:rsidRPr="00F162DB" w14:paraId="72C26FA3"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7FDAF9BD" w14:textId="77777777" w:rsidR="008D3C32" w:rsidRPr="00F162DB" w:rsidRDefault="008D3C32" w:rsidP="00B06251">
            <w:pPr>
              <w:jc w:val="both"/>
              <w:rPr>
                <w:rFonts w:ascii="Times New Roman" w:eastAsia="Times New Roman" w:hAnsi="Times New Roman" w:cs="Times New Roman"/>
                <w:b w:val="0"/>
                <w:bCs w:val="0"/>
                <w:i/>
                <w:iCs/>
                <w:color w:val="000000"/>
              </w:rPr>
            </w:pPr>
            <w:r w:rsidRPr="00F162DB">
              <w:rPr>
                <w:rFonts w:ascii="Times New Roman" w:eastAsia="Calibri" w:hAnsi="Times New Roman" w:cs="Times New Roman"/>
                <w:b w:val="0"/>
                <w:bCs w:val="0"/>
                <w:i/>
                <w:iCs/>
              </w:rPr>
              <w:t xml:space="preserve">          </w:t>
            </w:r>
          </w:p>
        </w:tc>
        <w:tc>
          <w:tcPr>
            <w:tcW w:w="2056" w:type="dxa"/>
          </w:tcPr>
          <w:p w14:paraId="0EABC9AA"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437" w:type="dxa"/>
          </w:tcPr>
          <w:p w14:paraId="6F6437E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8D3C32" w:rsidRPr="00F162DB" w14:paraId="66056DE3"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2841B9D3" w14:textId="77777777" w:rsidR="008D3C32" w:rsidRPr="00F162DB" w:rsidRDefault="008D3C32" w:rsidP="00B06251">
            <w:pPr>
              <w:jc w:val="both"/>
              <w:rPr>
                <w:rFonts w:ascii="Times New Roman" w:eastAsia="Calibri" w:hAnsi="Times New Roman" w:cs="Times New Roman"/>
                <w:i/>
                <w:iCs/>
              </w:rPr>
            </w:pPr>
            <w:r w:rsidRPr="00F162DB">
              <w:rPr>
                <w:rFonts w:ascii="Times New Roman" w:eastAsia="Calibri" w:hAnsi="Times New Roman" w:cs="Times New Roman"/>
                <w:i/>
                <w:iCs/>
              </w:rPr>
              <w:t>Accommodation Type</w:t>
            </w:r>
          </w:p>
        </w:tc>
        <w:tc>
          <w:tcPr>
            <w:tcW w:w="2056" w:type="dxa"/>
          </w:tcPr>
          <w:p w14:paraId="7C82A5F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37" w:type="dxa"/>
          </w:tcPr>
          <w:p w14:paraId="3B27196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8D3C32" w:rsidRPr="00F162DB" w14:paraId="052BD8B8"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79557A86" w14:textId="77777777" w:rsidR="008D3C32" w:rsidRPr="00F162DB" w:rsidRDefault="008D3C32" w:rsidP="00B06251">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School hostel</w:t>
            </w:r>
          </w:p>
        </w:tc>
        <w:tc>
          <w:tcPr>
            <w:tcW w:w="2056" w:type="dxa"/>
          </w:tcPr>
          <w:p w14:paraId="5F4A577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345</w:t>
            </w:r>
          </w:p>
        </w:tc>
        <w:tc>
          <w:tcPr>
            <w:tcW w:w="1437" w:type="dxa"/>
          </w:tcPr>
          <w:p w14:paraId="4209987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82.7</w:t>
            </w:r>
          </w:p>
        </w:tc>
      </w:tr>
      <w:tr w:rsidR="008D3C32" w:rsidRPr="00F162DB" w14:paraId="36D21725"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7E25AE22" w14:textId="77777777" w:rsidR="008D3C32" w:rsidRPr="00F162DB" w:rsidRDefault="008D3C32" w:rsidP="00B06251">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Off campus</w:t>
            </w:r>
          </w:p>
        </w:tc>
        <w:tc>
          <w:tcPr>
            <w:tcW w:w="2056" w:type="dxa"/>
          </w:tcPr>
          <w:p w14:paraId="06963D6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72</w:t>
            </w:r>
          </w:p>
        </w:tc>
        <w:tc>
          <w:tcPr>
            <w:tcW w:w="1437" w:type="dxa"/>
          </w:tcPr>
          <w:p w14:paraId="4CBE2D0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17.3</w:t>
            </w:r>
          </w:p>
        </w:tc>
      </w:tr>
      <w:tr w:rsidR="008D3C32" w:rsidRPr="00F162DB" w14:paraId="5F56B6A1"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34CEC9B9" w14:textId="77777777" w:rsidR="008D3C32" w:rsidRPr="00F162DB" w:rsidRDefault="008D3C32" w:rsidP="00B06251">
            <w:pPr>
              <w:jc w:val="both"/>
              <w:rPr>
                <w:rFonts w:ascii="Times New Roman" w:eastAsia="Calibri" w:hAnsi="Times New Roman" w:cs="Times New Roman"/>
                <w:b w:val="0"/>
                <w:bCs w:val="0"/>
                <w:i/>
                <w:iCs/>
              </w:rPr>
            </w:pPr>
          </w:p>
        </w:tc>
        <w:tc>
          <w:tcPr>
            <w:tcW w:w="2056" w:type="dxa"/>
          </w:tcPr>
          <w:p w14:paraId="7C1D8B8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37" w:type="dxa"/>
          </w:tcPr>
          <w:p w14:paraId="147ECBA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8D3C32" w:rsidRPr="00F162DB" w14:paraId="20941EFF"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1CA921D8" w14:textId="77777777" w:rsidR="008D3C32" w:rsidRPr="00F162DB" w:rsidRDefault="008D3C32" w:rsidP="00B06251">
            <w:pPr>
              <w:jc w:val="both"/>
              <w:rPr>
                <w:rFonts w:ascii="Times New Roman" w:eastAsia="Calibri" w:hAnsi="Times New Roman" w:cs="Times New Roman"/>
                <w:b w:val="0"/>
                <w:bCs w:val="0"/>
                <w:i/>
                <w:iCs/>
              </w:rPr>
            </w:pPr>
          </w:p>
        </w:tc>
        <w:tc>
          <w:tcPr>
            <w:tcW w:w="2056" w:type="dxa"/>
          </w:tcPr>
          <w:p w14:paraId="1F842FC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37" w:type="dxa"/>
          </w:tcPr>
          <w:p w14:paraId="2D2932F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8D3C32" w:rsidRPr="00F162DB" w14:paraId="3D1AC167"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6D75CF23" w14:textId="77777777" w:rsidR="008D3C32" w:rsidRPr="00F162DB" w:rsidRDefault="008D3C32" w:rsidP="00B06251">
            <w:pPr>
              <w:jc w:val="both"/>
              <w:rPr>
                <w:rFonts w:ascii="Times New Roman" w:eastAsia="Calibri" w:hAnsi="Times New Roman" w:cs="Times New Roman"/>
                <w:i/>
                <w:iCs/>
              </w:rPr>
            </w:pPr>
            <w:r w:rsidRPr="00F162DB">
              <w:rPr>
                <w:rFonts w:ascii="Times New Roman" w:eastAsia="Calibri" w:hAnsi="Times New Roman" w:cs="Times New Roman"/>
                <w:i/>
                <w:iCs/>
              </w:rPr>
              <w:t>Cooking habits</w:t>
            </w:r>
          </w:p>
        </w:tc>
        <w:tc>
          <w:tcPr>
            <w:tcW w:w="2056" w:type="dxa"/>
          </w:tcPr>
          <w:p w14:paraId="5B985BE3"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37" w:type="dxa"/>
          </w:tcPr>
          <w:p w14:paraId="7F09FC23"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8D3C32" w:rsidRPr="00F162DB" w14:paraId="5BEDADB1"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467A5B78" w14:textId="77777777" w:rsidR="008D3C32" w:rsidRPr="00F162DB" w:rsidRDefault="008D3C32" w:rsidP="00B06251">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Purchase from vendors</w:t>
            </w:r>
          </w:p>
        </w:tc>
        <w:tc>
          <w:tcPr>
            <w:tcW w:w="2056" w:type="dxa"/>
          </w:tcPr>
          <w:p w14:paraId="5F13D64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111</w:t>
            </w:r>
          </w:p>
        </w:tc>
        <w:tc>
          <w:tcPr>
            <w:tcW w:w="1437" w:type="dxa"/>
          </w:tcPr>
          <w:p w14:paraId="1710007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26.6</w:t>
            </w:r>
          </w:p>
        </w:tc>
      </w:tr>
      <w:tr w:rsidR="008D3C32" w:rsidRPr="00F162DB" w14:paraId="61B7A9E4"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482D3372" w14:textId="77777777" w:rsidR="008D3C32" w:rsidRPr="00F162DB" w:rsidRDefault="008D3C32" w:rsidP="00B06251">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Cooks their own food</w:t>
            </w:r>
          </w:p>
        </w:tc>
        <w:tc>
          <w:tcPr>
            <w:tcW w:w="2056" w:type="dxa"/>
          </w:tcPr>
          <w:p w14:paraId="091B759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257</w:t>
            </w:r>
          </w:p>
        </w:tc>
        <w:tc>
          <w:tcPr>
            <w:tcW w:w="1437" w:type="dxa"/>
          </w:tcPr>
          <w:p w14:paraId="7D7A8E7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61.6</w:t>
            </w:r>
          </w:p>
        </w:tc>
      </w:tr>
      <w:tr w:rsidR="008D3C32" w:rsidRPr="00F162DB" w14:paraId="47A0A334" w14:textId="77777777" w:rsidTr="00B06251">
        <w:tc>
          <w:tcPr>
            <w:cnfStyle w:val="001000000000" w:firstRow="0" w:lastRow="0" w:firstColumn="1" w:lastColumn="0" w:oddVBand="0" w:evenVBand="0" w:oddHBand="0" w:evenHBand="0" w:firstRowFirstColumn="0" w:firstRowLastColumn="0" w:lastRowFirstColumn="0" w:lastRowLastColumn="0"/>
            <w:tcW w:w="5029" w:type="dxa"/>
          </w:tcPr>
          <w:p w14:paraId="5DFD810B" w14:textId="77777777" w:rsidR="008D3C32" w:rsidRPr="00F162DB" w:rsidRDefault="008D3C32" w:rsidP="00B06251">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Both</w:t>
            </w:r>
          </w:p>
        </w:tc>
        <w:tc>
          <w:tcPr>
            <w:tcW w:w="2056" w:type="dxa"/>
          </w:tcPr>
          <w:p w14:paraId="614C6E7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49</w:t>
            </w:r>
          </w:p>
        </w:tc>
        <w:tc>
          <w:tcPr>
            <w:tcW w:w="1437" w:type="dxa"/>
          </w:tcPr>
          <w:p w14:paraId="4C35D10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11.8</w:t>
            </w:r>
          </w:p>
        </w:tc>
      </w:tr>
    </w:tbl>
    <w:p w14:paraId="78A1DB6D" w14:textId="77777777" w:rsidR="008D3C32" w:rsidRDefault="008D3C32" w:rsidP="008D3C32">
      <w:pPr>
        <w:spacing w:line="480" w:lineRule="auto"/>
        <w:jc w:val="both"/>
        <w:rPr>
          <w:rFonts w:ascii="Times New Roman" w:hAnsi="Times New Roman" w:cs="Times New Roman"/>
        </w:rPr>
      </w:pPr>
    </w:p>
    <w:p w14:paraId="746BE71F" w14:textId="77777777" w:rsidR="008D3C32" w:rsidRPr="00F162DB" w:rsidRDefault="008D3C32" w:rsidP="008D3C32">
      <w:pPr>
        <w:spacing w:line="480" w:lineRule="auto"/>
        <w:jc w:val="both"/>
        <w:rPr>
          <w:rFonts w:ascii="Times New Roman" w:hAnsi="Times New Roman" w:cs="Times New Roman"/>
        </w:rPr>
      </w:pPr>
      <w:r w:rsidRPr="00F162DB">
        <w:rPr>
          <w:rFonts w:ascii="Times New Roman" w:hAnsi="Times New Roman" w:cs="Times New Roman"/>
        </w:rPr>
        <w:t xml:space="preserve">As can be inferred from </w:t>
      </w:r>
      <w:r w:rsidRPr="00F162DB">
        <w:rPr>
          <w:rFonts w:ascii="Times New Roman" w:hAnsi="Times New Roman" w:cs="Times New Roman"/>
          <w:b/>
          <w:bCs/>
        </w:rPr>
        <w:t>Table 2</w:t>
      </w:r>
      <w:r w:rsidRPr="00F162DB">
        <w:rPr>
          <w:rFonts w:ascii="Times New Roman" w:hAnsi="Times New Roman" w:cs="Times New Roman"/>
        </w:rPr>
        <w:t xml:space="preserve">, </w:t>
      </w:r>
      <w:r w:rsidRPr="00F162DB">
        <w:rPr>
          <w:rFonts w:ascii="Times New Roman" w:eastAsia="Calibri" w:hAnsi="Times New Roman" w:cs="Times New Roman"/>
        </w:rPr>
        <w:t>the majority of the respondents have good knowledge of food safety (97.4%) and most (98.3%) of the respondents were aware of food poisoning. A higher (57.8%) proportion of the respondents have never experienced food poisoning because most (64.7%) of them knew how to prevent food poisoning.</w:t>
      </w:r>
    </w:p>
    <w:p w14:paraId="6A8E7A48" w14:textId="77777777" w:rsidR="008D3C32" w:rsidRPr="00F162DB" w:rsidRDefault="008D3C32" w:rsidP="008D3C32">
      <w:pPr>
        <w:spacing w:line="480" w:lineRule="auto"/>
        <w:jc w:val="both"/>
        <w:rPr>
          <w:rFonts w:ascii="Times New Roman" w:hAnsi="Times New Roman" w:cs="Times New Roman"/>
          <w:i/>
          <w:iCs/>
        </w:rPr>
      </w:pPr>
      <w:r w:rsidRPr="00F162DB">
        <w:rPr>
          <w:rFonts w:ascii="Times New Roman" w:eastAsia="Calibri" w:hAnsi="Times New Roman" w:cs="Times New Roman"/>
          <w:b/>
          <w:bCs/>
          <w:i/>
          <w:iCs/>
        </w:rPr>
        <w:t>Table 2: Level of Knowledge of Food Safety and Hygiene among the respondents (n=417)</w:t>
      </w:r>
    </w:p>
    <w:tbl>
      <w:tblPr>
        <w:tblStyle w:val="PlainTable4"/>
        <w:tblW w:w="0" w:type="auto"/>
        <w:tblLook w:val="04A0" w:firstRow="1" w:lastRow="0" w:firstColumn="1" w:lastColumn="0" w:noHBand="0" w:noVBand="1"/>
      </w:tblPr>
      <w:tblGrid>
        <w:gridCol w:w="5575"/>
        <w:gridCol w:w="2070"/>
        <w:gridCol w:w="1371"/>
      </w:tblGrid>
      <w:tr w:rsidR="008D3C32" w:rsidRPr="00F162DB" w14:paraId="46912B92" w14:textId="77777777" w:rsidTr="00B0625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6F61D41" w14:textId="77777777" w:rsidR="008D3C32" w:rsidRPr="00F162DB" w:rsidRDefault="008D3C32" w:rsidP="00B06251">
            <w:pPr>
              <w:rPr>
                <w:rFonts w:ascii="Times New Roman" w:eastAsia="Calibri" w:hAnsi="Times New Roman" w:cs="Times New Roman"/>
              </w:rPr>
            </w:pPr>
            <w:r w:rsidRPr="00F162DB">
              <w:rPr>
                <w:rFonts w:ascii="Times New Roman" w:eastAsia="Calibri" w:hAnsi="Times New Roman" w:cs="Times New Roman"/>
              </w:rPr>
              <w:t xml:space="preserve">Variables </w:t>
            </w:r>
          </w:p>
        </w:tc>
        <w:tc>
          <w:tcPr>
            <w:tcW w:w="2070" w:type="dxa"/>
          </w:tcPr>
          <w:p w14:paraId="5ACD458A" w14:textId="77777777" w:rsidR="008D3C32" w:rsidRPr="00F162DB" w:rsidRDefault="008D3C32" w:rsidP="00B062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Yes</w:t>
            </w:r>
          </w:p>
        </w:tc>
        <w:tc>
          <w:tcPr>
            <w:tcW w:w="1371" w:type="dxa"/>
          </w:tcPr>
          <w:p w14:paraId="0FF1B3F3" w14:textId="77777777" w:rsidR="008D3C32" w:rsidRPr="00F162DB" w:rsidRDefault="008D3C32" w:rsidP="00B062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No</w:t>
            </w:r>
          </w:p>
        </w:tc>
      </w:tr>
      <w:tr w:rsidR="008D3C32" w:rsidRPr="00F162DB" w14:paraId="0E6985D9"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4A416604" w14:textId="77777777" w:rsidR="008D3C32" w:rsidRPr="00F162DB" w:rsidRDefault="008D3C32" w:rsidP="00B06251">
            <w:pPr>
              <w:rPr>
                <w:rFonts w:ascii="Times New Roman" w:eastAsia="Calibri" w:hAnsi="Times New Roman" w:cs="Times New Roman"/>
              </w:rPr>
            </w:pPr>
          </w:p>
        </w:tc>
        <w:tc>
          <w:tcPr>
            <w:tcW w:w="2070" w:type="dxa"/>
          </w:tcPr>
          <w:p w14:paraId="49F38976"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c>
          <w:tcPr>
            <w:tcW w:w="1371" w:type="dxa"/>
          </w:tcPr>
          <w:p w14:paraId="1EED3DD3"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r>
      <w:tr w:rsidR="008D3C32" w:rsidRPr="00F162DB" w14:paraId="157474E9"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0140802C"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Awareness of food poisoning</w:t>
            </w:r>
          </w:p>
        </w:tc>
        <w:tc>
          <w:tcPr>
            <w:tcW w:w="2070" w:type="dxa"/>
          </w:tcPr>
          <w:p w14:paraId="2281BD27"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410(98.3)</w:t>
            </w:r>
          </w:p>
        </w:tc>
        <w:tc>
          <w:tcPr>
            <w:tcW w:w="1371" w:type="dxa"/>
          </w:tcPr>
          <w:p w14:paraId="6642383D"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7(1.7)</w:t>
            </w:r>
          </w:p>
        </w:tc>
      </w:tr>
      <w:tr w:rsidR="008D3C32" w:rsidRPr="00F162DB" w14:paraId="1F6D6476"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2FB5CA4A"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Experienced food poisoning</w:t>
            </w:r>
          </w:p>
        </w:tc>
        <w:tc>
          <w:tcPr>
            <w:tcW w:w="2070" w:type="dxa"/>
          </w:tcPr>
          <w:p w14:paraId="6C1E42D6"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176(42.2)</w:t>
            </w:r>
          </w:p>
        </w:tc>
        <w:tc>
          <w:tcPr>
            <w:tcW w:w="1371" w:type="dxa"/>
          </w:tcPr>
          <w:p w14:paraId="5FF6F04B"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241(57.8)</w:t>
            </w:r>
          </w:p>
        </w:tc>
      </w:tr>
      <w:tr w:rsidR="008D3C32" w:rsidRPr="00F162DB" w14:paraId="642EFA4E"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42B3B5F8"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Awareness of prevention of food poisoning</w:t>
            </w:r>
          </w:p>
        </w:tc>
        <w:tc>
          <w:tcPr>
            <w:tcW w:w="2070" w:type="dxa"/>
          </w:tcPr>
          <w:p w14:paraId="0358C04B"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270(64.7)</w:t>
            </w:r>
          </w:p>
        </w:tc>
        <w:tc>
          <w:tcPr>
            <w:tcW w:w="1371" w:type="dxa"/>
          </w:tcPr>
          <w:p w14:paraId="7ED59E83"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147(35.3)</w:t>
            </w:r>
          </w:p>
        </w:tc>
      </w:tr>
      <w:tr w:rsidR="008D3C32" w:rsidRPr="00F162DB" w14:paraId="17F6FA08"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9455FC5"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Using gloves while handling food reduces the risk of food contamination.</w:t>
            </w:r>
          </w:p>
        </w:tc>
        <w:tc>
          <w:tcPr>
            <w:tcW w:w="2070" w:type="dxa"/>
          </w:tcPr>
          <w:p w14:paraId="7577F5CF"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254(60.9)</w:t>
            </w:r>
          </w:p>
        </w:tc>
        <w:tc>
          <w:tcPr>
            <w:tcW w:w="1371" w:type="dxa"/>
          </w:tcPr>
          <w:p w14:paraId="161E001C"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163(39.1)</w:t>
            </w:r>
          </w:p>
        </w:tc>
      </w:tr>
      <w:tr w:rsidR="008D3C32" w:rsidRPr="00F162DB" w14:paraId="29F34976"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8E2BFCC"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 poisoning can have health and economic effects on the society.</w:t>
            </w:r>
          </w:p>
        </w:tc>
        <w:tc>
          <w:tcPr>
            <w:tcW w:w="2070" w:type="dxa"/>
          </w:tcPr>
          <w:p w14:paraId="2DE4EC79"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394(94.5)</w:t>
            </w:r>
          </w:p>
        </w:tc>
        <w:tc>
          <w:tcPr>
            <w:tcW w:w="1371" w:type="dxa"/>
          </w:tcPr>
          <w:p w14:paraId="42509F12"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23(5.5)</w:t>
            </w:r>
          </w:p>
        </w:tc>
      </w:tr>
      <w:tr w:rsidR="008D3C32" w:rsidRPr="00F162DB" w14:paraId="6DEB6D8D"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555F820"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Children, pregnant women and older individuals are more at risk of food poisoning.</w:t>
            </w:r>
          </w:p>
        </w:tc>
        <w:tc>
          <w:tcPr>
            <w:tcW w:w="2070" w:type="dxa"/>
          </w:tcPr>
          <w:p w14:paraId="7E1CCFAB"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326(78.2)</w:t>
            </w:r>
          </w:p>
        </w:tc>
        <w:tc>
          <w:tcPr>
            <w:tcW w:w="1371" w:type="dxa"/>
          </w:tcPr>
          <w:p w14:paraId="3257D0A1"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91(21.8)</w:t>
            </w:r>
          </w:p>
        </w:tc>
      </w:tr>
      <w:tr w:rsidR="008D3C32" w:rsidRPr="00F162DB" w14:paraId="6214AF4F"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BD6BBD8"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Hand washing before cooking reduces the risk of food contamination.</w:t>
            </w:r>
          </w:p>
        </w:tc>
        <w:tc>
          <w:tcPr>
            <w:tcW w:w="2070" w:type="dxa"/>
          </w:tcPr>
          <w:p w14:paraId="77F156F6"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405(97.1)</w:t>
            </w:r>
          </w:p>
        </w:tc>
        <w:tc>
          <w:tcPr>
            <w:tcW w:w="1371" w:type="dxa"/>
          </w:tcPr>
          <w:p w14:paraId="00A20133"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12(2.9)</w:t>
            </w:r>
          </w:p>
        </w:tc>
      </w:tr>
      <w:tr w:rsidR="008D3C32" w:rsidRPr="00F162DB" w14:paraId="3104D4D1"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4E9642DD"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of hands after handling raw food prevents food-borne diseases.</w:t>
            </w:r>
          </w:p>
        </w:tc>
        <w:tc>
          <w:tcPr>
            <w:tcW w:w="2070" w:type="dxa"/>
          </w:tcPr>
          <w:p w14:paraId="7590036E"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346(83.0)</w:t>
            </w:r>
          </w:p>
        </w:tc>
        <w:tc>
          <w:tcPr>
            <w:tcW w:w="1371" w:type="dxa"/>
          </w:tcPr>
          <w:p w14:paraId="30E0896C"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71(17.0)</w:t>
            </w:r>
          </w:p>
        </w:tc>
      </w:tr>
      <w:tr w:rsidR="008D3C32" w:rsidRPr="00F162DB" w14:paraId="7C95E86A"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216534F0"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lastRenderedPageBreak/>
              <w:t>Diarrhoea can be transmitted through contaminated food.</w:t>
            </w:r>
          </w:p>
        </w:tc>
        <w:tc>
          <w:tcPr>
            <w:tcW w:w="2070" w:type="dxa"/>
          </w:tcPr>
          <w:p w14:paraId="42AC9AF4"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357(85.6)</w:t>
            </w:r>
          </w:p>
        </w:tc>
        <w:tc>
          <w:tcPr>
            <w:tcW w:w="1371" w:type="dxa"/>
          </w:tcPr>
          <w:p w14:paraId="72C14C38"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60(14.4)</w:t>
            </w:r>
          </w:p>
        </w:tc>
      </w:tr>
      <w:tr w:rsidR="008D3C32" w:rsidRPr="00F162DB" w14:paraId="43C6EA46"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1E023640"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Micro-organisms can be found on the surface of human skin, nose and mouth of healthy handlers.</w:t>
            </w:r>
          </w:p>
        </w:tc>
        <w:tc>
          <w:tcPr>
            <w:tcW w:w="2070" w:type="dxa"/>
          </w:tcPr>
          <w:p w14:paraId="55E805F2"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351(84.2)</w:t>
            </w:r>
          </w:p>
        </w:tc>
        <w:tc>
          <w:tcPr>
            <w:tcW w:w="1371" w:type="dxa"/>
          </w:tcPr>
          <w:p w14:paraId="413906CE"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66(15.8)</w:t>
            </w:r>
          </w:p>
        </w:tc>
      </w:tr>
      <w:tr w:rsidR="008D3C32" w:rsidRPr="00F162DB" w14:paraId="1ECE9EA6"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41164650"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Personal hygiene can prevent food contamination.</w:t>
            </w:r>
          </w:p>
        </w:tc>
        <w:tc>
          <w:tcPr>
            <w:tcW w:w="2070" w:type="dxa"/>
          </w:tcPr>
          <w:p w14:paraId="0E943E76"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398(95.4)</w:t>
            </w:r>
          </w:p>
        </w:tc>
        <w:tc>
          <w:tcPr>
            <w:tcW w:w="1371" w:type="dxa"/>
          </w:tcPr>
          <w:p w14:paraId="682CEEB6"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19(4.6)</w:t>
            </w:r>
          </w:p>
        </w:tc>
      </w:tr>
      <w:tr w:rsidR="008D3C32" w:rsidRPr="00F162DB" w14:paraId="1756C565"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7A91AAC"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Contaminated water can be a vehicle for food-borne disease transmission.</w:t>
            </w:r>
          </w:p>
        </w:tc>
        <w:tc>
          <w:tcPr>
            <w:tcW w:w="2070" w:type="dxa"/>
          </w:tcPr>
          <w:p w14:paraId="2D71268E"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383(91.8)</w:t>
            </w:r>
          </w:p>
        </w:tc>
        <w:tc>
          <w:tcPr>
            <w:tcW w:w="1371" w:type="dxa"/>
          </w:tcPr>
          <w:p w14:paraId="68E0E8FB"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34(8.2)</w:t>
            </w:r>
          </w:p>
        </w:tc>
      </w:tr>
      <w:tr w:rsidR="008D3C32" w:rsidRPr="00F162DB" w14:paraId="3C2EEEC7"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6DF6FDB"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Storing raw and cooked food together can cause contaminate of food.</w:t>
            </w:r>
          </w:p>
        </w:tc>
        <w:tc>
          <w:tcPr>
            <w:tcW w:w="2070" w:type="dxa"/>
          </w:tcPr>
          <w:p w14:paraId="74D31F4A"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275(65.9)</w:t>
            </w:r>
          </w:p>
        </w:tc>
        <w:tc>
          <w:tcPr>
            <w:tcW w:w="1371" w:type="dxa"/>
          </w:tcPr>
          <w:p w14:paraId="6264481A"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142(34.1)</w:t>
            </w:r>
          </w:p>
        </w:tc>
      </w:tr>
      <w:tr w:rsidR="008D3C32" w:rsidRPr="00F162DB" w14:paraId="1E248111"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6F8B2042"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 handler having diarrhoea, flu and sore throat can cross contaminate food</w:t>
            </w:r>
          </w:p>
        </w:tc>
        <w:tc>
          <w:tcPr>
            <w:tcW w:w="2070" w:type="dxa"/>
          </w:tcPr>
          <w:p w14:paraId="47616742"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350(83.9)</w:t>
            </w:r>
          </w:p>
        </w:tc>
        <w:tc>
          <w:tcPr>
            <w:tcW w:w="1371" w:type="dxa"/>
          </w:tcPr>
          <w:p w14:paraId="7EC31C60"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67(16.1)</w:t>
            </w:r>
          </w:p>
        </w:tc>
      </w:tr>
      <w:tr w:rsidR="008D3C32" w:rsidRPr="00F162DB" w14:paraId="66C697C3"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9783C1E"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Leftover food smelling good is still safe to eat.</w:t>
            </w:r>
          </w:p>
        </w:tc>
        <w:tc>
          <w:tcPr>
            <w:tcW w:w="2070" w:type="dxa"/>
          </w:tcPr>
          <w:p w14:paraId="14A74E07"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130(31.2)</w:t>
            </w:r>
          </w:p>
        </w:tc>
        <w:tc>
          <w:tcPr>
            <w:tcW w:w="1371" w:type="dxa"/>
          </w:tcPr>
          <w:p w14:paraId="71691138"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287(68.8)</w:t>
            </w:r>
          </w:p>
        </w:tc>
      </w:tr>
      <w:tr w:rsidR="008D3C32" w:rsidRPr="00F162DB" w14:paraId="3144A9C5"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6BB90EF2"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Dishing, serving and tasting food with unprotected hands can cross contaminate food</w:t>
            </w:r>
          </w:p>
        </w:tc>
        <w:tc>
          <w:tcPr>
            <w:tcW w:w="2070" w:type="dxa"/>
          </w:tcPr>
          <w:p w14:paraId="357F4477"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353(84.7)</w:t>
            </w:r>
          </w:p>
        </w:tc>
        <w:tc>
          <w:tcPr>
            <w:tcW w:w="1371" w:type="dxa"/>
          </w:tcPr>
          <w:p w14:paraId="6E724818"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64(15.3)</w:t>
            </w:r>
          </w:p>
        </w:tc>
      </w:tr>
      <w:tr w:rsidR="008D3C32" w:rsidRPr="00F162DB" w14:paraId="3D096EC2"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3231B785"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Unkept and dirty nails can easily spread bacteria</w:t>
            </w:r>
          </w:p>
        </w:tc>
        <w:tc>
          <w:tcPr>
            <w:tcW w:w="2070" w:type="dxa"/>
          </w:tcPr>
          <w:p w14:paraId="385A31B3"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404(96.3)</w:t>
            </w:r>
          </w:p>
        </w:tc>
        <w:tc>
          <w:tcPr>
            <w:tcW w:w="1371" w:type="dxa"/>
          </w:tcPr>
          <w:p w14:paraId="77316555"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13(1.7)</w:t>
            </w:r>
          </w:p>
        </w:tc>
      </w:tr>
      <w:tr w:rsidR="008D3C32" w:rsidRPr="00F162DB" w14:paraId="4119332A"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2DEACC23"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Uncovered abrasion or cuts on fingers and hands can cause cross contamination of food</w:t>
            </w:r>
          </w:p>
        </w:tc>
        <w:tc>
          <w:tcPr>
            <w:tcW w:w="2070" w:type="dxa"/>
          </w:tcPr>
          <w:p w14:paraId="23A63561"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372(89.2)</w:t>
            </w:r>
          </w:p>
        </w:tc>
        <w:tc>
          <w:tcPr>
            <w:tcW w:w="1371" w:type="dxa"/>
          </w:tcPr>
          <w:p w14:paraId="3A5A9BD6"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45(10.8)</w:t>
            </w:r>
          </w:p>
        </w:tc>
      </w:tr>
      <w:tr w:rsidR="008D3C32" w:rsidRPr="00F162DB" w14:paraId="71718B8D"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ECCA49A"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Food-borne illness can be acquired from consumption of contaminated food.</w:t>
            </w:r>
          </w:p>
        </w:tc>
        <w:tc>
          <w:tcPr>
            <w:tcW w:w="2070" w:type="dxa"/>
          </w:tcPr>
          <w:p w14:paraId="0BD399B1"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401(96.2)</w:t>
            </w:r>
          </w:p>
        </w:tc>
        <w:tc>
          <w:tcPr>
            <w:tcW w:w="1371" w:type="dxa"/>
          </w:tcPr>
          <w:p w14:paraId="4FBBC496"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16(3.8)</w:t>
            </w:r>
          </w:p>
        </w:tc>
      </w:tr>
      <w:tr w:rsidR="008D3C32" w:rsidRPr="00F162DB" w14:paraId="244965DA"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2C0390FE"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Inadequate cooking of raw food like meat, chicken and vegetable can cause outbreak of food-borne illness.</w:t>
            </w:r>
          </w:p>
        </w:tc>
        <w:tc>
          <w:tcPr>
            <w:tcW w:w="2070" w:type="dxa"/>
          </w:tcPr>
          <w:p w14:paraId="1FDE21FD"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368(88.2)</w:t>
            </w:r>
          </w:p>
        </w:tc>
        <w:tc>
          <w:tcPr>
            <w:tcW w:w="1371" w:type="dxa"/>
          </w:tcPr>
          <w:p w14:paraId="27CAA5DA"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49(11.8)</w:t>
            </w:r>
          </w:p>
        </w:tc>
      </w:tr>
      <w:tr w:rsidR="008D3C32" w:rsidRPr="00F162DB" w14:paraId="54B59357"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2ED524E1" w14:textId="77777777" w:rsidR="008D3C32" w:rsidRPr="00F162DB" w:rsidRDefault="008D3C32" w:rsidP="00B06251">
            <w:pPr>
              <w:rPr>
                <w:rFonts w:ascii="Times New Roman" w:eastAsia="Calibri" w:hAnsi="Times New Roman" w:cs="Times New Roman"/>
                <w:b w:val="0"/>
                <w:bCs w:val="0"/>
                <w:i/>
                <w:iCs/>
              </w:rPr>
            </w:pPr>
          </w:p>
        </w:tc>
        <w:tc>
          <w:tcPr>
            <w:tcW w:w="2070" w:type="dxa"/>
          </w:tcPr>
          <w:p w14:paraId="41F4868F"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c>
          <w:tcPr>
            <w:tcW w:w="1371" w:type="dxa"/>
          </w:tcPr>
          <w:p w14:paraId="5CDAE5FA"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r>
      <w:tr w:rsidR="008D3C32" w:rsidRPr="00F162DB" w14:paraId="4D94B3C1"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54E2638B"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Over all knowledge</w:t>
            </w:r>
          </w:p>
        </w:tc>
        <w:tc>
          <w:tcPr>
            <w:tcW w:w="2070" w:type="dxa"/>
          </w:tcPr>
          <w:p w14:paraId="0C11BDC4"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Good </w:t>
            </w:r>
          </w:p>
        </w:tc>
        <w:tc>
          <w:tcPr>
            <w:tcW w:w="1371" w:type="dxa"/>
          </w:tcPr>
          <w:p w14:paraId="1FA9BBC2"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Poor </w:t>
            </w:r>
          </w:p>
        </w:tc>
      </w:tr>
      <w:tr w:rsidR="008D3C32" w:rsidRPr="00F162DB" w14:paraId="59FCBFFF"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5CC0C861" w14:textId="77777777" w:rsidR="008D3C32" w:rsidRPr="00F162DB" w:rsidRDefault="008D3C32" w:rsidP="00B06251">
            <w:pPr>
              <w:rPr>
                <w:rFonts w:ascii="Times New Roman" w:eastAsia="Calibri" w:hAnsi="Times New Roman" w:cs="Times New Roman"/>
                <w:b w:val="0"/>
                <w:bCs w:val="0"/>
                <w:i/>
                <w:iCs/>
              </w:rPr>
            </w:pPr>
          </w:p>
        </w:tc>
        <w:tc>
          <w:tcPr>
            <w:tcW w:w="2070" w:type="dxa"/>
          </w:tcPr>
          <w:p w14:paraId="6AD42633"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406(97.4)</w:t>
            </w:r>
          </w:p>
        </w:tc>
        <w:tc>
          <w:tcPr>
            <w:tcW w:w="1371" w:type="dxa"/>
          </w:tcPr>
          <w:p w14:paraId="67CA611F"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11(2.6)</w:t>
            </w:r>
          </w:p>
        </w:tc>
      </w:tr>
    </w:tbl>
    <w:p w14:paraId="505E7C64" w14:textId="77777777" w:rsidR="008D3C32" w:rsidRPr="00514FAD" w:rsidRDefault="008D3C32" w:rsidP="008D3C32">
      <w:pPr>
        <w:spacing w:line="480" w:lineRule="auto"/>
        <w:rPr>
          <w:rFonts w:ascii="Times New Roman" w:eastAsia="Calibri" w:hAnsi="Times New Roman" w:cs="Times New Roman"/>
        </w:rPr>
      </w:pPr>
      <w:r>
        <w:rPr>
          <w:rFonts w:ascii="Times New Roman" w:eastAsia="Calibri" w:hAnsi="Times New Roman" w:cs="Times New Roman"/>
          <w:b/>
          <w:bCs/>
        </w:rPr>
        <w:t>NB:</w:t>
      </w:r>
      <w:r>
        <w:rPr>
          <w:rFonts w:ascii="Times New Roman" w:eastAsia="Calibri" w:hAnsi="Times New Roman" w:cs="Times New Roman"/>
        </w:rPr>
        <w:t xml:space="preserve"> </w:t>
      </w:r>
      <w:r w:rsidRPr="00514FAD">
        <w:rPr>
          <w:rFonts w:ascii="Times New Roman" w:eastAsia="Calibri" w:hAnsi="Times New Roman" w:cs="Times New Roman"/>
        </w:rPr>
        <w:t>Good = Yes; Poor = No and I don’t know</w:t>
      </w:r>
    </w:p>
    <w:p w14:paraId="53D6F19A" w14:textId="77777777" w:rsidR="008D3C32" w:rsidRPr="00F162DB" w:rsidRDefault="008D3C32" w:rsidP="008D3C32">
      <w:pPr>
        <w:spacing w:line="480" w:lineRule="auto"/>
        <w:rPr>
          <w:rFonts w:ascii="Times New Roman" w:eastAsia="Calibri" w:hAnsi="Times New Roman" w:cs="Times New Roman"/>
          <w:b/>
          <w:bCs/>
        </w:rPr>
      </w:pPr>
      <w:r w:rsidRPr="00F162DB">
        <w:rPr>
          <w:rFonts w:ascii="Times New Roman" w:eastAsia="Calibri" w:hAnsi="Times New Roman" w:cs="Times New Roman"/>
          <w:b/>
          <w:bCs/>
        </w:rPr>
        <w:t>Table 3</w:t>
      </w:r>
      <w:r w:rsidRPr="00F162DB">
        <w:rPr>
          <w:rFonts w:ascii="Times New Roman" w:eastAsia="Calibri" w:hAnsi="Times New Roman" w:cs="Times New Roman"/>
        </w:rPr>
        <w:t xml:space="preserve"> indicate</w:t>
      </w:r>
      <w:r>
        <w:rPr>
          <w:rFonts w:ascii="Times New Roman" w:eastAsia="Calibri" w:hAnsi="Times New Roman" w:cs="Times New Roman"/>
        </w:rPr>
        <w:t>d</w:t>
      </w:r>
      <w:r w:rsidRPr="00F162DB">
        <w:rPr>
          <w:rFonts w:ascii="Times New Roman" w:eastAsia="Calibri" w:hAnsi="Times New Roman" w:cs="Times New Roman"/>
        </w:rPr>
        <w:t xml:space="preserve"> that the majority</w:t>
      </w:r>
      <w:r>
        <w:rPr>
          <w:rFonts w:ascii="Times New Roman" w:eastAsia="Calibri" w:hAnsi="Times New Roman" w:cs="Times New Roman"/>
        </w:rPr>
        <w:t xml:space="preserve"> (88.2%)</w:t>
      </w:r>
      <w:r w:rsidRPr="00F162DB">
        <w:rPr>
          <w:rFonts w:ascii="Times New Roman" w:eastAsia="Calibri" w:hAnsi="Times New Roman" w:cs="Times New Roman"/>
        </w:rPr>
        <w:t xml:space="preserve"> of the respondents have a positive attitude to food safety </w:t>
      </w:r>
      <w:r>
        <w:rPr>
          <w:rFonts w:ascii="Times New Roman" w:eastAsia="Calibri" w:hAnsi="Times New Roman" w:cs="Times New Roman"/>
        </w:rPr>
        <w:t>however, only a meagre 17.3% believed that reheating food could cause</w:t>
      </w:r>
      <w:r w:rsidRPr="00F162DB">
        <w:rPr>
          <w:rFonts w:ascii="Times New Roman" w:eastAsia="Calibri" w:hAnsi="Times New Roman" w:cs="Times New Roman"/>
        </w:rPr>
        <w:t xml:space="preserve"> cross contamination. All the respondents agreed that </w:t>
      </w:r>
      <w:r>
        <w:rPr>
          <w:rFonts w:ascii="Times New Roman" w:eastAsia="Calibri" w:hAnsi="Times New Roman" w:cs="Times New Roman"/>
        </w:rPr>
        <w:t>k</w:t>
      </w:r>
      <w:r w:rsidRPr="00F162DB">
        <w:rPr>
          <w:rFonts w:ascii="Times New Roman" w:eastAsia="Calibri" w:hAnsi="Times New Roman" w:cs="Times New Roman"/>
        </w:rPr>
        <w:t>nowledge about food safety is important.</w:t>
      </w:r>
    </w:p>
    <w:p w14:paraId="77FF82A6" w14:textId="77777777" w:rsidR="008D3C32" w:rsidRPr="00F162DB" w:rsidRDefault="008D3C32" w:rsidP="008D3C32">
      <w:pPr>
        <w:rPr>
          <w:rFonts w:ascii="Times New Roman" w:eastAsia="Calibri" w:hAnsi="Times New Roman" w:cs="Times New Roman"/>
          <w:b/>
          <w:bCs/>
          <w:i/>
          <w:iCs/>
        </w:rPr>
      </w:pPr>
      <w:r w:rsidRPr="00F162DB">
        <w:rPr>
          <w:rFonts w:ascii="Times New Roman" w:eastAsia="Calibri" w:hAnsi="Times New Roman" w:cs="Times New Roman"/>
          <w:b/>
          <w:bCs/>
          <w:i/>
          <w:iCs/>
        </w:rPr>
        <w:t xml:space="preserve">Table 3: </w:t>
      </w:r>
      <w:r w:rsidRPr="004E0987">
        <w:rPr>
          <w:rFonts w:ascii="Times New Roman" w:eastAsia="Calibri" w:hAnsi="Times New Roman" w:cs="Times New Roman"/>
          <w:b/>
          <w:bCs/>
          <w:i/>
          <w:iCs/>
          <w:sz w:val="20"/>
        </w:rPr>
        <w:t xml:space="preserve">Attitude </w:t>
      </w:r>
      <w:r w:rsidR="004E0987" w:rsidRPr="004E0987">
        <w:rPr>
          <w:rFonts w:ascii="Times New Roman" w:eastAsia="Calibri" w:hAnsi="Times New Roman" w:cs="Times New Roman"/>
          <w:b/>
          <w:bCs/>
          <w:i/>
          <w:iCs/>
          <w:sz w:val="20"/>
        </w:rPr>
        <w:t xml:space="preserve">Towards </w:t>
      </w:r>
      <w:r w:rsidRPr="004E0987">
        <w:rPr>
          <w:rFonts w:ascii="Times New Roman" w:eastAsia="Calibri" w:hAnsi="Times New Roman" w:cs="Times New Roman"/>
          <w:b/>
          <w:bCs/>
          <w:i/>
          <w:iCs/>
          <w:sz w:val="20"/>
        </w:rPr>
        <w:t xml:space="preserve">Food </w:t>
      </w:r>
      <w:r w:rsidR="004E0987" w:rsidRPr="004E0987">
        <w:rPr>
          <w:rFonts w:ascii="Times New Roman" w:eastAsia="Calibri" w:hAnsi="Times New Roman" w:cs="Times New Roman"/>
          <w:b/>
          <w:bCs/>
          <w:i/>
          <w:iCs/>
          <w:sz w:val="20"/>
        </w:rPr>
        <w:t xml:space="preserve">Safety and </w:t>
      </w:r>
      <w:r w:rsidRPr="004E0987">
        <w:rPr>
          <w:rFonts w:ascii="Times New Roman" w:eastAsia="Calibri" w:hAnsi="Times New Roman" w:cs="Times New Roman"/>
          <w:b/>
          <w:bCs/>
          <w:i/>
          <w:iCs/>
          <w:sz w:val="20"/>
        </w:rPr>
        <w:t xml:space="preserve">Hygiene </w:t>
      </w:r>
      <w:r w:rsidR="004E0987" w:rsidRPr="004E0987">
        <w:rPr>
          <w:rFonts w:ascii="Times New Roman" w:eastAsia="Calibri" w:hAnsi="Times New Roman" w:cs="Times New Roman"/>
          <w:b/>
          <w:bCs/>
          <w:i/>
          <w:iCs/>
          <w:sz w:val="20"/>
        </w:rPr>
        <w:t xml:space="preserve">Among </w:t>
      </w:r>
      <w:proofErr w:type="gramStart"/>
      <w:r w:rsidR="004E0987" w:rsidRPr="004E0987">
        <w:rPr>
          <w:rFonts w:ascii="Times New Roman" w:eastAsia="Calibri" w:hAnsi="Times New Roman" w:cs="Times New Roman"/>
          <w:b/>
          <w:bCs/>
          <w:i/>
          <w:iCs/>
          <w:sz w:val="20"/>
        </w:rPr>
        <w:t>The</w:t>
      </w:r>
      <w:proofErr w:type="gramEnd"/>
      <w:r w:rsidR="004E0987" w:rsidRPr="004E0987">
        <w:rPr>
          <w:rFonts w:ascii="Times New Roman" w:eastAsia="Calibri" w:hAnsi="Times New Roman" w:cs="Times New Roman"/>
          <w:b/>
          <w:bCs/>
          <w:i/>
          <w:iCs/>
          <w:sz w:val="20"/>
        </w:rPr>
        <w:t xml:space="preserve"> Respondents </w:t>
      </w:r>
      <w:r w:rsidRPr="00F162DB">
        <w:rPr>
          <w:rFonts w:ascii="Times New Roman" w:eastAsia="Calibri" w:hAnsi="Times New Roman" w:cs="Times New Roman"/>
          <w:b/>
          <w:bCs/>
          <w:i/>
          <w:iCs/>
        </w:rPr>
        <w:t>(n=417)</w:t>
      </w:r>
    </w:p>
    <w:tbl>
      <w:tblPr>
        <w:tblStyle w:val="PlainTable4"/>
        <w:tblW w:w="0" w:type="auto"/>
        <w:tblLook w:val="04A0" w:firstRow="1" w:lastRow="0" w:firstColumn="1" w:lastColumn="0" w:noHBand="0" w:noVBand="1"/>
      </w:tblPr>
      <w:tblGrid>
        <w:gridCol w:w="5660"/>
        <w:gridCol w:w="1504"/>
        <w:gridCol w:w="1358"/>
      </w:tblGrid>
      <w:tr w:rsidR="008D3C32" w:rsidRPr="00F162DB" w14:paraId="1E2D2B95" w14:textId="77777777" w:rsidTr="00B0625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2044151D" w14:textId="77777777" w:rsidR="008D3C32" w:rsidRPr="00F162DB" w:rsidRDefault="008D3C32" w:rsidP="00B06251">
            <w:pPr>
              <w:rPr>
                <w:rFonts w:ascii="Times New Roman" w:eastAsia="Calibri" w:hAnsi="Times New Roman" w:cs="Times New Roman"/>
                <w:b w:val="0"/>
                <w:bCs w:val="0"/>
              </w:rPr>
            </w:pPr>
            <w:r w:rsidRPr="00F162DB">
              <w:rPr>
                <w:rFonts w:ascii="Times New Roman" w:eastAsia="Calibri" w:hAnsi="Times New Roman" w:cs="Times New Roman"/>
              </w:rPr>
              <w:t>Variables</w:t>
            </w:r>
          </w:p>
        </w:tc>
        <w:tc>
          <w:tcPr>
            <w:tcW w:w="1504" w:type="dxa"/>
          </w:tcPr>
          <w:p w14:paraId="6EEAC848" w14:textId="77777777" w:rsidR="008D3C32" w:rsidRPr="00F162DB" w:rsidRDefault="008D3C32" w:rsidP="00B062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 xml:space="preserve">Positive </w:t>
            </w:r>
          </w:p>
        </w:tc>
        <w:tc>
          <w:tcPr>
            <w:tcW w:w="1358" w:type="dxa"/>
          </w:tcPr>
          <w:p w14:paraId="40126EB0" w14:textId="77777777" w:rsidR="008D3C32" w:rsidRPr="00F162DB" w:rsidRDefault="008D3C32" w:rsidP="00B062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 xml:space="preserve">Negative </w:t>
            </w:r>
          </w:p>
        </w:tc>
      </w:tr>
      <w:tr w:rsidR="008D3C32" w:rsidRPr="00F162DB" w14:paraId="02A24481"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45EDBE35" w14:textId="77777777" w:rsidR="008D3C32" w:rsidRPr="00F162DB" w:rsidRDefault="008D3C32" w:rsidP="00B06251">
            <w:pPr>
              <w:rPr>
                <w:rFonts w:ascii="Times New Roman" w:eastAsia="Calibri" w:hAnsi="Times New Roman" w:cs="Times New Roman"/>
                <w:b w:val="0"/>
                <w:bCs w:val="0"/>
              </w:rPr>
            </w:pPr>
          </w:p>
        </w:tc>
        <w:tc>
          <w:tcPr>
            <w:tcW w:w="1504" w:type="dxa"/>
          </w:tcPr>
          <w:p w14:paraId="4CA6D13E"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c>
          <w:tcPr>
            <w:tcW w:w="1358" w:type="dxa"/>
          </w:tcPr>
          <w:p w14:paraId="36B61722"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r>
      <w:tr w:rsidR="008D3C32" w:rsidRPr="00F162DB" w14:paraId="6D14EC31"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262AB17A"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after going to the toilet prevents cross contamination</w:t>
            </w:r>
          </w:p>
        </w:tc>
        <w:tc>
          <w:tcPr>
            <w:tcW w:w="1504" w:type="dxa"/>
          </w:tcPr>
          <w:p w14:paraId="4EE75A08"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396(95.0)</w:t>
            </w:r>
          </w:p>
        </w:tc>
        <w:tc>
          <w:tcPr>
            <w:tcW w:w="1358" w:type="dxa"/>
          </w:tcPr>
          <w:p w14:paraId="1C75C50B"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21(5.0)</w:t>
            </w:r>
          </w:p>
        </w:tc>
      </w:tr>
      <w:tr w:rsidR="008D3C32" w:rsidRPr="00F162DB" w14:paraId="03182DDD"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56B612A7"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Knowledge about food safety is important to you</w:t>
            </w:r>
          </w:p>
        </w:tc>
        <w:tc>
          <w:tcPr>
            <w:tcW w:w="1504" w:type="dxa"/>
          </w:tcPr>
          <w:p w14:paraId="21F67E71"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417(100.0)</w:t>
            </w:r>
          </w:p>
        </w:tc>
        <w:tc>
          <w:tcPr>
            <w:tcW w:w="1358" w:type="dxa"/>
          </w:tcPr>
          <w:p w14:paraId="085D6C80"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0(0.00)</w:t>
            </w:r>
          </w:p>
        </w:tc>
      </w:tr>
      <w:tr w:rsidR="008D3C32" w:rsidRPr="00F162DB" w14:paraId="07F93054"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51A43613"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Consumption of expired food can cause food-borne illness</w:t>
            </w:r>
          </w:p>
        </w:tc>
        <w:tc>
          <w:tcPr>
            <w:tcW w:w="1504" w:type="dxa"/>
          </w:tcPr>
          <w:p w14:paraId="23BB58FD"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363(87.1)</w:t>
            </w:r>
          </w:p>
        </w:tc>
        <w:tc>
          <w:tcPr>
            <w:tcW w:w="1358" w:type="dxa"/>
          </w:tcPr>
          <w:p w14:paraId="6551A378"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54(12.9)</w:t>
            </w:r>
          </w:p>
        </w:tc>
      </w:tr>
      <w:tr w:rsidR="008D3C32" w:rsidRPr="00F162DB" w14:paraId="6AFB1811"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7DBFB20C"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lastRenderedPageBreak/>
              <w:t>Defrosted food should not be frozen again</w:t>
            </w:r>
          </w:p>
        </w:tc>
        <w:tc>
          <w:tcPr>
            <w:tcW w:w="1504" w:type="dxa"/>
          </w:tcPr>
          <w:p w14:paraId="3E1E64A7"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97(23.3)</w:t>
            </w:r>
          </w:p>
        </w:tc>
        <w:tc>
          <w:tcPr>
            <w:tcW w:w="1358" w:type="dxa"/>
          </w:tcPr>
          <w:p w14:paraId="2F0842E5"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320(76.7)</w:t>
            </w:r>
          </w:p>
        </w:tc>
      </w:tr>
      <w:tr w:rsidR="008D3C32" w:rsidRPr="00F162DB" w14:paraId="5BD8A149"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DD72BF4"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I do not worry about getting food poisoning from the food I eat</w:t>
            </w:r>
          </w:p>
        </w:tc>
        <w:tc>
          <w:tcPr>
            <w:tcW w:w="1504" w:type="dxa"/>
          </w:tcPr>
          <w:p w14:paraId="02BDF926"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105(25.2)</w:t>
            </w:r>
          </w:p>
        </w:tc>
        <w:tc>
          <w:tcPr>
            <w:tcW w:w="1358" w:type="dxa"/>
          </w:tcPr>
          <w:p w14:paraId="4D0BE18C"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312(74.8)</w:t>
            </w:r>
          </w:p>
        </w:tc>
      </w:tr>
      <w:tr w:rsidR="008D3C32" w:rsidRPr="00F162DB" w14:paraId="6DD571D5"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20B04DCE"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Cooking cutlery should be properly sanitised to prevent cross contamination</w:t>
            </w:r>
          </w:p>
        </w:tc>
        <w:tc>
          <w:tcPr>
            <w:tcW w:w="1504" w:type="dxa"/>
          </w:tcPr>
          <w:p w14:paraId="26A59AF9"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370(88.7)</w:t>
            </w:r>
          </w:p>
        </w:tc>
        <w:tc>
          <w:tcPr>
            <w:tcW w:w="1358" w:type="dxa"/>
          </w:tcPr>
          <w:p w14:paraId="3A3712B5"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47((11.3)</w:t>
            </w:r>
          </w:p>
        </w:tc>
      </w:tr>
      <w:tr w:rsidR="008D3C32" w:rsidRPr="00F162DB" w14:paraId="7DF5ED3A"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07CEE8B"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 and personal hygiene training is important to you</w:t>
            </w:r>
          </w:p>
        </w:tc>
        <w:tc>
          <w:tcPr>
            <w:tcW w:w="1504" w:type="dxa"/>
          </w:tcPr>
          <w:p w14:paraId="43D80F35"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390(93.5)</w:t>
            </w:r>
          </w:p>
        </w:tc>
        <w:tc>
          <w:tcPr>
            <w:tcW w:w="1358" w:type="dxa"/>
          </w:tcPr>
          <w:p w14:paraId="52CC2D62"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27(6.5)</w:t>
            </w:r>
          </w:p>
        </w:tc>
      </w:tr>
      <w:tr w:rsidR="008D3C32" w:rsidRPr="00F162DB" w14:paraId="19D39D05"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5E9AC819"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Clean hand towels should be used to wipe hands after washing</w:t>
            </w:r>
          </w:p>
        </w:tc>
        <w:tc>
          <w:tcPr>
            <w:tcW w:w="1504" w:type="dxa"/>
          </w:tcPr>
          <w:p w14:paraId="72FB5500"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375(89.9)</w:t>
            </w:r>
          </w:p>
        </w:tc>
        <w:tc>
          <w:tcPr>
            <w:tcW w:w="1358" w:type="dxa"/>
          </w:tcPr>
          <w:p w14:paraId="2EF8CCC0"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42(10.1)</w:t>
            </w:r>
          </w:p>
        </w:tc>
      </w:tr>
      <w:tr w:rsidR="008D3C32" w:rsidRPr="00F162DB" w14:paraId="3CB2F76D"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663B964A"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Safe food handling is part of my responsibility</w:t>
            </w:r>
          </w:p>
        </w:tc>
        <w:tc>
          <w:tcPr>
            <w:tcW w:w="1504" w:type="dxa"/>
          </w:tcPr>
          <w:p w14:paraId="17018E0B"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375(89.9)</w:t>
            </w:r>
          </w:p>
        </w:tc>
        <w:tc>
          <w:tcPr>
            <w:tcW w:w="1358" w:type="dxa"/>
          </w:tcPr>
          <w:p w14:paraId="31B30AD2"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42(10.1)</w:t>
            </w:r>
          </w:p>
        </w:tc>
      </w:tr>
      <w:tr w:rsidR="008D3C32" w:rsidRPr="00F162DB" w14:paraId="7EEBE8DF"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8CAE1F8"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It is important to read food label before purchase</w:t>
            </w:r>
          </w:p>
        </w:tc>
        <w:tc>
          <w:tcPr>
            <w:tcW w:w="1504" w:type="dxa"/>
          </w:tcPr>
          <w:p w14:paraId="5A4BCAF9"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364(87.3)</w:t>
            </w:r>
          </w:p>
        </w:tc>
        <w:tc>
          <w:tcPr>
            <w:tcW w:w="1358" w:type="dxa"/>
          </w:tcPr>
          <w:p w14:paraId="28B6912B"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53(12.7)</w:t>
            </w:r>
          </w:p>
        </w:tc>
      </w:tr>
      <w:tr w:rsidR="008D3C32" w:rsidRPr="00F162DB" w14:paraId="038F7811"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B51B370"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Reheating food could cause cross contamination</w:t>
            </w:r>
          </w:p>
        </w:tc>
        <w:tc>
          <w:tcPr>
            <w:tcW w:w="1504" w:type="dxa"/>
          </w:tcPr>
          <w:p w14:paraId="485DB66A"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72(17.3)</w:t>
            </w:r>
          </w:p>
        </w:tc>
        <w:tc>
          <w:tcPr>
            <w:tcW w:w="1358" w:type="dxa"/>
          </w:tcPr>
          <w:p w14:paraId="4E2BDB78"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345(82.7)</w:t>
            </w:r>
          </w:p>
        </w:tc>
      </w:tr>
      <w:tr w:rsidR="008D3C32" w:rsidRPr="00F162DB" w14:paraId="2FCA6126"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1FDE61D"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Proper cooking of food could prevent contamination</w:t>
            </w:r>
          </w:p>
        </w:tc>
        <w:tc>
          <w:tcPr>
            <w:tcW w:w="1504" w:type="dxa"/>
          </w:tcPr>
          <w:p w14:paraId="7471BA61"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372(89.2)</w:t>
            </w:r>
          </w:p>
        </w:tc>
        <w:tc>
          <w:tcPr>
            <w:tcW w:w="1358" w:type="dxa"/>
          </w:tcPr>
          <w:p w14:paraId="4A07FEE5"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45(10.8)</w:t>
            </w:r>
          </w:p>
        </w:tc>
      </w:tr>
      <w:tr w:rsidR="008D3C32" w:rsidRPr="00F162DB" w14:paraId="7FE28B14"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01FDAD00"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Eggs should be properly washed before cooking or frying</w:t>
            </w:r>
          </w:p>
        </w:tc>
        <w:tc>
          <w:tcPr>
            <w:tcW w:w="1504" w:type="dxa"/>
          </w:tcPr>
          <w:p w14:paraId="7BE28355"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280(67.1)</w:t>
            </w:r>
          </w:p>
        </w:tc>
        <w:tc>
          <w:tcPr>
            <w:tcW w:w="1358" w:type="dxa"/>
          </w:tcPr>
          <w:p w14:paraId="3BD545C6"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137(32.9)</w:t>
            </w:r>
          </w:p>
        </w:tc>
      </w:tr>
      <w:tr w:rsidR="008D3C32" w:rsidRPr="00F162DB" w14:paraId="38A43EC0"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0FE696A"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Frequent hand washing helps to prevent food-borne disease</w:t>
            </w:r>
          </w:p>
        </w:tc>
        <w:tc>
          <w:tcPr>
            <w:tcW w:w="1504" w:type="dxa"/>
          </w:tcPr>
          <w:p w14:paraId="2B1ED7C2"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373(89.4)</w:t>
            </w:r>
          </w:p>
        </w:tc>
        <w:tc>
          <w:tcPr>
            <w:tcW w:w="1358" w:type="dxa"/>
          </w:tcPr>
          <w:p w14:paraId="5947F58E"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44(10.6)</w:t>
            </w:r>
          </w:p>
        </w:tc>
      </w:tr>
      <w:tr w:rsidR="008D3C32" w:rsidRPr="00F162DB" w14:paraId="6DCC462A"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10081063"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Chopping different meat on the same cutting board should be avoided.</w:t>
            </w:r>
          </w:p>
        </w:tc>
        <w:tc>
          <w:tcPr>
            <w:tcW w:w="1504" w:type="dxa"/>
          </w:tcPr>
          <w:p w14:paraId="20696821"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128(30.7)</w:t>
            </w:r>
          </w:p>
        </w:tc>
        <w:tc>
          <w:tcPr>
            <w:tcW w:w="1358" w:type="dxa"/>
          </w:tcPr>
          <w:p w14:paraId="06CC7C61"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289(69.3)</w:t>
            </w:r>
          </w:p>
        </w:tc>
      </w:tr>
      <w:tr w:rsidR="008D3C32" w:rsidRPr="00F162DB" w14:paraId="2E60B28E"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50ACAA8C"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I believe good personal hygiene can prevent food borne illnesses</w:t>
            </w:r>
          </w:p>
        </w:tc>
        <w:tc>
          <w:tcPr>
            <w:tcW w:w="1504" w:type="dxa"/>
          </w:tcPr>
          <w:p w14:paraId="0B17AF47"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382(91.6)</w:t>
            </w:r>
          </w:p>
        </w:tc>
        <w:tc>
          <w:tcPr>
            <w:tcW w:w="1358" w:type="dxa"/>
          </w:tcPr>
          <w:p w14:paraId="26ABF848"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35(8.4)</w:t>
            </w:r>
          </w:p>
        </w:tc>
      </w:tr>
      <w:tr w:rsidR="008D3C32" w:rsidRPr="00F162DB" w14:paraId="0D276264"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4EAEC79A"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 preparation areas must be cleaned before and after preparing food.</w:t>
            </w:r>
          </w:p>
        </w:tc>
        <w:tc>
          <w:tcPr>
            <w:tcW w:w="1504" w:type="dxa"/>
          </w:tcPr>
          <w:p w14:paraId="222C4CDE"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296(71.0)</w:t>
            </w:r>
          </w:p>
        </w:tc>
        <w:tc>
          <w:tcPr>
            <w:tcW w:w="1358" w:type="dxa"/>
          </w:tcPr>
          <w:p w14:paraId="188DA609"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121((29.0)</w:t>
            </w:r>
          </w:p>
        </w:tc>
      </w:tr>
      <w:tr w:rsidR="008D3C32" w:rsidRPr="00F162DB" w14:paraId="766E0D44"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AF655DE"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Towel used in the toilet can be used in the kitchen.</w:t>
            </w:r>
          </w:p>
        </w:tc>
        <w:tc>
          <w:tcPr>
            <w:tcW w:w="1504" w:type="dxa"/>
          </w:tcPr>
          <w:p w14:paraId="174900B0"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56(13.4)</w:t>
            </w:r>
          </w:p>
        </w:tc>
        <w:tc>
          <w:tcPr>
            <w:tcW w:w="1358" w:type="dxa"/>
          </w:tcPr>
          <w:p w14:paraId="66AC2E03"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361(86.6)</w:t>
            </w:r>
          </w:p>
        </w:tc>
      </w:tr>
      <w:tr w:rsidR="008D3C32" w:rsidRPr="00F162DB" w14:paraId="4AC96DCB"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76FFE448"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Towel used to clean food contact surfaces should be used to clean hands.</w:t>
            </w:r>
          </w:p>
        </w:tc>
        <w:tc>
          <w:tcPr>
            <w:tcW w:w="1504" w:type="dxa"/>
          </w:tcPr>
          <w:p w14:paraId="51E5A4A7"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56(13.4)</w:t>
            </w:r>
          </w:p>
        </w:tc>
        <w:tc>
          <w:tcPr>
            <w:tcW w:w="1358" w:type="dxa"/>
          </w:tcPr>
          <w:p w14:paraId="71EA764D"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361(86.6)</w:t>
            </w:r>
          </w:p>
        </w:tc>
      </w:tr>
      <w:tr w:rsidR="008D3C32" w:rsidRPr="00F162DB" w14:paraId="03842F85"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2C85EE79" w14:textId="77777777" w:rsidR="008D3C32" w:rsidRPr="00F162DB" w:rsidRDefault="008D3C32" w:rsidP="00B06251">
            <w:pPr>
              <w:rPr>
                <w:rFonts w:ascii="Times New Roman" w:eastAsia="Calibri" w:hAnsi="Times New Roman" w:cs="Times New Roman"/>
                <w:b w:val="0"/>
                <w:bCs w:val="0"/>
                <w:i/>
                <w:iCs/>
              </w:rPr>
            </w:pPr>
          </w:p>
        </w:tc>
        <w:tc>
          <w:tcPr>
            <w:tcW w:w="1504" w:type="dxa"/>
          </w:tcPr>
          <w:p w14:paraId="291A56C0"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p>
        </w:tc>
        <w:tc>
          <w:tcPr>
            <w:tcW w:w="1358" w:type="dxa"/>
          </w:tcPr>
          <w:p w14:paraId="727EBF77"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p>
        </w:tc>
      </w:tr>
      <w:tr w:rsidR="008D3C32" w:rsidRPr="00F162DB" w14:paraId="4A96F8DF"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011FBB64" w14:textId="77777777" w:rsidR="008D3C32" w:rsidRPr="00F162DB" w:rsidRDefault="008D3C32" w:rsidP="00B06251">
            <w:pPr>
              <w:rPr>
                <w:rFonts w:ascii="Times New Roman" w:eastAsia="Calibri" w:hAnsi="Times New Roman" w:cs="Times New Roman"/>
                <w:b w:val="0"/>
                <w:bCs w:val="0"/>
              </w:rPr>
            </w:pPr>
            <w:r w:rsidRPr="00F162DB">
              <w:rPr>
                <w:rFonts w:ascii="Times New Roman" w:eastAsia="Calibri" w:hAnsi="Times New Roman" w:cs="Times New Roman"/>
              </w:rPr>
              <w:t xml:space="preserve">Overall attitude </w:t>
            </w:r>
          </w:p>
        </w:tc>
        <w:tc>
          <w:tcPr>
            <w:tcW w:w="1504" w:type="dxa"/>
          </w:tcPr>
          <w:p w14:paraId="3964960A"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Positive </w:t>
            </w:r>
          </w:p>
        </w:tc>
        <w:tc>
          <w:tcPr>
            <w:tcW w:w="1358" w:type="dxa"/>
          </w:tcPr>
          <w:p w14:paraId="62DCC5A3"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Negative </w:t>
            </w:r>
          </w:p>
        </w:tc>
      </w:tr>
      <w:tr w:rsidR="008D3C32" w:rsidRPr="00F162DB" w14:paraId="6658CFBF"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1CD66A1E" w14:textId="77777777" w:rsidR="008D3C32" w:rsidRPr="00F162DB" w:rsidRDefault="008D3C32" w:rsidP="00B06251">
            <w:pPr>
              <w:rPr>
                <w:rFonts w:ascii="Times New Roman" w:eastAsia="Calibri" w:hAnsi="Times New Roman" w:cs="Times New Roman"/>
              </w:rPr>
            </w:pPr>
          </w:p>
        </w:tc>
        <w:tc>
          <w:tcPr>
            <w:tcW w:w="1504" w:type="dxa"/>
          </w:tcPr>
          <w:p w14:paraId="68B1B1F9"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368(88.2%)</w:t>
            </w:r>
          </w:p>
        </w:tc>
        <w:tc>
          <w:tcPr>
            <w:tcW w:w="1358" w:type="dxa"/>
          </w:tcPr>
          <w:p w14:paraId="04059CB0"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49(11.8)</w:t>
            </w:r>
          </w:p>
        </w:tc>
      </w:tr>
    </w:tbl>
    <w:p w14:paraId="7826BAFC" w14:textId="77777777" w:rsidR="008D3C32" w:rsidRDefault="008D3C32" w:rsidP="008D3C32">
      <w:pPr>
        <w:spacing w:line="480" w:lineRule="auto"/>
        <w:jc w:val="both"/>
        <w:rPr>
          <w:rFonts w:ascii="Times New Roman" w:eastAsia="Calibri" w:hAnsi="Times New Roman" w:cs="Times New Roman"/>
          <w:b/>
          <w:bCs/>
        </w:rPr>
      </w:pPr>
      <w:r>
        <w:rPr>
          <w:rFonts w:ascii="Times New Roman" w:eastAsia="Calibri" w:hAnsi="Times New Roman" w:cs="Times New Roman"/>
          <w:b/>
          <w:bCs/>
        </w:rPr>
        <w:t>NB</w:t>
      </w:r>
      <w:r w:rsidRPr="00514FAD">
        <w:rPr>
          <w:rFonts w:ascii="Times New Roman" w:eastAsia="Calibri" w:hAnsi="Times New Roman" w:cs="Times New Roman"/>
          <w:b/>
          <w:bCs/>
        </w:rPr>
        <w:t xml:space="preserve">: </w:t>
      </w:r>
      <w:r w:rsidRPr="00514FAD">
        <w:rPr>
          <w:rFonts w:ascii="Times New Roman" w:eastAsia="Calibri" w:hAnsi="Times New Roman" w:cs="Times New Roman"/>
        </w:rPr>
        <w:t>Positive = Agree</w:t>
      </w:r>
      <w:r>
        <w:rPr>
          <w:rFonts w:ascii="Times New Roman" w:eastAsia="Calibri" w:hAnsi="Times New Roman" w:cs="Times New Roman"/>
        </w:rPr>
        <w:t xml:space="preserve">, </w:t>
      </w:r>
      <w:r w:rsidRPr="00514FAD">
        <w:rPr>
          <w:rFonts w:ascii="Times New Roman" w:eastAsia="Calibri" w:hAnsi="Times New Roman" w:cs="Times New Roman"/>
        </w:rPr>
        <w:t>Strongly Agree</w:t>
      </w:r>
      <w:r>
        <w:rPr>
          <w:rFonts w:ascii="Times New Roman" w:eastAsia="Calibri" w:hAnsi="Times New Roman" w:cs="Times New Roman"/>
        </w:rPr>
        <w:t xml:space="preserve"> </w:t>
      </w:r>
      <w:r w:rsidRPr="00514FAD">
        <w:rPr>
          <w:rFonts w:ascii="Times New Roman" w:eastAsia="Calibri" w:hAnsi="Times New Roman" w:cs="Times New Roman"/>
        </w:rPr>
        <w:t>and</w:t>
      </w:r>
      <w:r>
        <w:rPr>
          <w:rFonts w:ascii="Times New Roman" w:eastAsia="Calibri" w:hAnsi="Times New Roman" w:cs="Times New Roman"/>
        </w:rPr>
        <w:t xml:space="preserve"> Neutral</w:t>
      </w:r>
      <w:r w:rsidRPr="00514FAD">
        <w:rPr>
          <w:rFonts w:ascii="Times New Roman" w:eastAsia="Calibri" w:hAnsi="Times New Roman" w:cs="Times New Roman"/>
        </w:rPr>
        <w:t>; Negative = Disagree and Strongly Disagree</w:t>
      </w:r>
    </w:p>
    <w:p w14:paraId="00E04545" w14:textId="77777777" w:rsidR="008D3C32" w:rsidRPr="00F162DB" w:rsidRDefault="008D3C32" w:rsidP="008D3C32">
      <w:pPr>
        <w:spacing w:line="480" w:lineRule="auto"/>
        <w:jc w:val="both"/>
        <w:rPr>
          <w:rFonts w:ascii="Times New Roman" w:eastAsia="Calibri" w:hAnsi="Times New Roman" w:cs="Times New Roman"/>
          <w:b/>
          <w:bCs/>
        </w:rPr>
      </w:pPr>
    </w:p>
    <w:p w14:paraId="36CE14F3" w14:textId="3731D1AB" w:rsidR="008D3C32" w:rsidRDefault="008D3C32" w:rsidP="008D3C32">
      <w:pPr>
        <w:spacing w:line="480" w:lineRule="auto"/>
        <w:jc w:val="both"/>
        <w:rPr>
          <w:rFonts w:ascii="Times New Roman" w:eastAsia="Calibri" w:hAnsi="Times New Roman" w:cs="Times New Roman"/>
        </w:rPr>
      </w:pPr>
      <w:r w:rsidRPr="00F162DB">
        <w:rPr>
          <w:rFonts w:ascii="Times New Roman" w:eastAsia="Calibri" w:hAnsi="Times New Roman" w:cs="Times New Roman"/>
          <w:b/>
          <w:bCs/>
        </w:rPr>
        <w:t>Table 4</w:t>
      </w:r>
      <w:r w:rsidR="00607143">
        <w:rPr>
          <w:rFonts w:ascii="Times New Roman" w:eastAsia="Calibri" w:hAnsi="Times New Roman" w:cs="Times New Roman"/>
          <w:b/>
          <w:bCs/>
        </w:rPr>
        <w:t>a</w:t>
      </w:r>
      <w:r w:rsidRPr="00F162DB">
        <w:rPr>
          <w:rFonts w:ascii="Times New Roman" w:eastAsia="Calibri" w:hAnsi="Times New Roman" w:cs="Times New Roman"/>
        </w:rPr>
        <w:t xml:space="preserve"> </w:t>
      </w:r>
      <w:r>
        <w:rPr>
          <w:rFonts w:ascii="Times New Roman" w:eastAsia="Calibri" w:hAnsi="Times New Roman" w:cs="Times New Roman"/>
        </w:rPr>
        <w:t>specified</w:t>
      </w:r>
      <w:r w:rsidRPr="00F162DB">
        <w:rPr>
          <w:rFonts w:ascii="Times New Roman" w:eastAsia="Calibri" w:hAnsi="Times New Roman" w:cs="Times New Roman"/>
        </w:rPr>
        <w:t xml:space="preserve"> that the majority (94.5%) of respondents </w:t>
      </w:r>
      <w:r>
        <w:rPr>
          <w:rFonts w:ascii="Times New Roman" w:eastAsia="Calibri" w:hAnsi="Times New Roman" w:cs="Times New Roman"/>
        </w:rPr>
        <w:t>exhibit</w:t>
      </w:r>
      <w:r w:rsidRPr="00F162DB">
        <w:rPr>
          <w:rFonts w:ascii="Times New Roman" w:eastAsia="Calibri" w:hAnsi="Times New Roman" w:cs="Times New Roman"/>
        </w:rPr>
        <w:t xml:space="preserve"> good practice of food safety.  Most (92.6%) of them wash their hands before and after cooking which is an important indicator of food safety practice in our environment. </w:t>
      </w:r>
      <w:r>
        <w:rPr>
          <w:rFonts w:ascii="Times New Roman" w:eastAsia="Calibri" w:hAnsi="Times New Roman" w:cs="Times New Roman"/>
        </w:rPr>
        <w:t>W</w:t>
      </w:r>
      <w:r w:rsidRPr="00F162DB">
        <w:rPr>
          <w:rFonts w:ascii="Times New Roman" w:eastAsia="Calibri" w:hAnsi="Times New Roman" w:cs="Times New Roman"/>
        </w:rPr>
        <w:t>ashing of fruits and vegetables before consumption is a practice by 98.3% of respondents</w:t>
      </w:r>
      <w:r w:rsidRPr="00F162DB">
        <w:rPr>
          <w:rFonts w:ascii="Times New Roman" w:eastAsia="GulliverRM" w:hAnsi="Times New Roman" w:cs="Times New Roman"/>
          <w:color w:val="000000"/>
          <w:lang w:bidi="ar"/>
        </w:rPr>
        <w:t>. 93.5% practice w</w:t>
      </w:r>
      <w:r w:rsidRPr="00F162DB">
        <w:rPr>
          <w:rFonts w:ascii="Times New Roman" w:eastAsia="Calibri" w:hAnsi="Times New Roman" w:cs="Times New Roman"/>
        </w:rPr>
        <w:t xml:space="preserve">ashing and rinsing of cutting boards, knives, and plates used </w:t>
      </w:r>
      <w:r w:rsidRPr="00F162DB">
        <w:rPr>
          <w:rFonts w:ascii="Times New Roman" w:eastAsia="Calibri" w:hAnsi="Times New Roman" w:cs="Times New Roman"/>
        </w:rPr>
        <w:lastRenderedPageBreak/>
        <w:t>for raw meat before using them for other foods. 95.7% report washing their utensils before beginning the cooking process</w:t>
      </w:r>
      <w:r>
        <w:rPr>
          <w:rFonts w:ascii="Times New Roman" w:eastAsia="Calibri" w:hAnsi="Times New Roman" w:cs="Times New Roman"/>
        </w:rPr>
        <w:t xml:space="preserve"> while</w:t>
      </w:r>
      <w:r w:rsidRPr="00F162DB">
        <w:rPr>
          <w:rFonts w:ascii="Times New Roman" w:eastAsia="Calibri" w:hAnsi="Times New Roman" w:cs="Times New Roman"/>
        </w:rPr>
        <w:t xml:space="preserve"> 71.0% responded positive to covering their wounds using bandage and using gloves.</w:t>
      </w:r>
    </w:p>
    <w:p w14:paraId="1B06808D" w14:textId="77777777" w:rsidR="008D3C32" w:rsidRPr="00F162DB" w:rsidRDefault="008D3C32" w:rsidP="008D3C32">
      <w:pPr>
        <w:spacing w:line="480" w:lineRule="auto"/>
        <w:jc w:val="both"/>
        <w:rPr>
          <w:rFonts w:ascii="Times New Roman" w:eastAsia="Calibri" w:hAnsi="Times New Roman" w:cs="Times New Roman"/>
        </w:rPr>
      </w:pPr>
      <w:r w:rsidRPr="00F162DB">
        <w:rPr>
          <w:rFonts w:ascii="Times New Roman" w:hAnsi="Times New Roman" w:cs="Times New Roman"/>
          <w:lang w:val="en-US"/>
        </w:rPr>
        <w:t xml:space="preserve">Key gaps included </w:t>
      </w:r>
      <w:r>
        <w:rPr>
          <w:rFonts w:ascii="Times New Roman" w:hAnsi="Times New Roman" w:cs="Times New Roman"/>
          <w:lang w:val="en-US"/>
        </w:rPr>
        <w:t>c</w:t>
      </w:r>
      <w:r w:rsidRPr="0082294D">
        <w:rPr>
          <w:rFonts w:ascii="Times New Roman" w:hAnsi="Times New Roman" w:cs="Times New Roman"/>
          <w:lang w:val="en-US"/>
        </w:rPr>
        <w:t>onsumption of food kept at room temperature for long</w:t>
      </w:r>
      <w:r>
        <w:rPr>
          <w:rFonts w:ascii="Times New Roman" w:hAnsi="Times New Roman" w:cs="Times New Roman"/>
          <w:lang w:val="en-US"/>
        </w:rPr>
        <w:t xml:space="preserve"> periods</w:t>
      </w:r>
      <w:r w:rsidRPr="00F162DB">
        <w:rPr>
          <w:rFonts w:ascii="Times New Roman" w:hAnsi="Times New Roman" w:cs="Times New Roman"/>
          <w:lang w:val="en-US"/>
        </w:rPr>
        <w:t xml:space="preserve"> (</w:t>
      </w:r>
      <w:r>
        <w:rPr>
          <w:rFonts w:ascii="Times New Roman" w:hAnsi="Times New Roman" w:cs="Times New Roman"/>
          <w:lang w:val="en-US"/>
        </w:rPr>
        <w:t>93</w:t>
      </w:r>
      <w:r w:rsidRPr="00F162DB">
        <w:rPr>
          <w:rFonts w:ascii="Times New Roman" w:hAnsi="Times New Roman" w:cs="Times New Roman"/>
          <w:lang w:val="en-US"/>
        </w:rPr>
        <w:t>.</w:t>
      </w:r>
      <w:r>
        <w:rPr>
          <w:rFonts w:ascii="Times New Roman" w:hAnsi="Times New Roman" w:cs="Times New Roman"/>
          <w:lang w:val="en-US"/>
        </w:rPr>
        <w:t>3</w:t>
      </w:r>
      <w:r w:rsidRPr="00F162DB">
        <w:rPr>
          <w:rFonts w:ascii="Times New Roman" w:hAnsi="Times New Roman" w:cs="Times New Roman"/>
          <w:lang w:val="en-US"/>
        </w:rPr>
        <w:t>%)</w:t>
      </w:r>
      <w:r>
        <w:rPr>
          <w:rFonts w:ascii="Times New Roman" w:eastAsia="Calibri" w:hAnsi="Times New Roman" w:cs="Times New Roman"/>
        </w:rPr>
        <w:t xml:space="preserve"> and </w:t>
      </w:r>
      <w:r w:rsidRPr="00F162DB">
        <w:rPr>
          <w:rFonts w:ascii="Times New Roman" w:hAnsi="Times New Roman" w:cs="Times New Roman"/>
          <w:lang w:val="en-US"/>
        </w:rPr>
        <w:t>practices</w:t>
      </w:r>
      <w:r>
        <w:rPr>
          <w:rFonts w:ascii="Times New Roman" w:hAnsi="Times New Roman" w:cs="Times New Roman"/>
          <w:lang w:val="en-US"/>
        </w:rPr>
        <w:t xml:space="preserve"> that can predispose to cross-contamination,</w:t>
      </w:r>
      <w:r w:rsidRPr="00F162DB">
        <w:rPr>
          <w:rFonts w:ascii="Times New Roman" w:hAnsi="Times New Roman" w:cs="Times New Roman"/>
          <w:lang w:val="en-US"/>
        </w:rPr>
        <w:t xml:space="preserve"> (</w:t>
      </w:r>
      <w:r>
        <w:rPr>
          <w:rFonts w:ascii="Times New Roman" w:hAnsi="Times New Roman" w:cs="Times New Roman"/>
          <w:lang w:val="en-US"/>
        </w:rPr>
        <w:t>49.9</w:t>
      </w:r>
      <w:r w:rsidRPr="00F162DB">
        <w:rPr>
          <w:rFonts w:ascii="Times New Roman" w:hAnsi="Times New Roman" w:cs="Times New Roman"/>
          <w:lang w:val="en-US"/>
        </w:rPr>
        <w:t>%)</w:t>
      </w:r>
      <w:r>
        <w:rPr>
          <w:rFonts w:ascii="Times New Roman" w:hAnsi="Times New Roman" w:cs="Times New Roman"/>
          <w:lang w:val="en-US"/>
        </w:rPr>
        <w:t xml:space="preserve"> which involved u</w:t>
      </w:r>
      <w:r w:rsidRPr="0082294D">
        <w:rPr>
          <w:rFonts w:ascii="Times New Roman" w:hAnsi="Times New Roman" w:cs="Times New Roman"/>
          <w:lang w:val="en-US"/>
        </w:rPr>
        <w:t>sing the same cutting board for raw meat, poultry, seafood and vegetables</w:t>
      </w:r>
      <w:r>
        <w:rPr>
          <w:rFonts w:ascii="Times New Roman" w:hAnsi="Times New Roman" w:cs="Times New Roman"/>
          <w:lang w:val="en-US"/>
        </w:rPr>
        <w:t>.</w:t>
      </w:r>
    </w:p>
    <w:p w14:paraId="637E7118" w14:textId="3C7031C3" w:rsidR="008D3C32" w:rsidRPr="00F162DB" w:rsidRDefault="008D3C32" w:rsidP="008D3C32">
      <w:pPr>
        <w:rPr>
          <w:rFonts w:ascii="Times New Roman" w:eastAsia="Calibri" w:hAnsi="Times New Roman" w:cs="Times New Roman"/>
          <w:b/>
          <w:bCs/>
          <w:i/>
          <w:iCs/>
        </w:rPr>
      </w:pPr>
      <w:r w:rsidRPr="00F162DB">
        <w:rPr>
          <w:rFonts w:ascii="Times New Roman" w:eastAsia="Calibri" w:hAnsi="Times New Roman" w:cs="Times New Roman"/>
          <w:b/>
          <w:bCs/>
          <w:i/>
          <w:iCs/>
        </w:rPr>
        <w:t>Table 4</w:t>
      </w:r>
      <w:r w:rsidR="00607143">
        <w:rPr>
          <w:rFonts w:ascii="Times New Roman" w:eastAsia="Calibri" w:hAnsi="Times New Roman" w:cs="Times New Roman"/>
          <w:b/>
          <w:bCs/>
          <w:i/>
          <w:iCs/>
        </w:rPr>
        <w:t>a</w:t>
      </w:r>
      <w:r w:rsidRPr="00F162DB">
        <w:rPr>
          <w:rFonts w:ascii="Times New Roman" w:eastAsia="Calibri" w:hAnsi="Times New Roman" w:cs="Times New Roman"/>
          <w:b/>
          <w:bCs/>
          <w:i/>
          <w:iCs/>
        </w:rPr>
        <w:t>: Practice of Food safety and Hygiene among UNEC students</w:t>
      </w:r>
      <w:r>
        <w:rPr>
          <w:rFonts w:ascii="Times New Roman" w:eastAsia="Calibri" w:hAnsi="Times New Roman" w:cs="Times New Roman"/>
          <w:b/>
          <w:bCs/>
          <w:i/>
          <w:iCs/>
        </w:rPr>
        <w:t xml:space="preserve"> </w:t>
      </w:r>
      <w:r w:rsidRPr="00F162DB">
        <w:rPr>
          <w:rFonts w:ascii="Times New Roman" w:eastAsia="Calibri" w:hAnsi="Times New Roman" w:cs="Times New Roman"/>
          <w:b/>
          <w:bCs/>
          <w:i/>
          <w:iCs/>
        </w:rPr>
        <w:t>(n=417)</w:t>
      </w:r>
    </w:p>
    <w:tbl>
      <w:tblPr>
        <w:tblStyle w:val="PlainTable4"/>
        <w:tblW w:w="0" w:type="auto"/>
        <w:tblLook w:val="04A0" w:firstRow="1" w:lastRow="0" w:firstColumn="1" w:lastColumn="0" w:noHBand="0" w:noVBand="1"/>
      </w:tblPr>
      <w:tblGrid>
        <w:gridCol w:w="5665"/>
        <w:gridCol w:w="1505"/>
        <w:gridCol w:w="1352"/>
      </w:tblGrid>
      <w:tr w:rsidR="008D3C32" w:rsidRPr="00F162DB" w14:paraId="368A52AF" w14:textId="77777777" w:rsidTr="00B0625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04C597B0" w14:textId="77777777" w:rsidR="008D3C32" w:rsidRPr="00F162DB" w:rsidRDefault="008D3C32" w:rsidP="00B06251">
            <w:pPr>
              <w:rPr>
                <w:rFonts w:ascii="Times New Roman" w:eastAsia="Calibri" w:hAnsi="Times New Roman" w:cs="Times New Roman"/>
              </w:rPr>
            </w:pPr>
            <w:r w:rsidRPr="00F162DB">
              <w:rPr>
                <w:rFonts w:ascii="Times New Roman" w:eastAsia="Calibri" w:hAnsi="Times New Roman" w:cs="Times New Roman"/>
              </w:rPr>
              <w:t>Variables</w:t>
            </w:r>
          </w:p>
        </w:tc>
        <w:tc>
          <w:tcPr>
            <w:tcW w:w="1505" w:type="dxa"/>
          </w:tcPr>
          <w:p w14:paraId="2B58F8FB" w14:textId="77777777" w:rsidR="008D3C32" w:rsidRPr="00F162DB" w:rsidRDefault="008D3C32" w:rsidP="00B062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 xml:space="preserve">Correct  </w:t>
            </w:r>
          </w:p>
        </w:tc>
        <w:tc>
          <w:tcPr>
            <w:tcW w:w="1352" w:type="dxa"/>
          </w:tcPr>
          <w:p w14:paraId="0F5477F3" w14:textId="77777777" w:rsidR="008D3C32" w:rsidRPr="00F162DB" w:rsidRDefault="008D3C32" w:rsidP="00B062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 xml:space="preserve">Incorrect  </w:t>
            </w:r>
          </w:p>
        </w:tc>
      </w:tr>
      <w:tr w:rsidR="008D3C32" w:rsidRPr="00F162DB" w14:paraId="48B84660"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7392E042" w14:textId="77777777" w:rsidR="008D3C32" w:rsidRPr="00F162DB" w:rsidRDefault="008D3C32" w:rsidP="00B06251">
            <w:pPr>
              <w:rPr>
                <w:rFonts w:ascii="Times New Roman" w:eastAsia="Calibri" w:hAnsi="Times New Roman" w:cs="Times New Roman"/>
                <w:b w:val="0"/>
                <w:bCs w:val="0"/>
                <w:i/>
                <w:iCs/>
              </w:rPr>
            </w:pPr>
          </w:p>
        </w:tc>
        <w:tc>
          <w:tcPr>
            <w:tcW w:w="1505" w:type="dxa"/>
          </w:tcPr>
          <w:p w14:paraId="64B23843"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c>
          <w:tcPr>
            <w:tcW w:w="1352" w:type="dxa"/>
          </w:tcPr>
          <w:p w14:paraId="24255EF3"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r>
      <w:tr w:rsidR="008D3C32" w:rsidRPr="00F162DB" w14:paraId="7AA3B82D"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6070B042"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before and after cooking</w:t>
            </w:r>
          </w:p>
        </w:tc>
        <w:tc>
          <w:tcPr>
            <w:tcW w:w="1505" w:type="dxa"/>
          </w:tcPr>
          <w:p w14:paraId="5E26B695"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386(92.6)</w:t>
            </w:r>
          </w:p>
        </w:tc>
        <w:tc>
          <w:tcPr>
            <w:tcW w:w="1352" w:type="dxa"/>
          </w:tcPr>
          <w:p w14:paraId="0E374D78"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31(7.4)</w:t>
            </w:r>
          </w:p>
        </w:tc>
      </w:tr>
      <w:tr w:rsidR="008D3C32" w:rsidRPr="00F162DB" w14:paraId="532DED7D"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75DD9067" w14:textId="77777777" w:rsidR="008D3C32" w:rsidRPr="00F162DB" w:rsidRDefault="008D3C32" w:rsidP="00B06251">
            <w:pPr>
              <w:rPr>
                <w:rFonts w:ascii="Times New Roman" w:eastAsia="Calibri" w:hAnsi="Times New Roman" w:cs="Times New Roman"/>
                <w:b w:val="0"/>
                <w:bCs w:val="0"/>
                <w:i/>
                <w:iCs/>
              </w:rPr>
            </w:pPr>
            <w:bookmarkStart w:id="0" w:name="_Hlk199244194"/>
            <w:r w:rsidRPr="00F162DB">
              <w:rPr>
                <w:rFonts w:ascii="Times New Roman" w:eastAsia="Calibri" w:hAnsi="Times New Roman" w:cs="Times New Roman"/>
                <w:b w:val="0"/>
                <w:bCs w:val="0"/>
                <w:i/>
                <w:iCs/>
              </w:rPr>
              <w:t>Consumption of food kept at room temperature for long</w:t>
            </w:r>
          </w:p>
        </w:tc>
        <w:tc>
          <w:tcPr>
            <w:tcW w:w="1505" w:type="dxa"/>
          </w:tcPr>
          <w:p w14:paraId="4FF9BB93"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389(93.3)</w:t>
            </w:r>
          </w:p>
        </w:tc>
        <w:tc>
          <w:tcPr>
            <w:tcW w:w="1352" w:type="dxa"/>
          </w:tcPr>
          <w:p w14:paraId="3A9DCF7E"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28(6.7)</w:t>
            </w:r>
          </w:p>
        </w:tc>
      </w:tr>
      <w:bookmarkEnd w:id="0"/>
      <w:tr w:rsidR="008D3C32" w:rsidRPr="00F162DB" w14:paraId="7A88A956"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3FCB0A6"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Using hand to cover mouth while coughing or sneezing</w:t>
            </w:r>
          </w:p>
        </w:tc>
        <w:tc>
          <w:tcPr>
            <w:tcW w:w="1505" w:type="dxa"/>
          </w:tcPr>
          <w:p w14:paraId="30119AC9"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377(90.4)</w:t>
            </w:r>
          </w:p>
        </w:tc>
        <w:tc>
          <w:tcPr>
            <w:tcW w:w="1352" w:type="dxa"/>
          </w:tcPr>
          <w:p w14:paraId="2E6BD9A0"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40(9.6)</w:t>
            </w:r>
          </w:p>
        </w:tc>
      </w:tr>
      <w:tr w:rsidR="008D3C32" w:rsidRPr="00F162DB" w14:paraId="77AC403C"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67D53CC1"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Tasting and dishing out food with unprotected hands</w:t>
            </w:r>
          </w:p>
        </w:tc>
        <w:tc>
          <w:tcPr>
            <w:tcW w:w="1505" w:type="dxa"/>
          </w:tcPr>
          <w:p w14:paraId="7A88A355"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298(71.5)</w:t>
            </w:r>
          </w:p>
        </w:tc>
        <w:tc>
          <w:tcPr>
            <w:tcW w:w="1352" w:type="dxa"/>
          </w:tcPr>
          <w:p w14:paraId="66EEF14F"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119(28.5)</w:t>
            </w:r>
          </w:p>
        </w:tc>
      </w:tr>
      <w:tr w:rsidR="008D3C32" w:rsidRPr="00F162DB" w14:paraId="52202F6D"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6292427"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fruits and vegetables before eating</w:t>
            </w:r>
          </w:p>
        </w:tc>
        <w:tc>
          <w:tcPr>
            <w:tcW w:w="1505" w:type="dxa"/>
          </w:tcPr>
          <w:p w14:paraId="135CA471"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410(98.3)</w:t>
            </w:r>
          </w:p>
        </w:tc>
        <w:tc>
          <w:tcPr>
            <w:tcW w:w="1352" w:type="dxa"/>
          </w:tcPr>
          <w:p w14:paraId="641D4656"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7(1.7)</w:t>
            </w:r>
          </w:p>
        </w:tc>
      </w:tr>
      <w:tr w:rsidR="008D3C32" w:rsidRPr="00F162DB" w14:paraId="037DB940"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37C84ECD"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Reading labels with the use by and/or expiry date of packaged food before purchasing</w:t>
            </w:r>
          </w:p>
        </w:tc>
        <w:tc>
          <w:tcPr>
            <w:tcW w:w="1505" w:type="dxa"/>
          </w:tcPr>
          <w:p w14:paraId="1A83DF06"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371(89.0)</w:t>
            </w:r>
          </w:p>
        </w:tc>
        <w:tc>
          <w:tcPr>
            <w:tcW w:w="1352" w:type="dxa"/>
          </w:tcPr>
          <w:p w14:paraId="500FA6C5"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46(11.0)</w:t>
            </w:r>
          </w:p>
        </w:tc>
      </w:tr>
      <w:tr w:rsidR="008D3C32" w:rsidRPr="00F162DB" w14:paraId="42F8A4E8"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09386C06"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Reading conditions for use and storage of packaged food</w:t>
            </w:r>
          </w:p>
        </w:tc>
        <w:tc>
          <w:tcPr>
            <w:tcW w:w="1505" w:type="dxa"/>
          </w:tcPr>
          <w:p w14:paraId="5494D641"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323(77.5)</w:t>
            </w:r>
          </w:p>
        </w:tc>
        <w:tc>
          <w:tcPr>
            <w:tcW w:w="1352" w:type="dxa"/>
          </w:tcPr>
          <w:p w14:paraId="6CEC5EAB"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94(22.5)</w:t>
            </w:r>
          </w:p>
        </w:tc>
      </w:tr>
      <w:tr w:rsidR="008D3C32" w:rsidRPr="00F162DB" w14:paraId="182EB718"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57DB2994"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eggs before cooking or frying them</w:t>
            </w:r>
          </w:p>
        </w:tc>
        <w:tc>
          <w:tcPr>
            <w:tcW w:w="1505" w:type="dxa"/>
          </w:tcPr>
          <w:p w14:paraId="0DD6EFAE"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417(100.0)</w:t>
            </w:r>
          </w:p>
        </w:tc>
        <w:tc>
          <w:tcPr>
            <w:tcW w:w="1352" w:type="dxa"/>
          </w:tcPr>
          <w:p w14:paraId="09B5A2AF"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0(0.0)</w:t>
            </w:r>
          </w:p>
        </w:tc>
      </w:tr>
      <w:tr w:rsidR="008D3C32" w:rsidRPr="00F162DB" w14:paraId="4CE7D9B7"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5332CAF1"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and rinsing cutting boards, knives, and plates used for raw meat before using them for other foods</w:t>
            </w:r>
          </w:p>
        </w:tc>
        <w:tc>
          <w:tcPr>
            <w:tcW w:w="1505" w:type="dxa"/>
          </w:tcPr>
          <w:p w14:paraId="5EA0545E"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390(93.5)</w:t>
            </w:r>
          </w:p>
        </w:tc>
        <w:tc>
          <w:tcPr>
            <w:tcW w:w="1352" w:type="dxa"/>
          </w:tcPr>
          <w:p w14:paraId="47D18BAA"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27(6.5)</w:t>
            </w:r>
          </w:p>
        </w:tc>
      </w:tr>
      <w:tr w:rsidR="008D3C32" w:rsidRPr="00F162DB" w14:paraId="1CA2B8AA"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75981CF7"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cooking utensils before beginning to cook</w:t>
            </w:r>
          </w:p>
        </w:tc>
        <w:tc>
          <w:tcPr>
            <w:tcW w:w="1505" w:type="dxa"/>
          </w:tcPr>
          <w:p w14:paraId="679C279D"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399(95.7)</w:t>
            </w:r>
          </w:p>
        </w:tc>
        <w:tc>
          <w:tcPr>
            <w:tcW w:w="1352" w:type="dxa"/>
          </w:tcPr>
          <w:p w14:paraId="6CA8A3D9"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18(4.3)</w:t>
            </w:r>
          </w:p>
        </w:tc>
      </w:tr>
      <w:tr w:rsidR="008D3C32" w:rsidRPr="00F162DB" w14:paraId="34CA35D9"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9931CEA"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Wearing accessories like rings, bracelets when cooking food</w:t>
            </w:r>
          </w:p>
        </w:tc>
        <w:tc>
          <w:tcPr>
            <w:tcW w:w="1505" w:type="dxa"/>
          </w:tcPr>
          <w:p w14:paraId="0BC8F79B"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156(37.4)</w:t>
            </w:r>
          </w:p>
        </w:tc>
        <w:tc>
          <w:tcPr>
            <w:tcW w:w="1352" w:type="dxa"/>
          </w:tcPr>
          <w:p w14:paraId="37CFAA6F"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261(62.6)</w:t>
            </w:r>
          </w:p>
        </w:tc>
      </w:tr>
      <w:tr w:rsidR="008D3C32" w:rsidRPr="00F162DB" w14:paraId="02F6931B"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4C809149"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Using an apron while cooking</w:t>
            </w:r>
          </w:p>
        </w:tc>
        <w:tc>
          <w:tcPr>
            <w:tcW w:w="1505" w:type="dxa"/>
          </w:tcPr>
          <w:p w14:paraId="7B5273FC"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95(22.8)</w:t>
            </w:r>
          </w:p>
        </w:tc>
        <w:tc>
          <w:tcPr>
            <w:tcW w:w="1352" w:type="dxa"/>
          </w:tcPr>
          <w:p w14:paraId="25387BEA"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322(77.2)</w:t>
            </w:r>
          </w:p>
        </w:tc>
      </w:tr>
      <w:tr w:rsidR="008D3C32" w:rsidRPr="00F162DB" w14:paraId="7214F904"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48763725"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After counting money,</w:t>
            </w:r>
          </w:p>
        </w:tc>
        <w:tc>
          <w:tcPr>
            <w:tcW w:w="1505" w:type="dxa"/>
          </w:tcPr>
          <w:p w14:paraId="7A2E5318"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214(51.3)</w:t>
            </w:r>
          </w:p>
        </w:tc>
        <w:tc>
          <w:tcPr>
            <w:tcW w:w="1352" w:type="dxa"/>
          </w:tcPr>
          <w:p w14:paraId="5E36A997"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203(48.7)</w:t>
            </w:r>
          </w:p>
        </w:tc>
      </w:tr>
      <w:tr w:rsidR="008D3C32" w:rsidRPr="00F162DB" w14:paraId="68FBE7BD"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9A215A0" w14:textId="77777777" w:rsidR="008D3C32" w:rsidRPr="00F162DB" w:rsidRDefault="008D3C32" w:rsidP="00B06251">
            <w:pPr>
              <w:rPr>
                <w:rFonts w:ascii="Times New Roman" w:eastAsia="Calibri" w:hAnsi="Times New Roman" w:cs="Times New Roman"/>
                <w:b w:val="0"/>
                <w:bCs w:val="0"/>
                <w:i/>
                <w:iCs/>
              </w:rPr>
            </w:pPr>
            <w:bookmarkStart w:id="1" w:name="_Hlk199244259"/>
            <w:bookmarkStart w:id="2" w:name="_Hlk199244661"/>
            <w:r w:rsidRPr="00F162DB">
              <w:rPr>
                <w:rFonts w:ascii="Times New Roman" w:eastAsia="Calibri" w:hAnsi="Times New Roman" w:cs="Times New Roman"/>
                <w:b w:val="0"/>
                <w:bCs w:val="0"/>
                <w:i/>
                <w:iCs/>
              </w:rPr>
              <w:t>Using the same cutting board for raw meat, poultry, seafood and vegetables</w:t>
            </w:r>
            <w:bookmarkEnd w:id="1"/>
          </w:p>
        </w:tc>
        <w:tc>
          <w:tcPr>
            <w:tcW w:w="1505" w:type="dxa"/>
          </w:tcPr>
          <w:p w14:paraId="4A2468AD"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208(49.9)</w:t>
            </w:r>
          </w:p>
        </w:tc>
        <w:tc>
          <w:tcPr>
            <w:tcW w:w="1352" w:type="dxa"/>
          </w:tcPr>
          <w:p w14:paraId="71D08E9C"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209(50.1)</w:t>
            </w:r>
          </w:p>
        </w:tc>
      </w:tr>
      <w:bookmarkEnd w:id="2"/>
      <w:tr w:rsidR="008D3C32" w:rsidRPr="00F162DB" w14:paraId="4ABF5B3D"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2F61B3F"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before handling raw foods</w:t>
            </w:r>
          </w:p>
        </w:tc>
        <w:tc>
          <w:tcPr>
            <w:tcW w:w="1505" w:type="dxa"/>
          </w:tcPr>
          <w:p w14:paraId="568014B4"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339(81.3)</w:t>
            </w:r>
          </w:p>
        </w:tc>
        <w:tc>
          <w:tcPr>
            <w:tcW w:w="1352" w:type="dxa"/>
          </w:tcPr>
          <w:p w14:paraId="0AA72EE9"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78(18.7)</w:t>
            </w:r>
          </w:p>
        </w:tc>
      </w:tr>
      <w:tr w:rsidR="008D3C32" w:rsidRPr="00F162DB" w14:paraId="12706110"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A1C0EA6"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after using the toilet</w:t>
            </w:r>
          </w:p>
        </w:tc>
        <w:tc>
          <w:tcPr>
            <w:tcW w:w="1505" w:type="dxa"/>
          </w:tcPr>
          <w:p w14:paraId="116AC7D4"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399(95.7)</w:t>
            </w:r>
          </w:p>
        </w:tc>
        <w:tc>
          <w:tcPr>
            <w:tcW w:w="1352" w:type="dxa"/>
          </w:tcPr>
          <w:p w14:paraId="4880DB78"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18(4.3)</w:t>
            </w:r>
          </w:p>
        </w:tc>
      </w:tr>
      <w:tr w:rsidR="008D3C32" w:rsidRPr="00F162DB" w14:paraId="69991AB7"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7C486DD0"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lastRenderedPageBreak/>
              <w:t>Covering cuts with bandage and using gloves</w:t>
            </w:r>
          </w:p>
        </w:tc>
        <w:tc>
          <w:tcPr>
            <w:tcW w:w="1505" w:type="dxa"/>
          </w:tcPr>
          <w:p w14:paraId="01A9BDF3"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296(71.0)</w:t>
            </w:r>
          </w:p>
        </w:tc>
        <w:tc>
          <w:tcPr>
            <w:tcW w:w="1352" w:type="dxa"/>
          </w:tcPr>
          <w:p w14:paraId="67E8D0A4"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121(29.0)</w:t>
            </w:r>
          </w:p>
        </w:tc>
      </w:tr>
      <w:tr w:rsidR="008D3C32" w:rsidRPr="00F162DB" w14:paraId="6756205A"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31A2BC71"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Storing left over food in the refrigerator</w:t>
            </w:r>
          </w:p>
        </w:tc>
        <w:tc>
          <w:tcPr>
            <w:tcW w:w="1505" w:type="dxa"/>
          </w:tcPr>
          <w:p w14:paraId="4B240C59"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336(80.6)</w:t>
            </w:r>
          </w:p>
        </w:tc>
        <w:tc>
          <w:tcPr>
            <w:tcW w:w="1352" w:type="dxa"/>
          </w:tcPr>
          <w:p w14:paraId="40FA8F3E"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81(19.4)</w:t>
            </w:r>
          </w:p>
        </w:tc>
      </w:tr>
      <w:tr w:rsidR="008D3C32" w:rsidRPr="00F162DB" w14:paraId="0E8BA0DA"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6E240CEF"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Protecting raw food from rodents and insect</w:t>
            </w:r>
          </w:p>
        </w:tc>
        <w:tc>
          <w:tcPr>
            <w:tcW w:w="1505" w:type="dxa"/>
          </w:tcPr>
          <w:p w14:paraId="781130C5"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392(94.0)</w:t>
            </w:r>
          </w:p>
        </w:tc>
        <w:tc>
          <w:tcPr>
            <w:tcW w:w="1352" w:type="dxa"/>
          </w:tcPr>
          <w:p w14:paraId="4688F0D3"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25(6.0)</w:t>
            </w:r>
          </w:p>
        </w:tc>
      </w:tr>
      <w:tr w:rsidR="008D3C32" w:rsidRPr="00F162DB" w14:paraId="2BCDBFEE"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1DA688A4" w14:textId="77777777" w:rsidR="008D3C32" w:rsidRPr="00F162DB" w:rsidRDefault="008D3C32" w:rsidP="00B06251">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Keeping short nails to ensure food safety</w:t>
            </w:r>
          </w:p>
        </w:tc>
        <w:tc>
          <w:tcPr>
            <w:tcW w:w="1505" w:type="dxa"/>
          </w:tcPr>
          <w:p w14:paraId="18D4ACF5"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348(83.5)</w:t>
            </w:r>
          </w:p>
        </w:tc>
        <w:tc>
          <w:tcPr>
            <w:tcW w:w="1352" w:type="dxa"/>
          </w:tcPr>
          <w:p w14:paraId="31FC0161"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69(16.5)</w:t>
            </w:r>
          </w:p>
        </w:tc>
      </w:tr>
      <w:tr w:rsidR="008D3C32" w:rsidRPr="00F162DB" w14:paraId="0AD47C71"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0F48D133" w14:textId="77777777" w:rsidR="008D3C32" w:rsidRPr="00F162DB" w:rsidRDefault="008D3C32" w:rsidP="00B06251">
            <w:pPr>
              <w:rPr>
                <w:rFonts w:ascii="Times New Roman" w:eastAsia="Calibri" w:hAnsi="Times New Roman" w:cs="Times New Roman"/>
                <w:b w:val="0"/>
                <w:bCs w:val="0"/>
                <w:i/>
                <w:iCs/>
              </w:rPr>
            </w:pPr>
          </w:p>
        </w:tc>
        <w:tc>
          <w:tcPr>
            <w:tcW w:w="1505" w:type="dxa"/>
          </w:tcPr>
          <w:p w14:paraId="778E4CCB"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c>
          <w:tcPr>
            <w:tcW w:w="1352" w:type="dxa"/>
          </w:tcPr>
          <w:p w14:paraId="2924FB96"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r>
      <w:tr w:rsidR="008D3C32" w:rsidRPr="00F162DB" w14:paraId="23FD5426" w14:textId="77777777" w:rsidTr="00B0625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14B6B174" w14:textId="77777777" w:rsidR="008D3C32" w:rsidRPr="00F162DB" w:rsidRDefault="008D3C32" w:rsidP="00B06251">
            <w:pPr>
              <w:rPr>
                <w:rFonts w:ascii="Times New Roman" w:eastAsia="Calibri" w:hAnsi="Times New Roman" w:cs="Times New Roman"/>
              </w:rPr>
            </w:pPr>
            <w:r w:rsidRPr="00F162DB">
              <w:rPr>
                <w:rFonts w:ascii="Times New Roman" w:eastAsia="Calibri" w:hAnsi="Times New Roman" w:cs="Times New Roman"/>
              </w:rPr>
              <w:t xml:space="preserve">Over all Practice </w:t>
            </w:r>
          </w:p>
        </w:tc>
        <w:tc>
          <w:tcPr>
            <w:tcW w:w="1505" w:type="dxa"/>
          </w:tcPr>
          <w:p w14:paraId="3FC25DAC"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Correct </w:t>
            </w:r>
          </w:p>
        </w:tc>
        <w:tc>
          <w:tcPr>
            <w:tcW w:w="1352" w:type="dxa"/>
          </w:tcPr>
          <w:p w14:paraId="1E90619C" w14:textId="77777777" w:rsidR="008D3C32" w:rsidRPr="00F162DB" w:rsidRDefault="008D3C32" w:rsidP="00B062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Incorrect </w:t>
            </w:r>
          </w:p>
        </w:tc>
      </w:tr>
      <w:tr w:rsidR="008D3C32" w:rsidRPr="00F162DB" w14:paraId="3EAB7F7B" w14:textId="77777777" w:rsidTr="00B06251">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4891EB4E" w14:textId="77777777" w:rsidR="008D3C32" w:rsidRPr="00F162DB" w:rsidRDefault="008D3C32" w:rsidP="00B06251">
            <w:pPr>
              <w:rPr>
                <w:rFonts w:ascii="Times New Roman" w:eastAsia="Calibri" w:hAnsi="Times New Roman" w:cs="Times New Roman"/>
                <w:b w:val="0"/>
                <w:bCs w:val="0"/>
                <w:i/>
                <w:iCs/>
              </w:rPr>
            </w:pPr>
          </w:p>
        </w:tc>
        <w:tc>
          <w:tcPr>
            <w:tcW w:w="1505" w:type="dxa"/>
          </w:tcPr>
          <w:p w14:paraId="20FCDD57"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394(94.5)</w:t>
            </w:r>
          </w:p>
        </w:tc>
        <w:tc>
          <w:tcPr>
            <w:tcW w:w="1352" w:type="dxa"/>
          </w:tcPr>
          <w:p w14:paraId="1FC40975" w14:textId="77777777" w:rsidR="008D3C32" w:rsidRPr="00F162DB" w:rsidRDefault="008D3C32" w:rsidP="00B062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23(5.5)</w:t>
            </w:r>
          </w:p>
        </w:tc>
      </w:tr>
    </w:tbl>
    <w:p w14:paraId="54467171" w14:textId="77777777" w:rsidR="008D3C32" w:rsidRPr="00F162DB" w:rsidRDefault="008D3C32" w:rsidP="008D3C32">
      <w:pPr>
        <w:spacing w:line="480" w:lineRule="auto"/>
        <w:jc w:val="both"/>
        <w:rPr>
          <w:rFonts w:ascii="Times New Roman" w:eastAsia="Calibri" w:hAnsi="Times New Roman" w:cs="Times New Roman"/>
        </w:rPr>
      </w:pPr>
      <w:r w:rsidRPr="00F162DB">
        <w:rPr>
          <w:rFonts w:ascii="Times New Roman" w:eastAsia="Calibri" w:hAnsi="Times New Roman" w:cs="Times New Roman"/>
        </w:rPr>
        <w:t>Regarding the association between the sociodemographic characteristics of the respondents and their KAP towards food safety</w:t>
      </w:r>
      <w:r>
        <w:rPr>
          <w:rFonts w:ascii="Times New Roman" w:eastAsia="Calibri" w:hAnsi="Times New Roman" w:cs="Times New Roman"/>
        </w:rPr>
        <w:t>,</w:t>
      </w:r>
      <w:r w:rsidRPr="00F162DB">
        <w:rPr>
          <w:rFonts w:ascii="Times New Roman" w:eastAsia="Calibri" w:hAnsi="Times New Roman" w:cs="Times New Roman"/>
        </w:rPr>
        <w:t xml:space="preserve"> </w:t>
      </w:r>
      <w:r w:rsidRPr="00F162DB">
        <w:rPr>
          <w:rFonts w:ascii="Times New Roman" w:eastAsia="Calibri" w:hAnsi="Times New Roman" w:cs="Times New Roman"/>
          <w:b/>
          <w:bCs/>
        </w:rPr>
        <w:t>Table 5</w:t>
      </w:r>
      <w:r w:rsidRPr="00F162DB">
        <w:rPr>
          <w:rFonts w:ascii="Times New Roman" w:eastAsia="Calibri" w:hAnsi="Times New Roman" w:cs="Times New Roman"/>
        </w:rPr>
        <w:t xml:space="preserve"> </w:t>
      </w:r>
      <w:r>
        <w:rPr>
          <w:rFonts w:ascii="Times New Roman" w:eastAsia="Calibri" w:hAnsi="Times New Roman" w:cs="Times New Roman"/>
        </w:rPr>
        <w:t>indicated</w:t>
      </w:r>
      <w:r w:rsidRPr="00F162DB">
        <w:rPr>
          <w:rFonts w:ascii="Times New Roman" w:eastAsia="Calibri" w:hAnsi="Times New Roman" w:cs="Times New Roman"/>
        </w:rPr>
        <w:t xml:space="preserve"> that there was a statistically significant association between total knowledge score and religion (p=0.045) while other variables were not significant. </w:t>
      </w:r>
    </w:p>
    <w:p w14:paraId="2D7ADB23" w14:textId="77777777" w:rsidR="008D3C32" w:rsidRDefault="008D3C32" w:rsidP="008D3C32">
      <w:pPr>
        <w:spacing w:after="200" w:line="480" w:lineRule="auto"/>
        <w:rPr>
          <w:rFonts w:ascii="Times New Roman" w:eastAsia="Calibri" w:hAnsi="Times New Roman" w:cs="Times New Roman"/>
        </w:rPr>
      </w:pPr>
      <w:r w:rsidRPr="00F162DB">
        <w:rPr>
          <w:rFonts w:ascii="Times New Roman" w:eastAsia="Calibri" w:hAnsi="Times New Roman" w:cs="Times New Roman"/>
        </w:rPr>
        <w:t>L</w:t>
      </w:r>
      <w:r>
        <w:rPr>
          <w:rFonts w:ascii="Times New Roman" w:eastAsia="Calibri" w:hAnsi="Times New Roman" w:cs="Times New Roman"/>
        </w:rPr>
        <w:t>ogistic</w:t>
      </w:r>
      <w:r w:rsidRPr="00F162DB">
        <w:rPr>
          <w:rFonts w:ascii="Times New Roman" w:eastAsia="Calibri" w:hAnsi="Times New Roman" w:cs="Times New Roman"/>
        </w:rPr>
        <w:t xml:space="preserve"> regression analysis </w:t>
      </w:r>
      <w:r>
        <w:rPr>
          <w:rFonts w:ascii="Times New Roman" w:eastAsia="Calibri" w:hAnsi="Times New Roman" w:cs="Times New Roman"/>
        </w:rPr>
        <w:t xml:space="preserve">(Table 4b) </w:t>
      </w:r>
      <w:r w:rsidRPr="00F162DB">
        <w:rPr>
          <w:rFonts w:ascii="Times New Roman" w:eastAsia="Calibri" w:hAnsi="Times New Roman" w:cs="Times New Roman"/>
        </w:rPr>
        <w:t xml:space="preserve">showed that none of the sociodemographic variables was statistically significant to influence the overall knowledge or attitude towards food safety and hygiene among the respondents. </w:t>
      </w:r>
    </w:p>
    <w:p w14:paraId="5D359472" w14:textId="77777777" w:rsidR="008D3C32" w:rsidRDefault="008D3C32" w:rsidP="008D3C32">
      <w:pPr>
        <w:spacing w:after="200" w:line="480" w:lineRule="auto"/>
        <w:rPr>
          <w:rFonts w:ascii="Times New Roman" w:eastAsia="Calibri" w:hAnsi="Times New Roman" w:cs="Times New Roman"/>
        </w:rPr>
      </w:pPr>
      <w:r w:rsidRPr="008D3C32">
        <w:rPr>
          <w:rFonts w:ascii="Times New Roman" w:eastAsia="Calibri" w:hAnsi="Times New Roman" w:cs="Times New Roman"/>
          <w:b/>
        </w:rPr>
        <w:t>Table 4b</w:t>
      </w:r>
      <w:r>
        <w:rPr>
          <w:rFonts w:ascii="Times New Roman" w:eastAsia="Calibri" w:hAnsi="Times New Roman" w:cs="Times New Roman"/>
        </w:rPr>
        <w:t>- Logistic regression analysis result for knowledge and attitude association</w:t>
      </w:r>
    </w:p>
    <w:tbl>
      <w:tblPr>
        <w:tblStyle w:val="TableGrid"/>
        <w:tblW w:w="0" w:type="auto"/>
        <w:tblLook w:val="04A0" w:firstRow="1" w:lastRow="0" w:firstColumn="1" w:lastColumn="0" w:noHBand="0" w:noVBand="1"/>
      </w:tblPr>
      <w:tblGrid>
        <w:gridCol w:w="9016"/>
      </w:tblGrid>
      <w:tr w:rsidR="008D3C32" w14:paraId="12777740" w14:textId="77777777" w:rsidTr="008D3C32">
        <w:tc>
          <w:tcPr>
            <w:tcW w:w="9016" w:type="dxa"/>
          </w:tcPr>
          <w:p w14:paraId="6B8CC53C" w14:textId="77777777" w:rsidR="008D3C32" w:rsidRDefault="008D3C32" w:rsidP="008D3C32">
            <w:pPr>
              <w:spacing w:after="200" w:line="480" w:lineRule="auto"/>
              <w:rPr>
                <w:rFonts w:eastAsia="Calibri"/>
              </w:rPr>
            </w:pPr>
            <w:r w:rsidRPr="00F162DB">
              <w:rPr>
                <w:rFonts w:eastAsia="Calibri"/>
                <w:b/>
                <w:bCs/>
              </w:rPr>
              <w:t>Knowledge:</w:t>
            </w:r>
            <w:r w:rsidRPr="00F162DB">
              <w:rPr>
                <w:rFonts w:eastAsia="Calibri"/>
              </w:rPr>
              <w:t xml:space="preserve"> Religion - (AOR 0.253; 95% [CI: 0.029 – 2.166]); Faculty - (AOR 34000; 95% [CI: 0.000 – α]).</w:t>
            </w:r>
          </w:p>
        </w:tc>
      </w:tr>
      <w:tr w:rsidR="008D3C32" w14:paraId="3E1B7447" w14:textId="77777777" w:rsidTr="008D3C32">
        <w:tc>
          <w:tcPr>
            <w:tcW w:w="9016" w:type="dxa"/>
          </w:tcPr>
          <w:p w14:paraId="0C268DD2" w14:textId="77777777" w:rsidR="008D3C32" w:rsidRDefault="008D3C32" w:rsidP="008D3C32">
            <w:pPr>
              <w:spacing w:after="200" w:line="480" w:lineRule="auto"/>
              <w:rPr>
                <w:rFonts w:eastAsia="Calibri"/>
              </w:rPr>
            </w:pPr>
            <w:r w:rsidRPr="00F162DB">
              <w:rPr>
                <w:rFonts w:eastAsia="Calibri"/>
                <w:b/>
                <w:bCs/>
              </w:rPr>
              <w:t xml:space="preserve">Attitude: </w:t>
            </w:r>
            <w:r w:rsidRPr="00F162DB">
              <w:rPr>
                <w:rFonts w:eastAsia="Calibri"/>
              </w:rPr>
              <w:t>Religion: (AOR 0.127; 95% [CI: 0.752 – 11.487]); Accommodation type (AOR 0.511; 95% [CI 0.195 – 1.336])</w:t>
            </w:r>
          </w:p>
        </w:tc>
      </w:tr>
    </w:tbl>
    <w:p w14:paraId="3E488A1B" w14:textId="77777777" w:rsidR="008D3C32" w:rsidRPr="00F162DB" w:rsidRDefault="008D3C32" w:rsidP="008D3C32">
      <w:pPr>
        <w:spacing w:after="200" w:line="480" w:lineRule="auto"/>
        <w:rPr>
          <w:rFonts w:ascii="Times New Roman" w:eastAsia="Calibri" w:hAnsi="Times New Roman" w:cs="Times New Roman"/>
        </w:rPr>
      </w:pPr>
    </w:p>
    <w:p w14:paraId="7FE6FE21" w14:textId="77777777" w:rsidR="008D3C32" w:rsidRPr="00F162DB" w:rsidRDefault="008D3C32" w:rsidP="008D3C32">
      <w:pPr>
        <w:spacing w:line="480" w:lineRule="auto"/>
        <w:jc w:val="both"/>
        <w:rPr>
          <w:rFonts w:ascii="Times New Roman" w:hAnsi="Times New Roman" w:cs="Times New Roman"/>
          <w:i/>
          <w:iCs/>
        </w:rPr>
      </w:pPr>
      <w:r w:rsidRPr="00F162DB">
        <w:rPr>
          <w:rFonts w:ascii="Times New Roman" w:eastAsia="Calibri" w:hAnsi="Times New Roman" w:cs="Times New Roman"/>
          <w:b/>
          <w:bCs/>
          <w:i/>
          <w:iCs/>
        </w:rPr>
        <w:t xml:space="preserve">Table 5: Association between socio-demographic characteristics of respondents and their knowledge, attitude and practice towards </w:t>
      </w:r>
      <w:r>
        <w:rPr>
          <w:rFonts w:ascii="Times New Roman" w:eastAsia="Calibri" w:hAnsi="Times New Roman" w:cs="Times New Roman"/>
          <w:b/>
          <w:bCs/>
          <w:i/>
          <w:iCs/>
        </w:rPr>
        <w:t xml:space="preserve">food safety and hygiene. </w:t>
      </w:r>
      <w:r w:rsidRPr="00F162DB">
        <w:rPr>
          <w:rFonts w:ascii="Times New Roman" w:eastAsia="Calibri" w:hAnsi="Times New Roman" w:cs="Times New Roman"/>
          <w:b/>
          <w:bCs/>
          <w:i/>
          <w:iCs/>
        </w:rPr>
        <w:t>(n=417)</w:t>
      </w:r>
    </w:p>
    <w:tbl>
      <w:tblPr>
        <w:tblStyle w:val="PlainTable5"/>
        <w:tblW w:w="10422" w:type="dxa"/>
        <w:tblLayout w:type="fixed"/>
        <w:tblLook w:val="04A0" w:firstRow="1" w:lastRow="0" w:firstColumn="1" w:lastColumn="0" w:noHBand="0" w:noVBand="1"/>
      </w:tblPr>
      <w:tblGrid>
        <w:gridCol w:w="1336"/>
        <w:gridCol w:w="843"/>
        <w:gridCol w:w="837"/>
        <w:gridCol w:w="656"/>
        <w:gridCol w:w="736"/>
        <w:gridCol w:w="843"/>
        <w:gridCol w:w="816"/>
        <w:gridCol w:w="656"/>
        <w:gridCol w:w="690"/>
        <w:gridCol w:w="843"/>
        <w:gridCol w:w="853"/>
        <w:gridCol w:w="656"/>
        <w:gridCol w:w="657"/>
      </w:tblGrid>
      <w:tr w:rsidR="008D3C32" w:rsidRPr="00F162DB" w14:paraId="614110C4" w14:textId="77777777" w:rsidTr="00B062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6" w:type="dxa"/>
          </w:tcPr>
          <w:p w14:paraId="5BB02D66"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Variable</w:t>
            </w:r>
          </w:p>
        </w:tc>
        <w:tc>
          <w:tcPr>
            <w:tcW w:w="3072" w:type="dxa"/>
            <w:gridSpan w:val="4"/>
          </w:tcPr>
          <w:p w14:paraId="10CA942C" w14:textId="77777777" w:rsidR="008D3C32" w:rsidRPr="00F162DB" w:rsidRDefault="008D3C32" w:rsidP="00B0625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Overall knowledge</w:t>
            </w:r>
          </w:p>
        </w:tc>
        <w:tc>
          <w:tcPr>
            <w:tcW w:w="3005" w:type="dxa"/>
            <w:gridSpan w:val="4"/>
          </w:tcPr>
          <w:p w14:paraId="46A327F6" w14:textId="77777777" w:rsidR="008D3C32" w:rsidRPr="00F162DB" w:rsidRDefault="008D3C32" w:rsidP="00B0625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Cs/>
                <w:sz w:val="16"/>
                <w:szCs w:val="16"/>
              </w:rPr>
              <w:t>Overall attitude</w:t>
            </w:r>
          </w:p>
        </w:tc>
        <w:tc>
          <w:tcPr>
            <w:tcW w:w="3009" w:type="dxa"/>
            <w:gridSpan w:val="4"/>
          </w:tcPr>
          <w:p w14:paraId="7C40E93F" w14:textId="77777777" w:rsidR="008D3C32" w:rsidRPr="00F162DB" w:rsidRDefault="008D3C32" w:rsidP="00B06251">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Overall practice</w:t>
            </w:r>
          </w:p>
        </w:tc>
      </w:tr>
      <w:tr w:rsidR="008D3C32" w:rsidRPr="00F162DB" w14:paraId="399B347A"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182D2B36" w14:textId="77777777" w:rsidR="008D3C32" w:rsidRPr="00F162DB" w:rsidRDefault="008D3C32" w:rsidP="00B06251">
            <w:pPr>
              <w:jc w:val="both"/>
              <w:rPr>
                <w:rFonts w:ascii="Times New Roman" w:eastAsia="Calibri" w:hAnsi="Times New Roman" w:cs="Times New Roman"/>
                <w:b/>
                <w:sz w:val="16"/>
                <w:szCs w:val="16"/>
              </w:rPr>
            </w:pPr>
          </w:p>
        </w:tc>
        <w:tc>
          <w:tcPr>
            <w:tcW w:w="843" w:type="dxa"/>
          </w:tcPr>
          <w:p w14:paraId="17DF81B3"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Good</w:t>
            </w:r>
          </w:p>
        </w:tc>
        <w:tc>
          <w:tcPr>
            <w:tcW w:w="837" w:type="dxa"/>
          </w:tcPr>
          <w:p w14:paraId="747F63A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Poor</w:t>
            </w:r>
          </w:p>
        </w:tc>
        <w:tc>
          <w:tcPr>
            <w:tcW w:w="656" w:type="dxa"/>
          </w:tcPr>
          <w:p w14:paraId="561EDD4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i/>
                <w:sz w:val="16"/>
                <w:szCs w:val="16"/>
              </w:rPr>
              <w:t>χ</w:t>
            </w:r>
            <w:r w:rsidRPr="00F162DB">
              <w:rPr>
                <w:rFonts w:ascii="Times New Roman" w:eastAsia="Calibri" w:hAnsi="Times New Roman" w:cs="Times New Roman"/>
                <w:b/>
                <w:i/>
                <w:sz w:val="16"/>
                <w:szCs w:val="16"/>
                <w:vertAlign w:val="superscript"/>
              </w:rPr>
              <w:t xml:space="preserve">2 </w:t>
            </w:r>
            <w:r w:rsidRPr="00F162DB">
              <w:rPr>
                <w:rFonts w:ascii="Times New Roman" w:eastAsia="Calibri" w:hAnsi="Times New Roman" w:cs="Times New Roman"/>
                <w:b/>
                <w:sz w:val="16"/>
                <w:szCs w:val="16"/>
              </w:rPr>
              <w:t>test</w:t>
            </w:r>
          </w:p>
        </w:tc>
        <w:tc>
          <w:tcPr>
            <w:tcW w:w="736" w:type="dxa"/>
          </w:tcPr>
          <w:p w14:paraId="791BBDF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 value</w:t>
            </w:r>
          </w:p>
        </w:tc>
        <w:tc>
          <w:tcPr>
            <w:tcW w:w="843" w:type="dxa"/>
          </w:tcPr>
          <w:p w14:paraId="3852958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Positive</w:t>
            </w:r>
          </w:p>
        </w:tc>
        <w:tc>
          <w:tcPr>
            <w:tcW w:w="816" w:type="dxa"/>
          </w:tcPr>
          <w:p w14:paraId="533F20E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Negative</w:t>
            </w:r>
          </w:p>
        </w:tc>
        <w:tc>
          <w:tcPr>
            <w:tcW w:w="656" w:type="dxa"/>
          </w:tcPr>
          <w:p w14:paraId="37DE14F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i/>
                <w:sz w:val="16"/>
                <w:szCs w:val="16"/>
              </w:rPr>
              <w:t>χ</w:t>
            </w:r>
            <w:r w:rsidRPr="00F162DB">
              <w:rPr>
                <w:rFonts w:ascii="Times New Roman" w:eastAsia="Calibri" w:hAnsi="Times New Roman" w:cs="Times New Roman"/>
                <w:b/>
                <w:i/>
                <w:sz w:val="16"/>
                <w:szCs w:val="16"/>
                <w:vertAlign w:val="superscript"/>
              </w:rPr>
              <w:t xml:space="preserve">2 </w:t>
            </w:r>
            <w:r w:rsidRPr="00F162DB">
              <w:rPr>
                <w:rFonts w:ascii="Times New Roman" w:eastAsia="Calibri" w:hAnsi="Times New Roman" w:cs="Times New Roman"/>
                <w:b/>
                <w:sz w:val="16"/>
                <w:szCs w:val="16"/>
              </w:rPr>
              <w:t>test</w:t>
            </w:r>
          </w:p>
        </w:tc>
        <w:tc>
          <w:tcPr>
            <w:tcW w:w="690" w:type="dxa"/>
          </w:tcPr>
          <w:p w14:paraId="5DD7E3E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 value</w:t>
            </w:r>
          </w:p>
        </w:tc>
        <w:tc>
          <w:tcPr>
            <w:tcW w:w="843" w:type="dxa"/>
          </w:tcPr>
          <w:p w14:paraId="3E50203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Correct</w:t>
            </w:r>
          </w:p>
        </w:tc>
        <w:tc>
          <w:tcPr>
            <w:tcW w:w="853" w:type="dxa"/>
          </w:tcPr>
          <w:p w14:paraId="22F1AAE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Incorrect</w:t>
            </w:r>
          </w:p>
        </w:tc>
        <w:tc>
          <w:tcPr>
            <w:tcW w:w="656" w:type="dxa"/>
          </w:tcPr>
          <w:p w14:paraId="2C35A16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i/>
                <w:sz w:val="16"/>
                <w:szCs w:val="16"/>
              </w:rPr>
              <w:t>χ</w:t>
            </w:r>
            <w:r w:rsidRPr="00F162DB">
              <w:rPr>
                <w:rFonts w:ascii="Times New Roman" w:eastAsia="Calibri" w:hAnsi="Times New Roman" w:cs="Times New Roman"/>
                <w:b/>
                <w:i/>
                <w:sz w:val="16"/>
                <w:szCs w:val="16"/>
                <w:vertAlign w:val="superscript"/>
              </w:rPr>
              <w:t xml:space="preserve">2 </w:t>
            </w:r>
            <w:r w:rsidRPr="00F162DB">
              <w:rPr>
                <w:rFonts w:ascii="Times New Roman" w:eastAsia="Calibri" w:hAnsi="Times New Roman" w:cs="Times New Roman"/>
                <w:b/>
                <w:sz w:val="16"/>
                <w:szCs w:val="16"/>
              </w:rPr>
              <w:t>test</w:t>
            </w:r>
          </w:p>
        </w:tc>
        <w:tc>
          <w:tcPr>
            <w:tcW w:w="657" w:type="dxa"/>
          </w:tcPr>
          <w:p w14:paraId="207EC01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 value</w:t>
            </w:r>
          </w:p>
        </w:tc>
      </w:tr>
      <w:tr w:rsidR="008D3C32" w:rsidRPr="00F162DB" w14:paraId="03E3C43A"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1239002B"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Age in years</w:t>
            </w:r>
          </w:p>
        </w:tc>
        <w:tc>
          <w:tcPr>
            <w:tcW w:w="843" w:type="dxa"/>
          </w:tcPr>
          <w:p w14:paraId="2FC82EE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837" w:type="dxa"/>
          </w:tcPr>
          <w:p w14:paraId="2DBC90D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656" w:type="dxa"/>
          </w:tcPr>
          <w:p w14:paraId="360C522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736" w:type="dxa"/>
          </w:tcPr>
          <w:p w14:paraId="11B987A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843" w:type="dxa"/>
          </w:tcPr>
          <w:p w14:paraId="1595DC7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816" w:type="dxa"/>
          </w:tcPr>
          <w:p w14:paraId="3136E5E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656" w:type="dxa"/>
          </w:tcPr>
          <w:p w14:paraId="221E4BE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690" w:type="dxa"/>
          </w:tcPr>
          <w:p w14:paraId="7F536C6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843" w:type="dxa"/>
          </w:tcPr>
          <w:p w14:paraId="3E71C8A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853" w:type="dxa"/>
          </w:tcPr>
          <w:p w14:paraId="2E2BEC5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656" w:type="dxa"/>
          </w:tcPr>
          <w:p w14:paraId="661588A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657" w:type="dxa"/>
          </w:tcPr>
          <w:p w14:paraId="6327AB4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r>
      <w:tr w:rsidR="008D3C32" w:rsidRPr="00F162DB" w14:paraId="23F30C07"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53EBA655"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15 – 19</w:t>
            </w:r>
          </w:p>
        </w:tc>
        <w:tc>
          <w:tcPr>
            <w:tcW w:w="843" w:type="dxa"/>
          </w:tcPr>
          <w:p w14:paraId="1258ECB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51(12.6)</w:t>
            </w:r>
          </w:p>
        </w:tc>
        <w:tc>
          <w:tcPr>
            <w:tcW w:w="837" w:type="dxa"/>
          </w:tcPr>
          <w:p w14:paraId="787ECAA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656" w:type="dxa"/>
            <w:vMerge w:val="restart"/>
          </w:tcPr>
          <w:p w14:paraId="33323BA5"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2.711*</w:t>
            </w:r>
          </w:p>
        </w:tc>
        <w:tc>
          <w:tcPr>
            <w:tcW w:w="736" w:type="dxa"/>
            <w:vMerge w:val="restart"/>
          </w:tcPr>
          <w:p w14:paraId="2926F8E4"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0.438</w:t>
            </w:r>
          </w:p>
        </w:tc>
        <w:tc>
          <w:tcPr>
            <w:tcW w:w="843" w:type="dxa"/>
          </w:tcPr>
          <w:p w14:paraId="5727156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49(13.3)</w:t>
            </w:r>
          </w:p>
        </w:tc>
        <w:tc>
          <w:tcPr>
            <w:tcW w:w="816" w:type="dxa"/>
          </w:tcPr>
          <w:p w14:paraId="116CCA5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4(8.2)</w:t>
            </w:r>
          </w:p>
        </w:tc>
        <w:tc>
          <w:tcPr>
            <w:tcW w:w="656" w:type="dxa"/>
            <w:vMerge w:val="restart"/>
          </w:tcPr>
          <w:p w14:paraId="159B2EBE"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1.644</w:t>
            </w:r>
          </w:p>
        </w:tc>
        <w:tc>
          <w:tcPr>
            <w:tcW w:w="690" w:type="dxa"/>
            <w:vMerge w:val="restart"/>
          </w:tcPr>
          <w:p w14:paraId="7D5CFF45"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0.650</w:t>
            </w:r>
          </w:p>
        </w:tc>
        <w:tc>
          <w:tcPr>
            <w:tcW w:w="843" w:type="dxa"/>
          </w:tcPr>
          <w:p w14:paraId="73B9E88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52(13.2)</w:t>
            </w:r>
          </w:p>
        </w:tc>
        <w:tc>
          <w:tcPr>
            <w:tcW w:w="853" w:type="dxa"/>
          </w:tcPr>
          <w:p w14:paraId="3E19B98A"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1(4.3)</w:t>
            </w:r>
          </w:p>
        </w:tc>
        <w:tc>
          <w:tcPr>
            <w:tcW w:w="656" w:type="dxa"/>
            <w:vMerge w:val="restart"/>
          </w:tcPr>
          <w:p w14:paraId="7BEFB5C6"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2.023*</w:t>
            </w:r>
          </w:p>
        </w:tc>
        <w:tc>
          <w:tcPr>
            <w:tcW w:w="657" w:type="dxa"/>
            <w:vMerge w:val="restart"/>
          </w:tcPr>
          <w:p w14:paraId="361D7A8C"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0.568</w:t>
            </w:r>
          </w:p>
        </w:tc>
      </w:tr>
      <w:tr w:rsidR="008D3C32" w:rsidRPr="00F162DB" w14:paraId="7A844CF3"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3E2120BD"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20 – 24</w:t>
            </w:r>
          </w:p>
        </w:tc>
        <w:tc>
          <w:tcPr>
            <w:tcW w:w="843" w:type="dxa"/>
          </w:tcPr>
          <w:p w14:paraId="17F1D55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300(73.9)</w:t>
            </w:r>
          </w:p>
        </w:tc>
        <w:tc>
          <w:tcPr>
            <w:tcW w:w="837" w:type="dxa"/>
          </w:tcPr>
          <w:p w14:paraId="33924CE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6(54.5)</w:t>
            </w:r>
          </w:p>
        </w:tc>
        <w:tc>
          <w:tcPr>
            <w:tcW w:w="656" w:type="dxa"/>
            <w:vMerge/>
          </w:tcPr>
          <w:p w14:paraId="0E9D6C7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4857320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42708B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268(72.8)</w:t>
            </w:r>
          </w:p>
        </w:tc>
        <w:tc>
          <w:tcPr>
            <w:tcW w:w="816" w:type="dxa"/>
          </w:tcPr>
          <w:p w14:paraId="78871E7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38(77.6)</w:t>
            </w:r>
          </w:p>
        </w:tc>
        <w:tc>
          <w:tcPr>
            <w:tcW w:w="656" w:type="dxa"/>
            <w:vMerge/>
          </w:tcPr>
          <w:p w14:paraId="72A892F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481B28E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4FD2D0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288(73.1)</w:t>
            </w:r>
          </w:p>
        </w:tc>
        <w:tc>
          <w:tcPr>
            <w:tcW w:w="853" w:type="dxa"/>
          </w:tcPr>
          <w:p w14:paraId="0FB4B90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18(78.3)</w:t>
            </w:r>
          </w:p>
        </w:tc>
        <w:tc>
          <w:tcPr>
            <w:tcW w:w="656" w:type="dxa"/>
            <w:vMerge/>
          </w:tcPr>
          <w:p w14:paraId="232B6C2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53E104DC"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6C686D26"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40890F19"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25 – 29</w:t>
            </w:r>
          </w:p>
        </w:tc>
        <w:tc>
          <w:tcPr>
            <w:tcW w:w="843" w:type="dxa"/>
          </w:tcPr>
          <w:p w14:paraId="6514FFA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51(12.6)</w:t>
            </w:r>
          </w:p>
        </w:tc>
        <w:tc>
          <w:tcPr>
            <w:tcW w:w="837" w:type="dxa"/>
          </w:tcPr>
          <w:p w14:paraId="719FC39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3(27.3)</w:t>
            </w:r>
          </w:p>
        </w:tc>
        <w:tc>
          <w:tcPr>
            <w:tcW w:w="656" w:type="dxa"/>
            <w:vMerge/>
          </w:tcPr>
          <w:p w14:paraId="19204F1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0787760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72C7E5B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47(12.8)</w:t>
            </w:r>
          </w:p>
        </w:tc>
        <w:tc>
          <w:tcPr>
            <w:tcW w:w="816" w:type="dxa"/>
          </w:tcPr>
          <w:p w14:paraId="79C4DBB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7(14.3)</w:t>
            </w:r>
          </w:p>
        </w:tc>
        <w:tc>
          <w:tcPr>
            <w:tcW w:w="656" w:type="dxa"/>
            <w:vMerge/>
          </w:tcPr>
          <w:p w14:paraId="102E293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55F0EBB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168EB9A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50(12.7)</w:t>
            </w:r>
          </w:p>
        </w:tc>
        <w:tc>
          <w:tcPr>
            <w:tcW w:w="853" w:type="dxa"/>
          </w:tcPr>
          <w:p w14:paraId="7C75C33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4(17.4)</w:t>
            </w:r>
          </w:p>
        </w:tc>
        <w:tc>
          <w:tcPr>
            <w:tcW w:w="656" w:type="dxa"/>
            <w:vMerge/>
          </w:tcPr>
          <w:p w14:paraId="4CCE021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16343881"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64E69378"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7D304529"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 xml:space="preserve">30 – 34 </w:t>
            </w:r>
          </w:p>
        </w:tc>
        <w:tc>
          <w:tcPr>
            <w:tcW w:w="843" w:type="dxa"/>
          </w:tcPr>
          <w:p w14:paraId="3FDA279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4(1.0)</w:t>
            </w:r>
          </w:p>
        </w:tc>
        <w:tc>
          <w:tcPr>
            <w:tcW w:w="837" w:type="dxa"/>
          </w:tcPr>
          <w:p w14:paraId="2F2C87E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5A671C9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40C074A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247A2B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4(1.1)</w:t>
            </w:r>
          </w:p>
        </w:tc>
        <w:tc>
          <w:tcPr>
            <w:tcW w:w="816" w:type="dxa"/>
          </w:tcPr>
          <w:p w14:paraId="013A89A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3DC045A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143C098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E4675C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4(1.0)</w:t>
            </w:r>
          </w:p>
        </w:tc>
        <w:tc>
          <w:tcPr>
            <w:tcW w:w="853" w:type="dxa"/>
          </w:tcPr>
          <w:p w14:paraId="502054A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035CD8A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1BF01872"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27FFBCFE"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7CB45C6C"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Times New Roman" w:hAnsi="Times New Roman" w:cs="Times New Roman"/>
                <w:b/>
                <w:color w:val="000000"/>
                <w:sz w:val="16"/>
                <w:szCs w:val="16"/>
              </w:rPr>
              <w:t xml:space="preserve">                </w:t>
            </w:r>
          </w:p>
        </w:tc>
        <w:tc>
          <w:tcPr>
            <w:tcW w:w="843" w:type="dxa"/>
          </w:tcPr>
          <w:p w14:paraId="2E4AA8C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0139926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18B2C83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1DB7F2C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4E9608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7828B48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4CA392C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3A43913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D270DE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6E4C1FD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796F6B2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426E996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1E71CCC9"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19021512"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Gender</w:t>
            </w:r>
          </w:p>
        </w:tc>
        <w:tc>
          <w:tcPr>
            <w:tcW w:w="843" w:type="dxa"/>
          </w:tcPr>
          <w:p w14:paraId="7FEF213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13DB08D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54EFC8B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0DF525A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10B2181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1B53DCF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7B50ADB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612467D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CAFBB5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0CB26FC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34767B6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4069306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6560DDCD"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0ECA02CE"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Male</w:t>
            </w:r>
          </w:p>
        </w:tc>
        <w:tc>
          <w:tcPr>
            <w:tcW w:w="843" w:type="dxa"/>
          </w:tcPr>
          <w:p w14:paraId="76DA4CC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175(43.1)</w:t>
            </w:r>
          </w:p>
        </w:tc>
        <w:tc>
          <w:tcPr>
            <w:tcW w:w="837" w:type="dxa"/>
          </w:tcPr>
          <w:p w14:paraId="2FBFA9F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4(36.4)</w:t>
            </w:r>
          </w:p>
        </w:tc>
        <w:tc>
          <w:tcPr>
            <w:tcW w:w="656" w:type="dxa"/>
            <w:vMerge w:val="restart"/>
          </w:tcPr>
          <w:p w14:paraId="66E80307"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0.199*</w:t>
            </w:r>
          </w:p>
        </w:tc>
        <w:tc>
          <w:tcPr>
            <w:tcW w:w="736" w:type="dxa"/>
            <w:vMerge w:val="restart"/>
          </w:tcPr>
          <w:p w14:paraId="6DC91A60"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0.656</w:t>
            </w:r>
          </w:p>
        </w:tc>
        <w:tc>
          <w:tcPr>
            <w:tcW w:w="843" w:type="dxa"/>
          </w:tcPr>
          <w:p w14:paraId="5705D83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158(42.9)</w:t>
            </w:r>
          </w:p>
        </w:tc>
        <w:tc>
          <w:tcPr>
            <w:tcW w:w="816" w:type="dxa"/>
          </w:tcPr>
          <w:p w14:paraId="1644EC9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21(42.9)</w:t>
            </w:r>
          </w:p>
        </w:tc>
        <w:tc>
          <w:tcPr>
            <w:tcW w:w="656" w:type="dxa"/>
            <w:vMerge w:val="restart"/>
          </w:tcPr>
          <w:p w14:paraId="6D34DCDA"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0.000</w:t>
            </w:r>
          </w:p>
        </w:tc>
        <w:tc>
          <w:tcPr>
            <w:tcW w:w="690" w:type="dxa"/>
            <w:vMerge w:val="restart"/>
          </w:tcPr>
          <w:p w14:paraId="20099766"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0.992</w:t>
            </w:r>
          </w:p>
        </w:tc>
        <w:tc>
          <w:tcPr>
            <w:tcW w:w="843" w:type="dxa"/>
          </w:tcPr>
          <w:p w14:paraId="2B01F5C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165(41.9)</w:t>
            </w:r>
          </w:p>
        </w:tc>
        <w:tc>
          <w:tcPr>
            <w:tcW w:w="853" w:type="dxa"/>
          </w:tcPr>
          <w:p w14:paraId="053F99D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14(60.9)</w:t>
            </w:r>
          </w:p>
        </w:tc>
        <w:tc>
          <w:tcPr>
            <w:tcW w:w="656" w:type="dxa"/>
            <w:vMerge w:val="restart"/>
          </w:tcPr>
          <w:p w14:paraId="73FD4A7B"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3.199</w:t>
            </w:r>
          </w:p>
        </w:tc>
        <w:tc>
          <w:tcPr>
            <w:tcW w:w="657" w:type="dxa"/>
            <w:vMerge w:val="restart"/>
          </w:tcPr>
          <w:p w14:paraId="571F432C"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0.074</w:t>
            </w:r>
          </w:p>
        </w:tc>
      </w:tr>
      <w:tr w:rsidR="008D3C32" w:rsidRPr="00F162DB" w14:paraId="62FB28A1"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5029F41D"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Female</w:t>
            </w:r>
          </w:p>
        </w:tc>
        <w:tc>
          <w:tcPr>
            <w:tcW w:w="843" w:type="dxa"/>
          </w:tcPr>
          <w:p w14:paraId="7486D2E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231(56.9)</w:t>
            </w:r>
          </w:p>
        </w:tc>
        <w:tc>
          <w:tcPr>
            <w:tcW w:w="837" w:type="dxa"/>
          </w:tcPr>
          <w:p w14:paraId="7356B87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7(63.6)</w:t>
            </w:r>
          </w:p>
        </w:tc>
        <w:tc>
          <w:tcPr>
            <w:tcW w:w="656" w:type="dxa"/>
            <w:vMerge/>
          </w:tcPr>
          <w:p w14:paraId="60F0B74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0DB4023A"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DC61FF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210(57.1)</w:t>
            </w:r>
          </w:p>
        </w:tc>
        <w:tc>
          <w:tcPr>
            <w:tcW w:w="816" w:type="dxa"/>
          </w:tcPr>
          <w:p w14:paraId="44C5501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28(57.1)</w:t>
            </w:r>
          </w:p>
        </w:tc>
        <w:tc>
          <w:tcPr>
            <w:tcW w:w="656" w:type="dxa"/>
            <w:vMerge/>
          </w:tcPr>
          <w:p w14:paraId="609DC0B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1EF7283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0ACD8F0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229(58.1)</w:t>
            </w:r>
          </w:p>
        </w:tc>
        <w:tc>
          <w:tcPr>
            <w:tcW w:w="853" w:type="dxa"/>
          </w:tcPr>
          <w:p w14:paraId="0AF403D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9(39.1)</w:t>
            </w:r>
          </w:p>
        </w:tc>
        <w:tc>
          <w:tcPr>
            <w:tcW w:w="656" w:type="dxa"/>
            <w:vMerge/>
          </w:tcPr>
          <w:p w14:paraId="4E4406D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22C7B86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5ECA7516"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58528C11" w14:textId="77777777" w:rsidR="008D3C32" w:rsidRPr="00F162DB" w:rsidRDefault="008D3C32" w:rsidP="00B06251">
            <w:pPr>
              <w:jc w:val="both"/>
              <w:rPr>
                <w:rFonts w:ascii="Times New Roman" w:eastAsia="Calibri" w:hAnsi="Times New Roman" w:cs="Times New Roman"/>
                <w:b/>
                <w:sz w:val="16"/>
                <w:szCs w:val="16"/>
              </w:rPr>
            </w:pPr>
          </w:p>
        </w:tc>
        <w:tc>
          <w:tcPr>
            <w:tcW w:w="843" w:type="dxa"/>
          </w:tcPr>
          <w:p w14:paraId="71D4515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7942AA9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0D9821A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2050BF3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4C3905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6D86509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54CFC1D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414D673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17EB08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04481B2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5D47037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085C7A3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252E6B79"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17FAC1A9"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Marital status</w:t>
            </w:r>
          </w:p>
        </w:tc>
        <w:tc>
          <w:tcPr>
            <w:tcW w:w="843" w:type="dxa"/>
          </w:tcPr>
          <w:p w14:paraId="09E41CC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0F2FDFF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3AB00E5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0F2363B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BB464B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32881A5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A676A5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5C67C40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13D734E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42145F6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29CA6B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6EB4B27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5AD29DD5"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00DDD34F"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Married</w:t>
            </w:r>
          </w:p>
        </w:tc>
        <w:tc>
          <w:tcPr>
            <w:tcW w:w="843" w:type="dxa"/>
          </w:tcPr>
          <w:p w14:paraId="590022B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6(1.5)</w:t>
            </w:r>
          </w:p>
        </w:tc>
        <w:tc>
          <w:tcPr>
            <w:tcW w:w="837" w:type="dxa"/>
          </w:tcPr>
          <w:p w14:paraId="754095FA"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val="restart"/>
          </w:tcPr>
          <w:p w14:paraId="49C698C6"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0.221*</w:t>
            </w:r>
          </w:p>
        </w:tc>
        <w:tc>
          <w:tcPr>
            <w:tcW w:w="736" w:type="dxa"/>
            <w:vMerge w:val="restart"/>
          </w:tcPr>
          <w:p w14:paraId="62DFAEA2"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0.895</w:t>
            </w:r>
          </w:p>
        </w:tc>
        <w:tc>
          <w:tcPr>
            <w:tcW w:w="843" w:type="dxa"/>
          </w:tcPr>
          <w:p w14:paraId="3A3B5A5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5(1.4)</w:t>
            </w:r>
          </w:p>
        </w:tc>
        <w:tc>
          <w:tcPr>
            <w:tcW w:w="816" w:type="dxa"/>
          </w:tcPr>
          <w:p w14:paraId="12066FA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1(2.0)</w:t>
            </w:r>
          </w:p>
        </w:tc>
        <w:tc>
          <w:tcPr>
            <w:tcW w:w="656" w:type="dxa"/>
            <w:vMerge w:val="restart"/>
          </w:tcPr>
          <w:p w14:paraId="1BF58F7E"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0.406*</w:t>
            </w:r>
          </w:p>
        </w:tc>
        <w:tc>
          <w:tcPr>
            <w:tcW w:w="690" w:type="dxa"/>
            <w:vMerge w:val="restart"/>
          </w:tcPr>
          <w:p w14:paraId="368E8EFE"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0.816</w:t>
            </w:r>
          </w:p>
        </w:tc>
        <w:tc>
          <w:tcPr>
            <w:tcW w:w="843" w:type="dxa"/>
          </w:tcPr>
          <w:p w14:paraId="1610854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6(1.5)</w:t>
            </w:r>
          </w:p>
        </w:tc>
        <w:tc>
          <w:tcPr>
            <w:tcW w:w="853" w:type="dxa"/>
          </w:tcPr>
          <w:p w14:paraId="12D6014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val="restart"/>
          </w:tcPr>
          <w:p w14:paraId="36FC171A"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0.476</w:t>
            </w:r>
          </w:p>
        </w:tc>
        <w:tc>
          <w:tcPr>
            <w:tcW w:w="657" w:type="dxa"/>
            <w:vMerge w:val="restart"/>
          </w:tcPr>
          <w:p w14:paraId="000F0229"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0.788</w:t>
            </w:r>
          </w:p>
        </w:tc>
      </w:tr>
      <w:tr w:rsidR="008D3C32" w:rsidRPr="00F162DB" w14:paraId="26F507F9"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5CFDE466"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 xml:space="preserve">Single </w:t>
            </w:r>
          </w:p>
        </w:tc>
        <w:tc>
          <w:tcPr>
            <w:tcW w:w="843" w:type="dxa"/>
          </w:tcPr>
          <w:p w14:paraId="132FF36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398(98.0)</w:t>
            </w:r>
          </w:p>
        </w:tc>
        <w:tc>
          <w:tcPr>
            <w:tcW w:w="837" w:type="dxa"/>
          </w:tcPr>
          <w:p w14:paraId="319866F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11(100.0)</w:t>
            </w:r>
          </w:p>
        </w:tc>
        <w:tc>
          <w:tcPr>
            <w:tcW w:w="656" w:type="dxa"/>
            <w:vMerge/>
          </w:tcPr>
          <w:p w14:paraId="3EB206D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4EBC3C8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66B785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361(98.1)</w:t>
            </w:r>
          </w:p>
        </w:tc>
        <w:tc>
          <w:tcPr>
            <w:tcW w:w="816" w:type="dxa"/>
          </w:tcPr>
          <w:p w14:paraId="03F36A6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48(98.0)</w:t>
            </w:r>
          </w:p>
        </w:tc>
        <w:tc>
          <w:tcPr>
            <w:tcW w:w="656" w:type="dxa"/>
            <w:vMerge/>
          </w:tcPr>
          <w:p w14:paraId="2C45ED5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11AF59C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0F1511F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386(98.0)</w:t>
            </w:r>
          </w:p>
        </w:tc>
        <w:tc>
          <w:tcPr>
            <w:tcW w:w="853" w:type="dxa"/>
          </w:tcPr>
          <w:p w14:paraId="365E502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23(100.0)</w:t>
            </w:r>
          </w:p>
        </w:tc>
        <w:tc>
          <w:tcPr>
            <w:tcW w:w="656" w:type="dxa"/>
            <w:vMerge/>
          </w:tcPr>
          <w:p w14:paraId="5B35967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31DA838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6F2025C1"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213F8FD6"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Co-habiting</w:t>
            </w:r>
          </w:p>
        </w:tc>
        <w:tc>
          <w:tcPr>
            <w:tcW w:w="843" w:type="dxa"/>
          </w:tcPr>
          <w:p w14:paraId="1E7DB6F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2(0.5)</w:t>
            </w:r>
          </w:p>
        </w:tc>
        <w:tc>
          <w:tcPr>
            <w:tcW w:w="837" w:type="dxa"/>
          </w:tcPr>
          <w:p w14:paraId="57E0303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4EA680B3"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64A4413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0C67EF2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2(0.5)</w:t>
            </w:r>
          </w:p>
        </w:tc>
        <w:tc>
          <w:tcPr>
            <w:tcW w:w="816" w:type="dxa"/>
          </w:tcPr>
          <w:p w14:paraId="0A4E2F7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747EC31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3E0F164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63D79D2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2(0.5)</w:t>
            </w:r>
          </w:p>
        </w:tc>
        <w:tc>
          <w:tcPr>
            <w:tcW w:w="853" w:type="dxa"/>
          </w:tcPr>
          <w:p w14:paraId="61B4D3C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712E829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2054C54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53E45158"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3F554078" w14:textId="77777777" w:rsidR="008D3C32" w:rsidRPr="00F162DB" w:rsidRDefault="008D3C32" w:rsidP="00B06251">
            <w:pPr>
              <w:jc w:val="both"/>
              <w:rPr>
                <w:rFonts w:ascii="Times New Roman" w:eastAsia="Calibri" w:hAnsi="Times New Roman" w:cs="Times New Roman"/>
                <w:b/>
                <w:sz w:val="16"/>
                <w:szCs w:val="16"/>
              </w:rPr>
            </w:pPr>
          </w:p>
        </w:tc>
        <w:tc>
          <w:tcPr>
            <w:tcW w:w="843" w:type="dxa"/>
          </w:tcPr>
          <w:p w14:paraId="4497100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724F1E4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604A8BE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26E5D03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972C49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22EDE96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1C1F952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02AA656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E0188B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7BE5F1C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3F7A2DD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4D3DB8B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4202F5D4"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79118963"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
                <w:bCs/>
                <w:sz w:val="16"/>
                <w:szCs w:val="16"/>
              </w:rPr>
              <w:t>Religion</w:t>
            </w:r>
          </w:p>
        </w:tc>
        <w:tc>
          <w:tcPr>
            <w:tcW w:w="843" w:type="dxa"/>
          </w:tcPr>
          <w:p w14:paraId="30D094C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4CE93D6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AE6B7A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70210DF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F2267D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25F6A78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0284D82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3D6442C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A62AF8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46F39ED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0B22443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3C9F300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297C64EE"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069DAC12"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Christianity</w:t>
            </w:r>
          </w:p>
        </w:tc>
        <w:tc>
          <w:tcPr>
            <w:tcW w:w="843" w:type="dxa"/>
          </w:tcPr>
          <w:p w14:paraId="69DEF12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396(97.5)</w:t>
            </w:r>
          </w:p>
        </w:tc>
        <w:tc>
          <w:tcPr>
            <w:tcW w:w="837" w:type="dxa"/>
          </w:tcPr>
          <w:p w14:paraId="28D62B0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10(90.9)</w:t>
            </w:r>
          </w:p>
        </w:tc>
        <w:tc>
          <w:tcPr>
            <w:tcW w:w="656" w:type="dxa"/>
            <w:vMerge w:val="restart"/>
          </w:tcPr>
          <w:p w14:paraId="3B3C83EE"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8.026</w:t>
            </w:r>
          </w:p>
        </w:tc>
        <w:tc>
          <w:tcPr>
            <w:tcW w:w="736" w:type="dxa"/>
            <w:vMerge w:val="restart"/>
          </w:tcPr>
          <w:p w14:paraId="1B9E0EA4"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0.045**</w:t>
            </w:r>
          </w:p>
        </w:tc>
        <w:tc>
          <w:tcPr>
            <w:tcW w:w="843" w:type="dxa"/>
          </w:tcPr>
          <w:p w14:paraId="19A4608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360(97.8)</w:t>
            </w:r>
          </w:p>
        </w:tc>
        <w:tc>
          <w:tcPr>
            <w:tcW w:w="816" w:type="dxa"/>
          </w:tcPr>
          <w:p w14:paraId="5216EDC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46(93.9)</w:t>
            </w:r>
          </w:p>
        </w:tc>
        <w:tc>
          <w:tcPr>
            <w:tcW w:w="656" w:type="dxa"/>
            <w:vMerge w:val="restart"/>
          </w:tcPr>
          <w:p w14:paraId="54ADF9D6"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6.789</w:t>
            </w:r>
          </w:p>
        </w:tc>
        <w:tc>
          <w:tcPr>
            <w:tcW w:w="690" w:type="dxa"/>
            <w:vMerge w:val="restart"/>
          </w:tcPr>
          <w:p w14:paraId="31566634"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0.079</w:t>
            </w:r>
          </w:p>
        </w:tc>
        <w:tc>
          <w:tcPr>
            <w:tcW w:w="843" w:type="dxa"/>
          </w:tcPr>
          <w:p w14:paraId="5A9B9C1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383(97.2)</w:t>
            </w:r>
          </w:p>
        </w:tc>
        <w:tc>
          <w:tcPr>
            <w:tcW w:w="853" w:type="dxa"/>
          </w:tcPr>
          <w:p w14:paraId="1EC068A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23(100.0)</w:t>
            </w:r>
          </w:p>
        </w:tc>
        <w:tc>
          <w:tcPr>
            <w:tcW w:w="656" w:type="dxa"/>
            <w:vMerge w:val="restart"/>
          </w:tcPr>
          <w:p w14:paraId="567C05B7"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0.660</w:t>
            </w:r>
          </w:p>
        </w:tc>
        <w:tc>
          <w:tcPr>
            <w:tcW w:w="657" w:type="dxa"/>
            <w:vMerge w:val="restart"/>
          </w:tcPr>
          <w:p w14:paraId="6EF43404"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0.883</w:t>
            </w:r>
          </w:p>
        </w:tc>
      </w:tr>
      <w:tr w:rsidR="008D3C32" w:rsidRPr="00F162DB" w14:paraId="70B358FB"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2438D275"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Muslim</w:t>
            </w:r>
          </w:p>
        </w:tc>
        <w:tc>
          <w:tcPr>
            <w:tcW w:w="843" w:type="dxa"/>
          </w:tcPr>
          <w:p w14:paraId="32EE9DB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3(0.7)</w:t>
            </w:r>
          </w:p>
        </w:tc>
        <w:tc>
          <w:tcPr>
            <w:tcW w:w="837" w:type="dxa"/>
          </w:tcPr>
          <w:p w14:paraId="0725F6D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1(9.1)</w:t>
            </w:r>
          </w:p>
        </w:tc>
        <w:tc>
          <w:tcPr>
            <w:tcW w:w="656" w:type="dxa"/>
            <w:vMerge/>
          </w:tcPr>
          <w:p w14:paraId="567C2D4A"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74E241C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7025D9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2(0.5)</w:t>
            </w:r>
          </w:p>
        </w:tc>
        <w:tc>
          <w:tcPr>
            <w:tcW w:w="816" w:type="dxa"/>
          </w:tcPr>
          <w:p w14:paraId="20CD2BB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2(4.1)</w:t>
            </w:r>
          </w:p>
        </w:tc>
        <w:tc>
          <w:tcPr>
            <w:tcW w:w="656" w:type="dxa"/>
            <w:vMerge/>
          </w:tcPr>
          <w:p w14:paraId="7A12FEB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45C2C09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B645D4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4(1.0)</w:t>
            </w:r>
          </w:p>
        </w:tc>
        <w:tc>
          <w:tcPr>
            <w:tcW w:w="853" w:type="dxa"/>
          </w:tcPr>
          <w:p w14:paraId="345ADAD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1C8920A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53B5636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6B4F482D"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2B698AF9"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Cs/>
                <w:sz w:val="16"/>
                <w:szCs w:val="16"/>
              </w:rPr>
              <w:t>Traditional Religion</w:t>
            </w:r>
          </w:p>
        </w:tc>
        <w:tc>
          <w:tcPr>
            <w:tcW w:w="843" w:type="dxa"/>
          </w:tcPr>
          <w:p w14:paraId="0B053A9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3(0.7)</w:t>
            </w:r>
          </w:p>
        </w:tc>
        <w:tc>
          <w:tcPr>
            <w:tcW w:w="837" w:type="dxa"/>
          </w:tcPr>
          <w:p w14:paraId="62A66FC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261BF25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192D293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7493A1A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3(0.8)</w:t>
            </w:r>
          </w:p>
        </w:tc>
        <w:tc>
          <w:tcPr>
            <w:tcW w:w="816" w:type="dxa"/>
          </w:tcPr>
          <w:p w14:paraId="5EADB97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49B0175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037D398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7614DBB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3(0.8)</w:t>
            </w:r>
          </w:p>
        </w:tc>
        <w:tc>
          <w:tcPr>
            <w:tcW w:w="853" w:type="dxa"/>
          </w:tcPr>
          <w:p w14:paraId="193DD5F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74475B4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70864D4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2AF2538E"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5B90C6C7"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Cs/>
                <w:sz w:val="16"/>
                <w:szCs w:val="16"/>
              </w:rPr>
              <w:t>Atheist</w:t>
            </w:r>
          </w:p>
        </w:tc>
        <w:tc>
          <w:tcPr>
            <w:tcW w:w="843" w:type="dxa"/>
          </w:tcPr>
          <w:p w14:paraId="5C26B7C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4(1.1)</w:t>
            </w:r>
          </w:p>
        </w:tc>
        <w:tc>
          <w:tcPr>
            <w:tcW w:w="837" w:type="dxa"/>
          </w:tcPr>
          <w:p w14:paraId="546628C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6E38784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076ADE9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9E8F89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3(0.8)</w:t>
            </w:r>
          </w:p>
        </w:tc>
        <w:tc>
          <w:tcPr>
            <w:tcW w:w="816" w:type="dxa"/>
          </w:tcPr>
          <w:p w14:paraId="69951D6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1(2.0)</w:t>
            </w:r>
          </w:p>
        </w:tc>
        <w:tc>
          <w:tcPr>
            <w:tcW w:w="656" w:type="dxa"/>
            <w:vMerge/>
          </w:tcPr>
          <w:p w14:paraId="1896F2B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71EACDB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7E3DBB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4(1.0)</w:t>
            </w:r>
          </w:p>
        </w:tc>
        <w:tc>
          <w:tcPr>
            <w:tcW w:w="853" w:type="dxa"/>
          </w:tcPr>
          <w:p w14:paraId="5B72139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4267571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1184B3C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6EAFED71"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2D7C3C23" w14:textId="77777777" w:rsidR="008D3C32" w:rsidRPr="00F162DB" w:rsidRDefault="008D3C32" w:rsidP="00B06251">
            <w:pPr>
              <w:jc w:val="both"/>
              <w:rPr>
                <w:rFonts w:ascii="Times New Roman" w:eastAsia="Calibri" w:hAnsi="Times New Roman" w:cs="Times New Roman"/>
                <w:b/>
                <w:sz w:val="16"/>
                <w:szCs w:val="16"/>
              </w:rPr>
            </w:pPr>
          </w:p>
        </w:tc>
        <w:tc>
          <w:tcPr>
            <w:tcW w:w="843" w:type="dxa"/>
          </w:tcPr>
          <w:p w14:paraId="121BE47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53190D6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03236C7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0105522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42E314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3B24A88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086338C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618651C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78FB580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5D6D6C4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49E0726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4291CE9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72129396"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6E34FFC9"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Faculty/Dept</w:t>
            </w:r>
          </w:p>
        </w:tc>
        <w:tc>
          <w:tcPr>
            <w:tcW w:w="843" w:type="dxa"/>
          </w:tcPr>
          <w:p w14:paraId="0245A60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4500071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D1C799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3872435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128F43F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1D302EC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5C7E86E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7D09BE6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79DB677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711E050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7B460B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4DEF581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0FA5C619"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4DB4D4A8"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 xml:space="preserve">Law </w:t>
            </w:r>
          </w:p>
        </w:tc>
        <w:tc>
          <w:tcPr>
            <w:tcW w:w="843" w:type="dxa"/>
          </w:tcPr>
          <w:p w14:paraId="2D4F11E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94(23.2)</w:t>
            </w:r>
          </w:p>
        </w:tc>
        <w:tc>
          <w:tcPr>
            <w:tcW w:w="837" w:type="dxa"/>
          </w:tcPr>
          <w:p w14:paraId="4D6F128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656" w:type="dxa"/>
            <w:vMerge w:val="restart"/>
          </w:tcPr>
          <w:p w14:paraId="39269AB0"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6.665</w:t>
            </w:r>
          </w:p>
        </w:tc>
        <w:tc>
          <w:tcPr>
            <w:tcW w:w="736" w:type="dxa"/>
            <w:vMerge w:val="restart"/>
          </w:tcPr>
          <w:p w14:paraId="19091D05"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0.083</w:t>
            </w:r>
          </w:p>
        </w:tc>
        <w:tc>
          <w:tcPr>
            <w:tcW w:w="843" w:type="dxa"/>
          </w:tcPr>
          <w:p w14:paraId="0DAAFC7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84(22.8)</w:t>
            </w:r>
          </w:p>
        </w:tc>
        <w:tc>
          <w:tcPr>
            <w:tcW w:w="816" w:type="dxa"/>
          </w:tcPr>
          <w:p w14:paraId="73A35AA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12(24.5)</w:t>
            </w:r>
          </w:p>
        </w:tc>
        <w:tc>
          <w:tcPr>
            <w:tcW w:w="656" w:type="dxa"/>
            <w:vMerge w:val="restart"/>
          </w:tcPr>
          <w:p w14:paraId="5CD9D68A"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2.204</w:t>
            </w:r>
          </w:p>
        </w:tc>
        <w:tc>
          <w:tcPr>
            <w:tcW w:w="690" w:type="dxa"/>
            <w:vMerge w:val="restart"/>
          </w:tcPr>
          <w:p w14:paraId="2C08618C"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0.531</w:t>
            </w:r>
          </w:p>
        </w:tc>
        <w:tc>
          <w:tcPr>
            <w:tcW w:w="843" w:type="dxa"/>
          </w:tcPr>
          <w:p w14:paraId="5893038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90(22.8)</w:t>
            </w:r>
          </w:p>
        </w:tc>
        <w:tc>
          <w:tcPr>
            <w:tcW w:w="853" w:type="dxa"/>
          </w:tcPr>
          <w:p w14:paraId="1AFB8A2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6(26.1)</w:t>
            </w:r>
          </w:p>
        </w:tc>
        <w:tc>
          <w:tcPr>
            <w:tcW w:w="656" w:type="dxa"/>
            <w:vMerge w:val="restart"/>
          </w:tcPr>
          <w:p w14:paraId="3EEF6C15"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3.744</w:t>
            </w:r>
          </w:p>
        </w:tc>
        <w:tc>
          <w:tcPr>
            <w:tcW w:w="657" w:type="dxa"/>
            <w:vMerge w:val="restart"/>
          </w:tcPr>
          <w:p w14:paraId="021235C7"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0.299</w:t>
            </w:r>
          </w:p>
        </w:tc>
      </w:tr>
      <w:tr w:rsidR="008D3C32" w:rsidRPr="00F162DB" w14:paraId="5E6C2AB2"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65AD6667"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Environmental</w:t>
            </w:r>
          </w:p>
        </w:tc>
        <w:tc>
          <w:tcPr>
            <w:tcW w:w="843" w:type="dxa"/>
          </w:tcPr>
          <w:p w14:paraId="483E6C8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123(30.3)</w:t>
            </w:r>
          </w:p>
        </w:tc>
        <w:tc>
          <w:tcPr>
            <w:tcW w:w="837" w:type="dxa"/>
          </w:tcPr>
          <w:p w14:paraId="1DD6ABE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4F8E42A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1F9F797A"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404066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112(30.4)</w:t>
            </w:r>
          </w:p>
        </w:tc>
        <w:tc>
          <w:tcPr>
            <w:tcW w:w="816" w:type="dxa"/>
          </w:tcPr>
          <w:p w14:paraId="69756E8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11(22.4)</w:t>
            </w:r>
          </w:p>
        </w:tc>
        <w:tc>
          <w:tcPr>
            <w:tcW w:w="656" w:type="dxa"/>
            <w:vMerge/>
          </w:tcPr>
          <w:p w14:paraId="591E598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7C5E89FA"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1E0438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120(30.5)</w:t>
            </w:r>
          </w:p>
        </w:tc>
        <w:tc>
          <w:tcPr>
            <w:tcW w:w="853" w:type="dxa"/>
          </w:tcPr>
          <w:p w14:paraId="238AF6F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3(13.0)</w:t>
            </w:r>
          </w:p>
        </w:tc>
        <w:tc>
          <w:tcPr>
            <w:tcW w:w="656" w:type="dxa"/>
            <w:vMerge/>
          </w:tcPr>
          <w:p w14:paraId="2532588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177AD5E3"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3BB31006"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76AEE892"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Management</w:t>
            </w:r>
          </w:p>
        </w:tc>
        <w:tc>
          <w:tcPr>
            <w:tcW w:w="843" w:type="dxa"/>
          </w:tcPr>
          <w:p w14:paraId="2F1D172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189(46.5)</w:t>
            </w:r>
          </w:p>
        </w:tc>
        <w:tc>
          <w:tcPr>
            <w:tcW w:w="837" w:type="dxa"/>
          </w:tcPr>
          <w:p w14:paraId="0A0F408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9(81.8)</w:t>
            </w:r>
          </w:p>
        </w:tc>
        <w:tc>
          <w:tcPr>
            <w:tcW w:w="656" w:type="dxa"/>
            <w:vMerge/>
          </w:tcPr>
          <w:p w14:paraId="062AC4A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31C6CCB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2A8CCC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172(46.8)</w:t>
            </w:r>
          </w:p>
        </w:tc>
        <w:tc>
          <w:tcPr>
            <w:tcW w:w="816" w:type="dxa"/>
          </w:tcPr>
          <w:p w14:paraId="10C55DB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26(53.1)</w:t>
            </w:r>
          </w:p>
        </w:tc>
        <w:tc>
          <w:tcPr>
            <w:tcW w:w="656" w:type="dxa"/>
            <w:vMerge/>
          </w:tcPr>
          <w:p w14:paraId="7EA80FE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1076675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967091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184(46.7)</w:t>
            </w:r>
          </w:p>
        </w:tc>
        <w:tc>
          <w:tcPr>
            <w:tcW w:w="853" w:type="dxa"/>
          </w:tcPr>
          <w:p w14:paraId="70D374D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14(60.9)</w:t>
            </w:r>
          </w:p>
        </w:tc>
        <w:tc>
          <w:tcPr>
            <w:tcW w:w="656" w:type="dxa"/>
            <w:vMerge/>
          </w:tcPr>
          <w:p w14:paraId="7B3647A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6C66B82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51F6D2FD"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5F7A9304" w14:textId="77777777" w:rsidR="008D3C32" w:rsidRPr="00F162DB" w:rsidRDefault="008D3C32" w:rsidP="00B06251">
            <w:pPr>
              <w:jc w:val="both"/>
              <w:rPr>
                <w:rFonts w:ascii="Times New Roman" w:eastAsia="Calibri" w:hAnsi="Times New Roman" w:cs="Times New Roman"/>
                <w:b/>
                <w:sz w:val="16"/>
                <w:szCs w:val="16"/>
              </w:rPr>
            </w:pPr>
          </w:p>
        </w:tc>
        <w:tc>
          <w:tcPr>
            <w:tcW w:w="843" w:type="dxa"/>
          </w:tcPr>
          <w:p w14:paraId="7C66DC5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111EDD6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68217BE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679A6C6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A3DD3C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20F27F1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1203651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274ABA64"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78DD524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5DAAB10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78574DB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484D20F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2FE21660"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05090849"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Year of Study</w:t>
            </w:r>
          </w:p>
        </w:tc>
        <w:tc>
          <w:tcPr>
            <w:tcW w:w="843" w:type="dxa"/>
          </w:tcPr>
          <w:p w14:paraId="468F79D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0942E69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6695A18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15635E8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02D9B9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10B694B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47743EC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5198E2E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7146BCB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41C2CD2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69449FF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08B8AD6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47DBFD54"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0F812A4F"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1</w:t>
            </w:r>
          </w:p>
        </w:tc>
        <w:tc>
          <w:tcPr>
            <w:tcW w:w="843" w:type="dxa"/>
          </w:tcPr>
          <w:p w14:paraId="6940CC7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42(10.3)</w:t>
            </w:r>
          </w:p>
        </w:tc>
        <w:tc>
          <w:tcPr>
            <w:tcW w:w="837" w:type="dxa"/>
          </w:tcPr>
          <w:p w14:paraId="75F12B8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656" w:type="dxa"/>
            <w:vMerge w:val="restart"/>
          </w:tcPr>
          <w:p w14:paraId="401EBCC5"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3.525</w:t>
            </w:r>
          </w:p>
        </w:tc>
        <w:tc>
          <w:tcPr>
            <w:tcW w:w="736" w:type="dxa"/>
            <w:vMerge w:val="restart"/>
          </w:tcPr>
          <w:p w14:paraId="763CA15D"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0.620</w:t>
            </w:r>
          </w:p>
        </w:tc>
        <w:tc>
          <w:tcPr>
            <w:tcW w:w="843" w:type="dxa"/>
          </w:tcPr>
          <w:p w14:paraId="0F0757C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39(10.6)</w:t>
            </w:r>
          </w:p>
        </w:tc>
        <w:tc>
          <w:tcPr>
            <w:tcW w:w="816" w:type="dxa"/>
          </w:tcPr>
          <w:p w14:paraId="27BF7C2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5(10.2)</w:t>
            </w:r>
          </w:p>
        </w:tc>
        <w:tc>
          <w:tcPr>
            <w:tcW w:w="656" w:type="dxa"/>
            <w:vMerge w:val="restart"/>
          </w:tcPr>
          <w:p w14:paraId="780BD975"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4.683</w:t>
            </w:r>
          </w:p>
        </w:tc>
        <w:tc>
          <w:tcPr>
            <w:tcW w:w="690" w:type="dxa"/>
            <w:vMerge w:val="restart"/>
          </w:tcPr>
          <w:p w14:paraId="79A25B28"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0.456</w:t>
            </w:r>
          </w:p>
        </w:tc>
        <w:tc>
          <w:tcPr>
            <w:tcW w:w="843" w:type="dxa"/>
          </w:tcPr>
          <w:p w14:paraId="648FFEE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39(9.9)</w:t>
            </w:r>
          </w:p>
        </w:tc>
        <w:tc>
          <w:tcPr>
            <w:tcW w:w="853" w:type="dxa"/>
          </w:tcPr>
          <w:p w14:paraId="033290A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5(21.5)</w:t>
            </w:r>
          </w:p>
        </w:tc>
        <w:tc>
          <w:tcPr>
            <w:tcW w:w="656" w:type="dxa"/>
            <w:vMerge w:val="restart"/>
          </w:tcPr>
          <w:p w14:paraId="45E41B01"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10.065</w:t>
            </w:r>
          </w:p>
        </w:tc>
        <w:tc>
          <w:tcPr>
            <w:tcW w:w="657" w:type="dxa"/>
            <w:vMerge w:val="restart"/>
          </w:tcPr>
          <w:p w14:paraId="5AECC204"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0.073</w:t>
            </w:r>
          </w:p>
        </w:tc>
      </w:tr>
      <w:tr w:rsidR="008D3C32" w:rsidRPr="00F162DB" w14:paraId="0B4A97C5"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5D924C3E"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2</w:t>
            </w:r>
          </w:p>
        </w:tc>
        <w:tc>
          <w:tcPr>
            <w:tcW w:w="843" w:type="dxa"/>
          </w:tcPr>
          <w:p w14:paraId="5083C05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70(17.2)</w:t>
            </w:r>
          </w:p>
        </w:tc>
        <w:tc>
          <w:tcPr>
            <w:tcW w:w="837" w:type="dxa"/>
          </w:tcPr>
          <w:p w14:paraId="6977817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28AE3EE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3FAFA56B"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069C59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62(16.8)</w:t>
            </w:r>
          </w:p>
        </w:tc>
        <w:tc>
          <w:tcPr>
            <w:tcW w:w="816" w:type="dxa"/>
          </w:tcPr>
          <w:p w14:paraId="04CF571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8(16.3)</w:t>
            </w:r>
          </w:p>
        </w:tc>
        <w:tc>
          <w:tcPr>
            <w:tcW w:w="656" w:type="dxa"/>
            <w:vMerge/>
          </w:tcPr>
          <w:p w14:paraId="214D615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309BA80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E8A36E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70917.8)</w:t>
            </w:r>
          </w:p>
        </w:tc>
        <w:tc>
          <w:tcPr>
            <w:tcW w:w="853" w:type="dxa"/>
          </w:tcPr>
          <w:p w14:paraId="77697A1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656" w:type="dxa"/>
            <w:vMerge/>
          </w:tcPr>
          <w:p w14:paraId="247D77F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7C70B7D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501A843C"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47AD050E"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3</w:t>
            </w:r>
          </w:p>
        </w:tc>
        <w:tc>
          <w:tcPr>
            <w:tcW w:w="843" w:type="dxa"/>
          </w:tcPr>
          <w:p w14:paraId="53A7D58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77(19.0)</w:t>
            </w:r>
          </w:p>
        </w:tc>
        <w:tc>
          <w:tcPr>
            <w:tcW w:w="837" w:type="dxa"/>
          </w:tcPr>
          <w:p w14:paraId="68B7AE6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656" w:type="dxa"/>
            <w:vMerge/>
          </w:tcPr>
          <w:p w14:paraId="69A98F4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28E9D6E2"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DE551E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66(17.9)</w:t>
            </w:r>
          </w:p>
        </w:tc>
        <w:tc>
          <w:tcPr>
            <w:tcW w:w="816" w:type="dxa"/>
          </w:tcPr>
          <w:p w14:paraId="5183CE6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13((26.5)</w:t>
            </w:r>
          </w:p>
        </w:tc>
        <w:tc>
          <w:tcPr>
            <w:tcW w:w="656" w:type="dxa"/>
            <w:vMerge/>
          </w:tcPr>
          <w:p w14:paraId="48931EB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4F0D1FC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588E6F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76(19.3)</w:t>
            </w:r>
          </w:p>
        </w:tc>
        <w:tc>
          <w:tcPr>
            <w:tcW w:w="853" w:type="dxa"/>
          </w:tcPr>
          <w:p w14:paraId="30116B1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3(13.0)</w:t>
            </w:r>
          </w:p>
        </w:tc>
        <w:tc>
          <w:tcPr>
            <w:tcW w:w="656" w:type="dxa"/>
            <w:vMerge/>
          </w:tcPr>
          <w:p w14:paraId="2747527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7634512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13DA3A78"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244FD2D5"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4</w:t>
            </w:r>
          </w:p>
        </w:tc>
        <w:tc>
          <w:tcPr>
            <w:tcW w:w="843" w:type="dxa"/>
          </w:tcPr>
          <w:p w14:paraId="2557F17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156(38.4)</w:t>
            </w:r>
          </w:p>
        </w:tc>
        <w:tc>
          <w:tcPr>
            <w:tcW w:w="837" w:type="dxa"/>
          </w:tcPr>
          <w:p w14:paraId="39D77C5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6(54.5)</w:t>
            </w:r>
          </w:p>
        </w:tc>
        <w:tc>
          <w:tcPr>
            <w:tcW w:w="656" w:type="dxa"/>
            <w:vMerge/>
          </w:tcPr>
          <w:p w14:paraId="1ACAA14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6A98E731"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06EA45E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142(38.6)</w:t>
            </w:r>
          </w:p>
        </w:tc>
        <w:tc>
          <w:tcPr>
            <w:tcW w:w="816" w:type="dxa"/>
          </w:tcPr>
          <w:p w14:paraId="648969F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20(40.8)</w:t>
            </w:r>
          </w:p>
        </w:tc>
        <w:tc>
          <w:tcPr>
            <w:tcW w:w="656" w:type="dxa"/>
            <w:vMerge/>
          </w:tcPr>
          <w:p w14:paraId="06B4076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438C8A8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01AB38E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149(37.8)</w:t>
            </w:r>
          </w:p>
        </w:tc>
        <w:tc>
          <w:tcPr>
            <w:tcW w:w="853" w:type="dxa"/>
          </w:tcPr>
          <w:p w14:paraId="20B2EA4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13(56.5)</w:t>
            </w:r>
          </w:p>
        </w:tc>
        <w:tc>
          <w:tcPr>
            <w:tcW w:w="656" w:type="dxa"/>
            <w:vMerge/>
          </w:tcPr>
          <w:p w14:paraId="0AD2A95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4EB86A7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72BB788E"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3601C724"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5</w:t>
            </w:r>
          </w:p>
        </w:tc>
        <w:tc>
          <w:tcPr>
            <w:tcW w:w="843" w:type="dxa"/>
          </w:tcPr>
          <w:p w14:paraId="7D4176B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58(15.0)</w:t>
            </w:r>
          </w:p>
        </w:tc>
        <w:tc>
          <w:tcPr>
            <w:tcW w:w="837" w:type="dxa"/>
          </w:tcPr>
          <w:p w14:paraId="5374EF2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1(9.1)</w:t>
            </w:r>
          </w:p>
        </w:tc>
        <w:tc>
          <w:tcPr>
            <w:tcW w:w="656" w:type="dxa"/>
            <w:vMerge/>
          </w:tcPr>
          <w:p w14:paraId="4807718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609B1105"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7E8E9D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59(16.0)</w:t>
            </w:r>
          </w:p>
        </w:tc>
        <w:tc>
          <w:tcPr>
            <w:tcW w:w="816" w:type="dxa"/>
          </w:tcPr>
          <w:p w14:paraId="7D60EFE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3(6.1)</w:t>
            </w:r>
          </w:p>
        </w:tc>
        <w:tc>
          <w:tcPr>
            <w:tcW w:w="656" w:type="dxa"/>
            <w:vMerge/>
          </w:tcPr>
          <w:p w14:paraId="0AE0F76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737F9C4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019A5D2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60(15.3)</w:t>
            </w:r>
          </w:p>
        </w:tc>
        <w:tc>
          <w:tcPr>
            <w:tcW w:w="853" w:type="dxa"/>
          </w:tcPr>
          <w:p w14:paraId="19F47E9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2(8.7)</w:t>
            </w:r>
          </w:p>
        </w:tc>
        <w:tc>
          <w:tcPr>
            <w:tcW w:w="656" w:type="dxa"/>
            <w:vMerge/>
          </w:tcPr>
          <w:p w14:paraId="53A9C73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334B81B3"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77B29AE2"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1D0CD932" w14:textId="77777777" w:rsidR="008D3C32" w:rsidRPr="00F162DB" w:rsidRDefault="008D3C32" w:rsidP="00B06251">
            <w:pPr>
              <w:jc w:val="both"/>
              <w:rPr>
                <w:rFonts w:ascii="Times New Roman" w:eastAsia="Calibri" w:hAnsi="Times New Roman" w:cs="Times New Roman"/>
                <w:b/>
                <w:sz w:val="16"/>
                <w:szCs w:val="16"/>
              </w:rPr>
            </w:pPr>
          </w:p>
        </w:tc>
        <w:tc>
          <w:tcPr>
            <w:tcW w:w="843" w:type="dxa"/>
          </w:tcPr>
          <w:p w14:paraId="10F5258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27ACDDF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DCC429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1023905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F65529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2D1F384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1BF2DE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3E50A12E"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644264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6F7D069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A73EEA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3C9693D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7AF54A78"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19ECD301"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 xml:space="preserve">          </w:t>
            </w:r>
          </w:p>
        </w:tc>
        <w:tc>
          <w:tcPr>
            <w:tcW w:w="843" w:type="dxa"/>
          </w:tcPr>
          <w:p w14:paraId="2D678D6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78A9740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17D5EE5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052459F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E9B351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0350723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403AB76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279A6A7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69F45B9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5E6A4DFA"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F3E4A69"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03B968C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36E7FE56"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2F36D5EE"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Accommodation Type</w:t>
            </w:r>
          </w:p>
        </w:tc>
        <w:tc>
          <w:tcPr>
            <w:tcW w:w="843" w:type="dxa"/>
          </w:tcPr>
          <w:p w14:paraId="65B9DA8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26009F4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00EADF1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4D7CC0E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601586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3CAA323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6855B2B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3AB6C41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108C9DF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7D95B64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737E5A38"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5157F89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6CD6C7AD"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7D150866"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School hostel</w:t>
            </w:r>
          </w:p>
        </w:tc>
        <w:tc>
          <w:tcPr>
            <w:tcW w:w="843" w:type="dxa"/>
          </w:tcPr>
          <w:p w14:paraId="2AF0251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336(82.8)</w:t>
            </w:r>
          </w:p>
        </w:tc>
        <w:tc>
          <w:tcPr>
            <w:tcW w:w="837" w:type="dxa"/>
          </w:tcPr>
          <w:p w14:paraId="59CCD7A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9(81.8)</w:t>
            </w:r>
          </w:p>
        </w:tc>
        <w:tc>
          <w:tcPr>
            <w:tcW w:w="656" w:type="dxa"/>
            <w:vMerge w:val="restart"/>
          </w:tcPr>
          <w:p w14:paraId="227AD148"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0.007*</w:t>
            </w:r>
          </w:p>
        </w:tc>
        <w:tc>
          <w:tcPr>
            <w:tcW w:w="736" w:type="dxa"/>
            <w:vMerge w:val="restart"/>
          </w:tcPr>
          <w:p w14:paraId="5CBB6AEE"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1.000</w:t>
            </w:r>
          </w:p>
        </w:tc>
        <w:tc>
          <w:tcPr>
            <w:tcW w:w="843" w:type="dxa"/>
          </w:tcPr>
          <w:p w14:paraId="1D021A02"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301(81.8)</w:t>
            </w:r>
          </w:p>
        </w:tc>
        <w:tc>
          <w:tcPr>
            <w:tcW w:w="816" w:type="dxa"/>
          </w:tcPr>
          <w:p w14:paraId="74AC87A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44(89.8)</w:t>
            </w:r>
          </w:p>
        </w:tc>
        <w:tc>
          <w:tcPr>
            <w:tcW w:w="656" w:type="dxa"/>
            <w:vMerge w:val="restart"/>
          </w:tcPr>
          <w:p w14:paraId="19DC2194"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1.939</w:t>
            </w:r>
          </w:p>
        </w:tc>
        <w:tc>
          <w:tcPr>
            <w:tcW w:w="690" w:type="dxa"/>
            <w:vMerge w:val="restart"/>
          </w:tcPr>
          <w:p w14:paraId="2D00E86F"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0.164</w:t>
            </w:r>
          </w:p>
        </w:tc>
        <w:tc>
          <w:tcPr>
            <w:tcW w:w="843" w:type="dxa"/>
          </w:tcPr>
          <w:p w14:paraId="16E1B09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326(82.7)</w:t>
            </w:r>
          </w:p>
        </w:tc>
        <w:tc>
          <w:tcPr>
            <w:tcW w:w="853" w:type="dxa"/>
          </w:tcPr>
          <w:p w14:paraId="6B4112A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19(82.6)</w:t>
            </w:r>
          </w:p>
        </w:tc>
        <w:tc>
          <w:tcPr>
            <w:tcW w:w="656" w:type="dxa"/>
            <w:vMerge w:val="restart"/>
          </w:tcPr>
          <w:p w14:paraId="3A769E63"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0.000</w:t>
            </w:r>
          </w:p>
        </w:tc>
        <w:tc>
          <w:tcPr>
            <w:tcW w:w="657" w:type="dxa"/>
            <w:vMerge w:val="restart"/>
          </w:tcPr>
          <w:p w14:paraId="73A71B7F"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0.987</w:t>
            </w:r>
          </w:p>
        </w:tc>
      </w:tr>
      <w:tr w:rsidR="008D3C32" w:rsidRPr="00F162DB" w14:paraId="37F5D16B"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06B73176"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Off campus</w:t>
            </w:r>
          </w:p>
        </w:tc>
        <w:tc>
          <w:tcPr>
            <w:tcW w:w="843" w:type="dxa"/>
          </w:tcPr>
          <w:p w14:paraId="3CF127D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70(17.2)</w:t>
            </w:r>
          </w:p>
        </w:tc>
        <w:tc>
          <w:tcPr>
            <w:tcW w:w="837" w:type="dxa"/>
          </w:tcPr>
          <w:p w14:paraId="0A92A19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656" w:type="dxa"/>
            <w:vMerge/>
          </w:tcPr>
          <w:p w14:paraId="364D53E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4F98940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B743CA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67(18.2)</w:t>
            </w:r>
          </w:p>
        </w:tc>
        <w:tc>
          <w:tcPr>
            <w:tcW w:w="816" w:type="dxa"/>
          </w:tcPr>
          <w:p w14:paraId="254746D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5(10.2)</w:t>
            </w:r>
          </w:p>
        </w:tc>
        <w:tc>
          <w:tcPr>
            <w:tcW w:w="656" w:type="dxa"/>
            <w:vMerge/>
          </w:tcPr>
          <w:p w14:paraId="3A751865"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3935AB5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5AFA06F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68(17.3)</w:t>
            </w:r>
          </w:p>
        </w:tc>
        <w:tc>
          <w:tcPr>
            <w:tcW w:w="853" w:type="dxa"/>
          </w:tcPr>
          <w:p w14:paraId="44EAD31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4(17.4)</w:t>
            </w:r>
          </w:p>
        </w:tc>
        <w:tc>
          <w:tcPr>
            <w:tcW w:w="656" w:type="dxa"/>
            <w:vMerge/>
          </w:tcPr>
          <w:p w14:paraId="7FB1795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5687EF5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1D96DD38"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6C6FD687" w14:textId="77777777" w:rsidR="008D3C32" w:rsidRPr="00F162DB" w:rsidRDefault="008D3C32" w:rsidP="00B06251">
            <w:pPr>
              <w:jc w:val="both"/>
              <w:rPr>
                <w:rFonts w:ascii="Times New Roman" w:eastAsia="Calibri" w:hAnsi="Times New Roman" w:cs="Times New Roman"/>
                <w:b/>
                <w:sz w:val="16"/>
                <w:szCs w:val="16"/>
              </w:rPr>
            </w:pPr>
          </w:p>
        </w:tc>
        <w:tc>
          <w:tcPr>
            <w:tcW w:w="843" w:type="dxa"/>
          </w:tcPr>
          <w:p w14:paraId="1985DF0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3FC9A4E6"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35C7DC7A"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4F6214C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00C3013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5411567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382E1C3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5BFE711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4B45F8F1"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566C111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0AD95E0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4FF8F9E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60C876CA"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3FB174D3"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b/>
                <w:bCs/>
                <w:sz w:val="16"/>
                <w:szCs w:val="16"/>
              </w:rPr>
              <w:t>Cooking habits</w:t>
            </w:r>
          </w:p>
        </w:tc>
        <w:tc>
          <w:tcPr>
            <w:tcW w:w="843" w:type="dxa"/>
          </w:tcPr>
          <w:p w14:paraId="15DBA76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37" w:type="dxa"/>
          </w:tcPr>
          <w:p w14:paraId="26B30C9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3DF5D5D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tcPr>
          <w:p w14:paraId="1B1977A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B109770"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16" w:type="dxa"/>
          </w:tcPr>
          <w:p w14:paraId="068E85FF"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4B7471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tcPr>
          <w:p w14:paraId="262F8484"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07FB8E27"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53" w:type="dxa"/>
          </w:tcPr>
          <w:p w14:paraId="58892B9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6" w:type="dxa"/>
          </w:tcPr>
          <w:p w14:paraId="215AD76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tcPr>
          <w:p w14:paraId="3506CBE2"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32575D9D"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05820D7C"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Cook own food</w:t>
            </w:r>
          </w:p>
        </w:tc>
        <w:tc>
          <w:tcPr>
            <w:tcW w:w="843" w:type="dxa"/>
          </w:tcPr>
          <w:p w14:paraId="694C095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108(26.6)</w:t>
            </w:r>
          </w:p>
        </w:tc>
        <w:tc>
          <w:tcPr>
            <w:tcW w:w="837" w:type="dxa"/>
          </w:tcPr>
          <w:p w14:paraId="250E35E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3(27.3)</w:t>
            </w:r>
          </w:p>
        </w:tc>
        <w:tc>
          <w:tcPr>
            <w:tcW w:w="656" w:type="dxa"/>
            <w:vMerge w:val="restart"/>
          </w:tcPr>
          <w:p w14:paraId="2D36B1B7"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0.077</w:t>
            </w:r>
          </w:p>
        </w:tc>
        <w:tc>
          <w:tcPr>
            <w:tcW w:w="736" w:type="dxa"/>
            <w:vMerge w:val="restart"/>
          </w:tcPr>
          <w:p w14:paraId="264C884F"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0.962</w:t>
            </w:r>
          </w:p>
        </w:tc>
        <w:tc>
          <w:tcPr>
            <w:tcW w:w="843" w:type="dxa"/>
          </w:tcPr>
          <w:p w14:paraId="6115F57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97(26.4)</w:t>
            </w:r>
          </w:p>
        </w:tc>
        <w:tc>
          <w:tcPr>
            <w:tcW w:w="816" w:type="dxa"/>
          </w:tcPr>
          <w:p w14:paraId="2276F45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14(28.6)</w:t>
            </w:r>
          </w:p>
        </w:tc>
        <w:tc>
          <w:tcPr>
            <w:tcW w:w="656" w:type="dxa"/>
            <w:vMerge w:val="restart"/>
          </w:tcPr>
          <w:p w14:paraId="48881E65"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1.453*</w:t>
            </w:r>
          </w:p>
        </w:tc>
        <w:tc>
          <w:tcPr>
            <w:tcW w:w="690" w:type="dxa"/>
            <w:vMerge w:val="restart"/>
          </w:tcPr>
          <w:p w14:paraId="2902E767"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0.484</w:t>
            </w:r>
          </w:p>
        </w:tc>
        <w:tc>
          <w:tcPr>
            <w:tcW w:w="843" w:type="dxa"/>
          </w:tcPr>
          <w:p w14:paraId="6F7424A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103(26.1)</w:t>
            </w:r>
          </w:p>
        </w:tc>
        <w:tc>
          <w:tcPr>
            <w:tcW w:w="853" w:type="dxa"/>
          </w:tcPr>
          <w:p w14:paraId="55AFB48C"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8(34.8)</w:t>
            </w:r>
          </w:p>
        </w:tc>
        <w:tc>
          <w:tcPr>
            <w:tcW w:w="656" w:type="dxa"/>
            <w:vMerge w:val="restart"/>
          </w:tcPr>
          <w:p w14:paraId="50AE4596"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3.978</w:t>
            </w:r>
          </w:p>
        </w:tc>
        <w:tc>
          <w:tcPr>
            <w:tcW w:w="657" w:type="dxa"/>
            <w:vMerge w:val="restart"/>
          </w:tcPr>
          <w:p w14:paraId="48B06674"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0.137</w:t>
            </w:r>
          </w:p>
        </w:tc>
      </w:tr>
      <w:tr w:rsidR="008D3C32" w:rsidRPr="00F162DB" w14:paraId="2BE49131" w14:textId="77777777" w:rsidTr="00B06251">
        <w:tc>
          <w:tcPr>
            <w:cnfStyle w:val="001000000000" w:firstRow="0" w:lastRow="0" w:firstColumn="1" w:lastColumn="0" w:oddVBand="0" w:evenVBand="0" w:oddHBand="0" w:evenHBand="0" w:firstRowFirstColumn="0" w:firstRowLastColumn="0" w:lastRowFirstColumn="0" w:lastRowLastColumn="0"/>
            <w:tcW w:w="1336" w:type="dxa"/>
          </w:tcPr>
          <w:p w14:paraId="5CAF11F8"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Vendor</w:t>
            </w:r>
          </w:p>
        </w:tc>
        <w:tc>
          <w:tcPr>
            <w:tcW w:w="843" w:type="dxa"/>
          </w:tcPr>
          <w:p w14:paraId="4351514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250(61.6)</w:t>
            </w:r>
          </w:p>
        </w:tc>
        <w:tc>
          <w:tcPr>
            <w:tcW w:w="837" w:type="dxa"/>
          </w:tcPr>
          <w:p w14:paraId="21A8DAA1"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7(63.6)</w:t>
            </w:r>
          </w:p>
        </w:tc>
        <w:tc>
          <w:tcPr>
            <w:tcW w:w="656" w:type="dxa"/>
            <w:vMerge/>
          </w:tcPr>
          <w:p w14:paraId="65D81C4A"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2EC23FD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6D18DA3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230(62.5)</w:t>
            </w:r>
          </w:p>
        </w:tc>
        <w:tc>
          <w:tcPr>
            <w:tcW w:w="816" w:type="dxa"/>
          </w:tcPr>
          <w:p w14:paraId="6D78ADD9"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27(55.1)</w:t>
            </w:r>
          </w:p>
        </w:tc>
        <w:tc>
          <w:tcPr>
            <w:tcW w:w="656" w:type="dxa"/>
            <w:vMerge/>
          </w:tcPr>
          <w:p w14:paraId="49B24276"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56AC809B"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32CEAF0C"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247(62.7)</w:t>
            </w:r>
          </w:p>
        </w:tc>
        <w:tc>
          <w:tcPr>
            <w:tcW w:w="853" w:type="dxa"/>
          </w:tcPr>
          <w:p w14:paraId="3E1E390D"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10(43.5)</w:t>
            </w:r>
          </w:p>
        </w:tc>
        <w:tc>
          <w:tcPr>
            <w:tcW w:w="656" w:type="dxa"/>
            <w:vMerge/>
          </w:tcPr>
          <w:p w14:paraId="287F6B76" w14:textId="77777777" w:rsidR="008D3C32" w:rsidRPr="00F162DB" w:rsidRDefault="008D3C32" w:rsidP="00B0625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3B4A4923" w14:textId="77777777" w:rsidR="008D3C32" w:rsidRPr="00F162DB" w:rsidRDefault="008D3C32" w:rsidP="00B0625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8D3C32" w:rsidRPr="00F162DB" w14:paraId="10B79918" w14:textId="77777777" w:rsidTr="00B0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Pr>
          <w:p w14:paraId="7AA2D798" w14:textId="77777777" w:rsidR="008D3C32" w:rsidRPr="00F162DB" w:rsidRDefault="008D3C32" w:rsidP="00B06251">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Both</w:t>
            </w:r>
          </w:p>
        </w:tc>
        <w:tc>
          <w:tcPr>
            <w:tcW w:w="843" w:type="dxa"/>
          </w:tcPr>
          <w:p w14:paraId="5435D768"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48(11.8)</w:t>
            </w:r>
          </w:p>
        </w:tc>
        <w:tc>
          <w:tcPr>
            <w:tcW w:w="837" w:type="dxa"/>
          </w:tcPr>
          <w:p w14:paraId="30958DE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1(9.1)</w:t>
            </w:r>
          </w:p>
        </w:tc>
        <w:tc>
          <w:tcPr>
            <w:tcW w:w="656" w:type="dxa"/>
            <w:vMerge/>
          </w:tcPr>
          <w:p w14:paraId="747241BE"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736" w:type="dxa"/>
            <w:vMerge/>
          </w:tcPr>
          <w:p w14:paraId="5E50F9E7"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638FF1B3"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41(11.1)</w:t>
            </w:r>
          </w:p>
        </w:tc>
        <w:tc>
          <w:tcPr>
            <w:tcW w:w="816" w:type="dxa"/>
          </w:tcPr>
          <w:p w14:paraId="2438579D"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816.3)</w:t>
            </w:r>
          </w:p>
        </w:tc>
        <w:tc>
          <w:tcPr>
            <w:tcW w:w="656" w:type="dxa"/>
            <w:vMerge/>
          </w:tcPr>
          <w:p w14:paraId="2085F7FB"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90" w:type="dxa"/>
            <w:vMerge/>
          </w:tcPr>
          <w:p w14:paraId="4E8718C5"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843" w:type="dxa"/>
          </w:tcPr>
          <w:p w14:paraId="2FCE2D70"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44(11.2)</w:t>
            </w:r>
          </w:p>
        </w:tc>
        <w:tc>
          <w:tcPr>
            <w:tcW w:w="853" w:type="dxa"/>
          </w:tcPr>
          <w:p w14:paraId="13B1DC6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5(21.7)</w:t>
            </w:r>
          </w:p>
        </w:tc>
        <w:tc>
          <w:tcPr>
            <w:tcW w:w="656" w:type="dxa"/>
            <w:vMerge/>
          </w:tcPr>
          <w:p w14:paraId="29625163" w14:textId="77777777" w:rsidR="008D3C32" w:rsidRPr="00F162DB" w:rsidRDefault="008D3C32" w:rsidP="00B0625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657" w:type="dxa"/>
            <w:vMerge/>
          </w:tcPr>
          <w:p w14:paraId="3BD90C3F" w14:textId="77777777" w:rsidR="008D3C32" w:rsidRPr="00F162DB" w:rsidRDefault="008D3C32" w:rsidP="00B0625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bl>
    <w:p w14:paraId="6E78D6C7" w14:textId="77777777" w:rsidR="008D3C32" w:rsidRPr="00F162DB" w:rsidRDefault="008D3C32" w:rsidP="008D3C32">
      <w:pPr>
        <w:jc w:val="both"/>
        <w:rPr>
          <w:rFonts w:ascii="Times New Roman" w:eastAsia="Calibri" w:hAnsi="Times New Roman" w:cs="Times New Roman"/>
          <w:b/>
          <w:i/>
        </w:rPr>
      </w:pPr>
      <w:r w:rsidRPr="00F162DB">
        <w:rPr>
          <w:rFonts w:ascii="Times New Roman" w:eastAsia="Calibri" w:hAnsi="Times New Roman" w:cs="Times New Roman"/>
          <w:b/>
          <w:i/>
        </w:rPr>
        <w:t>**= significant p-value     χ</w:t>
      </w:r>
      <w:r w:rsidRPr="00F162DB">
        <w:rPr>
          <w:rFonts w:ascii="Times New Roman" w:eastAsia="Calibri" w:hAnsi="Times New Roman" w:cs="Times New Roman"/>
          <w:b/>
          <w:i/>
          <w:vertAlign w:val="superscript"/>
        </w:rPr>
        <w:t>2</w:t>
      </w:r>
      <w:r w:rsidRPr="00F162DB">
        <w:rPr>
          <w:rFonts w:ascii="Times New Roman" w:eastAsia="Calibri" w:hAnsi="Times New Roman" w:cs="Times New Roman"/>
          <w:b/>
          <w:i/>
        </w:rPr>
        <w:t>= chi-square value</w:t>
      </w:r>
      <w:r w:rsidRPr="00F162DB">
        <w:rPr>
          <w:rFonts w:ascii="Times New Roman" w:eastAsia="Calibri" w:hAnsi="Times New Roman" w:cs="Times New Roman"/>
          <w:b/>
          <w:i/>
          <w:vertAlign w:val="superscript"/>
        </w:rPr>
        <w:t xml:space="preserve">       </w:t>
      </w:r>
      <w:r w:rsidRPr="00F162DB">
        <w:rPr>
          <w:rFonts w:ascii="Times New Roman" w:eastAsia="Calibri" w:hAnsi="Times New Roman" w:cs="Times New Roman"/>
        </w:rPr>
        <w:t>*= significant chi-square value</w:t>
      </w:r>
    </w:p>
    <w:p w14:paraId="2CD47ED0" w14:textId="77777777" w:rsidR="008D3C32" w:rsidRDefault="008D3C32" w:rsidP="008D3C32">
      <w:pPr>
        <w:rPr>
          <w:rFonts w:ascii="Times New Roman" w:eastAsia="Calibri" w:hAnsi="Times New Roman" w:cs="Times New Roman"/>
        </w:rPr>
      </w:pPr>
    </w:p>
    <w:p w14:paraId="6F11C867" w14:textId="77777777" w:rsidR="008D3C32" w:rsidRPr="00F162DB" w:rsidRDefault="008D3C32" w:rsidP="008D3C32">
      <w:pPr>
        <w:spacing w:line="480" w:lineRule="auto"/>
        <w:rPr>
          <w:rFonts w:ascii="Times New Roman" w:eastAsia="Calibri" w:hAnsi="Times New Roman" w:cs="Times New Roman"/>
          <w:b/>
          <w:bCs/>
        </w:rPr>
      </w:pPr>
      <w:r w:rsidRPr="00F162DB">
        <w:rPr>
          <w:rFonts w:ascii="Times New Roman" w:eastAsia="Calibri" w:hAnsi="Times New Roman" w:cs="Times New Roman"/>
        </w:rPr>
        <w:t xml:space="preserve">Gender was the only statistically significant variable in influencing good food safety practice as outlined in </w:t>
      </w:r>
      <w:r w:rsidRPr="00F162DB">
        <w:rPr>
          <w:rFonts w:ascii="Times New Roman" w:eastAsia="Calibri" w:hAnsi="Times New Roman" w:cs="Times New Roman"/>
          <w:b/>
          <w:bCs/>
        </w:rPr>
        <w:t>Table 6</w:t>
      </w:r>
      <w:r w:rsidRPr="00F162DB">
        <w:rPr>
          <w:rFonts w:ascii="Times New Roman" w:eastAsia="Calibri" w:hAnsi="Times New Roman" w:cs="Times New Roman"/>
        </w:rPr>
        <w:t xml:space="preserve">. </w:t>
      </w:r>
      <w:r w:rsidR="00F6441E">
        <w:rPr>
          <w:rFonts w:ascii="Times New Roman" w:eastAsia="Calibri" w:hAnsi="Times New Roman" w:cs="Times New Roman"/>
        </w:rPr>
        <w:t xml:space="preserve">The </w:t>
      </w:r>
      <w:r w:rsidRPr="00F162DB">
        <w:rPr>
          <w:rFonts w:ascii="Times New Roman" w:eastAsia="Calibri" w:hAnsi="Times New Roman" w:cs="Times New Roman"/>
        </w:rPr>
        <w:t>socio</w:t>
      </w:r>
      <w:r w:rsidR="00F6441E">
        <w:rPr>
          <w:rFonts w:ascii="Times New Roman" w:eastAsia="Calibri" w:hAnsi="Times New Roman" w:cs="Times New Roman"/>
        </w:rPr>
        <w:t>-</w:t>
      </w:r>
      <w:r w:rsidRPr="00F162DB">
        <w:rPr>
          <w:rFonts w:ascii="Times New Roman" w:eastAsia="Calibri" w:hAnsi="Times New Roman" w:cs="Times New Roman"/>
        </w:rPr>
        <w:t xml:space="preserve">demographic variables were not statistically significant to influence the overall good practice towards food safety among the undergraduates. </w:t>
      </w:r>
      <w:r w:rsidR="00F6441E" w:rsidRPr="00F162DB">
        <w:rPr>
          <w:rFonts w:ascii="Times New Roman" w:eastAsia="Calibri" w:hAnsi="Times New Roman" w:cs="Times New Roman"/>
        </w:rPr>
        <w:t>Male</w:t>
      </w:r>
      <w:r w:rsidR="00F6441E">
        <w:rPr>
          <w:rFonts w:ascii="Times New Roman" w:eastAsia="Calibri" w:hAnsi="Times New Roman" w:cs="Times New Roman"/>
        </w:rPr>
        <w:t xml:space="preserve"> gender effect on food safety practices</w:t>
      </w:r>
      <w:r w:rsidR="00F6441E" w:rsidRPr="00F162DB">
        <w:rPr>
          <w:rFonts w:ascii="Times New Roman" w:eastAsia="Calibri" w:hAnsi="Times New Roman" w:cs="Times New Roman"/>
        </w:rPr>
        <w:t>: (AOR 2.5; 95% [CI: 1.256 – 4.969]).</w:t>
      </w:r>
      <w:r w:rsidR="00F6441E">
        <w:rPr>
          <w:rFonts w:ascii="Times New Roman" w:eastAsia="Calibri" w:hAnsi="Times New Roman" w:cs="Times New Roman"/>
        </w:rPr>
        <w:t xml:space="preserve"> </w:t>
      </w:r>
      <w:r w:rsidRPr="00F162DB">
        <w:rPr>
          <w:rFonts w:ascii="Times New Roman" w:eastAsia="Calibri" w:hAnsi="Times New Roman" w:cs="Times New Roman"/>
        </w:rPr>
        <w:t>Year of study: (AOR 0.576; 95% [CI: 0.196 – 1.098]); Cooking habits (Vendor AOR 0.1.463; 95% CI: [0.453 – 4.722])</w:t>
      </w:r>
    </w:p>
    <w:p w14:paraId="18420544" w14:textId="77777777" w:rsidR="008D3C32" w:rsidRPr="00F162DB" w:rsidRDefault="008D3C32" w:rsidP="008D3C32">
      <w:pPr>
        <w:rPr>
          <w:rFonts w:ascii="Times New Roman" w:eastAsia="Calibri" w:hAnsi="Times New Roman" w:cs="Times New Roman"/>
          <w:b/>
          <w:bCs/>
          <w:i/>
          <w:iCs/>
        </w:rPr>
      </w:pPr>
      <w:r w:rsidRPr="00F162DB">
        <w:rPr>
          <w:rFonts w:ascii="Times New Roman" w:eastAsia="Calibri" w:hAnsi="Times New Roman" w:cs="Times New Roman"/>
          <w:b/>
          <w:bCs/>
          <w:i/>
          <w:iCs/>
        </w:rPr>
        <w:t>Table 6: Determinants of practice (Logistic regression for practice)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5"/>
        <w:gridCol w:w="1405"/>
        <w:gridCol w:w="1475"/>
        <w:gridCol w:w="1890"/>
        <w:gridCol w:w="1800"/>
      </w:tblGrid>
      <w:tr w:rsidR="008D3C32" w:rsidRPr="00F162DB" w14:paraId="0C5A3DDE" w14:textId="77777777" w:rsidTr="00B06251">
        <w:tc>
          <w:tcPr>
            <w:tcW w:w="2335" w:type="dxa"/>
          </w:tcPr>
          <w:p w14:paraId="37D0C045" w14:textId="77777777" w:rsidR="008D3C32" w:rsidRPr="00F162DB" w:rsidRDefault="008D3C32" w:rsidP="00B06251">
            <w:pPr>
              <w:spacing w:after="160" w:line="259" w:lineRule="auto"/>
              <w:rPr>
                <w:rFonts w:eastAsia="Calibri"/>
                <w:b/>
                <w:bCs/>
                <w:sz w:val="24"/>
                <w:szCs w:val="24"/>
                <w:lang w:eastAsia="en-US"/>
              </w:rPr>
            </w:pPr>
            <w:r w:rsidRPr="00F162DB">
              <w:rPr>
                <w:rFonts w:eastAsia="Calibri"/>
                <w:b/>
                <w:bCs/>
                <w:sz w:val="24"/>
                <w:szCs w:val="24"/>
                <w:lang w:eastAsia="en-US"/>
              </w:rPr>
              <w:t>Variable</w:t>
            </w:r>
          </w:p>
        </w:tc>
        <w:tc>
          <w:tcPr>
            <w:tcW w:w="1405" w:type="dxa"/>
          </w:tcPr>
          <w:p w14:paraId="5E6CE43E" w14:textId="77777777" w:rsidR="008D3C32" w:rsidRPr="00F162DB" w:rsidRDefault="008D3C32" w:rsidP="00B06251">
            <w:pPr>
              <w:spacing w:after="160" w:line="259" w:lineRule="auto"/>
              <w:rPr>
                <w:rFonts w:eastAsia="Calibri"/>
                <w:b/>
                <w:bCs/>
                <w:sz w:val="24"/>
                <w:szCs w:val="24"/>
                <w:lang w:eastAsia="en-US"/>
              </w:rPr>
            </w:pPr>
          </w:p>
        </w:tc>
        <w:tc>
          <w:tcPr>
            <w:tcW w:w="1475" w:type="dxa"/>
          </w:tcPr>
          <w:p w14:paraId="127CFBD0" w14:textId="77777777" w:rsidR="008D3C32" w:rsidRPr="00F162DB" w:rsidRDefault="008D3C32" w:rsidP="00B06251">
            <w:pPr>
              <w:spacing w:after="160" w:line="259" w:lineRule="auto"/>
              <w:rPr>
                <w:rFonts w:eastAsia="Calibri"/>
                <w:b/>
                <w:bCs/>
                <w:sz w:val="24"/>
                <w:szCs w:val="24"/>
                <w:lang w:eastAsia="en-US"/>
              </w:rPr>
            </w:pPr>
          </w:p>
        </w:tc>
        <w:tc>
          <w:tcPr>
            <w:tcW w:w="3690" w:type="dxa"/>
            <w:gridSpan w:val="2"/>
          </w:tcPr>
          <w:p w14:paraId="5FD51382" w14:textId="77777777" w:rsidR="008D3C32" w:rsidRPr="00F162DB" w:rsidRDefault="008D3C32" w:rsidP="00B06251">
            <w:pPr>
              <w:spacing w:after="160" w:line="259" w:lineRule="auto"/>
              <w:rPr>
                <w:rFonts w:eastAsia="Calibri"/>
                <w:b/>
                <w:bCs/>
                <w:sz w:val="24"/>
                <w:szCs w:val="24"/>
                <w:lang w:eastAsia="en-US"/>
              </w:rPr>
            </w:pPr>
            <w:r w:rsidRPr="00F162DB">
              <w:rPr>
                <w:rFonts w:eastAsia="Calibri"/>
                <w:b/>
                <w:bCs/>
                <w:sz w:val="24"/>
                <w:szCs w:val="24"/>
                <w:lang w:eastAsia="en-US"/>
              </w:rPr>
              <w:t>95% CI for AOR</w:t>
            </w:r>
          </w:p>
        </w:tc>
      </w:tr>
      <w:tr w:rsidR="008D3C32" w:rsidRPr="00F162DB" w14:paraId="7F8409D0" w14:textId="77777777" w:rsidTr="00B06251">
        <w:tc>
          <w:tcPr>
            <w:tcW w:w="2335" w:type="dxa"/>
          </w:tcPr>
          <w:p w14:paraId="7D0426BE" w14:textId="77777777" w:rsidR="008D3C32" w:rsidRPr="00F162DB" w:rsidRDefault="008D3C32" w:rsidP="00B06251">
            <w:pPr>
              <w:spacing w:after="160" w:line="259" w:lineRule="auto"/>
              <w:rPr>
                <w:rFonts w:eastAsia="Calibri"/>
                <w:b/>
                <w:bCs/>
                <w:sz w:val="24"/>
                <w:szCs w:val="24"/>
                <w:lang w:eastAsia="en-US"/>
              </w:rPr>
            </w:pPr>
          </w:p>
        </w:tc>
        <w:tc>
          <w:tcPr>
            <w:tcW w:w="1405" w:type="dxa"/>
          </w:tcPr>
          <w:p w14:paraId="234F3099" w14:textId="77777777" w:rsidR="008D3C32" w:rsidRPr="00F162DB" w:rsidRDefault="008D3C32" w:rsidP="00B06251">
            <w:pPr>
              <w:spacing w:after="160" w:line="259" w:lineRule="auto"/>
              <w:rPr>
                <w:rFonts w:eastAsia="Calibri"/>
                <w:b/>
                <w:bCs/>
                <w:sz w:val="24"/>
                <w:szCs w:val="24"/>
                <w:lang w:eastAsia="en-US"/>
              </w:rPr>
            </w:pPr>
            <w:r w:rsidRPr="00F162DB">
              <w:rPr>
                <w:rFonts w:eastAsia="Calibri"/>
                <w:b/>
                <w:bCs/>
                <w:sz w:val="24"/>
                <w:szCs w:val="24"/>
                <w:lang w:eastAsia="en-US"/>
              </w:rPr>
              <w:t>AOR</w:t>
            </w:r>
          </w:p>
        </w:tc>
        <w:tc>
          <w:tcPr>
            <w:tcW w:w="1475" w:type="dxa"/>
          </w:tcPr>
          <w:p w14:paraId="300834E0" w14:textId="77777777" w:rsidR="008D3C32" w:rsidRPr="00F162DB" w:rsidRDefault="008D3C32" w:rsidP="00B06251">
            <w:pPr>
              <w:spacing w:after="160" w:line="259" w:lineRule="auto"/>
              <w:rPr>
                <w:rFonts w:eastAsia="Calibri"/>
                <w:b/>
                <w:bCs/>
                <w:sz w:val="24"/>
                <w:szCs w:val="24"/>
                <w:lang w:eastAsia="en-US"/>
              </w:rPr>
            </w:pPr>
            <w:r w:rsidRPr="00F162DB">
              <w:rPr>
                <w:rFonts w:eastAsia="Calibri"/>
                <w:b/>
                <w:bCs/>
                <w:sz w:val="24"/>
                <w:szCs w:val="24"/>
                <w:lang w:eastAsia="en-US"/>
              </w:rPr>
              <w:t>Sig</w:t>
            </w:r>
          </w:p>
        </w:tc>
        <w:tc>
          <w:tcPr>
            <w:tcW w:w="1890" w:type="dxa"/>
          </w:tcPr>
          <w:p w14:paraId="45E1404E" w14:textId="77777777" w:rsidR="008D3C32" w:rsidRPr="00F162DB" w:rsidRDefault="008D3C32" w:rsidP="00B06251">
            <w:pPr>
              <w:spacing w:after="160" w:line="259" w:lineRule="auto"/>
              <w:rPr>
                <w:rFonts w:eastAsia="Calibri"/>
                <w:b/>
                <w:bCs/>
                <w:sz w:val="24"/>
                <w:szCs w:val="24"/>
                <w:lang w:eastAsia="en-US"/>
              </w:rPr>
            </w:pPr>
            <w:r w:rsidRPr="00F162DB">
              <w:rPr>
                <w:rFonts w:eastAsia="Calibri"/>
                <w:b/>
                <w:bCs/>
                <w:sz w:val="24"/>
                <w:szCs w:val="24"/>
                <w:lang w:eastAsia="en-US"/>
              </w:rPr>
              <w:t>Lower</w:t>
            </w:r>
          </w:p>
        </w:tc>
        <w:tc>
          <w:tcPr>
            <w:tcW w:w="1800" w:type="dxa"/>
          </w:tcPr>
          <w:p w14:paraId="6D6CBC63" w14:textId="77777777" w:rsidR="008D3C32" w:rsidRPr="00F162DB" w:rsidRDefault="008D3C32" w:rsidP="00B06251">
            <w:pPr>
              <w:spacing w:after="160" w:line="259" w:lineRule="auto"/>
              <w:rPr>
                <w:rFonts w:eastAsia="Calibri"/>
                <w:b/>
                <w:bCs/>
                <w:sz w:val="24"/>
                <w:szCs w:val="24"/>
                <w:lang w:eastAsia="en-US"/>
              </w:rPr>
            </w:pPr>
            <w:r w:rsidRPr="00F162DB">
              <w:rPr>
                <w:rFonts w:eastAsia="Calibri"/>
                <w:b/>
                <w:bCs/>
                <w:sz w:val="24"/>
                <w:szCs w:val="24"/>
                <w:lang w:eastAsia="en-US"/>
              </w:rPr>
              <w:t>Upper</w:t>
            </w:r>
          </w:p>
        </w:tc>
      </w:tr>
      <w:tr w:rsidR="008D3C32" w:rsidRPr="00F162DB" w14:paraId="55E9B96D" w14:textId="77777777" w:rsidTr="00B06251">
        <w:tc>
          <w:tcPr>
            <w:tcW w:w="2335" w:type="dxa"/>
          </w:tcPr>
          <w:p w14:paraId="0779677A" w14:textId="77777777" w:rsidR="008D3C32" w:rsidRPr="00F162DB" w:rsidRDefault="008D3C32" w:rsidP="00B06251">
            <w:pPr>
              <w:spacing w:after="160" w:line="259" w:lineRule="auto"/>
              <w:rPr>
                <w:rFonts w:eastAsia="Calibri"/>
                <w:b/>
                <w:bCs/>
                <w:sz w:val="24"/>
                <w:szCs w:val="24"/>
                <w:lang w:eastAsia="en-US"/>
              </w:rPr>
            </w:pPr>
            <w:r w:rsidRPr="00F162DB">
              <w:rPr>
                <w:rFonts w:eastAsia="Calibri"/>
                <w:b/>
                <w:bCs/>
                <w:sz w:val="24"/>
                <w:szCs w:val="24"/>
                <w:lang w:eastAsia="en-US"/>
              </w:rPr>
              <w:t xml:space="preserve">Gender </w:t>
            </w:r>
          </w:p>
        </w:tc>
        <w:tc>
          <w:tcPr>
            <w:tcW w:w="1405" w:type="dxa"/>
          </w:tcPr>
          <w:p w14:paraId="578370FC" w14:textId="77777777" w:rsidR="008D3C32" w:rsidRPr="00F162DB" w:rsidRDefault="008D3C32" w:rsidP="00B06251">
            <w:pPr>
              <w:spacing w:after="160" w:line="259" w:lineRule="auto"/>
              <w:rPr>
                <w:rFonts w:eastAsia="Calibri"/>
                <w:b/>
                <w:bCs/>
                <w:sz w:val="24"/>
                <w:szCs w:val="24"/>
                <w:lang w:eastAsia="en-US"/>
              </w:rPr>
            </w:pPr>
          </w:p>
        </w:tc>
        <w:tc>
          <w:tcPr>
            <w:tcW w:w="1475" w:type="dxa"/>
          </w:tcPr>
          <w:p w14:paraId="68926031" w14:textId="77777777" w:rsidR="008D3C32" w:rsidRPr="00F162DB" w:rsidRDefault="008D3C32" w:rsidP="00B06251">
            <w:pPr>
              <w:spacing w:after="160" w:line="259" w:lineRule="auto"/>
              <w:rPr>
                <w:rFonts w:eastAsia="Calibri"/>
                <w:b/>
                <w:bCs/>
                <w:sz w:val="24"/>
                <w:szCs w:val="24"/>
                <w:lang w:eastAsia="en-US"/>
              </w:rPr>
            </w:pPr>
          </w:p>
        </w:tc>
        <w:tc>
          <w:tcPr>
            <w:tcW w:w="1890" w:type="dxa"/>
          </w:tcPr>
          <w:p w14:paraId="5281202D" w14:textId="77777777" w:rsidR="008D3C32" w:rsidRPr="00F162DB" w:rsidRDefault="008D3C32" w:rsidP="00B06251">
            <w:pPr>
              <w:spacing w:after="160" w:line="259" w:lineRule="auto"/>
              <w:rPr>
                <w:rFonts w:eastAsia="Calibri"/>
                <w:b/>
                <w:bCs/>
                <w:sz w:val="24"/>
                <w:szCs w:val="24"/>
                <w:lang w:eastAsia="en-US"/>
              </w:rPr>
            </w:pPr>
          </w:p>
        </w:tc>
        <w:tc>
          <w:tcPr>
            <w:tcW w:w="1800" w:type="dxa"/>
          </w:tcPr>
          <w:p w14:paraId="3EBC3929" w14:textId="77777777" w:rsidR="008D3C32" w:rsidRPr="00F162DB" w:rsidRDefault="008D3C32" w:rsidP="00B06251">
            <w:pPr>
              <w:spacing w:after="160" w:line="259" w:lineRule="auto"/>
              <w:rPr>
                <w:rFonts w:eastAsia="Calibri"/>
                <w:b/>
                <w:bCs/>
                <w:sz w:val="24"/>
                <w:szCs w:val="24"/>
                <w:lang w:eastAsia="en-US"/>
              </w:rPr>
            </w:pPr>
          </w:p>
        </w:tc>
      </w:tr>
      <w:tr w:rsidR="008D3C32" w:rsidRPr="00F162DB" w14:paraId="147DECA7" w14:textId="77777777" w:rsidTr="00B06251">
        <w:tc>
          <w:tcPr>
            <w:tcW w:w="2335" w:type="dxa"/>
          </w:tcPr>
          <w:p w14:paraId="027B7B25"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 xml:space="preserve">Male </w:t>
            </w:r>
          </w:p>
          <w:p w14:paraId="562FE72C"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 xml:space="preserve">Female </w:t>
            </w:r>
          </w:p>
        </w:tc>
        <w:tc>
          <w:tcPr>
            <w:tcW w:w="1405" w:type="dxa"/>
          </w:tcPr>
          <w:p w14:paraId="06C46DB0"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2.498</w:t>
            </w:r>
          </w:p>
          <w:p w14:paraId="38B0B63B"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1</w:t>
            </w:r>
          </w:p>
        </w:tc>
        <w:tc>
          <w:tcPr>
            <w:tcW w:w="1475" w:type="dxa"/>
          </w:tcPr>
          <w:p w14:paraId="6E4BBF3C" w14:textId="77777777" w:rsidR="008D3C32" w:rsidRPr="00F162DB" w:rsidRDefault="00F6441E" w:rsidP="00B06251">
            <w:pPr>
              <w:spacing w:after="160" w:line="259" w:lineRule="auto"/>
              <w:rPr>
                <w:rFonts w:eastAsia="Calibri"/>
                <w:sz w:val="24"/>
                <w:szCs w:val="24"/>
                <w:lang w:eastAsia="en-US"/>
              </w:rPr>
            </w:pPr>
            <w:r>
              <w:rPr>
                <w:rFonts w:eastAsia="Calibri"/>
                <w:sz w:val="24"/>
                <w:szCs w:val="24"/>
                <w:lang w:eastAsia="en-US"/>
              </w:rPr>
              <w:t>0.009</w:t>
            </w:r>
          </w:p>
        </w:tc>
        <w:tc>
          <w:tcPr>
            <w:tcW w:w="1890" w:type="dxa"/>
          </w:tcPr>
          <w:p w14:paraId="6AF45DC6"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1.256</w:t>
            </w:r>
          </w:p>
        </w:tc>
        <w:tc>
          <w:tcPr>
            <w:tcW w:w="1800" w:type="dxa"/>
          </w:tcPr>
          <w:p w14:paraId="3BBE743C"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4.969</w:t>
            </w:r>
          </w:p>
        </w:tc>
      </w:tr>
      <w:tr w:rsidR="008D3C32" w:rsidRPr="00F162DB" w14:paraId="000DEC6D" w14:textId="77777777" w:rsidTr="00B06251">
        <w:tc>
          <w:tcPr>
            <w:tcW w:w="2335" w:type="dxa"/>
          </w:tcPr>
          <w:p w14:paraId="3DEC87C1" w14:textId="77777777" w:rsidR="008D3C32" w:rsidRPr="00F162DB" w:rsidRDefault="008D3C32" w:rsidP="00B06251">
            <w:pPr>
              <w:spacing w:after="160" w:line="259" w:lineRule="auto"/>
              <w:rPr>
                <w:rFonts w:eastAsia="Calibri"/>
                <w:b/>
                <w:bCs/>
                <w:sz w:val="24"/>
                <w:szCs w:val="24"/>
                <w:lang w:eastAsia="en-US"/>
              </w:rPr>
            </w:pPr>
            <w:r w:rsidRPr="00F162DB">
              <w:rPr>
                <w:rFonts w:eastAsia="Calibri"/>
                <w:b/>
                <w:bCs/>
                <w:sz w:val="24"/>
                <w:szCs w:val="24"/>
                <w:lang w:eastAsia="en-US"/>
              </w:rPr>
              <w:t xml:space="preserve">Year of study </w:t>
            </w:r>
          </w:p>
        </w:tc>
        <w:tc>
          <w:tcPr>
            <w:tcW w:w="1405" w:type="dxa"/>
          </w:tcPr>
          <w:p w14:paraId="3620BCB9" w14:textId="77777777" w:rsidR="008D3C32" w:rsidRPr="00F162DB" w:rsidRDefault="008D3C32" w:rsidP="00B06251">
            <w:pPr>
              <w:spacing w:after="160" w:line="259" w:lineRule="auto"/>
              <w:rPr>
                <w:rFonts w:eastAsia="Calibri"/>
                <w:b/>
                <w:bCs/>
                <w:sz w:val="24"/>
                <w:szCs w:val="24"/>
                <w:lang w:eastAsia="en-US"/>
              </w:rPr>
            </w:pPr>
          </w:p>
        </w:tc>
        <w:tc>
          <w:tcPr>
            <w:tcW w:w="1475" w:type="dxa"/>
          </w:tcPr>
          <w:p w14:paraId="20F4D53C" w14:textId="77777777" w:rsidR="008D3C32" w:rsidRPr="00F162DB" w:rsidRDefault="008D3C32" w:rsidP="00B06251">
            <w:pPr>
              <w:spacing w:after="160" w:line="259" w:lineRule="auto"/>
              <w:rPr>
                <w:rFonts w:eastAsia="Calibri"/>
                <w:b/>
                <w:bCs/>
                <w:sz w:val="24"/>
                <w:szCs w:val="24"/>
                <w:lang w:eastAsia="en-US"/>
              </w:rPr>
            </w:pPr>
          </w:p>
        </w:tc>
        <w:tc>
          <w:tcPr>
            <w:tcW w:w="1890" w:type="dxa"/>
          </w:tcPr>
          <w:p w14:paraId="6BA511F8" w14:textId="77777777" w:rsidR="008D3C32" w:rsidRPr="00F162DB" w:rsidRDefault="008D3C32" w:rsidP="00B06251">
            <w:pPr>
              <w:spacing w:after="160" w:line="259" w:lineRule="auto"/>
              <w:rPr>
                <w:rFonts w:eastAsia="Calibri"/>
                <w:b/>
                <w:bCs/>
                <w:sz w:val="24"/>
                <w:szCs w:val="24"/>
                <w:lang w:eastAsia="en-US"/>
              </w:rPr>
            </w:pPr>
          </w:p>
        </w:tc>
        <w:tc>
          <w:tcPr>
            <w:tcW w:w="1800" w:type="dxa"/>
          </w:tcPr>
          <w:p w14:paraId="36AF599F" w14:textId="77777777" w:rsidR="008D3C32" w:rsidRPr="00F162DB" w:rsidRDefault="008D3C32" w:rsidP="00B06251">
            <w:pPr>
              <w:spacing w:after="160" w:line="259" w:lineRule="auto"/>
              <w:rPr>
                <w:rFonts w:eastAsia="Calibri"/>
                <w:b/>
                <w:bCs/>
                <w:sz w:val="24"/>
                <w:szCs w:val="24"/>
                <w:lang w:eastAsia="en-US"/>
              </w:rPr>
            </w:pPr>
          </w:p>
        </w:tc>
      </w:tr>
      <w:tr w:rsidR="008D3C32" w:rsidRPr="00F162DB" w14:paraId="29934078" w14:textId="77777777" w:rsidTr="00B06251">
        <w:tc>
          <w:tcPr>
            <w:tcW w:w="2335" w:type="dxa"/>
          </w:tcPr>
          <w:p w14:paraId="3133C5E6"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1-3</w:t>
            </w:r>
          </w:p>
        </w:tc>
        <w:tc>
          <w:tcPr>
            <w:tcW w:w="1405" w:type="dxa"/>
          </w:tcPr>
          <w:p w14:paraId="2A3BDA28"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0.576</w:t>
            </w:r>
          </w:p>
        </w:tc>
        <w:tc>
          <w:tcPr>
            <w:tcW w:w="1475" w:type="dxa"/>
          </w:tcPr>
          <w:p w14:paraId="552CEA3A"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0.080</w:t>
            </w:r>
          </w:p>
        </w:tc>
        <w:tc>
          <w:tcPr>
            <w:tcW w:w="1890" w:type="dxa"/>
          </w:tcPr>
          <w:p w14:paraId="372287AA"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0.196</w:t>
            </w:r>
          </w:p>
        </w:tc>
        <w:tc>
          <w:tcPr>
            <w:tcW w:w="1800" w:type="dxa"/>
          </w:tcPr>
          <w:p w14:paraId="42BB615F"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1.098</w:t>
            </w:r>
          </w:p>
        </w:tc>
      </w:tr>
      <w:tr w:rsidR="008D3C32" w:rsidRPr="00F162DB" w14:paraId="4C4704FB" w14:textId="77777777" w:rsidTr="00B06251">
        <w:tc>
          <w:tcPr>
            <w:tcW w:w="2335" w:type="dxa"/>
          </w:tcPr>
          <w:p w14:paraId="111D15F6"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lastRenderedPageBreak/>
              <w:t>4-5</w:t>
            </w:r>
          </w:p>
        </w:tc>
        <w:tc>
          <w:tcPr>
            <w:tcW w:w="1405" w:type="dxa"/>
          </w:tcPr>
          <w:p w14:paraId="23E03418" w14:textId="77777777" w:rsidR="008D3C32" w:rsidRPr="00F162DB" w:rsidRDefault="008D3C32" w:rsidP="00B06251">
            <w:pPr>
              <w:spacing w:after="160" w:line="259" w:lineRule="auto"/>
              <w:rPr>
                <w:rFonts w:eastAsia="Calibri"/>
                <w:sz w:val="24"/>
                <w:szCs w:val="24"/>
                <w:lang w:eastAsia="en-US"/>
              </w:rPr>
            </w:pPr>
            <w:r w:rsidRPr="00F162DB">
              <w:rPr>
                <w:rFonts w:eastAsia="Calibri"/>
                <w:sz w:val="24"/>
                <w:szCs w:val="24"/>
                <w:lang w:eastAsia="en-US"/>
              </w:rPr>
              <w:t>1</w:t>
            </w:r>
          </w:p>
        </w:tc>
        <w:tc>
          <w:tcPr>
            <w:tcW w:w="1475" w:type="dxa"/>
          </w:tcPr>
          <w:p w14:paraId="6B3B3942" w14:textId="77777777" w:rsidR="008D3C32" w:rsidRPr="00F162DB" w:rsidRDefault="008D3C32" w:rsidP="00B06251">
            <w:pPr>
              <w:spacing w:after="160" w:line="259" w:lineRule="auto"/>
              <w:rPr>
                <w:rFonts w:eastAsia="Calibri"/>
                <w:sz w:val="24"/>
                <w:szCs w:val="24"/>
                <w:lang w:eastAsia="en-US"/>
              </w:rPr>
            </w:pPr>
          </w:p>
        </w:tc>
        <w:tc>
          <w:tcPr>
            <w:tcW w:w="1890" w:type="dxa"/>
          </w:tcPr>
          <w:p w14:paraId="5A109030" w14:textId="77777777" w:rsidR="008D3C32" w:rsidRPr="00F162DB" w:rsidRDefault="008D3C32" w:rsidP="00B06251">
            <w:pPr>
              <w:spacing w:after="160" w:line="259" w:lineRule="auto"/>
              <w:rPr>
                <w:rFonts w:eastAsia="Calibri"/>
                <w:sz w:val="24"/>
                <w:szCs w:val="24"/>
                <w:lang w:eastAsia="en-US"/>
              </w:rPr>
            </w:pPr>
          </w:p>
        </w:tc>
        <w:tc>
          <w:tcPr>
            <w:tcW w:w="1800" w:type="dxa"/>
          </w:tcPr>
          <w:p w14:paraId="48785AFA" w14:textId="77777777" w:rsidR="008D3C32" w:rsidRPr="00F162DB" w:rsidRDefault="008D3C32" w:rsidP="00B06251">
            <w:pPr>
              <w:spacing w:after="160" w:line="259" w:lineRule="auto"/>
              <w:rPr>
                <w:rFonts w:eastAsia="Calibri"/>
                <w:sz w:val="24"/>
                <w:szCs w:val="24"/>
                <w:lang w:eastAsia="en-US"/>
              </w:rPr>
            </w:pPr>
          </w:p>
        </w:tc>
      </w:tr>
      <w:tr w:rsidR="008D3C32" w:rsidRPr="00F162DB" w14:paraId="463BDF8A" w14:textId="77777777" w:rsidTr="00B06251">
        <w:tc>
          <w:tcPr>
            <w:tcW w:w="2335" w:type="dxa"/>
          </w:tcPr>
          <w:p w14:paraId="5B96FB0E" w14:textId="77777777" w:rsidR="008D3C32" w:rsidRPr="00F162DB" w:rsidRDefault="008D3C32" w:rsidP="00B06251">
            <w:pPr>
              <w:rPr>
                <w:rFonts w:eastAsia="Calibri"/>
                <w:b/>
                <w:bCs/>
                <w:sz w:val="24"/>
                <w:szCs w:val="24"/>
                <w:lang w:eastAsia="en-US"/>
              </w:rPr>
            </w:pPr>
            <w:r w:rsidRPr="00F162DB">
              <w:rPr>
                <w:rFonts w:eastAsia="Calibri"/>
                <w:b/>
                <w:bCs/>
                <w:sz w:val="24"/>
                <w:szCs w:val="24"/>
                <w:lang w:eastAsia="en-US"/>
              </w:rPr>
              <w:t xml:space="preserve">Cooking habits </w:t>
            </w:r>
          </w:p>
        </w:tc>
        <w:tc>
          <w:tcPr>
            <w:tcW w:w="1405" w:type="dxa"/>
          </w:tcPr>
          <w:p w14:paraId="4A2A3B2D" w14:textId="77777777" w:rsidR="008D3C32" w:rsidRPr="00F162DB" w:rsidRDefault="008D3C32" w:rsidP="00B06251">
            <w:pPr>
              <w:rPr>
                <w:rFonts w:eastAsia="Calibri"/>
                <w:b/>
                <w:bCs/>
                <w:sz w:val="24"/>
                <w:szCs w:val="24"/>
                <w:lang w:eastAsia="en-US"/>
              </w:rPr>
            </w:pPr>
          </w:p>
        </w:tc>
        <w:tc>
          <w:tcPr>
            <w:tcW w:w="1475" w:type="dxa"/>
          </w:tcPr>
          <w:p w14:paraId="512D0730" w14:textId="77777777" w:rsidR="008D3C32" w:rsidRPr="00F162DB" w:rsidRDefault="008D3C32" w:rsidP="00B06251">
            <w:pPr>
              <w:rPr>
                <w:rFonts w:eastAsia="Calibri"/>
                <w:b/>
                <w:bCs/>
                <w:sz w:val="24"/>
                <w:szCs w:val="24"/>
                <w:lang w:eastAsia="en-US"/>
              </w:rPr>
            </w:pPr>
          </w:p>
        </w:tc>
        <w:tc>
          <w:tcPr>
            <w:tcW w:w="1890" w:type="dxa"/>
          </w:tcPr>
          <w:p w14:paraId="47798E1C" w14:textId="77777777" w:rsidR="008D3C32" w:rsidRPr="00F162DB" w:rsidRDefault="008D3C32" w:rsidP="00B06251">
            <w:pPr>
              <w:rPr>
                <w:rFonts w:eastAsia="Calibri"/>
                <w:b/>
                <w:bCs/>
                <w:sz w:val="24"/>
                <w:szCs w:val="24"/>
                <w:lang w:eastAsia="en-US"/>
              </w:rPr>
            </w:pPr>
          </w:p>
        </w:tc>
        <w:tc>
          <w:tcPr>
            <w:tcW w:w="1800" w:type="dxa"/>
          </w:tcPr>
          <w:p w14:paraId="1D4DA190" w14:textId="77777777" w:rsidR="008D3C32" w:rsidRPr="00F162DB" w:rsidRDefault="008D3C32" w:rsidP="00B06251">
            <w:pPr>
              <w:rPr>
                <w:rFonts w:eastAsia="Calibri"/>
                <w:b/>
                <w:bCs/>
                <w:sz w:val="24"/>
                <w:szCs w:val="24"/>
                <w:lang w:eastAsia="en-US"/>
              </w:rPr>
            </w:pPr>
          </w:p>
        </w:tc>
      </w:tr>
      <w:tr w:rsidR="008D3C32" w:rsidRPr="00F162DB" w14:paraId="2EE0538C" w14:textId="77777777" w:rsidTr="00B06251">
        <w:tc>
          <w:tcPr>
            <w:tcW w:w="2335" w:type="dxa"/>
          </w:tcPr>
          <w:p w14:paraId="01FB7CE4" w14:textId="77777777" w:rsidR="008D3C32" w:rsidRPr="00F162DB" w:rsidRDefault="008D3C32" w:rsidP="00B06251">
            <w:pPr>
              <w:rPr>
                <w:rFonts w:eastAsia="Calibri"/>
                <w:sz w:val="24"/>
                <w:szCs w:val="24"/>
                <w:lang w:eastAsia="en-US"/>
              </w:rPr>
            </w:pPr>
            <w:r w:rsidRPr="00F162DB">
              <w:rPr>
                <w:rFonts w:eastAsia="Calibri"/>
                <w:sz w:val="24"/>
                <w:szCs w:val="24"/>
                <w:lang w:eastAsia="en-US"/>
              </w:rPr>
              <w:t xml:space="preserve">Vendor </w:t>
            </w:r>
          </w:p>
        </w:tc>
        <w:tc>
          <w:tcPr>
            <w:tcW w:w="1405" w:type="dxa"/>
          </w:tcPr>
          <w:p w14:paraId="27F2DC72" w14:textId="77777777" w:rsidR="008D3C32" w:rsidRPr="00F162DB" w:rsidRDefault="008D3C32" w:rsidP="00B06251">
            <w:pPr>
              <w:rPr>
                <w:rFonts w:eastAsia="Calibri"/>
                <w:sz w:val="24"/>
                <w:szCs w:val="24"/>
                <w:lang w:eastAsia="en-US"/>
              </w:rPr>
            </w:pPr>
            <w:r w:rsidRPr="00F162DB">
              <w:rPr>
                <w:rFonts w:eastAsia="Calibri"/>
                <w:sz w:val="24"/>
                <w:szCs w:val="24"/>
                <w:lang w:eastAsia="en-US"/>
              </w:rPr>
              <w:t>1.463</w:t>
            </w:r>
          </w:p>
        </w:tc>
        <w:tc>
          <w:tcPr>
            <w:tcW w:w="1475" w:type="dxa"/>
          </w:tcPr>
          <w:p w14:paraId="2AFFBBF0" w14:textId="77777777" w:rsidR="008D3C32" w:rsidRPr="00F162DB" w:rsidRDefault="008D3C32" w:rsidP="00B06251">
            <w:pPr>
              <w:rPr>
                <w:rFonts w:eastAsia="Calibri"/>
                <w:sz w:val="24"/>
                <w:szCs w:val="24"/>
                <w:lang w:eastAsia="en-US"/>
              </w:rPr>
            </w:pPr>
            <w:r w:rsidRPr="00F162DB">
              <w:rPr>
                <w:rFonts w:eastAsia="Calibri"/>
                <w:sz w:val="24"/>
                <w:szCs w:val="24"/>
                <w:lang w:eastAsia="en-US"/>
              </w:rPr>
              <w:t>0.524</w:t>
            </w:r>
          </w:p>
        </w:tc>
        <w:tc>
          <w:tcPr>
            <w:tcW w:w="1890" w:type="dxa"/>
          </w:tcPr>
          <w:p w14:paraId="2FD9AB59" w14:textId="77777777" w:rsidR="008D3C32" w:rsidRPr="00F162DB" w:rsidRDefault="008D3C32" w:rsidP="00B06251">
            <w:pPr>
              <w:rPr>
                <w:rFonts w:eastAsia="Calibri"/>
                <w:sz w:val="24"/>
                <w:szCs w:val="24"/>
                <w:lang w:eastAsia="en-US"/>
              </w:rPr>
            </w:pPr>
            <w:r w:rsidRPr="00F162DB">
              <w:rPr>
                <w:rFonts w:eastAsia="Calibri"/>
                <w:sz w:val="24"/>
                <w:szCs w:val="24"/>
                <w:lang w:eastAsia="en-US"/>
              </w:rPr>
              <w:t>0.453</w:t>
            </w:r>
          </w:p>
        </w:tc>
        <w:tc>
          <w:tcPr>
            <w:tcW w:w="1800" w:type="dxa"/>
          </w:tcPr>
          <w:p w14:paraId="4C8F41E9" w14:textId="77777777" w:rsidR="008D3C32" w:rsidRPr="00F162DB" w:rsidRDefault="008D3C32" w:rsidP="00B06251">
            <w:pPr>
              <w:rPr>
                <w:rFonts w:eastAsia="Calibri"/>
                <w:sz w:val="24"/>
                <w:szCs w:val="24"/>
                <w:lang w:eastAsia="en-US"/>
              </w:rPr>
            </w:pPr>
            <w:r w:rsidRPr="00F162DB">
              <w:rPr>
                <w:rFonts w:eastAsia="Calibri"/>
                <w:sz w:val="24"/>
                <w:szCs w:val="24"/>
                <w:lang w:eastAsia="en-US"/>
              </w:rPr>
              <w:t>4.722</w:t>
            </w:r>
          </w:p>
        </w:tc>
      </w:tr>
      <w:tr w:rsidR="008D3C32" w:rsidRPr="00F162DB" w14:paraId="1A9600D5" w14:textId="77777777" w:rsidTr="00B06251">
        <w:tc>
          <w:tcPr>
            <w:tcW w:w="2335" w:type="dxa"/>
          </w:tcPr>
          <w:p w14:paraId="6EF1FBC5" w14:textId="77777777" w:rsidR="008D3C32" w:rsidRPr="00F162DB" w:rsidRDefault="008D3C32" w:rsidP="00B06251">
            <w:pPr>
              <w:rPr>
                <w:rFonts w:eastAsia="Calibri"/>
                <w:sz w:val="24"/>
                <w:szCs w:val="24"/>
                <w:lang w:eastAsia="en-US"/>
              </w:rPr>
            </w:pPr>
            <w:r w:rsidRPr="00F162DB">
              <w:rPr>
                <w:rFonts w:eastAsia="Calibri"/>
                <w:sz w:val="24"/>
                <w:szCs w:val="24"/>
                <w:lang w:eastAsia="en-US"/>
              </w:rPr>
              <w:t xml:space="preserve">Self-cooking </w:t>
            </w:r>
          </w:p>
        </w:tc>
        <w:tc>
          <w:tcPr>
            <w:tcW w:w="1405" w:type="dxa"/>
          </w:tcPr>
          <w:p w14:paraId="5454B392" w14:textId="77777777" w:rsidR="008D3C32" w:rsidRPr="00F162DB" w:rsidRDefault="008D3C32" w:rsidP="00B06251">
            <w:pPr>
              <w:rPr>
                <w:rFonts w:eastAsia="Calibri"/>
                <w:sz w:val="24"/>
                <w:szCs w:val="24"/>
                <w:lang w:eastAsia="en-US"/>
              </w:rPr>
            </w:pPr>
            <w:r w:rsidRPr="00F162DB">
              <w:rPr>
                <w:rFonts w:eastAsia="Calibri"/>
                <w:sz w:val="24"/>
                <w:szCs w:val="24"/>
                <w:lang w:eastAsia="en-US"/>
              </w:rPr>
              <w:t>2.807</w:t>
            </w:r>
          </w:p>
        </w:tc>
        <w:tc>
          <w:tcPr>
            <w:tcW w:w="1475" w:type="dxa"/>
          </w:tcPr>
          <w:p w14:paraId="5079BD62" w14:textId="77777777" w:rsidR="008D3C32" w:rsidRPr="00F162DB" w:rsidRDefault="008D3C32" w:rsidP="00B06251">
            <w:pPr>
              <w:rPr>
                <w:rFonts w:eastAsia="Calibri"/>
                <w:sz w:val="24"/>
                <w:szCs w:val="24"/>
                <w:lang w:eastAsia="en-US"/>
              </w:rPr>
            </w:pPr>
            <w:r w:rsidRPr="00F162DB">
              <w:rPr>
                <w:rFonts w:eastAsia="Calibri"/>
                <w:sz w:val="24"/>
                <w:szCs w:val="24"/>
                <w:lang w:eastAsia="en-US"/>
              </w:rPr>
              <w:t>0.071</w:t>
            </w:r>
          </w:p>
        </w:tc>
        <w:tc>
          <w:tcPr>
            <w:tcW w:w="1890" w:type="dxa"/>
          </w:tcPr>
          <w:p w14:paraId="69632E2B" w14:textId="77777777" w:rsidR="008D3C32" w:rsidRPr="00F162DB" w:rsidRDefault="008D3C32" w:rsidP="00B06251">
            <w:pPr>
              <w:rPr>
                <w:rFonts w:eastAsia="Calibri"/>
                <w:sz w:val="24"/>
                <w:szCs w:val="24"/>
                <w:lang w:eastAsia="en-US"/>
              </w:rPr>
            </w:pPr>
            <w:r w:rsidRPr="00F162DB">
              <w:rPr>
                <w:rFonts w:eastAsia="Calibri"/>
                <w:sz w:val="24"/>
                <w:szCs w:val="24"/>
                <w:lang w:eastAsia="en-US"/>
              </w:rPr>
              <w:t>0.915</w:t>
            </w:r>
          </w:p>
        </w:tc>
        <w:tc>
          <w:tcPr>
            <w:tcW w:w="1800" w:type="dxa"/>
          </w:tcPr>
          <w:p w14:paraId="1CEF1219" w14:textId="77777777" w:rsidR="008D3C32" w:rsidRPr="00F162DB" w:rsidRDefault="008D3C32" w:rsidP="00B06251">
            <w:pPr>
              <w:rPr>
                <w:rFonts w:eastAsia="Calibri"/>
                <w:sz w:val="24"/>
                <w:szCs w:val="24"/>
                <w:lang w:eastAsia="en-US"/>
              </w:rPr>
            </w:pPr>
            <w:r w:rsidRPr="00F162DB">
              <w:rPr>
                <w:rFonts w:eastAsia="Calibri"/>
                <w:sz w:val="24"/>
                <w:szCs w:val="24"/>
                <w:lang w:eastAsia="en-US"/>
              </w:rPr>
              <w:t>8.606</w:t>
            </w:r>
          </w:p>
        </w:tc>
      </w:tr>
      <w:tr w:rsidR="008D3C32" w:rsidRPr="00F162DB" w14:paraId="3396AB04" w14:textId="77777777" w:rsidTr="00B06251">
        <w:tc>
          <w:tcPr>
            <w:tcW w:w="2335" w:type="dxa"/>
          </w:tcPr>
          <w:p w14:paraId="07AAA441" w14:textId="77777777" w:rsidR="008D3C32" w:rsidRPr="00F162DB" w:rsidRDefault="008D3C32" w:rsidP="00B06251">
            <w:pPr>
              <w:rPr>
                <w:rFonts w:eastAsia="Calibri"/>
                <w:sz w:val="24"/>
                <w:szCs w:val="24"/>
                <w:lang w:eastAsia="en-US"/>
              </w:rPr>
            </w:pPr>
            <w:r w:rsidRPr="00F162DB">
              <w:rPr>
                <w:rFonts w:eastAsia="Calibri"/>
                <w:sz w:val="24"/>
                <w:szCs w:val="24"/>
                <w:lang w:eastAsia="en-US"/>
              </w:rPr>
              <w:t xml:space="preserve">Both </w:t>
            </w:r>
          </w:p>
        </w:tc>
        <w:tc>
          <w:tcPr>
            <w:tcW w:w="1405" w:type="dxa"/>
          </w:tcPr>
          <w:p w14:paraId="386BFFEB" w14:textId="77777777" w:rsidR="008D3C32" w:rsidRPr="00F162DB" w:rsidRDefault="008D3C32" w:rsidP="00B06251">
            <w:pPr>
              <w:rPr>
                <w:rFonts w:eastAsia="Calibri"/>
                <w:sz w:val="24"/>
                <w:szCs w:val="24"/>
                <w:lang w:eastAsia="en-US"/>
              </w:rPr>
            </w:pPr>
            <w:r w:rsidRPr="00F162DB">
              <w:rPr>
                <w:rFonts w:eastAsia="Calibri"/>
                <w:sz w:val="24"/>
                <w:szCs w:val="24"/>
                <w:lang w:eastAsia="en-US"/>
              </w:rPr>
              <w:t>1</w:t>
            </w:r>
          </w:p>
        </w:tc>
        <w:tc>
          <w:tcPr>
            <w:tcW w:w="1475" w:type="dxa"/>
          </w:tcPr>
          <w:p w14:paraId="2245BDF4" w14:textId="77777777" w:rsidR="008D3C32" w:rsidRPr="00F162DB" w:rsidRDefault="008D3C32" w:rsidP="00B06251">
            <w:pPr>
              <w:rPr>
                <w:rFonts w:eastAsia="Calibri"/>
                <w:sz w:val="24"/>
                <w:szCs w:val="24"/>
                <w:lang w:eastAsia="en-US"/>
              </w:rPr>
            </w:pPr>
          </w:p>
        </w:tc>
        <w:tc>
          <w:tcPr>
            <w:tcW w:w="1890" w:type="dxa"/>
          </w:tcPr>
          <w:p w14:paraId="6894FC79" w14:textId="77777777" w:rsidR="008D3C32" w:rsidRPr="00F162DB" w:rsidRDefault="008D3C32" w:rsidP="00B06251">
            <w:pPr>
              <w:rPr>
                <w:rFonts w:eastAsia="Calibri"/>
                <w:sz w:val="24"/>
                <w:szCs w:val="24"/>
                <w:lang w:eastAsia="en-US"/>
              </w:rPr>
            </w:pPr>
          </w:p>
        </w:tc>
        <w:tc>
          <w:tcPr>
            <w:tcW w:w="1800" w:type="dxa"/>
          </w:tcPr>
          <w:p w14:paraId="36A6AF0F" w14:textId="77777777" w:rsidR="008D3C32" w:rsidRPr="00F162DB" w:rsidRDefault="008D3C32" w:rsidP="00B06251">
            <w:pPr>
              <w:rPr>
                <w:rFonts w:eastAsia="Calibri"/>
                <w:sz w:val="24"/>
                <w:szCs w:val="24"/>
                <w:lang w:eastAsia="en-US"/>
              </w:rPr>
            </w:pPr>
          </w:p>
        </w:tc>
      </w:tr>
    </w:tbl>
    <w:p w14:paraId="362B86C1" w14:textId="77777777" w:rsidR="008D3C32" w:rsidRPr="00F162DB" w:rsidRDefault="008D3C32" w:rsidP="008D3C32">
      <w:pPr>
        <w:rPr>
          <w:rFonts w:ascii="Times New Roman" w:eastAsia="Calibri" w:hAnsi="Times New Roman" w:cs="Times New Roman"/>
          <w:b/>
          <w:bCs/>
        </w:rPr>
      </w:pPr>
      <w:r w:rsidRPr="00F162DB">
        <w:rPr>
          <w:rFonts w:ascii="Times New Roman" w:eastAsia="Calibri" w:hAnsi="Times New Roman" w:cs="Times New Roman"/>
          <w:b/>
          <w:bCs/>
        </w:rPr>
        <w:t>Sig</w:t>
      </w:r>
      <w:r w:rsidR="00D6468C">
        <w:rPr>
          <w:rFonts w:ascii="Times New Roman" w:eastAsia="Calibri" w:hAnsi="Times New Roman" w:cs="Times New Roman"/>
          <w:b/>
          <w:bCs/>
        </w:rPr>
        <w:t xml:space="preserve">nificant if </w:t>
      </w:r>
      <w:r w:rsidRPr="00F162DB">
        <w:rPr>
          <w:rFonts w:ascii="Times New Roman" w:eastAsia="Calibri" w:hAnsi="Times New Roman" w:cs="Times New Roman"/>
          <w:b/>
          <w:bCs/>
        </w:rPr>
        <w:t>&lt;0.05</w:t>
      </w:r>
      <w:r w:rsidR="003C31DD">
        <w:rPr>
          <w:rFonts w:ascii="Times New Roman" w:eastAsia="Calibri" w:hAnsi="Times New Roman" w:cs="Times New Roman"/>
          <w:b/>
          <w:bCs/>
        </w:rPr>
        <w:t>*</w:t>
      </w:r>
    </w:p>
    <w:p w14:paraId="3EDD6CD6" w14:textId="77777777" w:rsidR="002D1F52" w:rsidRDefault="008D3C32" w:rsidP="002D1F52">
      <w:pPr>
        <w:spacing w:after="200" w:line="480" w:lineRule="auto"/>
        <w:rPr>
          <w:rFonts w:ascii="Times New Roman" w:eastAsia="Calibri" w:hAnsi="Times New Roman" w:cs="Times New Roman"/>
        </w:rPr>
      </w:pPr>
      <w:r w:rsidRPr="00F162DB">
        <w:rPr>
          <w:rFonts w:ascii="Times New Roman" w:eastAsia="Calibri" w:hAnsi="Times New Roman" w:cs="Times New Roman"/>
          <w:b/>
          <w:bCs/>
        </w:rPr>
        <w:t>DISCUSSION</w:t>
      </w:r>
      <w:r w:rsidRPr="00F162DB">
        <w:rPr>
          <w:rFonts w:ascii="Times New Roman" w:eastAsia="Calibri" w:hAnsi="Times New Roman" w:cs="Times New Roman"/>
        </w:rPr>
        <w:br/>
        <w:t xml:space="preserve">In this our cross-sectional survey of KAP of food safety and hygiene among undergraduate students in UNEC, overall, 97.4% had good knowledge, 88.2% had positive attitudes, and 94% had good food safety practices. It </w:t>
      </w:r>
      <w:r>
        <w:rPr>
          <w:rFonts w:ascii="Times New Roman" w:eastAsia="Calibri" w:hAnsi="Times New Roman" w:cs="Times New Roman"/>
        </w:rPr>
        <w:t>is</w:t>
      </w:r>
      <w:r w:rsidRPr="00F162DB">
        <w:rPr>
          <w:rFonts w:ascii="Times New Roman" w:eastAsia="Calibri" w:hAnsi="Times New Roman" w:cs="Times New Roman"/>
        </w:rPr>
        <w:t xml:space="preserve"> noteworthy that the respondents were predominantly 20–24 years old (73.4%), with a mean age of 21.93 ± 2.39 years, and 57.1% were female, mirroring gender distributions seen in Kuwait</w:t>
      </w:r>
      <w:r>
        <w:rPr>
          <w:rFonts w:ascii="Times New Roman" w:eastAsia="Calibri" w:hAnsi="Times New Roman" w:cs="Times New Roman"/>
        </w:rPr>
        <w:t>.</w:t>
      </w:r>
      <w:r w:rsidRPr="00F162DB">
        <w:rPr>
          <w:rFonts w:ascii="Times New Roman" w:eastAsia="Calibri" w:hAnsi="Times New Roman" w:cs="Times New Roman"/>
          <w:vertAlign w:val="superscript"/>
        </w:rPr>
        <w:t>[6]</w:t>
      </w:r>
      <w:r w:rsidRPr="00F162DB">
        <w:rPr>
          <w:rFonts w:ascii="Times New Roman" w:eastAsia="Calibri" w:hAnsi="Times New Roman" w:cs="Times New Roman"/>
        </w:rPr>
        <w:t xml:space="preserve"> Nearly all (82.7%) lived on campus and 61.6% purchased food from campus vendors.</w:t>
      </w:r>
      <w:r w:rsidRPr="00F162DB">
        <w:rPr>
          <w:rFonts w:ascii="Times New Roman" w:eastAsia="Calibri" w:hAnsi="Times New Roman" w:cs="Times New Roman"/>
        </w:rPr>
        <w:br/>
        <w:t>The students exhibited an encouraging knowledge level on food safety, in contrast to reports of poor awareness in Ethiopia,</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11</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Kuwait</w:t>
      </w:r>
      <w:r>
        <w:rPr>
          <w:rFonts w:ascii="Times New Roman" w:eastAsia="Calibri" w:hAnsi="Times New Roman" w:cs="Times New Roman"/>
        </w:rPr>
        <w:t>,</w:t>
      </w:r>
      <w:r w:rsidRPr="00F162DB">
        <w:rPr>
          <w:rFonts w:ascii="Times New Roman" w:eastAsia="Calibri" w:hAnsi="Times New Roman" w:cs="Times New Roman"/>
          <w:vertAlign w:val="superscript"/>
        </w:rPr>
        <w:t>[6]</w:t>
      </w:r>
      <w:r>
        <w:rPr>
          <w:rFonts w:ascii="Times New Roman" w:eastAsia="Calibri" w:hAnsi="Times New Roman" w:cs="Times New Roman"/>
          <w:vertAlign w:val="superscript"/>
        </w:rPr>
        <w:t xml:space="preserve"> </w:t>
      </w:r>
      <w:r w:rsidRPr="00F162DB">
        <w:rPr>
          <w:rFonts w:ascii="Times New Roman" w:eastAsia="Calibri" w:hAnsi="Times New Roman" w:cs="Times New Roman"/>
        </w:rPr>
        <w:t>Lebanon</w:t>
      </w:r>
      <w:r>
        <w:rPr>
          <w:rFonts w:ascii="Times New Roman" w:eastAsia="Calibri" w:hAnsi="Times New Roman" w:cs="Times New Roman"/>
        </w:rPr>
        <w:t>,</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15</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and Kenya</w:t>
      </w:r>
      <w:r>
        <w:rPr>
          <w:rFonts w:ascii="Times New Roman" w:eastAsia="Calibri" w:hAnsi="Times New Roman" w:cs="Times New Roman"/>
        </w:rPr>
        <w:t>.</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7</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w:t>
      </w:r>
    </w:p>
    <w:p w14:paraId="4FA51599" w14:textId="77777777" w:rsidR="002D1F52" w:rsidRDefault="008D3C32" w:rsidP="002D1F52">
      <w:pPr>
        <w:spacing w:after="200" w:line="480" w:lineRule="auto"/>
        <w:rPr>
          <w:rFonts w:ascii="Times New Roman" w:eastAsia="Calibri" w:hAnsi="Times New Roman" w:cs="Times New Roman"/>
        </w:rPr>
      </w:pPr>
      <w:r w:rsidRPr="00F162DB">
        <w:rPr>
          <w:rFonts w:ascii="Times New Roman" w:eastAsia="Calibri" w:hAnsi="Times New Roman" w:cs="Times New Roman"/>
        </w:rPr>
        <w:t>Hand-washing was almost universally recognized (97.1%) as a preventive measure. The co-habitation with health-science peers in school hostels may have amplified this high score. No significant relationship emerged between age and knowledge (p=0.438), consistent with findings in Bulgaria,</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w:t>
      </w:r>
      <w:r w:rsidRPr="00F162DB">
        <w:rPr>
          <w:rFonts w:ascii="Times New Roman" w:eastAsia="Calibri" w:hAnsi="Times New Roman" w:cs="Times New Roman"/>
          <w:vertAlign w:val="superscript"/>
        </w:rPr>
        <w:t>6]</w:t>
      </w:r>
      <w:r w:rsidRPr="00F162DB">
        <w:rPr>
          <w:rFonts w:ascii="Times New Roman" w:eastAsia="Calibri" w:hAnsi="Times New Roman" w:cs="Times New Roman"/>
        </w:rPr>
        <w:t xml:space="preserve"> although older students in </w:t>
      </w:r>
      <w:proofErr w:type="gramStart"/>
      <w:r w:rsidRPr="00F162DB">
        <w:rPr>
          <w:rFonts w:ascii="Times New Roman" w:eastAsia="Calibri" w:hAnsi="Times New Roman" w:cs="Times New Roman"/>
        </w:rPr>
        <w:t>Canada</w:t>
      </w:r>
      <w:r w:rsidRPr="00F162DB">
        <w:rPr>
          <w:rFonts w:ascii="Times New Roman" w:eastAsia="Calibri" w:hAnsi="Times New Roman" w:cs="Times New Roman"/>
          <w:vertAlign w:val="superscript"/>
        </w:rPr>
        <w:t>[</w:t>
      </w:r>
      <w:proofErr w:type="gramEnd"/>
      <w:r>
        <w:rPr>
          <w:rFonts w:ascii="Times New Roman" w:eastAsia="Calibri" w:hAnsi="Times New Roman" w:cs="Times New Roman"/>
          <w:vertAlign w:val="superscript"/>
        </w:rPr>
        <w:t>5</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and </w:t>
      </w:r>
      <w:proofErr w:type="gramStart"/>
      <w:r w:rsidRPr="00F162DB">
        <w:rPr>
          <w:rFonts w:ascii="Times New Roman" w:eastAsia="Calibri" w:hAnsi="Times New Roman" w:cs="Times New Roman"/>
        </w:rPr>
        <w:t>Spain</w:t>
      </w:r>
      <w:r w:rsidRPr="00F162DB">
        <w:rPr>
          <w:rFonts w:ascii="Times New Roman" w:eastAsia="Calibri" w:hAnsi="Times New Roman" w:cs="Times New Roman"/>
          <w:vertAlign w:val="superscript"/>
        </w:rPr>
        <w:t>[</w:t>
      </w:r>
      <w:proofErr w:type="gramEnd"/>
      <w:r>
        <w:rPr>
          <w:rFonts w:ascii="Times New Roman" w:eastAsia="Calibri" w:hAnsi="Times New Roman" w:cs="Times New Roman"/>
          <w:vertAlign w:val="superscript"/>
        </w:rPr>
        <w:t>17</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have outperformed younger cohorts elsewhere. Similarly, gender (p=0.656), year of study (p=0.652), and accommodation (p=1) bore no significant effect, whereas a modest but significant link with religion (p=0.045) likely reflects the Christian majority.</w:t>
      </w:r>
      <w:r w:rsidRPr="00F162DB">
        <w:rPr>
          <w:rFonts w:ascii="Times New Roman" w:eastAsia="Calibri" w:hAnsi="Times New Roman" w:cs="Times New Roman"/>
        </w:rPr>
        <w:br/>
        <w:t xml:space="preserve">It was reassuring to note that 88.2% of respondents held correct attitudes toward food hygiene. This diverges from findings in </w:t>
      </w:r>
      <w:proofErr w:type="gramStart"/>
      <w:r w:rsidRPr="00F162DB">
        <w:rPr>
          <w:rFonts w:ascii="Times New Roman" w:eastAsia="Calibri" w:hAnsi="Times New Roman" w:cs="Times New Roman"/>
        </w:rPr>
        <w:t>Kuwait</w:t>
      </w:r>
      <w:r w:rsidRPr="00DB7F13">
        <w:rPr>
          <w:rFonts w:ascii="Times New Roman" w:eastAsia="Calibri" w:hAnsi="Times New Roman" w:cs="Times New Roman"/>
          <w:vertAlign w:val="superscript"/>
        </w:rPr>
        <w:t>[</w:t>
      </w:r>
      <w:proofErr w:type="gramEnd"/>
      <w:r w:rsidRPr="00DB7F13">
        <w:rPr>
          <w:rFonts w:ascii="Times New Roman" w:eastAsia="Calibri" w:hAnsi="Times New Roman" w:cs="Times New Roman"/>
          <w:vertAlign w:val="superscript"/>
        </w:rPr>
        <w:t>6]</w:t>
      </w:r>
      <w:r w:rsidRPr="00F162DB">
        <w:rPr>
          <w:rFonts w:ascii="Times New Roman" w:eastAsia="Calibri" w:hAnsi="Times New Roman" w:cs="Times New Roman"/>
        </w:rPr>
        <w:t xml:space="preserve">, </w:t>
      </w:r>
      <w:proofErr w:type="gramStart"/>
      <w:r w:rsidRPr="00F162DB">
        <w:rPr>
          <w:rFonts w:ascii="Times New Roman" w:eastAsia="Calibri" w:hAnsi="Times New Roman" w:cs="Times New Roman"/>
        </w:rPr>
        <w:t>Bulgaria</w:t>
      </w:r>
      <w:r w:rsidRPr="00DB7F13">
        <w:rPr>
          <w:rFonts w:ascii="Times New Roman" w:eastAsia="Calibri" w:hAnsi="Times New Roman" w:cs="Times New Roman"/>
          <w:vertAlign w:val="superscript"/>
        </w:rPr>
        <w:t>[</w:t>
      </w:r>
      <w:proofErr w:type="gramEnd"/>
      <w:r w:rsidRPr="00DB7F13">
        <w:rPr>
          <w:rFonts w:ascii="Times New Roman" w:eastAsia="Calibri" w:hAnsi="Times New Roman" w:cs="Times New Roman"/>
          <w:vertAlign w:val="superscript"/>
        </w:rPr>
        <w:t>16]</w:t>
      </w:r>
      <w:r w:rsidRPr="00F162DB">
        <w:rPr>
          <w:rFonts w:ascii="Times New Roman" w:eastAsia="Calibri" w:hAnsi="Times New Roman" w:cs="Times New Roman"/>
        </w:rPr>
        <w:t>,</w:t>
      </w:r>
      <w:r w:rsidRPr="00DB7F13">
        <w:rPr>
          <w:rFonts w:ascii="Times New Roman" w:eastAsia="Calibri" w:hAnsi="Times New Roman" w:cs="Times New Roman"/>
        </w:rPr>
        <w:t xml:space="preserve"> </w:t>
      </w:r>
      <w:proofErr w:type="gramStart"/>
      <w:r w:rsidRPr="00F162DB">
        <w:rPr>
          <w:rFonts w:ascii="Times New Roman" w:eastAsia="Calibri" w:hAnsi="Times New Roman" w:cs="Times New Roman"/>
        </w:rPr>
        <w:t>Malaysia</w:t>
      </w:r>
      <w:r w:rsidRPr="00DB7F13">
        <w:rPr>
          <w:rFonts w:ascii="Times New Roman" w:eastAsia="Calibri" w:hAnsi="Times New Roman" w:cs="Times New Roman"/>
          <w:vertAlign w:val="superscript"/>
        </w:rPr>
        <w:t>[</w:t>
      </w:r>
      <w:proofErr w:type="gramEnd"/>
      <w:r w:rsidRPr="00DB7F13">
        <w:rPr>
          <w:rFonts w:ascii="Times New Roman" w:eastAsia="Calibri" w:hAnsi="Times New Roman" w:cs="Times New Roman"/>
          <w:vertAlign w:val="superscript"/>
        </w:rPr>
        <w:t>18]</w:t>
      </w:r>
      <w:r w:rsidRPr="00F162DB">
        <w:rPr>
          <w:rFonts w:ascii="Times New Roman" w:eastAsia="Calibri" w:hAnsi="Times New Roman" w:cs="Times New Roman"/>
        </w:rPr>
        <w:t>, and Saudi Arabia</w:t>
      </w:r>
      <w:r>
        <w:rPr>
          <w:rFonts w:ascii="Times New Roman" w:eastAsia="Calibri" w:hAnsi="Times New Roman" w:cs="Times New Roman"/>
        </w:rPr>
        <w:t>,</w:t>
      </w:r>
      <w:r w:rsidRPr="002A6EF5">
        <w:rPr>
          <w:rFonts w:ascii="Times New Roman" w:eastAsia="Calibri" w:hAnsi="Times New Roman" w:cs="Times New Roman"/>
          <w:vertAlign w:val="superscript"/>
        </w:rPr>
        <w:t>[19]</w:t>
      </w:r>
      <w:r w:rsidRPr="00F162DB">
        <w:rPr>
          <w:rFonts w:ascii="Times New Roman" w:eastAsia="Calibri" w:hAnsi="Times New Roman" w:cs="Times New Roman"/>
        </w:rPr>
        <w:t>, where high knowledge did not translate into positive attitudes. Over half agreed on the critical role of hand washing, contrasting sharply with Ethiopian students</w:t>
      </w:r>
      <w:r>
        <w:rPr>
          <w:rFonts w:ascii="Times New Roman" w:eastAsia="Calibri" w:hAnsi="Times New Roman" w:cs="Times New Roman"/>
        </w:rPr>
        <w:t>.</w:t>
      </w:r>
      <w:r w:rsidRPr="002A6EF5">
        <w:rPr>
          <w:rFonts w:ascii="Times New Roman" w:eastAsia="Calibri" w:hAnsi="Times New Roman" w:cs="Times New Roman"/>
          <w:vertAlign w:val="superscript"/>
        </w:rPr>
        <w:t>[11]</w:t>
      </w:r>
      <w:r w:rsidR="002D1F52">
        <w:rPr>
          <w:rFonts w:ascii="Times New Roman" w:eastAsia="Calibri" w:hAnsi="Times New Roman" w:cs="Times New Roman"/>
        </w:rPr>
        <w:t xml:space="preserve"> </w:t>
      </w:r>
      <w:r w:rsidRPr="00F162DB">
        <w:rPr>
          <w:rFonts w:ascii="Times New Roman" w:eastAsia="Calibri" w:hAnsi="Times New Roman" w:cs="Times New Roman"/>
        </w:rPr>
        <w:t>A robust 94% achieved good practice scores, in line with Bulgaria</w:t>
      </w:r>
      <w:r>
        <w:rPr>
          <w:rFonts w:ascii="Times New Roman" w:eastAsia="Calibri" w:hAnsi="Times New Roman" w:cs="Times New Roman"/>
        </w:rPr>
        <w:t>,</w:t>
      </w:r>
      <w:r w:rsidRPr="00DB7F13">
        <w:rPr>
          <w:rFonts w:ascii="Times New Roman" w:eastAsia="Calibri" w:hAnsi="Times New Roman" w:cs="Times New Roman"/>
          <w:vertAlign w:val="superscript"/>
        </w:rPr>
        <w:t>[16]</w:t>
      </w:r>
      <w:r w:rsidRPr="00DB7F13">
        <w:rPr>
          <w:rFonts w:ascii="Times New Roman" w:eastAsia="Calibri" w:hAnsi="Times New Roman" w:cs="Times New Roman"/>
        </w:rPr>
        <w:t xml:space="preserve"> </w:t>
      </w:r>
      <w:r w:rsidRPr="00F162DB">
        <w:rPr>
          <w:rFonts w:ascii="Times New Roman" w:eastAsia="Calibri" w:hAnsi="Times New Roman" w:cs="Times New Roman"/>
        </w:rPr>
        <w:t>and Palestine</w:t>
      </w:r>
      <w:r>
        <w:rPr>
          <w:rFonts w:ascii="Times New Roman" w:eastAsia="Calibri" w:hAnsi="Times New Roman" w:cs="Times New Roman"/>
        </w:rPr>
        <w:t>,</w:t>
      </w:r>
      <w:r w:rsidRPr="002A6EF5">
        <w:rPr>
          <w:rFonts w:ascii="Times New Roman" w:eastAsia="Calibri" w:hAnsi="Times New Roman" w:cs="Times New Roman"/>
          <w:vertAlign w:val="superscript"/>
        </w:rPr>
        <w:t>[20]</w:t>
      </w:r>
      <w:r w:rsidRPr="00F162DB">
        <w:rPr>
          <w:rFonts w:ascii="Times New Roman" w:eastAsia="Calibri" w:hAnsi="Times New Roman" w:cs="Times New Roman"/>
        </w:rPr>
        <w:t xml:space="preserve"> but far above the low scores reported in Ethiopia</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11</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 xml:space="preserve"> </w:t>
      </w:r>
      <w:r w:rsidRPr="00F162DB">
        <w:rPr>
          <w:rFonts w:ascii="Times New Roman" w:eastAsia="Calibri" w:hAnsi="Times New Roman" w:cs="Times New Roman"/>
        </w:rPr>
        <w:t>and the USA</w:t>
      </w:r>
      <w:r>
        <w:rPr>
          <w:rFonts w:ascii="Times New Roman" w:eastAsia="Calibri" w:hAnsi="Times New Roman" w:cs="Times New Roman"/>
        </w:rPr>
        <w:t>.</w:t>
      </w:r>
      <w:r w:rsidRPr="002A6EF5">
        <w:rPr>
          <w:rFonts w:ascii="Times New Roman" w:eastAsia="Calibri" w:hAnsi="Times New Roman" w:cs="Times New Roman"/>
          <w:vertAlign w:val="superscript"/>
        </w:rPr>
        <w:t>[13]</w:t>
      </w:r>
      <w:r w:rsidRPr="00F162DB">
        <w:rPr>
          <w:rFonts w:ascii="Times New Roman" w:eastAsia="Calibri" w:hAnsi="Times New Roman" w:cs="Times New Roman"/>
        </w:rPr>
        <w:t xml:space="preserve"> Though no significant gender correlation was found here (r=0.074), other settings — Lebanon</w:t>
      </w:r>
      <w:r>
        <w:rPr>
          <w:rFonts w:ascii="Times New Roman" w:eastAsia="Calibri" w:hAnsi="Times New Roman" w:cs="Times New Roman"/>
        </w:rPr>
        <w:t>,</w:t>
      </w:r>
      <w:r w:rsidRPr="00A15DB1">
        <w:rPr>
          <w:rFonts w:ascii="Times New Roman" w:eastAsia="Calibri" w:hAnsi="Times New Roman" w:cs="Times New Roman"/>
          <w:vertAlign w:val="superscript"/>
        </w:rPr>
        <w:t>[15]</w:t>
      </w:r>
      <w:r w:rsidRPr="00F162DB">
        <w:rPr>
          <w:rFonts w:ascii="Times New Roman" w:eastAsia="Calibri" w:hAnsi="Times New Roman" w:cs="Times New Roman"/>
        </w:rPr>
        <w:t xml:space="preserve"> Kuwait</w:t>
      </w:r>
      <w:r>
        <w:rPr>
          <w:rFonts w:ascii="Times New Roman" w:eastAsia="Calibri" w:hAnsi="Times New Roman" w:cs="Times New Roman"/>
        </w:rPr>
        <w:t>,</w:t>
      </w:r>
      <w:r w:rsidRPr="002A6EF5">
        <w:rPr>
          <w:rFonts w:ascii="Times New Roman" w:eastAsia="Calibri" w:hAnsi="Times New Roman" w:cs="Times New Roman"/>
          <w:vertAlign w:val="superscript"/>
        </w:rPr>
        <w:t>[6]</w:t>
      </w:r>
      <w:r w:rsidRPr="00F162DB">
        <w:rPr>
          <w:rFonts w:ascii="Times New Roman" w:eastAsia="Calibri" w:hAnsi="Times New Roman" w:cs="Times New Roman"/>
        </w:rPr>
        <w:t xml:space="preserve"> the USA</w:t>
      </w:r>
      <w:r>
        <w:rPr>
          <w:rFonts w:ascii="Times New Roman" w:eastAsia="Calibri" w:hAnsi="Times New Roman" w:cs="Times New Roman"/>
        </w:rPr>
        <w:t>,</w:t>
      </w:r>
      <w:r w:rsidRPr="00F162DB">
        <w:rPr>
          <w:rFonts w:ascii="Times New Roman" w:eastAsia="Calibri" w:hAnsi="Times New Roman" w:cs="Times New Roman"/>
        </w:rPr>
        <w:t xml:space="preserve"> </w:t>
      </w:r>
      <w:r w:rsidRPr="002A6EF5">
        <w:rPr>
          <w:rFonts w:ascii="Times New Roman" w:eastAsia="Calibri" w:hAnsi="Times New Roman" w:cs="Times New Roman"/>
          <w:vertAlign w:val="superscript"/>
        </w:rPr>
        <w:t>[13]</w:t>
      </w:r>
      <w:r w:rsidRPr="00F162DB">
        <w:rPr>
          <w:rFonts w:ascii="Times New Roman" w:eastAsia="Calibri" w:hAnsi="Times New Roman" w:cs="Times New Roman"/>
        </w:rPr>
        <w:t xml:space="preserve"> Ethiopia</w:t>
      </w:r>
      <w:r>
        <w:rPr>
          <w:rFonts w:ascii="Times New Roman" w:eastAsia="Calibri" w:hAnsi="Times New Roman" w:cs="Times New Roman"/>
        </w:rPr>
        <w:t>,</w:t>
      </w:r>
      <w:r w:rsidRPr="002A6EF5">
        <w:rPr>
          <w:rFonts w:ascii="Times New Roman" w:eastAsia="Calibri" w:hAnsi="Times New Roman" w:cs="Times New Roman"/>
          <w:vertAlign w:val="superscript"/>
        </w:rPr>
        <w:t>[11,21]</w:t>
      </w:r>
      <w:r w:rsidRPr="00F162DB">
        <w:rPr>
          <w:rFonts w:ascii="Times New Roman" w:eastAsia="Calibri" w:hAnsi="Times New Roman" w:cs="Times New Roman"/>
        </w:rPr>
        <w:t xml:space="preserve"> and Canada</w:t>
      </w:r>
      <w:r w:rsidRPr="00A15DB1">
        <w:rPr>
          <w:rFonts w:ascii="Times New Roman" w:eastAsia="Calibri" w:hAnsi="Times New Roman" w:cs="Times New Roman"/>
          <w:vertAlign w:val="superscript"/>
        </w:rPr>
        <w:t>[5,22]</w:t>
      </w:r>
      <w:r>
        <w:rPr>
          <w:rFonts w:ascii="Times New Roman" w:eastAsia="Calibri" w:hAnsi="Times New Roman" w:cs="Times New Roman"/>
          <w:vertAlign w:val="superscript"/>
        </w:rPr>
        <w:t xml:space="preserve"> </w:t>
      </w:r>
      <w:r w:rsidRPr="00F162DB">
        <w:rPr>
          <w:rFonts w:ascii="Times New Roman" w:eastAsia="Calibri" w:hAnsi="Times New Roman" w:cs="Times New Roman"/>
        </w:rPr>
        <w:t>—</w:t>
      </w:r>
      <w:r>
        <w:rPr>
          <w:rFonts w:ascii="Times New Roman" w:eastAsia="Calibri" w:hAnsi="Times New Roman" w:cs="Times New Roman"/>
        </w:rPr>
        <w:t xml:space="preserve"> </w:t>
      </w:r>
      <w:r w:rsidRPr="00F162DB">
        <w:rPr>
          <w:rFonts w:ascii="Times New Roman" w:eastAsia="Calibri" w:hAnsi="Times New Roman" w:cs="Times New Roman"/>
        </w:rPr>
        <w:t xml:space="preserve">have shown females practicing more safely. Age, study level, marital status, and faculty likewise had no obvious impact. </w:t>
      </w:r>
    </w:p>
    <w:p w14:paraId="0B3A6FD8" w14:textId="77777777" w:rsidR="008D3C32" w:rsidRDefault="008D3C32" w:rsidP="002D1F52">
      <w:pPr>
        <w:spacing w:after="200" w:line="480" w:lineRule="auto"/>
        <w:rPr>
          <w:rFonts w:ascii="Times New Roman" w:eastAsia="Calibri" w:hAnsi="Times New Roman" w:cs="Times New Roman"/>
        </w:rPr>
      </w:pPr>
      <w:r w:rsidRPr="00F162DB">
        <w:rPr>
          <w:rFonts w:ascii="Times New Roman" w:eastAsia="Calibri" w:hAnsi="Times New Roman" w:cs="Times New Roman"/>
        </w:rPr>
        <w:lastRenderedPageBreak/>
        <w:t xml:space="preserve">Notably, </w:t>
      </w:r>
      <w:r>
        <w:rPr>
          <w:rFonts w:ascii="Times New Roman" w:eastAsia="Calibri" w:hAnsi="Times New Roman" w:cs="Times New Roman"/>
        </w:rPr>
        <w:t>49</w:t>
      </w:r>
      <w:r w:rsidRPr="00F162DB">
        <w:rPr>
          <w:rFonts w:ascii="Times New Roman" w:eastAsia="Calibri" w:hAnsi="Times New Roman" w:cs="Times New Roman"/>
        </w:rPr>
        <w:t>.</w:t>
      </w:r>
      <w:r>
        <w:rPr>
          <w:rFonts w:ascii="Times New Roman" w:eastAsia="Calibri" w:hAnsi="Times New Roman" w:cs="Times New Roman"/>
        </w:rPr>
        <w:t>9</w:t>
      </w:r>
      <w:r w:rsidRPr="00F162DB">
        <w:rPr>
          <w:rFonts w:ascii="Times New Roman" w:eastAsia="Calibri" w:hAnsi="Times New Roman" w:cs="Times New Roman"/>
        </w:rPr>
        <w:t xml:space="preserve">% saw no harm in </w:t>
      </w:r>
      <w:r>
        <w:rPr>
          <w:rFonts w:ascii="Times New Roman" w:eastAsia="Calibri" w:hAnsi="Times New Roman" w:cs="Times New Roman"/>
        </w:rPr>
        <w:t xml:space="preserve">using </w:t>
      </w:r>
      <w:r w:rsidRPr="009459AC">
        <w:rPr>
          <w:rFonts w:ascii="Times New Roman" w:eastAsia="Calibri" w:hAnsi="Times New Roman" w:cs="Times New Roman"/>
        </w:rPr>
        <w:t>the same cutting board for raw meat, poultry, seafood and vegetables</w:t>
      </w:r>
      <w:r>
        <w:rPr>
          <w:rFonts w:ascii="Times New Roman" w:eastAsia="Calibri" w:hAnsi="Times New Roman" w:cs="Times New Roman"/>
        </w:rPr>
        <w:t xml:space="preserve"> at the same time </w:t>
      </w:r>
      <w:r w:rsidRPr="00F162DB">
        <w:rPr>
          <w:rFonts w:ascii="Times New Roman" w:eastAsia="Calibri" w:hAnsi="Times New Roman" w:cs="Times New Roman"/>
        </w:rPr>
        <w:t xml:space="preserve">— a practice that may elevate microbial </w:t>
      </w:r>
      <w:r>
        <w:rPr>
          <w:rFonts w:ascii="Times New Roman" w:eastAsia="Calibri" w:hAnsi="Times New Roman" w:cs="Times New Roman"/>
        </w:rPr>
        <w:t>cross-</w:t>
      </w:r>
      <w:r w:rsidRPr="00F162DB">
        <w:rPr>
          <w:rFonts w:ascii="Times New Roman" w:eastAsia="Calibri" w:hAnsi="Times New Roman" w:cs="Times New Roman"/>
        </w:rPr>
        <w:t>contamination risks.</w:t>
      </w:r>
      <w:r>
        <w:rPr>
          <w:rFonts w:ascii="Times New Roman" w:eastAsia="Calibri" w:hAnsi="Times New Roman" w:cs="Times New Roman"/>
        </w:rPr>
        <w:t xml:space="preserve"> It is alarming that </w:t>
      </w:r>
      <w:r>
        <w:rPr>
          <w:rFonts w:ascii="Times New Roman" w:hAnsi="Times New Roman" w:cs="Times New Roman"/>
          <w:lang w:val="en-US"/>
        </w:rPr>
        <w:t>c</w:t>
      </w:r>
      <w:r w:rsidRPr="0082294D">
        <w:rPr>
          <w:rFonts w:ascii="Times New Roman" w:hAnsi="Times New Roman" w:cs="Times New Roman"/>
          <w:lang w:val="en-US"/>
        </w:rPr>
        <w:t>onsumption of food kept at room temperature for long</w:t>
      </w:r>
      <w:r>
        <w:rPr>
          <w:rFonts w:ascii="Times New Roman" w:hAnsi="Times New Roman" w:cs="Times New Roman"/>
          <w:lang w:val="en-US"/>
        </w:rPr>
        <w:t xml:space="preserve"> periods</w:t>
      </w:r>
      <w:r w:rsidRPr="00F162DB">
        <w:rPr>
          <w:rFonts w:ascii="Times New Roman" w:hAnsi="Times New Roman" w:cs="Times New Roman"/>
          <w:lang w:val="en-US"/>
        </w:rPr>
        <w:t xml:space="preserve"> (</w:t>
      </w:r>
      <w:r>
        <w:rPr>
          <w:rFonts w:ascii="Times New Roman" w:hAnsi="Times New Roman" w:cs="Times New Roman"/>
          <w:lang w:val="en-US"/>
        </w:rPr>
        <w:t>93</w:t>
      </w:r>
      <w:r w:rsidRPr="00F162DB">
        <w:rPr>
          <w:rFonts w:ascii="Times New Roman" w:hAnsi="Times New Roman" w:cs="Times New Roman"/>
          <w:lang w:val="en-US"/>
        </w:rPr>
        <w:t>.</w:t>
      </w:r>
      <w:r>
        <w:rPr>
          <w:rFonts w:ascii="Times New Roman" w:hAnsi="Times New Roman" w:cs="Times New Roman"/>
          <w:lang w:val="en-US"/>
        </w:rPr>
        <w:t>3</w:t>
      </w:r>
      <w:r w:rsidRPr="00F162DB">
        <w:rPr>
          <w:rFonts w:ascii="Times New Roman" w:hAnsi="Times New Roman" w:cs="Times New Roman"/>
          <w:lang w:val="en-US"/>
        </w:rPr>
        <w:t>%)</w:t>
      </w:r>
      <w:r>
        <w:rPr>
          <w:rFonts w:ascii="Times New Roman" w:hAnsi="Times New Roman" w:cs="Times New Roman"/>
          <w:lang w:val="en-US"/>
        </w:rPr>
        <w:t xml:space="preserve"> was the norm.</w:t>
      </w:r>
    </w:p>
    <w:p w14:paraId="5BE15C1A" w14:textId="77777777" w:rsidR="008D3C32" w:rsidRDefault="002D1F52" w:rsidP="008D3C32">
      <w:pPr>
        <w:spacing w:line="480" w:lineRule="auto"/>
        <w:jc w:val="both"/>
        <w:rPr>
          <w:rFonts w:ascii="Times New Roman" w:eastAsia="Calibri" w:hAnsi="Times New Roman" w:cs="Times New Roman"/>
        </w:rPr>
      </w:pPr>
      <w:r>
        <w:rPr>
          <w:rFonts w:ascii="Times New Roman" w:eastAsia="Calibri" w:hAnsi="Times New Roman" w:cs="Times New Roman"/>
        </w:rPr>
        <w:t>The tested</w:t>
      </w:r>
      <w:r w:rsidR="008D3C32" w:rsidRPr="00F162DB">
        <w:rPr>
          <w:rFonts w:ascii="Times New Roman" w:eastAsia="Calibri" w:hAnsi="Times New Roman" w:cs="Times New Roman"/>
        </w:rPr>
        <w:t xml:space="preserve"> socio</w:t>
      </w:r>
      <w:r w:rsidR="00B866C6">
        <w:rPr>
          <w:rFonts w:ascii="Times New Roman" w:eastAsia="Calibri" w:hAnsi="Times New Roman" w:cs="Times New Roman"/>
        </w:rPr>
        <w:t>-</w:t>
      </w:r>
      <w:r w:rsidR="008D3C32" w:rsidRPr="00F162DB">
        <w:rPr>
          <w:rFonts w:ascii="Times New Roman" w:eastAsia="Calibri" w:hAnsi="Times New Roman" w:cs="Times New Roman"/>
        </w:rPr>
        <w:t xml:space="preserve">demographic variables </w:t>
      </w:r>
      <w:r>
        <w:rPr>
          <w:rFonts w:ascii="Times New Roman" w:eastAsia="Calibri" w:hAnsi="Times New Roman" w:cs="Times New Roman"/>
        </w:rPr>
        <w:t xml:space="preserve">in this study </w:t>
      </w:r>
      <w:r w:rsidR="008D3C32" w:rsidRPr="00F162DB">
        <w:rPr>
          <w:rFonts w:ascii="Times New Roman" w:eastAsia="Calibri" w:hAnsi="Times New Roman" w:cs="Times New Roman"/>
        </w:rPr>
        <w:t>did not reach statistical significance, suggesting that targeted interventions should focus on bridging the gender gap in food safety behaviours.</w:t>
      </w:r>
    </w:p>
    <w:p w14:paraId="6F9738D8" w14:textId="77777777" w:rsidR="008D3C32" w:rsidRPr="005B71FF" w:rsidRDefault="008D3C32" w:rsidP="008D3C32">
      <w:pPr>
        <w:spacing w:line="480" w:lineRule="auto"/>
        <w:jc w:val="both"/>
        <w:rPr>
          <w:rFonts w:ascii="Times New Roman" w:eastAsia="Calibri" w:hAnsi="Times New Roman" w:cs="Times New Roman"/>
          <w:b/>
          <w:bCs/>
        </w:rPr>
      </w:pPr>
      <w:r w:rsidRPr="005B71FF">
        <w:rPr>
          <w:rFonts w:ascii="Times New Roman" w:eastAsia="Calibri" w:hAnsi="Times New Roman" w:cs="Times New Roman"/>
          <w:b/>
          <w:bCs/>
        </w:rPr>
        <w:t>Strengths and Limitations</w:t>
      </w:r>
    </w:p>
    <w:p w14:paraId="176CA9C9" w14:textId="77777777" w:rsidR="008D3C32" w:rsidRDefault="008D3C32" w:rsidP="008D3C32">
      <w:pPr>
        <w:spacing w:after="200" w:line="480" w:lineRule="auto"/>
        <w:jc w:val="both"/>
        <w:rPr>
          <w:rFonts w:ascii="Times New Roman" w:eastAsia="Calibri" w:hAnsi="Times New Roman" w:cs="Times New Roman"/>
        </w:rPr>
      </w:pPr>
      <w:r w:rsidRPr="009B1065">
        <w:rPr>
          <w:rFonts w:ascii="Times New Roman" w:eastAsia="Calibri" w:hAnsi="Times New Roman" w:cs="Times New Roman"/>
        </w:rPr>
        <w:t xml:space="preserve">The strength of this study is that we were able to </w:t>
      </w:r>
      <w:r w:rsidRPr="00C16B36">
        <w:rPr>
          <w:rFonts w:ascii="Times New Roman" w:eastAsia="Calibri" w:hAnsi="Times New Roman" w:cs="Times New Roman"/>
          <w:lang w:val="en-US"/>
        </w:rPr>
        <w:t>us</w:t>
      </w:r>
      <w:r>
        <w:rPr>
          <w:rFonts w:ascii="Times New Roman" w:eastAsia="Calibri" w:hAnsi="Times New Roman" w:cs="Times New Roman"/>
          <w:lang w:val="en-US"/>
        </w:rPr>
        <w:t>e</w:t>
      </w:r>
      <w:r w:rsidRPr="00C16B36">
        <w:rPr>
          <w:rFonts w:ascii="Times New Roman" w:eastAsia="Calibri" w:hAnsi="Times New Roman" w:cs="Times New Roman"/>
          <w:lang w:val="en-US"/>
        </w:rPr>
        <w:t xml:space="preserve"> a pre-tested, structured questionnaire</w:t>
      </w:r>
      <w:r>
        <w:rPr>
          <w:rFonts w:ascii="Times New Roman" w:eastAsia="Calibri" w:hAnsi="Times New Roman" w:cs="Times New Roman"/>
          <w:lang w:val="en-US"/>
        </w:rPr>
        <w:t xml:space="preserve"> which </w:t>
      </w:r>
      <w:r w:rsidRPr="009B1065">
        <w:rPr>
          <w:rFonts w:ascii="Times New Roman" w:eastAsia="Calibri" w:hAnsi="Times New Roman" w:cs="Times New Roman"/>
        </w:rPr>
        <w:t>exhaust</w:t>
      </w:r>
      <w:r>
        <w:rPr>
          <w:rFonts w:ascii="Times New Roman" w:eastAsia="Calibri" w:hAnsi="Times New Roman" w:cs="Times New Roman"/>
        </w:rPr>
        <w:t>ed assessments on</w:t>
      </w:r>
      <w:r w:rsidRPr="009B1065">
        <w:rPr>
          <w:rFonts w:ascii="Times New Roman" w:eastAsia="Calibri" w:hAnsi="Times New Roman" w:cs="Times New Roman"/>
        </w:rPr>
        <w:t xml:space="preserve"> knowledge, attitude </w:t>
      </w:r>
      <w:r>
        <w:rPr>
          <w:rFonts w:ascii="Times New Roman" w:eastAsia="Calibri" w:hAnsi="Times New Roman" w:cs="Times New Roman"/>
        </w:rPr>
        <w:t xml:space="preserve">and practice </w:t>
      </w:r>
      <w:r w:rsidRPr="009B1065">
        <w:rPr>
          <w:rFonts w:ascii="Times New Roman" w:eastAsia="Calibri" w:hAnsi="Times New Roman" w:cs="Times New Roman"/>
        </w:rPr>
        <w:t xml:space="preserve">on food safety among university students </w:t>
      </w:r>
      <w:r>
        <w:rPr>
          <w:rFonts w:ascii="Times New Roman" w:eastAsia="Calibri" w:hAnsi="Times New Roman" w:cs="Times New Roman"/>
        </w:rPr>
        <w:t>at</w:t>
      </w:r>
      <w:r w:rsidRPr="009B1065">
        <w:rPr>
          <w:rFonts w:ascii="Times New Roman" w:eastAsia="Calibri" w:hAnsi="Times New Roman" w:cs="Times New Roman"/>
        </w:rPr>
        <w:t xml:space="preserve"> </w:t>
      </w:r>
      <w:r>
        <w:rPr>
          <w:rFonts w:ascii="Times New Roman" w:eastAsia="Calibri" w:hAnsi="Times New Roman" w:cs="Times New Roman"/>
        </w:rPr>
        <w:t>UNEC</w:t>
      </w:r>
      <w:r w:rsidRPr="009B1065">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lang w:val="en-US"/>
        </w:rPr>
        <w:t>The</w:t>
      </w:r>
      <w:r w:rsidRPr="00C16B36">
        <w:rPr>
          <w:rFonts w:ascii="Times New Roman" w:eastAsia="Calibri" w:hAnsi="Times New Roman" w:cs="Times New Roman"/>
          <w:lang w:val="en-US"/>
        </w:rPr>
        <w:t xml:space="preserve"> multi-stage, random sampling frame </w:t>
      </w:r>
      <w:r>
        <w:rPr>
          <w:rFonts w:ascii="Times New Roman" w:eastAsia="Calibri" w:hAnsi="Times New Roman" w:cs="Times New Roman"/>
          <w:lang w:val="en-US"/>
        </w:rPr>
        <w:t>allowed f</w:t>
      </w:r>
      <w:r w:rsidRPr="00C16B36">
        <w:rPr>
          <w:rFonts w:ascii="Times New Roman" w:eastAsia="Calibri" w:hAnsi="Times New Roman" w:cs="Times New Roman"/>
          <w:lang w:val="en-US"/>
        </w:rPr>
        <w:t xml:space="preserve">or greater representativeness </w:t>
      </w:r>
      <w:r>
        <w:rPr>
          <w:rFonts w:ascii="Times New Roman" w:eastAsia="Calibri" w:hAnsi="Times New Roman" w:cs="Times New Roman"/>
          <w:lang w:val="en-US"/>
        </w:rPr>
        <w:t>while the</w:t>
      </w:r>
      <w:r w:rsidRPr="00C16B36">
        <w:rPr>
          <w:rFonts w:ascii="Times New Roman" w:eastAsia="Calibri" w:hAnsi="Times New Roman" w:cs="Times New Roman"/>
          <w:lang w:val="en-US"/>
        </w:rPr>
        <w:t xml:space="preserve"> 100% response rate further strengthens </w:t>
      </w:r>
      <w:r>
        <w:rPr>
          <w:rFonts w:ascii="Times New Roman" w:eastAsia="Calibri" w:hAnsi="Times New Roman" w:cs="Times New Roman"/>
          <w:lang w:val="en-US"/>
        </w:rPr>
        <w:t xml:space="preserve">our </w:t>
      </w:r>
      <w:r w:rsidRPr="00C16B36">
        <w:rPr>
          <w:rFonts w:ascii="Times New Roman" w:eastAsia="Calibri" w:hAnsi="Times New Roman" w:cs="Times New Roman"/>
          <w:lang w:val="en-US"/>
        </w:rPr>
        <w:t>prevalence estimates</w:t>
      </w:r>
      <w:r>
        <w:rPr>
          <w:rFonts w:ascii="Times New Roman" w:eastAsia="Calibri" w:hAnsi="Times New Roman" w:cs="Times New Roman"/>
        </w:rPr>
        <w:t xml:space="preserve">. </w:t>
      </w:r>
    </w:p>
    <w:p w14:paraId="3EBA4C7A" w14:textId="77777777" w:rsidR="008D3C32" w:rsidRDefault="008D3C32" w:rsidP="008D3C32">
      <w:pPr>
        <w:spacing w:after="200" w:line="480" w:lineRule="auto"/>
        <w:jc w:val="both"/>
        <w:rPr>
          <w:rFonts w:ascii="Times New Roman" w:eastAsia="Calibri" w:hAnsi="Times New Roman" w:cs="Times New Roman"/>
        </w:rPr>
      </w:pPr>
      <w:r>
        <w:rPr>
          <w:rFonts w:ascii="Times New Roman" w:eastAsia="Calibri" w:hAnsi="Times New Roman" w:cs="Times New Roman"/>
        </w:rPr>
        <w:t>T</w:t>
      </w:r>
      <w:r w:rsidRPr="009B1065">
        <w:rPr>
          <w:rFonts w:ascii="Times New Roman" w:eastAsia="Calibri" w:hAnsi="Times New Roman" w:cs="Times New Roman"/>
        </w:rPr>
        <w:t xml:space="preserve">he study had several limitations. First, the study was conducted on only </w:t>
      </w:r>
      <w:r>
        <w:rPr>
          <w:rFonts w:ascii="Times New Roman" w:eastAsia="Calibri" w:hAnsi="Times New Roman" w:cs="Times New Roman"/>
        </w:rPr>
        <w:t>one</w:t>
      </w:r>
      <w:r w:rsidRPr="009B1065">
        <w:rPr>
          <w:rFonts w:ascii="Times New Roman" w:eastAsia="Calibri" w:hAnsi="Times New Roman" w:cs="Times New Roman"/>
        </w:rPr>
        <w:t xml:space="preserve"> </w:t>
      </w:r>
      <w:r>
        <w:rPr>
          <w:rFonts w:ascii="Times New Roman" w:eastAsia="Calibri" w:hAnsi="Times New Roman" w:cs="Times New Roman"/>
        </w:rPr>
        <w:t>campus</w:t>
      </w:r>
      <w:r w:rsidRPr="009B1065">
        <w:rPr>
          <w:rFonts w:ascii="Times New Roman" w:eastAsia="Calibri" w:hAnsi="Times New Roman" w:cs="Times New Roman"/>
        </w:rPr>
        <w:t xml:space="preserve"> </w:t>
      </w:r>
      <w:r>
        <w:rPr>
          <w:rFonts w:ascii="Times New Roman" w:eastAsia="Calibri" w:hAnsi="Times New Roman" w:cs="Times New Roman"/>
        </w:rPr>
        <w:t>of the university</w:t>
      </w:r>
      <w:r w:rsidRPr="009B1065">
        <w:rPr>
          <w:rFonts w:ascii="Times New Roman" w:eastAsia="Calibri" w:hAnsi="Times New Roman" w:cs="Times New Roman"/>
        </w:rPr>
        <w:t>, which might affect generalizability to other universities in the region and the whole country, secondly the study did not comprise the qualitative component. Lastly, self-reporting of food safety knowledge, attitude, and practice may not reflect students’ actual food safety kno</w:t>
      </w:r>
      <w:r w:rsidR="009A1401">
        <w:rPr>
          <w:rFonts w:ascii="Times New Roman" w:eastAsia="Calibri" w:hAnsi="Times New Roman" w:cs="Times New Roman"/>
        </w:rPr>
        <w:t>wledge, attitude, and practices.</w:t>
      </w:r>
    </w:p>
    <w:p w14:paraId="0C14B09A" w14:textId="77777777" w:rsidR="008D3C32" w:rsidRPr="00F162DB" w:rsidRDefault="008D3C32" w:rsidP="008D3C32">
      <w:pPr>
        <w:spacing w:after="200" w:line="480" w:lineRule="auto"/>
        <w:rPr>
          <w:rFonts w:ascii="Times New Roman" w:eastAsia="Calibri" w:hAnsi="Times New Roman" w:cs="Times New Roman"/>
        </w:rPr>
      </w:pPr>
    </w:p>
    <w:p w14:paraId="10C7B3FA" w14:textId="77777777" w:rsidR="008D3C32" w:rsidRPr="00F162DB" w:rsidRDefault="008D3C32" w:rsidP="008D3C32">
      <w:pPr>
        <w:spacing w:after="200" w:line="480" w:lineRule="auto"/>
        <w:rPr>
          <w:rFonts w:ascii="Times New Roman" w:eastAsia="Calibri" w:hAnsi="Times New Roman" w:cs="Times New Roman"/>
          <w:b/>
          <w:bCs/>
        </w:rPr>
      </w:pPr>
      <w:r w:rsidRPr="00F162DB">
        <w:rPr>
          <w:rFonts w:ascii="Times New Roman" w:eastAsia="Calibri" w:hAnsi="Times New Roman" w:cs="Times New Roman"/>
          <w:b/>
          <w:bCs/>
        </w:rPr>
        <w:t>CONCLUSION</w:t>
      </w:r>
    </w:p>
    <w:p w14:paraId="585041DB" w14:textId="77777777" w:rsidR="008D3C32" w:rsidRPr="00F162DB" w:rsidRDefault="008D3C32" w:rsidP="008D3C32">
      <w:pPr>
        <w:spacing w:line="480" w:lineRule="auto"/>
        <w:jc w:val="both"/>
        <w:rPr>
          <w:rFonts w:ascii="Times New Roman" w:eastAsia="Calibri" w:hAnsi="Times New Roman" w:cs="Times New Roman"/>
        </w:rPr>
      </w:pPr>
      <w:r w:rsidRPr="00F162DB">
        <w:rPr>
          <w:rFonts w:ascii="Times New Roman" w:eastAsia="Calibri" w:hAnsi="Times New Roman" w:cs="Times New Roman"/>
        </w:rPr>
        <w:t xml:space="preserve">The respondents demonstrated high levels of food‐safety knowledge (97.4%), which was reflected in their positive attitudes (88.2%) and strong self‐reported practices (94.5%). However, 38.3% still rely on external food vendors and 42.2% have experienced at least one episode of food poisoning, suggesting that perceived and actual behaviours may diverge. Religion was modestly associated with knowledge (p = 0.045), and male gender independently predicted better practice (AOR 2.5; 95% [CI: 1.256–4.969]). </w:t>
      </w:r>
      <w:r w:rsidRPr="00F162DB">
        <w:rPr>
          <w:rFonts w:ascii="Times New Roman" w:hAnsi="Times New Roman" w:cs="Times New Roman"/>
          <w:lang w:val="en-US"/>
        </w:rPr>
        <w:t xml:space="preserve">Key gaps </w:t>
      </w:r>
      <w:r>
        <w:rPr>
          <w:rFonts w:ascii="Times New Roman" w:hAnsi="Times New Roman" w:cs="Times New Roman"/>
          <w:lang w:val="en-US"/>
        </w:rPr>
        <w:t>identified were</w:t>
      </w:r>
      <w:r w:rsidRPr="00F162DB">
        <w:rPr>
          <w:rFonts w:ascii="Times New Roman" w:hAnsi="Times New Roman" w:cs="Times New Roman"/>
          <w:lang w:val="en-US"/>
        </w:rPr>
        <w:t xml:space="preserve"> </w:t>
      </w:r>
      <w:r>
        <w:rPr>
          <w:rFonts w:ascii="Times New Roman" w:hAnsi="Times New Roman" w:cs="Times New Roman"/>
          <w:lang w:val="en-US"/>
        </w:rPr>
        <w:t>c</w:t>
      </w:r>
      <w:r w:rsidRPr="0082294D">
        <w:rPr>
          <w:rFonts w:ascii="Times New Roman" w:hAnsi="Times New Roman" w:cs="Times New Roman"/>
          <w:lang w:val="en-US"/>
        </w:rPr>
        <w:t>onsumption of food kept at room temperature for long</w:t>
      </w:r>
      <w:r>
        <w:rPr>
          <w:rFonts w:ascii="Times New Roman" w:hAnsi="Times New Roman" w:cs="Times New Roman"/>
          <w:lang w:val="en-US"/>
        </w:rPr>
        <w:t xml:space="preserve"> periods</w:t>
      </w:r>
      <w:r w:rsidRPr="00F162DB">
        <w:rPr>
          <w:rFonts w:ascii="Times New Roman" w:hAnsi="Times New Roman" w:cs="Times New Roman"/>
          <w:lang w:val="en-US"/>
        </w:rPr>
        <w:t xml:space="preserve"> (</w:t>
      </w:r>
      <w:r>
        <w:rPr>
          <w:rFonts w:ascii="Times New Roman" w:hAnsi="Times New Roman" w:cs="Times New Roman"/>
          <w:lang w:val="en-US"/>
        </w:rPr>
        <w:t>93</w:t>
      </w:r>
      <w:r w:rsidRPr="00F162DB">
        <w:rPr>
          <w:rFonts w:ascii="Times New Roman" w:hAnsi="Times New Roman" w:cs="Times New Roman"/>
          <w:lang w:val="en-US"/>
        </w:rPr>
        <w:t>.</w:t>
      </w:r>
      <w:r>
        <w:rPr>
          <w:rFonts w:ascii="Times New Roman" w:hAnsi="Times New Roman" w:cs="Times New Roman"/>
          <w:lang w:val="en-US"/>
        </w:rPr>
        <w:t>3</w:t>
      </w:r>
      <w:r w:rsidRPr="00F162DB">
        <w:rPr>
          <w:rFonts w:ascii="Times New Roman" w:hAnsi="Times New Roman" w:cs="Times New Roman"/>
          <w:lang w:val="en-US"/>
        </w:rPr>
        <w:t>%)</w:t>
      </w:r>
      <w:r>
        <w:rPr>
          <w:rFonts w:ascii="Times New Roman" w:eastAsia="Calibri" w:hAnsi="Times New Roman" w:cs="Times New Roman"/>
        </w:rPr>
        <w:t xml:space="preserve"> and </w:t>
      </w:r>
      <w:r>
        <w:rPr>
          <w:rFonts w:ascii="Times New Roman" w:hAnsi="Times New Roman" w:cs="Times New Roman"/>
          <w:lang w:val="en-US"/>
        </w:rPr>
        <w:t>u</w:t>
      </w:r>
      <w:r w:rsidRPr="0082294D">
        <w:rPr>
          <w:rFonts w:ascii="Times New Roman" w:hAnsi="Times New Roman" w:cs="Times New Roman"/>
          <w:lang w:val="en-US"/>
        </w:rPr>
        <w:t>sing the same cutting board for raw meat, poultry, seafood and vegetables</w:t>
      </w:r>
      <w:r>
        <w:rPr>
          <w:rFonts w:ascii="Times New Roman" w:hAnsi="Times New Roman" w:cs="Times New Roman"/>
          <w:lang w:val="en-US"/>
        </w:rPr>
        <w:t xml:space="preserve"> </w:t>
      </w:r>
      <w:r w:rsidRPr="00F162DB">
        <w:rPr>
          <w:rFonts w:ascii="Times New Roman" w:hAnsi="Times New Roman" w:cs="Times New Roman"/>
          <w:lang w:val="en-US"/>
        </w:rPr>
        <w:t>(</w:t>
      </w:r>
      <w:r>
        <w:rPr>
          <w:rFonts w:ascii="Times New Roman" w:hAnsi="Times New Roman" w:cs="Times New Roman"/>
          <w:lang w:val="en-US"/>
        </w:rPr>
        <w:t>49.9</w:t>
      </w:r>
      <w:r w:rsidRPr="00F162DB">
        <w:rPr>
          <w:rFonts w:ascii="Times New Roman" w:hAnsi="Times New Roman" w:cs="Times New Roman"/>
          <w:lang w:val="en-US"/>
        </w:rPr>
        <w:t>%)</w:t>
      </w:r>
      <w:r>
        <w:rPr>
          <w:rFonts w:ascii="Times New Roman" w:hAnsi="Times New Roman" w:cs="Times New Roman"/>
          <w:lang w:val="en-US"/>
        </w:rPr>
        <w:t>.</w:t>
      </w:r>
    </w:p>
    <w:p w14:paraId="19FB45B4" w14:textId="77777777" w:rsidR="008D3C32" w:rsidRPr="00F162DB" w:rsidRDefault="008D3C32" w:rsidP="008D3C32">
      <w:pPr>
        <w:spacing w:line="480" w:lineRule="auto"/>
        <w:jc w:val="both"/>
        <w:rPr>
          <w:rFonts w:ascii="Times New Roman" w:eastAsia="Calibri" w:hAnsi="Times New Roman" w:cs="Times New Roman"/>
        </w:rPr>
      </w:pPr>
      <w:r w:rsidRPr="00511516">
        <w:rPr>
          <w:rFonts w:ascii="Times New Roman" w:eastAsia="Calibri" w:hAnsi="Times New Roman" w:cs="Times New Roman"/>
        </w:rPr>
        <w:t>Though the</w:t>
      </w:r>
      <w:r>
        <w:rPr>
          <w:rFonts w:ascii="Times New Roman" w:eastAsia="Calibri" w:hAnsi="Times New Roman" w:cs="Times New Roman"/>
        </w:rPr>
        <w:t xml:space="preserve"> overall</w:t>
      </w:r>
      <w:r w:rsidRPr="00511516">
        <w:rPr>
          <w:rFonts w:ascii="Times New Roman" w:eastAsia="Calibri" w:hAnsi="Times New Roman" w:cs="Times New Roman"/>
        </w:rPr>
        <w:t xml:space="preserve"> </w:t>
      </w:r>
      <w:r>
        <w:rPr>
          <w:rFonts w:ascii="Times New Roman" w:eastAsia="Calibri" w:hAnsi="Times New Roman" w:cs="Times New Roman"/>
        </w:rPr>
        <w:t>KAP</w:t>
      </w:r>
      <w:r w:rsidRPr="00511516">
        <w:rPr>
          <w:rFonts w:ascii="Times New Roman" w:eastAsia="Calibri" w:hAnsi="Times New Roman" w:cs="Times New Roman"/>
        </w:rPr>
        <w:t xml:space="preserve"> scores here are high and encouraging</w:t>
      </w:r>
      <w:r>
        <w:rPr>
          <w:rFonts w:ascii="Times New Roman" w:eastAsia="Calibri" w:hAnsi="Times New Roman" w:cs="Times New Roman"/>
        </w:rPr>
        <w:t>, t</w:t>
      </w:r>
      <w:r w:rsidRPr="00F162DB">
        <w:rPr>
          <w:rFonts w:ascii="Times New Roman" w:eastAsia="Calibri" w:hAnsi="Times New Roman" w:cs="Times New Roman"/>
        </w:rPr>
        <w:t>hese findings underscore th</w:t>
      </w:r>
      <w:r>
        <w:rPr>
          <w:rFonts w:ascii="Times New Roman" w:eastAsia="Calibri" w:hAnsi="Times New Roman" w:cs="Times New Roman"/>
        </w:rPr>
        <w:t>at there is still</w:t>
      </w:r>
      <w:r w:rsidRPr="00F162DB">
        <w:rPr>
          <w:rFonts w:ascii="Times New Roman" w:eastAsia="Calibri" w:hAnsi="Times New Roman" w:cs="Times New Roman"/>
        </w:rPr>
        <w:t xml:space="preserve"> need to embed mandatory, hands-on food-safety modules within the curriculum across all levels of </w:t>
      </w:r>
      <w:r w:rsidRPr="00F162DB">
        <w:rPr>
          <w:rFonts w:ascii="Times New Roman" w:eastAsia="Calibri" w:hAnsi="Times New Roman" w:cs="Times New Roman"/>
        </w:rPr>
        <w:lastRenderedPageBreak/>
        <w:t>education and to scale up multimedia food hygiene campaigns to bridge the gap between awareness and everyday behaviour.</w:t>
      </w:r>
    </w:p>
    <w:p w14:paraId="57ADC762" w14:textId="77777777" w:rsidR="008D3C32" w:rsidRDefault="008D3C32" w:rsidP="008D3C32">
      <w:pPr>
        <w:spacing w:line="480" w:lineRule="auto"/>
        <w:ind w:left="-90"/>
        <w:jc w:val="both"/>
        <w:rPr>
          <w:rFonts w:ascii="Times New Roman" w:hAnsi="Times New Roman" w:cs="Times New Roman"/>
          <w:b/>
          <w:bCs/>
          <w:lang w:val="en-US"/>
        </w:rPr>
      </w:pPr>
    </w:p>
    <w:p w14:paraId="40C6CEE5" w14:textId="77777777" w:rsidR="008D3C32" w:rsidRPr="00632384" w:rsidRDefault="008D3C32" w:rsidP="00340FF1">
      <w:pPr>
        <w:spacing w:line="480" w:lineRule="auto"/>
        <w:jc w:val="both"/>
        <w:rPr>
          <w:rFonts w:ascii="Times New Roman" w:hAnsi="Times New Roman" w:cs="Times New Roman"/>
          <w:b/>
          <w:bCs/>
          <w:lang w:val="en-US"/>
        </w:rPr>
      </w:pPr>
      <w:r>
        <w:rPr>
          <w:rFonts w:ascii="Times New Roman" w:hAnsi="Times New Roman" w:cs="Times New Roman"/>
          <w:b/>
          <w:bCs/>
          <w:lang w:val="en-US"/>
        </w:rPr>
        <w:t>D</w:t>
      </w:r>
      <w:r w:rsidRPr="00632384">
        <w:rPr>
          <w:rFonts w:ascii="Times New Roman" w:hAnsi="Times New Roman" w:cs="Times New Roman"/>
          <w:b/>
          <w:bCs/>
          <w:lang w:val="en-US"/>
        </w:rPr>
        <w:t>ISCLAIMER (ARTIFICIAL INTELLIGENCE)</w:t>
      </w:r>
    </w:p>
    <w:p w14:paraId="25FC0E4B" w14:textId="77777777" w:rsidR="008D3C32" w:rsidRDefault="008D3C32" w:rsidP="008D3C32">
      <w:pPr>
        <w:spacing w:line="480" w:lineRule="auto"/>
        <w:ind w:left="-90"/>
        <w:jc w:val="both"/>
        <w:rPr>
          <w:rFonts w:ascii="Times New Roman" w:hAnsi="Times New Roman" w:cs="Times New Roman"/>
          <w:lang w:val="en-US"/>
        </w:rPr>
      </w:pPr>
      <w:r w:rsidRPr="00632384">
        <w:rPr>
          <w:rFonts w:ascii="Times New Roman" w:hAnsi="Times New Roman" w:cs="Times New Roman"/>
          <w:lang w:val="en-US"/>
        </w:rPr>
        <w:t xml:space="preserve">Author(s) hereby declares that </w:t>
      </w:r>
      <w:r>
        <w:rPr>
          <w:rFonts w:ascii="Times New Roman" w:hAnsi="Times New Roman" w:cs="Times New Roman"/>
          <w:lang w:val="en-US"/>
        </w:rPr>
        <w:t>no</w:t>
      </w:r>
      <w:r w:rsidRPr="00632384">
        <w:rPr>
          <w:rFonts w:ascii="Times New Roman" w:hAnsi="Times New Roman" w:cs="Times New Roman"/>
          <w:lang w:val="en-US"/>
        </w:rPr>
        <w:t xml:space="preserve"> generative AI technologies such as Large Language Models (ChatGPT, COPILOT, etc.) and text-to-image generators have been used during the writing or editing of this manuscript.</w:t>
      </w:r>
    </w:p>
    <w:p w14:paraId="51BD2AB0" w14:textId="77777777" w:rsidR="008D3C32" w:rsidRPr="0036163A" w:rsidRDefault="008D3C32" w:rsidP="008D3C32">
      <w:pPr>
        <w:spacing w:line="480" w:lineRule="auto"/>
        <w:ind w:left="-90"/>
        <w:jc w:val="both"/>
        <w:rPr>
          <w:rFonts w:ascii="Times New Roman" w:hAnsi="Times New Roman" w:cs="Times New Roman"/>
          <w:b/>
          <w:bCs/>
          <w:lang w:val="en-US"/>
        </w:rPr>
      </w:pPr>
      <w:r w:rsidRPr="0036163A">
        <w:rPr>
          <w:rFonts w:ascii="Times New Roman" w:hAnsi="Times New Roman" w:cs="Times New Roman"/>
          <w:b/>
          <w:bCs/>
          <w:lang w:val="en-US"/>
        </w:rPr>
        <w:t>FUNDING</w:t>
      </w:r>
    </w:p>
    <w:p w14:paraId="611B7ACD" w14:textId="77777777" w:rsidR="008D3C32" w:rsidRPr="00632384" w:rsidRDefault="008D3C32" w:rsidP="008D3C32">
      <w:pPr>
        <w:spacing w:line="480" w:lineRule="auto"/>
        <w:ind w:left="-90"/>
        <w:jc w:val="both"/>
        <w:rPr>
          <w:rFonts w:ascii="Times New Roman" w:hAnsi="Times New Roman" w:cs="Times New Roman"/>
          <w:lang w:val="en-US"/>
        </w:rPr>
      </w:pPr>
      <w:r w:rsidRPr="0036163A">
        <w:rPr>
          <w:rFonts w:ascii="Times New Roman" w:hAnsi="Times New Roman" w:cs="Times New Roman"/>
          <w:lang w:val="en-US"/>
        </w:rPr>
        <w:t>This research received no specific grant from any funding agency in the public, commercial, or not-for-profit sectors.</w:t>
      </w:r>
    </w:p>
    <w:p w14:paraId="7642F4A5" w14:textId="77777777" w:rsidR="008D3C32" w:rsidRPr="00632384" w:rsidRDefault="008D3C32" w:rsidP="008D3C32">
      <w:pPr>
        <w:spacing w:line="480" w:lineRule="auto"/>
        <w:ind w:left="-90"/>
        <w:jc w:val="both"/>
        <w:rPr>
          <w:rFonts w:ascii="Times New Roman" w:hAnsi="Times New Roman" w:cs="Times New Roman"/>
          <w:b/>
          <w:bCs/>
          <w:lang w:val="en-US"/>
        </w:rPr>
      </w:pPr>
      <w:r w:rsidRPr="00632384">
        <w:rPr>
          <w:rFonts w:ascii="Times New Roman" w:hAnsi="Times New Roman" w:cs="Times New Roman"/>
          <w:b/>
          <w:bCs/>
          <w:lang w:val="en-US"/>
        </w:rPr>
        <w:t>ETHICS APPROVAL AND CONSENT TO PARTICIPATE</w:t>
      </w:r>
    </w:p>
    <w:p w14:paraId="01B0468C" w14:textId="77777777" w:rsidR="008D3C32" w:rsidRPr="00632384" w:rsidRDefault="008D3C32" w:rsidP="008D3C32">
      <w:pPr>
        <w:spacing w:line="480" w:lineRule="auto"/>
        <w:ind w:left="-90"/>
        <w:jc w:val="both"/>
        <w:rPr>
          <w:rFonts w:ascii="Times New Roman" w:hAnsi="Times New Roman" w:cs="Times New Roman"/>
          <w:lang w:val="en-US"/>
        </w:rPr>
      </w:pPr>
      <w:r w:rsidRPr="00632384">
        <w:rPr>
          <w:rFonts w:ascii="Times New Roman" w:hAnsi="Times New Roman" w:cs="Times New Roman"/>
          <w:lang w:val="en-US"/>
        </w:rPr>
        <w:t>Ethical clearance was obtained from the Health, Research and Ethical Committee of the</w:t>
      </w:r>
      <w:r>
        <w:rPr>
          <w:rFonts w:ascii="Times New Roman" w:hAnsi="Times New Roman" w:cs="Times New Roman"/>
          <w:lang w:val="en-US"/>
        </w:rPr>
        <w:t xml:space="preserve"> </w:t>
      </w:r>
      <w:r w:rsidRPr="00632384">
        <w:rPr>
          <w:rFonts w:ascii="Times New Roman" w:hAnsi="Times New Roman" w:cs="Times New Roman"/>
          <w:lang w:val="en-US"/>
        </w:rPr>
        <w:t>University of Nigeria Teaching Hospital, UNTH, Enugu, Nigeria.</w:t>
      </w:r>
    </w:p>
    <w:p w14:paraId="628F0BD9" w14:textId="77777777" w:rsidR="008D3C32" w:rsidRPr="00632384" w:rsidRDefault="008D3C32" w:rsidP="008D3C32">
      <w:pPr>
        <w:spacing w:line="480" w:lineRule="auto"/>
        <w:ind w:left="-90"/>
        <w:jc w:val="both"/>
        <w:rPr>
          <w:rFonts w:ascii="Times New Roman" w:hAnsi="Times New Roman" w:cs="Times New Roman"/>
          <w:b/>
          <w:bCs/>
          <w:lang w:val="en-US"/>
        </w:rPr>
      </w:pPr>
      <w:r w:rsidRPr="00632384">
        <w:rPr>
          <w:rFonts w:ascii="Times New Roman" w:hAnsi="Times New Roman" w:cs="Times New Roman"/>
          <w:b/>
          <w:bCs/>
          <w:lang w:val="en-US"/>
        </w:rPr>
        <w:t>AVAILABILITY OF DATA AND MATERIAL</w:t>
      </w:r>
    </w:p>
    <w:p w14:paraId="24C67D5F" w14:textId="77777777" w:rsidR="008D3C32" w:rsidRPr="00632384" w:rsidRDefault="008D3C32" w:rsidP="008D3C32">
      <w:pPr>
        <w:spacing w:line="480" w:lineRule="auto"/>
        <w:ind w:left="-90"/>
        <w:jc w:val="both"/>
        <w:rPr>
          <w:rFonts w:ascii="Times New Roman" w:hAnsi="Times New Roman" w:cs="Times New Roman"/>
          <w:lang w:val="en-US"/>
        </w:rPr>
      </w:pPr>
      <w:r w:rsidRPr="00632384">
        <w:rPr>
          <w:rFonts w:ascii="Times New Roman" w:hAnsi="Times New Roman" w:cs="Times New Roman"/>
          <w:lang w:val="en-US"/>
        </w:rPr>
        <w:t>Additional data from the research project could be made available by the author on request.</w:t>
      </w:r>
    </w:p>
    <w:p w14:paraId="6DC46174" w14:textId="77777777" w:rsidR="008D3C32" w:rsidRPr="00632384" w:rsidRDefault="008D3C32" w:rsidP="008D3C32">
      <w:pPr>
        <w:spacing w:line="480" w:lineRule="auto"/>
        <w:ind w:left="-90"/>
        <w:jc w:val="both"/>
        <w:rPr>
          <w:rFonts w:ascii="Times New Roman" w:hAnsi="Times New Roman" w:cs="Times New Roman"/>
          <w:b/>
          <w:bCs/>
          <w:lang w:val="en-US"/>
        </w:rPr>
      </w:pPr>
      <w:r w:rsidRPr="00632384">
        <w:rPr>
          <w:rFonts w:ascii="Times New Roman" w:hAnsi="Times New Roman" w:cs="Times New Roman"/>
          <w:b/>
          <w:bCs/>
          <w:lang w:val="en-US"/>
        </w:rPr>
        <w:t>CONSENT FOR PUBLICATION</w:t>
      </w:r>
    </w:p>
    <w:p w14:paraId="21DB84F8" w14:textId="77777777" w:rsidR="008D3C32" w:rsidRPr="00632384" w:rsidRDefault="008D3C32" w:rsidP="008D3C32">
      <w:pPr>
        <w:spacing w:line="480" w:lineRule="auto"/>
        <w:ind w:left="-90"/>
        <w:jc w:val="both"/>
        <w:rPr>
          <w:rFonts w:ascii="Times New Roman" w:hAnsi="Times New Roman" w:cs="Times New Roman"/>
          <w:lang w:val="en-US"/>
        </w:rPr>
      </w:pPr>
      <w:r w:rsidRPr="00632384">
        <w:rPr>
          <w:rFonts w:ascii="Times New Roman" w:hAnsi="Times New Roman" w:cs="Times New Roman"/>
          <w:lang w:val="en-US"/>
        </w:rPr>
        <w:t>Participation was voluntary, and the purpose of the research was explained to each respondent. Informed consent was obtained before inclusion into the study and also anonymity of participants was ensured.</w:t>
      </w:r>
    </w:p>
    <w:p w14:paraId="7D88F23C" w14:textId="77777777" w:rsidR="008D3C32" w:rsidRPr="00632384" w:rsidRDefault="008D3C32" w:rsidP="008D3C32">
      <w:pPr>
        <w:spacing w:line="480" w:lineRule="auto"/>
        <w:ind w:left="-90"/>
        <w:jc w:val="both"/>
        <w:rPr>
          <w:rFonts w:ascii="Times New Roman" w:hAnsi="Times New Roman" w:cs="Times New Roman"/>
          <w:b/>
          <w:bCs/>
          <w:lang w:val="en-US"/>
        </w:rPr>
      </w:pPr>
      <w:r w:rsidRPr="00632384">
        <w:rPr>
          <w:rFonts w:ascii="Times New Roman" w:hAnsi="Times New Roman" w:cs="Times New Roman"/>
          <w:b/>
          <w:bCs/>
          <w:lang w:val="en-US"/>
        </w:rPr>
        <w:t>COMPETING INTERESTS</w:t>
      </w:r>
    </w:p>
    <w:p w14:paraId="09C1E754" w14:textId="77777777" w:rsidR="008D3C32" w:rsidRPr="00632384" w:rsidRDefault="008D3C32" w:rsidP="008D3C32">
      <w:pPr>
        <w:spacing w:line="480" w:lineRule="auto"/>
        <w:ind w:left="-90"/>
        <w:jc w:val="both"/>
        <w:rPr>
          <w:rFonts w:ascii="Times New Roman" w:hAnsi="Times New Roman" w:cs="Times New Roman"/>
        </w:rPr>
      </w:pPr>
      <w:r w:rsidRPr="00632384">
        <w:rPr>
          <w:rFonts w:ascii="Times New Roman" w:hAnsi="Times New Roman" w:cs="Times New Roman"/>
          <w:lang w:val="en-US"/>
        </w:rPr>
        <w:t>Authors have declared that no competing interests exist</w:t>
      </w:r>
    </w:p>
    <w:p w14:paraId="6ED43AFC" w14:textId="77777777" w:rsidR="008D3C32" w:rsidRDefault="008D3C32" w:rsidP="008D3C32">
      <w:pPr>
        <w:spacing w:line="480" w:lineRule="auto"/>
        <w:ind w:left="-90"/>
        <w:jc w:val="both"/>
        <w:rPr>
          <w:rFonts w:ascii="Times New Roman" w:hAnsi="Times New Roman" w:cs="Times New Roman"/>
          <w:b/>
          <w:bCs/>
        </w:rPr>
      </w:pPr>
    </w:p>
    <w:p w14:paraId="5EE7BB99" w14:textId="77777777" w:rsidR="008D3C32" w:rsidRDefault="008D3C32" w:rsidP="008D3C32">
      <w:pPr>
        <w:spacing w:line="480" w:lineRule="auto"/>
        <w:ind w:left="-90"/>
        <w:jc w:val="both"/>
        <w:rPr>
          <w:rFonts w:ascii="Times New Roman" w:hAnsi="Times New Roman" w:cs="Times New Roman"/>
          <w:b/>
          <w:bCs/>
        </w:rPr>
      </w:pPr>
    </w:p>
    <w:p w14:paraId="7B14C5B4" w14:textId="77777777" w:rsidR="008D3C32" w:rsidRDefault="008D3C32" w:rsidP="008D3C32">
      <w:pPr>
        <w:spacing w:line="480" w:lineRule="auto"/>
        <w:ind w:left="-90"/>
        <w:jc w:val="both"/>
        <w:rPr>
          <w:rFonts w:ascii="Times New Roman" w:hAnsi="Times New Roman" w:cs="Times New Roman"/>
          <w:b/>
          <w:bCs/>
        </w:rPr>
      </w:pPr>
    </w:p>
    <w:p w14:paraId="66F18486" w14:textId="77777777" w:rsidR="008D3C32" w:rsidRDefault="008D3C32" w:rsidP="008D3C32">
      <w:pPr>
        <w:spacing w:line="480" w:lineRule="auto"/>
        <w:ind w:left="-90"/>
        <w:jc w:val="both"/>
        <w:rPr>
          <w:rFonts w:ascii="Times New Roman" w:hAnsi="Times New Roman" w:cs="Times New Roman"/>
          <w:b/>
          <w:bCs/>
        </w:rPr>
      </w:pPr>
    </w:p>
    <w:p w14:paraId="5A75E584" w14:textId="77777777" w:rsidR="008D3C32" w:rsidRDefault="008D3C32" w:rsidP="008D3C32">
      <w:pPr>
        <w:spacing w:line="480" w:lineRule="auto"/>
        <w:ind w:left="-90"/>
        <w:jc w:val="both"/>
        <w:rPr>
          <w:rFonts w:ascii="Times New Roman" w:hAnsi="Times New Roman" w:cs="Times New Roman"/>
          <w:b/>
          <w:bCs/>
        </w:rPr>
      </w:pPr>
    </w:p>
    <w:p w14:paraId="77F2D4D0" w14:textId="77777777" w:rsidR="008D3C32" w:rsidRDefault="008D3C32" w:rsidP="008D3C32">
      <w:pPr>
        <w:spacing w:line="480" w:lineRule="auto"/>
        <w:ind w:left="-90"/>
        <w:jc w:val="both"/>
        <w:rPr>
          <w:rFonts w:ascii="Times New Roman" w:hAnsi="Times New Roman" w:cs="Times New Roman"/>
          <w:b/>
          <w:bCs/>
        </w:rPr>
      </w:pPr>
      <w:r>
        <w:rPr>
          <w:rFonts w:ascii="Times New Roman" w:hAnsi="Times New Roman" w:cs="Times New Roman"/>
          <w:b/>
          <w:bCs/>
        </w:rPr>
        <w:t>REFERENCES</w:t>
      </w:r>
    </w:p>
    <w:p w14:paraId="39DB23ED"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lang w:val="en-US"/>
        </w:rPr>
      </w:pPr>
      <w:r w:rsidRPr="00A15DB1">
        <w:rPr>
          <w:rFonts w:ascii="Times New Roman" w:eastAsia="Calibri" w:hAnsi="Times New Roman" w:cs="Times New Roman"/>
        </w:rPr>
        <w:t xml:space="preserve">World Health Organization (WHO). WHO estimates of the global burden of foodborne diseases: Foodborne disease burden epidemiology reference group 2007-2015. Genève, Switzerland: World Health Organization; 2016. </w:t>
      </w:r>
      <w:hyperlink r:id="rId5" w:anchor="tab=" w:history="1">
        <w:r w:rsidRPr="00A15DB1">
          <w:rPr>
            <w:rStyle w:val="Hyperlink"/>
            <w:rFonts w:ascii="Times New Roman" w:eastAsia="Calibri" w:hAnsi="Times New Roman"/>
          </w:rPr>
          <w:t>https://www.who.int/health-topics/foodborne-diseases#tab=</w:t>
        </w:r>
      </w:hyperlink>
      <w:r w:rsidRPr="00A15DB1">
        <w:rPr>
          <w:rFonts w:ascii="Times New Roman" w:eastAsia="Calibri" w:hAnsi="Times New Roman" w:cs="Times New Roman"/>
        </w:rPr>
        <w:t xml:space="preserve"> </w:t>
      </w:r>
    </w:p>
    <w:p w14:paraId="26FE1863"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Food and Agriculture Organization. Climate change: Unpacking the burden on food safety. Rome, Italy: Food &amp; Agriculture Organization of the United Nations (FAO); 2020. </w:t>
      </w:r>
      <w:hyperlink r:id="rId6" w:history="1">
        <w:r w:rsidRPr="00A15DB1">
          <w:rPr>
            <w:rStyle w:val="Hyperlink"/>
            <w:rFonts w:ascii="Times New Roman" w:eastAsia="Calibri" w:hAnsi="Times New Roman"/>
          </w:rPr>
          <w:t>https://doi.org/10.4060/ca8185en</w:t>
        </w:r>
      </w:hyperlink>
      <w:r w:rsidRPr="00A15DB1">
        <w:rPr>
          <w:rFonts w:ascii="Times New Roman" w:eastAsia="Calibri" w:hAnsi="Times New Roman" w:cs="Times New Roman"/>
        </w:rPr>
        <w:t xml:space="preserve"> </w:t>
      </w:r>
    </w:p>
    <w:p w14:paraId="7CFA46E8"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Morris JG Jr. How safe is our food? Emerg Infectious Diseases. 2011;17(1):126–8. </w:t>
      </w:r>
      <w:hyperlink r:id="rId7" w:history="1">
        <w:r w:rsidRPr="00A15DB1">
          <w:rPr>
            <w:rStyle w:val="Hyperlink"/>
            <w:rFonts w:ascii="Times New Roman" w:eastAsia="Calibri" w:hAnsi="Times New Roman"/>
          </w:rPr>
          <w:t>http://dx.doi.org/10.3201/eid1701.101821</w:t>
        </w:r>
      </w:hyperlink>
    </w:p>
    <w:p w14:paraId="287F3449"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proofErr w:type="spellStart"/>
      <w:r w:rsidRPr="00A15DB1">
        <w:rPr>
          <w:rFonts w:ascii="Times New Roman" w:eastAsia="Calibri" w:hAnsi="Times New Roman" w:cs="Times New Roman"/>
        </w:rPr>
        <w:t>Osaili</w:t>
      </w:r>
      <w:proofErr w:type="spellEnd"/>
      <w:r w:rsidRPr="00A15DB1">
        <w:rPr>
          <w:rFonts w:ascii="Times New Roman" w:eastAsia="Calibri" w:hAnsi="Times New Roman" w:cs="Times New Roman"/>
        </w:rPr>
        <w:t xml:space="preserve"> TM, Al-Nabulsi AA, </w:t>
      </w:r>
      <w:proofErr w:type="spellStart"/>
      <w:r w:rsidRPr="00A15DB1">
        <w:rPr>
          <w:rFonts w:ascii="Times New Roman" w:eastAsia="Calibri" w:hAnsi="Times New Roman" w:cs="Times New Roman"/>
        </w:rPr>
        <w:t>Taybeh</w:t>
      </w:r>
      <w:proofErr w:type="spellEnd"/>
      <w:r w:rsidRPr="00A15DB1">
        <w:rPr>
          <w:rFonts w:ascii="Times New Roman" w:eastAsia="Calibri" w:hAnsi="Times New Roman" w:cs="Times New Roman"/>
        </w:rPr>
        <w:t xml:space="preserve"> AO. Food safety knowledge, attitudes, and practices among Jordan universities students during the COVID-19 pandemic. Front Public Health. 2021; 9:729816. </w:t>
      </w:r>
      <w:hyperlink r:id="rId8" w:history="1">
        <w:r w:rsidRPr="00A15DB1">
          <w:rPr>
            <w:rFonts w:ascii="Times New Roman" w:eastAsia="Calibri" w:hAnsi="Times New Roman" w:cs="Times New Roman"/>
            <w:color w:val="0563C1"/>
            <w:u w:val="single"/>
          </w:rPr>
          <w:t>http://dx.doi.org/10.3389/fpubh.2021.729816</w:t>
        </w:r>
      </w:hyperlink>
    </w:p>
    <w:p w14:paraId="33058DB1"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Courtney SM, </w:t>
      </w:r>
      <w:proofErr w:type="spellStart"/>
      <w:r w:rsidRPr="00A15DB1">
        <w:rPr>
          <w:rFonts w:ascii="Times New Roman" w:eastAsia="Calibri" w:hAnsi="Times New Roman" w:cs="Times New Roman"/>
        </w:rPr>
        <w:t>Majowicz</w:t>
      </w:r>
      <w:proofErr w:type="spellEnd"/>
      <w:r w:rsidRPr="00A15DB1">
        <w:rPr>
          <w:rFonts w:ascii="Times New Roman" w:eastAsia="Calibri" w:hAnsi="Times New Roman" w:cs="Times New Roman"/>
        </w:rPr>
        <w:t xml:space="preserve"> SE, Dubin JA. Food safety knowledge of undergraduate students at a Canadian university: results of an online survey. BMC Public Health. (2016) 16:1–16. </w:t>
      </w:r>
      <w:hyperlink r:id="rId9" w:history="1">
        <w:r w:rsidRPr="00A15DB1">
          <w:rPr>
            <w:rStyle w:val="Hyperlink"/>
            <w:rFonts w:ascii="Times New Roman" w:eastAsia="Calibri" w:hAnsi="Times New Roman"/>
          </w:rPr>
          <w:t>10.1186/s12889-016-3818-y</w:t>
        </w:r>
      </w:hyperlink>
    </w:p>
    <w:p w14:paraId="7719897A"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lang w:val="en-US"/>
        </w:rPr>
        <w:t>Ashkanani, Fatemah, Husain, Wafaa, </w:t>
      </w:r>
      <w:proofErr w:type="gramStart"/>
      <w:r w:rsidRPr="00A15DB1">
        <w:rPr>
          <w:rFonts w:ascii="Times New Roman" w:eastAsia="Calibri" w:hAnsi="Times New Roman" w:cs="Times New Roman"/>
          <w:lang w:val="en-US"/>
        </w:rPr>
        <w:t>A</w:t>
      </w:r>
      <w:proofErr w:type="gramEnd"/>
      <w:r w:rsidRPr="00A15DB1">
        <w:rPr>
          <w:rFonts w:ascii="Times New Roman" w:eastAsia="Calibri" w:hAnsi="Times New Roman" w:cs="Times New Roman"/>
          <w:lang w:val="en-US"/>
        </w:rPr>
        <w:t xml:space="preserve"> Al </w:t>
      </w:r>
      <w:proofErr w:type="spellStart"/>
      <w:r w:rsidRPr="00A15DB1">
        <w:rPr>
          <w:rFonts w:ascii="Times New Roman" w:eastAsia="Calibri" w:hAnsi="Times New Roman" w:cs="Times New Roman"/>
          <w:lang w:val="en-US"/>
        </w:rPr>
        <w:t>Dwairji</w:t>
      </w:r>
      <w:proofErr w:type="spellEnd"/>
      <w:r w:rsidRPr="00A15DB1">
        <w:rPr>
          <w:rFonts w:ascii="Times New Roman" w:eastAsia="Calibri" w:hAnsi="Times New Roman" w:cs="Times New Roman"/>
          <w:lang w:val="en-US"/>
        </w:rPr>
        <w:t>, Maryam, Assessment of Food Safety and Food Handling Practice Knowledge among College of Basic Education Students, Kuwait, </w:t>
      </w:r>
      <w:r w:rsidRPr="00A15DB1">
        <w:rPr>
          <w:rFonts w:ascii="Times New Roman" w:eastAsia="Calibri" w:hAnsi="Times New Roman" w:cs="Times New Roman"/>
          <w:i/>
          <w:iCs/>
          <w:lang w:val="en-US"/>
        </w:rPr>
        <w:t>Journal of Food Quality</w:t>
      </w:r>
      <w:r w:rsidRPr="00A15DB1">
        <w:rPr>
          <w:rFonts w:ascii="Times New Roman" w:eastAsia="Calibri" w:hAnsi="Times New Roman" w:cs="Times New Roman"/>
          <w:lang w:val="en-US"/>
        </w:rPr>
        <w:t>, 2021, 5534034, 10</w:t>
      </w:r>
      <w:r>
        <w:rPr>
          <w:rFonts w:ascii="Times New Roman" w:eastAsia="Calibri" w:hAnsi="Times New Roman" w:cs="Times New Roman"/>
          <w:lang w:val="en-US"/>
        </w:rPr>
        <w:t xml:space="preserve"> </w:t>
      </w:r>
      <w:r w:rsidRPr="00A15DB1">
        <w:rPr>
          <w:rFonts w:ascii="Times New Roman" w:eastAsia="Calibri" w:hAnsi="Times New Roman" w:cs="Times New Roman"/>
          <w:lang w:val="en-US"/>
        </w:rPr>
        <w:t>pages, 2021. </w:t>
      </w:r>
      <w:hyperlink r:id="rId10" w:history="1">
        <w:r w:rsidRPr="00A15DB1">
          <w:rPr>
            <w:rStyle w:val="Hyperlink"/>
            <w:rFonts w:ascii="Times New Roman" w:eastAsia="Calibri" w:hAnsi="Times New Roman"/>
            <w:lang w:val="en-US"/>
          </w:rPr>
          <w:t>https://doi.org/10.1155/2021/5534034</w:t>
        </w:r>
      </w:hyperlink>
    </w:p>
    <w:p w14:paraId="29BC06C8"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proofErr w:type="spellStart"/>
      <w:r w:rsidRPr="00A15DB1">
        <w:rPr>
          <w:rFonts w:ascii="Times New Roman" w:eastAsia="Calibri" w:hAnsi="Times New Roman" w:cs="Times New Roman"/>
        </w:rPr>
        <w:t>Imathiu</w:t>
      </w:r>
      <w:proofErr w:type="spellEnd"/>
      <w:r w:rsidRPr="00A15DB1">
        <w:rPr>
          <w:rFonts w:ascii="Times New Roman" w:eastAsia="Calibri" w:hAnsi="Times New Roman" w:cs="Times New Roman"/>
        </w:rPr>
        <w:t xml:space="preserve">, Samuel. Assessment of Food Safety Knowledge, Beliefs and Attitudes of Undergraduate Students at a Kenyan University: Results of an Online Survey. European Journal of Agriculture and Food Sciences. 2020; 2(4):85. </w:t>
      </w:r>
      <w:hyperlink r:id="rId11" w:history="1">
        <w:r w:rsidRPr="00A15DB1">
          <w:rPr>
            <w:rStyle w:val="Hyperlink"/>
            <w:rFonts w:ascii="Times New Roman" w:eastAsia="Calibri" w:hAnsi="Times New Roman"/>
          </w:rPr>
          <w:t>10.24018/ejfood.2020.2.4.85</w:t>
        </w:r>
      </w:hyperlink>
      <w:r w:rsidRPr="00A15DB1">
        <w:rPr>
          <w:rFonts w:ascii="Times New Roman" w:eastAsia="Calibri" w:hAnsi="Times New Roman" w:cs="Times New Roman"/>
        </w:rPr>
        <w:t xml:space="preserve"> </w:t>
      </w:r>
    </w:p>
    <w:p w14:paraId="2D5CEB11"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Omotayo, S.K. (2012). Food safety and hygiene practices of food vendors on Obafemi Awolowo University Campus, Ile Ife, Nigeria. </w:t>
      </w:r>
      <w:hyperlink r:id="rId12" w:history="1">
        <w:r w:rsidRPr="00A15DB1">
          <w:rPr>
            <w:rStyle w:val="Hyperlink"/>
            <w:rFonts w:ascii="Times New Roman" w:eastAsia="Calibri" w:hAnsi="Times New Roman"/>
          </w:rPr>
          <w:t>https://ir.oauife.edu.ng/handle/123456789/4296</w:t>
        </w:r>
      </w:hyperlink>
      <w:r w:rsidRPr="00A15DB1">
        <w:rPr>
          <w:rFonts w:ascii="Times New Roman" w:eastAsia="Calibri" w:hAnsi="Times New Roman" w:cs="Times New Roman"/>
        </w:rPr>
        <w:t xml:space="preserve"> </w:t>
      </w:r>
    </w:p>
    <w:p w14:paraId="60B2BECB"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lang w:val="en-US"/>
        </w:rPr>
      </w:pPr>
      <w:proofErr w:type="spellStart"/>
      <w:r w:rsidRPr="00A15DB1">
        <w:rPr>
          <w:rFonts w:ascii="Times New Roman" w:eastAsia="Calibri" w:hAnsi="Times New Roman" w:cs="Times New Roman"/>
          <w:lang w:val="en-US"/>
        </w:rPr>
        <w:lastRenderedPageBreak/>
        <w:t>Ofuebe</w:t>
      </w:r>
      <w:proofErr w:type="spellEnd"/>
      <w:r w:rsidRPr="00A15DB1">
        <w:rPr>
          <w:rFonts w:ascii="Times New Roman" w:eastAsia="Calibri" w:hAnsi="Times New Roman" w:cs="Times New Roman"/>
          <w:lang w:val="en-US"/>
        </w:rPr>
        <w:t xml:space="preserve"> JI. </w:t>
      </w:r>
      <w:r w:rsidRPr="00A15DB1">
        <w:rPr>
          <w:rFonts w:ascii="Times New Roman" w:eastAsia="Calibri" w:hAnsi="Times New Roman" w:cs="Times New Roman"/>
        </w:rPr>
        <w:t>Food Hygiene Practices Among Food Vendors in University of Nigeria Nsukka Campus: Implication for Consumer Protection</w:t>
      </w:r>
      <w:r w:rsidRPr="00A15DB1">
        <w:rPr>
          <w:rFonts w:ascii="Times New Roman" w:eastAsia="Calibri" w:hAnsi="Times New Roman" w:cs="Times New Roman"/>
          <w:lang w:val="en-US"/>
        </w:rPr>
        <w:t xml:space="preserve">. </w:t>
      </w:r>
      <w:proofErr w:type="spellStart"/>
      <w:r w:rsidRPr="00A15DB1">
        <w:rPr>
          <w:rFonts w:ascii="Times New Roman" w:eastAsia="Calibri" w:hAnsi="Times New Roman" w:cs="Times New Roman"/>
          <w:lang w:val="en-US"/>
        </w:rPr>
        <w:t>IJoHKHE</w:t>
      </w:r>
      <w:proofErr w:type="spellEnd"/>
      <w:r w:rsidRPr="00A15DB1">
        <w:rPr>
          <w:rFonts w:ascii="Times New Roman" w:eastAsia="Calibri" w:hAnsi="Times New Roman" w:cs="Times New Roman"/>
          <w:lang w:val="en-US"/>
        </w:rPr>
        <w:t xml:space="preserve">. 2023;1(1). </w:t>
      </w:r>
      <w:hyperlink r:id="rId13" w:history="1">
        <w:r w:rsidRPr="00A15DB1">
          <w:rPr>
            <w:rStyle w:val="Hyperlink"/>
            <w:rFonts w:ascii="Times New Roman" w:eastAsia="Calibri" w:hAnsi="Times New Roman"/>
            <w:lang w:val="en-US"/>
          </w:rPr>
          <w:t>https://journals.aphriapub.com/index.php/IJoHKHE/article/view/2302</w:t>
        </w:r>
      </w:hyperlink>
      <w:r w:rsidRPr="00A15DB1">
        <w:rPr>
          <w:rFonts w:ascii="Times New Roman" w:eastAsia="Calibri" w:hAnsi="Times New Roman" w:cs="Times New Roman"/>
        </w:rPr>
        <w:t xml:space="preserve"> </w:t>
      </w:r>
    </w:p>
    <w:p w14:paraId="444E66DC"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STOP Cholera: Strengthening Water, Sanitation and Hygiene (</w:t>
      </w:r>
      <w:proofErr w:type="spellStart"/>
      <w:r w:rsidRPr="00A15DB1">
        <w:rPr>
          <w:rFonts w:ascii="Times New Roman" w:eastAsia="Calibri" w:hAnsi="Times New Roman" w:cs="Times New Roman"/>
        </w:rPr>
        <w:t>WaSH</w:t>
      </w:r>
      <w:proofErr w:type="spellEnd"/>
      <w:r w:rsidRPr="00A15DB1">
        <w:rPr>
          <w:rFonts w:ascii="Times New Roman" w:eastAsia="Calibri" w:hAnsi="Times New Roman" w:cs="Times New Roman"/>
        </w:rPr>
        <w:t>) in Nigeria. 2022. Nigeria Centre for Disease Control and Prevention (NCDC)</w:t>
      </w:r>
    </w:p>
    <w:p w14:paraId="0ECCDC18"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proofErr w:type="spellStart"/>
      <w:r w:rsidRPr="00A15DB1">
        <w:rPr>
          <w:rFonts w:ascii="Times New Roman" w:eastAsia="Calibri" w:hAnsi="Times New Roman" w:cs="Times New Roman"/>
        </w:rPr>
        <w:t>Azanaw</w:t>
      </w:r>
      <w:proofErr w:type="spellEnd"/>
      <w:r w:rsidRPr="00A15DB1">
        <w:rPr>
          <w:rFonts w:ascii="Times New Roman" w:eastAsia="Calibri" w:hAnsi="Times New Roman" w:cs="Times New Roman"/>
        </w:rPr>
        <w:t xml:space="preserve"> J, Dagne H, </w:t>
      </w:r>
      <w:proofErr w:type="spellStart"/>
      <w:r w:rsidRPr="00A15DB1">
        <w:rPr>
          <w:rFonts w:ascii="Times New Roman" w:eastAsia="Calibri" w:hAnsi="Times New Roman" w:cs="Times New Roman"/>
        </w:rPr>
        <w:t>Andualem</w:t>
      </w:r>
      <w:proofErr w:type="spellEnd"/>
      <w:r w:rsidRPr="00A15DB1">
        <w:rPr>
          <w:rFonts w:ascii="Times New Roman" w:eastAsia="Calibri" w:hAnsi="Times New Roman" w:cs="Times New Roman"/>
        </w:rPr>
        <w:t xml:space="preserve"> Z, Adane T. Food safety knowledge, attitude, and practice of college students, Ethiopia, 2019: A cross-sectional study. Biomed Res Int. 2021:6686392. Available from: </w:t>
      </w:r>
      <w:hyperlink r:id="rId14" w:history="1">
        <w:r w:rsidRPr="00A15DB1">
          <w:rPr>
            <w:rStyle w:val="Hyperlink"/>
            <w:rFonts w:ascii="Times New Roman" w:eastAsia="Calibri" w:hAnsi="Times New Roman"/>
          </w:rPr>
          <w:t>https://www.hindawi.com/journals/bmri/2021/6686392/</w:t>
        </w:r>
      </w:hyperlink>
    </w:p>
    <w:p w14:paraId="642433D9"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proofErr w:type="spellStart"/>
      <w:r w:rsidRPr="00A15DB1">
        <w:rPr>
          <w:rFonts w:ascii="Times New Roman" w:eastAsia="Calibri" w:hAnsi="Times New Roman" w:cs="Times New Roman"/>
        </w:rPr>
        <w:t>Masiku</w:t>
      </w:r>
      <w:proofErr w:type="spellEnd"/>
      <w:r w:rsidRPr="00A15DB1">
        <w:rPr>
          <w:rFonts w:ascii="Times New Roman" w:eastAsia="Calibri" w:hAnsi="Times New Roman" w:cs="Times New Roman"/>
        </w:rPr>
        <w:t xml:space="preserve">, </w:t>
      </w:r>
      <w:proofErr w:type="spellStart"/>
      <w:r w:rsidRPr="00A15DB1">
        <w:rPr>
          <w:rFonts w:ascii="Times New Roman" w:eastAsia="Calibri" w:hAnsi="Times New Roman" w:cs="Times New Roman"/>
        </w:rPr>
        <w:t>Gt.T</w:t>
      </w:r>
      <w:proofErr w:type="spellEnd"/>
      <w:r w:rsidRPr="00A15DB1">
        <w:rPr>
          <w:rFonts w:ascii="Times New Roman" w:eastAsia="Calibri" w:hAnsi="Times New Roman" w:cs="Times New Roman"/>
        </w:rPr>
        <w:t xml:space="preserve">., </w:t>
      </w:r>
      <w:proofErr w:type="spellStart"/>
      <w:r w:rsidRPr="00A15DB1">
        <w:rPr>
          <w:rFonts w:ascii="Times New Roman" w:eastAsia="Calibri" w:hAnsi="Times New Roman" w:cs="Times New Roman"/>
        </w:rPr>
        <w:t>Mwijage</w:t>
      </w:r>
      <w:proofErr w:type="spellEnd"/>
      <w:r w:rsidRPr="00A15DB1">
        <w:rPr>
          <w:rFonts w:ascii="Times New Roman" w:eastAsia="Calibri" w:hAnsi="Times New Roman" w:cs="Times New Roman"/>
        </w:rPr>
        <w:t xml:space="preserve">, K.F., </w:t>
      </w:r>
      <w:proofErr w:type="spellStart"/>
      <w:r w:rsidRPr="00A15DB1">
        <w:rPr>
          <w:rFonts w:ascii="Times New Roman" w:eastAsia="Calibri" w:hAnsi="Times New Roman" w:cs="Times New Roman"/>
        </w:rPr>
        <w:t>Ryoba</w:t>
      </w:r>
      <w:proofErr w:type="spellEnd"/>
      <w:r w:rsidRPr="00A15DB1">
        <w:rPr>
          <w:rFonts w:ascii="Times New Roman" w:eastAsia="Calibri" w:hAnsi="Times New Roman" w:cs="Times New Roman"/>
        </w:rPr>
        <w:t xml:space="preserve">, N.L. et al. Knowledge, attitude, and food safety practices among university students in Kilimanjaro region, northern Tanzania. </w:t>
      </w:r>
      <w:proofErr w:type="spellStart"/>
      <w:r w:rsidRPr="00A15DB1">
        <w:rPr>
          <w:rFonts w:ascii="Times New Roman" w:eastAsia="Calibri" w:hAnsi="Times New Roman" w:cs="Times New Roman"/>
        </w:rPr>
        <w:t>Discov</w:t>
      </w:r>
      <w:proofErr w:type="spellEnd"/>
      <w:r w:rsidRPr="00A15DB1">
        <w:rPr>
          <w:rFonts w:ascii="Times New Roman" w:eastAsia="Calibri" w:hAnsi="Times New Roman" w:cs="Times New Roman"/>
        </w:rPr>
        <w:t xml:space="preserve"> Public Health 2024; 21(136</w:t>
      </w:r>
      <w:proofErr w:type="gramStart"/>
      <w:r w:rsidRPr="00A15DB1">
        <w:rPr>
          <w:rFonts w:ascii="Times New Roman" w:eastAsia="Calibri" w:hAnsi="Times New Roman" w:cs="Times New Roman"/>
        </w:rPr>
        <w:t>) .</w:t>
      </w:r>
      <w:proofErr w:type="gramEnd"/>
      <w:r w:rsidRPr="00A15DB1">
        <w:rPr>
          <w:rFonts w:ascii="Times New Roman" w:eastAsia="Calibri" w:hAnsi="Times New Roman" w:cs="Times New Roman"/>
        </w:rPr>
        <w:t xml:space="preserve"> </w:t>
      </w:r>
      <w:hyperlink r:id="rId15" w:history="1">
        <w:r w:rsidRPr="00A15DB1">
          <w:rPr>
            <w:rStyle w:val="Hyperlink"/>
            <w:rFonts w:ascii="Times New Roman" w:eastAsia="Calibri" w:hAnsi="Times New Roman"/>
          </w:rPr>
          <w:t>https://doi.org/10.1186/s12982-024-00252-4</w:t>
        </w:r>
      </w:hyperlink>
      <w:r w:rsidRPr="00A15DB1">
        <w:rPr>
          <w:rFonts w:ascii="Times New Roman" w:eastAsia="Calibri" w:hAnsi="Times New Roman" w:cs="Times New Roman"/>
        </w:rPr>
        <w:t xml:space="preserve"> </w:t>
      </w:r>
    </w:p>
    <w:p w14:paraId="5BE5EF56"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Green E. J. and Knechtges P. L., Food safety knowledge and practices of young adults, Journal of Environmental Health. 2015; 77(10):18–24. </w:t>
      </w:r>
      <w:r>
        <w:rPr>
          <w:rFonts w:ascii="Times New Roman" w:eastAsia="Calibri" w:hAnsi="Times New Roman" w:cs="Times New Roman"/>
        </w:rPr>
        <w:t>A</w:t>
      </w:r>
      <w:r w:rsidRPr="00A15DB1">
        <w:rPr>
          <w:rFonts w:ascii="Times New Roman" w:eastAsia="Calibri" w:hAnsi="Times New Roman" w:cs="Times New Roman"/>
        </w:rPr>
        <w:t xml:space="preserve">vailable from: </w:t>
      </w:r>
      <w:hyperlink r:id="rId16" w:history="1">
        <w:r w:rsidRPr="00A15DB1">
          <w:rPr>
            <w:rFonts w:ascii="Times New Roman" w:eastAsia="Calibri" w:hAnsi="Times New Roman" w:cs="Times New Roman"/>
            <w:color w:val="0563C1"/>
            <w:u w:val="single"/>
          </w:rPr>
          <w:t>https://pubmed.ncbi.nlm.nih.gov/26058218/</w:t>
        </w:r>
      </w:hyperlink>
    </w:p>
    <w:p w14:paraId="1F1B987A"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Islam, M. N., Hassan, H. F., Amin, M. B., </w:t>
      </w:r>
      <w:proofErr w:type="spellStart"/>
      <w:r w:rsidRPr="00A15DB1">
        <w:rPr>
          <w:rFonts w:ascii="Times New Roman" w:eastAsia="Calibri" w:hAnsi="Times New Roman" w:cs="Times New Roman"/>
        </w:rPr>
        <w:t>Madilo</w:t>
      </w:r>
      <w:proofErr w:type="spellEnd"/>
      <w:r w:rsidRPr="00A15DB1">
        <w:rPr>
          <w:rFonts w:ascii="Times New Roman" w:eastAsia="Calibri" w:hAnsi="Times New Roman" w:cs="Times New Roman"/>
        </w:rPr>
        <w:t xml:space="preserve">, F. K., Rahman, M. A., Haque, M. R., </w:t>
      </w:r>
      <w:proofErr w:type="spellStart"/>
      <w:r w:rsidRPr="00A15DB1">
        <w:rPr>
          <w:rFonts w:ascii="Times New Roman" w:eastAsia="Calibri" w:hAnsi="Times New Roman" w:cs="Times New Roman"/>
        </w:rPr>
        <w:t>Aktarujjaman</w:t>
      </w:r>
      <w:proofErr w:type="spellEnd"/>
      <w:r w:rsidRPr="00A15DB1">
        <w:rPr>
          <w:rFonts w:ascii="Times New Roman" w:eastAsia="Calibri" w:hAnsi="Times New Roman" w:cs="Times New Roman"/>
        </w:rPr>
        <w:t xml:space="preserve">, M., Farjana, N., &amp; Roy, N. Food safety and handling knowledge and practices among university students of Bangladesh: A cross-sectional study. </w:t>
      </w:r>
      <w:proofErr w:type="spellStart"/>
      <w:r w:rsidRPr="00A15DB1">
        <w:rPr>
          <w:rFonts w:ascii="Times New Roman" w:eastAsia="Calibri" w:hAnsi="Times New Roman" w:cs="Times New Roman"/>
        </w:rPr>
        <w:t>Heliyon</w:t>
      </w:r>
      <w:proofErr w:type="spellEnd"/>
      <w:r w:rsidRPr="00A15DB1">
        <w:rPr>
          <w:rFonts w:ascii="Times New Roman" w:eastAsia="Calibri" w:hAnsi="Times New Roman" w:cs="Times New Roman"/>
        </w:rPr>
        <w:t xml:space="preserve">, 2022; 8(12), e11987. </w:t>
      </w:r>
      <w:hyperlink r:id="rId17" w:history="1">
        <w:r w:rsidRPr="00A15DB1">
          <w:rPr>
            <w:rStyle w:val="Hyperlink"/>
            <w:rFonts w:ascii="Times New Roman" w:eastAsia="Calibri" w:hAnsi="Times New Roman"/>
          </w:rPr>
          <w:t>https://doi.org/10.1016/j.heliyon.2022.e11987</w:t>
        </w:r>
      </w:hyperlink>
      <w:r w:rsidRPr="00A15DB1">
        <w:rPr>
          <w:rFonts w:ascii="Times New Roman" w:eastAsia="Calibri" w:hAnsi="Times New Roman" w:cs="Times New Roman"/>
        </w:rPr>
        <w:t xml:space="preserve"> </w:t>
      </w:r>
    </w:p>
    <w:p w14:paraId="00B538D2"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Hassan HF, </w:t>
      </w:r>
      <w:proofErr w:type="spellStart"/>
      <w:r w:rsidRPr="00A15DB1">
        <w:rPr>
          <w:rFonts w:ascii="Times New Roman" w:eastAsia="Calibri" w:hAnsi="Times New Roman" w:cs="Times New Roman"/>
        </w:rPr>
        <w:t>Dimassi</w:t>
      </w:r>
      <w:proofErr w:type="spellEnd"/>
      <w:r w:rsidRPr="00A15DB1">
        <w:rPr>
          <w:rFonts w:ascii="Times New Roman" w:eastAsia="Calibri" w:hAnsi="Times New Roman" w:cs="Times New Roman"/>
        </w:rPr>
        <w:t xml:space="preserve"> H. Food safety and handling knowledge and practices of Lebanese university students. Food Control [Internet]. 2014; 40:127–33. Available from: </w:t>
      </w:r>
      <w:hyperlink r:id="rId18" w:history="1">
        <w:r w:rsidRPr="00A15DB1">
          <w:rPr>
            <w:rFonts w:ascii="Times New Roman" w:eastAsia="Calibri" w:hAnsi="Times New Roman" w:cs="Times New Roman"/>
            <w:color w:val="0563C1"/>
            <w:u w:val="single"/>
          </w:rPr>
          <w:t>http://ssu.ac.ir/cms/fileadmin/user_upload/Mtahghighat/tfood/asil-article/a-z/Food-safety-and-handling-knowledge-and-practices-of-Lebanese-university-students_2014_Food-Control.pdf</w:t>
        </w:r>
      </w:hyperlink>
    </w:p>
    <w:p w14:paraId="4351821E"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proofErr w:type="spellStart"/>
      <w:r w:rsidRPr="00A15DB1">
        <w:rPr>
          <w:rFonts w:ascii="Times New Roman" w:eastAsia="Calibri" w:hAnsi="Times New Roman" w:cs="Times New Roman"/>
        </w:rPr>
        <w:t>Stratev</w:t>
      </w:r>
      <w:proofErr w:type="spellEnd"/>
      <w:r w:rsidRPr="00A15DB1">
        <w:rPr>
          <w:rFonts w:ascii="Times New Roman" w:eastAsia="Calibri" w:hAnsi="Times New Roman" w:cs="Times New Roman"/>
        </w:rPr>
        <w:t xml:space="preserve"> D, Odeyemi OA, Pavlov A, </w:t>
      </w:r>
      <w:proofErr w:type="spellStart"/>
      <w:r w:rsidRPr="00A15DB1">
        <w:rPr>
          <w:rFonts w:ascii="Times New Roman" w:eastAsia="Calibri" w:hAnsi="Times New Roman" w:cs="Times New Roman"/>
        </w:rPr>
        <w:t>Kyuchukova</w:t>
      </w:r>
      <w:proofErr w:type="spellEnd"/>
      <w:r w:rsidRPr="00A15DB1">
        <w:rPr>
          <w:rFonts w:ascii="Times New Roman" w:eastAsia="Calibri" w:hAnsi="Times New Roman" w:cs="Times New Roman"/>
        </w:rPr>
        <w:t xml:space="preserve"> R, Fatehi F, Bamidele FA. Food safety knowledge and hygiene practices among veterinary medicine students at Trakia University, Bulgaria. J Infect Public Health [Internet]. 2017 [cited 2022 Jan 22];10(6):778–82. Available from: </w:t>
      </w:r>
      <w:hyperlink r:id="rId19" w:history="1">
        <w:r w:rsidRPr="00A15DB1">
          <w:rPr>
            <w:rFonts w:ascii="Times New Roman" w:eastAsia="Calibri" w:hAnsi="Times New Roman" w:cs="Times New Roman"/>
            <w:color w:val="0563C1"/>
            <w:u w:val="single"/>
          </w:rPr>
          <w:t>https://pubmed.ncbi.nlm.nih.gov/28188117/</w:t>
        </w:r>
      </w:hyperlink>
    </w:p>
    <w:p w14:paraId="28F98AB9" w14:textId="77777777" w:rsidR="008D3C32" w:rsidRPr="00A15DB1" w:rsidRDefault="008D3C32" w:rsidP="008D3C32">
      <w:pPr>
        <w:pStyle w:val="ListParagraph"/>
        <w:numPr>
          <w:ilvl w:val="0"/>
          <w:numId w:val="5"/>
        </w:numPr>
        <w:spacing w:line="480" w:lineRule="auto"/>
        <w:ind w:left="270"/>
        <w:jc w:val="both"/>
        <w:rPr>
          <w:rFonts w:ascii="Times New Roman" w:eastAsia="KxsbjvMinionProRegular" w:hAnsi="Times New Roman" w:cs="Times New Roman"/>
          <w:color w:val="131413"/>
          <w:lang w:bidi="ar"/>
        </w:rPr>
      </w:pPr>
      <w:proofErr w:type="spellStart"/>
      <w:r w:rsidRPr="00A15DB1">
        <w:rPr>
          <w:rFonts w:ascii="Times New Roman" w:eastAsia="KxsbjvMinionProRegular" w:hAnsi="Times New Roman" w:cs="Times New Roman"/>
          <w:color w:val="131413"/>
          <w:lang w:bidi="ar"/>
        </w:rPr>
        <w:t>Garayoa</w:t>
      </w:r>
      <w:proofErr w:type="spellEnd"/>
      <w:r w:rsidRPr="00A15DB1">
        <w:rPr>
          <w:rFonts w:ascii="Times New Roman" w:eastAsia="KxsbjvMinionProRegular" w:hAnsi="Times New Roman" w:cs="Times New Roman"/>
          <w:color w:val="131413"/>
          <w:lang w:bidi="ar"/>
        </w:rPr>
        <w:t xml:space="preserve"> R, Córdoba M, García-</w:t>
      </w:r>
      <w:proofErr w:type="spellStart"/>
      <w:r w:rsidRPr="00A15DB1">
        <w:rPr>
          <w:rFonts w:ascii="Times New Roman" w:eastAsia="KxsbjvMinionProRegular" w:hAnsi="Times New Roman" w:cs="Times New Roman"/>
          <w:color w:val="131413"/>
          <w:lang w:bidi="ar"/>
        </w:rPr>
        <w:t>Jalón</w:t>
      </w:r>
      <w:proofErr w:type="spellEnd"/>
      <w:r w:rsidRPr="00A15DB1">
        <w:rPr>
          <w:rFonts w:ascii="Times New Roman" w:eastAsia="KxsbjvMinionProRegular" w:hAnsi="Times New Roman" w:cs="Times New Roman"/>
          <w:color w:val="131413"/>
          <w:lang w:bidi="ar"/>
        </w:rPr>
        <w:t xml:space="preserve"> I, Sanchez-Villegas A, Vitas AI. Relationship between consumer food safety knowledge and reported </w:t>
      </w:r>
      <w:proofErr w:type="spellStart"/>
      <w:r w:rsidRPr="00A15DB1">
        <w:rPr>
          <w:rFonts w:ascii="Times New Roman" w:eastAsia="KxsbjvMinionProRegular" w:hAnsi="Times New Roman" w:cs="Times New Roman"/>
          <w:color w:val="131413"/>
          <w:lang w:bidi="ar"/>
        </w:rPr>
        <w:t>behavior</w:t>
      </w:r>
      <w:proofErr w:type="spellEnd"/>
      <w:r w:rsidRPr="00A15DB1">
        <w:rPr>
          <w:rFonts w:ascii="Times New Roman" w:eastAsia="KxsbjvMinionProRegular" w:hAnsi="Times New Roman" w:cs="Times New Roman"/>
          <w:color w:val="131413"/>
          <w:lang w:bidi="ar"/>
        </w:rPr>
        <w:t xml:space="preserve"> among students from health sciences in one </w:t>
      </w:r>
      <w:r w:rsidRPr="00A15DB1">
        <w:rPr>
          <w:rFonts w:ascii="Times New Roman" w:eastAsia="KxsbjvMinionProRegular" w:hAnsi="Times New Roman" w:cs="Times New Roman"/>
          <w:color w:val="131413"/>
          <w:lang w:bidi="ar"/>
        </w:rPr>
        <w:lastRenderedPageBreak/>
        <w:t xml:space="preserve">region of Spain. J Food Prot. 2005;68(12):2631–6. Available from: </w:t>
      </w:r>
      <w:hyperlink r:id="rId20" w:history="1">
        <w:r w:rsidRPr="00A15DB1">
          <w:rPr>
            <w:rStyle w:val="Hyperlink"/>
            <w:rFonts w:ascii="Times New Roman" w:eastAsia="KxsbjvMinionProRegular" w:hAnsi="Times New Roman"/>
            <w:lang w:bidi="ar"/>
          </w:rPr>
          <w:t>http://dx.doi.org/10.4315/0362-028x-68.12.2631</w:t>
        </w:r>
      </w:hyperlink>
      <w:r w:rsidRPr="00A15DB1">
        <w:rPr>
          <w:rFonts w:ascii="Times New Roman" w:eastAsia="KxsbjvMinionProRegular" w:hAnsi="Times New Roman" w:cs="Times New Roman"/>
          <w:color w:val="131413"/>
          <w:lang w:bidi="ar"/>
        </w:rPr>
        <w:t xml:space="preserve"> </w:t>
      </w:r>
    </w:p>
    <w:p w14:paraId="084BA7A3"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Abdul-Mutalib N-A, Abdul-Rashid M-F, Mustafa S, Amin-Nordin S, Hamat RA, Osman M. Knowledge, attitude and practices regarding food hygiene and sanitation of food handlers in Kuala </w:t>
      </w:r>
      <w:proofErr w:type="spellStart"/>
      <w:r w:rsidRPr="00A15DB1">
        <w:rPr>
          <w:rFonts w:ascii="Times New Roman" w:eastAsia="Calibri" w:hAnsi="Times New Roman" w:cs="Times New Roman"/>
        </w:rPr>
        <w:t>Pilah</w:t>
      </w:r>
      <w:proofErr w:type="spellEnd"/>
      <w:r w:rsidRPr="00A15DB1">
        <w:rPr>
          <w:rFonts w:ascii="Times New Roman" w:eastAsia="Calibri" w:hAnsi="Times New Roman" w:cs="Times New Roman"/>
        </w:rPr>
        <w:t xml:space="preserve">, Malaysia. Food Control. 2012; 27(2):289–93. </w:t>
      </w:r>
      <w:hyperlink r:id="rId21" w:history="1">
        <w:r w:rsidRPr="00A15DB1">
          <w:rPr>
            <w:rStyle w:val="Hyperlink"/>
            <w:rFonts w:ascii="Times New Roman" w:eastAsia="Calibri" w:hAnsi="Times New Roman"/>
          </w:rPr>
          <w:t>http://www.ssu.ac.ir/cms/fileadmin/user_upload/Mtahghighat/tfood/asil-article/amuzesh-Behdasht-</w:t>
        </w:r>
      </w:hyperlink>
      <w:r w:rsidRPr="00A15DB1">
        <w:rPr>
          <w:rFonts w:ascii="Times New Roman" w:eastAsia="Calibri" w:hAnsi="Times New Roman" w:cs="Times New Roman"/>
        </w:rPr>
        <w:t>Ghaza/Knowledge__attitude_and_practices_regarding_food_hygiene_and_sanitation_of_food.pdf</w:t>
      </w:r>
    </w:p>
    <w:p w14:paraId="596AD62E" w14:textId="77777777" w:rsidR="008D3C32" w:rsidRPr="00A15DB1" w:rsidRDefault="008D3C32" w:rsidP="008D3C32">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Sharif L, Al-Malki T. Knowledge, attitude and practice of Taif University students on food poisoning. Food Control. 2010; 21(1):55–60. </w:t>
      </w:r>
      <w:hyperlink r:id="rId22" w:history="1">
        <w:r w:rsidRPr="00A15DB1">
          <w:rPr>
            <w:rFonts w:ascii="Times New Roman" w:eastAsia="Calibri" w:hAnsi="Times New Roman" w:cs="Times New Roman"/>
            <w:color w:val="0563C1"/>
            <w:u w:val="single"/>
          </w:rPr>
          <w:t>http://dx.doi.org/10.1016/j.foodcont.2009.03.015</w:t>
        </w:r>
      </w:hyperlink>
    </w:p>
    <w:p w14:paraId="72A784DD" w14:textId="77777777" w:rsidR="008D3C32" w:rsidRPr="00A15DB1" w:rsidRDefault="008D3C32" w:rsidP="008D3C32">
      <w:pPr>
        <w:pStyle w:val="ListParagraph"/>
        <w:numPr>
          <w:ilvl w:val="0"/>
          <w:numId w:val="5"/>
        </w:numPr>
        <w:spacing w:line="480" w:lineRule="auto"/>
        <w:ind w:left="270"/>
        <w:jc w:val="both"/>
        <w:rPr>
          <w:rFonts w:ascii="Times New Roman" w:hAnsi="Times New Roman" w:cs="Times New Roman"/>
        </w:rPr>
      </w:pPr>
      <w:proofErr w:type="spellStart"/>
      <w:r w:rsidRPr="00A15DB1">
        <w:rPr>
          <w:rFonts w:ascii="Times New Roman" w:hAnsi="Times New Roman" w:cs="Times New Roman"/>
        </w:rPr>
        <w:t>Zyoud</w:t>
      </w:r>
      <w:proofErr w:type="spellEnd"/>
      <w:r w:rsidRPr="00A15DB1">
        <w:rPr>
          <w:rFonts w:ascii="Times New Roman" w:hAnsi="Times New Roman" w:cs="Times New Roman"/>
        </w:rPr>
        <w:t xml:space="preserve"> S, Shalabi J, Imran K, </w:t>
      </w:r>
      <w:proofErr w:type="spellStart"/>
      <w:r w:rsidRPr="00A15DB1">
        <w:rPr>
          <w:rFonts w:ascii="Times New Roman" w:hAnsi="Times New Roman" w:cs="Times New Roman"/>
        </w:rPr>
        <w:t>Ayaseh</w:t>
      </w:r>
      <w:proofErr w:type="spellEnd"/>
      <w:r w:rsidRPr="00A15DB1">
        <w:rPr>
          <w:rFonts w:ascii="Times New Roman" w:hAnsi="Times New Roman" w:cs="Times New Roman"/>
        </w:rPr>
        <w:t xml:space="preserve"> L, </w:t>
      </w:r>
      <w:proofErr w:type="spellStart"/>
      <w:r w:rsidRPr="00A15DB1">
        <w:rPr>
          <w:rFonts w:ascii="Times New Roman" w:hAnsi="Times New Roman" w:cs="Times New Roman"/>
        </w:rPr>
        <w:t>Radwany</w:t>
      </w:r>
      <w:proofErr w:type="spellEnd"/>
      <w:r w:rsidRPr="00A15DB1">
        <w:rPr>
          <w:rFonts w:ascii="Times New Roman" w:hAnsi="Times New Roman" w:cs="Times New Roman"/>
        </w:rPr>
        <w:t xml:space="preserve"> N, Salameh R, et al. Knowledge, attitude and practices among parents regarding food poisoning: a cross-sectional study from Palestine. BMC Public Health. 2019;19(1):586. </w:t>
      </w:r>
      <w:hyperlink r:id="rId23" w:history="1">
        <w:r w:rsidRPr="00A15DB1">
          <w:rPr>
            <w:rStyle w:val="Hyperlink"/>
            <w:rFonts w:ascii="Times New Roman" w:hAnsi="Times New Roman"/>
          </w:rPr>
          <w:t>http://dx.doi.org/10.1186/s12889-019-6955-2</w:t>
        </w:r>
      </w:hyperlink>
      <w:r w:rsidRPr="00A15DB1">
        <w:rPr>
          <w:rFonts w:ascii="Times New Roman" w:hAnsi="Times New Roman" w:cs="Times New Roman"/>
        </w:rPr>
        <w:t xml:space="preserve"> </w:t>
      </w:r>
    </w:p>
    <w:p w14:paraId="1FA1108B" w14:textId="77777777" w:rsidR="008D3C32" w:rsidRPr="00A15DB1" w:rsidRDefault="008D3C32" w:rsidP="008D3C32">
      <w:pPr>
        <w:pStyle w:val="ListParagraph"/>
        <w:numPr>
          <w:ilvl w:val="0"/>
          <w:numId w:val="5"/>
        </w:numPr>
        <w:spacing w:line="480" w:lineRule="auto"/>
        <w:ind w:left="270"/>
        <w:jc w:val="both"/>
        <w:rPr>
          <w:rFonts w:ascii="Times New Roman" w:eastAsia="KxsbjvMinionProRegular" w:hAnsi="Times New Roman" w:cs="Times New Roman"/>
          <w:color w:val="131413"/>
          <w:lang w:bidi="ar"/>
        </w:rPr>
      </w:pPr>
      <w:proofErr w:type="spellStart"/>
      <w:r w:rsidRPr="00A15DB1">
        <w:rPr>
          <w:rFonts w:ascii="Times New Roman" w:hAnsi="Times New Roman" w:cs="Times New Roman"/>
        </w:rPr>
        <w:t>Mekasha</w:t>
      </w:r>
      <w:proofErr w:type="spellEnd"/>
      <w:r w:rsidRPr="00A15DB1">
        <w:rPr>
          <w:rFonts w:ascii="Times New Roman" w:hAnsi="Times New Roman" w:cs="Times New Roman"/>
        </w:rPr>
        <w:t xml:space="preserve"> T, Neela S, </w:t>
      </w:r>
      <w:proofErr w:type="spellStart"/>
      <w:r w:rsidRPr="00A15DB1">
        <w:rPr>
          <w:rFonts w:ascii="Times New Roman" w:hAnsi="Times New Roman" w:cs="Times New Roman"/>
        </w:rPr>
        <w:t>Kumela</w:t>
      </w:r>
      <w:proofErr w:type="spellEnd"/>
      <w:r w:rsidRPr="00A15DB1">
        <w:rPr>
          <w:rFonts w:ascii="Times New Roman" w:hAnsi="Times New Roman" w:cs="Times New Roman"/>
        </w:rPr>
        <w:t xml:space="preserve"> D. Food safety knowledge, practice and attitude of food handlers in traditional hotels of Jimma Town, southern Ethiopia. Annals Food Science and Technology. 2016; 17(2):507–17.</w:t>
      </w:r>
    </w:p>
    <w:p w14:paraId="01045A86" w14:textId="77777777" w:rsidR="008D3C32" w:rsidRPr="00A15DB1" w:rsidRDefault="008D3C32" w:rsidP="008D3C32">
      <w:pPr>
        <w:pStyle w:val="ListParagraph"/>
        <w:numPr>
          <w:ilvl w:val="0"/>
          <w:numId w:val="5"/>
        </w:numPr>
        <w:spacing w:line="480" w:lineRule="auto"/>
        <w:ind w:left="270"/>
        <w:jc w:val="both"/>
        <w:rPr>
          <w:rFonts w:ascii="Times New Roman" w:hAnsi="Times New Roman" w:cs="Times New Roman"/>
        </w:rPr>
      </w:pPr>
      <w:r w:rsidRPr="00A15DB1">
        <w:rPr>
          <w:rFonts w:ascii="Times New Roman" w:eastAsia="KxsbjvMinionProRegular" w:hAnsi="Times New Roman" w:cs="Times New Roman"/>
          <w:color w:val="131413"/>
          <w:lang w:bidi="ar"/>
        </w:rPr>
        <w:t xml:space="preserve">Nesbitt A, </w:t>
      </w:r>
      <w:proofErr w:type="spellStart"/>
      <w:r w:rsidRPr="00A15DB1">
        <w:rPr>
          <w:rFonts w:ascii="Times New Roman" w:eastAsia="KxsbjvMinionProRegular" w:hAnsi="Times New Roman" w:cs="Times New Roman"/>
          <w:color w:val="131413"/>
          <w:lang w:bidi="ar"/>
        </w:rPr>
        <w:t>Majowicz</w:t>
      </w:r>
      <w:proofErr w:type="spellEnd"/>
      <w:r w:rsidRPr="00A15DB1">
        <w:rPr>
          <w:rFonts w:ascii="Times New Roman" w:eastAsia="KxsbjvMinionProRegular" w:hAnsi="Times New Roman" w:cs="Times New Roman"/>
          <w:color w:val="131413"/>
          <w:lang w:bidi="ar"/>
        </w:rPr>
        <w:t xml:space="preserve"> S, Finley R, Marshall B, Pollari F, Sargeant J, et al. High-risk food consumption and food safety practices in a Canadian community. J Food Prot. 2009;72(12):2575–86. Available from: </w:t>
      </w:r>
      <w:hyperlink r:id="rId24" w:history="1">
        <w:r w:rsidRPr="00A15DB1">
          <w:rPr>
            <w:rStyle w:val="Hyperlink"/>
            <w:rFonts w:ascii="Times New Roman" w:eastAsia="KxsbjvMinionProRegular" w:hAnsi="Times New Roman"/>
            <w:lang w:bidi="ar"/>
          </w:rPr>
          <w:t>https://pubmed.ncbi.nlm.nih.gov/20003742/</w:t>
        </w:r>
      </w:hyperlink>
      <w:r w:rsidRPr="00A15DB1">
        <w:rPr>
          <w:rFonts w:ascii="Times New Roman" w:eastAsia="KxsbjvMinionProRegular" w:hAnsi="Times New Roman" w:cs="Times New Roman"/>
          <w:color w:val="131413"/>
          <w:lang w:bidi="ar"/>
        </w:rPr>
        <w:t xml:space="preserve"> </w:t>
      </w:r>
    </w:p>
    <w:p w14:paraId="1F1178BC" w14:textId="77777777" w:rsidR="008D3C32" w:rsidRPr="00F162DB" w:rsidRDefault="008D3C32" w:rsidP="008D3C32">
      <w:pPr>
        <w:spacing w:line="480" w:lineRule="auto"/>
        <w:jc w:val="both"/>
        <w:rPr>
          <w:rFonts w:ascii="Times New Roman" w:hAnsi="Times New Roman" w:cs="Times New Roman"/>
        </w:rPr>
      </w:pPr>
    </w:p>
    <w:p w14:paraId="7C5184A8" w14:textId="77777777" w:rsidR="008D3C32" w:rsidRPr="00051D9F" w:rsidRDefault="008D3C32" w:rsidP="008D3C32">
      <w:pPr>
        <w:spacing w:line="480" w:lineRule="auto"/>
        <w:rPr>
          <w:rFonts w:ascii="Times New Roman" w:eastAsia="Calibri" w:hAnsi="Times New Roman" w:cs="Times New Roman"/>
          <w:sz w:val="24"/>
          <w:szCs w:val="24"/>
        </w:rPr>
      </w:pPr>
    </w:p>
    <w:p w14:paraId="5E5B2DDC" w14:textId="77777777" w:rsidR="00C9137E" w:rsidRDefault="00C9137E"/>
    <w:sectPr w:rsidR="00C91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
    <w:altName w:val="Segoe Print"/>
    <w:charset w:val="00"/>
    <w:family w:val="auto"/>
    <w:pitch w:val="default"/>
  </w:font>
  <w:font w:name="GulliverRM">
    <w:altName w:val="Segoe Print"/>
    <w:charset w:val="00"/>
    <w:family w:val="auto"/>
    <w:pitch w:val="default"/>
  </w:font>
  <w:font w:name="KxsbjvMinionProRegular">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4AC6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9B29DE"/>
    <w:multiLevelType w:val="hybridMultilevel"/>
    <w:tmpl w:val="4A505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C01AC"/>
    <w:multiLevelType w:val="hybridMultilevel"/>
    <w:tmpl w:val="901C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F0C5A"/>
    <w:multiLevelType w:val="hybridMultilevel"/>
    <w:tmpl w:val="78E0C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196C8E"/>
    <w:multiLevelType w:val="hybridMultilevel"/>
    <w:tmpl w:val="BEE0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424425">
    <w:abstractNumId w:val="3"/>
  </w:num>
  <w:num w:numId="2" w16cid:durableId="789006564">
    <w:abstractNumId w:val="0"/>
  </w:num>
  <w:num w:numId="3" w16cid:durableId="874081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55202">
    <w:abstractNumId w:val="4"/>
  </w:num>
  <w:num w:numId="5" w16cid:durableId="1604074396">
    <w:abstractNumId w:val="2"/>
  </w:num>
  <w:num w:numId="6" w16cid:durableId="161986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32"/>
    <w:rsid w:val="002D1F52"/>
    <w:rsid w:val="00340FF1"/>
    <w:rsid w:val="003C31DD"/>
    <w:rsid w:val="00416A3E"/>
    <w:rsid w:val="0048601F"/>
    <w:rsid w:val="004E0987"/>
    <w:rsid w:val="00607143"/>
    <w:rsid w:val="00634769"/>
    <w:rsid w:val="00665C9B"/>
    <w:rsid w:val="00740389"/>
    <w:rsid w:val="008924F5"/>
    <w:rsid w:val="008975AF"/>
    <w:rsid w:val="008D3C32"/>
    <w:rsid w:val="00902BDE"/>
    <w:rsid w:val="009A1401"/>
    <w:rsid w:val="00A31470"/>
    <w:rsid w:val="00A64A0D"/>
    <w:rsid w:val="00B866C6"/>
    <w:rsid w:val="00C456ED"/>
    <w:rsid w:val="00C9137E"/>
    <w:rsid w:val="00D6468C"/>
    <w:rsid w:val="00F64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C0E2"/>
  <w15:chartTrackingRefBased/>
  <w15:docId w15:val="{15511040-B599-44E6-B65A-8A355F2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32"/>
  </w:style>
  <w:style w:type="paragraph" w:styleId="Heading1">
    <w:name w:val="heading 1"/>
    <w:basedOn w:val="Normal"/>
    <w:next w:val="Normal"/>
    <w:link w:val="Heading1Char"/>
    <w:uiPriority w:val="9"/>
    <w:qFormat/>
    <w:rsid w:val="008D3C32"/>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3C32"/>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3C32"/>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3C32"/>
    <w:pPr>
      <w:keepNext/>
      <w:keepLines/>
      <w:spacing w:before="80" w:after="40" w:line="278"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D3C32"/>
    <w:pPr>
      <w:keepNext/>
      <w:keepLines/>
      <w:spacing w:before="80" w:after="40" w:line="278" w:lineRule="auto"/>
      <w:outlineLvl w:val="4"/>
    </w:pPr>
    <w:rPr>
      <w:rFonts w:eastAsiaTheme="majorEastAsia"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D3C3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D3C3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D3C3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D3C3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32"/>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8D3C32"/>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8D3C32"/>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8D3C32"/>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8D3C32"/>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8D3C32"/>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8D3C32"/>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8D3C32"/>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8D3C32"/>
    <w:rPr>
      <w:rFonts w:eastAsiaTheme="majorEastAsia" w:cstheme="majorBidi"/>
      <w:color w:val="272727" w:themeColor="text1" w:themeTint="D8"/>
      <w:kern w:val="2"/>
      <w:sz w:val="24"/>
      <w:szCs w:val="24"/>
      <w14:ligatures w14:val="standardContextual"/>
    </w:rPr>
  </w:style>
  <w:style w:type="character" w:styleId="Hyperlink">
    <w:name w:val="Hyperlink"/>
    <w:basedOn w:val="DefaultParagraphFont"/>
    <w:unhideWhenUsed/>
    <w:rsid w:val="008D3C32"/>
    <w:rPr>
      <w:color w:val="0563C1" w:themeColor="hyperlink"/>
      <w:u w:val="single"/>
    </w:rPr>
  </w:style>
  <w:style w:type="paragraph" w:styleId="ListParagraph">
    <w:name w:val="List Paragraph"/>
    <w:basedOn w:val="Normal"/>
    <w:qFormat/>
    <w:rsid w:val="008D3C32"/>
    <w:pPr>
      <w:ind w:left="720"/>
      <w:contextualSpacing/>
    </w:pPr>
  </w:style>
  <w:style w:type="paragraph" w:styleId="Title">
    <w:name w:val="Title"/>
    <w:basedOn w:val="Normal"/>
    <w:next w:val="Normal"/>
    <w:link w:val="TitleChar"/>
    <w:uiPriority w:val="10"/>
    <w:qFormat/>
    <w:rsid w:val="008D3C3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3C3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D3C3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3C3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D3C3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D3C32"/>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8D3C32"/>
    <w:rPr>
      <w:i/>
      <w:iCs/>
      <w:color w:val="2E74B5" w:themeColor="accent1" w:themeShade="BF"/>
    </w:rPr>
  </w:style>
  <w:style w:type="paragraph" w:styleId="IntenseQuote">
    <w:name w:val="Intense Quote"/>
    <w:basedOn w:val="Normal"/>
    <w:next w:val="Normal"/>
    <w:link w:val="IntenseQuoteChar"/>
    <w:uiPriority w:val="30"/>
    <w:qFormat/>
    <w:rsid w:val="008D3C32"/>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D3C32"/>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8D3C32"/>
    <w:rPr>
      <w:b/>
      <w:bCs/>
      <w:smallCaps/>
      <w:color w:val="2E74B5" w:themeColor="accent1" w:themeShade="BF"/>
      <w:spacing w:val="5"/>
    </w:rPr>
  </w:style>
  <w:style w:type="paragraph" w:styleId="NormalWeb">
    <w:name w:val="Normal (Web)"/>
    <w:basedOn w:val="Normal"/>
    <w:rsid w:val="008D3C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8D3C32"/>
    <w:rPr>
      <w:rFonts w:ascii="Calibri" w:eastAsia="SimSun" w:hAnsi="Calibri" w:cs="Times New Roman"/>
    </w:rPr>
  </w:style>
  <w:style w:type="character" w:customStyle="1" w:styleId="NoSpacingChar">
    <w:name w:val="No Spacing Char"/>
    <w:link w:val="NoSpacing"/>
    <w:rsid w:val="008D3C32"/>
    <w:rPr>
      <w:rFonts w:ascii="Calibri" w:eastAsia="SimSun" w:hAnsi="Calibri" w:cs="Calibri"/>
      <w:lang w:val="en-US"/>
    </w:rPr>
  </w:style>
  <w:style w:type="paragraph" w:styleId="NoSpacing">
    <w:name w:val="No Spacing"/>
    <w:link w:val="NoSpacingChar"/>
    <w:qFormat/>
    <w:rsid w:val="008D3C32"/>
    <w:pPr>
      <w:spacing w:after="0" w:line="240" w:lineRule="auto"/>
    </w:pPr>
    <w:rPr>
      <w:rFonts w:ascii="Calibri" w:eastAsia="SimSun" w:hAnsi="Calibri" w:cs="Calibri"/>
      <w:lang w:val="en-US"/>
    </w:rPr>
  </w:style>
  <w:style w:type="character" w:customStyle="1" w:styleId="element-citation">
    <w:name w:val="element-citation"/>
    <w:rsid w:val="008D3C32"/>
    <w:rPr>
      <w:rFonts w:ascii="Calibri" w:eastAsia="SimSun" w:hAnsi="Calibri" w:cs="Times New Roman"/>
    </w:rPr>
  </w:style>
  <w:style w:type="character" w:customStyle="1" w:styleId="ref-journal">
    <w:name w:val="ref-journal"/>
    <w:rsid w:val="008D3C32"/>
    <w:rPr>
      <w:rFonts w:ascii="Calibri" w:eastAsia="SimSun" w:hAnsi="Calibri" w:cs="Times New Roman"/>
    </w:rPr>
  </w:style>
  <w:style w:type="character" w:customStyle="1" w:styleId="ref-vol">
    <w:name w:val="ref-vol"/>
    <w:rsid w:val="008D3C32"/>
    <w:rPr>
      <w:rFonts w:ascii="Calibri" w:eastAsia="SimSun" w:hAnsi="Calibri" w:cs="Times New Roman"/>
    </w:rPr>
  </w:style>
  <w:style w:type="table" w:customStyle="1" w:styleId="TableGrid1">
    <w:name w:val="Table Grid1"/>
    <w:basedOn w:val="TableNormal"/>
    <w:uiPriority w:val="59"/>
    <w:qFormat/>
    <w:rsid w:val="008D3C32"/>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8D3C32"/>
    <w:pPr>
      <w:widowControl w:val="0"/>
      <w:spacing w:after="0" w:line="240" w:lineRule="auto"/>
      <w:jc w:val="both"/>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D3C32"/>
    <w:pPr>
      <w:spacing w:after="0" w:line="240" w:lineRule="auto"/>
    </w:pPr>
    <w:rPr>
      <w:kern w:val="2"/>
      <w:sz w:val="24"/>
      <w:szCs w:val="24"/>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D3C32"/>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D3C32"/>
    <w:pPr>
      <w:spacing w:after="0" w:line="240" w:lineRule="auto"/>
    </w:pPr>
    <w:rPr>
      <w:kern w:val="2"/>
      <w:sz w:val="24"/>
      <w:szCs w:val="24"/>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8D3C32"/>
    <w:rPr>
      <w:color w:val="954F72" w:themeColor="followedHyperlink"/>
      <w:u w:val="single"/>
    </w:rPr>
  </w:style>
  <w:style w:type="paragraph" w:styleId="Header">
    <w:name w:val="header"/>
    <w:basedOn w:val="Normal"/>
    <w:link w:val="HeaderChar"/>
    <w:uiPriority w:val="99"/>
    <w:unhideWhenUsed/>
    <w:rsid w:val="008D3C32"/>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8D3C32"/>
    <w:rPr>
      <w:kern w:val="2"/>
      <w:sz w:val="24"/>
      <w:szCs w:val="24"/>
      <w14:ligatures w14:val="standardContextual"/>
    </w:rPr>
  </w:style>
  <w:style w:type="paragraph" w:styleId="Footer">
    <w:name w:val="footer"/>
    <w:basedOn w:val="Normal"/>
    <w:link w:val="FooterChar"/>
    <w:uiPriority w:val="99"/>
    <w:unhideWhenUsed/>
    <w:rsid w:val="008D3C32"/>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8D3C32"/>
    <w:rPr>
      <w:kern w:val="2"/>
      <w:sz w:val="24"/>
      <w:szCs w:val="24"/>
      <w14:ligatures w14:val="standardContextual"/>
    </w:rPr>
  </w:style>
  <w:style w:type="character" w:customStyle="1" w:styleId="UnresolvedMention1">
    <w:name w:val="Unresolved Mention1"/>
    <w:basedOn w:val="DefaultParagraphFont"/>
    <w:uiPriority w:val="99"/>
    <w:semiHidden/>
    <w:unhideWhenUsed/>
    <w:rsid w:val="008D3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89/fpubh.2021.729816" TargetMode="External"/><Relationship Id="rId13" Type="http://schemas.openxmlformats.org/officeDocument/2006/relationships/hyperlink" Target="https://journals.aphriapub.com/index.php/IJoHKHE/article/view/2302" TargetMode="External"/><Relationship Id="rId18" Type="http://schemas.openxmlformats.org/officeDocument/2006/relationships/hyperlink" Target="http://ssu.ac.ir/cms/fileadmin/user_upload/Mtahghighat/tfood/asil-article/a-z/Food-safety-and-handling-knowledge-and-practices-of-Lebanese-university-students_2014_Food-Control.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su.ac.ir/cms/fileadmin/user_upload/Mtahghighat/tfood/asil-article/amuzesh-Behdasht-" TargetMode="External"/><Relationship Id="rId7" Type="http://schemas.openxmlformats.org/officeDocument/2006/relationships/hyperlink" Target="http://dx.doi.org/10.3201/eid1701.101821" TargetMode="External"/><Relationship Id="rId12" Type="http://schemas.openxmlformats.org/officeDocument/2006/relationships/hyperlink" Target="https://ir.oauife.edu.ng/handle/123456789/4296" TargetMode="External"/><Relationship Id="rId17" Type="http://schemas.openxmlformats.org/officeDocument/2006/relationships/hyperlink" Target="https://doi.org/10.1016/j.heliyon.2022.e1198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26058218/" TargetMode="External"/><Relationship Id="rId20" Type="http://schemas.openxmlformats.org/officeDocument/2006/relationships/hyperlink" Target="http://dx.doi.org/10.4315/0362-028x-68.12.2631" TargetMode="External"/><Relationship Id="rId1" Type="http://schemas.openxmlformats.org/officeDocument/2006/relationships/numbering" Target="numbering.xml"/><Relationship Id="rId6" Type="http://schemas.openxmlformats.org/officeDocument/2006/relationships/hyperlink" Target="https://doi.org/10.4060/ca8185en" TargetMode="External"/><Relationship Id="rId11" Type="http://schemas.openxmlformats.org/officeDocument/2006/relationships/hyperlink" Target="https://doi.org.10.24018/ejfood.2020.2.4.85" TargetMode="External"/><Relationship Id="rId24" Type="http://schemas.openxmlformats.org/officeDocument/2006/relationships/hyperlink" Target="https://pubmed.ncbi.nlm.nih.gov/20003742/" TargetMode="External"/><Relationship Id="rId5" Type="http://schemas.openxmlformats.org/officeDocument/2006/relationships/hyperlink" Target="https://www.who.int/health-topics/foodborne-diseases" TargetMode="External"/><Relationship Id="rId15" Type="http://schemas.openxmlformats.org/officeDocument/2006/relationships/hyperlink" Target="https://doi.org/10.1186/s12982-024-00252-4" TargetMode="External"/><Relationship Id="rId23" Type="http://schemas.openxmlformats.org/officeDocument/2006/relationships/hyperlink" Target="http://dx.doi.org/10.1186/s12889-019-6955-2" TargetMode="External"/><Relationship Id="rId10" Type="http://schemas.openxmlformats.org/officeDocument/2006/relationships/hyperlink" Target="https://doi.org/10.1155/2021/5534034" TargetMode="External"/><Relationship Id="rId19" Type="http://schemas.openxmlformats.org/officeDocument/2006/relationships/hyperlink" Target="https://pubmed.ncbi.nlm.nih.gov/28188117/" TargetMode="External"/><Relationship Id="rId4" Type="http://schemas.openxmlformats.org/officeDocument/2006/relationships/webSettings" Target="webSettings.xml"/><Relationship Id="rId9" Type="http://schemas.openxmlformats.org/officeDocument/2006/relationships/hyperlink" Target="10.1186/s12889-016-3818-y" TargetMode="External"/><Relationship Id="rId14" Type="http://schemas.openxmlformats.org/officeDocument/2006/relationships/hyperlink" Target="https://www.hindawi.com/journals/bmri/2021/6686392/" TargetMode="External"/><Relationship Id="rId22" Type="http://schemas.openxmlformats.org/officeDocument/2006/relationships/hyperlink" Target="http://dx.doi.org/10.1016/j.foodcont.2009.0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19</Pages>
  <Words>5301</Words>
  <Characters>30216</Characters>
  <Application>Microsoft Office Word</Application>
  <DocSecurity>0</DocSecurity>
  <Lines>251</Lines>
  <Paragraphs>70</Paragraphs>
  <ScaleCrop>false</ScaleCrop>
  <Company>HP</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Editor-28</cp:lastModifiedBy>
  <cp:revision>18</cp:revision>
  <dcterms:created xsi:type="dcterms:W3CDTF">2025-06-05T07:13:00Z</dcterms:created>
  <dcterms:modified xsi:type="dcterms:W3CDTF">2025-06-06T05:50:00Z</dcterms:modified>
</cp:coreProperties>
</file>