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0984" w14:textId="77777777" w:rsidR="00C230E5" w:rsidRPr="00C230E5" w:rsidRDefault="00C230E5" w:rsidP="00C230E5">
      <w:pPr>
        <w:jc w:val="both"/>
        <w:rPr>
          <w:rFonts w:ascii="Times New Roman" w:hAnsi="Times New Roman" w:cs="Times New Roman"/>
          <w:b/>
          <w:bCs/>
          <w:i/>
          <w:iCs/>
          <w:sz w:val="24"/>
          <w:szCs w:val="24"/>
          <w:u w:val="single"/>
        </w:rPr>
      </w:pPr>
      <w:r w:rsidRPr="00C230E5">
        <w:rPr>
          <w:rFonts w:ascii="Times New Roman" w:hAnsi="Times New Roman" w:cs="Times New Roman"/>
          <w:b/>
          <w:bCs/>
          <w:i/>
          <w:iCs/>
          <w:sz w:val="24"/>
          <w:szCs w:val="24"/>
          <w:u w:val="single"/>
        </w:rPr>
        <w:t>Original Research Article</w:t>
      </w:r>
    </w:p>
    <w:p w14:paraId="1F58EA5D" w14:textId="03B59B5A" w:rsidR="008A27E2" w:rsidRPr="002F7A8A" w:rsidRDefault="002F7A8A" w:rsidP="002F7A8A">
      <w:pPr>
        <w:autoSpaceDE w:val="0"/>
        <w:autoSpaceDN w:val="0"/>
        <w:adjustRightInd w:val="0"/>
        <w:jc w:val="both"/>
        <w:rPr>
          <w:rFonts w:ascii="Times New Roman" w:hAnsi="Times New Roman" w:cs="Times New Roman"/>
          <w:b/>
          <w:bCs/>
          <w:sz w:val="24"/>
          <w:szCs w:val="24"/>
          <w:lang w:eastAsia="en-US"/>
        </w:rPr>
      </w:pPr>
      <w:r w:rsidRPr="002F7A8A">
        <w:rPr>
          <w:rFonts w:ascii="Times New Roman" w:hAnsi="Times New Roman" w:cs="Times New Roman"/>
          <w:b/>
          <w:bCs/>
          <w:sz w:val="24"/>
          <w:szCs w:val="24"/>
          <w:highlight w:val="yellow"/>
          <w:lang w:eastAsia="en-US"/>
        </w:rPr>
        <w:t>DETECTION OF VIRAL TRANSFUSION-TRANSMISSIBLE INFECTIONS AMONG BLOOD DONORS USING LATERAL FLOW ASSAY AND ELISA AT FEDERAL MEDICAL CENTER KEFFI, NASARAWA.</w:t>
      </w:r>
    </w:p>
    <w:p w14:paraId="1E5C9E52" w14:textId="65C624B7" w:rsidR="008A27E2" w:rsidRPr="002F7A8A" w:rsidRDefault="008A27E2" w:rsidP="002F7A8A">
      <w:pPr>
        <w:jc w:val="both"/>
        <w:rPr>
          <w:rFonts w:ascii="Times New Roman" w:hAnsi="Times New Roman" w:cs="Times New Roman"/>
          <w:b/>
          <w:bCs/>
          <w:sz w:val="24"/>
          <w:szCs w:val="24"/>
        </w:rPr>
      </w:pPr>
    </w:p>
    <w:p w14:paraId="623283A2" w14:textId="77777777" w:rsidR="008A27E2" w:rsidRDefault="006B0038">
      <w:pPr>
        <w:ind w:right="-64"/>
        <w:jc w:val="both"/>
        <w:rPr>
          <w:rFonts w:ascii="Times New Roman" w:hAnsi="Times New Roman" w:cs="Times New Roman"/>
          <w:b/>
          <w:bCs/>
          <w:sz w:val="24"/>
          <w:szCs w:val="24"/>
        </w:rPr>
      </w:pPr>
      <w:r>
        <w:rPr>
          <w:rFonts w:ascii="Times New Roman" w:hAnsi="Times New Roman" w:cs="Times New Roman"/>
          <w:b/>
          <w:bCs/>
          <w:sz w:val="24"/>
          <w:szCs w:val="24"/>
        </w:rPr>
        <w:t>ABSTRACT</w:t>
      </w:r>
    </w:p>
    <w:p w14:paraId="46F0C182" w14:textId="77777777" w:rsidR="008A27E2" w:rsidRDefault="006B0038">
      <w:pPr>
        <w:ind w:right="-64"/>
        <w:jc w:val="both"/>
        <w:rPr>
          <w:rFonts w:ascii="Times New Roman" w:hAnsi="Times New Roman"/>
          <w:sz w:val="24"/>
          <w:szCs w:val="24"/>
        </w:rPr>
      </w:pPr>
      <w:r>
        <w:rPr>
          <w:rFonts w:ascii="Times New Roman" w:hAnsi="Times New Roman"/>
          <w:b/>
          <w:sz w:val="24"/>
          <w:szCs w:val="24"/>
        </w:rPr>
        <w:t>Background:</w:t>
      </w:r>
      <w:r>
        <w:rPr>
          <w:rFonts w:ascii="Times New Roman" w:hAnsi="Times New Roman"/>
          <w:sz w:val="24"/>
          <w:szCs w:val="24"/>
        </w:rPr>
        <w:t xml:space="preserve"> Transfusion-transmissible infections (TTIs) pose a significant risk to blood transfusion safety, making early detection through reliable diagnostic methods crucial for reducing transmission rates. This study </w:t>
      </w:r>
      <w:r>
        <w:rPr>
          <w:rFonts w:ascii="Times New Roman" w:hAnsi="Times New Roman"/>
          <w:bCs/>
          <w:sz w:val="24"/>
          <w:szCs w:val="24"/>
        </w:rPr>
        <w:t>aimed</w:t>
      </w:r>
      <w:r>
        <w:rPr>
          <w:rFonts w:ascii="Times New Roman" w:hAnsi="Times New Roman"/>
          <w:sz w:val="24"/>
          <w:szCs w:val="24"/>
        </w:rPr>
        <w:t xml:space="preserve"> to determine the prevalence of viral TTIs among blood donors at Federal Medical Centre, Keffi, Nasarawa State, Nigeria, using the lateral flow assay technique (Rapid </w:t>
      </w:r>
      <w:r>
        <w:rPr>
          <w:rFonts w:ascii="Times New Roman" w:hAnsi="Times New Roman"/>
          <w:bCs/>
          <w:sz w:val="24"/>
          <w:szCs w:val="24"/>
        </w:rPr>
        <w:t>Diagnostic</w:t>
      </w:r>
      <w:r>
        <w:rPr>
          <w:rFonts w:ascii="Times New Roman" w:hAnsi="Times New Roman"/>
          <w:sz w:val="24"/>
          <w:szCs w:val="24"/>
        </w:rPr>
        <w:t xml:space="preserve"> Test (RDT)) and enzymatic detection (Enzyme-Linked Immunosorbent Assay (ELISA)).</w:t>
      </w:r>
    </w:p>
    <w:p w14:paraId="1D3C6209" w14:textId="6DFF0D30" w:rsidR="008A27E2" w:rsidRPr="00D45580" w:rsidRDefault="006B0038" w:rsidP="00D45580">
      <w:pPr>
        <w:autoSpaceDE w:val="0"/>
        <w:autoSpaceDN w:val="0"/>
        <w:adjustRightInd w:val="0"/>
        <w:jc w:val="both"/>
        <w:rPr>
          <w:rFonts w:ascii="Times New Roman" w:hAnsi="Times New Roman" w:cs="Times New Roman"/>
          <w:sz w:val="24"/>
          <w:szCs w:val="24"/>
        </w:rPr>
      </w:pPr>
      <w:r>
        <w:rPr>
          <w:rFonts w:ascii="Times New Roman" w:hAnsi="Times New Roman"/>
          <w:b/>
          <w:sz w:val="24"/>
          <w:szCs w:val="24"/>
        </w:rPr>
        <w:t>Method:</w:t>
      </w:r>
      <w:r>
        <w:rPr>
          <w:rFonts w:ascii="Times New Roman" w:hAnsi="Times New Roman"/>
          <w:sz w:val="24"/>
          <w:szCs w:val="24"/>
        </w:rPr>
        <w:t xml:space="preserve"> An institution-based cross-sectional study was conducted from March to September 2024, involving 240 blood donors, where all samples were initially screened using RDT. The RDT-negative samples were further </w:t>
      </w:r>
      <w:proofErr w:type="spellStart"/>
      <w:r>
        <w:rPr>
          <w:rFonts w:ascii="Times New Roman" w:hAnsi="Times New Roman"/>
          <w:sz w:val="24"/>
          <w:szCs w:val="24"/>
        </w:rPr>
        <w:t>analysed</w:t>
      </w:r>
      <w:proofErr w:type="spellEnd"/>
      <w:r>
        <w:rPr>
          <w:rFonts w:ascii="Times New Roman" w:hAnsi="Times New Roman"/>
          <w:sz w:val="24"/>
          <w:szCs w:val="24"/>
        </w:rPr>
        <w:t xml:space="preserve"> using ELISA.</w:t>
      </w:r>
      <w:r w:rsidR="00D45580">
        <w:rPr>
          <w:rFonts w:ascii="Times New Roman" w:hAnsi="Times New Roman"/>
          <w:sz w:val="24"/>
          <w:szCs w:val="24"/>
        </w:rPr>
        <w:t xml:space="preserve"> </w:t>
      </w:r>
      <w:r w:rsidR="00F575BC">
        <w:rPr>
          <w:rFonts w:ascii="Times New Roman" w:hAnsi="Times New Roman" w:cs="Times New Roman"/>
          <w:sz w:val="24"/>
          <w:szCs w:val="24"/>
          <w:highlight w:val="yellow"/>
        </w:rPr>
        <w:t>First-time</w:t>
      </w:r>
      <w:r w:rsidR="00D45580" w:rsidRPr="00D45580">
        <w:rPr>
          <w:rFonts w:ascii="Times New Roman" w:hAnsi="Times New Roman" w:cs="Times New Roman"/>
          <w:sz w:val="24"/>
          <w:szCs w:val="24"/>
          <w:highlight w:val="yellow"/>
        </w:rPr>
        <w:t xml:space="preserve"> donors </w:t>
      </w:r>
      <w:r w:rsidR="00F575BC">
        <w:rPr>
          <w:rFonts w:ascii="Times New Roman" w:hAnsi="Times New Roman" w:cs="Times New Roman"/>
          <w:sz w:val="24"/>
          <w:szCs w:val="24"/>
          <w:highlight w:val="yellow"/>
        </w:rPr>
        <w:t>who</w:t>
      </w:r>
      <w:r w:rsidR="00D45580" w:rsidRPr="00D45580">
        <w:rPr>
          <w:rFonts w:ascii="Times New Roman" w:hAnsi="Times New Roman" w:cs="Times New Roman"/>
          <w:sz w:val="24"/>
          <w:szCs w:val="24"/>
          <w:highlight w:val="yellow"/>
        </w:rPr>
        <w:t xml:space="preserve"> were 18-65 years, </w:t>
      </w:r>
      <w:r w:rsidR="00F575BC">
        <w:rPr>
          <w:rFonts w:ascii="Times New Roman" w:hAnsi="Times New Roman" w:cs="Times New Roman"/>
          <w:sz w:val="24"/>
          <w:szCs w:val="24"/>
          <w:highlight w:val="yellow"/>
        </w:rPr>
        <w:t>weighing</w:t>
      </w:r>
      <w:r w:rsidR="00D45580" w:rsidRPr="00D45580">
        <w:rPr>
          <w:rFonts w:ascii="Times New Roman" w:hAnsi="Times New Roman" w:cs="Times New Roman"/>
          <w:sz w:val="24"/>
          <w:szCs w:val="24"/>
          <w:highlight w:val="yellow"/>
        </w:rPr>
        <w:t xml:space="preserve"> at least 50kg with a </w:t>
      </w:r>
      <w:proofErr w:type="spellStart"/>
      <w:r w:rsidR="00F575BC">
        <w:rPr>
          <w:rFonts w:ascii="Times New Roman" w:hAnsi="Times New Roman" w:cs="Times New Roman"/>
          <w:sz w:val="24"/>
          <w:szCs w:val="24"/>
          <w:highlight w:val="yellow"/>
        </w:rPr>
        <w:t>haemoglobin</w:t>
      </w:r>
      <w:proofErr w:type="spellEnd"/>
      <w:r w:rsidR="00D45580" w:rsidRPr="00D45580">
        <w:rPr>
          <w:rFonts w:ascii="Times New Roman" w:hAnsi="Times New Roman" w:cs="Times New Roman"/>
          <w:sz w:val="24"/>
          <w:szCs w:val="24"/>
          <w:highlight w:val="yellow"/>
        </w:rPr>
        <w:t xml:space="preserve"> level of 12.5 g/dl for </w:t>
      </w:r>
      <w:r w:rsidR="00CE78D4">
        <w:rPr>
          <w:rFonts w:ascii="Times New Roman" w:hAnsi="Times New Roman" w:cs="Times New Roman"/>
          <w:sz w:val="24"/>
          <w:szCs w:val="24"/>
          <w:highlight w:val="yellow"/>
        </w:rPr>
        <w:t>fe</w:t>
      </w:r>
      <w:r w:rsidR="00D45580" w:rsidRPr="00D45580">
        <w:rPr>
          <w:rFonts w:ascii="Times New Roman" w:hAnsi="Times New Roman" w:cs="Times New Roman"/>
          <w:sz w:val="24"/>
          <w:szCs w:val="24"/>
          <w:highlight w:val="yellow"/>
        </w:rPr>
        <w:t>males and 13.0 g/dl for males</w:t>
      </w:r>
      <w:r w:rsidR="00F575BC">
        <w:rPr>
          <w:rFonts w:ascii="Times New Roman" w:hAnsi="Times New Roman" w:cs="Times New Roman"/>
          <w:sz w:val="24"/>
          <w:szCs w:val="24"/>
          <w:highlight w:val="yellow"/>
        </w:rPr>
        <w:t>,</w:t>
      </w:r>
      <w:r w:rsidR="00D45580" w:rsidRPr="00D45580">
        <w:rPr>
          <w:rFonts w:ascii="Times New Roman" w:hAnsi="Times New Roman" w:cs="Times New Roman"/>
          <w:sz w:val="24"/>
          <w:szCs w:val="24"/>
          <w:highlight w:val="yellow"/>
        </w:rPr>
        <w:t xml:space="preserve"> without any history of chronic or recent infection</w:t>
      </w:r>
      <w:r w:rsidR="00F575BC">
        <w:rPr>
          <w:rFonts w:ascii="Times New Roman" w:hAnsi="Times New Roman" w:cs="Times New Roman"/>
          <w:sz w:val="24"/>
          <w:szCs w:val="24"/>
          <w:highlight w:val="yellow"/>
        </w:rPr>
        <w:t>,</w:t>
      </w:r>
      <w:r w:rsidR="00D45580" w:rsidRPr="00D45580">
        <w:rPr>
          <w:rFonts w:ascii="Times New Roman" w:hAnsi="Times New Roman" w:cs="Times New Roman"/>
          <w:sz w:val="24"/>
          <w:szCs w:val="24"/>
          <w:highlight w:val="yellow"/>
        </w:rPr>
        <w:t xml:space="preserve"> while those </w:t>
      </w:r>
      <w:r w:rsidR="00F575BC">
        <w:rPr>
          <w:rFonts w:ascii="Times New Roman" w:hAnsi="Times New Roman" w:cs="Times New Roman"/>
          <w:sz w:val="24"/>
          <w:szCs w:val="24"/>
          <w:highlight w:val="yellow"/>
        </w:rPr>
        <w:t>who</w:t>
      </w:r>
      <w:r w:rsidR="00D45580" w:rsidRPr="00D45580">
        <w:rPr>
          <w:rFonts w:ascii="Times New Roman" w:hAnsi="Times New Roman" w:cs="Times New Roman"/>
          <w:sz w:val="24"/>
          <w:szCs w:val="24"/>
          <w:highlight w:val="yellow"/>
        </w:rPr>
        <w:t xml:space="preserve"> did not meet the criteria were excluded.</w:t>
      </w:r>
      <w:r w:rsidR="00D45580">
        <w:rPr>
          <w:rFonts w:ascii="Times New Roman" w:hAnsi="Times New Roman" w:cs="Times New Roman"/>
          <w:sz w:val="24"/>
          <w:szCs w:val="24"/>
        </w:rPr>
        <w:t xml:space="preserve"> </w:t>
      </w:r>
      <w:r>
        <w:rPr>
          <w:rFonts w:ascii="Times New Roman" w:hAnsi="Times New Roman"/>
          <w:sz w:val="24"/>
          <w:szCs w:val="24"/>
        </w:rPr>
        <w:t xml:space="preserve">A questionnaire was used to inquire about social demographics and risk factors. </w:t>
      </w:r>
    </w:p>
    <w:p w14:paraId="3089A386" w14:textId="0F9E1D11" w:rsidR="008A27E2" w:rsidRDefault="006B0038">
      <w:pPr>
        <w:ind w:right="-64"/>
        <w:jc w:val="both"/>
        <w:rPr>
          <w:rFonts w:ascii="Times New Roman" w:hAnsi="Times New Roman"/>
          <w:sz w:val="24"/>
          <w:szCs w:val="24"/>
        </w:rPr>
      </w:pPr>
      <w:r>
        <w:rPr>
          <w:rFonts w:ascii="Times New Roman" w:hAnsi="Times New Roman"/>
          <w:b/>
          <w:sz w:val="24"/>
          <w:szCs w:val="24"/>
        </w:rPr>
        <w:t>Results:</w:t>
      </w:r>
      <w:r>
        <w:rPr>
          <w:rFonts w:ascii="Times New Roman" w:hAnsi="Times New Roman"/>
          <w:sz w:val="24"/>
          <w:szCs w:val="24"/>
        </w:rPr>
        <w:t xml:space="preserve"> The RDT </w:t>
      </w:r>
      <w:r>
        <w:rPr>
          <w:rFonts w:ascii="Times New Roman" w:hAnsi="Times New Roman"/>
          <w:bCs/>
          <w:sz w:val="24"/>
          <w:szCs w:val="24"/>
        </w:rPr>
        <w:t>Seroprevalence</w:t>
      </w:r>
      <w:r>
        <w:rPr>
          <w:rFonts w:ascii="Times New Roman" w:hAnsi="Times New Roman"/>
          <w:sz w:val="24"/>
          <w:szCs w:val="24"/>
        </w:rPr>
        <w:t xml:space="preserve"> rates were 3.8% for HBV, 3.3% for HCV, and 1.6% for HIV, while ELISA detected additional cases, leading to final seroprevalence rates of 4.6% for HIV, 9.6% for HBV, and 5.0% for HCV with an overall TTI prevalence of 19.2%. </w:t>
      </w:r>
      <w:r w:rsidR="008D3741" w:rsidRPr="008D3741">
        <w:rPr>
          <w:rFonts w:ascii="Times New Roman" w:hAnsi="Times New Roman"/>
          <w:sz w:val="24"/>
          <w:szCs w:val="24"/>
          <w:highlight w:val="yellow"/>
        </w:rPr>
        <w:t>Females had a seroprevalence of 12.5% for HBV compared to males</w:t>
      </w:r>
      <w:r w:rsidR="00F575BC">
        <w:rPr>
          <w:rFonts w:ascii="Times New Roman" w:hAnsi="Times New Roman"/>
          <w:sz w:val="24"/>
          <w:szCs w:val="24"/>
          <w:highlight w:val="yellow"/>
        </w:rPr>
        <w:t>,</w:t>
      </w:r>
      <w:r w:rsidR="008D3741" w:rsidRPr="008D3741">
        <w:rPr>
          <w:rFonts w:ascii="Times New Roman" w:hAnsi="Times New Roman"/>
          <w:sz w:val="24"/>
          <w:szCs w:val="24"/>
          <w:highlight w:val="yellow"/>
        </w:rPr>
        <w:t xml:space="preserve"> 9.4%. For HCV, the seroprevalence was 5.1% in males, while no cases were detected in females, while for HIV, the seroprevalence was higher in females</w:t>
      </w:r>
      <w:r w:rsidR="00F575BC">
        <w:rPr>
          <w:rFonts w:ascii="Times New Roman" w:hAnsi="Times New Roman"/>
          <w:sz w:val="24"/>
          <w:szCs w:val="24"/>
          <w:highlight w:val="yellow"/>
        </w:rPr>
        <w:t>,</w:t>
      </w:r>
      <w:r w:rsidR="008D3741" w:rsidRPr="008D3741">
        <w:rPr>
          <w:rFonts w:ascii="Times New Roman" w:hAnsi="Times New Roman"/>
          <w:sz w:val="24"/>
          <w:szCs w:val="24"/>
          <w:highlight w:val="yellow"/>
        </w:rPr>
        <w:t xml:space="preserve"> 12.5%</w:t>
      </w:r>
      <w:r w:rsidR="00F575BC">
        <w:rPr>
          <w:rFonts w:ascii="Times New Roman" w:hAnsi="Times New Roman"/>
          <w:sz w:val="24"/>
          <w:szCs w:val="24"/>
          <w:highlight w:val="yellow"/>
        </w:rPr>
        <w:t>,</w:t>
      </w:r>
      <w:r w:rsidR="008D3741" w:rsidRPr="008D3741">
        <w:rPr>
          <w:rFonts w:ascii="Times New Roman" w:hAnsi="Times New Roman"/>
          <w:sz w:val="24"/>
          <w:szCs w:val="24"/>
          <w:highlight w:val="yellow"/>
        </w:rPr>
        <w:t xml:space="preserve"> compared to males</w:t>
      </w:r>
      <w:r w:rsidR="00F575BC">
        <w:rPr>
          <w:rFonts w:ascii="Times New Roman" w:hAnsi="Times New Roman"/>
          <w:sz w:val="24"/>
          <w:szCs w:val="24"/>
          <w:highlight w:val="yellow"/>
        </w:rPr>
        <w:t>,</w:t>
      </w:r>
      <w:r w:rsidR="008D3741" w:rsidRPr="008D3741">
        <w:rPr>
          <w:rFonts w:ascii="Times New Roman" w:hAnsi="Times New Roman"/>
          <w:sz w:val="24"/>
          <w:szCs w:val="24"/>
          <w:highlight w:val="yellow"/>
        </w:rPr>
        <w:t xml:space="preserve"> 4.3%.</w:t>
      </w:r>
      <w:r w:rsidR="008D3741">
        <w:rPr>
          <w:rFonts w:ascii="Times New Roman" w:hAnsi="Times New Roman"/>
          <w:sz w:val="24"/>
          <w:szCs w:val="24"/>
        </w:rPr>
        <w:t xml:space="preserve"> H</w:t>
      </w:r>
      <w:r>
        <w:rPr>
          <w:rFonts w:ascii="Times New Roman" w:hAnsi="Times New Roman"/>
          <w:sz w:val="24"/>
          <w:szCs w:val="24"/>
        </w:rPr>
        <w:t>owever, the gender difference was not statistically significant (</w:t>
      </w:r>
      <w:r>
        <w:rPr>
          <w:rFonts w:ascii="Times New Roman" w:hAnsi="Times New Roman"/>
          <w:i/>
          <w:iCs/>
          <w:sz w:val="24"/>
          <w:szCs w:val="24"/>
        </w:rPr>
        <w:t>P</w:t>
      </w:r>
      <w:r>
        <w:rPr>
          <w:rFonts w:ascii="Times New Roman" w:hAnsi="Times New Roman"/>
          <w:sz w:val="24"/>
          <w:szCs w:val="24"/>
        </w:rPr>
        <w:t xml:space="preserve"> &gt; .05). Single donors had a higher prevalence of HIV 6.5% and HCV 7.5% compared to married donors, 3.0%, respectively.</w:t>
      </w:r>
      <w:r>
        <w:rPr>
          <w:rFonts w:ascii="Times New Roman" w:hAnsi="Times New Roman"/>
          <w:color w:val="FF0000"/>
          <w:sz w:val="24"/>
          <w:szCs w:val="24"/>
        </w:rPr>
        <w:t xml:space="preserve"> </w:t>
      </w:r>
      <w:r>
        <w:rPr>
          <w:rFonts w:ascii="Times New Roman" w:hAnsi="Times New Roman"/>
          <w:sz w:val="24"/>
          <w:szCs w:val="24"/>
        </w:rPr>
        <w:t>HBV seroprevalence was 9.7% for married donors and 9.3% for single donors (</w:t>
      </w:r>
      <w:r>
        <w:rPr>
          <w:rFonts w:ascii="Times New Roman" w:hAnsi="Times New Roman"/>
          <w:i/>
          <w:iCs/>
          <w:sz w:val="24"/>
          <w:szCs w:val="24"/>
        </w:rPr>
        <w:t>P</w:t>
      </w:r>
      <w:r>
        <w:rPr>
          <w:rFonts w:ascii="Times New Roman" w:hAnsi="Times New Roman"/>
          <w:sz w:val="24"/>
          <w:szCs w:val="24"/>
        </w:rPr>
        <w:t xml:space="preserve"> &gt; .05). There were no cases of co-infection among the blood donors in this study.</w:t>
      </w:r>
    </w:p>
    <w:p w14:paraId="2FB0B28B" w14:textId="61AF64AE" w:rsidR="008A27E2" w:rsidRDefault="006B0038" w:rsidP="006D60B4">
      <w:pPr>
        <w:ind w:right="-64"/>
        <w:jc w:val="both"/>
        <w:rPr>
          <w:rFonts w:ascii="Times New Roman" w:hAnsi="Times New Roman"/>
          <w:b/>
          <w:bCs/>
          <w:sz w:val="24"/>
          <w:szCs w:val="24"/>
        </w:rPr>
      </w:pPr>
      <w:r>
        <w:rPr>
          <w:rFonts w:ascii="Times New Roman" w:hAnsi="Times New Roman"/>
          <w:b/>
          <w:sz w:val="24"/>
          <w:szCs w:val="24"/>
        </w:rPr>
        <w:t>Conclusion:</w:t>
      </w:r>
      <w:r>
        <w:rPr>
          <w:rFonts w:ascii="Times New Roman" w:hAnsi="Times New Roman"/>
          <w:sz w:val="24"/>
          <w:szCs w:val="24"/>
        </w:rPr>
        <w:t xml:space="preserve"> </w:t>
      </w:r>
      <w:r w:rsidR="006D60B4" w:rsidRPr="006D60B4">
        <w:rPr>
          <w:rFonts w:ascii="Times New Roman" w:hAnsi="Times New Roman"/>
          <w:sz w:val="24"/>
          <w:szCs w:val="24"/>
          <w:highlight w:val="yellow"/>
        </w:rPr>
        <w:t xml:space="preserve">The high seroprevalence of TTIs recorded in this study </w:t>
      </w:r>
      <w:proofErr w:type="spellStart"/>
      <w:r w:rsidR="00F575BC">
        <w:rPr>
          <w:rFonts w:ascii="Times New Roman" w:hAnsi="Times New Roman"/>
          <w:sz w:val="24"/>
          <w:szCs w:val="24"/>
          <w:highlight w:val="yellow"/>
        </w:rPr>
        <w:t>emphasises</w:t>
      </w:r>
      <w:proofErr w:type="spellEnd"/>
      <w:r w:rsidR="006D60B4" w:rsidRPr="006D60B4">
        <w:rPr>
          <w:rFonts w:ascii="Times New Roman" w:hAnsi="Times New Roman"/>
          <w:sz w:val="24"/>
          <w:szCs w:val="24"/>
          <w:highlight w:val="yellow"/>
        </w:rPr>
        <w:t xml:space="preserve"> the importance of ELISA in screening blood donors rather than the use of RDT alone. There is </w:t>
      </w:r>
      <w:r w:rsidR="00F575BC">
        <w:rPr>
          <w:rFonts w:ascii="Times New Roman" w:hAnsi="Times New Roman"/>
          <w:sz w:val="24"/>
          <w:szCs w:val="24"/>
          <w:highlight w:val="yellow"/>
        </w:rPr>
        <w:t xml:space="preserve">a </w:t>
      </w:r>
      <w:r w:rsidR="006D60B4" w:rsidRPr="006D60B4">
        <w:rPr>
          <w:rFonts w:ascii="Times New Roman" w:hAnsi="Times New Roman"/>
          <w:sz w:val="24"/>
          <w:szCs w:val="24"/>
          <w:highlight w:val="yellow"/>
        </w:rPr>
        <w:t>need to strengthen screening protocols and public awareness campaigns to reduce the burden of viral TTIs.</w:t>
      </w:r>
    </w:p>
    <w:p w14:paraId="28BE3C9D" w14:textId="7ECB2EE3" w:rsidR="008A27E2" w:rsidRDefault="006B0038">
      <w:pPr>
        <w:spacing w:line="360" w:lineRule="auto"/>
        <w:ind w:right="-64"/>
        <w:jc w:val="both"/>
        <w:rPr>
          <w:rFonts w:ascii="Times New Roman" w:hAnsi="Times New Roman"/>
          <w:sz w:val="24"/>
          <w:szCs w:val="24"/>
        </w:rPr>
      </w:pPr>
      <w:r>
        <w:rPr>
          <w:rFonts w:ascii="Times New Roman" w:hAnsi="Times New Roman"/>
          <w:b/>
          <w:bCs/>
          <w:sz w:val="24"/>
          <w:szCs w:val="24"/>
        </w:rPr>
        <w:t>Keywords:</w:t>
      </w:r>
      <w:r>
        <w:rPr>
          <w:rFonts w:ascii="Times New Roman" w:hAnsi="Times New Roman"/>
          <w:sz w:val="24"/>
          <w:szCs w:val="24"/>
        </w:rPr>
        <w:t xml:space="preserve"> </w:t>
      </w:r>
      <w:r w:rsidR="008D3741" w:rsidRPr="008D3741">
        <w:rPr>
          <w:rFonts w:ascii="Times New Roman" w:hAnsi="Times New Roman"/>
          <w:sz w:val="24"/>
          <w:szCs w:val="24"/>
          <w:highlight w:val="yellow"/>
        </w:rPr>
        <w:t>Blood Donors, Enzyme-linked Immunosorbent Assay (ELISA), Rapid Diagnostic Test (RDT),</w:t>
      </w:r>
      <w:r w:rsidR="00F575BC">
        <w:rPr>
          <w:rFonts w:ascii="Times New Roman" w:hAnsi="Times New Roman"/>
          <w:sz w:val="24"/>
          <w:szCs w:val="24"/>
          <w:highlight w:val="yellow"/>
        </w:rPr>
        <w:t xml:space="preserve"> </w:t>
      </w:r>
      <w:r w:rsidRPr="008D3741">
        <w:rPr>
          <w:rFonts w:ascii="Times New Roman" w:hAnsi="Times New Roman"/>
          <w:sz w:val="24"/>
          <w:szCs w:val="24"/>
          <w:highlight w:val="yellow"/>
        </w:rPr>
        <w:t>Transfusion-Transmissible Infections (TTIs),</w:t>
      </w:r>
      <w:r w:rsidR="008D3741" w:rsidRPr="008D3741">
        <w:rPr>
          <w:rFonts w:ascii="Times New Roman" w:hAnsi="Times New Roman"/>
          <w:sz w:val="24"/>
          <w:szCs w:val="24"/>
          <w:highlight w:val="yellow"/>
        </w:rPr>
        <w:t xml:space="preserve"> Nasarawa.</w:t>
      </w:r>
    </w:p>
    <w:p w14:paraId="25281CC4" w14:textId="77777777" w:rsidR="008A27E2" w:rsidRDefault="006B0038">
      <w:pPr>
        <w:spacing w:line="480" w:lineRule="auto"/>
        <w:ind w:right="-64"/>
        <w:jc w:val="both"/>
        <w:rPr>
          <w:rFonts w:ascii="Times New Roman" w:hAnsi="Times New Roman"/>
          <w:sz w:val="24"/>
          <w:szCs w:val="24"/>
        </w:rPr>
      </w:pPr>
      <w:r>
        <w:rPr>
          <w:rFonts w:ascii="Times New Roman" w:hAnsi="Times New Roman"/>
          <w:sz w:val="24"/>
          <w:szCs w:val="24"/>
        </w:rPr>
        <w:br w:type="page"/>
      </w:r>
    </w:p>
    <w:p w14:paraId="0EE45ADB" w14:textId="491770B1" w:rsidR="008A27E2" w:rsidRPr="00C926DD" w:rsidRDefault="006B0038" w:rsidP="00C926DD">
      <w:pPr>
        <w:ind w:right="-64"/>
        <w:jc w:val="both"/>
        <w:rPr>
          <w:rFonts w:ascii="Times New Roman" w:hAnsi="Times New Roman" w:cs="Times New Roman"/>
          <w:b/>
          <w:bCs/>
          <w:sz w:val="24"/>
          <w:szCs w:val="24"/>
        </w:rPr>
      </w:pPr>
      <w:r w:rsidRPr="00C926DD">
        <w:rPr>
          <w:rFonts w:ascii="Times New Roman" w:hAnsi="Times New Roman" w:cs="Times New Roman"/>
          <w:b/>
          <w:bCs/>
          <w:sz w:val="24"/>
          <w:szCs w:val="24"/>
        </w:rPr>
        <w:lastRenderedPageBreak/>
        <w:t>Introduction</w:t>
      </w:r>
    </w:p>
    <w:p w14:paraId="697E3A41" w14:textId="46D3EF6A" w:rsidR="008A27E2" w:rsidRPr="008A7DD2" w:rsidRDefault="008A7DD2" w:rsidP="008A7DD2">
      <w:pPr>
        <w:jc w:val="both"/>
        <w:rPr>
          <w:rFonts w:ascii="Times New Roman" w:hAnsi="Times New Roman" w:cs="Times New Roman"/>
          <w:sz w:val="24"/>
          <w:szCs w:val="24"/>
        </w:rPr>
      </w:pPr>
      <w:r w:rsidRPr="008A7DD2">
        <w:rPr>
          <w:rFonts w:ascii="Times New Roman" w:hAnsi="Times New Roman" w:cs="Times New Roman"/>
          <w:sz w:val="24"/>
          <w:szCs w:val="24"/>
          <w:highlight w:val="yellow"/>
        </w:rPr>
        <w:t>Blood transfusion remains one of the</w:t>
      </w:r>
      <w:r w:rsidR="0039532B">
        <w:rPr>
          <w:rFonts w:ascii="Times New Roman" w:hAnsi="Times New Roman" w:cs="Times New Roman"/>
          <w:sz w:val="24"/>
          <w:szCs w:val="24"/>
          <w:highlight w:val="yellow"/>
        </w:rPr>
        <w:t xml:space="preserve"> important</w:t>
      </w:r>
      <w:r w:rsidRPr="008A7DD2">
        <w:rPr>
          <w:rFonts w:ascii="Times New Roman" w:hAnsi="Times New Roman" w:cs="Times New Roman"/>
          <w:sz w:val="24"/>
          <w:szCs w:val="24"/>
          <w:highlight w:val="yellow"/>
        </w:rPr>
        <w:t xml:space="preserve"> means of transmitting diseases (Kim &amp; Ko, 2024). The dissemination of infection from one person to another through the use of blood or blood products is known as transfusion-transmissible infections (TTIs) (Yadav </w:t>
      </w:r>
      <w:r w:rsidRPr="008A7DD2">
        <w:rPr>
          <w:rFonts w:ascii="Times New Roman" w:hAnsi="Times New Roman" w:cs="Times New Roman"/>
          <w:i/>
          <w:iCs/>
          <w:sz w:val="24"/>
          <w:szCs w:val="24"/>
          <w:highlight w:val="yellow"/>
        </w:rPr>
        <w:t>et al</w:t>
      </w:r>
      <w:r w:rsidRPr="008A7DD2">
        <w:rPr>
          <w:rFonts w:ascii="Times New Roman" w:hAnsi="Times New Roman" w:cs="Times New Roman"/>
          <w:sz w:val="24"/>
          <w:szCs w:val="24"/>
          <w:highlight w:val="yellow"/>
        </w:rPr>
        <w:t xml:space="preserve">., 2018; </w:t>
      </w:r>
      <w:proofErr w:type="spellStart"/>
      <w:r w:rsidRPr="008A7DD2">
        <w:rPr>
          <w:rFonts w:ascii="Times New Roman" w:hAnsi="Times New Roman" w:cs="Times New Roman"/>
          <w:sz w:val="24"/>
          <w:szCs w:val="24"/>
          <w:highlight w:val="yellow"/>
        </w:rPr>
        <w:t>Dahie</w:t>
      </w:r>
      <w:proofErr w:type="spellEnd"/>
      <w:r w:rsidRPr="008A7DD2">
        <w:rPr>
          <w:rFonts w:ascii="Times New Roman" w:hAnsi="Times New Roman" w:cs="Times New Roman"/>
          <w:sz w:val="24"/>
          <w:szCs w:val="24"/>
          <w:highlight w:val="yellow"/>
        </w:rPr>
        <w:t xml:space="preserve"> </w:t>
      </w:r>
      <w:r w:rsidRPr="008A7DD2">
        <w:rPr>
          <w:rFonts w:ascii="Times New Roman" w:hAnsi="Times New Roman" w:cs="Times New Roman"/>
          <w:i/>
          <w:iCs/>
          <w:sz w:val="24"/>
          <w:szCs w:val="24"/>
          <w:highlight w:val="yellow"/>
        </w:rPr>
        <w:t>et al</w:t>
      </w:r>
      <w:r w:rsidRPr="008A7DD2">
        <w:rPr>
          <w:rFonts w:ascii="Times New Roman" w:hAnsi="Times New Roman" w:cs="Times New Roman"/>
          <w:sz w:val="24"/>
          <w:szCs w:val="24"/>
          <w:highlight w:val="yellow"/>
        </w:rPr>
        <w:t xml:space="preserve">., 2024). Several infectious agents can potentially be transmitted through blood transfusions, including bacteria, viruses, and parasites. Viruses such as the Human Immunodeficiency Virus (HIV), Hepatitis B Virus (HBV), Hepatitis C Virus (HCV), West Nile virus (WNV), Cytomegalovirus (CMV), and the Human T-cell </w:t>
      </w:r>
      <w:proofErr w:type="spellStart"/>
      <w:r w:rsidRPr="008A7DD2">
        <w:rPr>
          <w:rFonts w:ascii="Times New Roman" w:hAnsi="Times New Roman" w:cs="Times New Roman"/>
          <w:sz w:val="24"/>
          <w:szCs w:val="24"/>
          <w:highlight w:val="yellow"/>
        </w:rPr>
        <w:t>lymphotrophic</w:t>
      </w:r>
      <w:proofErr w:type="spellEnd"/>
      <w:r w:rsidRPr="008A7DD2">
        <w:rPr>
          <w:rFonts w:ascii="Times New Roman" w:hAnsi="Times New Roman" w:cs="Times New Roman"/>
          <w:sz w:val="24"/>
          <w:szCs w:val="24"/>
          <w:highlight w:val="yellow"/>
        </w:rPr>
        <w:t xml:space="preserve"> viruses (HTLVs) could be spread through blood transfusion (</w:t>
      </w:r>
      <w:r w:rsidRPr="008A7DD2">
        <w:rPr>
          <w:rFonts w:ascii="Times New Roman" w:hAnsi="Times New Roman" w:cs="Times New Roman"/>
          <w:color w:val="1B1B1B"/>
          <w:sz w:val="24"/>
          <w:szCs w:val="24"/>
          <w:highlight w:val="yellow"/>
          <w:shd w:val="clear" w:color="auto" w:fill="FFFFFF"/>
        </w:rPr>
        <w:t xml:space="preserve">Fong, 2020; </w:t>
      </w:r>
      <w:r w:rsidRPr="008A7DD2">
        <w:rPr>
          <w:rFonts w:ascii="Times New Roman" w:hAnsi="Times New Roman"/>
          <w:sz w:val="24"/>
          <w:szCs w:val="24"/>
          <w:highlight w:val="yellow"/>
        </w:rPr>
        <w:t xml:space="preserve">Deshmukh </w:t>
      </w:r>
      <w:r w:rsidRPr="008A7DD2">
        <w:rPr>
          <w:rFonts w:ascii="Times New Roman" w:hAnsi="Times New Roman"/>
          <w:i/>
          <w:sz w:val="24"/>
          <w:szCs w:val="24"/>
          <w:highlight w:val="yellow"/>
        </w:rPr>
        <w:t>et al</w:t>
      </w:r>
      <w:r w:rsidRPr="008A7DD2">
        <w:rPr>
          <w:rFonts w:ascii="Times New Roman" w:hAnsi="Times New Roman"/>
          <w:sz w:val="24"/>
          <w:szCs w:val="24"/>
          <w:highlight w:val="yellow"/>
        </w:rPr>
        <w:t xml:space="preserve">., 2024; </w:t>
      </w:r>
      <w:proofErr w:type="spellStart"/>
      <w:r w:rsidRPr="008A7DD2">
        <w:rPr>
          <w:rFonts w:ascii="Times New Roman" w:hAnsi="Times New Roman" w:cs="Times New Roman"/>
          <w:color w:val="1B1B1B"/>
          <w:sz w:val="24"/>
          <w:szCs w:val="24"/>
          <w:highlight w:val="yellow"/>
          <w:shd w:val="clear" w:color="auto" w:fill="FFFFFF"/>
        </w:rPr>
        <w:t>Habibu</w:t>
      </w:r>
      <w:proofErr w:type="spellEnd"/>
      <w:r w:rsidRPr="008A7DD2">
        <w:rPr>
          <w:rFonts w:ascii="Times New Roman" w:hAnsi="Times New Roman" w:cs="Times New Roman"/>
          <w:color w:val="1B1B1B"/>
          <w:sz w:val="24"/>
          <w:szCs w:val="24"/>
          <w:highlight w:val="yellow"/>
          <w:shd w:val="clear" w:color="auto" w:fill="FFFFFF"/>
        </w:rPr>
        <w:t xml:space="preserve"> </w:t>
      </w:r>
      <w:r w:rsidRPr="008A7DD2">
        <w:rPr>
          <w:rFonts w:ascii="Times New Roman" w:hAnsi="Times New Roman" w:cs="Times New Roman"/>
          <w:i/>
          <w:iCs/>
          <w:color w:val="1B1B1B"/>
          <w:sz w:val="24"/>
          <w:szCs w:val="24"/>
          <w:highlight w:val="yellow"/>
          <w:shd w:val="clear" w:color="auto" w:fill="FFFFFF"/>
        </w:rPr>
        <w:t>et al</w:t>
      </w:r>
      <w:r w:rsidRPr="008A7DD2">
        <w:rPr>
          <w:rFonts w:ascii="Times New Roman" w:hAnsi="Times New Roman" w:cs="Times New Roman"/>
          <w:color w:val="1B1B1B"/>
          <w:sz w:val="24"/>
          <w:szCs w:val="24"/>
          <w:highlight w:val="yellow"/>
          <w:shd w:val="clear" w:color="auto" w:fill="FFFFFF"/>
        </w:rPr>
        <w:t>., 2025</w:t>
      </w:r>
      <w:r w:rsidRPr="008A7DD2">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6B0038">
        <w:rPr>
          <w:rFonts w:ascii="Times New Roman" w:hAnsi="Times New Roman"/>
          <w:sz w:val="24"/>
          <w:szCs w:val="24"/>
        </w:rPr>
        <w:t xml:space="preserve">The high prevalence of HIV, HBV, HCV, and </w:t>
      </w:r>
      <w:r w:rsidRPr="008A7DD2">
        <w:rPr>
          <w:rFonts w:ascii="Times New Roman" w:hAnsi="Times New Roman"/>
          <w:sz w:val="24"/>
          <w:szCs w:val="24"/>
          <w:highlight w:val="yellow"/>
        </w:rPr>
        <w:t>syphilis</w:t>
      </w:r>
      <w:r w:rsidR="006B0038">
        <w:rPr>
          <w:rFonts w:ascii="Times New Roman" w:hAnsi="Times New Roman"/>
          <w:sz w:val="24"/>
          <w:szCs w:val="24"/>
        </w:rPr>
        <w:t xml:space="preserve"> has heightened the problem of blood safety and continuous monitoring of the magnitude of TTIs in blood donors is important for estimating the risk of transfusion and optimising donor recruitment strategies to minimise infectious disease transmission (Deshmukh </w:t>
      </w:r>
      <w:r w:rsidR="006B0038">
        <w:rPr>
          <w:rFonts w:ascii="Times New Roman" w:hAnsi="Times New Roman"/>
          <w:i/>
          <w:sz w:val="24"/>
          <w:szCs w:val="24"/>
        </w:rPr>
        <w:t>et al</w:t>
      </w:r>
      <w:r w:rsidR="006B0038">
        <w:rPr>
          <w:rFonts w:ascii="Times New Roman" w:hAnsi="Times New Roman"/>
          <w:sz w:val="24"/>
          <w:szCs w:val="24"/>
        </w:rPr>
        <w:t xml:space="preserve">., 2024). </w:t>
      </w:r>
      <w:r w:rsidR="006B0038" w:rsidRPr="00DC3E0E">
        <w:rPr>
          <w:rFonts w:ascii="Times New Roman" w:hAnsi="Times New Roman"/>
          <w:sz w:val="24"/>
          <w:szCs w:val="24"/>
          <w:highlight w:val="yellow"/>
        </w:rPr>
        <w:t xml:space="preserve">There is a rising threat resulting from the transfusion of infected blood, with consequences </w:t>
      </w:r>
      <w:r w:rsidR="0084185B" w:rsidRPr="00DC3E0E">
        <w:rPr>
          <w:rFonts w:ascii="Times New Roman" w:hAnsi="Times New Roman"/>
          <w:sz w:val="24"/>
          <w:szCs w:val="24"/>
          <w:highlight w:val="yellow"/>
        </w:rPr>
        <w:t>which could be lifelong, leading to reduced quality of life and even death (</w:t>
      </w:r>
      <w:r w:rsidR="00DC3E0E" w:rsidRPr="00DC3E0E">
        <w:rPr>
          <w:rFonts w:ascii="Times New Roman" w:hAnsi="Times New Roman" w:cs="Times New Roman"/>
          <w:sz w:val="24"/>
          <w:szCs w:val="24"/>
          <w:highlight w:val="yellow"/>
        </w:rPr>
        <w:t xml:space="preserve">Cardoso </w:t>
      </w:r>
      <w:r w:rsidR="00DC3E0E" w:rsidRPr="00DC3E0E">
        <w:rPr>
          <w:rFonts w:ascii="Times New Roman" w:hAnsi="Times New Roman" w:cs="Times New Roman"/>
          <w:i/>
          <w:iCs/>
          <w:sz w:val="24"/>
          <w:szCs w:val="24"/>
          <w:highlight w:val="yellow"/>
        </w:rPr>
        <w:t>et al</w:t>
      </w:r>
      <w:r w:rsidR="00DC3E0E" w:rsidRPr="00DC3E0E">
        <w:rPr>
          <w:rFonts w:ascii="Times New Roman" w:hAnsi="Times New Roman" w:cs="Times New Roman"/>
          <w:sz w:val="24"/>
          <w:szCs w:val="24"/>
          <w:highlight w:val="yellow"/>
        </w:rPr>
        <w:t>., 2023</w:t>
      </w:r>
      <w:r w:rsidR="0084185B" w:rsidRPr="00DC3E0E">
        <w:rPr>
          <w:rFonts w:ascii="Times New Roman" w:hAnsi="Times New Roman"/>
          <w:sz w:val="24"/>
          <w:szCs w:val="24"/>
          <w:highlight w:val="yellow"/>
        </w:rPr>
        <w:t>).</w:t>
      </w:r>
      <w:r w:rsidR="0084185B">
        <w:rPr>
          <w:rFonts w:ascii="Times New Roman" w:hAnsi="Times New Roman"/>
          <w:sz w:val="24"/>
          <w:szCs w:val="24"/>
        </w:rPr>
        <w:t xml:space="preserve"> </w:t>
      </w:r>
      <w:r w:rsidR="00C35DB4" w:rsidRPr="00414EA8">
        <w:rPr>
          <w:rFonts w:ascii="Times New Roman" w:hAnsi="Times New Roman"/>
          <w:sz w:val="24"/>
          <w:szCs w:val="24"/>
          <w:highlight w:val="yellow"/>
        </w:rPr>
        <w:t xml:space="preserve">Although this threat is lower in developed countries due to improved diagnostic procedures and safe blood transfusion policies, it </w:t>
      </w:r>
      <w:r w:rsidR="006B0038" w:rsidRPr="00414EA8">
        <w:rPr>
          <w:rFonts w:ascii="Times New Roman" w:hAnsi="Times New Roman"/>
          <w:sz w:val="24"/>
          <w:szCs w:val="24"/>
          <w:highlight w:val="yellow"/>
        </w:rPr>
        <w:t>is higher in developing countries, including Nigeria</w:t>
      </w:r>
      <w:r w:rsidR="00C35DB4" w:rsidRPr="00414EA8">
        <w:rPr>
          <w:rFonts w:ascii="Times New Roman" w:hAnsi="Times New Roman"/>
          <w:sz w:val="24"/>
          <w:szCs w:val="24"/>
          <w:highlight w:val="yellow"/>
        </w:rPr>
        <w:t xml:space="preserve">, as a result of limited resources and the absence of strict blood transfusion policies </w:t>
      </w:r>
      <w:r w:rsidR="006B0038" w:rsidRPr="00414EA8">
        <w:rPr>
          <w:rFonts w:ascii="Times New Roman" w:hAnsi="Times New Roman"/>
          <w:sz w:val="24"/>
          <w:szCs w:val="24"/>
          <w:highlight w:val="yellow"/>
        </w:rPr>
        <w:t>(</w:t>
      </w:r>
      <w:proofErr w:type="spellStart"/>
      <w:r w:rsidR="006B0038" w:rsidRPr="00414EA8">
        <w:rPr>
          <w:rFonts w:ascii="Times New Roman" w:hAnsi="Times New Roman" w:cs="Times New Roman"/>
          <w:sz w:val="24"/>
          <w:szCs w:val="24"/>
          <w:highlight w:val="yellow"/>
          <w:shd w:val="clear" w:color="auto" w:fill="FFFFFF"/>
        </w:rPr>
        <w:t>Aliyo</w:t>
      </w:r>
      <w:proofErr w:type="spellEnd"/>
      <w:r w:rsidR="006B0038" w:rsidRPr="00414EA8">
        <w:rPr>
          <w:rFonts w:ascii="Times New Roman" w:hAnsi="Times New Roman"/>
          <w:sz w:val="24"/>
          <w:szCs w:val="24"/>
          <w:highlight w:val="yellow"/>
        </w:rPr>
        <w:t xml:space="preserve"> </w:t>
      </w:r>
      <w:r w:rsidR="006B0038" w:rsidRPr="00414EA8">
        <w:rPr>
          <w:rFonts w:ascii="Times New Roman" w:hAnsi="Times New Roman"/>
          <w:i/>
          <w:sz w:val="24"/>
          <w:szCs w:val="24"/>
          <w:highlight w:val="yellow"/>
        </w:rPr>
        <w:t>et al</w:t>
      </w:r>
      <w:r w:rsidR="006B0038" w:rsidRPr="00414EA8">
        <w:rPr>
          <w:rFonts w:ascii="Times New Roman" w:hAnsi="Times New Roman"/>
          <w:sz w:val="24"/>
          <w:szCs w:val="24"/>
          <w:highlight w:val="yellow"/>
        </w:rPr>
        <w:t xml:space="preserve">., 2022; </w:t>
      </w:r>
      <w:r w:rsidR="006B0038" w:rsidRPr="00414EA8">
        <w:rPr>
          <w:rFonts w:ascii="Times New Roman" w:hAnsi="Times New Roman" w:cs="Times New Roman"/>
          <w:sz w:val="24"/>
          <w:szCs w:val="24"/>
          <w:highlight w:val="yellow"/>
        </w:rPr>
        <w:t xml:space="preserve">Durowade </w:t>
      </w:r>
      <w:r w:rsidR="006B0038" w:rsidRPr="00414EA8">
        <w:rPr>
          <w:rFonts w:ascii="Times New Roman" w:hAnsi="Times New Roman" w:cs="Times New Roman"/>
          <w:i/>
          <w:iCs/>
          <w:sz w:val="24"/>
          <w:szCs w:val="24"/>
          <w:highlight w:val="yellow"/>
        </w:rPr>
        <w:t>et al</w:t>
      </w:r>
      <w:r w:rsidR="006B0038" w:rsidRPr="00414EA8">
        <w:rPr>
          <w:rFonts w:ascii="Times New Roman" w:hAnsi="Times New Roman" w:cs="Times New Roman"/>
          <w:sz w:val="24"/>
          <w:szCs w:val="24"/>
          <w:highlight w:val="yellow"/>
        </w:rPr>
        <w:t>., 2023</w:t>
      </w:r>
      <w:r w:rsidR="00C35DB4" w:rsidRPr="00414EA8">
        <w:rPr>
          <w:rFonts w:ascii="Times New Roman" w:hAnsi="Times New Roman" w:cs="Times New Roman"/>
          <w:sz w:val="24"/>
          <w:szCs w:val="24"/>
          <w:highlight w:val="yellow"/>
        </w:rPr>
        <w:t xml:space="preserve">; Zhao </w:t>
      </w:r>
      <w:r w:rsidR="00C35DB4" w:rsidRPr="00414EA8">
        <w:rPr>
          <w:rFonts w:ascii="Times New Roman" w:hAnsi="Times New Roman" w:cs="Times New Roman"/>
          <w:i/>
          <w:iCs/>
          <w:sz w:val="24"/>
          <w:szCs w:val="24"/>
          <w:highlight w:val="yellow"/>
        </w:rPr>
        <w:t>et al</w:t>
      </w:r>
      <w:r w:rsidR="00C35DB4" w:rsidRPr="00414EA8">
        <w:rPr>
          <w:rFonts w:ascii="Times New Roman" w:hAnsi="Times New Roman" w:cs="Times New Roman"/>
          <w:sz w:val="24"/>
          <w:szCs w:val="24"/>
          <w:highlight w:val="yellow"/>
        </w:rPr>
        <w:t>., 2025</w:t>
      </w:r>
      <w:r w:rsidR="006B0038" w:rsidRPr="00414EA8">
        <w:rPr>
          <w:rFonts w:ascii="Times New Roman" w:hAnsi="Times New Roman"/>
          <w:sz w:val="24"/>
          <w:szCs w:val="24"/>
          <w:highlight w:val="yellow"/>
        </w:rPr>
        <w:t>).</w:t>
      </w:r>
      <w:r w:rsidR="006B0038">
        <w:rPr>
          <w:rFonts w:ascii="Times New Roman" w:hAnsi="Times New Roman"/>
          <w:sz w:val="24"/>
          <w:szCs w:val="24"/>
        </w:rPr>
        <w:t xml:space="preserve"> </w:t>
      </w:r>
      <w:r w:rsidR="00414EA8" w:rsidRPr="00414EA8">
        <w:rPr>
          <w:rFonts w:ascii="Times New Roman" w:hAnsi="Times New Roman"/>
          <w:sz w:val="24"/>
          <w:szCs w:val="24"/>
          <w:highlight w:val="yellow"/>
        </w:rPr>
        <w:t>C</w:t>
      </w:r>
      <w:r w:rsidR="006B0038" w:rsidRPr="00414EA8">
        <w:rPr>
          <w:rFonts w:ascii="Times New Roman" w:hAnsi="Times New Roman"/>
          <w:sz w:val="24"/>
          <w:szCs w:val="24"/>
          <w:highlight w:val="yellow"/>
        </w:rPr>
        <w:t>ontinuous</w:t>
      </w:r>
      <w:r w:rsidR="00414EA8" w:rsidRPr="00414EA8">
        <w:rPr>
          <w:rFonts w:ascii="Times New Roman" w:hAnsi="Times New Roman"/>
          <w:sz w:val="24"/>
          <w:szCs w:val="24"/>
          <w:highlight w:val="yellow"/>
        </w:rPr>
        <w:t xml:space="preserve"> </w:t>
      </w:r>
      <w:r w:rsidR="006B0038" w:rsidRPr="00414EA8">
        <w:rPr>
          <w:rFonts w:ascii="Times New Roman" w:hAnsi="Times New Roman"/>
          <w:sz w:val="24"/>
          <w:szCs w:val="24"/>
          <w:highlight w:val="yellow"/>
        </w:rPr>
        <w:t xml:space="preserve">improvement </w:t>
      </w:r>
      <w:r w:rsidR="00414EA8" w:rsidRPr="00414EA8">
        <w:rPr>
          <w:rFonts w:ascii="Times New Roman" w:hAnsi="Times New Roman"/>
          <w:sz w:val="24"/>
          <w:szCs w:val="24"/>
          <w:highlight w:val="yellow"/>
        </w:rPr>
        <w:t xml:space="preserve">in the </w:t>
      </w:r>
      <w:r w:rsidR="006B0038" w:rsidRPr="00414EA8">
        <w:rPr>
          <w:rFonts w:ascii="Times New Roman" w:hAnsi="Times New Roman"/>
          <w:sz w:val="24"/>
          <w:szCs w:val="24"/>
          <w:highlight w:val="yellow"/>
        </w:rPr>
        <w:t>implementation of donor selection</w:t>
      </w:r>
      <w:r w:rsidR="00414EA8" w:rsidRPr="00414EA8">
        <w:rPr>
          <w:rFonts w:ascii="Times New Roman" w:hAnsi="Times New Roman"/>
          <w:sz w:val="24"/>
          <w:szCs w:val="24"/>
          <w:highlight w:val="yellow"/>
        </w:rPr>
        <w:t xml:space="preserve"> and</w:t>
      </w:r>
      <w:r w:rsidR="006B0038" w:rsidRPr="00414EA8">
        <w:rPr>
          <w:rFonts w:ascii="Times New Roman" w:hAnsi="Times New Roman"/>
          <w:sz w:val="24"/>
          <w:szCs w:val="24"/>
          <w:highlight w:val="yellow"/>
        </w:rPr>
        <w:t xml:space="preserve"> </w:t>
      </w:r>
      <w:r w:rsidR="00414EA8" w:rsidRPr="00414EA8">
        <w:rPr>
          <w:rFonts w:ascii="Times New Roman" w:hAnsi="Times New Roman"/>
          <w:sz w:val="24"/>
          <w:szCs w:val="24"/>
          <w:highlight w:val="yellow"/>
        </w:rPr>
        <w:t xml:space="preserve">the use of </w:t>
      </w:r>
      <w:r w:rsidR="006B0038" w:rsidRPr="00414EA8">
        <w:rPr>
          <w:rFonts w:ascii="Times New Roman" w:hAnsi="Times New Roman"/>
          <w:sz w:val="24"/>
          <w:szCs w:val="24"/>
          <w:highlight w:val="yellow"/>
        </w:rPr>
        <w:t xml:space="preserve">sensitive screening tests can ensure the elimination, or at least </w:t>
      </w:r>
      <w:r w:rsidR="00414EA8" w:rsidRPr="00414EA8">
        <w:rPr>
          <w:rFonts w:ascii="Times New Roman" w:hAnsi="Times New Roman"/>
          <w:sz w:val="24"/>
          <w:szCs w:val="24"/>
          <w:highlight w:val="yellow"/>
        </w:rPr>
        <w:t xml:space="preserve">reduce </w:t>
      </w:r>
      <w:r w:rsidR="006B0038" w:rsidRPr="00414EA8">
        <w:rPr>
          <w:rFonts w:ascii="Times New Roman" w:hAnsi="Times New Roman"/>
          <w:sz w:val="24"/>
          <w:szCs w:val="24"/>
          <w:highlight w:val="yellow"/>
        </w:rPr>
        <w:t>the risk of acquiring TTIs</w:t>
      </w:r>
      <w:r w:rsidR="006B0038">
        <w:rPr>
          <w:rFonts w:ascii="Times New Roman" w:hAnsi="Times New Roman"/>
          <w:sz w:val="24"/>
          <w:szCs w:val="24"/>
        </w:rPr>
        <w:t xml:space="preserve"> (</w:t>
      </w:r>
      <w:r w:rsidR="00414EA8">
        <w:rPr>
          <w:rFonts w:ascii="Times New Roman" w:hAnsi="Times New Roman" w:cs="Times New Roman"/>
          <w:sz w:val="24"/>
          <w:szCs w:val="24"/>
        </w:rPr>
        <w:t xml:space="preserve">Gao </w:t>
      </w:r>
      <w:r w:rsidR="00414EA8">
        <w:rPr>
          <w:rFonts w:ascii="Times New Roman" w:hAnsi="Times New Roman" w:cs="Times New Roman"/>
          <w:i/>
          <w:iCs/>
          <w:sz w:val="24"/>
          <w:szCs w:val="24"/>
        </w:rPr>
        <w:t>et al</w:t>
      </w:r>
      <w:r w:rsidR="00414EA8">
        <w:rPr>
          <w:rFonts w:ascii="Times New Roman" w:hAnsi="Times New Roman" w:cs="Times New Roman"/>
          <w:sz w:val="24"/>
          <w:szCs w:val="24"/>
        </w:rPr>
        <w:t xml:space="preserve">., 2019; </w:t>
      </w:r>
      <w:proofErr w:type="spellStart"/>
      <w:r w:rsidR="006B0038">
        <w:rPr>
          <w:rFonts w:ascii="Times New Roman" w:hAnsi="Times New Roman"/>
          <w:sz w:val="24"/>
          <w:szCs w:val="24"/>
        </w:rPr>
        <w:t>Emadi</w:t>
      </w:r>
      <w:proofErr w:type="spellEnd"/>
      <w:r w:rsidR="006B0038">
        <w:rPr>
          <w:rFonts w:ascii="Times New Roman" w:hAnsi="Times New Roman"/>
          <w:sz w:val="24"/>
          <w:szCs w:val="24"/>
        </w:rPr>
        <w:t xml:space="preserve"> </w:t>
      </w:r>
      <w:r w:rsidR="006B0038">
        <w:rPr>
          <w:rFonts w:ascii="Times New Roman" w:hAnsi="Times New Roman"/>
          <w:i/>
          <w:sz w:val="24"/>
          <w:szCs w:val="24"/>
        </w:rPr>
        <w:t>et al</w:t>
      </w:r>
      <w:r w:rsidR="006B0038">
        <w:rPr>
          <w:rFonts w:ascii="Times New Roman" w:hAnsi="Times New Roman"/>
          <w:sz w:val="24"/>
          <w:szCs w:val="24"/>
        </w:rPr>
        <w:t xml:space="preserve">., 2021). </w:t>
      </w:r>
      <w:r w:rsidR="0039532B" w:rsidRPr="0039532B">
        <w:rPr>
          <w:rFonts w:ascii="Times New Roman" w:hAnsi="Times New Roman"/>
          <w:sz w:val="24"/>
          <w:szCs w:val="24"/>
          <w:highlight w:val="yellow"/>
        </w:rPr>
        <w:t>Furthermore</w:t>
      </w:r>
      <w:r w:rsidR="006B0038">
        <w:rPr>
          <w:rFonts w:ascii="Times New Roman" w:hAnsi="Times New Roman"/>
          <w:sz w:val="24"/>
          <w:szCs w:val="24"/>
        </w:rPr>
        <w:t>, the use of molecular screening methods would stimulate the development and use of increasingly sophisticated molecular methods to confirm initial screening results.</w:t>
      </w:r>
      <w:bookmarkStart w:id="0" w:name="_Toc32734"/>
      <w:r w:rsidR="006B0038">
        <w:rPr>
          <w:rFonts w:ascii="Times New Roman" w:hAnsi="Times New Roman"/>
          <w:sz w:val="24"/>
          <w:szCs w:val="24"/>
        </w:rPr>
        <w:t xml:space="preserve"> </w:t>
      </w:r>
      <w:r w:rsidR="006B0038">
        <w:rPr>
          <w:rFonts w:ascii="Times New Roman" w:hAnsi="Times New Roman"/>
          <w:bCs/>
          <w:sz w:val="24"/>
          <w:szCs w:val="24"/>
        </w:rPr>
        <w:t xml:space="preserve">This study aimed to detect viral transfusion-transmissible infections (TTIs) among blood donors at the Federal Medical Centre, Keffi, Nasarawa State, Nigeria, using </w:t>
      </w:r>
      <w:r w:rsidR="006B0038" w:rsidRPr="00C926DD">
        <w:rPr>
          <w:rFonts w:ascii="Times New Roman" w:hAnsi="Times New Roman"/>
          <w:bCs/>
          <w:sz w:val="24"/>
          <w:szCs w:val="24"/>
          <w:highlight w:val="yellow"/>
        </w:rPr>
        <w:t xml:space="preserve">the </w:t>
      </w:r>
      <w:r w:rsidR="00414EA8" w:rsidRPr="00C926DD">
        <w:rPr>
          <w:rFonts w:ascii="Times New Roman" w:hAnsi="Times New Roman"/>
          <w:bCs/>
          <w:sz w:val="24"/>
          <w:szCs w:val="24"/>
          <w:highlight w:val="yellow"/>
        </w:rPr>
        <w:t xml:space="preserve">rapid diagnostic tests (RDTs) </w:t>
      </w:r>
      <w:r w:rsidR="006B0038" w:rsidRPr="00C926DD">
        <w:rPr>
          <w:rFonts w:ascii="Times New Roman" w:hAnsi="Times New Roman"/>
          <w:bCs/>
          <w:sz w:val="24"/>
          <w:szCs w:val="24"/>
          <w:highlight w:val="yellow"/>
        </w:rPr>
        <w:t xml:space="preserve">and </w:t>
      </w:r>
      <w:r w:rsidR="00414EA8" w:rsidRPr="00C926DD">
        <w:rPr>
          <w:rFonts w:ascii="Times New Roman" w:hAnsi="Times New Roman"/>
          <w:sz w:val="24"/>
          <w:szCs w:val="24"/>
          <w:highlight w:val="yellow"/>
        </w:rPr>
        <w:t>Enzyme-Linked Immunosorbent Assay (ELISA</w:t>
      </w:r>
      <w:r w:rsidR="00C926DD" w:rsidRPr="00C926DD">
        <w:rPr>
          <w:rFonts w:ascii="Times New Roman" w:hAnsi="Times New Roman"/>
          <w:sz w:val="24"/>
          <w:szCs w:val="24"/>
          <w:highlight w:val="yellow"/>
        </w:rPr>
        <w:t>)</w:t>
      </w:r>
      <w:r w:rsidR="006B0038" w:rsidRPr="00C926DD">
        <w:rPr>
          <w:rFonts w:ascii="Times New Roman" w:hAnsi="Times New Roman"/>
          <w:bCs/>
          <w:sz w:val="24"/>
          <w:szCs w:val="24"/>
          <w:highlight w:val="yellow"/>
        </w:rPr>
        <w:t xml:space="preserve"> method.</w:t>
      </w:r>
    </w:p>
    <w:bookmarkEnd w:id="0"/>
    <w:p w14:paraId="1B1A313E" w14:textId="4E14E3D1" w:rsidR="008A27E2" w:rsidRDefault="006B0038">
      <w:pPr>
        <w:ind w:right="-64"/>
        <w:jc w:val="both"/>
        <w:rPr>
          <w:rFonts w:ascii="Times New Roman" w:hAnsi="Times New Roman"/>
          <w:b/>
          <w:bCs/>
          <w:sz w:val="24"/>
          <w:szCs w:val="24"/>
        </w:rPr>
      </w:pPr>
      <w:r>
        <w:rPr>
          <w:rFonts w:ascii="Times New Roman" w:hAnsi="Times New Roman"/>
          <w:b/>
          <w:bCs/>
          <w:sz w:val="24"/>
          <w:szCs w:val="24"/>
        </w:rPr>
        <w:t>Materials and Methods</w:t>
      </w:r>
    </w:p>
    <w:p w14:paraId="56DFCF7E" w14:textId="77777777" w:rsidR="008A27E2" w:rsidRDefault="008A27E2">
      <w:pPr>
        <w:ind w:right="-64"/>
        <w:jc w:val="both"/>
        <w:rPr>
          <w:rFonts w:ascii="Times New Roman" w:hAnsi="Times New Roman"/>
          <w:b/>
          <w:bCs/>
          <w:sz w:val="24"/>
          <w:szCs w:val="24"/>
        </w:rPr>
      </w:pPr>
    </w:p>
    <w:p w14:paraId="1B1855E2" w14:textId="77777777" w:rsidR="00CD5663" w:rsidRPr="00083BDC" w:rsidRDefault="006B0038" w:rsidP="00CD5663">
      <w:pPr>
        <w:jc w:val="both"/>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 xml:space="preserve">Study Design: </w:t>
      </w:r>
      <w:r w:rsidR="00CD5663" w:rsidRPr="00CD5663">
        <w:rPr>
          <w:rFonts w:ascii="Times New Roman" w:hAnsi="Times New Roman" w:cs="Times New Roman"/>
          <w:sz w:val="24"/>
          <w:szCs w:val="24"/>
          <w:highlight w:val="yellow"/>
        </w:rPr>
        <w:t>This was a cross-sectional study that enrolled 240 blood donors aged between 18 and 65 years. Participants who satisfied the inclusion criteria were systematically sampled from the donor registry until the predetermined sample size of 240 was achieved.</w:t>
      </w:r>
    </w:p>
    <w:p w14:paraId="11EAC151" w14:textId="0FA378CD" w:rsidR="008A27E2" w:rsidRDefault="006B0038">
      <w:pPr>
        <w:ind w:right="-64"/>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 xml:space="preserve">Study Area and Population: </w:t>
      </w:r>
      <w:r>
        <w:rPr>
          <w:rFonts w:ascii="Times New Roman" w:hAnsi="Times New Roman"/>
          <w:sz w:val="24"/>
          <w:szCs w:val="24"/>
        </w:rPr>
        <w:t xml:space="preserve">This study was conducted </w:t>
      </w:r>
      <w:r w:rsidR="0039532B">
        <w:rPr>
          <w:rFonts w:ascii="Times New Roman" w:hAnsi="Times New Roman"/>
          <w:sz w:val="24"/>
          <w:szCs w:val="24"/>
        </w:rPr>
        <w:t xml:space="preserve">in </w:t>
      </w:r>
      <w:r>
        <w:rPr>
          <w:rFonts w:ascii="Times New Roman" w:hAnsi="Times New Roman"/>
          <w:sz w:val="24"/>
          <w:szCs w:val="24"/>
        </w:rPr>
        <w:t xml:space="preserve">Keffi from March 2024 to September 2024. </w:t>
      </w:r>
      <w:r>
        <w:rPr>
          <w:rFonts w:ascii="Times New Roman" w:hAnsi="Times New Roman" w:cs="Times New Roman"/>
          <w:sz w:val="24"/>
          <w:szCs w:val="24"/>
        </w:rPr>
        <w:t xml:space="preserve">Keffi is located in Nasarawa </w:t>
      </w:r>
      <w:r w:rsidR="0039532B">
        <w:rPr>
          <w:rFonts w:ascii="Times New Roman" w:hAnsi="Times New Roman" w:cs="Times New Roman"/>
          <w:sz w:val="24"/>
          <w:szCs w:val="24"/>
        </w:rPr>
        <w:t>State</w:t>
      </w:r>
      <w:r>
        <w:rPr>
          <w:rFonts w:ascii="Times New Roman" w:hAnsi="Times New Roman" w:cs="Times New Roman"/>
          <w:sz w:val="24"/>
          <w:szCs w:val="24"/>
        </w:rPr>
        <w:t xml:space="preserve">, North Central, Nigeria (Figure 1). It is 68km from Abuja, the Nation’s Federal Capital Territory and 128 km from Lafia, the Nasarawa State capital. Keffi is located between Latitude 8°50′47′′ N and Longitude 7°52′24′′ E with an elevation of 321 m above sea level. The 2006 National Census reported that Keffi has an estimated population of 92,664 (NPC, 2006; Hassan </w:t>
      </w:r>
      <w:r>
        <w:rPr>
          <w:rFonts w:ascii="Times New Roman" w:hAnsi="Times New Roman" w:cs="Times New Roman"/>
          <w:i/>
          <w:iCs/>
          <w:sz w:val="24"/>
          <w:szCs w:val="24"/>
        </w:rPr>
        <w:t>et al</w:t>
      </w:r>
      <w:r>
        <w:rPr>
          <w:rFonts w:ascii="Times New Roman" w:hAnsi="Times New Roman" w:cs="Times New Roman"/>
          <w:sz w:val="24"/>
          <w:szCs w:val="24"/>
        </w:rPr>
        <w:t>., 2018).</w:t>
      </w:r>
    </w:p>
    <w:p w14:paraId="7606FEC3" w14:textId="77777777" w:rsidR="008A27E2" w:rsidRDefault="008A27E2">
      <w:pPr>
        <w:rPr>
          <w:rFonts w:ascii="Times New Roman" w:hAnsi="Times New Roman"/>
          <w:sz w:val="24"/>
          <w:szCs w:val="24"/>
        </w:rPr>
      </w:pPr>
    </w:p>
    <w:p w14:paraId="056883D7" w14:textId="77777777" w:rsidR="008A27E2" w:rsidRDefault="008A27E2">
      <w:pPr>
        <w:jc w:val="center"/>
        <w:rPr>
          <w:rFonts w:ascii="Times New Roman" w:hAnsi="Times New Roman"/>
          <w:sz w:val="24"/>
          <w:szCs w:val="24"/>
        </w:rPr>
      </w:pPr>
    </w:p>
    <w:p w14:paraId="15969278" w14:textId="77777777" w:rsidR="008A27E2" w:rsidRDefault="008A27E2">
      <w:pPr>
        <w:jc w:val="center"/>
        <w:rPr>
          <w:rFonts w:ascii="Times New Roman" w:hAnsi="Times New Roman"/>
          <w:sz w:val="24"/>
          <w:szCs w:val="24"/>
        </w:rPr>
      </w:pPr>
    </w:p>
    <w:p w14:paraId="4C7DC462" w14:textId="77777777" w:rsidR="008A27E2" w:rsidRDefault="008A27E2">
      <w:pPr>
        <w:spacing w:line="480" w:lineRule="auto"/>
        <w:jc w:val="center"/>
        <w:rPr>
          <w:rFonts w:ascii="Times New Roman" w:hAnsi="Times New Roman"/>
          <w:sz w:val="24"/>
          <w:szCs w:val="24"/>
        </w:rPr>
      </w:pPr>
    </w:p>
    <w:p w14:paraId="0FE3C5B0" w14:textId="77777777" w:rsidR="008A27E2" w:rsidRDefault="008A27E2">
      <w:pPr>
        <w:spacing w:line="480" w:lineRule="auto"/>
        <w:jc w:val="center"/>
        <w:rPr>
          <w:rFonts w:ascii="Times New Roman" w:hAnsi="Times New Roman"/>
          <w:sz w:val="24"/>
          <w:szCs w:val="24"/>
        </w:rPr>
      </w:pPr>
    </w:p>
    <w:p w14:paraId="30239B80" w14:textId="77777777" w:rsidR="008A27E2" w:rsidRDefault="008A27E2">
      <w:pPr>
        <w:spacing w:line="480" w:lineRule="auto"/>
        <w:jc w:val="center"/>
        <w:rPr>
          <w:rFonts w:ascii="Times New Roman" w:hAnsi="Times New Roman"/>
          <w:sz w:val="24"/>
          <w:szCs w:val="24"/>
        </w:rPr>
      </w:pPr>
    </w:p>
    <w:p w14:paraId="61113791" w14:textId="77777777" w:rsidR="008A27E2" w:rsidRDefault="008A27E2">
      <w:pPr>
        <w:spacing w:line="480" w:lineRule="auto"/>
        <w:jc w:val="center"/>
        <w:rPr>
          <w:rFonts w:ascii="Times New Roman" w:hAnsi="Times New Roman"/>
          <w:sz w:val="24"/>
          <w:szCs w:val="24"/>
        </w:rPr>
      </w:pPr>
    </w:p>
    <w:p w14:paraId="6C8DAD1C" w14:textId="77777777" w:rsidR="008A27E2" w:rsidRDefault="006B0038">
      <w:pPr>
        <w:spacing w:line="480" w:lineRule="auto"/>
        <w:jc w:val="center"/>
        <w:rPr>
          <w:rFonts w:ascii="Times New Roman" w:hAnsi="Times New Roman"/>
          <w:sz w:val="24"/>
          <w:szCs w:val="24"/>
        </w:rPr>
      </w:pPr>
      <w:r>
        <w:rPr>
          <w:noProof/>
          <w:lang w:eastAsia="en-US"/>
        </w:rPr>
        <w:lastRenderedPageBreak/>
        <w:drawing>
          <wp:inline distT="0" distB="0" distL="0" distR="0" wp14:anchorId="7D92D287" wp14:editId="04A3834D">
            <wp:extent cx="5274310" cy="3502683"/>
            <wp:effectExtent l="0" t="0" r="2540" b="2540"/>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srcRect/>
                    <a:stretch/>
                  </pic:blipFill>
                  <pic:spPr>
                    <a:xfrm>
                      <a:off x="0" y="0"/>
                      <a:ext cx="5274310" cy="3502683"/>
                    </a:xfrm>
                    <a:prstGeom prst="rect">
                      <a:avLst/>
                    </a:prstGeom>
                    <a:ln>
                      <a:noFill/>
                    </a:ln>
                  </pic:spPr>
                </pic:pic>
              </a:graphicData>
            </a:graphic>
          </wp:inline>
        </w:drawing>
      </w:r>
    </w:p>
    <w:p w14:paraId="1236F98B" w14:textId="77777777" w:rsidR="008A27E2" w:rsidRDefault="006B0038">
      <w:pPr>
        <w:rPr>
          <w:rFonts w:ascii="Times New Roman" w:hAnsi="Times New Roman" w:cs="Times New Roman"/>
          <w:sz w:val="24"/>
          <w:szCs w:val="24"/>
        </w:rPr>
      </w:pPr>
      <w:r>
        <w:rPr>
          <w:rFonts w:ascii="Times New Roman" w:hAnsi="Times New Roman" w:cs="Times New Roman"/>
          <w:sz w:val="24"/>
          <w:szCs w:val="24"/>
        </w:rPr>
        <w:t xml:space="preserve">Figure 1. Map of Nasarawa State Showing Keffi LGA (Abiola </w:t>
      </w:r>
      <w:r>
        <w:rPr>
          <w:rFonts w:ascii="Times New Roman" w:hAnsi="Times New Roman" w:cs="Times New Roman"/>
          <w:i/>
          <w:iCs/>
          <w:sz w:val="24"/>
          <w:szCs w:val="24"/>
        </w:rPr>
        <w:t>et al</w:t>
      </w:r>
      <w:r>
        <w:rPr>
          <w:rFonts w:ascii="Times New Roman" w:hAnsi="Times New Roman" w:cs="Times New Roman"/>
          <w:sz w:val="24"/>
          <w:szCs w:val="24"/>
        </w:rPr>
        <w:t>., 2016).</w:t>
      </w:r>
    </w:p>
    <w:p w14:paraId="62101266"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1D9EC925"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6F974E1B"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1A9C4E75"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797AA0AA"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70728281"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74058CAA"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13F25510"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52B611AA"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2DD09235"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3585C0DD"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6744AE4E"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50DFE63D"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38908E53"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1CB0C9AA" w14:textId="68EA490C" w:rsidR="008A27E2" w:rsidRDefault="006B0038">
      <w:pPr>
        <w:jc w:val="both"/>
        <w:rPr>
          <w:rFonts w:ascii="Times New Roman" w:hAnsi="Times New Roman"/>
          <w:sz w:val="24"/>
          <w:szCs w:val="24"/>
        </w:rPr>
      </w:pPr>
      <w:r>
        <w:rPr>
          <w:rFonts w:ascii="Times New Roman" w:hAnsi="Times New Roman" w:cs="Times New Roman"/>
          <w:b/>
          <w:color w:val="000000"/>
          <w:sz w:val="24"/>
          <w:szCs w:val="24"/>
          <w:shd w:val="clear" w:color="auto" w:fill="FFFFFF"/>
        </w:rPr>
        <w:lastRenderedPageBreak/>
        <w:t xml:space="preserve">Study Participants: </w:t>
      </w:r>
      <w:r>
        <w:rPr>
          <w:rFonts w:ascii="Times New Roman" w:hAnsi="Times New Roman"/>
          <w:sz w:val="24"/>
          <w:szCs w:val="24"/>
        </w:rPr>
        <w:t xml:space="preserve">The study population consisted of blood donors at the Blood Bank of the Medical Laboratory Department, Federal Medical Centre (FMC), Keffi, Nasarawa State, Nigeria. </w:t>
      </w:r>
      <w:r w:rsidR="00AD2022" w:rsidRPr="00AD2022">
        <w:rPr>
          <w:rFonts w:ascii="Times New Roman" w:hAnsi="Times New Roman"/>
          <w:sz w:val="24"/>
          <w:szCs w:val="24"/>
          <w:highlight w:val="yellow"/>
        </w:rPr>
        <w:t>M</w:t>
      </w:r>
      <w:r w:rsidRPr="00AD2022">
        <w:rPr>
          <w:rFonts w:ascii="Times New Roman" w:hAnsi="Times New Roman"/>
          <w:sz w:val="24"/>
          <w:szCs w:val="24"/>
          <w:highlight w:val="yellow"/>
        </w:rPr>
        <w:t>ale and female individuals aged 18 to 65 years who met the eligibility criteria were included in the study</w:t>
      </w:r>
      <w:r>
        <w:rPr>
          <w:rFonts w:ascii="Times New Roman" w:hAnsi="Times New Roman"/>
          <w:sz w:val="24"/>
          <w:szCs w:val="24"/>
        </w:rPr>
        <w:t>.</w:t>
      </w:r>
    </w:p>
    <w:p w14:paraId="45354B7C" w14:textId="77777777" w:rsidR="008A27E2" w:rsidRDefault="008A27E2">
      <w:pPr>
        <w:jc w:val="both"/>
        <w:rPr>
          <w:rFonts w:ascii="Times New Roman" w:hAnsi="Times New Roman" w:cs="Times New Roman"/>
          <w:b/>
          <w:color w:val="000000"/>
          <w:sz w:val="24"/>
          <w:szCs w:val="24"/>
          <w:shd w:val="clear" w:color="auto" w:fill="FFFFFF"/>
        </w:rPr>
      </w:pPr>
    </w:p>
    <w:p w14:paraId="289DADE3" w14:textId="19BC433A" w:rsidR="008A27E2" w:rsidRDefault="006B0038">
      <w:pPr>
        <w:tabs>
          <w:tab w:val="left" w:pos="425"/>
        </w:tabs>
        <w:jc w:val="both"/>
        <w:rPr>
          <w:rFonts w:ascii="Times New Roman" w:hAnsi="Times New Roman"/>
          <w:sz w:val="24"/>
          <w:szCs w:val="24"/>
        </w:rPr>
      </w:pPr>
      <w:r>
        <w:rPr>
          <w:rFonts w:ascii="Times New Roman" w:hAnsi="Times New Roman" w:cs="Times New Roman"/>
          <w:b/>
          <w:bCs/>
          <w:color w:val="000000"/>
          <w:sz w:val="24"/>
          <w:szCs w:val="24"/>
          <w:shd w:val="clear" w:color="auto" w:fill="FFFFFF"/>
        </w:rPr>
        <w:t xml:space="preserve">Inclusion and Exclusion Criteria: </w:t>
      </w:r>
      <w:r w:rsidR="00C926DD">
        <w:rPr>
          <w:rFonts w:ascii="Times New Roman" w:hAnsi="Times New Roman" w:cs="Times New Roman"/>
          <w:color w:val="000000"/>
          <w:sz w:val="24"/>
          <w:szCs w:val="24"/>
          <w:highlight w:val="yellow"/>
          <w:shd w:val="clear" w:color="auto" w:fill="FFFFFF"/>
        </w:rPr>
        <w:t>First-time</w:t>
      </w:r>
      <w:r w:rsidR="00796E80" w:rsidRPr="00796E80">
        <w:rPr>
          <w:rFonts w:ascii="Times New Roman" w:hAnsi="Times New Roman" w:cs="Times New Roman"/>
          <w:color w:val="000000"/>
          <w:sz w:val="24"/>
          <w:szCs w:val="24"/>
          <w:highlight w:val="yellow"/>
          <w:shd w:val="clear" w:color="auto" w:fill="FFFFFF"/>
        </w:rPr>
        <w:t xml:space="preserve"> d</w:t>
      </w:r>
      <w:r w:rsidRPr="00796E80">
        <w:rPr>
          <w:rFonts w:ascii="Times New Roman" w:hAnsi="Times New Roman" w:cs="Times New Roman"/>
          <w:color w:val="000000"/>
          <w:sz w:val="24"/>
          <w:szCs w:val="24"/>
          <w:highlight w:val="yellow"/>
          <w:shd w:val="clear" w:color="auto" w:fill="FFFFFF"/>
        </w:rPr>
        <w:t>onors</w:t>
      </w:r>
      <w:r>
        <w:rPr>
          <w:rFonts w:ascii="Times New Roman" w:hAnsi="Times New Roman" w:cs="Times New Roman"/>
          <w:color w:val="000000"/>
          <w:sz w:val="24"/>
          <w:szCs w:val="24"/>
          <w:shd w:val="clear" w:color="auto" w:fill="FFFFFF"/>
        </w:rPr>
        <w:t xml:space="preserve"> </w:t>
      </w:r>
      <w:r w:rsidR="00C926DD">
        <w:rPr>
          <w:rFonts w:ascii="Times New Roman" w:hAnsi="Times New Roman" w:cs="Times New Roman"/>
          <w:color w:val="000000"/>
          <w:sz w:val="24"/>
          <w:szCs w:val="24"/>
          <w:shd w:val="clear" w:color="auto" w:fill="FFFFFF"/>
        </w:rPr>
        <w:t>who</w:t>
      </w:r>
      <w:r>
        <w:rPr>
          <w:rFonts w:ascii="Times New Roman" w:hAnsi="Times New Roman" w:cs="Times New Roman"/>
          <w:color w:val="000000"/>
          <w:sz w:val="24"/>
          <w:szCs w:val="24"/>
          <w:shd w:val="clear" w:color="auto" w:fill="FFFFFF"/>
        </w:rPr>
        <w:t xml:space="preserve"> were 18-65 years, </w:t>
      </w:r>
      <w:r w:rsidR="00C926DD">
        <w:rPr>
          <w:rFonts w:ascii="Times New Roman" w:hAnsi="Times New Roman" w:cs="Times New Roman"/>
          <w:color w:val="000000"/>
          <w:sz w:val="24"/>
          <w:szCs w:val="24"/>
          <w:shd w:val="clear" w:color="auto" w:fill="FFFFFF"/>
        </w:rPr>
        <w:t>weighing</w:t>
      </w:r>
      <w:r>
        <w:rPr>
          <w:rFonts w:ascii="Times New Roman" w:hAnsi="Times New Roman" w:cs="Times New Roman"/>
          <w:color w:val="000000"/>
          <w:sz w:val="24"/>
          <w:szCs w:val="24"/>
          <w:shd w:val="clear" w:color="auto" w:fill="FFFFFF"/>
        </w:rPr>
        <w:t xml:space="preserve"> at least 50 kg with a </w:t>
      </w:r>
      <w:proofErr w:type="spellStart"/>
      <w:r w:rsidR="00C926DD">
        <w:rPr>
          <w:rFonts w:ascii="Times New Roman" w:hAnsi="Times New Roman" w:cs="Times New Roman"/>
          <w:color w:val="000000"/>
          <w:sz w:val="24"/>
          <w:szCs w:val="24"/>
          <w:shd w:val="clear" w:color="auto" w:fill="FFFFFF"/>
        </w:rPr>
        <w:t>haemoglobin</w:t>
      </w:r>
      <w:proofErr w:type="spellEnd"/>
      <w:r>
        <w:rPr>
          <w:rFonts w:ascii="Times New Roman" w:hAnsi="Times New Roman" w:cs="Times New Roman"/>
          <w:color w:val="000000"/>
          <w:sz w:val="24"/>
          <w:szCs w:val="24"/>
          <w:shd w:val="clear" w:color="auto" w:fill="FFFFFF"/>
        </w:rPr>
        <w:t xml:space="preserve"> level of 12.5 g/dl for </w:t>
      </w:r>
      <w:r w:rsidR="00CE78D4" w:rsidRPr="00CE78D4">
        <w:rPr>
          <w:rFonts w:ascii="Times New Roman" w:hAnsi="Times New Roman" w:cs="Times New Roman"/>
          <w:color w:val="000000"/>
          <w:sz w:val="24"/>
          <w:szCs w:val="24"/>
          <w:highlight w:val="yellow"/>
          <w:shd w:val="clear" w:color="auto" w:fill="FFFFFF"/>
        </w:rPr>
        <w:t>fe</w:t>
      </w:r>
      <w:r w:rsidRPr="00CE78D4">
        <w:rPr>
          <w:rFonts w:ascii="Times New Roman" w:hAnsi="Times New Roman" w:cs="Times New Roman"/>
          <w:color w:val="000000"/>
          <w:sz w:val="24"/>
          <w:szCs w:val="24"/>
          <w:highlight w:val="yellow"/>
          <w:shd w:val="clear" w:color="auto" w:fill="FFFFFF"/>
        </w:rPr>
        <w:t>males</w:t>
      </w:r>
      <w:r>
        <w:rPr>
          <w:rFonts w:ascii="Times New Roman" w:hAnsi="Times New Roman" w:cs="Times New Roman"/>
          <w:color w:val="000000"/>
          <w:sz w:val="24"/>
          <w:szCs w:val="24"/>
          <w:shd w:val="clear" w:color="auto" w:fill="FFFFFF"/>
        </w:rPr>
        <w:t xml:space="preserve"> and 13.0 g/dl for </w:t>
      </w:r>
      <w:r w:rsidRPr="00CE78D4">
        <w:rPr>
          <w:rFonts w:ascii="Times New Roman" w:hAnsi="Times New Roman" w:cs="Times New Roman"/>
          <w:color w:val="000000"/>
          <w:sz w:val="24"/>
          <w:szCs w:val="24"/>
          <w:shd w:val="clear" w:color="auto" w:fill="FFFFFF"/>
        </w:rPr>
        <w:t>males</w:t>
      </w:r>
      <w:r>
        <w:rPr>
          <w:rFonts w:ascii="Times New Roman" w:hAnsi="Times New Roman" w:cs="Times New Roman"/>
          <w:color w:val="000000"/>
          <w:sz w:val="24"/>
          <w:szCs w:val="24"/>
          <w:shd w:val="clear" w:color="auto" w:fill="FFFFFF"/>
        </w:rPr>
        <w:t xml:space="preserve"> without any history of chronic or recent infection</w:t>
      </w:r>
      <w:r w:rsidR="00C926D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while those </w:t>
      </w:r>
      <w:r w:rsidR="00C926DD">
        <w:rPr>
          <w:rFonts w:ascii="Times New Roman" w:hAnsi="Times New Roman" w:cs="Times New Roman"/>
          <w:color w:val="000000"/>
          <w:sz w:val="24"/>
          <w:szCs w:val="24"/>
          <w:shd w:val="clear" w:color="auto" w:fill="FFFFFF"/>
        </w:rPr>
        <w:t>who</w:t>
      </w:r>
      <w:r>
        <w:rPr>
          <w:rFonts w:ascii="Times New Roman" w:hAnsi="Times New Roman" w:cs="Times New Roman"/>
          <w:color w:val="000000"/>
          <w:sz w:val="24"/>
          <w:szCs w:val="24"/>
          <w:shd w:val="clear" w:color="auto" w:fill="FFFFFF"/>
        </w:rPr>
        <w:t xml:space="preserve"> did not meet the criteria were excluded. All the participants gave written consent.</w:t>
      </w:r>
      <w:r>
        <w:rPr>
          <w:rFonts w:ascii="Times New Roman" w:hAnsi="Times New Roman"/>
          <w:sz w:val="24"/>
          <w:szCs w:val="24"/>
        </w:rPr>
        <w:t xml:space="preserve"> </w:t>
      </w:r>
    </w:p>
    <w:p w14:paraId="4424AF23" w14:textId="6ECC74C2" w:rsidR="008A27E2" w:rsidRDefault="006B0038">
      <w:pPr>
        <w:jc w:val="both"/>
        <w:rPr>
          <w:rFonts w:ascii="Times New Roman" w:hAnsi="Times New Roman"/>
          <w:sz w:val="24"/>
          <w:szCs w:val="24"/>
        </w:rPr>
      </w:pPr>
      <w:r>
        <w:rPr>
          <w:rFonts w:ascii="Times New Roman" w:hAnsi="Times New Roman" w:cs="Times New Roman"/>
          <w:b/>
          <w:color w:val="000000"/>
          <w:sz w:val="24"/>
          <w:szCs w:val="24"/>
          <w:shd w:val="clear" w:color="auto" w:fill="FFFFFF"/>
        </w:rPr>
        <w:t xml:space="preserve">Sample Size Determination: </w:t>
      </w:r>
      <w:r>
        <w:rPr>
          <w:rFonts w:ascii="Times New Roman" w:hAnsi="Times New Roman" w:cs="Times New Roman"/>
          <w:bCs/>
          <w:color w:val="000000"/>
          <w:sz w:val="24"/>
          <w:szCs w:val="24"/>
          <w:shd w:val="clear" w:color="auto" w:fill="FFFFFF"/>
        </w:rPr>
        <w:t>The</w:t>
      </w:r>
      <w:r>
        <w:rPr>
          <w:rFonts w:ascii="Times New Roman" w:hAnsi="Times New Roman" w:cs="Times New Roman"/>
          <w:b/>
          <w:color w:val="000000"/>
          <w:sz w:val="24"/>
          <w:szCs w:val="24"/>
          <w:shd w:val="clear" w:color="auto" w:fill="FFFFFF"/>
        </w:rPr>
        <w:t xml:space="preserve"> </w:t>
      </w:r>
      <w:r>
        <w:rPr>
          <w:rFonts w:ascii="Times New Roman" w:hAnsi="Times New Roman"/>
          <w:sz w:val="24"/>
          <w:szCs w:val="24"/>
        </w:rPr>
        <w:t xml:space="preserve">formula described by Sadiq </w:t>
      </w:r>
      <w:r>
        <w:rPr>
          <w:rFonts w:ascii="Times New Roman" w:hAnsi="Times New Roman"/>
          <w:i/>
          <w:sz w:val="24"/>
          <w:szCs w:val="24"/>
        </w:rPr>
        <w:t>et al</w:t>
      </w:r>
      <w:r>
        <w:rPr>
          <w:rFonts w:ascii="Times New Roman" w:hAnsi="Times New Roman"/>
          <w:sz w:val="24"/>
          <w:szCs w:val="24"/>
        </w:rPr>
        <w:t>. (2024) was used for calculating sample size as follows:</w:t>
      </w:r>
    </w:p>
    <w:p w14:paraId="4E5FAB1B" w14:textId="77777777" w:rsidR="008A27E2" w:rsidRDefault="006B0038">
      <w:pPr>
        <w:jc w:val="both"/>
        <w:rPr>
          <w:rFonts w:ascii="Times New Roman" w:hAnsi="Times New Roman"/>
          <w:sz w:val="24"/>
          <w:szCs w:val="24"/>
          <w:u w:val="single"/>
        </w:rPr>
      </w:pPr>
      <w:r>
        <w:rPr>
          <w:rFonts w:ascii="Times New Roman" w:hAnsi="Times New Roman"/>
          <w:sz w:val="24"/>
          <w:szCs w:val="24"/>
        </w:rPr>
        <w:t xml:space="preserve">N = </w:t>
      </w:r>
      <w:r>
        <w:rPr>
          <w:rFonts w:ascii="Times New Roman" w:hAnsi="Times New Roman"/>
          <w:sz w:val="24"/>
          <w:szCs w:val="24"/>
          <w:u w:val="single"/>
        </w:rPr>
        <w:t>Z</w:t>
      </w:r>
      <w:r>
        <w:rPr>
          <w:rFonts w:ascii="Times New Roman" w:hAnsi="Times New Roman"/>
          <w:sz w:val="24"/>
          <w:szCs w:val="24"/>
          <w:u w:val="single"/>
          <w:vertAlign w:val="superscript"/>
        </w:rPr>
        <w:t>2</w:t>
      </w:r>
      <w:r>
        <w:rPr>
          <w:rFonts w:ascii="Times New Roman" w:hAnsi="Times New Roman"/>
          <w:sz w:val="24"/>
          <w:szCs w:val="24"/>
          <w:u w:val="single"/>
        </w:rPr>
        <w:t>pq</w:t>
      </w:r>
    </w:p>
    <w:p w14:paraId="4733F909" w14:textId="77777777" w:rsidR="008A27E2" w:rsidRDefault="006B0038">
      <w:pPr>
        <w:jc w:val="both"/>
        <w:rPr>
          <w:rFonts w:ascii="Times New Roman" w:hAnsi="Times New Roman"/>
          <w:sz w:val="24"/>
          <w:szCs w:val="24"/>
        </w:rPr>
      </w:pPr>
      <w:r>
        <w:rPr>
          <w:rFonts w:ascii="Times New Roman" w:hAnsi="Times New Roman"/>
          <w:sz w:val="24"/>
          <w:szCs w:val="24"/>
        </w:rPr>
        <w:tab/>
        <w:t>d</w:t>
      </w:r>
      <w:r>
        <w:rPr>
          <w:rFonts w:ascii="Times New Roman" w:hAnsi="Times New Roman"/>
          <w:sz w:val="24"/>
          <w:szCs w:val="24"/>
          <w:vertAlign w:val="superscript"/>
        </w:rPr>
        <w:t>2</w:t>
      </w:r>
    </w:p>
    <w:p w14:paraId="2FE59A06" w14:textId="77777777" w:rsidR="008A27E2" w:rsidRDefault="006B0038">
      <w:pPr>
        <w:jc w:val="both"/>
        <w:rPr>
          <w:rFonts w:ascii="Times New Roman" w:hAnsi="Times New Roman"/>
          <w:sz w:val="24"/>
          <w:szCs w:val="24"/>
        </w:rPr>
      </w:pPr>
      <w:r>
        <w:rPr>
          <w:rFonts w:ascii="Times New Roman" w:hAnsi="Times New Roman"/>
          <w:sz w:val="24"/>
          <w:szCs w:val="24"/>
        </w:rPr>
        <w:t>Where:</w:t>
      </w:r>
    </w:p>
    <w:p w14:paraId="1652A429" w14:textId="77777777" w:rsidR="008A27E2" w:rsidRDefault="006B0038">
      <w:pPr>
        <w:jc w:val="both"/>
        <w:rPr>
          <w:rFonts w:ascii="Times New Roman" w:hAnsi="Times New Roman"/>
          <w:sz w:val="24"/>
          <w:szCs w:val="24"/>
        </w:rPr>
      </w:pPr>
      <w:r>
        <w:rPr>
          <w:rFonts w:ascii="Times New Roman" w:hAnsi="Times New Roman"/>
          <w:sz w:val="24"/>
          <w:szCs w:val="24"/>
        </w:rPr>
        <w:t>N= Minimum sample size</w:t>
      </w:r>
    </w:p>
    <w:p w14:paraId="7B707369" w14:textId="77777777" w:rsidR="008A27E2" w:rsidRDefault="006B0038">
      <w:pPr>
        <w:jc w:val="both"/>
        <w:rPr>
          <w:rFonts w:ascii="Times New Roman" w:hAnsi="Times New Roman"/>
          <w:sz w:val="24"/>
          <w:szCs w:val="24"/>
        </w:rPr>
      </w:pPr>
      <w:r>
        <w:rPr>
          <w:rFonts w:ascii="Times New Roman" w:hAnsi="Times New Roman"/>
          <w:sz w:val="24"/>
          <w:szCs w:val="24"/>
        </w:rPr>
        <w:t>Z= Standard normal distribution at 95% confidence interval 1.96</w:t>
      </w:r>
    </w:p>
    <w:p w14:paraId="24087E07" w14:textId="77777777" w:rsidR="008A27E2" w:rsidRDefault="006B0038">
      <w:pPr>
        <w:jc w:val="both"/>
        <w:rPr>
          <w:rFonts w:ascii="Times New Roman" w:hAnsi="Times New Roman"/>
          <w:sz w:val="24"/>
          <w:szCs w:val="24"/>
        </w:rPr>
      </w:pPr>
      <w:r>
        <w:rPr>
          <w:rFonts w:ascii="Times New Roman" w:hAnsi="Times New Roman"/>
          <w:sz w:val="24"/>
          <w:szCs w:val="24"/>
        </w:rPr>
        <w:t xml:space="preserve">P= Prevalence of HBV in previous studies = 17% (0.17) (Oti </w:t>
      </w:r>
      <w:r>
        <w:rPr>
          <w:rFonts w:ascii="Times New Roman" w:hAnsi="Times New Roman"/>
          <w:i/>
          <w:sz w:val="24"/>
          <w:szCs w:val="24"/>
        </w:rPr>
        <w:t>et al</w:t>
      </w:r>
      <w:r>
        <w:rPr>
          <w:rFonts w:ascii="Times New Roman" w:hAnsi="Times New Roman"/>
          <w:sz w:val="24"/>
          <w:szCs w:val="24"/>
        </w:rPr>
        <w:t>., 2021).</w:t>
      </w:r>
    </w:p>
    <w:p w14:paraId="74D7A82F" w14:textId="77777777" w:rsidR="008A27E2" w:rsidRDefault="006B0038">
      <w:pPr>
        <w:jc w:val="both"/>
        <w:rPr>
          <w:rFonts w:ascii="Times New Roman" w:hAnsi="Times New Roman"/>
          <w:sz w:val="24"/>
          <w:szCs w:val="24"/>
        </w:rPr>
      </w:pPr>
      <w:r>
        <w:rPr>
          <w:rFonts w:ascii="Times New Roman" w:hAnsi="Times New Roman"/>
          <w:sz w:val="24"/>
          <w:szCs w:val="24"/>
        </w:rPr>
        <w:t>q= (1 - p) = 0.83</w:t>
      </w:r>
    </w:p>
    <w:p w14:paraId="105C0485" w14:textId="77777777" w:rsidR="008A27E2" w:rsidRDefault="006B0038">
      <w:pPr>
        <w:jc w:val="both"/>
        <w:rPr>
          <w:rFonts w:ascii="Times New Roman" w:hAnsi="Times New Roman"/>
          <w:sz w:val="24"/>
          <w:szCs w:val="24"/>
        </w:rPr>
      </w:pPr>
      <w:r>
        <w:rPr>
          <w:rFonts w:ascii="Times New Roman" w:hAnsi="Times New Roman"/>
          <w:sz w:val="24"/>
          <w:szCs w:val="24"/>
        </w:rPr>
        <w:t xml:space="preserve">d= precision or margin of error = 5% (0.05) </w:t>
      </w:r>
    </w:p>
    <w:p w14:paraId="35261618" w14:textId="77777777" w:rsidR="008A27E2" w:rsidRDefault="006B0038">
      <w:pPr>
        <w:jc w:val="both"/>
        <w:rPr>
          <w:rFonts w:ascii="Times New Roman" w:hAnsi="Times New Roman"/>
          <w:sz w:val="24"/>
          <w:szCs w:val="24"/>
        </w:rPr>
      </w:pPr>
      <w:r>
        <w:rPr>
          <w:rFonts w:ascii="Times New Roman" w:hAnsi="Times New Roman"/>
          <w:sz w:val="24"/>
          <w:szCs w:val="24"/>
        </w:rPr>
        <w:t>To substitute the values of the formula N= Z</w:t>
      </w:r>
      <w:r>
        <w:rPr>
          <w:rFonts w:ascii="Times New Roman" w:hAnsi="Times New Roman"/>
          <w:sz w:val="24"/>
          <w:szCs w:val="24"/>
          <w:vertAlign w:val="superscript"/>
        </w:rPr>
        <w:t>2</w:t>
      </w:r>
      <w:r>
        <w:rPr>
          <w:rFonts w:ascii="Times New Roman" w:hAnsi="Times New Roman"/>
          <w:sz w:val="24"/>
          <w:szCs w:val="24"/>
        </w:rPr>
        <w:t>pq / d</w:t>
      </w:r>
      <w:r>
        <w:rPr>
          <w:rFonts w:ascii="Times New Roman" w:hAnsi="Times New Roman"/>
          <w:sz w:val="24"/>
          <w:szCs w:val="24"/>
          <w:vertAlign w:val="superscript"/>
        </w:rPr>
        <w:t>2</w:t>
      </w:r>
      <w:r>
        <w:rPr>
          <w:rFonts w:ascii="Times New Roman" w:hAnsi="Times New Roman"/>
          <w:sz w:val="24"/>
          <w:szCs w:val="24"/>
        </w:rPr>
        <w:t xml:space="preserve"> will mean</w:t>
      </w:r>
    </w:p>
    <w:p w14:paraId="112A5DE7" w14:textId="77777777" w:rsidR="008A27E2" w:rsidRDefault="006B0038">
      <w:pPr>
        <w:jc w:val="both"/>
        <w:rPr>
          <w:rFonts w:ascii="Times New Roman" w:hAnsi="Times New Roman"/>
          <w:sz w:val="24"/>
          <w:szCs w:val="24"/>
        </w:rPr>
      </w:pPr>
      <w:r>
        <w:rPr>
          <w:rFonts w:ascii="Times New Roman" w:hAnsi="Times New Roman"/>
          <w:sz w:val="24"/>
          <w:szCs w:val="24"/>
        </w:rPr>
        <w:t xml:space="preserve">N= </w:t>
      </w:r>
      <w:r>
        <w:rPr>
          <w:rFonts w:ascii="Times New Roman" w:hAnsi="Times New Roman"/>
          <w:sz w:val="24"/>
          <w:szCs w:val="24"/>
          <w:u w:val="single"/>
        </w:rPr>
        <w:t>1.962 X 0.17 X 0.83</w:t>
      </w:r>
    </w:p>
    <w:p w14:paraId="21612FD3" w14:textId="77777777" w:rsidR="008A27E2" w:rsidRDefault="006B0038">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0.05</w:t>
      </w:r>
      <w:r>
        <w:rPr>
          <w:rFonts w:ascii="Times New Roman" w:hAnsi="Times New Roman"/>
          <w:sz w:val="24"/>
          <w:szCs w:val="24"/>
          <w:vertAlign w:val="superscript"/>
        </w:rPr>
        <w:t>2</w:t>
      </w:r>
    </w:p>
    <w:p w14:paraId="28748161" w14:textId="77777777" w:rsidR="008A27E2" w:rsidRDefault="006B0038">
      <w:pPr>
        <w:jc w:val="both"/>
        <w:rPr>
          <w:rFonts w:ascii="Times New Roman" w:hAnsi="Times New Roman"/>
          <w:sz w:val="24"/>
          <w:szCs w:val="24"/>
        </w:rPr>
      </w:pPr>
      <w:r>
        <w:rPr>
          <w:rFonts w:ascii="Times New Roman" w:hAnsi="Times New Roman"/>
          <w:sz w:val="24"/>
          <w:szCs w:val="24"/>
        </w:rPr>
        <w:t>N = 216.82</w:t>
      </w:r>
    </w:p>
    <w:p w14:paraId="189423E8" w14:textId="77777777" w:rsidR="008A27E2" w:rsidRDefault="006B0038">
      <w:pPr>
        <w:jc w:val="both"/>
        <w:rPr>
          <w:rFonts w:ascii="Times New Roman" w:hAnsi="Times New Roman"/>
          <w:sz w:val="24"/>
          <w:szCs w:val="24"/>
        </w:rPr>
      </w:pPr>
      <w:r>
        <w:rPr>
          <w:rFonts w:ascii="Times New Roman" w:hAnsi="Times New Roman"/>
          <w:sz w:val="24"/>
          <w:szCs w:val="24"/>
        </w:rPr>
        <w:t>Adding 10% attrition of 216.82 = 21.68, 216.82+21.68 = 238.5</w:t>
      </w:r>
    </w:p>
    <w:p w14:paraId="06324191" w14:textId="77777777" w:rsidR="008A27E2" w:rsidRDefault="006B0038">
      <w:pPr>
        <w:jc w:val="both"/>
        <w:rPr>
          <w:rFonts w:ascii="Times New Roman" w:hAnsi="Times New Roman"/>
          <w:sz w:val="24"/>
          <w:szCs w:val="24"/>
        </w:rPr>
      </w:pPr>
      <w:r>
        <w:rPr>
          <w:rFonts w:ascii="Times New Roman" w:hAnsi="Times New Roman"/>
          <w:sz w:val="24"/>
          <w:szCs w:val="24"/>
        </w:rPr>
        <w:t xml:space="preserve">N = 238.5 </w:t>
      </w:r>
    </w:p>
    <w:p w14:paraId="510A19B0" w14:textId="77777777" w:rsidR="008A27E2" w:rsidRDefault="006B0038">
      <w:pPr>
        <w:jc w:val="both"/>
        <w:rPr>
          <w:rFonts w:ascii="Times New Roman" w:hAnsi="Times New Roman"/>
          <w:sz w:val="24"/>
          <w:szCs w:val="24"/>
        </w:rPr>
      </w:pPr>
      <w:r>
        <w:rPr>
          <w:rFonts w:ascii="Times New Roman" w:hAnsi="Times New Roman"/>
          <w:sz w:val="24"/>
          <w:szCs w:val="24"/>
        </w:rPr>
        <w:t>Approximately 240 samples.</w:t>
      </w:r>
    </w:p>
    <w:p w14:paraId="0B884FC1" w14:textId="05AB20C0" w:rsidR="008A27E2" w:rsidRDefault="006B0038">
      <w:pPr>
        <w:jc w:val="both"/>
        <w:rPr>
          <w:rFonts w:ascii="Times New Roman" w:hAnsi="Times New Roman" w:cs="Times New Roman"/>
          <w:sz w:val="24"/>
          <w:szCs w:val="24"/>
        </w:rPr>
      </w:pPr>
      <w:r>
        <w:rPr>
          <w:rFonts w:ascii="Times New Roman" w:hAnsi="Times New Roman" w:cs="Times New Roman"/>
          <w:b/>
          <w:sz w:val="24"/>
          <w:szCs w:val="24"/>
        </w:rPr>
        <w:t xml:space="preserve">Data Analysis: </w:t>
      </w:r>
      <w:r>
        <w:rPr>
          <w:rFonts w:ascii="Times New Roman" w:hAnsi="Times New Roman" w:cs="Times New Roman"/>
          <w:sz w:val="24"/>
          <w:szCs w:val="24"/>
        </w:rPr>
        <w:t xml:space="preserve">Statistical analysis of the data </w:t>
      </w:r>
      <w:r>
        <w:rPr>
          <w:rFonts w:ascii="Times New Roman" w:hAnsi="Times New Roman"/>
          <w:sz w:val="24"/>
          <w:szCs w:val="24"/>
        </w:rPr>
        <w:t xml:space="preserve">was </w:t>
      </w:r>
      <w:r>
        <w:rPr>
          <w:rFonts w:ascii="Times New Roman" w:hAnsi="Times New Roman" w:cs="Times New Roman"/>
          <w:sz w:val="24"/>
          <w:szCs w:val="24"/>
        </w:rPr>
        <w:t>conducted to evaluate the significance of variables, with the Chi-square test employed to assess relationships between categorical variables. Descriptive statistics, like percentages, were used to summarise the collected data effectively.</w:t>
      </w:r>
    </w:p>
    <w:p w14:paraId="0768584A" w14:textId="17C8DAA7" w:rsidR="008A27E2" w:rsidRDefault="006B0038">
      <w:pPr>
        <w:tabs>
          <w:tab w:val="left" w:pos="425"/>
        </w:tabs>
        <w:jc w:val="both"/>
        <w:rPr>
          <w:rFonts w:ascii="Times New Roman" w:hAnsi="Times New Roman"/>
          <w:sz w:val="24"/>
          <w:szCs w:val="24"/>
        </w:rPr>
      </w:pPr>
      <w:r>
        <w:rPr>
          <w:rFonts w:ascii="Times New Roman" w:hAnsi="Times New Roman" w:cs="Times New Roman"/>
          <w:b/>
          <w:color w:val="000000"/>
          <w:sz w:val="24"/>
          <w:szCs w:val="24"/>
          <w:shd w:val="clear" w:color="auto" w:fill="FFFFFF"/>
        </w:rPr>
        <w:t>Specimen Collection:</w:t>
      </w:r>
      <w:r>
        <w:rPr>
          <w:rFonts w:ascii="Times New Roman" w:hAnsi="Times New Roman"/>
          <w:sz w:val="24"/>
          <w:szCs w:val="24"/>
        </w:rPr>
        <w:t xml:space="preserve"> Blood samples were collected from consenting study participants who came to donate blood at the Blood Bank of the Federal Medical Centre, Keffi. The venipuncture method (WHO, 2010) was employed to aseptically collect blood samples from each participant, such that the arm of the individual was tied with a tourniquet and the position of the vein was disinfected using cotton wool soaked in methylated spirit. Using a disposable sterile needle and 5ml syringes for each blood donor, 5ml of blood sample was collected and then transferred into a labelled Ethylene Diamine Tetracetic Acid (EDTA) blood sample tube and centrifuged at 1500 rpm for 15 minutes to obtain plasma. The plasma was dispensed into labelled microtubes and stored at 8 °C until ready for use. Socio-demographic information of the donors was obtained by the use of well-structured questionnaires.  </w:t>
      </w:r>
    </w:p>
    <w:p w14:paraId="490FB2B3" w14:textId="2F30AE37" w:rsidR="008A27E2" w:rsidRDefault="006B0038">
      <w:pPr>
        <w:spacing w:after="20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Test Procedure: </w:t>
      </w:r>
    </w:p>
    <w:p w14:paraId="7A47501F" w14:textId="77777777" w:rsidR="008A27E2" w:rsidRDefault="006B0038">
      <w:pPr>
        <w:jc w:val="both"/>
        <w:rPr>
          <w:rFonts w:ascii="Times New Roman" w:hAnsi="Times New Roman"/>
          <w:sz w:val="24"/>
          <w:szCs w:val="24"/>
        </w:rPr>
      </w:pPr>
      <w:r>
        <w:rPr>
          <w:rFonts w:ascii="Times New Roman" w:hAnsi="Times New Roman"/>
          <w:sz w:val="24"/>
          <w:szCs w:val="24"/>
        </w:rPr>
        <w:t xml:space="preserve">The rapid tests for TTIs were conducted using the lateral flow immunochromatographic assay for quantitative detection of antibodies following the manufacturer’s instructions. The following rapid test kits were used in this study: Abbott Determine </w:t>
      </w:r>
      <w:r>
        <w:rPr>
          <w:rFonts w:ascii="Times New Roman" w:hAnsi="Times New Roman" w:cs="Times New Roman"/>
          <w:sz w:val="24"/>
          <w:szCs w:val="24"/>
        </w:rPr>
        <w:t>HIV-1/2</w:t>
      </w:r>
      <w:r>
        <w:t xml:space="preserve">, </w:t>
      </w:r>
      <w:r>
        <w:rPr>
          <w:rFonts w:ascii="Times New Roman" w:hAnsi="Times New Roman" w:cs="Times New Roman"/>
          <w:bCs/>
          <w:color w:val="000000"/>
          <w:sz w:val="24"/>
          <w:szCs w:val="24"/>
          <w:shd w:val="clear" w:color="auto" w:fill="FFFFFF"/>
        </w:rPr>
        <w:t xml:space="preserve">DIALAB DIAQUICK HBsAg </w:t>
      </w:r>
      <w:r>
        <w:rPr>
          <w:rFonts w:ascii="Times New Roman" w:hAnsi="Times New Roman" w:cs="Times New Roman"/>
          <w:sz w:val="24"/>
          <w:szCs w:val="24"/>
        </w:rPr>
        <w:t xml:space="preserve">and HCV </w:t>
      </w:r>
      <w:r>
        <w:rPr>
          <w:rFonts w:ascii="Times New Roman" w:hAnsi="Times New Roman" w:cs="Times New Roman"/>
          <w:bCs/>
          <w:color w:val="000000"/>
          <w:sz w:val="24"/>
          <w:szCs w:val="24"/>
          <w:shd w:val="clear" w:color="auto" w:fill="FFFFFF"/>
        </w:rPr>
        <w:t xml:space="preserve">dipstick rapid screening kits (DIALAB Austria), while the ELISA quantitative analysis was done using the </w:t>
      </w:r>
      <w:r>
        <w:rPr>
          <w:rFonts w:ascii="Times New Roman" w:hAnsi="Times New Roman" w:cs="Times New Roman"/>
          <w:sz w:val="24"/>
          <w:szCs w:val="24"/>
        </w:rPr>
        <w:t>DIALAB HIV, HBsAg, and HCV ELISA test kit (DIALAB Austria) on samples that were negative from the RDT test.</w:t>
      </w:r>
    </w:p>
    <w:p w14:paraId="1CD99FF6" w14:textId="77777777" w:rsidR="008A27E2" w:rsidRDefault="006B0038">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14:paraId="63DA6D04" w14:textId="77777777" w:rsidR="008A27E2" w:rsidRDefault="008A27E2">
      <w:pPr>
        <w:spacing w:line="480" w:lineRule="auto"/>
        <w:jc w:val="both"/>
        <w:rPr>
          <w:rFonts w:ascii="Times New Roman" w:hAnsi="Times New Roman"/>
          <w:b/>
          <w:bCs/>
          <w:sz w:val="24"/>
          <w:szCs w:val="24"/>
        </w:rPr>
      </w:pPr>
    </w:p>
    <w:p w14:paraId="4D952BB0" w14:textId="78913E44" w:rsidR="008A27E2" w:rsidRDefault="006B0038">
      <w:pPr>
        <w:jc w:val="both"/>
        <w:rPr>
          <w:rFonts w:ascii="Times New Roman" w:hAnsi="Times New Roman"/>
          <w:b/>
          <w:bCs/>
          <w:sz w:val="24"/>
          <w:szCs w:val="24"/>
        </w:rPr>
      </w:pPr>
      <w:r>
        <w:rPr>
          <w:rFonts w:ascii="Times New Roman" w:hAnsi="Times New Roman"/>
          <w:b/>
          <w:bCs/>
          <w:sz w:val="24"/>
          <w:szCs w:val="24"/>
        </w:rPr>
        <w:t>Results</w:t>
      </w:r>
    </w:p>
    <w:p w14:paraId="6EB9D4BA" w14:textId="341C0872" w:rsidR="008A27E2" w:rsidRDefault="006B0038">
      <w:pPr>
        <w:jc w:val="both"/>
        <w:rPr>
          <w:rFonts w:ascii="Times New Roman" w:hAnsi="Times New Roman"/>
          <w:b/>
          <w:bCs/>
          <w:sz w:val="24"/>
          <w:szCs w:val="24"/>
        </w:rPr>
      </w:pPr>
      <w:r>
        <w:rPr>
          <w:rFonts w:ascii="Times New Roman" w:hAnsi="Times New Roman"/>
          <w:b/>
          <w:bCs/>
          <w:sz w:val="24"/>
          <w:szCs w:val="24"/>
        </w:rPr>
        <w:t>Seroprevalence of Transfusion-Transmissible Infections (TTIs) Using Rapid Diagnostic Test (RDT) and Enzyme-Linked Immunosorbent Assay (ELISA)</w:t>
      </w:r>
    </w:p>
    <w:p w14:paraId="6A22E2F2" w14:textId="77777777" w:rsidR="008A27E2" w:rsidRDefault="006B0038">
      <w:pPr>
        <w:jc w:val="both"/>
        <w:rPr>
          <w:rFonts w:ascii="Times New Roman" w:hAnsi="Times New Roman"/>
          <w:sz w:val="24"/>
          <w:szCs w:val="24"/>
        </w:rPr>
      </w:pPr>
      <w:r>
        <w:rPr>
          <w:rFonts w:ascii="Times New Roman" w:hAnsi="Times New Roman"/>
          <w:sz w:val="24"/>
          <w:szCs w:val="24"/>
        </w:rPr>
        <w:t>The seroprevalence of transfusion-transmissible infections (TTIs) detected using the Rapid Diagnostic Test (RDT) among the 240 blood donors as well as those who tested negative that were further screened using ELISA is shown on Table 1 where Hepatitis B Virus (HBV) had the highest prevalence, with 9 cases (3.8%), followed by Hepatitis C Virus (HCV) with 8 cases (3.3%). Human Immunodeficiency Virus (HIV) had the lowest prevalence, with 4 cases (1.6%) using RDT. However, more cases were detected after screening with ELISA as follows: HBV 6.0% (14/231), followed by HIV at 3.0% (7/236), while HCV had the lowest prevalence at 1.7% (4/232).</w:t>
      </w:r>
    </w:p>
    <w:p w14:paraId="57695606" w14:textId="77777777" w:rsidR="008A27E2" w:rsidRDefault="006B0038">
      <w:pPr>
        <w:rPr>
          <w:rFonts w:ascii="Times New Roman" w:hAnsi="Times New Roman"/>
          <w:sz w:val="24"/>
          <w:szCs w:val="24"/>
        </w:rPr>
      </w:pPr>
      <w:r>
        <w:rPr>
          <w:rFonts w:ascii="Times New Roman" w:hAnsi="Times New Roman"/>
          <w:sz w:val="24"/>
          <w:szCs w:val="24"/>
        </w:rPr>
        <w:br w:type="page"/>
      </w:r>
    </w:p>
    <w:p w14:paraId="7F160489" w14:textId="77777777" w:rsidR="008A27E2" w:rsidRDefault="006B0038">
      <w:pPr>
        <w:jc w:val="both"/>
        <w:rPr>
          <w:rFonts w:ascii="Times New Roman" w:hAnsi="Times New Roman"/>
          <w:b/>
          <w:bCs/>
          <w:sz w:val="24"/>
          <w:szCs w:val="24"/>
        </w:rPr>
      </w:pPr>
      <w:r>
        <w:rPr>
          <w:rFonts w:ascii="Times New Roman" w:hAnsi="Times New Roman"/>
          <w:b/>
          <w:bCs/>
          <w:sz w:val="24"/>
          <w:szCs w:val="24"/>
        </w:rPr>
        <w:lastRenderedPageBreak/>
        <w:t>Table 1</w:t>
      </w:r>
      <w:r>
        <w:rPr>
          <w:rFonts w:ascii="Times New Roman" w:hAnsi="Times New Roman"/>
          <w:b/>
          <w:bCs/>
          <w:sz w:val="24"/>
          <w:szCs w:val="24"/>
        </w:rPr>
        <w:tab/>
        <w:t>Seroprevalence of Transfusion-Transmissible Infections (TTIs) Using Rapid Diagnostic Test (RDT) and Enzyme-Linked Immunosorbent Assay (ELISA)</w:t>
      </w:r>
    </w:p>
    <w:tbl>
      <w:tblPr>
        <w:tblStyle w:val="TableGrid"/>
        <w:tblW w:w="9828" w:type="dxa"/>
        <w:tblLook w:val="04A0" w:firstRow="1" w:lastRow="0" w:firstColumn="1" w:lastColumn="0" w:noHBand="0" w:noVBand="1"/>
      </w:tblPr>
      <w:tblGrid>
        <w:gridCol w:w="1098"/>
        <w:gridCol w:w="2070"/>
        <w:gridCol w:w="2250"/>
        <w:gridCol w:w="2160"/>
        <w:gridCol w:w="2250"/>
      </w:tblGrid>
      <w:tr w:rsidR="008A27E2" w14:paraId="2D8F5F39" w14:textId="77777777">
        <w:tc>
          <w:tcPr>
            <w:tcW w:w="1098" w:type="dxa"/>
          </w:tcPr>
          <w:p w14:paraId="0AB8EC3E" w14:textId="77777777" w:rsidR="008A27E2" w:rsidRDefault="006B0038">
            <w:pPr>
              <w:spacing w:line="480" w:lineRule="auto"/>
              <w:rPr>
                <w:rFonts w:ascii="Times New Roman" w:hAnsi="Times New Roman" w:cs="Times New Roman"/>
                <w:b/>
                <w:bCs/>
                <w:sz w:val="24"/>
                <w:szCs w:val="24"/>
              </w:rPr>
            </w:pPr>
            <w:r>
              <w:rPr>
                <w:rFonts w:ascii="Times New Roman" w:hAnsi="Times New Roman" w:cs="Times New Roman"/>
                <w:b/>
                <w:bCs/>
                <w:sz w:val="24"/>
                <w:szCs w:val="24"/>
              </w:rPr>
              <w:t>Test</w:t>
            </w:r>
          </w:p>
        </w:tc>
        <w:tc>
          <w:tcPr>
            <w:tcW w:w="2070" w:type="dxa"/>
          </w:tcPr>
          <w:p w14:paraId="734BAC5C" w14:textId="77777777" w:rsidR="008A27E2" w:rsidRDefault="006B0038">
            <w:pPr>
              <w:spacing w:line="480" w:lineRule="auto"/>
              <w:rPr>
                <w:rFonts w:ascii="Times New Roman" w:hAnsi="Times New Roman" w:cs="Times New Roman"/>
                <w:b/>
                <w:bCs/>
                <w:sz w:val="24"/>
                <w:szCs w:val="24"/>
              </w:rPr>
            </w:pPr>
            <w:r>
              <w:rPr>
                <w:rFonts w:ascii="Times New Roman" w:hAnsi="Times New Roman" w:cs="Times New Roman"/>
                <w:b/>
                <w:bCs/>
                <w:sz w:val="24"/>
                <w:szCs w:val="24"/>
              </w:rPr>
              <w:t>RDT</w:t>
            </w:r>
          </w:p>
          <w:p w14:paraId="39203B36" w14:textId="77777777" w:rsidR="008A27E2" w:rsidRDefault="006B0038">
            <w:pPr>
              <w:spacing w:line="480" w:lineRule="auto"/>
              <w:rPr>
                <w:rFonts w:ascii="Times New Roman" w:hAnsi="Times New Roman" w:cs="Times New Roman"/>
                <w:b/>
                <w:bCs/>
                <w:sz w:val="24"/>
                <w:szCs w:val="24"/>
              </w:rPr>
            </w:pPr>
            <w:r>
              <w:rPr>
                <w:rFonts w:ascii="Times New Roman" w:hAnsi="Times New Roman" w:cs="Times New Roman"/>
                <w:b/>
                <w:bCs/>
                <w:sz w:val="24"/>
                <w:szCs w:val="24"/>
              </w:rPr>
              <w:t>No. of Sample (N)</w:t>
            </w:r>
          </w:p>
        </w:tc>
        <w:tc>
          <w:tcPr>
            <w:tcW w:w="2250" w:type="dxa"/>
          </w:tcPr>
          <w:p w14:paraId="248C4EC6" w14:textId="77777777" w:rsidR="008A27E2" w:rsidRDefault="008A27E2">
            <w:pPr>
              <w:spacing w:line="480" w:lineRule="auto"/>
              <w:rPr>
                <w:rFonts w:ascii="Times New Roman" w:hAnsi="Times New Roman" w:cs="Times New Roman"/>
                <w:b/>
                <w:bCs/>
                <w:sz w:val="24"/>
                <w:szCs w:val="24"/>
              </w:rPr>
            </w:pPr>
          </w:p>
          <w:p w14:paraId="35B6D8B3" w14:textId="77777777" w:rsidR="008A27E2" w:rsidRDefault="006B0038">
            <w:pPr>
              <w:spacing w:line="480" w:lineRule="auto"/>
              <w:rPr>
                <w:rFonts w:ascii="Times New Roman" w:hAnsi="Times New Roman" w:cs="Times New Roman"/>
                <w:b/>
                <w:bCs/>
                <w:sz w:val="24"/>
                <w:szCs w:val="24"/>
              </w:rPr>
            </w:pPr>
            <w:r>
              <w:rPr>
                <w:rFonts w:ascii="Times New Roman" w:hAnsi="Times New Roman" w:cs="Times New Roman"/>
                <w:b/>
                <w:bCs/>
                <w:sz w:val="24"/>
                <w:szCs w:val="24"/>
              </w:rPr>
              <w:t>Seroprevalence (%)</w:t>
            </w:r>
          </w:p>
        </w:tc>
        <w:tc>
          <w:tcPr>
            <w:tcW w:w="2160" w:type="dxa"/>
          </w:tcPr>
          <w:p w14:paraId="42A40B8A" w14:textId="77777777" w:rsidR="008A27E2" w:rsidRDefault="006B0038">
            <w:pPr>
              <w:spacing w:line="480" w:lineRule="auto"/>
              <w:rPr>
                <w:rFonts w:ascii="Times New Roman" w:hAnsi="Times New Roman" w:cs="Times New Roman"/>
                <w:b/>
                <w:bCs/>
                <w:sz w:val="24"/>
                <w:szCs w:val="24"/>
              </w:rPr>
            </w:pPr>
            <w:r>
              <w:rPr>
                <w:rFonts w:ascii="Times New Roman" w:hAnsi="Times New Roman" w:cs="Times New Roman"/>
                <w:b/>
                <w:bCs/>
                <w:sz w:val="24"/>
                <w:szCs w:val="24"/>
              </w:rPr>
              <w:t>ELISA</w:t>
            </w:r>
          </w:p>
          <w:p w14:paraId="2A5B9609" w14:textId="77777777" w:rsidR="008A27E2" w:rsidRDefault="006B0038">
            <w:pPr>
              <w:spacing w:line="480" w:lineRule="auto"/>
              <w:rPr>
                <w:rFonts w:ascii="Times New Roman" w:hAnsi="Times New Roman" w:cs="Times New Roman"/>
                <w:b/>
                <w:bCs/>
                <w:sz w:val="24"/>
                <w:szCs w:val="24"/>
              </w:rPr>
            </w:pPr>
            <w:r>
              <w:rPr>
                <w:rFonts w:ascii="Times New Roman" w:hAnsi="Times New Roman" w:cs="Times New Roman"/>
                <w:b/>
                <w:bCs/>
                <w:sz w:val="24"/>
                <w:szCs w:val="24"/>
              </w:rPr>
              <w:t>No. of Sample (N)</w:t>
            </w:r>
          </w:p>
        </w:tc>
        <w:tc>
          <w:tcPr>
            <w:tcW w:w="2250" w:type="dxa"/>
          </w:tcPr>
          <w:p w14:paraId="16979623" w14:textId="77777777" w:rsidR="008A27E2" w:rsidRDefault="008A27E2">
            <w:pPr>
              <w:spacing w:line="480" w:lineRule="auto"/>
              <w:rPr>
                <w:rFonts w:ascii="Times New Roman" w:hAnsi="Times New Roman" w:cs="Times New Roman"/>
                <w:b/>
                <w:bCs/>
                <w:sz w:val="24"/>
                <w:szCs w:val="24"/>
              </w:rPr>
            </w:pPr>
          </w:p>
          <w:p w14:paraId="50677F66" w14:textId="77777777" w:rsidR="008A27E2" w:rsidRDefault="006B0038">
            <w:pPr>
              <w:spacing w:line="480" w:lineRule="auto"/>
              <w:rPr>
                <w:rFonts w:ascii="Times New Roman" w:hAnsi="Times New Roman" w:cs="Times New Roman"/>
                <w:b/>
                <w:bCs/>
                <w:sz w:val="24"/>
                <w:szCs w:val="24"/>
              </w:rPr>
            </w:pPr>
            <w:r>
              <w:rPr>
                <w:rFonts w:ascii="Times New Roman" w:hAnsi="Times New Roman" w:cs="Times New Roman"/>
                <w:b/>
                <w:bCs/>
                <w:sz w:val="24"/>
                <w:szCs w:val="24"/>
              </w:rPr>
              <w:t>Seroprevalence (%)</w:t>
            </w:r>
          </w:p>
        </w:tc>
      </w:tr>
      <w:tr w:rsidR="008A27E2" w14:paraId="5845F004" w14:textId="77777777">
        <w:tc>
          <w:tcPr>
            <w:tcW w:w="1098" w:type="dxa"/>
          </w:tcPr>
          <w:p w14:paraId="7044C826"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b/>
                <w:bCs/>
                <w:sz w:val="24"/>
                <w:szCs w:val="24"/>
              </w:rPr>
              <w:t>HBV</w:t>
            </w:r>
          </w:p>
        </w:tc>
        <w:tc>
          <w:tcPr>
            <w:tcW w:w="2070" w:type="dxa"/>
          </w:tcPr>
          <w:p w14:paraId="19BF4DB9"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240</w:t>
            </w:r>
          </w:p>
        </w:tc>
        <w:tc>
          <w:tcPr>
            <w:tcW w:w="2250" w:type="dxa"/>
          </w:tcPr>
          <w:p w14:paraId="5B1565AE"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9 (3.8)</w:t>
            </w:r>
          </w:p>
        </w:tc>
        <w:tc>
          <w:tcPr>
            <w:tcW w:w="2160" w:type="dxa"/>
          </w:tcPr>
          <w:p w14:paraId="5EEABC3F"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231</w:t>
            </w:r>
          </w:p>
        </w:tc>
        <w:tc>
          <w:tcPr>
            <w:tcW w:w="2250" w:type="dxa"/>
          </w:tcPr>
          <w:p w14:paraId="6E449646"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14 (6.0)</w:t>
            </w:r>
          </w:p>
        </w:tc>
      </w:tr>
      <w:tr w:rsidR="008A27E2" w14:paraId="62FC4D04" w14:textId="77777777">
        <w:tc>
          <w:tcPr>
            <w:tcW w:w="1098" w:type="dxa"/>
          </w:tcPr>
          <w:p w14:paraId="0E15BB93"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b/>
                <w:bCs/>
                <w:sz w:val="24"/>
                <w:szCs w:val="24"/>
              </w:rPr>
              <w:t>HCV</w:t>
            </w:r>
          </w:p>
        </w:tc>
        <w:tc>
          <w:tcPr>
            <w:tcW w:w="2070" w:type="dxa"/>
          </w:tcPr>
          <w:p w14:paraId="72C99C03"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240</w:t>
            </w:r>
          </w:p>
        </w:tc>
        <w:tc>
          <w:tcPr>
            <w:tcW w:w="2250" w:type="dxa"/>
          </w:tcPr>
          <w:p w14:paraId="3B732656"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8 (3.3)</w:t>
            </w:r>
          </w:p>
        </w:tc>
        <w:tc>
          <w:tcPr>
            <w:tcW w:w="2160" w:type="dxa"/>
          </w:tcPr>
          <w:p w14:paraId="4B9285D6"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232</w:t>
            </w:r>
          </w:p>
        </w:tc>
        <w:tc>
          <w:tcPr>
            <w:tcW w:w="2250" w:type="dxa"/>
          </w:tcPr>
          <w:p w14:paraId="4F253F5A"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4 (1.7)</w:t>
            </w:r>
          </w:p>
        </w:tc>
      </w:tr>
      <w:tr w:rsidR="008A27E2" w14:paraId="56741EEF" w14:textId="77777777">
        <w:tc>
          <w:tcPr>
            <w:tcW w:w="1098" w:type="dxa"/>
          </w:tcPr>
          <w:p w14:paraId="04236CD2"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b/>
                <w:bCs/>
                <w:sz w:val="24"/>
                <w:szCs w:val="24"/>
              </w:rPr>
              <w:t>HIV</w:t>
            </w:r>
          </w:p>
        </w:tc>
        <w:tc>
          <w:tcPr>
            <w:tcW w:w="2070" w:type="dxa"/>
          </w:tcPr>
          <w:p w14:paraId="5E126A03"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240</w:t>
            </w:r>
          </w:p>
        </w:tc>
        <w:tc>
          <w:tcPr>
            <w:tcW w:w="2250" w:type="dxa"/>
          </w:tcPr>
          <w:p w14:paraId="0379D800"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4 (1.6)</w:t>
            </w:r>
          </w:p>
        </w:tc>
        <w:tc>
          <w:tcPr>
            <w:tcW w:w="2160" w:type="dxa"/>
          </w:tcPr>
          <w:p w14:paraId="7460227B"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236</w:t>
            </w:r>
          </w:p>
        </w:tc>
        <w:tc>
          <w:tcPr>
            <w:tcW w:w="2250" w:type="dxa"/>
          </w:tcPr>
          <w:p w14:paraId="2717C883"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7 (3.0)</w:t>
            </w:r>
          </w:p>
        </w:tc>
      </w:tr>
    </w:tbl>
    <w:p w14:paraId="3FD38C65" w14:textId="77777777" w:rsidR="008A27E2" w:rsidRDefault="008A27E2">
      <w:pPr>
        <w:spacing w:line="480" w:lineRule="auto"/>
        <w:jc w:val="both"/>
        <w:rPr>
          <w:rFonts w:ascii="Times New Roman" w:hAnsi="Times New Roman"/>
          <w:b/>
          <w:bCs/>
          <w:sz w:val="24"/>
          <w:szCs w:val="24"/>
        </w:rPr>
      </w:pPr>
    </w:p>
    <w:p w14:paraId="31BDC2CD" w14:textId="77777777" w:rsidR="008A27E2" w:rsidRDefault="008A27E2">
      <w:pPr>
        <w:spacing w:line="480" w:lineRule="auto"/>
        <w:jc w:val="both"/>
        <w:rPr>
          <w:rFonts w:ascii="Times New Roman" w:hAnsi="Times New Roman"/>
          <w:b/>
          <w:bCs/>
          <w:sz w:val="24"/>
          <w:szCs w:val="24"/>
        </w:rPr>
      </w:pPr>
    </w:p>
    <w:p w14:paraId="57E71095" w14:textId="77777777" w:rsidR="008A27E2" w:rsidRDefault="008A27E2">
      <w:pPr>
        <w:spacing w:line="480" w:lineRule="auto"/>
        <w:jc w:val="both"/>
        <w:rPr>
          <w:rFonts w:ascii="Times New Roman" w:hAnsi="Times New Roman"/>
          <w:b/>
          <w:bCs/>
          <w:sz w:val="24"/>
          <w:szCs w:val="24"/>
        </w:rPr>
      </w:pPr>
    </w:p>
    <w:p w14:paraId="5674035D" w14:textId="77777777" w:rsidR="008A27E2" w:rsidRDefault="008A27E2">
      <w:pPr>
        <w:spacing w:line="480" w:lineRule="auto"/>
        <w:jc w:val="both"/>
        <w:rPr>
          <w:rFonts w:ascii="Times New Roman" w:hAnsi="Times New Roman"/>
          <w:b/>
          <w:bCs/>
          <w:sz w:val="24"/>
          <w:szCs w:val="24"/>
        </w:rPr>
      </w:pPr>
    </w:p>
    <w:p w14:paraId="3BB1DB74" w14:textId="77777777" w:rsidR="008A27E2" w:rsidRDefault="008A27E2">
      <w:pPr>
        <w:spacing w:line="480" w:lineRule="auto"/>
        <w:jc w:val="both"/>
        <w:rPr>
          <w:rFonts w:ascii="Times New Roman" w:hAnsi="Times New Roman"/>
          <w:b/>
          <w:bCs/>
          <w:sz w:val="24"/>
          <w:szCs w:val="24"/>
        </w:rPr>
      </w:pPr>
    </w:p>
    <w:p w14:paraId="313CD4B9" w14:textId="77777777" w:rsidR="008A27E2" w:rsidRDefault="008A27E2">
      <w:pPr>
        <w:spacing w:line="480" w:lineRule="auto"/>
        <w:jc w:val="both"/>
        <w:rPr>
          <w:rFonts w:ascii="Times New Roman" w:hAnsi="Times New Roman"/>
          <w:b/>
          <w:bCs/>
          <w:sz w:val="24"/>
          <w:szCs w:val="24"/>
        </w:rPr>
      </w:pPr>
    </w:p>
    <w:p w14:paraId="05B9800C" w14:textId="77777777" w:rsidR="008A27E2" w:rsidRDefault="008A27E2">
      <w:pPr>
        <w:spacing w:line="480" w:lineRule="auto"/>
        <w:jc w:val="both"/>
        <w:rPr>
          <w:rFonts w:ascii="Times New Roman" w:hAnsi="Times New Roman"/>
          <w:b/>
          <w:bCs/>
          <w:sz w:val="24"/>
          <w:szCs w:val="24"/>
        </w:rPr>
      </w:pPr>
    </w:p>
    <w:p w14:paraId="387200BC" w14:textId="77777777" w:rsidR="008A27E2" w:rsidRDefault="008A27E2">
      <w:pPr>
        <w:spacing w:line="480" w:lineRule="auto"/>
        <w:jc w:val="both"/>
        <w:rPr>
          <w:rFonts w:ascii="Times New Roman" w:hAnsi="Times New Roman"/>
          <w:b/>
          <w:bCs/>
          <w:sz w:val="24"/>
          <w:szCs w:val="24"/>
        </w:rPr>
      </w:pPr>
    </w:p>
    <w:p w14:paraId="089304DE" w14:textId="77777777" w:rsidR="008A27E2" w:rsidRDefault="008A27E2">
      <w:pPr>
        <w:spacing w:line="480" w:lineRule="auto"/>
        <w:jc w:val="both"/>
        <w:rPr>
          <w:rFonts w:ascii="Times New Roman" w:hAnsi="Times New Roman"/>
          <w:b/>
          <w:bCs/>
          <w:sz w:val="24"/>
          <w:szCs w:val="24"/>
        </w:rPr>
      </w:pPr>
    </w:p>
    <w:p w14:paraId="0B2E6097" w14:textId="77777777" w:rsidR="008A27E2" w:rsidRDefault="006B0038">
      <w:pPr>
        <w:rPr>
          <w:rFonts w:ascii="Times New Roman" w:hAnsi="Times New Roman"/>
          <w:sz w:val="24"/>
          <w:szCs w:val="24"/>
        </w:rPr>
      </w:pPr>
      <w:r>
        <w:rPr>
          <w:rFonts w:ascii="Times New Roman" w:hAnsi="Times New Roman"/>
          <w:sz w:val="24"/>
          <w:szCs w:val="24"/>
        </w:rPr>
        <w:br w:type="page"/>
      </w:r>
    </w:p>
    <w:p w14:paraId="0D3C2D37" w14:textId="6BBDB990" w:rsidR="008A27E2" w:rsidRDefault="006B0038">
      <w:pPr>
        <w:rPr>
          <w:rFonts w:ascii="Times New Roman" w:hAnsi="Times New Roman"/>
          <w:b/>
          <w:bCs/>
          <w:sz w:val="24"/>
          <w:szCs w:val="24"/>
        </w:rPr>
      </w:pPr>
      <w:r>
        <w:rPr>
          <w:rFonts w:ascii="Times New Roman" w:hAnsi="Times New Roman"/>
          <w:b/>
          <w:bCs/>
          <w:sz w:val="24"/>
          <w:szCs w:val="24"/>
        </w:rPr>
        <w:lastRenderedPageBreak/>
        <w:t>Combined Seroprevalence of Transfusion-Transmissible Infections (TTIs) from Both RDT and ELISA</w:t>
      </w:r>
    </w:p>
    <w:p w14:paraId="589F5ED6" w14:textId="77777777" w:rsidR="008A27E2" w:rsidRDefault="008A27E2">
      <w:pPr>
        <w:spacing w:line="480" w:lineRule="auto"/>
        <w:jc w:val="both"/>
        <w:rPr>
          <w:rFonts w:ascii="Times New Roman" w:hAnsi="Times New Roman"/>
          <w:sz w:val="24"/>
          <w:szCs w:val="24"/>
        </w:rPr>
      </w:pPr>
    </w:p>
    <w:p w14:paraId="750618FF" w14:textId="77777777" w:rsidR="008A27E2" w:rsidRDefault="006B0038">
      <w:pPr>
        <w:jc w:val="both"/>
        <w:rPr>
          <w:rFonts w:ascii="Times New Roman" w:hAnsi="Times New Roman"/>
          <w:sz w:val="24"/>
          <w:szCs w:val="24"/>
        </w:rPr>
      </w:pPr>
      <w:r>
        <w:rPr>
          <w:rFonts w:ascii="Times New Roman" w:hAnsi="Times New Roman"/>
          <w:sz w:val="24"/>
          <w:szCs w:val="24"/>
        </w:rPr>
        <w:t xml:space="preserve">Table 2 represents the overall seroprevalence of TTIs, 19.2% (46/240) detected using both Rapid Diagnostic Test (RDT) and Enzyme-Linked Immunosorbent Assay (ELISA) among the 240 blood donors. This table reflects the final prevalence after confirming additional cases with ELISA among RDT-negative samples. Hepatitis B Virus (HBV) had the highest prevalence of 9.6% (23/240), followed by Hepatitis C Virus (HCV) at 5.0% (12/240), while the Human Immunodeficiency Virus (HIV) had the least prevalence of 4.6% (11/240). </w:t>
      </w:r>
    </w:p>
    <w:p w14:paraId="05F9E600" w14:textId="77777777" w:rsidR="008A27E2" w:rsidRDefault="008A27E2">
      <w:pPr>
        <w:rPr>
          <w:rFonts w:ascii="Times New Roman" w:hAnsi="Times New Roman"/>
          <w:sz w:val="24"/>
          <w:szCs w:val="24"/>
        </w:rPr>
      </w:pPr>
    </w:p>
    <w:p w14:paraId="5EF94F1C" w14:textId="77777777" w:rsidR="008A27E2" w:rsidRDefault="008A27E2">
      <w:pPr>
        <w:rPr>
          <w:rFonts w:ascii="Times New Roman" w:hAnsi="Times New Roman"/>
          <w:sz w:val="24"/>
          <w:szCs w:val="24"/>
        </w:rPr>
      </w:pPr>
    </w:p>
    <w:p w14:paraId="1D5CDF75" w14:textId="77777777" w:rsidR="008A27E2" w:rsidRDefault="008A27E2">
      <w:pPr>
        <w:rPr>
          <w:rFonts w:ascii="Times New Roman" w:hAnsi="Times New Roman"/>
          <w:sz w:val="24"/>
          <w:szCs w:val="24"/>
        </w:rPr>
      </w:pPr>
    </w:p>
    <w:p w14:paraId="0EF54FC4" w14:textId="77777777" w:rsidR="008A27E2" w:rsidRDefault="008A27E2">
      <w:pPr>
        <w:rPr>
          <w:rFonts w:ascii="Times New Roman" w:hAnsi="Times New Roman"/>
          <w:sz w:val="24"/>
          <w:szCs w:val="24"/>
        </w:rPr>
      </w:pPr>
    </w:p>
    <w:p w14:paraId="7401D7E2" w14:textId="77777777" w:rsidR="008A27E2" w:rsidRDefault="008A27E2">
      <w:pPr>
        <w:rPr>
          <w:rFonts w:ascii="Times New Roman" w:hAnsi="Times New Roman"/>
          <w:sz w:val="24"/>
          <w:szCs w:val="24"/>
        </w:rPr>
      </w:pPr>
    </w:p>
    <w:p w14:paraId="05C3F676" w14:textId="77777777" w:rsidR="008A27E2" w:rsidRDefault="008A27E2">
      <w:pPr>
        <w:rPr>
          <w:rFonts w:ascii="Times New Roman" w:hAnsi="Times New Roman"/>
          <w:sz w:val="24"/>
          <w:szCs w:val="24"/>
        </w:rPr>
      </w:pPr>
    </w:p>
    <w:p w14:paraId="49D2BBFF" w14:textId="77777777" w:rsidR="008A27E2" w:rsidRDefault="008A27E2">
      <w:pPr>
        <w:rPr>
          <w:rFonts w:ascii="Times New Roman" w:hAnsi="Times New Roman"/>
          <w:sz w:val="24"/>
          <w:szCs w:val="24"/>
        </w:rPr>
      </w:pPr>
    </w:p>
    <w:p w14:paraId="34830924" w14:textId="77777777" w:rsidR="008A27E2" w:rsidRDefault="008A27E2">
      <w:pPr>
        <w:rPr>
          <w:rFonts w:ascii="Times New Roman" w:hAnsi="Times New Roman"/>
          <w:sz w:val="24"/>
          <w:szCs w:val="24"/>
        </w:rPr>
      </w:pPr>
    </w:p>
    <w:p w14:paraId="22028C50" w14:textId="77777777" w:rsidR="008A27E2" w:rsidRDefault="008A27E2">
      <w:pPr>
        <w:rPr>
          <w:rFonts w:ascii="Times New Roman" w:hAnsi="Times New Roman"/>
          <w:sz w:val="24"/>
          <w:szCs w:val="24"/>
        </w:rPr>
      </w:pPr>
    </w:p>
    <w:p w14:paraId="56CD918F" w14:textId="77777777" w:rsidR="008A27E2" w:rsidRDefault="008A27E2">
      <w:pPr>
        <w:rPr>
          <w:rFonts w:ascii="Times New Roman" w:hAnsi="Times New Roman"/>
          <w:sz w:val="24"/>
          <w:szCs w:val="24"/>
        </w:rPr>
      </w:pPr>
    </w:p>
    <w:p w14:paraId="2755F324" w14:textId="77777777" w:rsidR="008A27E2" w:rsidRDefault="008A27E2">
      <w:pPr>
        <w:rPr>
          <w:rFonts w:ascii="Times New Roman" w:hAnsi="Times New Roman"/>
          <w:sz w:val="24"/>
          <w:szCs w:val="24"/>
        </w:rPr>
      </w:pPr>
    </w:p>
    <w:p w14:paraId="275D7DE7" w14:textId="77777777" w:rsidR="008A27E2" w:rsidRDefault="008A27E2">
      <w:pPr>
        <w:rPr>
          <w:rFonts w:ascii="Times New Roman" w:hAnsi="Times New Roman"/>
          <w:sz w:val="24"/>
          <w:szCs w:val="24"/>
        </w:rPr>
      </w:pPr>
    </w:p>
    <w:p w14:paraId="48B3C7E1" w14:textId="77777777" w:rsidR="008A27E2" w:rsidRDefault="008A27E2">
      <w:pPr>
        <w:rPr>
          <w:rFonts w:ascii="Times New Roman" w:hAnsi="Times New Roman"/>
          <w:sz w:val="24"/>
          <w:szCs w:val="24"/>
        </w:rPr>
      </w:pPr>
    </w:p>
    <w:p w14:paraId="3407EF16" w14:textId="77777777" w:rsidR="008A27E2" w:rsidRDefault="008A27E2">
      <w:pPr>
        <w:rPr>
          <w:rFonts w:ascii="Times New Roman" w:hAnsi="Times New Roman"/>
          <w:sz w:val="24"/>
          <w:szCs w:val="24"/>
        </w:rPr>
      </w:pPr>
    </w:p>
    <w:p w14:paraId="2F6BEB7F" w14:textId="77777777" w:rsidR="008A27E2" w:rsidRDefault="008A27E2">
      <w:pPr>
        <w:rPr>
          <w:rFonts w:ascii="Times New Roman" w:hAnsi="Times New Roman"/>
          <w:sz w:val="24"/>
          <w:szCs w:val="24"/>
        </w:rPr>
      </w:pPr>
    </w:p>
    <w:p w14:paraId="5A362C12" w14:textId="77777777" w:rsidR="008A27E2" w:rsidRDefault="008A27E2">
      <w:pPr>
        <w:rPr>
          <w:rFonts w:ascii="Times New Roman" w:hAnsi="Times New Roman"/>
          <w:sz w:val="24"/>
          <w:szCs w:val="24"/>
        </w:rPr>
      </w:pPr>
    </w:p>
    <w:p w14:paraId="6B458C92" w14:textId="77777777" w:rsidR="008A27E2" w:rsidRDefault="008A27E2">
      <w:pPr>
        <w:rPr>
          <w:rFonts w:ascii="Times New Roman" w:hAnsi="Times New Roman"/>
          <w:sz w:val="24"/>
          <w:szCs w:val="24"/>
        </w:rPr>
      </w:pPr>
    </w:p>
    <w:p w14:paraId="662EBBAA" w14:textId="77777777" w:rsidR="008A27E2" w:rsidRDefault="008A27E2">
      <w:pPr>
        <w:spacing w:line="480" w:lineRule="auto"/>
        <w:jc w:val="both"/>
        <w:rPr>
          <w:rFonts w:ascii="Times New Roman" w:hAnsi="Times New Roman"/>
          <w:b/>
          <w:bCs/>
          <w:sz w:val="24"/>
          <w:szCs w:val="24"/>
        </w:rPr>
      </w:pPr>
    </w:p>
    <w:p w14:paraId="29E26810" w14:textId="77777777" w:rsidR="008A27E2" w:rsidRDefault="008A27E2">
      <w:pPr>
        <w:spacing w:line="480" w:lineRule="auto"/>
        <w:jc w:val="both"/>
        <w:rPr>
          <w:rFonts w:ascii="Times New Roman" w:hAnsi="Times New Roman"/>
          <w:b/>
          <w:bCs/>
          <w:sz w:val="24"/>
          <w:szCs w:val="24"/>
        </w:rPr>
      </w:pPr>
    </w:p>
    <w:p w14:paraId="6DBEF897" w14:textId="77777777" w:rsidR="008A27E2" w:rsidRDefault="008A27E2">
      <w:pPr>
        <w:spacing w:line="480" w:lineRule="auto"/>
        <w:jc w:val="both"/>
        <w:rPr>
          <w:rFonts w:ascii="Times New Roman" w:hAnsi="Times New Roman"/>
          <w:b/>
          <w:bCs/>
          <w:sz w:val="24"/>
          <w:szCs w:val="24"/>
        </w:rPr>
      </w:pPr>
    </w:p>
    <w:p w14:paraId="52539D55" w14:textId="77777777" w:rsidR="008A27E2" w:rsidRDefault="008A27E2">
      <w:pPr>
        <w:spacing w:line="480" w:lineRule="auto"/>
        <w:jc w:val="both"/>
        <w:rPr>
          <w:rFonts w:ascii="Times New Roman" w:hAnsi="Times New Roman"/>
          <w:b/>
          <w:bCs/>
          <w:sz w:val="24"/>
          <w:szCs w:val="24"/>
        </w:rPr>
      </w:pPr>
    </w:p>
    <w:p w14:paraId="6CC7B60B" w14:textId="77777777" w:rsidR="008A27E2" w:rsidRDefault="008A27E2">
      <w:pPr>
        <w:spacing w:line="480" w:lineRule="auto"/>
        <w:jc w:val="both"/>
        <w:rPr>
          <w:rFonts w:ascii="Times New Roman" w:hAnsi="Times New Roman"/>
          <w:b/>
          <w:bCs/>
          <w:sz w:val="24"/>
          <w:szCs w:val="24"/>
        </w:rPr>
      </w:pPr>
    </w:p>
    <w:p w14:paraId="449FC0FA" w14:textId="77777777" w:rsidR="008A27E2" w:rsidRDefault="008A27E2">
      <w:pPr>
        <w:spacing w:line="480" w:lineRule="auto"/>
        <w:jc w:val="both"/>
        <w:rPr>
          <w:rFonts w:ascii="Times New Roman" w:hAnsi="Times New Roman"/>
          <w:b/>
          <w:bCs/>
          <w:sz w:val="24"/>
          <w:szCs w:val="24"/>
        </w:rPr>
      </w:pPr>
    </w:p>
    <w:p w14:paraId="3FBB0FC3" w14:textId="77777777" w:rsidR="008A27E2" w:rsidRDefault="008A27E2">
      <w:pPr>
        <w:spacing w:line="480" w:lineRule="auto"/>
        <w:jc w:val="both"/>
        <w:rPr>
          <w:rFonts w:ascii="Times New Roman" w:hAnsi="Times New Roman"/>
          <w:b/>
          <w:bCs/>
          <w:sz w:val="24"/>
          <w:szCs w:val="24"/>
        </w:rPr>
      </w:pPr>
    </w:p>
    <w:p w14:paraId="0658769F" w14:textId="77777777" w:rsidR="008A27E2" w:rsidRDefault="008A27E2">
      <w:pPr>
        <w:spacing w:line="480" w:lineRule="auto"/>
        <w:jc w:val="both"/>
        <w:rPr>
          <w:rFonts w:ascii="Times New Roman" w:hAnsi="Times New Roman"/>
          <w:b/>
          <w:bCs/>
          <w:sz w:val="24"/>
          <w:szCs w:val="24"/>
        </w:rPr>
      </w:pPr>
    </w:p>
    <w:p w14:paraId="0ACB6FE1" w14:textId="77777777" w:rsidR="008A27E2" w:rsidRDefault="008A27E2">
      <w:pPr>
        <w:spacing w:line="480" w:lineRule="auto"/>
        <w:jc w:val="both"/>
        <w:rPr>
          <w:rFonts w:ascii="Times New Roman" w:hAnsi="Times New Roman"/>
          <w:b/>
          <w:bCs/>
          <w:sz w:val="24"/>
          <w:szCs w:val="24"/>
        </w:rPr>
      </w:pPr>
    </w:p>
    <w:p w14:paraId="398FD478" w14:textId="77777777" w:rsidR="008A27E2" w:rsidRDefault="008A27E2">
      <w:pPr>
        <w:spacing w:line="480" w:lineRule="auto"/>
        <w:jc w:val="both"/>
        <w:rPr>
          <w:rFonts w:ascii="Times New Roman" w:hAnsi="Times New Roman"/>
          <w:b/>
          <w:bCs/>
          <w:sz w:val="24"/>
          <w:szCs w:val="24"/>
        </w:rPr>
      </w:pPr>
    </w:p>
    <w:p w14:paraId="5DD6CF3E" w14:textId="77777777" w:rsidR="008A27E2" w:rsidRDefault="008A27E2">
      <w:pPr>
        <w:spacing w:line="480" w:lineRule="auto"/>
        <w:jc w:val="both"/>
        <w:rPr>
          <w:rFonts w:ascii="Times New Roman" w:hAnsi="Times New Roman"/>
          <w:b/>
          <w:bCs/>
          <w:sz w:val="24"/>
          <w:szCs w:val="24"/>
        </w:rPr>
      </w:pPr>
    </w:p>
    <w:p w14:paraId="14D95A96" w14:textId="77777777" w:rsidR="008A27E2" w:rsidRDefault="006B0038">
      <w:pPr>
        <w:jc w:val="both"/>
        <w:rPr>
          <w:rFonts w:ascii="Times New Roman" w:hAnsi="Times New Roman"/>
          <w:b/>
          <w:bCs/>
          <w:sz w:val="24"/>
          <w:szCs w:val="24"/>
        </w:rPr>
      </w:pPr>
      <w:r>
        <w:rPr>
          <w:rFonts w:ascii="Times New Roman" w:hAnsi="Times New Roman"/>
          <w:b/>
          <w:bCs/>
          <w:sz w:val="24"/>
          <w:szCs w:val="24"/>
        </w:rPr>
        <w:lastRenderedPageBreak/>
        <w:t>Table 2</w:t>
      </w:r>
      <w:r>
        <w:rPr>
          <w:rFonts w:ascii="Times New Roman" w:hAnsi="Times New Roman"/>
          <w:b/>
          <w:bCs/>
          <w:sz w:val="24"/>
          <w:szCs w:val="24"/>
        </w:rPr>
        <w:tab/>
        <w:t>Combined Seroprevalence of Transfusion-Transmissible Infections (TTIs) Using RDT and ELISA</w:t>
      </w:r>
    </w:p>
    <w:tbl>
      <w:tblPr>
        <w:tblStyle w:val="TableGrid"/>
        <w:tblW w:w="0" w:type="auto"/>
        <w:tblLook w:val="04A0" w:firstRow="1" w:lastRow="0" w:firstColumn="1" w:lastColumn="0" w:noHBand="0" w:noVBand="1"/>
      </w:tblPr>
      <w:tblGrid>
        <w:gridCol w:w="2840"/>
        <w:gridCol w:w="2841"/>
        <w:gridCol w:w="2841"/>
      </w:tblGrid>
      <w:tr w:rsidR="008A27E2" w14:paraId="070F397F" w14:textId="77777777">
        <w:tc>
          <w:tcPr>
            <w:tcW w:w="2840" w:type="dxa"/>
            <w:tcBorders>
              <w:left w:val="nil"/>
              <w:bottom w:val="single" w:sz="12" w:space="0" w:color="000000"/>
              <w:right w:val="nil"/>
            </w:tcBorders>
          </w:tcPr>
          <w:p w14:paraId="7174F6E5" w14:textId="77777777" w:rsidR="008A27E2" w:rsidRDefault="006B0038">
            <w:pPr>
              <w:spacing w:line="360" w:lineRule="auto"/>
              <w:rPr>
                <w:rFonts w:ascii="Times New Roman" w:hAnsi="Times New Roman"/>
                <w:b/>
                <w:bCs/>
                <w:sz w:val="24"/>
                <w:szCs w:val="24"/>
              </w:rPr>
            </w:pPr>
            <w:r>
              <w:rPr>
                <w:rFonts w:ascii="Times New Roman" w:hAnsi="Times New Roman"/>
                <w:b/>
                <w:bCs/>
                <w:sz w:val="24"/>
                <w:szCs w:val="24"/>
              </w:rPr>
              <w:t>Test</w:t>
            </w:r>
          </w:p>
        </w:tc>
        <w:tc>
          <w:tcPr>
            <w:tcW w:w="2841" w:type="dxa"/>
            <w:tcBorders>
              <w:left w:val="nil"/>
              <w:bottom w:val="single" w:sz="12" w:space="0" w:color="000000"/>
              <w:right w:val="nil"/>
            </w:tcBorders>
          </w:tcPr>
          <w:p w14:paraId="2F309731" w14:textId="77777777" w:rsidR="008A27E2" w:rsidRDefault="006B0038">
            <w:pPr>
              <w:spacing w:line="360" w:lineRule="auto"/>
              <w:rPr>
                <w:rFonts w:ascii="Times New Roman" w:hAnsi="Times New Roman"/>
                <w:b/>
                <w:bCs/>
                <w:sz w:val="24"/>
                <w:szCs w:val="24"/>
              </w:rPr>
            </w:pPr>
            <w:r>
              <w:rPr>
                <w:rFonts w:ascii="Times New Roman" w:hAnsi="Times New Roman"/>
                <w:b/>
                <w:bCs/>
                <w:sz w:val="24"/>
                <w:szCs w:val="24"/>
              </w:rPr>
              <w:t>No of Sample (N)</w:t>
            </w:r>
          </w:p>
        </w:tc>
        <w:tc>
          <w:tcPr>
            <w:tcW w:w="2841" w:type="dxa"/>
            <w:tcBorders>
              <w:left w:val="nil"/>
              <w:bottom w:val="single" w:sz="12" w:space="0" w:color="000000"/>
              <w:right w:val="nil"/>
            </w:tcBorders>
          </w:tcPr>
          <w:p w14:paraId="76251122" w14:textId="77777777" w:rsidR="008A27E2" w:rsidRDefault="006B0038">
            <w:pPr>
              <w:spacing w:line="360" w:lineRule="auto"/>
              <w:rPr>
                <w:rFonts w:ascii="Times New Roman" w:hAnsi="Times New Roman"/>
                <w:sz w:val="24"/>
                <w:szCs w:val="24"/>
              </w:rPr>
            </w:pPr>
            <w:r>
              <w:rPr>
                <w:rFonts w:ascii="Times New Roman" w:hAnsi="Times New Roman"/>
                <w:b/>
                <w:bCs/>
                <w:sz w:val="24"/>
                <w:szCs w:val="24"/>
              </w:rPr>
              <w:t>Seroprevalence (%)</w:t>
            </w:r>
          </w:p>
        </w:tc>
      </w:tr>
      <w:tr w:rsidR="008A27E2" w14:paraId="2CFF2771" w14:textId="77777777">
        <w:tc>
          <w:tcPr>
            <w:tcW w:w="2840" w:type="dxa"/>
            <w:tcBorders>
              <w:top w:val="single" w:sz="12" w:space="0" w:color="000000"/>
              <w:left w:val="nil"/>
              <w:bottom w:val="nil"/>
              <w:right w:val="nil"/>
            </w:tcBorders>
          </w:tcPr>
          <w:p w14:paraId="6E1D5F3A" w14:textId="77777777" w:rsidR="008A27E2" w:rsidRDefault="006B0038">
            <w:pPr>
              <w:spacing w:line="360" w:lineRule="auto"/>
              <w:rPr>
                <w:rFonts w:ascii="Times New Roman" w:hAnsi="Times New Roman"/>
                <w:b/>
                <w:bCs/>
                <w:sz w:val="24"/>
                <w:szCs w:val="24"/>
              </w:rPr>
            </w:pPr>
            <w:r>
              <w:rPr>
                <w:rFonts w:ascii="Times New Roman" w:hAnsi="Times New Roman"/>
                <w:b/>
                <w:bCs/>
                <w:sz w:val="24"/>
                <w:szCs w:val="24"/>
              </w:rPr>
              <w:t>HIV</w:t>
            </w:r>
          </w:p>
        </w:tc>
        <w:tc>
          <w:tcPr>
            <w:tcW w:w="2841" w:type="dxa"/>
            <w:tcBorders>
              <w:top w:val="single" w:sz="12" w:space="0" w:color="000000"/>
              <w:left w:val="nil"/>
              <w:bottom w:val="nil"/>
              <w:right w:val="nil"/>
            </w:tcBorders>
          </w:tcPr>
          <w:p w14:paraId="77DB26B5" w14:textId="77777777" w:rsidR="008A27E2" w:rsidRDefault="006B0038">
            <w:pPr>
              <w:spacing w:line="360" w:lineRule="auto"/>
              <w:rPr>
                <w:rFonts w:ascii="Times New Roman" w:hAnsi="Times New Roman"/>
                <w:sz w:val="24"/>
                <w:szCs w:val="24"/>
              </w:rPr>
            </w:pPr>
            <w:r>
              <w:rPr>
                <w:rFonts w:ascii="Times New Roman" w:hAnsi="Times New Roman"/>
                <w:sz w:val="24"/>
                <w:szCs w:val="24"/>
              </w:rPr>
              <w:t>240</w:t>
            </w:r>
          </w:p>
        </w:tc>
        <w:tc>
          <w:tcPr>
            <w:tcW w:w="2841" w:type="dxa"/>
            <w:tcBorders>
              <w:top w:val="single" w:sz="12" w:space="0" w:color="000000"/>
              <w:left w:val="nil"/>
              <w:bottom w:val="nil"/>
              <w:right w:val="nil"/>
            </w:tcBorders>
          </w:tcPr>
          <w:p w14:paraId="2D68EAA9" w14:textId="77777777" w:rsidR="008A27E2" w:rsidRDefault="006B0038">
            <w:pPr>
              <w:spacing w:line="360" w:lineRule="auto"/>
              <w:rPr>
                <w:rFonts w:ascii="Times New Roman" w:hAnsi="Times New Roman"/>
                <w:sz w:val="24"/>
                <w:szCs w:val="24"/>
              </w:rPr>
            </w:pPr>
            <w:r>
              <w:rPr>
                <w:rFonts w:ascii="Times New Roman" w:hAnsi="Times New Roman"/>
                <w:sz w:val="24"/>
                <w:szCs w:val="24"/>
              </w:rPr>
              <w:t>11 (4.6)</w:t>
            </w:r>
          </w:p>
        </w:tc>
      </w:tr>
      <w:tr w:rsidR="008A27E2" w14:paraId="7CD3844E" w14:textId="77777777">
        <w:tc>
          <w:tcPr>
            <w:tcW w:w="2840" w:type="dxa"/>
            <w:tcBorders>
              <w:top w:val="nil"/>
              <w:left w:val="nil"/>
              <w:bottom w:val="nil"/>
              <w:right w:val="nil"/>
            </w:tcBorders>
          </w:tcPr>
          <w:p w14:paraId="5398EFEB" w14:textId="77777777" w:rsidR="008A27E2" w:rsidRDefault="006B0038">
            <w:pPr>
              <w:spacing w:line="360" w:lineRule="auto"/>
              <w:rPr>
                <w:rFonts w:ascii="Times New Roman" w:hAnsi="Times New Roman"/>
                <w:b/>
                <w:bCs/>
                <w:sz w:val="24"/>
                <w:szCs w:val="24"/>
              </w:rPr>
            </w:pPr>
            <w:r>
              <w:rPr>
                <w:rFonts w:ascii="Times New Roman" w:hAnsi="Times New Roman"/>
                <w:b/>
                <w:bCs/>
                <w:sz w:val="24"/>
                <w:szCs w:val="24"/>
              </w:rPr>
              <w:t>HBV</w:t>
            </w:r>
          </w:p>
        </w:tc>
        <w:tc>
          <w:tcPr>
            <w:tcW w:w="2841" w:type="dxa"/>
            <w:tcBorders>
              <w:top w:val="nil"/>
              <w:left w:val="nil"/>
              <w:bottom w:val="nil"/>
              <w:right w:val="nil"/>
            </w:tcBorders>
          </w:tcPr>
          <w:p w14:paraId="2D38EA5B" w14:textId="77777777" w:rsidR="008A27E2" w:rsidRDefault="006B0038">
            <w:pPr>
              <w:spacing w:line="360" w:lineRule="auto"/>
              <w:rPr>
                <w:rFonts w:ascii="Times New Roman" w:hAnsi="Times New Roman"/>
                <w:sz w:val="24"/>
                <w:szCs w:val="24"/>
              </w:rPr>
            </w:pPr>
            <w:r>
              <w:rPr>
                <w:rFonts w:ascii="Times New Roman" w:hAnsi="Times New Roman"/>
                <w:sz w:val="24"/>
                <w:szCs w:val="24"/>
              </w:rPr>
              <w:t>240</w:t>
            </w:r>
          </w:p>
        </w:tc>
        <w:tc>
          <w:tcPr>
            <w:tcW w:w="2841" w:type="dxa"/>
            <w:tcBorders>
              <w:top w:val="nil"/>
              <w:left w:val="nil"/>
              <w:bottom w:val="nil"/>
              <w:right w:val="nil"/>
            </w:tcBorders>
          </w:tcPr>
          <w:p w14:paraId="7B8372AE" w14:textId="77777777" w:rsidR="008A27E2" w:rsidRDefault="006B0038">
            <w:pPr>
              <w:spacing w:line="360" w:lineRule="auto"/>
              <w:rPr>
                <w:rFonts w:ascii="Times New Roman" w:hAnsi="Times New Roman"/>
                <w:sz w:val="24"/>
                <w:szCs w:val="24"/>
              </w:rPr>
            </w:pPr>
            <w:r>
              <w:rPr>
                <w:rFonts w:ascii="Times New Roman" w:hAnsi="Times New Roman"/>
                <w:sz w:val="24"/>
                <w:szCs w:val="24"/>
              </w:rPr>
              <w:t>23 (9.6)</w:t>
            </w:r>
          </w:p>
        </w:tc>
      </w:tr>
      <w:tr w:rsidR="008A27E2" w14:paraId="3560BEFB" w14:textId="77777777">
        <w:tc>
          <w:tcPr>
            <w:tcW w:w="2840" w:type="dxa"/>
            <w:tcBorders>
              <w:top w:val="nil"/>
              <w:left w:val="nil"/>
              <w:right w:val="nil"/>
            </w:tcBorders>
          </w:tcPr>
          <w:p w14:paraId="5987915B" w14:textId="77777777" w:rsidR="008A27E2" w:rsidRDefault="006B0038">
            <w:pPr>
              <w:spacing w:line="360" w:lineRule="auto"/>
              <w:rPr>
                <w:rFonts w:ascii="Times New Roman" w:hAnsi="Times New Roman"/>
                <w:b/>
                <w:bCs/>
                <w:sz w:val="24"/>
                <w:szCs w:val="24"/>
              </w:rPr>
            </w:pPr>
            <w:r>
              <w:rPr>
                <w:rFonts w:ascii="Times New Roman" w:hAnsi="Times New Roman"/>
                <w:b/>
                <w:bCs/>
                <w:sz w:val="24"/>
                <w:szCs w:val="24"/>
              </w:rPr>
              <w:t>HCV</w:t>
            </w:r>
          </w:p>
          <w:p w14:paraId="40E034FD" w14:textId="77777777" w:rsidR="008A27E2" w:rsidRDefault="006B0038">
            <w:pPr>
              <w:spacing w:line="360" w:lineRule="auto"/>
              <w:rPr>
                <w:rFonts w:ascii="Times New Roman" w:hAnsi="Times New Roman"/>
                <w:b/>
                <w:bCs/>
                <w:sz w:val="24"/>
                <w:szCs w:val="24"/>
              </w:rPr>
            </w:pPr>
            <w:r>
              <w:rPr>
                <w:rFonts w:ascii="Times New Roman" w:hAnsi="Times New Roman"/>
                <w:b/>
                <w:bCs/>
                <w:sz w:val="24"/>
                <w:szCs w:val="24"/>
              </w:rPr>
              <w:t>Total</w:t>
            </w:r>
          </w:p>
        </w:tc>
        <w:tc>
          <w:tcPr>
            <w:tcW w:w="2841" w:type="dxa"/>
            <w:tcBorders>
              <w:top w:val="nil"/>
              <w:left w:val="nil"/>
              <w:right w:val="nil"/>
            </w:tcBorders>
          </w:tcPr>
          <w:p w14:paraId="745D9B15" w14:textId="77777777" w:rsidR="008A27E2" w:rsidRDefault="006B0038">
            <w:pPr>
              <w:spacing w:line="360" w:lineRule="auto"/>
              <w:rPr>
                <w:rFonts w:ascii="Times New Roman" w:hAnsi="Times New Roman"/>
                <w:sz w:val="24"/>
                <w:szCs w:val="24"/>
              </w:rPr>
            </w:pPr>
            <w:r>
              <w:rPr>
                <w:rFonts w:ascii="Times New Roman" w:hAnsi="Times New Roman"/>
                <w:sz w:val="24"/>
                <w:szCs w:val="24"/>
              </w:rPr>
              <w:t>240</w:t>
            </w:r>
          </w:p>
          <w:p w14:paraId="46137847" w14:textId="77777777" w:rsidR="008A27E2" w:rsidRDefault="006B0038">
            <w:pPr>
              <w:spacing w:line="360" w:lineRule="auto"/>
              <w:rPr>
                <w:rFonts w:ascii="Times New Roman" w:hAnsi="Times New Roman"/>
                <w:sz w:val="24"/>
                <w:szCs w:val="24"/>
              </w:rPr>
            </w:pPr>
            <w:r>
              <w:rPr>
                <w:rFonts w:ascii="Times New Roman" w:hAnsi="Times New Roman"/>
                <w:sz w:val="24"/>
                <w:szCs w:val="24"/>
              </w:rPr>
              <w:t>240</w:t>
            </w:r>
          </w:p>
        </w:tc>
        <w:tc>
          <w:tcPr>
            <w:tcW w:w="2841" w:type="dxa"/>
            <w:tcBorders>
              <w:top w:val="nil"/>
              <w:left w:val="nil"/>
              <w:right w:val="nil"/>
            </w:tcBorders>
          </w:tcPr>
          <w:p w14:paraId="73FA1B2D" w14:textId="77777777" w:rsidR="008A27E2" w:rsidRDefault="006B0038">
            <w:pPr>
              <w:spacing w:line="360" w:lineRule="auto"/>
              <w:rPr>
                <w:rFonts w:ascii="Times New Roman" w:hAnsi="Times New Roman"/>
                <w:sz w:val="24"/>
                <w:szCs w:val="24"/>
              </w:rPr>
            </w:pPr>
            <w:r>
              <w:rPr>
                <w:rFonts w:ascii="Times New Roman" w:hAnsi="Times New Roman"/>
                <w:sz w:val="24"/>
                <w:szCs w:val="24"/>
              </w:rPr>
              <w:t>12 (5.0)</w:t>
            </w:r>
          </w:p>
          <w:p w14:paraId="5CF16FF4" w14:textId="77777777" w:rsidR="008A27E2" w:rsidRDefault="006B0038">
            <w:pPr>
              <w:spacing w:line="360" w:lineRule="auto"/>
              <w:rPr>
                <w:rFonts w:ascii="Times New Roman" w:hAnsi="Times New Roman"/>
                <w:sz w:val="24"/>
                <w:szCs w:val="24"/>
              </w:rPr>
            </w:pPr>
            <w:r>
              <w:rPr>
                <w:rFonts w:ascii="Times New Roman" w:hAnsi="Times New Roman"/>
                <w:sz w:val="24"/>
                <w:szCs w:val="24"/>
              </w:rPr>
              <w:t>46 (19.2)</w:t>
            </w:r>
          </w:p>
        </w:tc>
      </w:tr>
    </w:tbl>
    <w:p w14:paraId="5B8B66C4" w14:textId="77777777" w:rsidR="008A27E2" w:rsidRDefault="008A27E2">
      <w:pPr>
        <w:spacing w:line="480" w:lineRule="auto"/>
        <w:jc w:val="both"/>
        <w:rPr>
          <w:rFonts w:ascii="Times New Roman" w:hAnsi="Times New Roman"/>
          <w:b/>
          <w:bCs/>
          <w:sz w:val="24"/>
          <w:szCs w:val="24"/>
        </w:rPr>
      </w:pPr>
    </w:p>
    <w:p w14:paraId="0DF26744" w14:textId="77777777" w:rsidR="008A27E2" w:rsidRDefault="008A27E2">
      <w:pPr>
        <w:spacing w:line="480" w:lineRule="auto"/>
        <w:jc w:val="both"/>
        <w:rPr>
          <w:rFonts w:ascii="Times New Roman" w:hAnsi="Times New Roman"/>
          <w:b/>
          <w:bCs/>
          <w:sz w:val="24"/>
          <w:szCs w:val="24"/>
        </w:rPr>
      </w:pPr>
    </w:p>
    <w:p w14:paraId="27704B0F" w14:textId="77777777" w:rsidR="008A27E2" w:rsidRDefault="008A27E2">
      <w:pPr>
        <w:spacing w:line="480" w:lineRule="auto"/>
        <w:jc w:val="both"/>
        <w:rPr>
          <w:rFonts w:ascii="Times New Roman" w:hAnsi="Times New Roman"/>
          <w:b/>
          <w:bCs/>
          <w:sz w:val="24"/>
          <w:szCs w:val="24"/>
        </w:rPr>
      </w:pPr>
    </w:p>
    <w:p w14:paraId="19FC5080" w14:textId="77777777" w:rsidR="008A27E2" w:rsidRDefault="008A27E2">
      <w:pPr>
        <w:spacing w:line="480" w:lineRule="auto"/>
        <w:jc w:val="both"/>
        <w:rPr>
          <w:rFonts w:ascii="Times New Roman" w:hAnsi="Times New Roman"/>
          <w:b/>
          <w:bCs/>
          <w:sz w:val="24"/>
          <w:szCs w:val="24"/>
        </w:rPr>
      </w:pPr>
    </w:p>
    <w:p w14:paraId="7FA8EE00" w14:textId="77777777" w:rsidR="008A27E2" w:rsidRDefault="008A27E2">
      <w:pPr>
        <w:spacing w:line="480" w:lineRule="auto"/>
        <w:jc w:val="both"/>
        <w:rPr>
          <w:rFonts w:ascii="Times New Roman" w:hAnsi="Times New Roman"/>
          <w:b/>
          <w:bCs/>
          <w:sz w:val="24"/>
          <w:szCs w:val="24"/>
        </w:rPr>
      </w:pPr>
    </w:p>
    <w:p w14:paraId="0EBF7C5A" w14:textId="77777777" w:rsidR="008A27E2" w:rsidRDefault="008A27E2">
      <w:pPr>
        <w:spacing w:line="480" w:lineRule="auto"/>
        <w:jc w:val="both"/>
        <w:rPr>
          <w:rFonts w:ascii="Times New Roman" w:hAnsi="Times New Roman"/>
          <w:b/>
          <w:bCs/>
          <w:sz w:val="24"/>
          <w:szCs w:val="24"/>
        </w:rPr>
      </w:pPr>
    </w:p>
    <w:p w14:paraId="63123008" w14:textId="77777777" w:rsidR="008A27E2" w:rsidRDefault="008A27E2">
      <w:pPr>
        <w:spacing w:line="480" w:lineRule="auto"/>
        <w:jc w:val="both"/>
        <w:rPr>
          <w:rFonts w:ascii="Times New Roman" w:hAnsi="Times New Roman"/>
          <w:b/>
          <w:bCs/>
          <w:sz w:val="24"/>
          <w:szCs w:val="24"/>
        </w:rPr>
      </w:pPr>
    </w:p>
    <w:p w14:paraId="4BC98A9B" w14:textId="77777777" w:rsidR="008A27E2" w:rsidRDefault="008A27E2">
      <w:pPr>
        <w:spacing w:line="480" w:lineRule="auto"/>
        <w:jc w:val="both"/>
        <w:rPr>
          <w:rFonts w:ascii="Times New Roman" w:hAnsi="Times New Roman"/>
          <w:b/>
          <w:bCs/>
          <w:sz w:val="24"/>
          <w:szCs w:val="24"/>
        </w:rPr>
      </w:pPr>
    </w:p>
    <w:p w14:paraId="0DD74523" w14:textId="77777777" w:rsidR="008A27E2" w:rsidRDefault="008A27E2">
      <w:pPr>
        <w:spacing w:line="480" w:lineRule="auto"/>
        <w:jc w:val="both"/>
        <w:rPr>
          <w:rFonts w:ascii="Times New Roman" w:hAnsi="Times New Roman"/>
          <w:b/>
          <w:bCs/>
          <w:sz w:val="24"/>
          <w:szCs w:val="24"/>
        </w:rPr>
      </w:pPr>
    </w:p>
    <w:p w14:paraId="1684079D" w14:textId="77777777" w:rsidR="008A27E2" w:rsidRDefault="008A27E2">
      <w:pPr>
        <w:spacing w:line="480" w:lineRule="auto"/>
        <w:jc w:val="both"/>
        <w:rPr>
          <w:rFonts w:ascii="Times New Roman" w:hAnsi="Times New Roman"/>
          <w:b/>
          <w:bCs/>
          <w:sz w:val="24"/>
          <w:szCs w:val="24"/>
        </w:rPr>
      </w:pPr>
    </w:p>
    <w:p w14:paraId="6224D8D7" w14:textId="77777777" w:rsidR="008A27E2" w:rsidRDefault="008A27E2">
      <w:pPr>
        <w:spacing w:line="480" w:lineRule="auto"/>
        <w:jc w:val="both"/>
        <w:rPr>
          <w:rFonts w:ascii="Times New Roman" w:hAnsi="Times New Roman"/>
          <w:b/>
          <w:bCs/>
          <w:sz w:val="24"/>
          <w:szCs w:val="24"/>
        </w:rPr>
      </w:pPr>
    </w:p>
    <w:p w14:paraId="3A9FA2E5" w14:textId="77777777" w:rsidR="008A27E2" w:rsidRDefault="008A27E2">
      <w:pPr>
        <w:spacing w:line="480" w:lineRule="auto"/>
        <w:jc w:val="both"/>
        <w:rPr>
          <w:rFonts w:ascii="Times New Roman" w:hAnsi="Times New Roman"/>
          <w:b/>
          <w:bCs/>
          <w:sz w:val="24"/>
          <w:szCs w:val="24"/>
        </w:rPr>
      </w:pPr>
    </w:p>
    <w:p w14:paraId="19390F86" w14:textId="77777777" w:rsidR="008A27E2" w:rsidRDefault="008A27E2">
      <w:pPr>
        <w:spacing w:line="480" w:lineRule="auto"/>
        <w:jc w:val="both"/>
        <w:rPr>
          <w:rFonts w:ascii="Times New Roman" w:hAnsi="Times New Roman"/>
          <w:b/>
          <w:bCs/>
          <w:sz w:val="24"/>
          <w:szCs w:val="24"/>
        </w:rPr>
      </w:pPr>
    </w:p>
    <w:p w14:paraId="3D154379" w14:textId="77777777" w:rsidR="008A27E2" w:rsidRDefault="008A27E2">
      <w:pPr>
        <w:spacing w:line="480" w:lineRule="auto"/>
        <w:jc w:val="both"/>
        <w:rPr>
          <w:rFonts w:ascii="Times New Roman" w:hAnsi="Times New Roman"/>
          <w:b/>
          <w:bCs/>
          <w:sz w:val="24"/>
          <w:szCs w:val="24"/>
        </w:rPr>
      </w:pPr>
    </w:p>
    <w:p w14:paraId="73CA50D8" w14:textId="77777777" w:rsidR="008A27E2" w:rsidRDefault="008A27E2">
      <w:pPr>
        <w:spacing w:line="480" w:lineRule="auto"/>
        <w:jc w:val="both"/>
        <w:rPr>
          <w:rFonts w:ascii="Times New Roman" w:hAnsi="Times New Roman"/>
          <w:b/>
          <w:bCs/>
          <w:sz w:val="24"/>
          <w:szCs w:val="24"/>
        </w:rPr>
      </w:pPr>
    </w:p>
    <w:p w14:paraId="338C7125" w14:textId="77777777" w:rsidR="008A27E2" w:rsidRDefault="008A27E2">
      <w:pPr>
        <w:spacing w:line="480" w:lineRule="auto"/>
        <w:jc w:val="both"/>
        <w:rPr>
          <w:rFonts w:ascii="Times New Roman" w:hAnsi="Times New Roman"/>
          <w:b/>
          <w:bCs/>
          <w:sz w:val="24"/>
          <w:szCs w:val="24"/>
        </w:rPr>
      </w:pPr>
    </w:p>
    <w:p w14:paraId="2DDD69E4" w14:textId="77777777" w:rsidR="008A27E2" w:rsidRDefault="008A27E2">
      <w:pPr>
        <w:spacing w:line="480" w:lineRule="auto"/>
        <w:jc w:val="both"/>
        <w:rPr>
          <w:rFonts w:ascii="Times New Roman" w:hAnsi="Times New Roman"/>
          <w:b/>
          <w:bCs/>
          <w:sz w:val="24"/>
          <w:szCs w:val="24"/>
        </w:rPr>
      </w:pPr>
    </w:p>
    <w:p w14:paraId="22341451" w14:textId="77777777" w:rsidR="008A27E2" w:rsidRDefault="008A27E2">
      <w:pPr>
        <w:spacing w:line="480" w:lineRule="auto"/>
        <w:jc w:val="both"/>
        <w:rPr>
          <w:rFonts w:ascii="Times New Roman" w:hAnsi="Times New Roman"/>
          <w:b/>
          <w:bCs/>
          <w:sz w:val="24"/>
          <w:szCs w:val="24"/>
        </w:rPr>
      </w:pPr>
    </w:p>
    <w:p w14:paraId="42FC1BA7" w14:textId="77777777" w:rsidR="008A27E2" w:rsidRDefault="008A27E2">
      <w:pPr>
        <w:spacing w:line="480" w:lineRule="auto"/>
        <w:jc w:val="both"/>
        <w:rPr>
          <w:rFonts w:ascii="Times New Roman" w:hAnsi="Times New Roman"/>
          <w:b/>
          <w:bCs/>
          <w:sz w:val="24"/>
          <w:szCs w:val="24"/>
        </w:rPr>
      </w:pPr>
    </w:p>
    <w:p w14:paraId="5CBDA04C" w14:textId="77777777" w:rsidR="008A27E2" w:rsidRDefault="008A27E2">
      <w:pPr>
        <w:spacing w:line="480" w:lineRule="auto"/>
        <w:jc w:val="both"/>
        <w:rPr>
          <w:rFonts w:ascii="Times New Roman" w:hAnsi="Times New Roman"/>
          <w:b/>
          <w:bCs/>
          <w:sz w:val="24"/>
          <w:szCs w:val="24"/>
        </w:rPr>
      </w:pPr>
    </w:p>
    <w:p w14:paraId="71BB5A26" w14:textId="5ECBDD95" w:rsidR="008A27E2" w:rsidRDefault="006B0038">
      <w:pPr>
        <w:jc w:val="both"/>
        <w:rPr>
          <w:rFonts w:ascii="Times New Roman" w:hAnsi="Times New Roman"/>
          <w:b/>
          <w:sz w:val="24"/>
          <w:szCs w:val="24"/>
        </w:rPr>
      </w:pPr>
      <w:r>
        <w:rPr>
          <w:rFonts w:ascii="Times New Roman" w:hAnsi="Times New Roman"/>
          <w:b/>
          <w:sz w:val="24"/>
          <w:szCs w:val="24"/>
        </w:rPr>
        <w:lastRenderedPageBreak/>
        <w:t>Seropositivity Regarding Some Sociodemographic Variables of the 240 Blood Donors After Testing Using RDT and ELISA.</w:t>
      </w:r>
    </w:p>
    <w:p w14:paraId="3B7E5C24" w14:textId="6E04D777" w:rsidR="008A27E2" w:rsidRDefault="006B0038">
      <w:pPr>
        <w:jc w:val="both"/>
        <w:rPr>
          <w:rFonts w:ascii="Times New Roman" w:hAnsi="Times New Roman"/>
          <w:sz w:val="24"/>
          <w:szCs w:val="24"/>
        </w:rPr>
      </w:pPr>
      <w:r>
        <w:rPr>
          <w:rFonts w:ascii="Times New Roman" w:hAnsi="Times New Roman"/>
          <w:sz w:val="24"/>
          <w:szCs w:val="24"/>
        </w:rPr>
        <w:t>Regarding the age group of the blood donors, there was varying seroprevalence of the viral TTIs screened with no statistical association observed (</w:t>
      </w:r>
      <w:r>
        <w:rPr>
          <w:rFonts w:ascii="Times New Roman" w:hAnsi="Times New Roman"/>
          <w:i/>
          <w:iCs/>
          <w:sz w:val="24"/>
          <w:szCs w:val="24"/>
        </w:rPr>
        <w:t>P</w:t>
      </w:r>
      <w:r>
        <w:rPr>
          <w:rFonts w:ascii="Times New Roman" w:hAnsi="Times New Roman"/>
          <w:sz w:val="24"/>
          <w:szCs w:val="24"/>
        </w:rPr>
        <w:t>&gt; .05). For instance, those aged 21-25 age group 17.9%, had the highest seropositive for HBV while for HCV, it was higher, 13.1% among blood donors aged 36-40. For HIV</w:t>
      </w:r>
      <w:r w:rsidR="00C926DD">
        <w:rPr>
          <w:rFonts w:ascii="Times New Roman" w:hAnsi="Times New Roman"/>
          <w:sz w:val="24"/>
          <w:szCs w:val="24"/>
        </w:rPr>
        <w:t>,</w:t>
      </w:r>
      <w:r>
        <w:rPr>
          <w:rFonts w:ascii="Times New Roman" w:hAnsi="Times New Roman"/>
          <w:sz w:val="24"/>
          <w:szCs w:val="24"/>
        </w:rPr>
        <w:t xml:space="preserve"> it was highest</w:t>
      </w:r>
      <w:r w:rsidR="00C926DD">
        <w:rPr>
          <w:rFonts w:ascii="Times New Roman" w:hAnsi="Times New Roman"/>
          <w:sz w:val="24"/>
          <w:szCs w:val="24"/>
        </w:rPr>
        <w:t>,</w:t>
      </w:r>
      <w:r>
        <w:rPr>
          <w:rFonts w:ascii="Times New Roman" w:hAnsi="Times New Roman"/>
          <w:sz w:val="24"/>
          <w:szCs w:val="24"/>
        </w:rPr>
        <w:t xml:space="preserve"> 10.5%</w:t>
      </w:r>
      <w:r w:rsidR="00C926DD">
        <w:rPr>
          <w:rFonts w:ascii="Times New Roman" w:hAnsi="Times New Roman"/>
          <w:sz w:val="24"/>
          <w:szCs w:val="24"/>
        </w:rPr>
        <w:t>,</w:t>
      </w:r>
      <w:r>
        <w:rPr>
          <w:rFonts w:ascii="Times New Roman" w:hAnsi="Times New Roman"/>
          <w:sz w:val="24"/>
          <w:szCs w:val="24"/>
        </w:rPr>
        <w:t xml:space="preserve"> amongst donors aged 41-45 years (Table 3).</w:t>
      </w:r>
    </w:p>
    <w:p w14:paraId="79A1A020" w14:textId="22873307" w:rsidR="008A27E2" w:rsidRDefault="006B0038">
      <w:pPr>
        <w:jc w:val="both"/>
        <w:rPr>
          <w:rFonts w:ascii="Times New Roman" w:hAnsi="Times New Roman"/>
          <w:sz w:val="24"/>
          <w:szCs w:val="24"/>
        </w:rPr>
      </w:pPr>
      <w:r>
        <w:rPr>
          <w:rFonts w:ascii="Times New Roman" w:hAnsi="Times New Roman"/>
          <w:sz w:val="24"/>
          <w:szCs w:val="24"/>
        </w:rPr>
        <w:t xml:space="preserve">Based on </w:t>
      </w:r>
      <w:r w:rsidR="00C926DD">
        <w:rPr>
          <w:rFonts w:ascii="Times New Roman" w:hAnsi="Times New Roman"/>
          <w:sz w:val="24"/>
          <w:szCs w:val="24"/>
        </w:rPr>
        <w:t xml:space="preserve">the </w:t>
      </w:r>
      <w:r>
        <w:rPr>
          <w:rFonts w:ascii="Times New Roman" w:hAnsi="Times New Roman"/>
          <w:sz w:val="24"/>
          <w:szCs w:val="24"/>
        </w:rPr>
        <w:t>gender of the blood donors screened (Table 3), females had a seroprevalence of 12.5% for HBV compared to males</w:t>
      </w:r>
      <w:r w:rsidR="00C926DD">
        <w:rPr>
          <w:rFonts w:ascii="Times New Roman" w:hAnsi="Times New Roman"/>
          <w:sz w:val="24"/>
          <w:szCs w:val="24"/>
        </w:rPr>
        <w:t>,</w:t>
      </w:r>
      <w:r>
        <w:rPr>
          <w:rFonts w:ascii="Times New Roman" w:hAnsi="Times New Roman"/>
          <w:sz w:val="24"/>
          <w:szCs w:val="24"/>
        </w:rPr>
        <w:t xml:space="preserve"> 9.4%. For HCV, the seroprevalence was 5.1% in males, while no cases were detected in females, while for HIV, the seroprevalence was higher in females</w:t>
      </w:r>
      <w:r w:rsidR="00C926DD">
        <w:rPr>
          <w:rFonts w:ascii="Times New Roman" w:hAnsi="Times New Roman"/>
          <w:sz w:val="24"/>
          <w:szCs w:val="24"/>
        </w:rPr>
        <w:t>,</w:t>
      </w:r>
      <w:r>
        <w:rPr>
          <w:rFonts w:ascii="Times New Roman" w:hAnsi="Times New Roman"/>
          <w:sz w:val="24"/>
          <w:szCs w:val="24"/>
        </w:rPr>
        <w:t xml:space="preserve"> 12.5%</w:t>
      </w:r>
      <w:r w:rsidR="00C926DD">
        <w:rPr>
          <w:rFonts w:ascii="Times New Roman" w:hAnsi="Times New Roman"/>
          <w:sz w:val="24"/>
          <w:szCs w:val="24"/>
        </w:rPr>
        <w:t>,</w:t>
      </w:r>
      <w:r>
        <w:rPr>
          <w:rFonts w:ascii="Times New Roman" w:hAnsi="Times New Roman"/>
          <w:sz w:val="24"/>
          <w:szCs w:val="24"/>
        </w:rPr>
        <w:t xml:space="preserve"> compared to males</w:t>
      </w:r>
      <w:r w:rsidR="00C926DD">
        <w:rPr>
          <w:rFonts w:ascii="Times New Roman" w:hAnsi="Times New Roman"/>
          <w:sz w:val="24"/>
          <w:szCs w:val="24"/>
        </w:rPr>
        <w:t>,</w:t>
      </w:r>
      <w:r>
        <w:rPr>
          <w:rFonts w:ascii="Times New Roman" w:hAnsi="Times New Roman"/>
          <w:sz w:val="24"/>
          <w:szCs w:val="24"/>
        </w:rPr>
        <w:t xml:space="preserve"> 4.3%</w:t>
      </w:r>
      <w:r w:rsidR="00C926DD">
        <w:rPr>
          <w:rFonts w:ascii="Times New Roman" w:hAnsi="Times New Roman"/>
          <w:sz w:val="24"/>
          <w:szCs w:val="24"/>
        </w:rPr>
        <w:t>,</w:t>
      </w:r>
      <w:r>
        <w:rPr>
          <w:rFonts w:ascii="Times New Roman" w:hAnsi="Times New Roman"/>
          <w:sz w:val="24"/>
          <w:szCs w:val="24"/>
        </w:rPr>
        <w:t xml:space="preserve"> though there was no statistical association (</w:t>
      </w:r>
      <w:r>
        <w:rPr>
          <w:rFonts w:ascii="Times New Roman" w:hAnsi="Times New Roman"/>
          <w:i/>
          <w:iCs/>
          <w:sz w:val="24"/>
          <w:szCs w:val="24"/>
        </w:rPr>
        <w:t>P</w:t>
      </w:r>
      <w:r>
        <w:rPr>
          <w:rFonts w:ascii="Times New Roman" w:hAnsi="Times New Roman"/>
          <w:sz w:val="24"/>
          <w:szCs w:val="24"/>
        </w:rPr>
        <w:t xml:space="preserve">&gt; .05).  </w:t>
      </w:r>
    </w:p>
    <w:p w14:paraId="4888DDAA" w14:textId="64520D84" w:rsidR="008A27E2" w:rsidRDefault="006B0038">
      <w:pPr>
        <w:jc w:val="both"/>
        <w:rPr>
          <w:rFonts w:ascii="Times New Roman" w:hAnsi="Times New Roman"/>
          <w:sz w:val="24"/>
          <w:szCs w:val="24"/>
        </w:rPr>
      </w:pPr>
      <w:r>
        <w:rPr>
          <w:rFonts w:ascii="Times New Roman" w:hAnsi="Times New Roman"/>
          <w:sz w:val="24"/>
          <w:szCs w:val="24"/>
        </w:rPr>
        <w:t>With regards to the marital status of the blood donors, the seroprevalence was slightly higher</w:t>
      </w:r>
      <w:r w:rsidR="00C926DD">
        <w:rPr>
          <w:rFonts w:ascii="Times New Roman" w:hAnsi="Times New Roman"/>
          <w:sz w:val="24"/>
          <w:szCs w:val="24"/>
        </w:rPr>
        <w:t>,</w:t>
      </w:r>
      <w:r>
        <w:rPr>
          <w:rFonts w:ascii="Times New Roman" w:hAnsi="Times New Roman"/>
          <w:sz w:val="24"/>
          <w:szCs w:val="24"/>
        </w:rPr>
        <w:t xml:space="preserve"> 9.7%</w:t>
      </w:r>
      <w:r w:rsidR="00C926DD">
        <w:rPr>
          <w:rFonts w:ascii="Times New Roman" w:hAnsi="Times New Roman"/>
          <w:sz w:val="24"/>
          <w:szCs w:val="24"/>
        </w:rPr>
        <w:t>,</w:t>
      </w:r>
      <w:r>
        <w:rPr>
          <w:rFonts w:ascii="Times New Roman" w:hAnsi="Times New Roman"/>
          <w:sz w:val="24"/>
          <w:szCs w:val="24"/>
        </w:rPr>
        <w:t xml:space="preserve"> among married donors compared to 9.3% among single donors, while for HCV it was higher among single donors</w:t>
      </w:r>
      <w:r w:rsidR="00C926DD">
        <w:rPr>
          <w:rFonts w:ascii="Times New Roman" w:hAnsi="Times New Roman"/>
          <w:sz w:val="24"/>
          <w:szCs w:val="24"/>
        </w:rPr>
        <w:t>,</w:t>
      </w:r>
      <w:r>
        <w:rPr>
          <w:rFonts w:ascii="Times New Roman" w:hAnsi="Times New Roman"/>
          <w:sz w:val="24"/>
          <w:szCs w:val="24"/>
        </w:rPr>
        <w:t xml:space="preserve"> 7.5%</w:t>
      </w:r>
      <w:r w:rsidR="00C926DD">
        <w:rPr>
          <w:rFonts w:ascii="Times New Roman" w:hAnsi="Times New Roman"/>
          <w:sz w:val="24"/>
          <w:szCs w:val="24"/>
        </w:rPr>
        <w:t>,</w:t>
      </w:r>
      <w:r>
        <w:rPr>
          <w:rFonts w:ascii="Times New Roman" w:hAnsi="Times New Roman"/>
          <w:sz w:val="24"/>
          <w:szCs w:val="24"/>
        </w:rPr>
        <w:t xml:space="preserve"> compared to married donors</w:t>
      </w:r>
      <w:r w:rsidR="00C926DD">
        <w:rPr>
          <w:rFonts w:ascii="Times New Roman" w:hAnsi="Times New Roman"/>
          <w:sz w:val="24"/>
          <w:szCs w:val="24"/>
        </w:rPr>
        <w:t>,</w:t>
      </w:r>
      <w:r>
        <w:rPr>
          <w:rFonts w:ascii="Times New Roman" w:hAnsi="Times New Roman"/>
          <w:sz w:val="24"/>
          <w:szCs w:val="24"/>
        </w:rPr>
        <w:t xml:space="preserve"> 3.0%. Finally, for HIV, it was higher among single donors</w:t>
      </w:r>
      <w:r w:rsidR="00C926DD">
        <w:rPr>
          <w:rFonts w:ascii="Times New Roman" w:hAnsi="Times New Roman"/>
          <w:sz w:val="24"/>
          <w:szCs w:val="24"/>
        </w:rPr>
        <w:t>,</w:t>
      </w:r>
      <w:r>
        <w:rPr>
          <w:rFonts w:ascii="Times New Roman" w:hAnsi="Times New Roman"/>
          <w:sz w:val="24"/>
          <w:szCs w:val="24"/>
        </w:rPr>
        <w:t xml:space="preserve"> 6.5%</w:t>
      </w:r>
      <w:r w:rsidR="00C926DD">
        <w:rPr>
          <w:rFonts w:ascii="Times New Roman" w:hAnsi="Times New Roman"/>
          <w:sz w:val="24"/>
          <w:szCs w:val="24"/>
        </w:rPr>
        <w:t>,</w:t>
      </w:r>
      <w:r>
        <w:rPr>
          <w:rFonts w:ascii="Times New Roman" w:hAnsi="Times New Roman"/>
          <w:sz w:val="24"/>
          <w:szCs w:val="24"/>
        </w:rPr>
        <w:t xml:space="preserve"> compared to married donors</w:t>
      </w:r>
      <w:r w:rsidR="00C926DD">
        <w:rPr>
          <w:rFonts w:ascii="Times New Roman" w:hAnsi="Times New Roman"/>
          <w:sz w:val="24"/>
          <w:szCs w:val="24"/>
        </w:rPr>
        <w:t>,</w:t>
      </w:r>
      <w:r>
        <w:rPr>
          <w:rFonts w:ascii="Times New Roman" w:hAnsi="Times New Roman"/>
          <w:sz w:val="24"/>
          <w:szCs w:val="24"/>
        </w:rPr>
        <w:t xml:space="preserve"> 3.0% (</w:t>
      </w:r>
      <w:r>
        <w:rPr>
          <w:rFonts w:ascii="Times New Roman" w:hAnsi="Times New Roman"/>
          <w:i/>
          <w:iCs/>
          <w:sz w:val="24"/>
          <w:szCs w:val="24"/>
        </w:rPr>
        <w:t>P</w:t>
      </w:r>
      <w:r>
        <w:rPr>
          <w:rFonts w:ascii="Times New Roman" w:hAnsi="Times New Roman"/>
          <w:sz w:val="24"/>
          <w:szCs w:val="24"/>
        </w:rPr>
        <w:t>&gt; .05)</w:t>
      </w:r>
      <w:r w:rsidR="00C926DD">
        <w:rPr>
          <w:rFonts w:ascii="Times New Roman" w:hAnsi="Times New Roman"/>
          <w:sz w:val="24"/>
          <w:szCs w:val="24"/>
        </w:rPr>
        <w:t>,</w:t>
      </w:r>
      <w:r>
        <w:rPr>
          <w:rFonts w:ascii="Times New Roman" w:hAnsi="Times New Roman"/>
          <w:sz w:val="24"/>
          <w:szCs w:val="24"/>
        </w:rPr>
        <w:t xml:space="preserve"> Table 3.   </w:t>
      </w:r>
    </w:p>
    <w:p w14:paraId="45ACAE48" w14:textId="77777777" w:rsidR="008A27E2" w:rsidRDefault="008A27E2">
      <w:pPr>
        <w:jc w:val="both"/>
        <w:rPr>
          <w:rFonts w:ascii="Times New Roman" w:hAnsi="Times New Roman"/>
          <w:b/>
          <w:bCs/>
          <w:sz w:val="24"/>
          <w:szCs w:val="24"/>
        </w:rPr>
      </w:pPr>
    </w:p>
    <w:p w14:paraId="0CA6CCBD" w14:textId="77777777" w:rsidR="008A27E2" w:rsidRDefault="008A27E2">
      <w:pPr>
        <w:jc w:val="both"/>
        <w:rPr>
          <w:rFonts w:ascii="Times New Roman" w:hAnsi="Times New Roman"/>
          <w:b/>
          <w:bCs/>
          <w:sz w:val="24"/>
          <w:szCs w:val="24"/>
        </w:rPr>
      </w:pPr>
    </w:p>
    <w:p w14:paraId="76091432" w14:textId="77777777" w:rsidR="008A27E2" w:rsidRDefault="008A27E2">
      <w:pPr>
        <w:spacing w:line="480" w:lineRule="auto"/>
        <w:jc w:val="both"/>
        <w:rPr>
          <w:rFonts w:ascii="Times New Roman" w:hAnsi="Times New Roman"/>
          <w:b/>
          <w:bCs/>
          <w:sz w:val="24"/>
          <w:szCs w:val="24"/>
        </w:rPr>
      </w:pPr>
    </w:p>
    <w:p w14:paraId="5558C271" w14:textId="77777777" w:rsidR="008A27E2" w:rsidRDefault="008A27E2">
      <w:pPr>
        <w:spacing w:line="480" w:lineRule="auto"/>
        <w:jc w:val="both"/>
        <w:rPr>
          <w:rFonts w:ascii="Times New Roman" w:hAnsi="Times New Roman"/>
          <w:b/>
          <w:bCs/>
          <w:sz w:val="24"/>
          <w:szCs w:val="24"/>
        </w:rPr>
      </w:pPr>
    </w:p>
    <w:p w14:paraId="492841B1" w14:textId="77777777" w:rsidR="008A27E2" w:rsidRDefault="008A27E2">
      <w:pPr>
        <w:spacing w:line="480" w:lineRule="auto"/>
        <w:jc w:val="both"/>
        <w:rPr>
          <w:rFonts w:ascii="Times New Roman" w:hAnsi="Times New Roman"/>
          <w:b/>
          <w:bCs/>
          <w:sz w:val="24"/>
          <w:szCs w:val="24"/>
        </w:rPr>
      </w:pPr>
    </w:p>
    <w:p w14:paraId="286CF892" w14:textId="77777777" w:rsidR="008A27E2" w:rsidRDefault="008A27E2">
      <w:pPr>
        <w:spacing w:line="480" w:lineRule="auto"/>
        <w:jc w:val="both"/>
        <w:rPr>
          <w:rFonts w:ascii="Times New Roman" w:hAnsi="Times New Roman"/>
          <w:b/>
          <w:bCs/>
          <w:sz w:val="24"/>
          <w:szCs w:val="24"/>
        </w:rPr>
      </w:pPr>
    </w:p>
    <w:p w14:paraId="7788C7A3" w14:textId="77777777" w:rsidR="008A27E2" w:rsidRDefault="008A27E2">
      <w:pPr>
        <w:spacing w:line="480" w:lineRule="auto"/>
        <w:jc w:val="both"/>
        <w:rPr>
          <w:rFonts w:ascii="Times New Roman" w:hAnsi="Times New Roman"/>
          <w:b/>
          <w:bCs/>
          <w:sz w:val="24"/>
          <w:szCs w:val="24"/>
        </w:rPr>
      </w:pPr>
    </w:p>
    <w:p w14:paraId="555FA6CF" w14:textId="77777777" w:rsidR="008A27E2" w:rsidRDefault="008A27E2">
      <w:pPr>
        <w:spacing w:line="480" w:lineRule="auto"/>
        <w:jc w:val="both"/>
        <w:rPr>
          <w:rFonts w:ascii="Times New Roman" w:hAnsi="Times New Roman"/>
          <w:b/>
          <w:bCs/>
          <w:sz w:val="24"/>
          <w:szCs w:val="24"/>
        </w:rPr>
      </w:pPr>
    </w:p>
    <w:p w14:paraId="518F30EF" w14:textId="77777777" w:rsidR="008A27E2" w:rsidRDefault="008A27E2">
      <w:pPr>
        <w:spacing w:line="480" w:lineRule="auto"/>
        <w:jc w:val="both"/>
        <w:rPr>
          <w:rFonts w:ascii="Times New Roman" w:hAnsi="Times New Roman"/>
          <w:b/>
          <w:bCs/>
          <w:sz w:val="24"/>
          <w:szCs w:val="24"/>
        </w:rPr>
      </w:pPr>
    </w:p>
    <w:p w14:paraId="7D552394" w14:textId="77777777" w:rsidR="008A27E2" w:rsidRDefault="008A27E2">
      <w:pPr>
        <w:spacing w:line="480" w:lineRule="auto"/>
        <w:jc w:val="both"/>
        <w:rPr>
          <w:rFonts w:ascii="Times New Roman" w:hAnsi="Times New Roman"/>
          <w:b/>
          <w:bCs/>
          <w:sz w:val="24"/>
          <w:szCs w:val="24"/>
        </w:rPr>
      </w:pPr>
    </w:p>
    <w:p w14:paraId="4642CE0A" w14:textId="77777777" w:rsidR="008A27E2" w:rsidRDefault="008A27E2">
      <w:pPr>
        <w:spacing w:line="480" w:lineRule="auto"/>
        <w:jc w:val="both"/>
        <w:rPr>
          <w:rFonts w:ascii="Times New Roman" w:hAnsi="Times New Roman"/>
          <w:b/>
          <w:bCs/>
          <w:sz w:val="24"/>
          <w:szCs w:val="24"/>
        </w:rPr>
      </w:pPr>
    </w:p>
    <w:p w14:paraId="0BE7376B" w14:textId="77777777" w:rsidR="008A27E2" w:rsidRDefault="008A27E2">
      <w:pPr>
        <w:spacing w:line="480" w:lineRule="auto"/>
        <w:jc w:val="both"/>
        <w:rPr>
          <w:rFonts w:ascii="Times New Roman" w:hAnsi="Times New Roman"/>
          <w:b/>
          <w:bCs/>
          <w:sz w:val="24"/>
          <w:szCs w:val="24"/>
        </w:rPr>
      </w:pPr>
    </w:p>
    <w:p w14:paraId="4045B8EC" w14:textId="77777777" w:rsidR="008A27E2" w:rsidRDefault="008A27E2">
      <w:pPr>
        <w:spacing w:line="480" w:lineRule="auto"/>
        <w:jc w:val="both"/>
        <w:rPr>
          <w:rFonts w:ascii="Times New Roman" w:hAnsi="Times New Roman"/>
          <w:b/>
          <w:bCs/>
          <w:sz w:val="24"/>
          <w:szCs w:val="24"/>
        </w:rPr>
      </w:pPr>
    </w:p>
    <w:p w14:paraId="4DD4004A" w14:textId="77777777" w:rsidR="008A27E2" w:rsidRDefault="008A27E2">
      <w:pPr>
        <w:spacing w:line="480" w:lineRule="auto"/>
        <w:jc w:val="both"/>
        <w:rPr>
          <w:rFonts w:ascii="Times New Roman" w:hAnsi="Times New Roman"/>
          <w:b/>
          <w:bCs/>
          <w:sz w:val="24"/>
          <w:szCs w:val="24"/>
        </w:rPr>
      </w:pPr>
    </w:p>
    <w:p w14:paraId="591BE675" w14:textId="77777777" w:rsidR="008A27E2" w:rsidRDefault="008A27E2">
      <w:pPr>
        <w:spacing w:line="480" w:lineRule="auto"/>
        <w:jc w:val="both"/>
        <w:rPr>
          <w:rFonts w:ascii="Times New Roman" w:hAnsi="Times New Roman"/>
          <w:b/>
          <w:bCs/>
          <w:sz w:val="24"/>
          <w:szCs w:val="24"/>
        </w:rPr>
      </w:pPr>
    </w:p>
    <w:p w14:paraId="1E64EC99" w14:textId="77777777" w:rsidR="008A27E2" w:rsidRDefault="008A27E2">
      <w:pPr>
        <w:spacing w:line="480" w:lineRule="auto"/>
        <w:jc w:val="both"/>
        <w:rPr>
          <w:rFonts w:ascii="Times New Roman" w:hAnsi="Times New Roman"/>
          <w:b/>
          <w:bCs/>
          <w:sz w:val="24"/>
          <w:szCs w:val="24"/>
        </w:rPr>
      </w:pPr>
    </w:p>
    <w:p w14:paraId="20D5781C" w14:textId="77777777" w:rsidR="008A27E2" w:rsidRDefault="008A27E2">
      <w:pPr>
        <w:jc w:val="both"/>
        <w:rPr>
          <w:rFonts w:ascii="Times New Roman" w:hAnsi="Times New Roman"/>
          <w:b/>
          <w:bCs/>
          <w:sz w:val="24"/>
          <w:szCs w:val="24"/>
        </w:rPr>
      </w:pPr>
    </w:p>
    <w:p w14:paraId="386D8B6F" w14:textId="77777777" w:rsidR="008A27E2" w:rsidRDefault="008A27E2">
      <w:pPr>
        <w:jc w:val="both"/>
        <w:rPr>
          <w:rFonts w:ascii="Times New Roman" w:hAnsi="Times New Roman"/>
          <w:b/>
          <w:bCs/>
          <w:sz w:val="24"/>
          <w:szCs w:val="24"/>
        </w:rPr>
      </w:pPr>
    </w:p>
    <w:p w14:paraId="5D8B032E" w14:textId="77777777" w:rsidR="008A27E2" w:rsidRDefault="008A27E2">
      <w:pPr>
        <w:jc w:val="both"/>
        <w:rPr>
          <w:rFonts w:ascii="Times New Roman" w:hAnsi="Times New Roman"/>
          <w:b/>
          <w:bCs/>
          <w:sz w:val="24"/>
          <w:szCs w:val="24"/>
        </w:rPr>
      </w:pPr>
    </w:p>
    <w:p w14:paraId="3905DE18" w14:textId="77777777" w:rsidR="008A27E2" w:rsidRDefault="008A27E2">
      <w:pPr>
        <w:jc w:val="both"/>
        <w:rPr>
          <w:rFonts w:ascii="Times New Roman" w:hAnsi="Times New Roman"/>
          <w:b/>
          <w:bCs/>
          <w:sz w:val="24"/>
          <w:szCs w:val="24"/>
        </w:rPr>
      </w:pPr>
    </w:p>
    <w:p w14:paraId="31260527" w14:textId="77777777" w:rsidR="008A27E2" w:rsidRDefault="006B0038">
      <w:pPr>
        <w:jc w:val="both"/>
        <w:rPr>
          <w:rFonts w:ascii="Times New Roman" w:hAnsi="Times New Roman"/>
          <w:b/>
          <w:bCs/>
          <w:sz w:val="24"/>
          <w:szCs w:val="24"/>
        </w:rPr>
      </w:pPr>
      <w:r>
        <w:rPr>
          <w:rFonts w:ascii="Times New Roman" w:hAnsi="Times New Roman"/>
          <w:b/>
          <w:bCs/>
          <w:sz w:val="24"/>
          <w:szCs w:val="24"/>
        </w:rPr>
        <w:t>Table 3 Seroprevalence of Viral TTIs Regarding Some Sociodemographic of Donors Using RDT and ELISA.</w:t>
      </w:r>
    </w:p>
    <w:p w14:paraId="1AA0791E" w14:textId="77777777" w:rsidR="008A27E2" w:rsidRDefault="008A27E2">
      <w:pPr>
        <w:spacing w:line="480" w:lineRule="auto"/>
        <w:jc w:val="both"/>
        <w:rPr>
          <w:rFonts w:ascii="Times New Roman" w:hAnsi="Times New Roman"/>
          <w:b/>
          <w:bCs/>
          <w:sz w:val="24"/>
          <w:szCs w:val="24"/>
        </w:rPr>
      </w:pPr>
    </w:p>
    <w:tbl>
      <w:tblPr>
        <w:tblStyle w:val="TableGrid"/>
        <w:tblW w:w="10439"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1310"/>
        <w:gridCol w:w="1470"/>
        <w:gridCol w:w="1043"/>
        <w:gridCol w:w="1470"/>
        <w:gridCol w:w="1043"/>
        <w:gridCol w:w="1470"/>
        <w:gridCol w:w="1470"/>
      </w:tblGrid>
      <w:tr w:rsidR="008A27E2" w14:paraId="53880DE6" w14:textId="77777777">
        <w:trPr>
          <w:trHeight w:val="1601"/>
        </w:trPr>
        <w:tc>
          <w:tcPr>
            <w:tcW w:w="1163" w:type="dxa"/>
            <w:tcBorders>
              <w:top w:val="single" w:sz="4" w:space="0" w:color="auto"/>
              <w:bottom w:val="single" w:sz="4" w:space="0" w:color="auto"/>
            </w:tcBorders>
          </w:tcPr>
          <w:p w14:paraId="19534679" w14:textId="6DD76B1D" w:rsidR="008A27E2" w:rsidRDefault="006B0038">
            <w:pPr>
              <w:rPr>
                <w:rFonts w:ascii="Times New Roman" w:hAnsi="Times New Roman"/>
                <w:b/>
                <w:bCs/>
                <w:sz w:val="24"/>
                <w:szCs w:val="24"/>
              </w:rPr>
            </w:pPr>
            <w:proofErr w:type="gramStart"/>
            <w:r>
              <w:rPr>
                <w:rFonts w:ascii="Times New Roman" w:hAnsi="Times New Roman"/>
                <w:b/>
                <w:bCs/>
                <w:sz w:val="24"/>
                <w:szCs w:val="24"/>
              </w:rPr>
              <w:t>Age</w:t>
            </w:r>
            <w:r w:rsidR="00796E80">
              <w:rPr>
                <w:rFonts w:ascii="Times New Roman" w:hAnsi="Times New Roman"/>
                <w:b/>
                <w:bCs/>
                <w:sz w:val="24"/>
                <w:szCs w:val="24"/>
              </w:rPr>
              <w:t xml:space="preserve"> </w:t>
            </w:r>
            <w:r>
              <w:t xml:space="preserve"> </w:t>
            </w:r>
            <w:r>
              <w:rPr>
                <w:rFonts w:ascii="Times New Roman" w:hAnsi="Times New Roman"/>
                <w:b/>
                <w:bCs/>
                <w:sz w:val="24"/>
                <w:szCs w:val="24"/>
              </w:rPr>
              <w:t>Category</w:t>
            </w:r>
            <w:proofErr w:type="gramEnd"/>
          </w:p>
        </w:tc>
        <w:tc>
          <w:tcPr>
            <w:tcW w:w="1310" w:type="dxa"/>
            <w:tcBorders>
              <w:top w:val="single" w:sz="4" w:space="0" w:color="auto"/>
              <w:bottom w:val="single" w:sz="4" w:space="0" w:color="auto"/>
            </w:tcBorders>
          </w:tcPr>
          <w:p w14:paraId="2AC349E1" w14:textId="77777777" w:rsidR="008A27E2" w:rsidRDefault="006B0038">
            <w:pPr>
              <w:rPr>
                <w:rFonts w:ascii="Times New Roman" w:hAnsi="Times New Roman"/>
                <w:b/>
                <w:bCs/>
                <w:sz w:val="24"/>
                <w:szCs w:val="24"/>
              </w:rPr>
            </w:pPr>
            <w:r>
              <w:rPr>
                <w:rFonts w:ascii="Times New Roman" w:hAnsi="Times New Roman"/>
                <w:b/>
                <w:bCs/>
                <w:sz w:val="24"/>
                <w:szCs w:val="24"/>
              </w:rPr>
              <w:t>Frequency (N= 240)</w:t>
            </w:r>
          </w:p>
        </w:tc>
        <w:tc>
          <w:tcPr>
            <w:tcW w:w="1470" w:type="dxa"/>
            <w:tcBorders>
              <w:top w:val="single" w:sz="4" w:space="0" w:color="auto"/>
              <w:bottom w:val="single" w:sz="4" w:space="0" w:color="auto"/>
            </w:tcBorders>
          </w:tcPr>
          <w:p w14:paraId="20F5FFE0" w14:textId="77777777" w:rsidR="008A27E2" w:rsidRDefault="006B0038">
            <w:pPr>
              <w:rPr>
                <w:rFonts w:ascii="Times New Roman" w:hAnsi="Times New Roman"/>
                <w:b/>
                <w:bCs/>
                <w:sz w:val="24"/>
                <w:szCs w:val="24"/>
              </w:rPr>
            </w:pPr>
            <w:r>
              <w:rPr>
                <w:rFonts w:ascii="Times New Roman" w:hAnsi="Times New Roman"/>
                <w:b/>
                <w:bCs/>
                <w:sz w:val="24"/>
                <w:szCs w:val="24"/>
              </w:rPr>
              <w:t>HBV Seropositive (%)</w:t>
            </w:r>
          </w:p>
        </w:tc>
        <w:tc>
          <w:tcPr>
            <w:tcW w:w="1043" w:type="dxa"/>
            <w:tcBorders>
              <w:top w:val="single" w:sz="4" w:space="0" w:color="auto"/>
              <w:bottom w:val="single" w:sz="4" w:space="0" w:color="auto"/>
            </w:tcBorders>
          </w:tcPr>
          <w:p w14:paraId="186604A0" w14:textId="77777777" w:rsidR="008A27E2" w:rsidRDefault="006B0038">
            <w:pPr>
              <w:rPr>
                <w:rFonts w:ascii="Times New Roman" w:hAnsi="Times New Roman"/>
                <w:b/>
                <w:bCs/>
                <w:sz w:val="24"/>
                <w:szCs w:val="24"/>
              </w:rPr>
            </w:pPr>
            <w:r>
              <w:rPr>
                <w:rFonts w:ascii="Times New Roman" w:hAnsi="Times New Roman"/>
                <w:b/>
                <w:bCs/>
                <w:i/>
                <w:iCs/>
                <w:sz w:val="24"/>
                <w:szCs w:val="24"/>
              </w:rPr>
              <w:t>P-</w:t>
            </w:r>
            <w:r>
              <w:rPr>
                <w:rFonts w:ascii="Times New Roman" w:hAnsi="Times New Roman"/>
                <w:b/>
                <w:bCs/>
                <w:sz w:val="24"/>
                <w:szCs w:val="24"/>
              </w:rPr>
              <w:t>Value</w:t>
            </w:r>
          </w:p>
        </w:tc>
        <w:tc>
          <w:tcPr>
            <w:tcW w:w="1470" w:type="dxa"/>
            <w:tcBorders>
              <w:top w:val="single" w:sz="4" w:space="0" w:color="auto"/>
              <w:bottom w:val="single" w:sz="4" w:space="0" w:color="auto"/>
            </w:tcBorders>
          </w:tcPr>
          <w:p w14:paraId="1CCC3635" w14:textId="77777777" w:rsidR="008A27E2" w:rsidRDefault="006B0038">
            <w:pPr>
              <w:rPr>
                <w:rFonts w:ascii="Times New Roman" w:hAnsi="Times New Roman"/>
                <w:b/>
                <w:bCs/>
                <w:sz w:val="24"/>
                <w:szCs w:val="24"/>
              </w:rPr>
            </w:pPr>
            <w:r>
              <w:rPr>
                <w:rFonts w:ascii="Times New Roman" w:hAnsi="Times New Roman"/>
                <w:b/>
                <w:bCs/>
                <w:sz w:val="24"/>
                <w:szCs w:val="24"/>
              </w:rPr>
              <w:t>HIV Seropositive (%)</w:t>
            </w:r>
          </w:p>
        </w:tc>
        <w:tc>
          <w:tcPr>
            <w:tcW w:w="1043" w:type="dxa"/>
            <w:tcBorders>
              <w:top w:val="single" w:sz="4" w:space="0" w:color="auto"/>
              <w:bottom w:val="single" w:sz="4" w:space="0" w:color="auto"/>
            </w:tcBorders>
          </w:tcPr>
          <w:p w14:paraId="61485F0D" w14:textId="77777777" w:rsidR="008A27E2" w:rsidRDefault="006B0038">
            <w:pPr>
              <w:rPr>
                <w:rFonts w:ascii="Times New Roman" w:hAnsi="Times New Roman"/>
                <w:b/>
                <w:bCs/>
                <w:sz w:val="24"/>
                <w:szCs w:val="24"/>
              </w:rPr>
            </w:pPr>
            <w:r>
              <w:rPr>
                <w:rFonts w:ascii="Times New Roman" w:hAnsi="Times New Roman"/>
                <w:b/>
                <w:bCs/>
                <w:i/>
                <w:iCs/>
                <w:sz w:val="24"/>
                <w:szCs w:val="24"/>
              </w:rPr>
              <w:t>P</w:t>
            </w:r>
            <w:r>
              <w:rPr>
                <w:rFonts w:ascii="Times New Roman" w:hAnsi="Times New Roman"/>
                <w:b/>
                <w:bCs/>
                <w:sz w:val="24"/>
                <w:szCs w:val="24"/>
              </w:rPr>
              <w:t>-Value</w:t>
            </w:r>
          </w:p>
        </w:tc>
        <w:tc>
          <w:tcPr>
            <w:tcW w:w="1470" w:type="dxa"/>
            <w:tcBorders>
              <w:top w:val="single" w:sz="4" w:space="0" w:color="auto"/>
              <w:bottom w:val="single" w:sz="4" w:space="0" w:color="auto"/>
            </w:tcBorders>
          </w:tcPr>
          <w:p w14:paraId="307360B9" w14:textId="77777777" w:rsidR="008A27E2" w:rsidRDefault="006B0038">
            <w:pPr>
              <w:rPr>
                <w:rFonts w:ascii="Times New Roman" w:hAnsi="Times New Roman"/>
                <w:b/>
                <w:bCs/>
                <w:sz w:val="24"/>
                <w:szCs w:val="24"/>
              </w:rPr>
            </w:pPr>
            <w:r>
              <w:rPr>
                <w:rFonts w:ascii="Times New Roman" w:hAnsi="Times New Roman"/>
                <w:b/>
                <w:bCs/>
                <w:sz w:val="24"/>
                <w:szCs w:val="24"/>
              </w:rPr>
              <w:t>HCV Seropositive (%)</w:t>
            </w:r>
          </w:p>
        </w:tc>
        <w:tc>
          <w:tcPr>
            <w:tcW w:w="1470" w:type="dxa"/>
            <w:tcBorders>
              <w:top w:val="single" w:sz="4" w:space="0" w:color="auto"/>
              <w:bottom w:val="single" w:sz="4" w:space="0" w:color="auto"/>
            </w:tcBorders>
          </w:tcPr>
          <w:p w14:paraId="55525B5E" w14:textId="77777777" w:rsidR="008A27E2" w:rsidRDefault="006B0038">
            <w:pPr>
              <w:rPr>
                <w:rFonts w:ascii="Times New Roman" w:hAnsi="Times New Roman"/>
                <w:b/>
                <w:bCs/>
                <w:sz w:val="24"/>
                <w:szCs w:val="24"/>
              </w:rPr>
            </w:pPr>
            <w:r>
              <w:rPr>
                <w:rFonts w:ascii="Times New Roman" w:hAnsi="Times New Roman"/>
                <w:b/>
                <w:bCs/>
                <w:i/>
                <w:iCs/>
                <w:sz w:val="24"/>
                <w:szCs w:val="24"/>
              </w:rPr>
              <w:t>P</w:t>
            </w:r>
            <w:r>
              <w:rPr>
                <w:rFonts w:ascii="Times New Roman" w:hAnsi="Times New Roman"/>
                <w:b/>
                <w:bCs/>
                <w:sz w:val="24"/>
                <w:szCs w:val="24"/>
              </w:rPr>
              <w:t>-Value</w:t>
            </w:r>
          </w:p>
        </w:tc>
      </w:tr>
      <w:tr w:rsidR="008A27E2" w14:paraId="1E6700D2" w14:textId="77777777">
        <w:trPr>
          <w:trHeight w:val="537"/>
        </w:trPr>
        <w:tc>
          <w:tcPr>
            <w:tcW w:w="1163" w:type="dxa"/>
            <w:tcBorders>
              <w:top w:val="single" w:sz="4" w:space="0" w:color="auto"/>
            </w:tcBorders>
          </w:tcPr>
          <w:p w14:paraId="258A07D9"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21-25</w:t>
            </w:r>
          </w:p>
        </w:tc>
        <w:tc>
          <w:tcPr>
            <w:tcW w:w="1310" w:type="dxa"/>
            <w:tcBorders>
              <w:top w:val="single" w:sz="4" w:space="0" w:color="auto"/>
            </w:tcBorders>
          </w:tcPr>
          <w:p w14:paraId="3B5BDAC3" w14:textId="77777777" w:rsidR="008A27E2" w:rsidRDefault="006B0038">
            <w:pPr>
              <w:spacing w:line="480" w:lineRule="auto"/>
              <w:rPr>
                <w:rFonts w:ascii="Times New Roman" w:hAnsi="Times New Roman"/>
                <w:sz w:val="24"/>
                <w:szCs w:val="24"/>
              </w:rPr>
            </w:pPr>
            <w:r>
              <w:rPr>
                <w:rFonts w:ascii="Times New Roman" w:hAnsi="Times New Roman"/>
                <w:sz w:val="24"/>
                <w:szCs w:val="24"/>
              </w:rPr>
              <w:t>39</w:t>
            </w:r>
          </w:p>
        </w:tc>
        <w:tc>
          <w:tcPr>
            <w:tcW w:w="1470" w:type="dxa"/>
            <w:tcBorders>
              <w:top w:val="single" w:sz="4" w:space="0" w:color="auto"/>
            </w:tcBorders>
          </w:tcPr>
          <w:p w14:paraId="4DE436E4" w14:textId="77777777" w:rsidR="008A27E2" w:rsidRDefault="006B0038">
            <w:pPr>
              <w:spacing w:line="480" w:lineRule="auto"/>
              <w:rPr>
                <w:rFonts w:ascii="Times New Roman" w:hAnsi="Times New Roman"/>
                <w:sz w:val="24"/>
                <w:szCs w:val="24"/>
              </w:rPr>
            </w:pPr>
            <w:r>
              <w:rPr>
                <w:rFonts w:ascii="Times New Roman" w:hAnsi="Times New Roman"/>
                <w:sz w:val="24"/>
                <w:szCs w:val="24"/>
              </w:rPr>
              <w:t>7 (17.9)</w:t>
            </w:r>
          </w:p>
        </w:tc>
        <w:tc>
          <w:tcPr>
            <w:tcW w:w="1043" w:type="dxa"/>
            <w:tcBorders>
              <w:top w:val="single" w:sz="4" w:space="0" w:color="auto"/>
            </w:tcBorders>
          </w:tcPr>
          <w:p w14:paraId="471AB0AE" w14:textId="77777777" w:rsidR="008A27E2" w:rsidRDefault="006B0038">
            <w:pPr>
              <w:spacing w:line="480" w:lineRule="auto"/>
              <w:rPr>
                <w:rFonts w:ascii="Times New Roman" w:hAnsi="Times New Roman"/>
                <w:sz w:val="24"/>
                <w:szCs w:val="24"/>
              </w:rPr>
            </w:pPr>
            <w:r>
              <w:rPr>
                <w:rFonts w:ascii="Times New Roman" w:hAnsi="Times New Roman"/>
                <w:sz w:val="24"/>
                <w:szCs w:val="24"/>
              </w:rPr>
              <w:t>0.154</w:t>
            </w:r>
          </w:p>
        </w:tc>
        <w:tc>
          <w:tcPr>
            <w:tcW w:w="1470" w:type="dxa"/>
            <w:tcBorders>
              <w:top w:val="single" w:sz="4" w:space="0" w:color="auto"/>
            </w:tcBorders>
          </w:tcPr>
          <w:p w14:paraId="65F8D39B" w14:textId="77777777" w:rsidR="008A27E2" w:rsidRDefault="006B0038">
            <w:pPr>
              <w:spacing w:line="480" w:lineRule="auto"/>
              <w:rPr>
                <w:rFonts w:ascii="Times New Roman" w:hAnsi="Times New Roman"/>
                <w:sz w:val="24"/>
                <w:szCs w:val="24"/>
              </w:rPr>
            </w:pPr>
            <w:r>
              <w:rPr>
                <w:rFonts w:ascii="Times New Roman" w:hAnsi="Times New Roman"/>
                <w:sz w:val="24"/>
                <w:szCs w:val="24"/>
              </w:rPr>
              <w:t xml:space="preserve">3 (7.7) </w:t>
            </w:r>
          </w:p>
        </w:tc>
        <w:tc>
          <w:tcPr>
            <w:tcW w:w="1043" w:type="dxa"/>
            <w:tcBorders>
              <w:top w:val="single" w:sz="4" w:space="0" w:color="auto"/>
            </w:tcBorders>
          </w:tcPr>
          <w:p w14:paraId="15DADDB1" w14:textId="77777777" w:rsidR="008A27E2" w:rsidRDefault="006B0038">
            <w:pPr>
              <w:spacing w:line="480" w:lineRule="auto"/>
              <w:rPr>
                <w:rFonts w:ascii="Times New Roman" w:hAnsi="Times New Roman"/>
                <w:sz w:val="24"/>
                <w:szCs w:val="24"/>
              </w:rPr>
            </w:pPr>
            <w:r>
              <w:rPr>
                <w:rFonts w:ascii="Times New Roman" w:hAnsi="Times New Roman"/>
                <w:sz w:val="24"/>
                <w:szCs w:val="24"/>
              </w:rPr>
              <w:t>0.287</w:t>
            </w:r>
          </w:p>
        </w:tc>
        <w:tc>
          <w:tcPr>
            <w:tcW w:w="1470" w:type="dxa"/>
            <w:tcBorders>
              <w:top w:val="single" w:sz="4" w:space="0" w:color="auto"/>
            </w:tcBorders>
          </w:tcPr>
          <w:p w14:paraId="087796DC" w14:textId="77777777" w:rsidR="008A27E2" w:rsidRDefault="006B0038">
            <w:pPr>
              <w:spacing w:line="480" w:lineRule="auto"/>
              <w:rPr>
                <w:rFonts w:ascii="Times New Roman" w:hAnsi="Times New Roman"/>
                <w:sz w:val="24"/>
                <w:szCs w:val="24"/>
              </w:rPr>
            </w:pPr>
            <w:r>
              <w:rPr>
                <w:rFonts w:ascii="Times New Roman" w:hAnsi="Times New Roman"/>
                <w:sz w:val="24"/>
                <w:szCs w:val="24"/>
              </w:rPr>
              <w:t>1 (2.2)</w:t>
            </w:r>
          </w:p>
        </w:tc>
        <w:tc>
          <w:tcPr>
            <w:tcW w:w="1470" w:type="dxa"/>
            <w:tcBorders>
              <w:top w:val="single" w:sz="4" w:space="0" w:color="auto"/>
            </w:tcBorders>
          </w:tcPr>
          <w:p w14:paraId="6EE33B4E" w14:textId="77777777" w:rsidR="008A27E2" w:rsidRDefault="006B0038">
            <w:pPr>
              <w:spacing w:line="480" w:lineRule="auto"/>
              <w:rPr>
                <w:rFonts w:ascii="Times New Roman" w:hAnsi="Times New Roman"/>
                <w:sz w:val="24"/>
                <w:szCs w:val="24"/>
              </w:rPr>
            </w:pPr>
            <w:r>
              <w:rPr>
                <w:rFonts w:ascii="Times New Roman" w:hAnsi="Times New Roman"/>
                <w:sz w:val="24"/>
                <w:szCs w:val="24"/>
              </w:rPr>
              <w:t>0.708</w:t>
            </w:r>
          </w:p>
        </w:tc>
      </w:tr>
      <w:tr w:rsidR="008A27E2" w14:paraId="76F6F93F" w14:textId="77777777">
        <w:trPr>
          <w:trHeight w:val="552"/>
        </w:trPr>
        <w:tc>
          <w:tcPr>
            <w:tcW w:w="1163" w:type="dxa"/>
          </w:tcPr>
          <w:p w14:paraId="709737E7"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26-30</w:t>
            </w:r>
          </w:p>
        </w:tc>
        <w:tc>
          <w:tcPr>
            <w:tcW w:w="1310" w:type="dxa"/>
          </w:tcPr>
          <w:p w14:paraId="74487AEC" w14:textId="77777777" w:rsidR="008A27E2" w:rsidRDefault="006B0038">
            <w:pPr>
              <w:spacing w:line="480" w:lineRule="auto"/>
              <w:rPr>
                <w:rFonts w:ascii="Times New Roman" w:hAnsi="Times New Roman"/>
                <w:sz w:val="24"/>
                <w:szCs w:val="24"/>
              </w:rPr>
            </w:pPr>
            <w:r>
              <w:rPr>
                <w:rFonts w:ascii="Times New Roman" w:hAnsi="Times New Roman"/>
                <w:sz w:val="24"/>
                <w:szCs w:val="24"/>
              </w:rPr>
              <w:t>59</w:t>
            </w:r>
          </w:p>
        </w:tc>
        <w:tc>
          <w:tcPr>
            <w:tcW w:w="1470" w:type="dxa"/>
          </w:tcPr>
          <w:p w14:paraId="1BA0A00E" w14:textId="77777777" w:rsidR="008A27E2" w:rsidRDefault="006B0038">
            <w:pPr>
              <w:spacing w:line="480" w:lineRule="auto"/>
              <w:rPr>
                <w:rFonts w:ascii="Times New Roman" w:hAnsi="Times New Roman"/>
                <w:sz w:val="24"/>
                <w:szCs w:val="24"/>
              </w:rPr>
            </w:pPr>
            <w:r>
              <w:rPr>
                <w:rFonts w:ascii="Times New Roman" w:hAnsi="Times New Roman"/>
                <w:sz w:val="24"/>
                <w:szCs w:val="24"/>
              </w:rPr>
              <w:t xml:space="preserve">2 (3.4) </w:t>
            </w:r>
          </w:p>
        </w:tc>
        <w:tc>
          <w:tcPr>
            <w:tcW w:w="1043" w:type="dxa"/>
          </w:tcPr>
          <w:p w14:paraId="7C28F759" w14:textId="77777777" w:rsidR="008A27E2" w:rsidRDefault="008A27E2">
            <w:pPr>
              <w:spacing w:line="480" w:lineRule="auto"/>
              <w:rPr>
                <w:rFonts w:ascii="Times New Roman" w:hAnsi="Times New Roman"/>
                <w:sz w:val="24"/>
                <w:szCs w:val="24"/>
              </w:rPr>
            </w:pPr>
          </w:p>
        </w:tc>
        <w:tc>
          <w:tcPr>
            <w:tcW w:w="1470" w:type="dxa"/>
          </w:tcPr>
          <w:p w14:paraId="4AA60F5C" w14:textId="77777777" w:rsidR="008A27E2" w:rsidRDefault="006B0038">
            <w:pPr>
              <w:spacing w:line="480" w:lineRule="auto"/>
              <w:rPr>
                <w:rFonts w:ascii="Times New Roman" w:hAnsi="Times New Roman"/>
                <w:sz w:val="24"/>
                <w:szCs w:val="24"/>
              </w:rPr>
            </w:pPr>
            <w:r>
              <w:rPr>
                <w:rFonts w:ascii="Times New Roman" w:hAnsi="Times New Roman"/>
                <w:sz w:val="24"/>
                <w:szCs w:val="24"/>
              </w:rPr>
              <w:t>0 (0.0)</w:t>
            </w:r>
          </w:p>
        </w:tc>
        <w:tc>
          <w:tcPr>
            <w:tcW w:w="1043" w:type="dxa"/>
          </w:tcPr>
          <w:p w14:paraId="5FA82A57" w14:textId="77777777" w:rsidR="008A27E2" w:rsidRDefault="008A27E2">
            <w:pPr>
              <w:spacing w:line="480" w:lineRule="auto"/>
              <w:rPr>
                <w:rFonts w:ascii="Times New Roman" w:hAnsi="Times New Roman"/>
                <w:sz w:val="24"/>
                <w:szCs w:val="24"/>
              </w:rPr>
            </w:pPr>
          </w:p>
        </w:tc>
        <w:tc>
          <w:tcPr>
            <w:tcW w:w="1470" w:type="dxa"/>
          </w:tcPr>
          <w:p w14:paraId="516D375A" w14:textId="77777777" w:rsidR="008A27E2" w:rsidRDefault="006B0038">
            <w:pPr>
              <w:spacing w:line="480" w:lineRule="auto"/>
              <w:rPr>
                <w:rFonts w:ascii="Times New Roman" w:hAnsi="Times New Roman"/>
                <w:sz w:val="24"/>
                <w:szCs w:val="24"/>
              </w:rPr>
            </w:pPr>
            <w:r>
              <w:rPr>
                <w:rFonts w:ascii="Times New Roman" w:hAnsi="Times New Roman"/>
                <w:sz w:val="24"/>
                <w:szCs w:val="24"/>
              </w:rPr>
              <w:t>5 (8.5)</w:t>
            </w:r>
          </w:p>
        </w:tc>
        <w:tc>
          <w:tcPr>
            <w:tcW w:w="1470" w:type="dxa"/>
          </w:tcPr>
          <w:p w14:paraId="65F1592D" w14:textId="77777777" w:rsidR="008A27E2" w:rsidRDefault="008A27E2">
            <w:pPr>
              <w:spacing w:line="480" w:lineRule="auto"/>
              <w:rPr>
                <w:rFonts w:ascii="Times New Roman" w:hAnsi="Times New Roman"/>
                <w:sz w:val="24"/>
                <w:szCs w:val="24"/>
              </w:rPr>
            </w:pPr>
          </w:p>
        </w:tc>
      </w:tr>
      <w:tr w:rsidR="008A27E2" w14:paraId="7D40FAEE" w14:textId="77777777">
        <w:trPr>
          <w:trHeight w:val="537"/>
        </w:trPr>
        <w:tc>
          <w:tcPr>
            <w:tcW w:w="1163" w:type="dxa"/>
          </w:tcPr>
          <w:p w14:paraId="7BC4E749"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31-35</w:t>
            </w:r>
            <w:r>
              <w:rPr>
                <w:rFonts w:ascii="Times New Roman" w:hAnsi="Times New Roman"/>
                <w:b/>
                <w:bCs/>
                <w:sz w:val="24"/>
                <w:szCs w:val="24"/>
              </w:rPr>
              <w:tab/>
            </w:r>
          </w:p>
        </w:tc>
        <w:tc>
          <w:tcPr>
            <w:tcW w:w="1310" w:type="dxa"/>
          </w:tcPr>
          <w:p w14:paraId="4BE9D008" w14:textId="77777777" w:rsidR="008A27E2" w:rsidRDefault="006B0038">
            <w:pPr>
              <w:spacing w:line="480" w:lineRule="auto"/>
              <w:rPr>
                <w:rFonts w:ascii="Times New Roman" w:hAnsi="Times New Roman"/>
                <w:sz w:val="24"/>
                <w:szCs w:val="24"/>
              </w:rPr>
            </w:pPr>
            <w:r>
              <w:rPr>
                <w:rFonts w:ascii="Times New Roman" w:hAnsi="Times New Roman"/>
                <w:sz w:val="24"/>
                <w:szCs w:val="24"/>
              </w:rPr>
              <w:t>58</w:t>
            </w:r>
          </w:p>
        </w:tc>
        <w:tc>
          <w:tcPr>
            <w:tcW w:w="1470" w:type="dxa"/>
          </w:tcPr>
          <w:p w14:paraId="63DEAE20" w14:textId="77777777" w:rsidR="008A27E2" w:rsidRDefault="006B0038">
            <w:pPr>
              <w:spacing w:line="480" w:lineRule="auto"/>
              <w:rPr>
                <w:rFonts w:ascii="Times New Roman" w:hAnsi="Times New Roman"/>
                <w:sz w:val="24"/>
                <w:szCs w:val="24"/>
              </w:rPr>
            </w:pPr>
            <w:r>
              <w:rPr>
                <w:rFonts w:ascii="Times New Roman" w:hAnsi="Times New Roman"/>
                <w:sz w:val="24"/>
                <w:szCs w:val="24"/>
              </w:rPr>
              <w:t>5 (8.6)</w:t>
            </w:r>
          </w:p>
        </w:tc>
        <w:tc>
          <w:tcPr>
            <w:tcW w:w="1043" w:type="dxa"/>
          </w:tcPr>
          <w:p w14:paraId="70CAFF0D" w14:textId="77777777" w:rsidR="008A27E2" w:rsidRDefault="008A27E2">
            <w:pPr>
              <w:spacing w:line="480" w:lineRule="auto"/>
              <w:rPr>
                <w:rFonts w:ascii="Times New Roman" w:hAnsi="Times New Roman"/>
                <w:sz w:val="24"/>
                <w:szCs w:val="24"/>
              </w:rPr>
            </w:pPr>
          </w:p>
        </w:tc>
        <w:tc>
          <w:tcPr>
            <w:tcW w:w="1470" w:type="dxa"/>
          </w:tcPr>
          <w:p w14:paraId="36A79879" w14:textId="77777777" w:rsidR="008A27E2" w:rsidRDefault="006B0038">
            <w:pPr>
              <w:spacing w:line="480" w:lineRule="auto"/>
              <w:rPr>
                <w:rFonts w:ascii="Times New Roman" w:hAnsi="Times New Roman"/>
                <w:sz w:val="24"/>
                <w:szCs w:val="24"/>
              </w:rPr>
            </w:pPr>
            <w:r>
              <w:rPr>
                <w:rFonts w:ascii="Times New Roman" w:hAnsi="Times New Roman"/>
                <w:sz w:val="24"/>
                <w:szCs w:val="24"/>
              </w:rPr>
              <w:t>4 (6.9)</w:t>
            </w:r>
          </w:p>
        </w:tc>
        <w:tc>
          <w:tcPr>
            <w:tcW w:w="1043" w:type="dxa"/>
          </w:tcPr>
          <w:p w14:paraId="56913272" w14:textId="77777777" w:rsidR="008A27E2" w:rsidRDefault="008A27E2">
            <w:pPr>
              <w:spacing w:line="480" w:lineRule="auto"/>
              <w:rPr>
                <w:rFonts w:ascii="Times New Roman" w:hAnsi="Times New Roman"/>
                <w:sz w:val="24"/>
                <w:szCs w:val="24"/>
              </w:rPr>
            </w:pPr>
          </w:p>
        </w:tc>
        <w:tc>
          <w:tcPr>
            <w:tcW w:w="1470" w:type="dxa"/>
          </w:tcPr>
          <w:p w14:paraId="1B492D1D" w14:textId="77777777" w:rsidR="008A27E2" w:rsidRDefault="006B0038">
            <w:pPr>
              <w:spacing w:line="480" w:lineRule="auto"/>
              <w:rPr>
                <w:rFonts w:ascii="Times New Roman" w:hAnsi="Times New Roman"/>
                <w:sz w:val="24"/>
                <w:szCs w:val="24"/>
              </w:rPr>
            </w:pPr>
            <w:r>
              <w:rPr>
                <w:rFonts w:ascii="Times New Roman" w:hAnsi="Times New Roman"/>
                <w:sz w:val="24"/>
                <w:szCs w:val="24"/>
              </w:rPr>
              <w:t>2 (3.5)</w:t>
            </w:r>
          </w:p>
        </w:tc>
        <w:tc>
          <w:tcPr>
            <w:tcW w:w="1470" w:type="dxa"/>
          </w:tcPr>
          <w:p w14:paraId="61546203" w14:textId="77777777" w:rsidR="008A27E2" w:rsidRDefault="008A27E2">
            <w:pPr>
              <w:spacing w:line="480" w:lineRule="auto"/>
              <w:rPr>
                <w:rFonts w:ascii="Times New Roman" w:hAnsi="Times New Roman"/>
                <w:sz w:val="24"/>
                <w:szCs w:val="24"/>
              </w:rPr>
            </w:pPr>
          </w:p>
        </w:tc>
      </w:tr>
      <w:tr w:rsidR="008A27E2" w14:paraId="37E17E51" w14:textId="77777777">
        <w:trPr>
          <w:trHeight w:val="552"/>
        </w:trPr>
        <w:tc>
          <w:tcPr>
            <w:tcW w:w="1163" w:type="dxa"/>
          </w:tcPr>
          <w:p w14:paraId="40E7879A"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36-40</w:t>
            </w:r>
            <w:r>
              <w:rPr>
                <w:rFonts w:ascii="Times New Roman" w:hAnsi="Times New Roman"/>
                <w:b/>
                <w:bCs/>
                <w:sz w:val="24"/>
                <w:szCs w:val="24"/>
              </w:rPr>
              <w:tab/>
            </w:r>
          </w:p>
        </w:tc>
        <w:tc>
          <w:tcPr>
            <w:tcW w:w="1310" w:type="dxa"/>
          </w:tcPr>
          <w:p w14:paraId="0D4A04A0" w14:textId="77777777" w:rsidR="008A27E2" w:rsidRDefault="006B0038">
            <w:pPr>
              <w:spacing w:line="480" w:lineRule="auto"/>
              <w:rPr>
                <w:rFonts w:ascii="Times New Roman" w:hAnsi="Times New Roman"/>
                <w:sz w:val="24"/>
                <w:szCs w:val="24"/>
              </w:rPr>
            </w:pPr>
            <w:r>
              <w:rPr>
                <w:rFonts w:ascii="Times New Roman" w:hAnsi="Times New Roman"/>
                <w:sz w:val="24"/>
                <w:szCs w:val="24"/>
              </w:rPr>
              <w:t>53</w:t>
            </w:r>
          </w:p>
        </w:tc>
        <w:tc>
          <w:tcPr>
            <w:tcW w:w="1470" w:type="dxa"/>
          </w:tcPr>
          <w:p w14:paraId="6BA03441" w14:textId="77777777" w:rsidR="008A27E2" w:rsidRDefault="006B0038">
            <w:pPr>
              <w:spacing w:line="480" w:lineRule="auto"/>
              <w:rPr>
                <w:rFonts w:ascii="Times New Roman" w:hAnsi="Times New Roman"/>
                <w:sz w:val="24"/>
                <w:szCs w:val="24"/>
              </w:rPr>
            </w:pPr>
            <w:r>
              <w:rPr>
                <w:rFonts w:ascii="Times New Roman" w:hAnsi="Times New Roman"/>
                <w:sz w:val="24"/>
                <w:szCs w:val="24"/>
              </w:rPr>
              <w:t>8 (15.1)</w:t>
            </w:r>
          </w:p>
        </w:tc>
        <w:tc>
          <w:tcPr>
            <w:tcW w:w="1043" w:type="dxa"/>
          </w:tcPr>
          <w:p w14:paraId="7C01A269" w14:textId="77777777" w:rsidR="008A27E2" w:rsidRDefault="008A27E2">
            <w:pPr>
              <w:spacing w:line="480" w:lineRule="auto"/>
              <w:rPr>
                <w:rFonts w:ascii="Times New Roman" w:hAnsi="Times New Roman"/>
                <w:sz w:val="24"/>
                <w:szCs w:val="24"/>
              </w:rPr>
            </w:pPr>
          </w:p>
        </w:tc>
        <w:tc>
          <w:tcPr>
            <w:tcW w:w="1470" w:type="dxa"/>
          </w:tcPr>
          <w:p w14:paraId="65C09FA3" w14:textId="77777777" w:rsidR="008A27E2" w:rsidRDefault="006B0038">
            <w:pPr>
              <w:spacing w:line="480" w:lineRule="auto"/>
              <w:rPr>
                <w:rFonts w:ascii="Times New Roman" w:hAnsi="Times New Roman"/>
                <w:sz w:val="24"/>
                <w:szCs w:val="24"/>
              </w:rPr>
            </w:pPr>
            <w:r>
              <w:rPr>
                <w:rFonts w:ascii="Times New Roman" w:hAnsi="Times New Roman"/>
                <w:sz w:val="24"/>
                <w:szCs w:val="24"/>
              </w:rPr>
              <w:t>1 (1.9)</w:t>
            </w:r>
          </w:p>
        </w:tc>
        <w:tc>
          <w:tcPr>
            <w:tcW w:w="1043" w:type="dxa"/>
          </w:tcPr>
          <w:p w14:paraId="29B9160B" w14:textId="77777777" w:rsidR="008A27E2" w:rsidRDefault="008A27E2">
            <w:pPr>
              <w:spacing w:line="480" w:lineRule="auto"/>
              <w:rPr>
                <w:rFonts w:ascii="Times New Roman" w:hAnsi="Times New Roman"/>
                <w:sz w:val="24"/>
                <w:szCs w:val="24"/>
              </w:rPr>
            </w:pPr>
          </w:p>
        </w:tc>
        <w:tc>
          <w:tcPr>
            <w:tcW w:w="1470" w:type="dxa"/>
          </w:tcPr>
          <w:p w14:paraId="3C8F7811" w14:textId="77777777" w:rsidR="008A27E2" w:rsidRDefault="006B0038">
            <w:pPr>
              <w:spacing w:line="480" w:lineRule="auto"/>
              <w:rPr>
                <w:rFonts w:ascii="Times New Roman" w:hAnsi="Times New Roman"/>
                <w:sz w:val="24"/>
                <w:szCs w:val="24"/>
              </w:rPr>
            </w:pPr>
            <w:r>
              <w:rPr>
                <w:rFonts w:ascii="Times New Roman" w:hAnsi="Times New Roman"/>
                <w:sz w:val="24"/>
                <w:szCs w:val="24"/>
              </w:rPr>
              <w:t>3 (13.1)</w:t>
            </w:r>
          </w:p>
        </w:tc>
        <w:tc>
          <w:tcPr>
            <w:tcW w:w="1470" w:type="dxa"/>
          </w:tcPr>
          <w:p w14:paraId="66FDF65F" w14:textId="77777777" w:rsidR="008A27E2" w:rsidRDefault="008A27E2">
            <w:pPr>
              <w:spacing w:line="480" w:lineRule="auto"/>
              <w:rPr>
                <w:rFonts w:ascii="Times New Roman" w:hAnsi="Times New Roman"/>
                <w:sz w:val="24"/>
                <w:szCs w:val="24"/>
              </w:rPr>
            </w:pPr>
          </w:p>
        </w:tc>
      </w:tr>
      <w:tr w:rsidR="008A27E2" w14:paraId="42DBAFB9" w14:textId="77777777">
        <w:trPr>
          <w:trHeight w:val="537"/>
        </w:trPr>
        <w:tc>
          <w:tcPr>
            <w:tcW w:w="1163" w:type="dxa"/>
          </w:tcPr>
          <w:p w14:paraId="60B7C12A"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41-45</w:t>
            </w:r>
            <w:r>
              <w:rPr>
                <w:rFonts w:ascii="Times New Roman" w:hAnsi="Times New Roman"/>
                <w:b/>
                <w:bCs/>
                <w:sz w:val="24"/>
                <w:szCs w:val="24"/>
              </w:rPr>
              <w:tab/>
            </w:r>
          </w:p>
        </w:tc>
        <w:tc>
          <w:tcPr>
            <w:tcW w:w="1310" w:type="dxa"/>
          </w:tcPr>
          <w:p w14:paraId="047A5D00" w14:textId="77777777" w:rsidR="008A27E2" w:rsidRDefault="006B0038">
            <w:pPr>
              <w:spacing w:line="480" w:lineRule="auto"/>
              <w:rPr>
                <w:rFonts w:ascii="Times New Roman" w:hAnsi="Times New Roman"/>
                <w:sz w:val="24"/>
                <w:szCs w:val="24"/>
              </w:rPr>
            </w:pPr>
            <w:r>
              <w:rPr>
                <w:rFonts w:ascii="Times New Roman" w:hAnsi="Times New Roman"/>
                <w:sz w:val="24"/>
                <w:szCs w:val="24"/>
              </w:rPr>
              <w:t>19</w:t>
            </w:r>
          </w:p>
        </w:tc>
        <w:tc>
          <w:tcPr>
            <w:tcW w:w="1470" w:type="dxa"/>
          </w:tcPr>
          <w:p w14:paraId="654E7C53" w14:textId="77777777" w:rsidR="008A27E2" w:rsidRDefault="006B0038">
            <w:pPr>
              <w:spacing w:line="480" w:lineRule="auto"/>
              <w:rPr>
                <w:rFonts w:ascii="Times New Roman" w:hAnsi="Times New Roman"/>
                <w:sz w:val="24"/>
                <w:szCs w:val="24"/>
              </w:rPr>
            </w:pPr>
            <w:r>
              <w:rPr>
                <w:rFonts w:ascii="Times New Roman" w:hAnsi="Times New Roman"/>
                <w:sz w:val="24"/>
                <w:szCs w:val="24"/>
              </w:rPr>
              <w:t>1 (5.3)</w:t>
            </w:r>
          </w:p>
        </w:tc>
        <w:tc>
          <w:tcPr>
            <w:tcW w:w="1043" w:type="dxa"/>
          </w:tcPr>
          <w:p w14:paraId="0F046641" w14:textId="77777777" w:rsidR="008A27E2" w:rsidRDefault="008A27E2">
            <w:pPr>
              <w:spacing w:line="480" w:lineRule="auto"/>
              <w:rPr>
                <w:rFonts w:ascii="Times New Roman" w:hAnsi="Times New Roman"/>
                <w:sz w:val="24"/>
                <w:szCs w:val="24"/>
              </w:rPr>
            </w:pPr>
          </w:p>
        </w:tc>
        <w:tc>
          <w:tcPr>
            <w:tcW w:w="1470" w:type="dxa"/>
          </w:tcPr>
          <w:p w14:paraId="36D386E2" w14:textId="77777777" w:rsidR="008A27E2" w:rsidRDefault="006B0038">
            <w:pPr>
              <w:spacing w:line="480" w:lineRule="auto"/>
              <w:rPr>
                <w:rFonts w:ascii="Times New Roman" w:hAnsi="Times New Roman"/>
                <w:sz w:val="24"/>
                <w:szCs w:val="24"/>
              </w:rPr>
            </w:pPr>
            <w:r>
              <w:rPr>
                <w:rFonts w:ascii="Times New Roman" w:hAnsi="Times New Roman"/>
                <w:sz w:val="24"/>
                <w:szCs w:val="24"/>
              </w:rPr>
              <w:t>2 (10.5)</w:t>
            </w:r>
          </w:p>
        </w:tc>
        <w:tc>
          <w:tcPr>
            <w:tcW w:w="1043" w:type="dxa"/>
          </w:tcPr>
          <w:p w14:paraId="6BEA5993" w14:textId="77777777" w:rsidR="008A27E2" w:rsidRDefault="008A27E2">
            <w:pPr>
              <w:spacing w:line="480" w:lineRule="auto"/>
              <w:rPr>
                <w:rFonts w:ascii="Times New Roman" w:hAnsi="Times New Roman"/>
                <w:sz w:val="24"/>
                <w:szCs w:val="24"/>
              </w:rPr>
            </w:pPr>
          </w:p>
        </w:tc>
        <w:tc>
          <w:tcPr>
            <w:tcW w:w="1470" w:type="dxa"/>
          </w:tcPr>
          <w:p w14:paraId="187B5590" w14:textId="77777777" w:rsidR="008A27E2" w:rsidRDefault="006B0038">
            <w:pPr>
              <w:spacing w:line="480" w:lineRule="auto"/>
              <w:rPr>
                <w:rFonts w:ascii="Times New Roman" w:hAnsi="Times New Roman"/>
                <w:sz w:val="24"/>
                <w:szCs w:val="24"/>
              </w:rPr>
            </w:pPr>
            <w:r>
              <w:rPr>
                <w:rFonts w:ascii="Times New Roman" w:hAnsi="Times New Roman"/>
                <w:sz w:val="24"/>
                <w:szCs w:val="24"/>
              </w:rPr>
              <w:t>0 (0.0)</w:t>
            </w:r>
          </w:p>
        </w:tc>
        <w:tc>
          <w:tcPr>
            <w:tcW w:w="1470" w:type="dxa"/>
          </w:tcPr>
          <w:p w14:paraId="4E8E4436" w14:textId="77777777" w:rsidR="008A27E2" w:rsidRDefault="008A27E2">
            <w:pPr>
              <w:spacing w:line="480" w:lineRule="auto"/>
              <w:rPr>
                <w:rFonts w:ascii="Times New Roman" w:hAnsi="Times New Roman"/>
                <w:sz w:val="24"/>
                <w:szCs w:val="24"/>
              </w:rPr>
            </w:pPr>
          </w:p>
        </w:tc>
      </w:tr>
      <w:tr w:rsidR="008A27E2" w14:paraId="3291FD0E" w14:textId="77777777">
        <w:trPr>
          <w:trHeight w:val="552"/>
        </w:trPr>
        <w:tc>
          <w:tcPr>
            <w:tcW w:w="1163" w:type="dxa"/>
          </w:tcPr>
          <w:p w14:paraId="00F11976"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46-50</w:t>
            </w:r>
          </w:p>
        </w:tc>
        <w:tc>
          <w:tcPr>
            <w:tcW w:w="1310" w:type="dxa"/>
          </w:tcPr>
          <w:p w14:paraId="3C6A81C2" w14:textId="77777777" w:rsidR="008A27E2" w:rsidRDefault="006B0038">
            <w:pPr>
              <w:spacing w:line="480" w:lineRule="auto"/>
              <w:rPr>
                <w:rFonts w:ascii="Times New Roman" w:hAnsi="Times New Roman"/>
                <w:sz w:val="24"/>
                <w:szCs w:val="24"/>
              </w:rPr>
            </w:pPr>
            <w:r>
              <w:rPr>
                <w:rFonts w:ascii="Times New Roman" w:hAnsi="Times New Roman"/>
                <w:sz w:val="24"/>
                <w:szCs w:val="24"/>
              </w:rPr>
              <w:t>11</w:t>
            </w:r>
          </w:p>
        </w:tc>
        <w:tc>
          <w:tcPr>
            <w:tcW w:w="1470" w:type="dxa"/>
          </w:tcPr>
          <w:p w14:paraId="5D00CAAA" w14:textId="77777777" w:rsidR="008A27E2" w:rsidRDefault="006B0038">
            <w:pPr>
              <w:spacing w:line="480" w:lineRule="auto"/>
              <w:rPr>
                <w:rFonts w:ascii="Times New Roman" w:hAnsi="Times New Roman"/>
                <w:sz w:val="24"/>
                <w:szCs w:val="24"/>
              </w:rPr>
            </w:pPr>
            <w:r>
              <w:rPr>
                <w:rFonts w:ascii="Times New Roman" w:hAnsi="Times New Roman"/>
                <w:sz w:val="24"/>
                <w:szCs w:val="24"/>
              </w:rPr>
              <w:t>0 (0.0)</w:t>
            </w:r>
          </w:p>
        </w:tc>
        <w:tc>
          <w:tcPr>
            <w:tcW w:w="1043" w:type="dxa"/>
          </w:tcPr>
          <w:p w14:paraId="026BC33D" w14:textId="77777777" w:rsidR="008A27E2" w:rsidRDefault="008A27E2">
            <w:pPr>
              <w:spacing w:line="480" w:lineRule="auto"/>
              <w:rPr>
                <w:rFonts w:ascii="Times New Roman" w:hAnsi="Times New Roman"/>
                <w:sz w:val="24"/>
                <w:szCs w:val="24"/>
              </w:rPr>
            </w:pPr>
          </w:p>
        </w:tc>
        <w:tc>
          <w:tcPr>
            <w:tcW w:w="1470" w:type="dxa"/>
          </w:tcPr>
          <w:p w14:paraId="7B2DA8B7" w14:textId="77777777" w:rsidR="008A27E2" w:rsidRDefault="006B0038">
            <w:pPr>
              <w:spacing w:line="480" w:lineRule="auto"/>
              <w:rPr>
                <w:rFonts w:ascii="Times New Roman" w:hAnsi="Times New Roman"/>
                <w:sz w:val="24"/>
                <w:szCs w:val="24"/>
              </w:rPr>
            </w:pPr>
            <w:r>
              <w:rPr>
                <w:rFonts w:ascii="Times New Roman" w:hAnsi="Times New Roman"/>
                <w:sz w:val="24"/>
                <w:szCs w:val="24"/>
              </w:rPr>
              <w:t>1 (9.1)</w:t>
            </w:r>
          </w:p>
        </w:tc>
        <w:tc>
          <w:tcPr>
            <w:tcW w:w="1043" w:type="dxa"/>
          </w:tcPr>
          <w:p w14:paraId="21AE5F1C" w14:textId="77777777" w:rsidR="008A27E2" w:rsidRDefault="008A27E2">
            <w:pPr>
              <w:spacing w:line="480" w:lineRule="auto"/>
              <w:rPr>
                <w:rFonts w:ascii="Times New Roman" w:hAnsi="Times New Roman"/>
                <w:sz w:val="24"/>
                <w:szCs w:val="24"/>
              </w:rPr>
            </w:pPr>
          </w:p>
        </w:tc>
        <w:tc>
          <w:tcPr>
            <w:tcW w:w="1470" w:type="dxa"/>
          </w:tcPr>
          <w:p w14:paraId="39836B7F" w14:textId="77777777" w:rsidR="008A27E2" w:rsidRDefault="006B0038">
            <w:pPr>
              <w:spacing w:line="480" w:lineRule="auto"/>
              <w:rPr>
                <w:rFonts w:ascii="Times New Roman" w:hAnsi="Times New Roman"/>
                <w:sz w:val="24"/>
                <w:szCs w:val="24"/>
              </w:rPr>
            </w:pPr>
            <w:r>
              <w:rPr>
                <w:rFonts w:ascii="Times New Roman" w:hAnsi="Times New Roman"/>
                <w:sz w:val="24"/>
                <w:szCs w:val="24"/>
              </w:rPr>
              <w:t>1 (9.0)</w:t>
            </w:r>
          </w:p>
        </w:tc>
        <w:tc>
          <w:tcPr>
            <w:tcW w:w="1470" w:type="dxa"/>
          </w:tcPr>
          <w:p w14:paraId="01BFB511" w14:textId="77777777" w:rsidR="008A27E2" w:rsidRDefault="008A27E2">
            <w:pPr>
              <w:spacing w:line="480" w:lineRule="auto"/>
              <w:rPr>
                <w:rFonts w:ascii="Times New Roman" w:hAnsi="Times New Roman"/>
                <w:sz w:val="24"/>
                <w:szCs w:val="24"/>
              </w:rPr>
            </w:pPr>
          </w:p>
        </w:tc>
      </w:tr>
      <w:tr w:rsidR="008A27E2" w14:paraId="0DCED6CC" w14:textId="77777777">
        <w:trPr>
          <w:trHeight w:val="537"/>
        </w:trPr>
        <w:tc>
          <w:tcPr>
            <w:tcW w:w="1163" w:type="dxa"/>
          </w:tcPr>
          <w:p w14:paraId="25A5DE8D"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51-55</w:t>
            </w:r>
          </w:p>
        </w:tc>
        <w:tc>
          <w:tcPr>
            <w:tcW w:w="1310" w:type="dxa"/>
          </w:tcPr>
          <w:p w14:paraId="6757973E" w14:textId="77777777" w:rsidR="008A27E2" w:rsidRDefault="006B0038">
            <w:pPr>
              <w:spacing w:line="480" w:lineRule="auto"/>
              <w:rPr>
                <w:rFonts w:ascii="Times New Roman" w:hAnsi="Times New Roman"/>
                <w:sz w:val="24"/>
                <w:szCs w:val="24"/>
              </w:rPr>
            </w:pPr>
            <w:r>
              <w:rPr>
                <w:rFonts w:ascii="Times New Roman" w:hAnsi="Times New Roman"/>
                <w:sz w:val="24"/>
                <w:szCs w:val="24"/>
              </w:rPr>
              <w:t>1</w:t>
            </w:r>
          </w:p>
        </w:tc>
        <w:tc>
          <w:tcPr>
            <w:tcW w:w="1470" w:type="dxa"/>
          </w:tcPr>
          <w:p w14:paraId="2652256E" w14:textId="77777777" w:rsidR="008A27E2" w:rsidRDefault="006B0038">
            <w:pPr>
              <w:spacing w:line="480" w:lineRule="auto"/>
              <w:rPr>
                <w:rFonts w:ascii="Times New Roman" w:hAnsi="Times New Roman"/>
                <w:sz w:val="24"/>
                <w:szCs w:val="24"/>
              </w:rPr>
            </w:pPr>
            <w:r>
              <w:rPr>
                <w:rFonts w:ascii="Times New Roman" w:hAnsi="Times New Roman"/>
                <w:sz w:val="24"/>
                <w:szCs w:val="24"/>
              </w:rPr>
              <w:t>0 (0.0)</w:t>
            </w:r>
          </w:p>
        </w:tc>
        <w:tc>
          <w:tcPr>
            <w:tcW w:w="1043" w:type="dxa"/>
          </w:tcPr>
          <w:p w14:paraId="3872A2C3" w14:textId="77777777" w:rsidR="008A27E2" w:rsidRDefault="008A27E2">
            <w:pPr>
              <w:spacing w:line="480" w:lineRule="auto"/>
              <w:rPr>
                <w:rFonts w:ascii="Times New Roman" w:hAnsi="Times New Roman"/>
                <w:sz w:val="24"/>
                <w:szCs w:val="24"/>
              </w:rPr>
            </w:pPr>
          </w:p>
        </w:tc>
        <w:tc>
          <w:tcPr>
            <w:tcW w:w="1470" w:type="dxa"/>
          </w:tcPr>
          <w:p w14:paraId="20DAD65A" w14:textId="77777777" w:rsidR="008A27E2" w:rsidRDefault="006B0038">
            <w:pPr>
              <w:spacing w:line="480" w:lineRule="auto"/>
              <w:rPr>
                <w:rFonts w:ascii="Times New Roman" w:hAnsi="Times New Roman"/>
                <w:sz w:val="24"/>
                <w:szCs w:val="24"/>
              </w:rPr>
            </w:pPr>
            <w:r>
              <w:rPr>
                <w:rFonts w:ascii="Times New Roman" w:hAnsi="Times New Roman"/>
                <w:sz w:val="24"/>
                <w:szCs w:val="24"/>
              </w:rPr>
              <w:t>0 (0.0)</w:t>
            </w:r>
          </w:p>
        </w:tc>
        <w:tc>
          <w:tcPr>
            <w:tcW w:w="1043" w:type="dxa"/>
          </w:tcPr>
          <w:p w14:paraId="065E076D" w14:textId="77777777" w:rsidR="008A27E2" w:rsidRDefault="008A27E2">
            <w:pPr>
              <w:spacing w:line="480" w:lineRule="auto"/>
              <w:rPr>
                <w:rFonts w:ascii="Times New Roman" w:hAnsi="Times New Roman"/>
                <w:sz w:val="24"/>
                <w:szCs w:val="24"/>
              </w:rPr>
            </w:pPr>
          </w:p>
        </w:tc>
        <w:tc>
          <w:tcPr>
            <w:tcW w:w="1470" w:type="dxa"/>
          </w:tcPr>
          <w:p w14:paraId="604F9412" w14:textId="77777777" w:rsidR="008A27E2" w:rsidRDefault="006B0038">
            <w:pPr>
              <w:spacing w:line="480" w:lineRule="auto"/>
              <w:rPr>
                <w:rFonts w:ascii="Times New Roman" w:hAnsi="Times New Roman"/>
                <w:sz w:val="24"/>
                <w:szCs w:val="24"/>
              </w:rPr>
            </w:pPr>
            <w:r>
              <w:rPr>
                <w:rFonts w:ascii="Times New Roman" w:hAnsi="Times New Roman"/>
                <w:sz w:val="24"/>
                <w:szCs w:val="24"/>
              </w:rPr>
              <w:t>0 (0.0)</w:t>
            </w:r>
          </w:p>
        </w:tc>
        <w:tc>
          <w:tcPr>
            <w:tcW w:w="1470" w:type="dxa"/>
          </w:tcPr>
          <w:p w14:paraId="67F06E92" w14:textId="77777777" w:rsidR="008A27E2" w:rsidRDefault="008A27E2">
            <w:pPr>
              <w:spacing w:line="480" w:lineRule="auto"/>
              <w:rPr>
                <w:rFonts w:ascii="Times New Roman" w:hAnsi="Times New Roman"/>
                <w:sz w:val="24"/>
                <w:szCs w:val="24"/>
              </w:rPr>
            </w:pPr>
          </w:p>
        </w:tc>
      </w:tr>
      <w:tr w:rsidR="008A27E2" w14:paraId="67912A56" w14:textId="77777777">
        <w:trPr>
          <w:trHeight w:val="497"/>
        </w:trPr>
        <w:tc>
          <w:tcPr>
            <w:tcW w:w="1163" w:type="dxa"/>
          </w:tcPr>
          <w:p w14:paraId="5312F7F8"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Gender</w:t>
            </w:r>
          </w:p>
        </w:tc>
        <w:tc>
          <w:tcPr>
            <w:tcW w:w="1310" w:type="dxa"/>
          </w:tcPr>
          <w:p w14:paraId="19BFD736" w14:textId="77777777" w:rsidR="008A27E2" w:rsidRDefault="008A27E2">
            <w:pPr>
              <w:spacing w:line="480" w:lineRule="auto"/>
              <w:rPr>
                <w:rFonts w:ascii="Times New Roman" w:hAnsi="Times New Roman"/>
                <w:b/>
                <w:bCs/>
                <w:sz w:val="24"/>
                <w:szCs w:val="24"/>
              </w:rPr>
            </w:pPr>
          </w:p>
        </w:tc>
        <w:tc>
          <w:tcPr>
            <w:tcW w:w="1470" w:type="dxa"/>
          </w:tcPr>
          <w:p w14:paraId="6FAFFE98" w14:textId="77777777" w:rsidR="008A27E2" w:rsidRDefault="008A27E2">
            <w:pPr>
              <w:spacing w:line="480" w:lineRule="auto"/>
              <w:rPr>
                <w:rFonts w:ascii="Times New Roman" w:hAnsi="Times New Roman"/>
                <w:b/>
                <w:bCs/>
                <w:sz w:val="24"/>
                <w:szCs w:val="24"/>
              </w:rPr>
            </w:pPr>
          </w:p>
        </w:tc>
        <w:tc>
          <w:tcPr>
            <w:tcW w:w="1043" w:type="dxa"/>
          </w:tcPr>
          <w:p w14:paraId="4DC6EE1A" w14:textId="77777777" w:rsidR="008A27E2" w:rsidRDefault="008A27E2">
            <w:pPr>
              <w:spacing w:line="480" w:lineRule="auto"/>
              <w:rPr>
                <w:rFonts w:ascii="Times New Roman" w:hAnsi="Times New Roman"/>
                <w:b/>
                <w:bCs/>
                <w:sz w:val="24"/>
                <w:szCs w:val="24"/>
              </w:rPr>
            </w:pPr>
          </w:p>
        </w:tc>
        <w:tc>
          <w:tcPr>
            <w:tcW w:w="1470" w:type="dxa"/>
          </w:tcPr>
          <w:p w14:paraId="63A9300A" w14:textId="77777777" w:rsidR="008A27E2" w:rsidRDefault="008A27E2">
            <w:pPr>
              <w:spacing w:line="480" w:lineRule="auto"/>
              <w:rPr>
                <w:rFonts w:ascii="Times New Roman" w:hAnsi="Times New Roman"/>
                <w:b/>
                <w:bCs/>
                <w:sz w:val="24"/>
                <w:szCs w:val="24"/>
              </w:rPr>
            </w:pPr>
          </w:p>
        </w:tc>
        <w:tc>
          <w:tcPr>
            <w:tcW w:w="1043" w:type="dxa"/>
          </w:tcPr>
          <w:p w14:paraId="6CA4CC3E" w14:textId="77777777" w:rsidR="008A27E2" w:rsidRDefault="008A27E2">
            <w:pPr>
              <w:spacing w:line="480" w:lineRule="auto"/>
              <w:rPr>
                <w:rFonts w:ascii="Times New Roman" w:hAnsi="Times New Roman"/>
                <w:b/>
                <w:bCs/>
                <w:sz w:val="24"/>
                <w:szCs w:val="24"/>
              </w:rPr>
            </w:pPr>
          </w:p>
        </w:tc>
        <w:tc>
          <w:tcPr>
            <w:tcW w:w="1470" w:type="dxa"/>
          </w:tcPr>
          <w:p w14:paraId="093C53D9" w14:textId="77777777" w:rsidR="008A27E2" w:rsidRDefault="008A27E2">
            <w:pPr>
              <w:spacing w:line="480" w:lineRule="auto"/>
              <w:rPr>
                <w:rFonts w:ascii="Times New Roman" w:hAnsi="Times New Roman"/>
                <w:b/>
                <w:bCs/>
                <w:sz w:val="24"/>
                <w:szCs w:val="24"/>
              </w:rPr>
            </w:pPr>
          </w:p>
        </w:tc>
        <w:tc>
          <w:tcPr>
            <w:tcW w:w="1470" w:type="dxa"/>
          </w:tcPr>
          <w:p w14:paraId="6A695FE8" w14:textId="77777777" w:rsidR="008A27E2" w:rsidRDefault="008A27E2">
            <w:pPr>
              <w:spacing w:line="480" w:lineRule="auto"/>
              <w:rPr>
                <w:rFonts w:ascii="Times New Roman" w:hAnsi="Times New Roman"/>
                <w:b/>
                <w:bCs/>
                <w:sz w:val="24"/>
                <w:szCs w:val="24"/>
              </w:rPr>
            </w:pPr>
          </w:p>
        </w:tc>
      </w:tr>
      <w:tr w:rsidR="008A27E2" w14:paraId="50D6274A" w14:textId="77777777">
        <w:trPr>
          <w:trHeight w:val="484"/>
        </w:trPr>
        <w:tc>
          <w:tcPr>
            <w:tcW w:w="1163" w:type="dxa"/>
          </w:tcPr>
          <w:p w14:paraId="47120407"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Male</w:t>
            </w:r>
          </w:p>
        </w:tc>
        <w:tc>
          <w:tcPr>
            <w:tcW w:w="1310" w:type="dxa"/>
          </w:tcPr>
          <w:p w14:paraId="193151C5"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232</w:t>
            </w:r>
          </w:p>
        </w:tc>
        <w:tc>
          <w:tcPr>
            <w:tcW w:w="1470" w:type="dxa"/>
          </w:tcPr>
          <w:p w14:paraId="141AA226"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22 (9.4)</w:t>
            </w:r>
          </w:p>
        </w:tc>
        <w:tc>
          <w:tcPr>
            <w:tcW w:w="1043" w:type="dxa"/>
          </w:tcPr>
          <w:p w14:paraId="5CCB4C64"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0.988</w:t>
            </w:r>
          </w:p>
        </w:tc>
        <w:tc>
          <w:tcPr>
            <w:tcW w:w="1470" w:type="dxa"/>
          </w:tcPr>
          <w:p w14:paraId="7E3E8831"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10 (4.3)</w:t>
            </w:r>
          </w:p>
        </w:tc>
        <w:tc>
          <w:tcPr>
            <w:tcW w:w="1043" w:type="dxa"/>
          </w:tcPr>
          <w:p w14:paraId="3FFBC745"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0.819</w:t>
            </w:r>
          </w:p>
        </w:tc>
        <w:tc>
          <w:tcPr>
            <w:tcW w:w="1470" w:type="dxa"/>
          </w:tcPr>
          <w:p w14:paraId="39188B7E"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12 (5.1)</w:t>
            </w:r>
          </w:p>
        </w:tc>
        <w:tc>
          <w:tcPr>
            <w:tcW w:w="1470" w:type="dxa"/>
          </w:tcPr>
          <w:p w14:paraId="7DAC2A0D"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0.986</w:t>
            </w:r>
          </w:p>
        </w:tc>
      </w:tr>
      <w:tr w:rsidR="008A27E2" w14:paraId="2D2B6BAC" w14:textId="77777777">
        <w:trPr>
          <w:trHeight w:val="484"/>
        </w:trPr>
        <w:tc>
          <w:tcPr>
            <w:tcW w:w="1163" w:type="dxa"/>
          </w:tcPr>
          <w:p w14:paraId="42AE1162"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Female</w:t>
            </w:r>
          </w:p>
        </w:tc>
        <w:tc>
          <w:tcPr>
            <w:tcW w:w="1310" w:type="dxa"/>
          </w:tcPr>
          <w:p w14:paraId="2ADDABBA"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08</w:t>
            </w:r>
          </w:p>
        </w:tc>
        <w:tc>
          <w:tcPr>
            <w:tcW w:w="1470" w:type="dxa"/>
          </w:tcPr>
          <w:p w14:paraId="1511D138"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1 (12.5)</w:t>
            </w:r>
          </w:p>
        </w:tc>
        <w:tc>
          <w:tcPr>
            <w:tcW w:w="1043" w:type="dxa"/>
          </w:tcPr>
          <w:p w14:paraId="6794123B" w14:textId="77777777" w:rsidR="008A27E2" w:rsidRDefault="008A27E2">
            <w:pPr>
              <w:spacing w:line="480" w:lineRule="auto"/>
              <w:rPr>
                <w:rFonts w:ascii="Times New Roman" w:hAnsi="Times New Roman"/>
                <w:b/>
                <w:bCs/>
                <w:sz w:val="24"/>
                <w:szCs w:val="24"/>
              </w:rPr>
            </w:pPr>
          </w:p>
        </w:tc>
        <w:tc>
          <w:tcPr>
            <w:tcW w:w="1470" w:type="dxa"/>
          </w:tcPr>
          <w:p w14:paraId="368C46D0"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1 (12.5)</w:t>
            </w:r>
          </w:p>
        </w:tc>
        <w:tc>
          <w:tcPr>
            <w:tcW w:w="1043" w:type="dxa"/>
          </w:tcPr>
          <w:p w14:paraId="3E856A30" w14:textId="77777777" w:rsidR="008A27E2" w:rsidRDefault="008A27E2">
            <w:pPr>
              <w:spacing w:line="480" w:lineRule="auto"/>
              <w:rPr>
                <w:rFonts w:ascii="Times New Roman" w:hAnsi="Times New Roman"/>
                <w:b/>
                <w:bCs/>
                <w:sz w:val="24"/>
                <w:szCs w:val="24"/>
              </w:rPr>
            </w:pPr>
          </w:p>
        </w:tc>
        <w:tc>
          <w:tcPr>
            <w:tcW w:w="1470" w:type="dxa"/>
          </w:tcPr>
          <w:p w14:paraId="1F477800"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0 (0)</w:t>
            </w:r>
          </w:p>
        </w:tc>
        <w:tc>
          <w:tcPr>
            <w:tcW w:w="1470" w:type="dxa"/>
          </w:tcPr>
          <w:p w14:paraId="13D35332" w14:textId="77777777" w:rsidR="008A27E2" w:rsidRDefault="008A27E2">
            <w:pPr>
              <w:spacing w:line="480" w:lineRule="auto"/>
              <w:rPr>
                <w:rFonts w:ascii="Times New Roman" w:hAnsi="Times New Roman"/>
                <w:b/>
                <w:bCs/>
                <w:sz w:val="24"/>
                <w:szCs w:val="24"/>
              </w:rPr>
            </w:pPr>
          </w:p>
        </w:tc>
      </w:tr>
      <w:tr w:rsidR="008A27E2" w14:paraId="561F9DA9" w14:textId="77777777">
        <w:trPr>
          <w:trHeight w:val="484"/>
        </w:trPr>
        <w:tc>
          <w:tcPr>
            <w:tcW w:w="1163" w:type="dxa"/>
          </w:tcPr>
          <w:p w14:paraId="75CE7C66"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Marital Status</w:t>
            </w:r>
          </w:p>
        </w:tc>
        <w:tc>
          <w:tcPr>
            <w:tcW w:w="1310" w:type="dxa"/>
          </w:tcPr>
          <w:p w14:paraId="0D8749DF" w14:textId="77777777" w:rsidR="008A27E2" w:rsidRDefault="008A27E2">
            <w:pPr>
              <w:spacing w:line="480" w:lineRule="auto"/>
              <w:rPr>
                <w:rFonts w:ascii="Times New Roman" w:hAnsi="Times New Roman"/>
                <w:b/>
                <w:bCs/>
                <w:sz w:val="24"/>
                <w:szCs w:val="24"/>
              </w:rPr>
            </w:pPr>
          </w:p>
        </w:tc>
        <w:tc>
          <w:tcPr>
            <w:tcW w:w="1470" w:type="dxa"/>
          </w:tcPr>
          <w:p w14:paraId="1A29AA62" w14:textId="77777777" w:rsidR="008A27E2" w:rsidRDefault="008A27E2">
            <w:pPr>
              <w:spacing w:line="480" w:lineRule="auto"/>
              <w:rPr>
                <w:rFonts w:ascii="Times New Roman" w:hAnsi="Times New Roman"/>
                <w:b/>
                <w:bCs/>
                <w:sz w:val="24"/>
                <w:szCs w:val="24"/>
              </w:rPr>
            </w:pPr>
          </w:p>
        </w:tc>
        <w:tc>
          <w:tcPr>
            <w:tcW w:w="1043" w:type="dxa"/>
          </w:tcPr>
          <w:p w14:paraId="4B7A382F" w14:textId="77777777" w:rsidR="008A27E2" w:rsidRDefault="008A27E2">
            <w:pPr>
              <w:spacing w:line="480" w:lineRule="auto"/>
              <w:rPr>
                <w:rFonts w:ascii="Times New Roman" w:hAnsi="Times New Roman"/>
                <w:b/>
                <w:bCs/>
                <w:sz w:val="24"/>
                <w:szCs w:val="24"/>
              </w:rPr>
            </w:pPr>
          </w:p>
        </w:tc>
        <w:tc>
          <w:tcPr>
            <w:tcW w:w="1470" w:type="dxa"/>
          </w:tcPr>
          <w:p w14:paraId="2ACA40F6" w14:textId="77777777" w:rsidR="008A27E2" w:rsidRDefault="008A27E2">
            <w:pPr>
              <w:spacing w:line="480" w:lineRule="auto"/>
              <w:rPr>
                <w:rFonts w:ascii="Times New Roman" w:hAnsi="Times New Roman"/>
                <w:b/>
                <w:bCs/>
                <w:sz w:val="24"/>
                <w:szCs w:val="24"/>
              </w:rPr>
            </w:pPr>
          </w:p>
        </w:tc>
        <w:tc>
          <w:tcPr>
            <w:tcW w:w="1043" w:type="dxa"/>
          </w:tcPr>
          <w:p w14:paraId="2C2AE7B3" w14:textId="77777777" w:rsidR="008A27E2" w:rsidRDefault="008A27E2">
            <w:pPr>
              <w:spacing w:line="480" w:lineRule="auto"/>
              <w:rPr>
                <w:rFonts w:ascii="Times New Roman" w:hAnsi="Times New Roman"/>
                <w:b/>
                <w:bCs/>
                <w:sz w:val="24"/>
                <w:szCs w:val="24"/>
              </w:rPr>
            </w:pPr>
          </w:p>
        </w:tc>
        <w:tc>
          <w:tcPr>
            <w:tcW w:w="1470" w:type="dxa"/>
          </w:tcPr>
          <w:p w14:paraId="050778B3" w14:textId="77777777" w:rsidR="008A27E2" w:rsidRDefault="008A27E2">
            <w:pPr>
              <w:spacing w:line="480" w:lineRule="auto"/>
              <w:rPr>
                <w:rFonts w:ascii="Times New Roman" w:hAnsi="Times New Roman"/>
                <w:b/>
                <w:bCs/>
                <w:sz w:val="24"/>
                <w:szCs w:val="24"/>
              </w:rPr>
            </w:pPr>
          </w:p>
        </w:tc>
        <w:tc>
          <w:tcPr>
            <w:tcW w:w="1470" w:type="dxa"/>
          </w:tcPr>
          <w:p w14:paraId="0AAE2720" w14:textId="77777777" w:rsidR="008A27E2" w:rsidRDefault="008A27E2">
            <w:pPr>
              <w:spacing w:line="480" w:lineRule="auto"/>
              <w:rPr>
                <w:rFonts w:ascii="Times New Roman" w:hAnsi="Times New Roman"/>
                <w:b/>
                <w:bCs/>
                <w:sz w:val="24"/>
                <w:szCs w:val="24"/>
              </w:rPr>
            </w:pPr>
          </w:p>
        </w:tc>
      </w:tr>
      <w:tr w:rsidR="008A27E2" w14:paraId="74AB3C73" w14:textId="77777777">
        <w:trPr>
          <w:trHeight w:val="484"/>
        </w:trPr>
        <w:tc>
          <w:tcPr>
            <w:tcW w:w="1163" w:type="dxa"/>
          </w:tcPr>
          <w:p w14:paraId="15F04E97"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Married</w:t>
            </w:r>
          </w:p>
        </w:tc>
        <w:tc>
          <w:tcPr>
            <w:tcW w:w="1310" w:type="dxa"/>
          </w:tcPr>
          <w:p w14:paraId="3F03A370"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133</w:t>
            </w:r>
          </w:p>
        </w:tc>
        <w:tc>
          <w:tcPr>
            <w:tcW w:w="1470" w:type="dxa"/>
          </w:tcPr>
          <w:p w14:paraId="09A1DC74"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13 (9.7)</w:t>
            </w:r>
          </w:p>
        </w:tc>
        <w:tc>
          <w:tcPr>
            <w:tcW w:w="1043" w:type="dxa"/>
          </w:tcPr>
          <w:p w14:paraId="2192FCAC"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0.322</w:t>
            </w:r>
          </w:p>
        </w:tc>
        <w:tc>
          <w:tcPr>
            <w:tcW w:w="1470" w:type="dxa"/>
          </w:tcPr>
          <w:p w14:paraId="1EF4249C"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4 (3.0)</w:t>
            </w:r>
          </w:p>
        </w:tc>
        <w:tc>
          <w:tcPr>
            <w:tcW w:w="1043" w:type="dxa"/>
          </w:tcPr>
          <w:p w14:paraId="172D2B26"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0.322</w:t>
            </w:r>
          </w:p>
        </w:tc>
        <w:tc>
          <w:tcPr>
            <w:tcW w:w="1470" w:type="dxa"/>
          </w:tcPr>
          <w:p w14:paraId="3ADD064E"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4 (3.0)</w:t>
            </w:r>
          </w:p>
        </w:tc>
        <w:tc>
          <w:tcPr>
            <w:tcW w:w="1470" w:type="dxa"/>
          </w:tcPr>
          <w:p w14:paraId="4C47AC56"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0.200</w:t>
            </w:r>
          </w:p>
        </w:tc>
      </w:tr>
      <w:tr w:rsidR="008A27E2" w14:paraId="0C4F87F1" w14:textId="77777777">
        <w:trPr>
          <w:trHeight w:val="497"/>
        </w:trPr>
        <w:tc>
          <w:tcPr>
            <w:tcW w:w="1163" w:type="dxa"/>
            <w:tcBorders>
              <w:bottom w:val="single" w:sz="4" w:space="0" w:color="auto"/>
            </w:tcBorders>
          </w:tcPr>
          <w:p w14:paraId="683B067B"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Single</w:t>
            </w:r>
          </w:p>
        </w:tc>
        <w:tc>
          <w:tcPr>
            <w:tcW w:w="1310" w:type="dxa"/>
            <w:tcBorders>
              <w:bottom w:val="single" w:sz="4" w:space="0" w:color="auto"/>
            </w:tcBorders>
          </w:tcPr>
          <w:p w14:paraId="3B747C84"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107</w:t>
            </w:r>
          </w:p>
        </w:tc>
        <w:tc>
          <w:tcPr>
            <w:tcW w:w="1470" w:type="dxa"/>
            <w:tcBorders>
              <w:bottom w:val="single" w:sz="4" w:space="0" w:color="auto"/>
            </w:tcBorders>
          </w:tcPr>
          <w:p w14:paraId="7ED9BA00"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10 (9.3)</w:t>
            </w:r>
          </w:p>
        </w:tc>
        <w:tc>
          <w:tcPr>
            <w:tcW w:w="1043" w:type="dxa"/>
            <w:tcBorders>
              <w:bottom w:val="single" w:sz="4" w:space="0" w:color="auto"/>
            </w:tcBorders>
          </w:tcPr>
          <w:p w14:paraId="01C1A158" w14:textId="77777777" w:rsidR="008A27E2" w:rsidRDefault="008A27E2">
            <w:pPr>
              <w:spacing w:line="480" w:lineRule="auto"/>
              <w:rPr>
                <w:rFonts w:ascii="Times New Roman" w:hAnsi="Times New Roman"/>
                <w:b/>
                <w:bCs/>
                <w:sz w:val="24"/>
                <w:szCs w:val="24"/>
              </w:rPr>
            </w:pPr>
          </w:p>
        </w:tc>
        <w:tc>
          <w:tcPr>
            <w:tcW w:w="1470" w:type="dxa"/>
            <w:tcBorders>
              <w:bottom w:val="single" w:sz="4" w:space="0" w:color="auto"/>
            </w:tcBorders>
          </w:tcPr>
          <w:p w14:paraId="7C574C83"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7 (6.5)</w:t>
            </w:r>
          </w:p>
        </w:tc>
        <w:tc>
          <w:tcPr>
            <w:tcW w:w="1043" w:type="dxa"/>
            <w:tcBorders>
              <w:bottom w:val="single" w:sz="4" w:space="0" w:color="auto"/>
            </w:tcBorders>
          </w:tcPr>
          <w:p w14:paraId="3C1F297D" w14:textId="77777777" w:rsidR="008A27E2" w:rsidRDefault="008A27E2">
            <w:pPr>
              <w:spacing w:line="480" w:lineRule="auto"/>
              <w:rPr>
                <w:rFonts w:ascii="Times New Roman" w:hAnsi="Times New Roman"/>
                <w:b/>
                <w:bCs/>
                <w:sz w:val="24"/>
                <w:szCs w:val="24"/>
              </w:rPr>
            </w:pPr>
          </w:p>
        </w:tc>
        <w:tc>
          <w:tcPr>
            <w:tcW w:w="1470" w:type="dxa"/>
            <w:tcBorders>
              <w:bottom w:val="single" w:sz="4" w:space="0" w:color="auto"/>
            </w:tcBorders>
          </w:tcPr>
          <w:p w14:paraId="1287808C"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8 (7.5)</w:t>
            </w:r>
          </w:p>
        </w:tc>
        <w:tc>
          <w:tcPr>
            <w:tcW w:w="1470" w:type="dxa"/>
            <w:tcBorders>
              <w:bottom w:val="single" w:sz="4" w:space="0" w:color="auto"/>
            </w:tcBorders>
          </w:tcPr>
          <w:p w14:paraId="735B300E" w14:textId="77777777" w:rsidR="008A27E2" w:rsidRDefault="008A27E2">
            <w:pPr>
              <w:spacing w:line="480" w:lineRule="auto"/>
              <w:rPr>
                <w:rFonts w:ascii="Times New Roman" w:hAnsi="Times New Roman"/>
                <w:b/>
                <w:bCs/>
                <w:sz w:val="24"/>
                <w:szCs w:val="24"/>
              </w:rPr>
            </w:pPr>
          </w:p>
        </w:tc>
      </w:tr>
    </w:tbl>
    <w:p w14:paraId="621EEFF5" w14:textId="77777777" w:rsidR="008A27E2" w:rsidRDefault="008A27E2">
      <w:pPr>
        <w:spacing w:line="480" w:lineRule="auto"/>
        <w:jc w:val="both"/>
        <w:rPr>
          <w:rFonts w:ascii="Times New Roman" w:hAnsi="Times New Roman"/>
          <w:bCs/>
          <w:sz w:val="24"/>
          <w:szCs w:val="24"/>
        </w:rPr>
      </w:pPr>
    </w:p>
    <w:p w14:paraId="57E867D0" w14:textId="77777777" w:rsidR="008A27E2" w:rsidRDefault="008A27E2">
      <w:pPr>
        <w:spacing w:line="480" w:lineRule="auto"/>
        <w:jc w:val="both"/>
        <w:rPr>
          <w:rFonts w:ascii="Times New Roman" w:hAnsi="Times New Roman"/>
          <w:bCs/>
          <w:sz w:val="24"/>
          <w:szCs w:val="24"/>
        </w:rPr>
      </w:pPr>
    </w:p>
    <w:p w14:paraId="09E3804A" w14:textId="77777777" w:rsidR="008A27E2" w:rsidRDefault="008A27E2">
      <w:pPr>
        <w:spacing w:line="480" w:lineRule="auto"/>
        <w:jc w:val="both"/>
        <w:rPr>
          <w:rFonts w:ascii="Times New Roman" w:hAnsi="Times New Roman"/>
          <w:b/>
          <w:bCs/>
          <w:sz w:val="24"/>
          <w:szCs w:val="24"/>
        </w:rPr>
      </w:pPr>
    </w:p>
    <w:p w14:paraId="77BD55AB" w14:textId="77777777" w:rsidR="008A27E2" w:rsidRDefault="008A27E2">
      <w:pPr>
        <w:spacing w:line="480" w:lineRule="auto"/>
        <w:jc w:val="both"/>
        <w:rPr>
          <w:rFonts w:ascii="Times New Roman" w:hAnsi="Times New Roman"/>
          <w:b/>
          <w:bCs/>
          <w:sz w:val="24"/>
          <w:szCs w:val="24"/>
        </w:rPr>
      </w:pPr>
    </w:p>
    <w:p w14:paraId="358C8991" w14:textId="77777777" w:rsidR="008A27E2" w:rsidRDefault="008A27E2">
      <w:pPr>
        <w:spacing w:line="480" w:lineRule="auto"/>
        <w:jc w:val="both"/>
        <w:rPr>
          <w:rFonts w:ascii="Times New Roman" w:hAnsi="Times New Roman"/>
          <w:b/>
          <w:bCs/>
          <w:sz w:val="24"/>
          <w:szCs w:val="24"/>
        </w:rPr>
      </w:pPr>
    </w:p>
    <w:p w14:paraId="6B8650AC" w14:textId="77777777" w:rsidR="008A27E2" w:rsidRDefault="008A27E2">
      <w:pPr>
        <w:spacing w:line="480" w:lineRule="auto"/>
        <w:jc w:val="both"/>
        <w:rPr>
          <w:rFonts w:ascii="Times New Roman" w:hAnsi="Times New Roman"/>
          <w:b/>
          <w:bCs/>
          <w:sz w:val="24"/>
          <w:szCs w:val="24"/>
        </w:rPr>
      </w:pPr>
    </w:p>
    <w:p w14:paraId="1AD1BDE3" w14:textId="1411DF44" w:rsidR="008A27E2" w:rsidRDefault="006B0038">
      <w:pPr>
        <w:jc w:val="both"/>
        <w:rPr>
          <w:rFonts w:ascii="Times New Roman" w:hAnsi="Times New Roman"/>
          <w:b/>
          <w:bCs/>
          <w:sz w:val="24"/>
          <w:szCs w:val="24"/>
        </w:rPr>
      </w:pPr>
      <w:r>
        <w:rPr>
          <w:rFonts w:ascii="Times New Roman" w:hAnsi="Times New Roman"/>
          <w:b/>
          <w:bCs/>
          <w:sz w:val="24"/>
          <w:szCs w:val="24"/>
        </w:rPr>
        <w:lastRenderedPageBreak/>
        <w:t>Discussion</w:t>
      </w:r>
    </w:p>
    <w:p w14:paraId="7B6E7A6A" w14:textId="77777777" w:rsidR="008A27E2" w:rsidRDefault="006B0038">
      <w:pPr>
        <w:jc w:val="both"/>
        <w:rPr>
          <w:rFonts w:ascii="Times New Roman" w:hAnsi="Times New Roman"/>
          <w:sz w:val="24"/>
          <w:szCs w:val="24"/>
        </w:rPr>
      </w:pPr>
      <w:r>
        <w:rPr>
          <w:rFonts w:ascii="Times New Roman" w:hAnsi="Times New Roman"/>
          <w:sz w:val="24"/>
          <w:szCs w:val="24"/>
        </w:rPr>
        <w:t xml:space="preserve">The current study assessed the prevalence of viral transfusion-transmissible infections (TTIs) among blood donors at Federal Medical Centre, Keffi, Nasarawa State, using Rapid Diagnostic Test (RDT) and Enzyme-Linked Immunosorbent Assay (ELISA). HBV was found to be 9.6%, HCV 5.0%, and HIV 4.6%, indicating a significant burden of TTIs among blood donors in the study area. Zakari </w:t>
      </w:r>
      <w:r>
        <w:rPr>
          <w:rFonts w:ascii="Times New Roman" w:hAnsi="Times New Roman"/>
          <w:i/>
          <w:iCs/>
          <w:sz w:val="24"/>
          <w:szCs w:val="24"/>
        </w:rPr>
        <w:t>et al</w:t>
      </w:r>
      <w:r>
        <w:rPr>
          <w:rFonts w:ascii="Times New Roman" w:hAnsi="Times New Roman"/>
          <w:sz w:val="24"/>
          <w:szCs w:val="24"/>
        </w:rPr>
        <w:t xml:space="preserve">. (2022), Durowade </w:t>
      </w:r>
      <w:r>
        <w:rPr>
          <w:rFonts w:ascii="Times New Roman" w:hAnsi="Times New Roman"/>
          <w:i/>
          <w:iCs/>
          <w:sz w:val="24"/>
          <w:szCs w:val="24"/>
        </w:rPr>
        <w:t>et al</w:t>
      </w:r>
      <w:r>
        <w:rPr>
          <w:rFonts w:ascii="Times New Roman" w:hAnsi="Times New Roman"/>
          <w:sz w:val="24"/>
          <w:szCs w:val="24"/>
        </w:rPr>
        <w:t xml:space="preserve">. (2023), Singogo </w:t>
      </w:r>
      <w:r>
        <w:rPr>
          <w:rFonts w:ascii="Times New Roman" w:hAnsi="Times New Roman"/>
          <w:i/>
          <w:iCs/>
          <w:sz w:val="24"/>
          <w:szCs w:val="24"/>
        </w:rPr>
        <w:t>et al</w:t>
      </w:r>
      <w:r>
        <w:rPr>
          <w:rFonts w:ascii="Times New Roman" w:hAnsi="Times New Roman"/>
          <w:sz w:val="24"/>
          <w:szCs w:val="24"/>
        </w:rPr>
        <w:t xml:space="preserve">. (2023), Hadfield </w:t>
      </w:r>
      <w:r>
        <w:rPr>
          <w:rFonts w:ascii="Times New Roman" w:hAnsi="Times New Roman"/>
          <w:i/>
          <w:iCs/>
          <w:sz w:val="24"/>
          <w:szCs w:val="24"/>
        </w:rPr>
        <w:t>et al</w:t>
      </w:r>
      <w:r>
        <w:rPr>
          <w:rFonts w:ascii="Times New Roman" w:hAnsi="Times New Roman"/>
          <w:sz w:val="24"/>
          <w:szCs w:val="24"/>
        </w:rPr>
        <w:t xml:space="preserve">. (2024), Cwinyaai </w:t>
      </w:r>
      <w:r>
        <w:rPr>
          <w:rFonts w:ascii="Times New Roman" w:hAnsi="Times New Roman"/>
          <w:i/>
          <w:iCs/>
          <w:sz w:val="24"/>
          <w:szCs w:val="24"/>
        </w:rPr>
        <w:t>et al</w:t>
      </w:r>
      <w:r>
        <w:rPr>
          <w:rFonts w:ascii="Times New Roman" w:hAnsi="Times New Roman"/>
          <w:sz w:val="24"/>
          <w:szCs w:val="24"/>
        </w:rPr>
        <w:t xml:space="preserve">. (2024), and Mengjiao </w:t>
      </w:r>
      <w:r>
        <w:rPr>
          <w:rFonts w:ascii="Times New Roman" w:hAnsi="Times New Roman"/>
          <w:i/>
          <w:iCs/>
          <w:sz w:val="24"/>
          <w:szCs w:val="24"/>
        </w:rPr>
        <w:t>et al</w:t>
      </w:r>
      <w:r>
        <w:rPr>
          <w:rFonts w:ascii="Times New Roman" w:hAnsi="Times New Roman"/>
          <w:sz w:val="24"/>
          <w:szCs w:val="24"/>
        </w:rPr>
        <w:t>. (2024) reported a similar trend. These studies consistently demonstrate that HBV remains more prevalent than HCV and HIV across different populations. The higher HBV prevalence may be attributed to its high infectivity, varied transmission routes, including perinatal transmission, unsafe injections, and unprotected sexual contact (</w:t>
      </w:r>
      <w:r>
        <w:rPr>
          <w:rFonts w:ascii="Times New Roman" w:hAnsi="Times New Roman" w:cs="Times New Roman"/>
          <w:color w:val="212121"/>
          <w:sz w:val="24"/>
          <w:szCs w:val="24"/>
          <w:shd w:val="clear" w:color="auto" w:fill="FFFFFF"/>
        </w:rPr>
        <w:t xml:space="preserve">Doosti-Irani </w:t>
      </w:r>
      <w:r>
        <w:rPr>
          <w:rFonts w:ascii="Times New Roman" w:hAnsi="Times New Roman" w:cs="Times New Roman"/>
          <w:i/>
          <w:iCs/>
          <w:color w:val="212121"/>
          <w:sz w:val="24"/>
          <w:szCs w:val="24"/>
          <w:shd w:val="clear" w:color="auto" w:fill="FFFFFF"/>
        </w:rPr>
        <w:t>et al</w:t>
      </w:r>
      <w:r>
        <w:rPr>
          <w:rFonts w:ascii="Times New Roman" w:hAnsi="Times New Roman" w:cs="Times New Roman"/>
          <w:color w:val="212121"/>
          <w:sz w:val="24"/>
          <w:szCs w:val="24"/>
          <w:shd w:val="clear" w:color="auto" w:fill="FFFFFF"/>
        </w:rPr>
        <w:t xml:space="preserve">., 2017; Habibu </w:t>
      </w:r>
      <w:r>
        <w:rPr>
          <w:rFonts w:ascii="Times New Roman" w:hAnsi="Times New Roman" w:cs="Times New Roman"/>
          <w:i/>
          <w:iCs/>
          <w:color w:val="212121"/>
          <w:sz w:val="24"/>
          <w:szCs w:val="24"/>
          <w:shd w:val="clear" w:color="auto" w:fill="FFFFFF"/>
        </w:rPr>
        <w:t>et al</w:t>
      </w:r>
      <w:r>
        <w:rPr>
          <w:rFonts w:ascii="Times New Roman" w:hAnsi="Times New Roman" w:cs="Times New Roman"/>
          <w:color w:val="212121"/>
          <w:sz w:val="24"/>
          <w:szCs w:val="24"/>
          <w:shd w:val="clear" w:color="auto" w:fill="FFFFFF"/>
        </w:rPr>
        <w:t xml:space="preserve">., 2025; </w:t>
      </w:r>
      <w:r>
        <w:rPr>
          <w:rFonts w:ascii="Times New Roman" w:eastAsia="Times New Roman" w:hAnsi="Times New Roman" w:cs="Times New Roman"/>
          <w:sz w:val="24"/>
          <w:szCs w:val="24"/>
        </w:rPr>
        <w:t xml:space="preserve">Jaldo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2025</w:t>
      </w:r>
      <w:r>
        <w:rPr>
          <w:rFonts w:ascii="Times New Roman" w:hAnsi="Times New Roman"/>
          <w:sz w:val="24"/>
          <w:szCs w:val="24"/>
        </w:rPr>
        <w:t xml:space="preserve">). An overall prevalence of 19.2% was observed in this study, which was comparatively lower than 21.0%, reported by Zakari </w:t>
      </w:r>
      <w:r>
        <w:rPr>
          <w:rFonts w:ascii="Times New Roman" w:hAnsi="Times New Roman"/>
          <w:i/>
          <w:iCs/>
          <w:sz w:val="24"/>
          <w:szCs w:val="24"/>
        </w:rPr>
        <w:t>et al</w:t>
      </w:r>
      <w:r>
        <w:rPr>
          <w:rFonts w:ascii="Times New Roman" w:hAnsi="Times New Roman"/>
          <w:sz w:val="24"/>
          <w:szCs w:val="24"/>
        </w:rPr>
        <w:t xml:space="preserve">. (2022) in Nigeria and by Walana </w:t>
      </w:r>
      <w:r>
        <w:rPr>
          <w:rFonts w:ascii="Times New Roman" w:hAnsi="Times New Roman"/>
          <w:i/>
          <w:iCs/>
          <w:sz w:val="24"/>
          <w:szCs w:val="24"/>
        </w:rPr>
        <w:t>et al</w:t>
      </w:r>
      <w:r>
        <w:rPr>
          <w:rFonts w:ascii="Times New Roman" w:hAnsi="Times New Roman"/>
          <w:sz w:val="24"/>
          <w:szCs w:val="24"/>
        </w:rPr>
        <w:t xml:space="preserve">. (2023) in Ghana, respectively, while Hadfield </w:t>
      </w:r>
      <w:r>
        <w:rPr>
          <w:rFonts w:ascii="Times New Roman" w:hAnsi="Times New Roman"/>
          <w:i/>
          <w:iCs/>
          <w:sz w:val="24"/>
          <w:szCs w:val="24"/>
        </w:rPr>
        <w:t>et al</w:t>
      </w:r>
      <w:r>
        <w:rPr>
          <w:rFonts w:ascii="Times New Roman" w:hAnsi="Times New Roman"/>
          <w:sz w:val="24"/>
          <w:szCs w:val="24"/>
        </w:rPr>
        <w:t xml:space="preserve">. (2024) reported 31.4% also in Ghana. On the contrary, lower prevalence has been reported in Nigeria and globally. Obeagu </w:t>
      </w:r>
      <w:r>
        <w:rPr>
          <w:rFonts w:ascii="Times New Roman" w:hAnsi="Times New Roman"/>
          <w:i/>
          <w:iCs/>
          <w:sz w:val="24"/>
          <w:szCs w:val="24"/>
        </w:rPr>
        <w:t>et al</w:t>
      </w:r>
      <w:r>
        <w:rPr>
          <w:rFonts w:ascii="Times New Roman" w:hAnsi="Times New Roman"/>
          <w:sz w:val="24"/>
          <w:szCs w:val="24"/>
        </w:rPr>
        <w:t xml:space="preserve">. (2020) reported an overall prevalence of 8.57%. Also, Durowade </w:t>
      </w:r>
      <w:r>
        <w:rPr>
          <w:rFonts w:ascii="Times New Roman" w:hAnsi="Times New Roman"/>
          <w:i/>
          <w:iCs/>
          <w:sz w:val="24"/>
          <w:szCs w:val="24"/>
        </w:rPr>
        <w:t>et al</w:t>
      </w:r>
      <w:r>
        <w:rPr>
          <w:rFonts w:ascii="Times New Roman" w:hAnsi="Times New Roman"/>
          <w:sz w:val="24"/>
          <w:szCs w:val="24"/>
        </w:rPr>
        <w:t xml:space="preserve">. (2023) reported 11.3% while Jacob </w:t>
      </w:r>
      <w:r>
        <w:rPr>
          <w:rFonts w:ascii="Times New Roman" w:hAnsi="Times New Roman"/>
          <w:i/>
          <w:iCs/>
          <w:sz w:val="24"/>
          <w:szCs w:val="24"/>
        </w:rPr>
        <w:t>et al</w:t>
      </w:r>
      <w:r>
        <w:rPr>
          <w:rFonts w:ascii="Times New Roman" w:hAnsi="Times New Roman"/>
          <w:sz w:val="24"/>
          <w:szCs w:val="24"/>
        </w:rPr>
        <w:t xml:space="preserve">. (2023) reported 3.3%. In Tanzania, Mremi </w:t>
      </w:r>
      <w:r>
        <w:rPr>
          <w:rFonts w:ascii="Times New Roman" w:hAnsi="Times New Roman"/>
          <w:i/>
          <w:iCs/>
          <w:sz w:val="24"/>
          <w:szCs w:val="24"/>
        </w:rPr>
        <w:t>et al</w:t>
      </w:r>
      <w:r>
        <w:rPr>
          <w:rFonts w:ascii="Times New Roman" w:hAnsi="Times New Roman"/>
          <w:sz w:val="24"/>
          <w:szCs w:val="24"/>
        </w:rPr>
        <w:t xml:space="preserve">. (2021) reported 10.1%, Bartanjo </w:t>
      </w:r>
      <w:r>
        <w:rPr>
          <w:rFonts w:ascii="Times New Roman" w:hAnsi="Times New Roman"/>
          <w:i/>
          <w:iCs/>
          <w:sz w:val="24"/>
          <w:szCs w:val="24"/>
        </w:rPr>
        <w:t>et al</w:t>
      </w:r>
      <w:r>
        <w:rPr>
          <w:rFonts w:ascii="Times New Roman" w:hAnsi="Times New Roman"/>
          <w:sz w:val="24"/>
          <w:szCs w:val="24"/>
        </w:rPr>
        <w:t xml:space="preserve">. (2019) reported 14.1% in Kenya, 13.8% by Cwinyaai </w:t>
      </w:r>
      <w:r>
        <w:rPr>
          <w:rFonts w:ascii="Times New Roman" w:hAnsi="Times New Roman"/>
          <w:i/>
          <w:iCs/>
          <w:sz w:val="24"/>
          <w:szCs w:val="24"/>
        </w:rPr>
        <w:t>et al</w:t>
      </w:r>
      <w:r>
        <w:rPr>
          <w:rFonts w:ascii="Times New Roman" w:hAnsi="Times New Roman"/>
          <w:sz w:val="24"/>
          <w:szCs w:val="24"/>
        </w:rPr>
        <w:t xml:space="preserve">. (2024) in Uganda, and 10.7% reported by Singogo </w:t>
      </w:r>
      <w:r>
        <w:rPr>
          <w:rFonts w:ascii="Times New Roman" w:hAnsi="Times New Roman"/>
          <w:i/>
          <w:iCs/>
          <w:sz w:val="24"/>
          <w:szCs w:val="24"/>
        </w:rPr>
        <w:t>et al</w:t>
      </w:r>
      <w:r>
        <w:rPr>
          <w:rFonts w:ascii="Times New Roman" w:hAnsi="Times New Roman"/>
          <w:sz w:val="24"/>
          <w:szCs w:val="24"/>
        </w:rPr>
        <w:t xml:space="preserve">. (2023) in Malawi. Interestingly, in Rwanda, a much lower prevalence of 2.1% by Nsekuye </w:t>
      </w:r>
      <w:r>
        <w:rPr>
          <w:rFonts w:ascii="Times New Roman" w:hAnsi="Times New Roman"/>
          <w:i/>
          <w:iCs/>
          <w:sz w:val="24"/>
          <w:szCs w:val="24"/>
        </w:rPr>
        <w:t>et al</w:t>
      </w:r>
      <w:r>
        <w:rPr>
          <w:rFonts w:ascii="Times New Roman" w:hAnsi="Times New Roman"/>
          <w:sz w:val="24"/>
          <w:szCs w:val="24"/>
        </w:rPr>
        <w:t xml:space="preserve">. (2023) and 2.99% by Dahie </w:t>
      </w:r>
      <w:r>
        <w:rPr>
          <w:rFonts w:ascii="Times New Roman" w:hAnsi="Times New Roman"/>
          <w:i/>
          <w:iCs/>
          <w:sz w:val="24"/>
          <w:szCs w:val="24"/>
        </w:rPr>
        <w:t>et al</w:t>
      </w:r>
      <w:r>
        <w:rPr>
          <w:rFonts w:ascii="Times New Roman" w:hAnsi="Times New Roman"/>
          <w:sz w:val="24"/>
          <w:szCs w:val="24"/>
        </w:rPr>
        <w:t xml:space="preserve">. (2024) was found in Somalia. In India, 1.46% was reported by Deshmukh </w:t>
      </w:r>
      <w:r>
        <w:rPr>
          <w:rFonts w:ascii="Times New Roman" w:hAnsi="Times New Roman"/>
          <w:i/>
          <w:iCs/>
          <w:sz w:val="24"/>
          <w:szCs w:val="24"/>
        </w:rPr>
        <w:t>et al</w:t>
      </w:r>
      <w:r>
        <w:rPr>
          <w:rFonts w:ascii="Times New Roman" w:hAnsi="Times New Roman"/>
          <w:sz w:val="24"/>
          <w:szCs w:val="24"/>
        </w:rPr>
        <w:t xml:space="preserve">. (2024), while Almajid (2020) reported 0.7% in Saudi Arabia. </w:t>
      </w:r>
    </w:p>
    <w:p w14:paraId="585B2340" w14:textId="77777777" w:rsidR="008A27E2" w:rsidRDefault="006B0038">
      <w:pPr>
        <w:jc w:val="both"/>
        <w:rPr>
          <w:rFonts w:ascii="Times New Roman" w:hAnsi="Times New Roman"/>
          <w:sz w:val="24"/>
          <w:szCs w:val="24"/>
        </w:rPr>
      </w:pPr>
      <w:r>
        <w:rPr>
          <w:rFonts w:ascii="Times New Roman" w:hAnsi="Times New Roman"/>
          <w:sz w:val="24"/>
          <w:szCs w:val="24"/>
        </w:rPr>
        <w:t xml:space="preserve">The differences in the overall prevalence of TTIs reported globally could be attributed to differences in geographical location, sample size, sample population, cultural practices, and level of healthcare delivery (Pessoni </w:t>
      </w:r>
      <w:r>
        <w:rPr>
          <w:rFonts w:ascii="Times New Roman" w:hAnsi="Times New Roman"/>
          <w:i/>
          <w:iCs/>
          <w:sz w:val="24"/>
          <w:szCs w:val="24"/>
        </w:rPr>
        <w:t>et al</w:t>
      </w:r>
      <w:r>
        <w:rPr>
          <w:rFonts w:ascii="Times New Roman" w:hAnsi="Times New Roman"/>
          <w:sz w:val="24"/>
          <w:szCs w:val="24"/>
        </w:rPr>
        <w:t xml:space="preserve">., 2019; Dahie </w:t>
      </w:r>
      <w:r>
        <w:rPr>
          <w:rFonts w:ascii="Times New Roman" w:hAnsi="Times New Roman"/>
          <w:i/>
          <w:iCs/>
          <w:sz w:val="24"/>
          <w:szCs w:val="24"/>
        </w:rPr>
        <w:t>et al</w:t>
      </w:r>
      <w:r>
        <w:rPr>
          <w:rFonts w:ascii="Times New Roman" w:hAnsi="Times New Roman"/>
          <w:sz w:val="24"/>
          <w:szCs w:val="24"/>
        </w:rPr>
        <w:t xml:space="preserve">., 2024; Hadfield </w:t>
      </w:r>
      <w:r>
        <w:rPr>
          <w:rFonts w:ascii="Times New Roman" w:hAnsi="Times New Roman"/>
          <w:i/>
          <w:iCs/>
          <w:sz w:val="24"/>
          <w:szCs w:val="24"/>
        </w:rPr>
        <w:t>et al</w:t>
      </w:r>
      <w:r>
        <w:rPr>
          <w:rFonts w:ascii="Times New Roman" w:hAnsi="Times New Roman"/>
          <w:sz w:val="24"/>
          <w:szCs w:val="24"/>
        </w:rPr>
        <w:t xml:space="preserve">., 2024; Thakur </w:t>
      </w:r>
      <w:r>
        <w:rPr>
          <w:rFonts w:ascii="Times New Roman" w:hAnsi="Times New Roman"/>
          <w:i/>
          <w:iCs/>
          <w:sz w:val="24"/>
          <w:szCs w:val="24"/>
        </w:rPr>
        <w:t>et al</w:t>
      </w:r>
      <w:r>
        <w:rPr>
          <w:rFonts w:ascii="Times New Roman" w:hAnsi="Times New Roman"/>
          <w:sz w:val="24"/>
          <w:szCs w:val="24"/>
        </w:rPr>
        <w:t xml:space="preserve">., 2025).   </w:t>
      </w:r>
    </w:p>
    <w:p w14:paraId="3B643A13" w14:textId="77777777" w:rsidR="008A27E2" w:rsidRDefault="006B0038">
      <w:pPr>
        <w:jc w:val="both"/>
        <w:rPr>
          <w:rFonts w:ascii="Times New Roman" w:hAnsi="Times New Roman"/>
          <w:sz w:val="24"/>
          <w:szCs w:val="24"/>
        </w:rPr>
      </w:pPr>
      <w:r>
        <w:rPr>
          <w:rFonts w:ascii="Times New Roman" w:hAnsi="Times New Roman"/>
          <w:sz w:val="24"/>
          <w:szCs w:val="24"/>
        </w:rPr>
        <w:t xml:space="preserve">The findings of this study, based on some social demographic characteristics, show that out of 240 blood donors, male donors accounted for 96.7%, while females accounted for 3.3%. This gender disparity is consistent with other studies in-country and globally (Bartanjo </w:t>
      </w:r>
      <w:r>
        <w:rPr>
          <w:rFonts w:ascii="Times New Roman" w:hAnsi="Times New Roman"/>
          <w:i/>
          <w:iCs/>
          <w:sz w:val="24"/>
          <w:szCs w:val="24"/>
        </w:rPr>
        <w:t>et al.</w:t>
      </w:r>
      <w:r>
        <w:rPr>
          <w:rFonts w:ascii="Times New Roman" w:hAnsi="Times New Roman"/>
          <w:sz w:val="24"/>
          <w:szCs w:val="24"/>
        </w:rPr>
        <w:t xml:space="preserve">, 2019; Chang </w:t>
      </w:r>
      <w:r>
        <w:rPr>
          <w:rFonts w:ascii="Times New Roman" w:hAnsi="Times New Roman"/>
          <w:i/>
          <w:iCs/>
          <w:sz w:val="24"/>
          <w:szCs w:val="24"/>
        </w:rPr>
        <w:t>et al</w:t>
      </w:r>
      <w:r>
        <w:rPr>
          <w:rFonts w:ascii="Times New Roman" w:hAnsi="Times New Roman"/>
          <w:sz w:val="24"/>
          <w:szCs w:val="24"/>
        </w:rPr>
        <w:t xml:space="preserve">., 2019; Fasakin </w:t>
      </w:r>
      <w:r>
        <w:rPr>
          <w:rFonts w:ascii="Times New Roman" w:hAnsi="Times New Roman"/>
          <w:i/>
          <w:iCs/>
          <w:sz w:val="24"/>
          <w:szCs w:val="24"/>
        </w:rPr>
        <w:t>et al</w:t>
      </w:r>
      <w:r>
        <w:rPr>
          <w:rFonts w:ascii="Times New Roman" w:hAnsi="Times New Roman"/>
          <w:sz w:val="24"/>
          <w:szCs w:val="24"/>
        </w:rPr>
        <w:t xml:space="preserve">., 2022; Nsekuye </w:t>
      </w:r>
      <w:r>
        <w:rPr>
          <w:rFonts w:ascii="Times New Roman" w:hAnsi="Times New Roman"/>
          <w:i/>
          <w:iCs/>
          <w:sz w:val="24"/>
          <w:szCs w:val="24"/>
        </w:rPr>
        <w:t>et al</w:t>
      </w:r>
      <w:r>
        <w:rPr>
          <w:rFonts w:ascii="Times New Roman" w:hAnsi="Times New Roman"/>
          <w:sz w:val="24"/>
          <w:szCs w:val="24"/>
        </w:rPr>
        <w:t xml:space="preserve">., 2023; Habibu </w:t>
      </w:r>
      <w:r>
        <w:rPr>
          <w:rFonts w:ascii="Times New Roman" w:hAnsi="Times New Roman"/>
          <w:i/>
          <w:iCs/>
          <w:sz w:val="24"/>
          <w:szCs w:val="24"/>
        </w:rPr>
        <w:t>et al</w:t>
      </w:r>
      <w:r>
        <w:rPr>
          <w:rFonts w:ascii="Times New Roman" w:hAnsi="Times New Roman"/>
          <w:sz w:val="24"/>
          <w:szCs w:val="24"/>
        </w:rPr>
        <w:t xml:space="preserve">., 2025). Several factors, including the perception that male donors are healthier than females, male donors present more often, physiological factors such as menstruation, pregnancy, childbirth, breastfeeding, and anaemia contribute to low participation of females (Pessori </w:t>
      </w:r>
      <w:r>
        <w:rPr>
          <w:rFonts w:ascii="Times New Roman" w:hAnsi="Times New Roman"/>
          <w:i/>
          <w:iCs/>
          <w:sz w:val="24"/>
          <w:szCs w:val="24"/>
        </w:rPr>
        <w:t>et al</w:t>
      </w:r>
      <w:r>
        <w:rPr>
          <w:rFonts w:ascii="Times New Roman" w:hAnsi="Times New Roman"/>
          <w:sz w:val="24"/>
          <w:szCs w:val="24"/>
        </w:rPr>
        <w:t xml:space="preserve">., 2019; </w:t>
      </w:r>
      <w:r>
        <w:rPr>
          <w:rFonts w:ascii="Times New Roman" w:hAnsi="Times New Roman" w:cs="Times New Roman"/>
          <w:color w:val="212121"/>
          <w:sz w:val="24"/>
          <w:szCs w:val="24"/>
          <w:shd w:val="clear" w:color="auto" w:fill="FFFFFF"/>
        </w:rPr>
        <w:t xml:space="preserve">Kasraian </w:t>
      </w:r>
      <w:r>
        <w:rPr>
          <w:rFonts w:ascii="Times New Roman" w:hAnsi="Times New Roman" w:cs="Times New Roman"/>
          <w:i/>
          <w:iCs/>
          <w:color w:val="212121"/>
          <w:sz w:val="24"/>
          <w:szCs w:val="24"/>
          <w:shd w:val="clear" w:color="auto" w:fill="FFFFFF"/>
        </w:rPr>
        <w:t>et al</w:t>
      </w:r>
      <w:r>
        <w:rPr>
          <w:rFonts w:ascii="Times New Roman" w:hAnsi="Times New Roman" w:cs="Times New Roman"/>
          <w:color w:val="212121"/>
          <w:sz w:val="24"/>
          <w:szCs w:val="24"/>
          <w:shd w:val="clear" w:color="auto" w:fill="FFFFFF"/>
        </w:rPr>
        <w:t>., 2021;</w:t>
      </w:r>
      <w:r>
        <w:rPr>
          <w:rFonts w:ascii="Segoe UI" w:hAnsi="Segoe UI" w:cs="Segoe UI"/>
          <w:color w:val="212121"/>
          <w:shd w:val="clear" w:color="auto" w:fill="FFFFFF"/>
        </w:rPr>
        <w:t xml:space="preserve"> </w:t>
      </w:r>
      <w:r>
        <w:rPr>
          <w:rFonts w:ascii="Times New Roman" w:eastAsia="Times New Roman" w:hAnsi="Times New Roman" w:cs="Times New Roman"/>
          <w:sz w:val="24"/>
          <w:szCs w:val="24"/>
        </w:rPr>
        <w:t xml:space="preserve">Narayanan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2023; Dahie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2024; Hadfield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2024; Thakur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2025</w:t>
      </w:r>
      <w:r>
        <w:rPr>
          <w:rFonts w:ascii="Times New Roman" w:hAnsi="Times New Roman"/>
          <w:sz w:val="24"/>
          <w:szCs w:val="24"/>
        </w:rPr>
        <w:t>). However, the differences between male and female seroprevalence in this study were not statistically significant (</w:t>
      </w:r>
      <w:r>
        <w:rPr>
          <w:rFonts w:ascii="Times New Roman" w:hAnsi="Times New Roman"/>
          <w:i/>
          <w:iCs/>
          <w:sz w:val="24"/>
          <w:szCs w:val="24"/>
        </w:rPr>
        <w:t>P</w:t>
      </w:r>
      <w:r>
        <w:rPr>
          <w:rFonts w:ascii="Times New Roman" w:hAnsi="Times New Roman"/>
          <w:sz w:val="24"/>
          <w:szCs w:val="24"/>
        </w:rPr>
        <w:t xml:space="preserve"> &gt; 0.05), indicating that both genders are at risk of TTIs. </w:t>
      </w:r>
    </w:p>
    <w:p w14:paraId="0F14ACFE" w14:textId="77777777" w:rsidR="008A27E2" w:rsidRDefault="006B0038">
      <w:pPr>
        <w:jc w:val="both"/>
        <w:rPr>
          <w:rFonts w:ascii="Times New Roman" w:hAnsi="Times New Roman"/>
          <w:sz w:val="24"/>
          <w:szCs w:val="24"/>
        </w:rPr>
      </w:pPr>
      <w:r>
        <w:rPr>
          <w:rFonts w:ascii="Times New Roman" w:hAnsi="Times New Roman"/>
          <w:sz w:val="24"/>
          <w:szCs w:val="24"/>
        </w:rPr>
        <w:t xml:space="preserve">The seroprevalence regarding the age distribution of the blood donors was also assessed, revealing that the majority of participants were between 26 and 30 years (24.6%) and 31 and 35 years (24.2%), followed by those aged 36 to 40 (22.1%). The lowest proportion was observed in the 51-55 years category, accounting for only 0.4% of the participants. Nsekuye </w:t>
      </w:r>
      <w:r>
        <w:rPr>
          <w:rFonts w:ascii="Times New Roman" w:hAnsi="Times New Roman"/>
          <w:i/>
          <w:iCs/>
          <w:sz w:val="24"/>
          <w:szCs w:val="24"/>
        </w:rPr>
        <w:t>et al</w:t>
      </w:r>
      <w:r>
        <w:rPr>
          <w:rFonts w:ascii="Times New Roman" w:hAnsi="Times New Roman"/>
          <w:sz w:val="24"/>
          <w:szCs w:val="24"/>
        </w:rPr>
        <w:t xml:space="preserve">. (2023), Sabir </w:t>
      </w:r>
      <w:r>
        <w:rPr>
          <w:rFonts w:ascii="Times New Roman" w:hAnsi="Times New Roman"/>
          <w:i/>
          <w:iCs/>
          <w:sz w:val="24"/>
          <w:szCs w:val="24"/>
        </w:rPr>
        <w:t>et al</w:t>
      </w:r>
      <w:r>
        <w:rPr>
          <w:rFonts w:ascii="Times New Roman" w:hAnsi="Times New Roman"/>
          <w:sz w:val="24"/>
          <w:szCs w:val="24"/>
        </w:rPr>
        <w:t xml:space="preserve">. (2023), and </w:t>
      </w:r>
      <w:r>
        <w:rPr>
          <w:rFonts w:ascii="Times New Roman" w:eastAsia="Times New Roman" w:hAnsi="Times New Roman" w:cs="Times New Roman"/>
          <w:sz w:val="24"/>
          <w:szCs w:val="24"/>
        </w:rPr>
        <w:t xml:space="preserve">Ngomtcho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(2024)</w:t>
      </w:r>
      <w:r>
        <w:rPr>
          <w:rFonts w:ascii="Times New Roman" w:hAnsi="Times New Roman"/>
          <w:sz w:val="24"/>
          <w:szCs w:val="24"/>
        </w:rPr>
        <w:t xml:space="preserve"> reported a similar trend, where most donors were aged between 26 and 35 years. On the contrary, the prevalence of TTIs among donors aged 45 and above has been reported (Siraj </w:t>
      </w:r>
      <w:r>
        <w:rPr>
          <w:rFonts w:ascii="Times New Roman" w:hAnsi="Times New Roman"/>
          <w:i/>
          <w:iCs/>
          <w:sz w:val="24"/>
          <w:szCs w:val="24"/>
        </w:rPr>
        <w:t>et al</w:t>
      </w:r>
      <w:r>
        <w:rPr>
          <w:rFonts w:ascii="Times New Roman" w:hAnsi="Times New Roman"/>
          <w:sz w:val="24"/>
          <w:szCs w:val="24"/>
        </w:rPr>
        <w:t xml:space="preserve">., 2018; Keleta </w:t>
      </w:r>
      <w:r>
        <w:rPr>
          <w:rFonts w:ascii="Times New Roman" w:hAnsi="Times New Roman"/>
          <w:i/>
          <w:iCs/>
          <w:sz w:val="24"/>
          <w:szCs w:val="24"/>
        </w:rPr>
        <w:t>et al</w:t>
      </w:r>
      <w:r>
        <w:rPr>
          <w:rFonts w:ascii="Times New Roman" w:hAnsi="Times New Roman"/>
          <w:sz w:val="24"/>
          <w:szCs w:val="24"/>
        </w:rPr>
        <w:t xml:space="preserve">., 2019; Dahie </w:t>
      </w:r>
      <w:r>
        <w:rPr>
          <w:rFonts w:ascii="Times New Roman" w:hAnsi="Times New Roman"/>
          <w:i/>
          <w:iCs/>
          <w:sz w:val="24"/>
          <w:szCs w:val="24"/>
        </w:rPr>
        <w:t>et al</w:t>
      </w:r>
      <w:r>
        <w:rPr>
          <w:rFonts w:ascii="Times New Roman" w:hAnsi="Times New Roman"/>
          <w:sz w:val="24"/>
          <w:szCs w:val="24"/>
        </w:rPr>
        <w:t xml:space="preserve">., 2024). </w:t>
      </w:r>
    </w:p>
    <w:p w14:paraId="273D47B2" w14:textId="77777777" w:rsidR="008A27E2" w:rsidRDefault="006B0038">
      <w:pPr>
        <w:jc w:val="both"/>
        <w:rPr>
          <w:rFonts w:ascii="Times New Roman" w:hAnsi="Times New Roman"/>
          <w:sz w:val="24"/>
          <w:szCs w:val="24"/>
        </w:rPr>
      </w:pPr>
      <w:r>
        <w:rPr>
          <w:rFonts w:ascii="Times New Roman" w:hAnsi="Times New Roman"/>
          <w:sz w:val="24"/>
          <w:szCs w:val="24"/>
        </w:rPr>
        <w:t xml:space="preserve">The age group differences in the prevalence of TTIs have been attributed to factors like sexual activity, socioeconomic status, risky behaviour, such as unsafe body modifications, drug abuse (Bartanjo </w:t>
      </w:r>
      <w:r>
        <w:rPr>
          <w:rFonts w:ascii="Times New Roman" w:hAnsi="Times New Roman"/>
          <w:i/>
          <w:iCs/>
          <w:sz w:val="24"/>
          <w:szCs w:val="24"/>
        </w:rPr>
        <w:t>et al.</w:t>
      </w:r>
      <w:r>
        <w:rPr>
          <w:rFonts w:ascii="Times New Roman" w:hAnsi="Times New Roman"/>
          <w:sz w:val="24"/>
          <w:szCs w:val="24"/>
        </w:rPr>
        <w:t xml:space="preserve">, 2019; Cwinyaai </w:t>
      </w:r>
      <w:r>
        <w:rPr>
          <w:rFonts w:ascii="Times New Roman" w:hAnsi="Times New Roman"/>
          <w:i/>
          <w:iCs/>
          <w:sz w:val="24"/>
          <w:szCs w:val="24"/>
        </w:rPr>
        <w:t>et al</w:t>
      </w:r>
      <w:r>
        <w:rPr>
          <w:rFonts w:ascii="Times New Roman" w:hAnsi="Times New Roman"/>
          <w:sz w:val="24"/>
          <w:szCs w:val="24"/>
        </w:rPr>
        <w:t xml:space="preserve">., 2024; </w:t>
      </w:r>
      <w:r>
        <w:rPr>
          <w:rFonts w:ascii="Times New Roman" w:hAnsi="Times New Roman" w:cs="Times New Roman"/>
          <w:color w:val="5E5E5E"/>
          <w:sz w:val="24"/>
          <w:szCs w:val="24"/>
          <w:shd w:val="clear" w:color="auto" w:fill="FFFFFF"/>
        </w:rPr>
        <w:t>Gebreyes</w:t>
      </w:r>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2025).</w:t>
      </w:r>
    </w:p>
    <w:p w14:paraId="74F42CB6" w14:textId="77777777" w:rsidR="008A27E2" w:rsidRDefault="008A27E2">
      <w:pPr>
        <w:jc w:val="both"/>
        <w:rPr>
          <w:rFonts w:ascii="Times New Roman" w:hAnsi="Times New Roman"/>
          <w:sz w:val="24"/>
          <w:szCs w:val="24"/>
        </w:rPr>
      </w:pPr>
    </w:p>
    <w:p w14:paraId="56643308" w14:textId="77777777" w:rsidR="008A27E2" w:rsidRDefault="008A27E2">
      <w:pPr>
        <w:jc w:val="both"/>
        <w:rPr>
          <w:rFonts w:ascii="Times New Roman" w:hAnsi="Times New Roman"/>
          <w:sz w:val="24"/>
          <w:szCs w:val="24"/>
        </w:rPr>
      </w:pPr>
    </w:p>
    <w:p w14:paraId="5D06AFEB" w14:textId="77777777" w:rsidR="008A27E2" w:rsidRDefault="006B0038">
      <w:pPr>
        <w:jc w:val="both"/>
        <w:rPr>
          <w:rFonts w:ascii="Times New Roman" w:hAnsi="Times New Roman"/>
          <w:sz w:val="24"/>
          <w:szCs w:val="24"/>
        </w:rPr>
      </w:pPr>
      <w:r>
        <w:rPr>
          <w:rFonts w:ascii="Times New Roman" w:hAnsi="Times New Roman"/>
          <w:sz w:val="24"/>
          <w:szCs w:val="24"/>
        </w:rPr>
        <w:lastRenderedPageBreak/>
        <w:t xml:space="preserve">Regarding marital status, 55.4% of the donors were married, while 44.6% were single. The relatively higher number of married donors may reflect a demographic trend in voluntary blood donation patterns within the study population. A similar trend has been reported by Akpan </w:t>
      </w:r>
      <w:r>
        <w:rPr>
          <w:rFonts w:ascii="Times New Roman" w:hAnsi="Times New Roman"/>
          <w:i/>
          <w:iCs/>
          <w:sz w:val="24"/>
          <w:szCs w:val="24"/>
        </w:rPr>
        <w:t>et al</w:t>
      </w:r>
      <w:r>
        <w:rPr>
          <w:rFonts w:ascii="Times New Roman" w:hAnsi="Times New Roman"/>
          <w:sz w:val="24"/>
          <w:szCs w:val="24"/>
        </w:rPr>
        <w:t xml:space="preserve">. (2022) in Nigeria, </w:t>
      </w:r>
      <w:r>
        <w:rPr>
          <w:rFonts w:ascii="Times New Roman" w:hAnsi="Times New Roman" w:cs="Times New Roman"/>
          <w:color w:val="1B1B1B"/>
          <w:sz w:val="24"/>
          <w:szCs w:val="24"/>
          <w:shd w:val="clear" w:color="auto" w:fill="FFFFFF"/>
        </w:rPr>
        <w:t xml:space="preserve">Teferi </w:t>
      </w:r>
      <w:r>
        <w:rPr>
          <w:rFonts w:ascii="Times New Roman" w:hAnsi="Times New Roman" w:cs="Times New Roman"/>
          <w:i/>
          <w:iCs/>
          <w:color w:val="1B1B1B"/>
          <w:sz w:val="24"/>
          <w:szCs w:val="24"/>
          <w:shd w:val="clear" w:color="auto" w:fill="FFFFFF"/>
        </w:rPr>
        <w:t>et al</w:t>
      </w:r>
      <w:r>
        <w:rPr>
          <w:rFonts w:ascii="Times New Roman" w:hAnsi="Times New Roman" w:cs="Times New Roman"/>
          <w:color w:val="1B1B1B"/>
          <w:sz w:val="24"/>
          <w:szCs w:val="24"/>
          <w:shd w:val="clear" w:color="auto" w:fill="FFFFFF"/>
        </w:rPr>
        <w:t xml:space="preserve">. (2021) in Ethiopia, and Daneshi </w:t>
      </w:r>
      <w:r>
        <w:rPr>
          <w:rFonts w:ascii="Times New Roman" w:hAnsi="Times New Roman" w:cs="Times New Roman"/>
          <w:i/>
          <w:iCs/>
          <w:color w:val="1B1B1B"/>
          <w:sz w:val="24"/>
          <w:szCs w:val="24"/>
          <w:shd w:val="clear" w:color="auto" w:fill="FFFFFF"/>
        </w:rPr>
        <w:t>et al</w:t>
      </w:r>
      <w:r>
        <w:rPr>
          <w:rFonts w:ascii="Times New Roman" w:hAnsi="Times New Roman" w:cs="Times New Roman"/>
          <w:color w:val="1B1B1B"/>
          <w:sz w:val="24"/>
          <w:szCs w:val="24"/>
          <w:shd w:val="clear" w:color="auto" w:fill="FFFFFF"/>
        </w:rPr>
        <w:t>. (2021) in Iran</w:t>
      </w:r>
      <w:r>
        <w:rPr>
          <w:rFonts w:ascii="Times New Roman" w:hAnsi="Times New Roman"/>
          <w:sz w:val="24"/>
          <w:szCs w:val="24"/>
        </w:rPr>
        <w:t>. Single donors had a higher prevalence of HIV (6.5%) and HCV (7.5%) compared to married donors (3.0% each), suggesting that unmarried individuals may engage in higher-risk behaviours, such as unprotected sexual activities and unsafe body modifications. Married donors have a greater sense of responsibility, family ties, knowledge, and positive attitude towards blood donation (</w:t>
      </w:r>
      <w:r>
        <w:rPr>
          <w:rFonts w:ascii="Times New Roman" w:eastAsia="Times New Roman" w:hAnsi="Times New Roman" w:cs="Times New Roman"/>
          <w:sz w:val="24"/>
          <w:szCs w:val="24"/>
        </w:rPr>
        <w:t xml:space="preserve">Etete &amp; Inya, 2021; Saeed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2024</w:t>
      </w:r>
      <w:r>
        <w:rPr>
          <w:rFonts w:ascii="Times New Roman" w:hAnsi="Times New Roman"/>
          <w:sz w:val="24"/>
          <w:szCs w:val="24"/>
        </w:rPr>
        <w:t xml:space="preserve">). </w:t>
      </w:r>
    </w:p>
    <w:p w14:paraId="6497A76E" w14:textId="0ACC8154" w:rsidR="008A27E2" w:rsidRDefault="006B0038">
      <w:pPr>
        <w:jc w:val="both"/>
        <w:rPr>
          <w:rFonts w:ascii="Times New Roman" w:hAnsi="Times New Roman"/>
          <w:b/>
          <w:bCs/>
          <w:sz w:val="24"/>
          <w:szCs w:val="24"/>
        </w:rPr>
      </w:pPr>
      <w:r>
        <w:rPr>
          <w:rFonts w:ascii="Times New Roman" w:hAnsi="Times New Roman"/>
          <w:b/>
          <w:bCs/>
          <w:sz w:val="24"/>
          <w:szCs w:val="24"/>
        </w:rPr>
        <w:t>Conclusion</w:t>
      </w:r>
    </w:p>
    <w:p w14:paraId="28FF17BB" w14:textId="77777777" w:rsidR="008A27E2" w:rsidRDefault="006B0038">
      <w:pPr>
        <w:jc w:val="both"/>
        <w:rPr>
          <w:rFonts w:ascii="Times New Roman" w:hAnsi="Times New Roman"/>
          <w:sz w:val="24"/>
          <w:szCs w:val="24"/>
        </w:rPr>
      </w:pPr>
      <w:r>
        <w:rPr>
          <w:rFonts w:ascii="Times New Roman" w:hAnsi="Times New Roman"/>
          <w:sz w:val="24"/>
          <w:szCs w:val="24"/>
        </w:rPr>
        <w:t>This study confirms that HBV, HCV, and HIV remain significant transfusion-transmissible infections among blood donors in the study area, with HBV having the highest prevalence. The findings highlight the importance of integrating ELISA into routine donor screening to improve diagnostic accuracy and reduce the risk of Viral TTIs. Strengthening public health interventions, expanding hepatitis B vaccination, and enforcing stringent blood safety measures are crucial in mitigating the risk of transfusion-related infections.</w:t>
      </w:r>
    </w:p>
    <w:p w14:paraId="42AF5B87" w14:textId="77777777" w:rsidR="008A27E2" w:rsidRDefault="006B0038">
      <w:pPr>
        <w:rPr>
          <w:rFonts w:ascii="Times New Roman" w:hAnsi="Times New Roman" w:cs="Times New Roman"/>
          <w:b/>
          <w:sz w:val="24"/>
          <w:szCs w:val="24"/>
        </w:rPr>
      </w:pPr>
      <w:r>
        <w:rPr>
          <w:rFonts w:ascii="Times New Roman" w:hAnsi="Times New Roman" w:cs="Times New Roman"/>
          <w:b/>
          <w:sz w:val="24"/>
          <w:szCs w:val="24"/>
        </w:rPr>
        <w:t>Consent</w:t>
      </w:r>
    </w:p>
    <w:p w14:paraId="5C5733B1" w14:textId="77777777" w:rsidR="008A27E2" w:rsidRDefault="006B0038">
      <w:pPr>
        <w:jc w:val="both"/>
        <w:rPr>
          <w:rFonts w:ascii="Times New Roman" w:hAnsi="Times New Roman" w:cs="Times New Roman"/>
          <w:b/>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Written consent was obtained from all subjects after explaining the entire research protocol. </w:t>
      </w:r>
    </w:p>
    <w:p w14:paraId="1866EB7D" w14:textId="77777777" w:rsidR="008A27E2" w:rsidRDefault="006B0038">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Ethical Approval</w:t>
      </w:r>
    </w:p>
    <w:p w14:paraId="3F64DA40" w14:textId="77777777" w:rsidR="008A27E2" w:rsidRDefault="006B0038">
      <w:pPr>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Institutional ethical approval was obtained from the Health Research Ethics Committee of the Federal Medical Centre Keffi, Nasarawa State (FMC/KF/HREC/02644/24). </w:t>
      </w:r>
    </w:p>
    <w:p w14:paraId="1B1599CD" w14:textId="77777777" w:rsidR="008A27E2" w:rsidRDefault="006B0038">
      <w:pPr>
        <w:rPr>
          <w:rFonts w:ascii="Times New Roman" w:hAnsi="Times New Roman" w:cs="Times New Roman"/>
          <w:b/>
          <w:sz w:val="24"/>
          <w:szCs w:val="24"/>
        </w:rPr>
      </w:pPr>
      <w:r>
        <w:rPr>
          <w:rFonts w:ascii="Times New Roman" w:hAnsi="Times New Roman" w:cs="Times New Roman"/>
          <w:b/>
          <w:sz w:val="24"/>
          <w:szCs w:val="24"/>
        </w:rPr>
        <w:t>Disclaimer (Artificial intelligence)</w:t>
      </w:r>
    </w:p>
    <w:p w14:paraId="26BA0B11" w14:textId="77777777" w:rsidR="008A27E2" w:rsidRDefault="006B0038">
      <w:pPr>
        <w:jc w:val="both"/>
        <w:rPr>
          <w:rFonts w:ascii="Times New Roman" w:hAnsi="Times New Roman" w:cs="Times New Roman"/>
          <w:sz w:val="24"/>
          <w:szCs w:val="24"/>
        </w:rPr>
      </w:pPr>
      <w:r>
        <w:rPr>
          <w:rFonts w:ascii="Times New Roman" w:hAnsi="Times New Roman" w:cs="Times New Roman"/>
          <w:sz w:val="24"/>
          <w:szCs w:val="24"/>
        </w:rPr>
        <w:t>Author(s) hereby declare that NO generative AI technologies such as Large Language Models (ChatGPT, COPILOT, etc.) and text-to-image generators have been used during the writing or editing of this manuscript.</w:t>
      </w:r>
    </w:p>
    <w:p w14:paraId="4A474A7D" w14:textId="77777777" w:rsidR="008A27E2" w:rsidRDefault="008A27E2">
      <w:pPr>
        <w:tabs>
          <w:tab w:val="left" w:pos="420"/>
        </w:tabs>
        <w:ind w:left="420"/>
        <w:jc w:val="both"/>
        <w:rPr>
          <w:rFonts w:ascii="Times New Roman" w:hAnsi="Times New Roman"/>
          <w:color w:val="FF0000"/>
          <w:sz w:val="24"/>
          <w:szCs w:val="24"/>
        </w:rPr>
      </w:pPr>
    </w:p>
    <w:p w14:paraId="5E6E0B3E" w14:textId="77777777" w:rsidR="008A27E2" w:rsidRDefault="006B0038">
      <w:pPr>
        <w:pStyle w:val="NormalWeb"/>
        <w:jc w:val="both"/>
        <w:rPr>
          <w:b/>
          <w:bCs/>
        </w:rPr>
      </w:pPr>
      <w:r>
        <w:rPr>
          <w:b/>
          <w:bCs/>
        </w:rPr>
        <w:t>Reference</w:t>
      </w:r>
    </w:p>
    <w:p w14:paraId="3EB23F50" w14:textId="77777777" w:rsidR="008A27E2" w:rsidRDefault="006B0038">
      <w:pPr>
        <w:shd w:val="clear" w:color="auto" w:fill="FFFFFF"/>
        <w:spacing w:after="100" w:afterAutospacing="1"/>
        <w:ind w:left="720" w:hanging="720"/>
        <w:jc w:val="both"/>
        <w:outlineLvl w:val="0"/>
        <w:rPr>
          <w:rFonts w:ascii="Times New Roman" w:eastAsia="Times New Roman" w:hAnsi="Times New Roman" w:cs="Times New Roman"/>
          <w:caps/>
          <w:color w:val="222731"/>
          <w:spacing w:val="18"/>
          <w:kern w:val="36"/>
          <w:sz w:val="24"/>
          <w:szCs w:val="24"/>
        </w:rPr>
      </w:pPr>
      <w:r w:rsidRPr="009D1B9B">
        <w:rPr>
          <w:rFonts w:ascii="Times New Roman" w:eastAsia="Times New Roman" w:hAnsi="Times New Roman" w:cs="Times New Roman"/>
          <w:caps/>
          <w:spacing w:val="18"/>
          <w:kern w:val="36"/>
          <w:sz w:val="24"/>
          <w:szCs w:val="24"/>
        </w:rPr>
        <w:t>A</w:t>
      </w:r>
      <w:r w:rsidRPr="009D1B9B">
        <w:rPr>
          <w:rFonts w:ascii="Times New Roman" w:eastAsia="Times New Roman" w:hAnsi="Times New Roman" w:cs="Times New Roman"/>
          <w:spacing w:val="18"/>
          <w:kern w:val="36"/>
          <w:sz w:val="24"/>
          <w:szCs w:val="24"/>
        </w:rPr>
        <w:t>bbott</w:t>
      </w:r>
      <w:r w:rsidRPr="009D1B9B">
        <w:rPr>
          <w:rFonts w:ascii="Times New Roman" w:eastAsia="Times New Roman" w:hAnsi="Times New Roman" w:cs="Times New Roman"/>
          <w:caps/>
          <w:spacing w:val="18"/>
          <w:kern w:val="36"/>
          <w:sz w:val="24"/>
          <w:szCs w:val="24"/>
        </w:rPr>
        <w:t> (2025</w:t>
      </w:r>
      <w:proofErr w:type="gramStart"/>
      <w:r>
        <w:rPr>
          <w:rFonts w:ascii="Times New Roman" w:eastAsia="Times New Roman" w:hAnsi="Times New Roman" w:cs="Times New Roman"/>
          <w:caps/>
          <w:color w:val="222731"/>
          <w:spacing w:val="18"/>
          <w:kern w:val="36"/>
          <w:sz w:val="24"/>
          <w:szCs w:val="24"/>
        </w:rPr>
        <w:t>).Determine</w:t>
      </w:r>
      <w:proofErr w:type="gramEnd"/>
      <w:r>
        <w:rPr>
          <w:rFonts w:ascii="Times New Roman" w:eastAsia="Times New Roman" w:hAnsi="Times New Roman" w:cs="Times New Roman"/>
          <w:caps/>
          <w:color w:val="222731"/>
          <w:spacing w:val="18"/>
          <w:kern w:val="36"/>
          <w:sz w:val="24"/>
          <w:szCs w:val="24"/>
        </w:rPr>
        <w:t>™HIV</w:t>
      </w:r>
      <w:r>
        <w:rPr>
          <w:rFonts w:ascii="Times New Roman" w:eastAsia="Times New Roman" w:hAnsi="Times New Roman" w:cs="Times New Roman"/>
          <w:caps/>
          <w:color w:val="222731"/>
          <w:spacing w:val="18"/>
          <w:kern w:val="36"/>
          <w:sz w:val="24"/>
          <w:szCs w:val="24"/>
        </w:rPr>
        <w:noBreakHyphen/>
        <w:t>1/2.</w:t>
      </w:r>
      <w:r>
        <w:rPr>
          <w:rFonts w:ascii="Times New Roman" w:hAnsi="Times New Roman" w:cs="Times New Roman"/>
          <w:sz w:val="24"/>
          <w:szCs w:val="24"/>
        </w:rPr>
        <w:t>https://www.globalpointofcare.abbott/ww/en/product-details/determine-hiv-1-2.html</w:t>
      </w:r>
    </w:p>
    <w:p w14:paraId="5733A838" w14:textId="77777777" w:rsidR="008A27E2" w:rsidRDefault="006B0038">
      <w:pPr>
        <w:ind w:left="720" w:hanging="720"/>
        <w:jc w:val="both"/>
        <w:rPr>
          <w:rStyle w:val="Hyperlink"/>
          <w:rFonts w:ascii="Times New Roman" w:hAnsi="Times New Roman" w:cs="Times New Roman"/>
          <w:sz w:val="24"/>
          <w:szCs w:val="24"/>
        </w:rPr>
      </w:pPr>
      <w:r>
        <w:rPr>
          <w:rFonts w:ascii="Times New Roman" w:hAnsi="Times New Roman" w:cs="Times New Roman"/>
          <w:sz w:val="24"/>
          <w:szCs w:val="24"/>
        </w:rPr>
        <w:t xml:space="preserve">Abiola, K. A., Medugu, N. I., Kadafa, A, A., &amp; Opaluwa, O. D. (2016). Heavy metal contamination of topsoil at the vehicles workshop in Keffi Town, Nasarawa State. </w:t>
      </w:r>
      <w:r>
        <w:rPr>
          <w:rFonts w:ascii="Times New Roman" w:hAnsi="Times New Roman" w:cs="Times New Roman"/>
          <w:i/>
          <w:iCs/>
          <w:sz w:val="24"/>
          <w:szCs w:val="24"/>
        </w:rPr>
        <w:t>IOSR Journal of Environmental Science Toxicology and Food Technology</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 xml:space="preserve">(08), 84–87. </w:t>
      </w:r>
      <w:hyperlink r:id="rId9" w:history="1">
        <w:r w:rsidR="008A27E2">
          <w:rPr>
            <w:rStyle w:val="Hyperlink"/>
            <w:rFonts w:ascii="Times New Roman" w:hAnsi="Times New Roman" w:cs="Times New Roman"/>
            <w:sz w:val="24"/>
            <w:szCs w:val="24"/>
          </w:rPr>
          <w:t>https://doi.org/10.9790/2402-1008028487</w:t>
        </w:r>
      </w:hyperlink>
    </w:p>
    <w:p w14:paraId="73C9431C" w14:textId="77777777" w:rsidR="008A27E2" w:rsidRDefault="006B0038">
      <w:pPr>
        <w:pStyle w:val="NormalWeb"/>
        <w:ind w:left="398" w:hangingChars="166" w:hanging="398"/>
        <w:jc w:val="both"/>
      </w:pPr>
      <w:r>
        <w:t xml:space="preserve">Adeniyi, S. D. (2020). Serological prevalence of hepatitis B and C viral infections in North Central Nigeria. </w:t>
      </w:r>
      <w:r>
        <w:rPr>
          <w:rStyle w:val="Emphasis"/>
        </w:rPr>
        <w:t>Texila International Journal of Public Health, 8</w:t>
      </w:r>
      <w:r>
        <w:t xml:space="preserve">(2), 316–320. </w:t>
      </w:r>
      <w:hyperlink r:id="rId10" w:history="1">
        <w:r w:rsidR="008A27E2">
          <w:rPr>
            <w:rStyle w:val="Hyperlink"/>
          </w:rPr>
          <w:t>https://doi.org/10.21522/tijph.2013.08.02.art037</w:t>
        </w:r>
      </w:hyperlink>
    </w:p>
    <w:p w14:paraId="0B20700D" w14:textId="77777777" w:rsidR="008A27E2" w:rsidRDefault="006B0038">
      <w:pPr>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Akpan, I. S., King, E. O., Bassey, E. I., Umotong, S. J., &amp; Nnenna, W. O. (2022). Assessment of the Knowledge, Perception and Practice of Voluntary Blood Donation among Physicians in a Tertiary Health Facility, Uyo, South-South Nigeria. </w:t>
      </w:r>
      <w:r>
        <w:rPr>
          <w:rFonts w:ascii="Times New Roman" w:hAnsi="Times New Roman" w:cs="Times New Roman"/>
          <w:i/>
          <w:iCs/>
          <w:sz w:val="24"/>
          <w:szCs w:val="24"/>
          <w:shd w:val="clear" w:color="auto" w:fill="FFFFFF"/>
        </w:rPr>
        <w:t>Nigerian medical journal: journal of the Nigeria Medical Association</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62</w:t>
      </w:r>
      <w:r>
        <w:rPr>
          <w:rFonts w:ascii="Times New Roman" w:hAnsi="Times New Roman" w:cs="Times New Roman"/>
          <w:sz w:val="24"/>
          <w:szCs w:val="24"/>
          <w:shd w:val="clear" w:color="auto" w:fill="FFFFFF"/>
        </w:rPr>
        <w:t xml:space="preserve">(5), 212–218. </w:t>
      </w:r>
      <w:hyperlink r:id="rId11" w:history="1">
        <w:r w:rsidR="008A27E2">
          <w:rPr>
            <w:rStyle w:val="Hyperlink"/>
            <w:rFonts w:ascii="Times New Roman" w:hAnsi="Times New Roman" w:cs="Times New Roman"/>
            <w:color w:val="auto"/>
            <w:sz w:val="24"/>
            <w:szCs w:val="24"/>
            <w:u w:val="none"/>
            <w:shd w:val="clear" w:color="auto" w:fill="FFFFFF"/>
          </w:rPr>
          <w:t>https://doi.org/10.60787/NMJ-62-5-43</w:t>
        </w:r>
      </w:hyperlink>
    </w:p>
    <w:p w14:paraId="76776555" w14:textId="77777777" w:rsidR="008A27E2" w:rsidRDefault="006B0038">
      <w:pPr>
        <w:pStyle w:val="NormalWeb"/>
        <w:spacing w:beforeAutospacing="0" w:afterAutospacing="0"/>
        <w:ind w:left="720" w:hanging="720"/>
        <w:jc w:val="both"/>
      </w:pPr>
      <w:r>
        <w:rPr>
          <w:color w:val="1B1B1B"/>
          <w:shd w:val="clear" w:color="auto" w:fill="FFFFFF"/>
        </w:rPr>
        <w:t>Alhabbab R. Y. (2022). Lateral Flow Immunoassays for Detecting Viral Infectious Antigens and Antibodies. </w:t>
      </w:r>
      <w:r>
        <w:rPr>
          <w:i/>
          <w:iCs/>
          <w:color w:val="1B1B1B"/>
          <w:shd w:val="clear" w:color="auto" w:fill="FFFFFF"/>
        </w:rPr>
        <w:t>Micromachines</w:t>
      </w:r>
      <w:r>
        <w:rPr>
          <w:color w:val="1B1B1B"/>
          <w:shd w:val="clear" w:color="auto" w:fill="FFFFFF"/>
        </w:rPr>
        <w:t>, </w:t>
      </w:r>
      <w:r>
        <w:rPr>
          <w:i/>
          <w:iCs/>
          <w:color w:val="1B1B1B"/>
          <w:shd w:val="clear" w:color="auto" w:fill="FFFFFF"/>
        </w:rPr>
        <w:t>13</w:t>
      </w:r>
      <w:r>
        <w:rPr>
          <w:color w:val="1B1B1B"/>
          <w:shd w:val="clear" w:color="auto" w:fill="FFFFFF"/>
        </w:rPr>
        <w:t>(11), 1901. https://doi.org/10.3390/mi13111901</w:t>
      </w:r>
    </w:p>
    <w:p w14:paraId="5D775A13" w14:textId="77777777" w:rsidR="008A27E2" w:rsidRDefault="006B0038">
      <w:pPr>
        <w:pStyle w:val="NormalWeb"/>
        <w:spacing w:beforeAutospacing="0" w:afterAutospacing="0"/>
        <w:ind w:left="720" w:hanging="720"/>
        <w:rPr>
          <w:rFonts w:ascii="Consolas" w:hAnsi="Consolas"/>
          <w:color w:val="1B1B1B"/>
          <w:shd w:val="clear" w:color="auto" w:fill="FFFFFF"/>
        </w:rPr>
      </w:pPr>
      <w:bookmarkStart w:id="1" w:name="_Hlk197846136"/>
      <w:r>
        <w:rPr>
          <w:color w:val="1B1B1B"/>
          <w:shd w:val="clear" w:color="auto" w:fill="FFFFFF"/>
        </w:rPr>
        <w:lastRenderedPageBreak/>
        <w:t>Aliyo,</w:t>
      </w:r>
      <w:bookmarkEnd w:id="1"/>
      <w:r>
        <w:rPr>
          <w:color w:val="1B1B1B"/>
          <w:shd w:val="clear" w:color="auto" w:fill="FFFFFF"/>
        </w:rPr>
        <w:t xml:space="preserve"> A., Ashenafi, G., &amp; Adem, S. (2022). Evaluation of Transfusion Transmissible Infections Prevalence and Trend Among Blood Donors Attended at Bule Hora Blood Bank, West Guji, South Ethiopia. </w:t>
      </w:r>
      <w:r>
        <w:rPr>
          <w:i/>
          <w:iCs/>
          <w:color w:val="1B1B1B"/>
          <w:shd w:val="clear" w:color="auto" w:fill="FFFFFF"/>
        </w:rPr>
        <w:t>Health services research and managerial epidemiology</w:t>
      </w:r>
      <w:r>
        <w:rPr>
          <w:color w:val="1B1B1B"/>
          <w:shd w:val="clear" w:color="auto" w:fill="FFFFFF"/>
        </w:rPr>
        <w:t>, </w:t>
      </w:r>
      <w:r>
        <w:rPr>
          <w:i/>
          <w:iCs/>
          <w:color w:val="1B1B1B"/>
          <w:shd w:val="clear" w:color="auto" w:fill="FFFFFF"/>
        </w:rPr>
        <w:t>9</w:t>
      </w:r>
      <w:r>
        <w:rPr>
          <w:color w:val="1B1B1B"/>
          <w:shd w:val="clear" w:color="auto" w:fill="FFFFFF"/>
        </w:rPr>
        <w:t>, 23333928221136717.</w:t>
      </w:r>
      <w:r>
        <w:rPr>
          <w:rFonts w:ascii="Consolas" w:hAnsi="Consolas"/>
          <w:color w:val="1B1B1B"/>
          <w:shd w:val="clear" w:color="auto" w:fill="FFFFFF"/>
        </w:rPr>
        <w:t xml:space="preserve"> </w:t>
      </w:r>
      <w:hyperlink r:id="rId12" w:history="1">
        <w:r w:rsidR="008A27E2">
          <w:rPr>
            <w:rStyle w:val="Hyperlink"/>
            <w:rFonts w:ascii="Consolas" w:hAnsi="Consolas"/>
            <w:shd w:val="clear" w:color="auto" w:fill="FFFFFF"/>
          </w:rPr>
          <w:t>https://doi.org/10.1177/23333928221136717</w:t>
        </w:r>
      </w:hyperlink>
    </w:p>
    <w:p w14:paraId="0CF79EA4" w14:textId="77777777" w:rsidR="009D1B9B" w:rsidRDefault="009D1B9B" w:rsidP="009D1B9B">
      <w:pPr>
        <w:pStyle w:val="NormalWeb"/>
        <w:spacing w:beforeAutospacing="0" w:afterAutospacing="0"/>
        <w:ind w:left="720" w:hanging="720"/>
        <w:jc w:val="both"/>
      </w:pPr>
      <w:r>
        <w:t xml:space="preserve">Arora, S. K., Chhabra, M., Anuradha, A., </w:t>
      </w:r>
      <w:proofErr w:type="spellStart"/>
      <w:r>
        <w:t>Achra</w:t>
      </w:r>
      <w:proofErr w:type="spellEnd"/>
      <w:r>
        <w:t xml:space="preserve">, A., &amp; Duggal, N. (2021). COMPARISON OF FOURTH GENERATION ELISA AND RAPID DIAGNOSTIC TEST FOR DIAGNOSIS OF HEPATITIS C VIRUS(HCV) INFECTION IN a TERTIARY CARE HOSPITAL. </w:t>
      </w:r>
      <w:r>
        <w:rPr>
          <w:i/>
          <w:iCs/>
        </w:rPr>
        <w:t>PARIPEX-INDIAN JOURNAL OF RESEARCH</w:t>
      </w:r>
      <w:r>
        <w:t xml:space="preserve">, 15–17. </w:t>
      </w:r>
      <w:r>
        <w:rPr>
          <w:rStyle w:val="url"/>
        </w:rPr>
        <w:t>https://doi.org/10.36106/2000717</w:t>
      </w:r>
    </w:p>
    <w:p w14:paraId="3E3A23DF" w14:textId="1F7CDDCC" w:rsidR="008A27E2" w:rsidRDefault="006B0038">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Bartonjo</w:t>
      </w:r>
      <w:proofErr w:type="spellEnd"/>
      <w:r>
        <w:rPr>
          <w:rFonts w:ascii="Times New Roman" w:eastAsia="Times New Roman" w:hAnsi="Times New Roman" w:cs="Times New Roman"/>
          <w:sz w:val="24"/>
          <w:szCs w:val="24"/>
        </w:rPr>
        <w:t xml:space="preserve">, G., Oundo, J., &amp; Ng’ang’a, Z. (2019). Prevalence and associated risk factors of transfusion transmissible infections among blood donors at Regional Blood Transfusion Center Nakuru and Tenwek Mission Hospital, Kenya. </w:t>
      </w:r>
      <w:r>
        <w:rPr>
          <w:rFonts w:ascii="Times New Roman" w:eastAsia="Times New Roman" w:hAnsi="Times New Roman" w:cs="Times New Roman"/>
          <w:i/>
          <w:iCs/>
          <w:sz w:val="24"/>
          <w:szCs w:val="24"/>
        </w:rPr>
        <w:t>Pan African Medical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34</w:t>
      </w:r>
      <w:r>
        <w:rPr>
          <w:rFonts w:ascii="Times New Roman" w:eastAsia="Times New Roman" w:hAnsi="Times New Roman" w:cs="Times New Roman"/>
          <w:sz w:val="24"/>
          <w:szCs w:val="24"/>
        </w:rPr>
        <w:t xml:space="preserve">. </w:t>
      </w:r>
      <w:hyperlink r:id="rId13" w:history="1">
        <w:r w:rsidR="00CD5663" w:rsidRPr="003F6737">
          <w:rPr>
            <w:rStyle w:val="Hyperlink"/>
            <w:rFonts w:ascii="Times New Roman" w:eastAsia="Times New Roman" w:hAnsi="Times New Roman" w:cs="Times New Roman"/>
            <w:sz w:val="24"/>
            <w:szCs w:val="24"/>
          </w:rPr>
          <w:t>https://doi.org/10.11604/pamj.2019.34.31.17885</w:t>
        </w:r>
      </w:hyperlink>
    </w:p>
    <w:p w14:paraId="14559542" w14:textId="77777777" w:rsidR="00CD5663" w:rsidRDefault="00CD5663" w:rsidP="00CD5663">
      <w:pPr>
        <w:pStyle w:val="NormalWeb"/>
        <w:spacing w:beforeAutospacing="0" w:afterAutospacing="0"/>
        <w:ind w:left="720" w:hanging="720"/>
        <w:jc w:val="both"/>
        <w:rPr>
          <w:rStyle w:val="url"/>
        </w:rPr>
      </w:pPr>
      <w:bookmarkStart w:id="2" w:name="_Hlk199443891"/>
      <w:r>
        <w:t>Cardoso</w:t>
      </w:r>
      <w:bookmarkEnd w:id="2"/>
      <w:r>
        <w:t xml:space="preserve">, M., Ragan, I., </w:t>
      </w:r>
      <w:proofErr w:type="spellStart"/>
      <w:r>
        <w:t>Hartson</w:t>
      </w:r>
      <w:proofErr w:type="spellEnd"/>
      <w:r>
        <w:t xml:space="preserve">, L., &amp; Goodrich, R. P. (2023). Emerging Pathogen Threats in Transfusion Medicine: Improving Safety and Confidence with Pathogen Reduction Technologies. </w:t>
      </w:r>
      <w:r>
        <w:rPr>
          <w:i/>
          <w:iCs/>
        </w:rPr>
        <w:t>Pathogens</w:t>
      </w:r>
      <w:r>
        <w:t xml:space="preserve">, </w:t>
      </w:r>
      <w:r>
        <w:rPr>
          <w:i/>
          <w:iCs/>
        </w:rPr>
        <w:t>12</w:t>
      </w:r>
      <w:r>
        <w:t xml:space="preserve">(7), 911. </w:t>
      </w:r>
      <w:hyperlink r:id="rId14" w:history="1">
        <w:r w:rsidRPr="003F6737">
          <w:rPr>
            <w:rStyle w:val="Hyperlink"/>
          </w:rPr>
          <w:t>https://doi.org/10.3390/pathogens12070911</w:t>
        </w:r>
      </w:hyperlink>
    </w:p>
    <w:p w14:paraId="5AE092CD" w14:textId="77777777" w:rsidR="00CD5663" w:rsidRDefault="00CD5663">
      <w:pPr>
        <w:ind w:left="720" w:hanging="720"/>
        <w:jc w:val="both"/>
        <w:rPr>
          <w:rFonts w:ascii="Times New Roman" w:eastAsia="Times New Roman" w:hAnsi="Times New Roman" w:cs="Times New Roman"/>
          <w:sz w:val="24"/>
          <w:szCs w:val="24"/>
        </w:rPr>
      </w:pPr>
    </w:p>
    <w:p w14:paraId="577F0165" w14:textId="77777777" w:rsidR="008A27E2" w:rsidRDefault="006B0038">
      <w:pPr>
        <w:ind w:left="720" w:hanging="720"/>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Chang, L., Zhao, J., Guo, F., Ji, H., Zhang, L., Jiang, X., &amp; Wang, L. (2019). Demographic characteristics of transfusion-transmitted infections among blood donors in China. </w:t>
      </w:r>
      <w:r>
        <w:rPr>
          <w:rFonts w:ascii="Times New Roman" w:hAnsi="Times New Roman" w:cs="Times New Roman"/>
          <w:i/>
          <w:iCs/>
          <w:color w:val="1B1B1B"/>
          <w:sz w:val="24"/>
          <w:szCs w:val="24"/>
          <w:shd w:val="clear" w:color="auto" w:fill="FFFFFF"/>
        </w:rPr>
        <w:t>BMC infectious diseases</w:t>
      </w:r>
      <w:r>
        <w:rPr>
          <w:rFonts w:ascii="Times New Roman" w:hAnsi="Times New Roman" w:cs="Times New Roman"/>
          <w:color w:val="1B1B1B"/>
          <w:sz w:val="24"/>
          <w:szCs w:val="24"/>
          <w:shd w:val="clear" w:color="auto" w:fill="FFFFFF"/>
        </w:rPr>
        <w:t>, </w:t>
      </w:r>
      <w:r>
        <w:rPr>
          <w:rFonts w:ascii="Times New Roman" w:hAnsi="Times New Roman" w:cs="Times New Roman"/>
          <w:i/>
          <w:iCs/>
          <w:color w:val="1B1B1B"/>
          <w:sz w:val="24"/>
          <w:szCs w:val="24"/>
          <w:shd w:val="clear" w:color="auto" w:fill="FFFFFF"/>
        </w:rPr>
        <w:t>19</w:t>
      </w:r>
      <w:r>
        <w:rPr>
          <w:rFonts w:ascii="Times New Roman" w:hAnsi="Times New Roman" w:cs="Times New Roman"/>
          <w:color w:val="1B1B1B"/>
          <w:sz w:val="24"/>
          <w:szCs w:val="24"/>
          <w:shd w:val="clear" w:color="auto" w:fill="FFFFFF"/>
        </w:rPr>
        <w:t xml:space="preserve">(1), 514. </w:t>
      </w:r>
      <w:hyperlink r:id="rId15" w:history="1">
        <w:r w:rsidR="008A27E2">
          <w:rPr>
            <w:rStyle w:val="Hyperlink"/>
            <w:rFonts w:ascii="Times New Roman" w:hAnsi="Times New Roman" w:cs="Times New Roman"/>
            <w:sz w:val="24"/>
            <w:szCs w:val="24"/>
            <w:shd w:val="clear" w:color="auto" w:fill="FFFFFF"/>
          </w:rPr>
          <w:t>https://doi.org/10.1186/s12879-019-4044-x</w:t>
        </w:r>
      </w:hyperlink>
    </w:p>
    <w:p w14:paraId="3E65624C" w14:textId="77777777" w:rsidR="008A27E2" w:rsidRDefault="006B0038">
      <w:pPr>
        <w:ind w:left="720" w:hanging="720"/>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Cwinyaai, N., Opio, D., Kajumbula, H., Zalwango, J. F., Akunzirwe, R., Okello, T., &amp; Francis, A. (2024). Prevalence and Factors Associated with transfusion-transmissible infections among blood donors in Arua regional blood bank, Uganda. </w:t>
      </w:r>
      <w:r>
        <w:rPr>
          <w:rFonts w:ascii="Times New Roman" w:hAnsi="Times New Roman" w:cs="Times New Roman"/>
          <w:i/>
          <w:iCs/>
          <w:color w:val="212121"/>
          <w:sz w:val="24"/>
          <w:szCs w:val="24"/>
          <w:shd w:val="clear" w:color="auto" w:fill="FFFFFF"/>
        </w:rPr>
        <w:t>BMC infectious diseases</w:t>
      </w:r>
      <w:r>
        <w:rPr>
          <w:rFonts w:ascii="Times New Roman" w:hAnsi="Times New Roman" w:cs="Times New Roman"/>
          <w:color w:val="212121"/>
          <w:sz w:val="24"/>
          <w:szCs w:val="24"/>
          <w:shd w:val="clear" w:color="auto" w:fill="FFFFFF"/>
        </w:rPr>
        <w:t>, </w:t>
      </w:r>
      <w:r>
        <w:rPr>
          <w:rFonts w:ascii="Times New Roman" w:hAnsi="Times New Roman" w:cs="Times New Roman"/>
          <w:i/>
          <w:iCs/>
          <w:color w:val="212121"/>
          <w:sz w:val="24"/>
          <w:szCs w:val="24"/>
          <w:shd w:val="clear" w:color="auto" w:fill="FFFFFF"/>
        </w:rPr>
        <w:t>24</w:t>
      </w:r>
      <w:r>
        <w:rPr>
          <w:rFonts w:ascii="Times New Roman" w:hAnsi="Times New Roman" w:cs="Times New Roman"/>
          <w:color w:val="212121"/>
          <w:sz w:val="24"/>
          <w:szCs w:val="24"/>
          <w:shd w:val="clear" w:color="auto" w:fill="FFFFFF"/>
        </w:rPr>
        <w:t xml:space="preserve">(1), 926. </w:t>
      </w:r>
      <w:hyperlink r:id="rId16" w:history="1">
        <w:r w:rsidR="008A27E2">
          <w:rPr>
            <w:rStyle w:val="Hyperlink"/>
            <w:rFonts w:ascii="Times New Roman" w:hAnsi="Times New Roman" w:cs="Times New Roman"/>
            <w:sz w:val="24"/>
            <w:szCs w:val="24"/>
            <w:shd w:val="clear" w:color="auto" w:fill="FFFFFF"/>
          </w:rPr>
          <w:t>https://doi.org/10.1186/s12879-024-09838-4</w:t>
        </w:r>
      </w:hyperlink>
    </w:p>
    <w:p w14:paraId="5278D8F2" w14:textId="77777777" w:rsidR="008A27E2" w:rsidRDefault="006B0038">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Dahie, H. A., Dakane, M. M., &amp; Mudei, N. M. (2024). Seroprevalence of transfusion transmissible infections (TTIS) among blood donors in SOS Hospital Heliwa, Somalia. </w:t>
      </w:r>
      <w:r>
        <w:rPr>
          <w:rFonts w:ascii="Times New Roman" w:eastAsia="Times New Roman" w:hAnsi="Times New Roman" w:cs="Times New Roman"/>
          <w:i/>
          <w:iCs/>
          <w:sz w:val="24"/>
          <w:szCs w:val="24"/>
        </w:rPr>
        <w:t>Heliyon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10</w:t>
      </w:r>
      <w:r>
        <w:rPr>
          <w:rFonts w:ascii="Times New Roman" w:eastAsia="Times New Roman" w:hAnsi="Times New Roman" w:cs="Times New Roman"/>
          <w:sz w:val="24"/>
          <w:szCs w:val="24"/>
        </w:rPr>
        <w:t>(18), e37905. https://doi.org/10.1016/j.heliyon.2024.e37905</w:t>
      </w:r>
    </w:p>
    <w:p w14:paraId="0127A5DE" w14:textId="77777777" w:rsidR="008A27E2" w:rsidRDefault="006B0038">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Daneshi, S., Davarani, E. R., Arefi, F., Mehr, F. J., Hushmandi, K., Raei, M., Fariabi, R., &amp; Shahrokhabadi, M. S. (2021). Factors affecting blood donation intervals and patterns of return based on a sample in Southern Iran: A Follow-Up design. </w:t>
      </w:r>
      <w:r>
        <w:rPr>
          <w:rFonts w:ascii="Times New Roman" w:eastAsia="Times New Roman" w:hAnsi="Times New Roman" w:cs="Times New Roman"/>
          <w:i/>
          <w:iCs/>
          <w:sz w:val="24"/>
          <w:szCs w:val="24"/>
        </w:rPr>
        <w:t>Russian Open Medical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10</w:t>
      </w:r>
      <w:r>
        <w:rPr>
          <w:rFonts w:ascii="Times New Roman" w:eastAsia="Times New Roman" w:hAnsi="Times New Roman" w:cs="Times New Roman"/>
          <w:sz w:val="24"/>
          <w:szCs w:val="24"/>
        </w:rPr>
        <w:t>(4). https://doi.org/10.15275/rusomj.2021.0406</w:t>
      </w:r>
    </w:p>
    <w:p w14:paraId="6912E2FA" w14:textId="77777777" w:rsidR="008A27E2" w:rsidRDefault="006B0038">
      <w:pPr>
        <w:pStyle w:val="NormalWeb"/>
        <w:ind w:left="398" w:hangingChars="166" w:hanging="398"/>
        <w:jc w:val="both"/>
      </w:pPr>
      <w:r>
        <w:t xml:space="preserve">Deshmukh, S., Rathod, Y., Thakore, S., &amp; Jadhav, S. (2024). Prevalence of transfusion-transmissible infections among voluntary blood donors in a tertiary care hospital. </w:t>
      </w:r>
      <w:r>
        <w:rPr>
          <w:rStyle w:val="Emphasis"/>
        </w:rPr>
        <w:t>Cureus.</w:t>
      </w:r>
      <w:r>
        <w:t xml:space="preserve"> </w:t>
      </w:r>
      <w:hyperlink r:id="rId17" w:history="1">
        <w:r w:rsidR="008A27E2">
          <w:rPr>
            <w:rStyle w:val="Hyperlink"/>
          </w:rPr>
          <w:t>https://doi.org/10.7759/cureus.70469</w:t>
        </w:r>
      </w:hyperlink>
    </w:p>
    <w:p w14:paraId="149A8CE8" w14:textId="77777777" w:rsidR="008A27E2" w:rsidRDefault="006B0038">
      <w:pPr>
        <w:ind w:left="720" w:hanging="720"/>
        <w:jc w:val="both"/>
        <w:rPr>
          <w:rFonts w:ascii="Times New Roman" w:hAnsi="Times New Roman" w:cs="Times New Roman"/>
          <w:color w:val="212121"/>
          <w:sz w:val="24"/>
          <w:szCs w:val="24"/>
          <w:shd w:val="clear" w:color="auto" w:fill="FFFFFF"/>
        </w:rPr>
      </w:pPr>
      <w:bookmarkStart w:id="3" w:name="_Hlk198380289"/>
      <w:r>
        <w:rPr>
          <w:rFonts w:ascii="Times New Roman" w:hAnsi="Times New Roman" w:cs="Times New Roman"/>
          <w:color w:val="212121"/>
          <w:sz w:val="24"/>
          <w:szCs w:val="24"/>
          <w:shd w:val="clear" w:color="auto" w:fill="FFFFFF"/>
        </w:rPr>
        <w:t>Doosti-Irani</w:t>
      </w:r>
      <w:bookmarkEnd w:id="3"/>
      <w:r>
        <w:rPr>
          <w:rFonts w:ascii="Times New Roman" w:hAnsi="Times New Roman" w:cs="Times New Roman"/>
          <w:color w:val="212121"/>
          <w:sz w:val="24"/>
          <w:szCs w:val="24"/>
          <w:shd w:val="clear" w:color="auto" w:fill="FFFFFF"/>
        </w:rPr>
        <w:t>, A., Mokhaeri, H., Chegini Sharafi, A., Aghasadeghi, M. R., Hajimiragha, M., Saki, M., Kayedi, M. H., &amp; Mostafavi, E. (2017). Prevalence of HIV, HBV, and HCV and Related Risk Factors amongst Male Homeless People in Lorestan Province, the West of Iran. </w:t>
      </w:r>
      <w:r>
        <w:rPr>
          <w:rFonts w:ascii="Times New Roman" w:hAnsi="Times New Roman" w:cs="Times New Roman"/>
          <w:i/>
          <w:iCs/>
          <w:color w:val="212121"/>
          <w:sz w:val="24"/>
          <w:szCs w:val="24"/>
          <w:shd w:val="clear" w:color="auto" w:fill="FFFFFF"/>
        </w:rPr>
        <w:t>Journal of research in health sciences</w:t>
      </w:r>
      <w:r>
        <w:rPr>
          <w:rFonts w:ascii="Times New Roman" w:hAnsi="Times New Roman" w:cs="Times New Roman"/>
          <w:color w:val="212121"/>
          <w:sz w:val="24"/>
          <w:szCs w:val="24"/>
          <w:shd w:val="clear" w:color="auto" w:fill="FFFFFF"/>
        </w:rPr>
        <w:t>, </w:t>
      </w:r>
      <w:r>
        <w:rPr>
          <w:rFonts w:ascii="Times New Roman" w:hAnsi="Times New Roman" w:cs="Times New Roman"/>
          <w:i/>
          <w:iCs/>
          <w:color w:val="212121"/>
          <w:sz w:val="24"/>
          <w:szCs w:val="24"/>
          <w:shd w:val="clear" w:color="auto" w:fill="FFFFFF"/>
        </w:rPr>
        <w:t>17</w:t>
      </w:r>
      <w:r>
        <w:rPr>
          <w:rFonts w:ascii="Times New Roman" w:hAnsi="Times New Roman" w:cs="Times New Roman"/>
          <w:color w:val="212121"/>
          <w:sz w:val="24"/>
          <w:szCs w:val="24"/>
          <w:shd w:val="clear" w:color="auto" w:fill="FFFFFF"/>
        </w:rPr>
        <w:t>(1), e00373.</w:t>
      </w:r>
    </w:p>
    <w:p w14:paraId="081C576F" w14:textId="77777777" w:rsidR="008A27E2" w:rsidRDefault="006B0038">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Durowade, K., Ibijola, A., Adegbamigbe, O., Adebara, I., Okunlola, A., Awe, A., &amp; Sanni, T. (2023). Prevalence of transfusion-transmissible infections and unfitness predictors among blood donors in a tertiary hospital in Nigeria. </w:t>
      </w:r>
      <w:r>
        <w:rPr>
          <w:rFonts w:ascii="Times New Roman" w:eastAsia="Times New Roman" w:hAnsi="Times New Roman" w:cs="Times New Roman"/>
          <w:i/>
          <w:iCs/>
          <w:sz w:val="24"/>
          <w:szCs w:val="24"/>
        </w:rPr>
        <w:t>Nigerian Journal of Medicine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32</w:t>
      </w:r>
      <w:r>
        <w:rPr>
          <w:rFonts w:ascii="Times New Roman" w:eastAsia="Times New Roman" w:hAnsi="Times New Roman" w:cs="Times New Roman"/>
          <w:sz w:val="24"/>
          <w:szCs w:val="24"/>
        </w:rPr>
        <w:t xml:space="preserve">(2), 195. </w:t>
      </w:r>
      <w:hyperlink r:id="rId18" w:history="1">
        <w:r w:rsidR="008A27E2">
          <w:rPr>
            <w:rStyle w:val="Hyperlink"/>
            <w:rFonts w:ascii="Times New Roman" w:eastAsia="Times New Roman" w:hAnsi="Times New Roman" w:cs="Times New Roman"/>
            <w:sz w:val="24"/>
            <w:szCs w:val="24"/>
          </w:rPr>
          <w:t>https://doi.org/10.4103/njm.njm_24_23</w:t>
        </w:r>
      </w:hyperlink>
    </w:p>
    <w:p w14:paraId="4252E4D0" w14:textId="77777777" w:rsidR="008A27E2" w:rsidRDefault="006B0038">
      <w:pPr>
        <w:pStyle w:val="NormalWeb"/>
        <w:ind w:left="398" w:hangingChars="166" w:hanging="398"/>
        <w:jc w:val="both"/>
      </w:pPr>
      <w:r>
        <w:lastRenderedPageBreak/>
        <w:t xml:space="preserve">Emadi, B., Ghahraman Rezaieh, M., &amp; Sedighi, M. (2021). Seroprevalence and trends of transfusion-transmissible infections among retrospective blood donors in Western Azerbaijan Regional Blood Transfusion Center, Iran: A ten-year evaluation. </w:t>
      </w:r>
      <w:r>
        <w:rPr>
          <w:rStyle w:val="Emphasis"/>
        </w:rPr>
        <w:t>Transfusion and Apheresis Science, 60</w:t>
      </w:r>
      <w:r>
        <w:t xml:space="preserve">(3), 103132. </w:t>
      </w:r>
      <w:hyperlink r:id="rId19" w:history="1">
        <w:r w:rsidR="008A27E2">
          <w:rPr>
            <w:rStyle w:val="Hyperlink"/>
          </w:rPr>
          <w:t>https://doi.org/10.1016/j.transci.2021.103132</w:t>
        </w:r>
      </w:hyperlink>
    </w:p>
    <w:p w14:paraId="0120CED7" w14:textId="77777777" w:rsidR="008A27E2" w:rsidRDefault="006B0038">
      <w:pPr>
        <w:ind w:left="720" w:hanging="720"/>
        <w:jc w:val="both"/>
        <w:rPr>
          <w:rFonts w:ascii="Times New Roman" w:eastAsia="Times New Roman" w:hAnsi="Times New Roman" w:cs="Times New Roman"/>
          <w:sz w:val="24"/>
          <w:szCs w:val="24"/>
        </w:rPr>
      </w:pPr>
      <w:bookmarkStart w:id="4" w:name="_Hlk198376579"/>
      <w:r>
        <w:rPr>
          <w:rFonts w:ascii="Times New Roman" w:eastAsia="Times New Roman" w:hAnsi="Times New Roman" w:cs="Times New Roman"/>
          <w:sz w:val="24"/>
          <w:szCs w:val="24"/>
        </w:rPr>
        <w:t>Etete, P. G., &amp; Inya, O. N. (2021</w:t>
      </w:r>
      <w:bookmarkEnd w:id="4"/>
      <w:r>
        <w:rPr>
          <w:rFonts w:ascii="Times New Roman" w:eastAsia="Times New Roman" w:hAnsi="Times New Roman" w:cs="Times New Roman"/>
          <w:sz w:val="24"/>
          <w:szCs w:val="24"/>
        </w:rPr>
        <w:t xml:space="preserve">). Evaluation of Factors affecting voluntary blood donation in South-South Nigeria: Focus on Akwa Ibom State. </w:t>
      </w:r>
      <w:r>
        <w:rPr>
          <w:rFonts w:ascii="Times New Roman" w:eastAsia="Times New Roman" w:hAnsi="Times New Roman" w:cs="Times New Roman"/>
          <w:i/>
          <w:iCs/>
          <w:sz w:val="24"/>
          <w:szCs w:val="24"/>
        </w:rPr>
        <w:t>Archives of Preventive Medicine</w:t>
      </w:r>
      <w:r>
        <w:rPr>
          <w:rFonts w:ascii="Times New Roman" w:eastAsia="Times New Roman" w:hAnsi="Times New Roman" w:cs="Times New Roman"/>
          <w:sz w:val="24"/>
          <w:szCs w:val="24"/>
        </w:rPr>
        <w:t xml:space="preserve">, 007–011. </w:t>
      </w:r>
      <w:hyperlink r:id="rId20" w:history="1">
        <w:r w:rsidR="008A27E2">
          <w:rPr>
            <w:rStyle w:val="Hyperlink"/>
            <w:rFonts w:ascii="Times New Roman" w:eastAsia="Times New Roman" w:hAnsi="Times New Roman" w:cs="Times New Roman"/>
            <w:sz w:val="24"/>
            <w:szCs w:val="24"/>
          </w:rPr>
          <w:t>https://doi.org/10.17352/apm.000028</w:t>
        </w:r>
      </w:hyperlink>
    </w:p>
    <w:p w14:paraId="62ABC853" w14:textId="77777777" w:rsidR="008A27E2" w:rsidRDefault="006B0038">
      <w:pPr>
        <w:pStyle w:val="NormalWeb"/>
        <w:ind w:left="398" w:hangingChars="166" w:hanging="398"/>
        <w:jc w:val="both"/>
      </w:pPr>
      <w:r>
        <w:t xml:space="preserve">Famoni, O., Oyinloye, J., Okiki, P., Daramola, O., Ojerinde, O., &amp; Ajayi, D. (2024). Prevalence of HBV co-infections with HCV and HIV among blood donors in Ado-Ekiti, Ekiti State, Nigeria. </w:t>
      </w:r>
      <w:r>
        <w:rPr>
          <w:rStyle w:val="Emphasis"/>
        </w:rPr>
        <w:t>Journal of Advances in Microbiology, 24</w:t>
      </w:r>
      <w:r>
        <w:t xml:space="preserve">(5), 6–17. </w:t>
      </w:r>
      <w:hyperlink r:id="rId21" w:history="1">
        <w:r w:rsidR="008A27E2">
          <w:rPr>
            <w:rStyle w:val="Hyperlink"/>
          </w:rPr>
          <w:t>https://doi.org/10.9734/jamb/2024/v24i5822</w:t>
        </w:r>
      </w:hyperlink>
    </w:p>
    <w:p w14:paraId="7330F729" w14:textId="793E9D65" w:rsidR="008A27E2" w:rsidRDefault="006B0038">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Fasakin, K. A., Muhibi, M. A., Ibijola, A. A., Ajayi, O. D., Onyema, M. I., Obazee, Y., Adeniyi, A. A., </w:t>
      </w:r>
      <w:r w:rsidR="000C3B50">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z w:val="24"/>
          <w:szCs w:val="24"/>
        </w:rPr>
        <w:t>Ajetunmobi</w:t>
      </w:r>
      <w:proofErr w:type="spellEnd"/>
      <w:r>
        <w:rPr>
          <w:rFonts w:ascii="Times New Roman" w:eastAsia="Times New Roman" w:hAnsi="Times New Roman" w:cs="Times New Roman"/>
          <w:sz w:val="24"/>
          <w:szCs w:val="24"/>
        </w:rPr>
        <w:t>, W. A.</w:t>
      </w:r>
      <w:r w:rsidR="000C3B50">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xml:space="preserve"> (2022). Sero-Epidemiology of Transfusion Transmissible Hepatitis B, C and E among Blood Donors in Ekiti, Southwestern Nigeria: A Cross-sectional Study. </w:t>
      </w:r>
      <w:r>
        <w:rPr>
          <w:rFonts w:ascii="Times New Roman" w:eastAsia="Times New Roman" w:hAnsi="Times New Roman" w:cs="Times New Roman"/>
          <w:i/>
          <w:iCs/>
          <w:sz w:val="24"/>
          <w:szCs w:val="24"/>
        </w:rPr>
        <w:t>Journal of Advances in Medicine and Medical Research</w:t>
      </w:r>
      <w:r>
        <w:rPr>
          <w:rFonts w:ascii="Times New Roman" w:eastAsia="Times New Roman" w:hAnsi="Times New Roman" w:cs="Times New Roman"/>
          <w:sz w:val="24"/>
          <w:szCs w:val="24"/>
        </w:rPr>
        <w:t xml:space="preserve">, 61–72. </w:t>
      </w:r>
      <w:hyperlink r:id="rId22" w:history="1">
        <w:r w:rsidR="00CD5663" w:rsidRPr="003F6737">
          <w:rPr>
            <w:rStyle w:val="Hyperlink"/>
            <w:rFonts w:ascii="Times New Roman" w:eastAsia="Times New Roman" w:hAnsi="Times New Roman" w:cs="Times New Roman"/>
            <w:sz w:val="24"/>
            <w:szCs w:val="24"/>
          </w:rPr>
          <w:t>https://doi.org/10.9734/jammr/2022/v34i1331380</w:t>
        </w:r>
      </w:hyperlink>
    </w:p>
    <w:p w14:paraId="6B0C4588" w14:textId="77777777" w:rsidR="00CD5663" w:rsidRPr="00771720" w:rsidRDefault="00CD5663" w:rsidP="00CD5663">
      <w:pPr>
        <w:ind w:left="720" w:hanging="720"/>
        <w:jc w:val="both"/>
        <w:rPr>
          <w:rFonts w:ascii="Times New Roman" w:hAnsi="Times New Roman" w:cs="Times New Roman"/>
          <w:sz w:val="24"/>
          <w:szCs w:val="24"/>
        </w:rPr>
      </w:pPr>
      <w:r w:rsidRPr="00771720">
        <w:rPr>
          <w:rFonts w:ascii="Times New Roman" w:hAnsi="Times New Roman" w:cs="Times New Roman"/>
          <w:sz w:val="24"/>
          <w:szCs w:val="24"/>
        </w:rPr>
        <w:t>Fong I. W. (2020). Blood Transfusion-Associated Infections in the Twenty-First Century: New Challenges. Current Trends and Concerns in Infectious Diseases, 191–215. https://doi.org/10.1007/978-3-030-36966-8_8</w:t>
      </w:r>
    </w:p>
    <w:p w14:paraId="769FFBB1" w14:textId="77777777" w:rsidR="00CD5663" w:rsidRDefault="00CD5663">
      <w:pPr>
        <w:ind w:left="720" w:hanging="720"/>
        <w:jc w:val="both"/>
        <w:rPr>
          <w:rFonts w:ascii="Times New Roman" w:eastAsia="Times New Roman" w:hAnsi="Times New Roman" w:cs="Times New Roman"/>
          <w:sz w:val="24"/>
          <w:szCs w:val="24"/>
        </w:rPr>
      </w:pPr>
    </w:p>
    <w:p w14:paraId="3886D17D" w14:textId="3361E890" w:rsidR="008A27E2" w:rsidRDefault="006B0038">
      <w:pPr>
        <w:pStyle w:val="NormalWeb"/>
        <w:spacing w:beforeAutospacing="0" w:afterAutospacing="0"/>
        <w:ind w:left="720" w:hanging="720"/>
      </w:pPr>
      <w:bookmarkStart w:id="5" w:name="_Hlk197848352"/>
      <w:r>
        <w:t>Gao</w:t>
      </w:r>
      <w:bookmarkEnd w:id="5"/>
      <w:r>
        <w:t xml:space="preserve">, Z., Liu, J., Fu, P., Huang, M., Cao, R., Wen, X., </w:t>
      </w:r>
      <w:r w:rsidR="000C3B50">
        <w:t xml:space="preserve">&amp; </w:t>
      </w:r>
      <w:r>
        <w:t>Zhang, C.</w:t>
      </w:r>
      <w:r w:rsidR="000C3B50">
        <w:t xml:space="preserve"> et al </w:t>
      </w:r>
      <w:r>
        <w:t xml:space="preserve">(2019). Estimation of hepatitis B–positive rates in Chinese blood donors by combining predonation and postdonation screening results. </w:t>
      </w:r>
      <w:r>
        <w:rPr>
          <w:i/>
          <w:iCs/>
        </w:rPr>
        <w:t>Transfusion</w:t>
      </w:r>
      <w:r>
        <w:t xml:space="preserve">, </w:t>
      </w:r>
      <w:r>
        <w:rPr>
          <w:i/>
          <w:iCs/>
        </w:rPr>
        <w:t>59</w:t>
      </w:r>
      <w:r>
        <w:t xml:space="preserve">(5), 1749–1754. </w:t>
      </w:r>
      <w:hyperlink r:id="rId23" w:history="1">
        <w:r w:rsidR="008A27E2">
          <w:rPr>
            <w:rStyle w:val="Hyperlink"/>
          </w:rPr>
          <w:t>https://doi.org/10.1111/trf.15158</w:t>
        </w:r>
      </w:hyperlink>
    </w:p>
    <w:p w14:paraId="2D5D0C8D" w14:textId="77777777" w:rsidR="008A27E2" w:rsidRDefault="008A27E2" w:rsidP="00CD5663">
      <w:pPr>
        <w:jc w:val="both"/>
        <w:rPr>
          <w:rFonts w:ascii="Times New Roman" w:hAnsi="Times New Roman" w:cs="Times New Roman"/>
          <w:color w:val="1B1B1B"/>
          <w:sz w:val="24"/>
          <w:szCs w:val="24"/>
          <w:shd w:val="clear" w:color="auto" w:fill="FFFFFF"/>
        </w:rPr>
      </w:pPr>
    </w:p>
    <w:p w14:paraId="65B7453A" w14:textId="77777777" w:rsidR="008A27E2" w:rsidRDefault="006B0038">
      <w:pPr>
        <w:ind w:left="720" w:hanging="720"/>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Gebreyes, D. S., Kifetew, K., Gizaw, A., Abebe, T. A., Shenkutie, T. T., Genetu, D., Yitayew, B., &amp; Hailu, A. (2025). Prevalence and Risk Factors of Transfusion-Transmissible Infections Among Voluntary Blood Donors in North Shoa, Amhara Region, Ethiopia: A Cross-Sectional Study. </w:t>
      </w:r>
      <w:r>
        <w:rPr>
          <w:rFonts w:ascii="Times New Roman" w:hAnsi="Times New Roman" w:cs="Times New Roman"/>
          <w:i/>
          <w:iCs/>
          <w:color w:val="1B1B1B"/>
          <w:sz w:val="24"/>
          <w:szCs w:val="24"/>
          <w:shd w:val="clear" w:color="auto" w:fill="FFFFFF"/>
        </w:rPr>
        <w:t>Health science reports</w:t>
      </w:r>
      <w:r>
        <w:rPr>
          <w:rFonts w:ascii="Times New Roman" w:hAnsi="Times New Roman" w:cs="Times New Roman"/>
          <w:color w:val="1B1B1B"/>
          <w:sz w:val="24"/>
          <w:szCs w:val="24"/>
          <w:shd w:val="clear" w:color="auto" w:fill="FFFFFF"/>
        </w:rPr>
        <w:t>, </w:t>
      </w:r>
      <w:r>
        <w:rPr>
          <w:rFonts w:ascii="Times New Roman" w:hAnsi="Times New Roman" w:cs="Times New Roman"/>
          <w:i/>
          <w:iCs/>
          <w:color w:val="1B1B1B"/>
          <w:sz w:val="24"/>
          <w:szCs w:val="24"/>
          <w:shd w:val="clear" w:color="auto" w:fill="FFFFFF"/>
        </w:rPr>
        <w:t>8</w:t>
      </w:r>
      <w:r>
        <w:rPr>
          <w:rFonts w:ascii="Times New Roman" w:hAnsi="Times New Roman" w:cs="Times New Roman"/>
          <w:color w:val="1B1B1B"/>
          <w:sz w:val="24"/>
          <w:szCs w:val="24"/>
          <w:shd w:val="clear" w:color="auto" w:fill="FFFFFF"/>
        </w:rPr>
        <w:t xml:space="preserve">(5), e70769. </w:t>
      </w:r>
      <w:hyperlink r:id="rId24" w:history="1">
        <w:r w:rsidR="008A27E2">
          <w:rPr>
            <w:rStyle w:val="Hyperlink"/>
            <w:rFonts w:ascii="Times New Roman" w:hAnsi="Times New Roman" w:cs="Times New Roman"/>
            <w:sz w:val="24"/>
            <w:szCs w:val="24"/>
            <w:shd w:val="clear" w:color="auto" w:fill="FFFFFF"/>
          </w:rPr>
          <w:t>https://doi.org/10.1002/hsr2.70769</w:t>
        </w:r>
      </w:hyperlink>
    </w:p>
    <w:p w14:paraId="42E7B144" w14:textId="77777777" w:rsidR="008A27E2" w:rsidRDefault="006B0038">
      <w:pPr>
        <w:ind w:left="720" w:hanging="720"/>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Habibu, I., Abubakar, B. M., Moi, I. M., &amp; Abdulrazaq, R. (2025). Seroprevalence of HIV, HBV, HCV and Syphilis among blood donors in a Nigerian tertiary medical centre. </w:t>
      </w:r>
      <w:r>
        <w:rPr>
          <w:rFonts w:ascii="Times New Roman" w:hAnsi="Times New Roman" w:cs="Times New Roman"/>
          <w:i/>
          <w:iCs/>
          <w:color w:val="1B1B1B"/>
          <w:sz w:val="24"/>
          <w:szCs w:val="24"/>
          <w:shd w:val="clear" w:color="auto" w:fill="FFFFFF"/>
        </w:rPr>
        <w:t>BMC infectious diseases</w:t>
      </w:r>
      <w:r>
        <w:rPr>
          <w:rFonts w:ascii="Times New Roman" w:hAnsi="Times New Roman" w:cs="Times New Roman"/>
          <w:color w:val="1B1B1B"/>
          <w:sz w:val="24"/>
          <w:szCs w:val="24"/>
          <w:shd w:val="clear" w:color="auto" w:fill="FFFFFF"/>
        </w:rPr>
        <w:t>, </w:t>
      </w:r>
      <w:r>
        <w:rPr>
          <w:rFonts w:ascii="Times New Roman" w:hAnsi="Times New Roman" w:cs="Times New Roman"/>
          <w:i/>
          <w:iCs/>
          <w:color w:val="1B1B1B"/>
          <w:sz w:val="24"/>
          <w:szCs w:val="24"/>
          <w:shd w:val="clear" w:color="auto" w:fill="FFFFFF"/>
        </w:rPr>
        <w:t>25</w:t>
      </w:r>
      <w:r>
        <w:rPr>
          <w:rFonts w:ascii="Times New Roman" w:hAnsi="Times New Roman" w:cs="Times New Roman"/>
          <w:color w:val="1B1B1B"/>
          <w:sz w:val="24"/>
          <w:szCs w:val="24"/>
          <w:shd w:val="clear" w:color="auto" w:fill="FFFFFF"/>
        </w:rPr>
        <w:t xml:space="preserve">(1), 638. </w:t>
      </w:r>
      <w:hyperlink r:id="rId25" w:history="1">
        <w:r w:rsidR="008A27E2">
          <w:rPr>
            <w:rStyle w:val="Hyperlink"/>
            <w:rFonts w:ascii="Times New Roman" w:hAnsi="Times New Roman" w:cs="Times New Roman"/>
            <w:sz w:val="24"/>
            <w:szCs w:val="24"/>
            <w:shd w:val="clear" w:color="auto" w:fill="FFFFFF"/>
          </w:rPr>
          <w:t>https://doi.org/10.1186/s12879-025-11024-z</w:t>
        </w:r>
      </w:hyperlink>
    </w:p>
    <w:p w14:paraId="54B0665F" w14:textId="4E239FAC" w:rsidR="00CD5663" w:rsidRPr="000C3B50" w:rsidRDefault="006B0038" w:rsidP="000C3B5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Hadfield, P. Y., Vechey, G. A., Bansah, E., Nyahe, M., Khuzwayo, N., &amp; Tarkang, E. E. (2024). Transfusion-Transmissible infections among blood donors in a regional hospital in Ghana: a 6-Year trend Analysis (2017-2022). </w:t>
      </w:r>
      <w:r>
        <w:rPr>
          <w:rFonts w:ascii="Times New Roman" w:eastAsia="Times New Roman" w:hAnsi="Times New Roman" w:cs="Times New Roman"/>
          <w:i/>
          <w:iCs/>
          <w:sz w:val="24"/>
          <w:szCs w:val="24"/>
        </w:rPr>
        <w:t>Journal of the International Association of Providers of AIDS Care (JIAPAC)</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23</w:t>
      </w:r>
      <w:r>
        <w:rPr>
          <w:rFonts w:ascii="Times New Roman" w:eastAsia="Times New Roman" w:hAnsi="Times New Roman" w:cs="Times New Roman"/>
          <w:sz w:val="24"/>
          <w:szCs w:val="24"/>
        </w:rPr>
        <w:t>. https://doi.org/10.1177/23259582241274305</w:t>
      </w:r>
    </w:p>
    <w:p w14:paraId="23AC2744" w14:textId="77777777" w:rsidR="009D1B9B" w:rsidRDefault="009D1B9B" w:rsidP="009D1B9B">
      <w:pPr>
        <w:pStyle w:val="NormalWeb"/>
        <w:spacing w:beforeAutospacing="0" w:afterAutospacing="0"/>
        <w:ind w:left="720" w:hanging="720"/>
        <w:jc w:val="both"/>
      </w:pPr>
      <w:r>
        <w:t xml:space="preserve">Haider, F., Ahmad, S., Ansari, A., &amp; Singh, M. (2020). Diagnostic performance of rapid diagnostic test (RDT) and enzyme-linked immunosorbent Assay (ELISA) in comparison with microscopy, for Malaria. </w:t>
      </w:r>
      <w:r>
        <w:rPr>
          <w:i/>
          <w:iCs/>
        </w:rPr>
        <w:t>www.dipterajournal.com</w:t>
      </w:r>
      <w:r>
        <w:t xml:space="preserve">. </w:t>
      </w:r>
      <w:r>
        <w:rPr>
          <w:rStyle w:val="url"/>
        </w:rPr>
        <w:t>https://www.dipterajournal.com/archives/2020/7/6/A/7-5-16</w:t>
      </w:r>
    </w:p>
    <w:p w14:paraId="7CEE454B" w14:textId="77777777" w:rsidR="000C3B50" w:rsidRDefault="000C3B50">
      <w:pPr>
        <w:ind w:left="720" w:hanging="720"/>
        <w:jc w:val="both"/>
        <w:rPr>
          <w:rFonts w:ascii="Times New Roman" w:hAnsi="Times New Roman" w:cs="Times New Roman"/>
          <w:sz w:val="24"/>
          <w:szCs w:val="24"/>
        </w:rPr>
      </w:pPr>
    </w:p>
    <w:p w14:paraId="05A952D8" w14:textId="77777777" w:rsidR="000C3B50" w:rsidRDefault="000C3B50">
      <w:pPr>
        <w:ind w:left="720" w:hanging="720"/>
        <w:jc w:val="both"/>
        <w:rPr>
          <w:rFonts w:ascii="Times New Roman" w:hAnsi="Times New Roman" w:cs="Times New Roman"/>
          <w:sz w:val="24"/>
          <w:szCs w:val="24"/>
        </w:rPr>
      </w:pPr>
    </w:p>
    <w:p w14:paraId="2F8198F1" w14:textId="5BE54588" w:rsidR="008A27E2" w:rsidRDefault="006B0038">
      <w:pPr>
        <w:ind w:left="720" w:hanging="720"/>
        <w:jc w:val="both"/>
        <w:rPr>
          <w:rStyle w:val="url"/>
          <w:rFonts w:ascii="Times New Roman" w:hAnsi="Times New Roman" w:cs="Times New Roman"/>
          <w:sz w:val="24"/>
          <w:szCs w:val="24"/>
        </w:rPr>
      </w:pPr>
      <w:r>
        <w:rPr>
          <w:rFonts w:ascii="Times New Roman" w:hAnsi="Times New Roman" w:cs="Times New Roman"/>
          <w:sz w:val="24"/>
          <w:szCs w:val="24"/>
        </w:rPr>
        <w:lastRenderedPageBreak/>
        <w:t xml:space="preserve">Hassan, S. C., Lazarus, M. S., Eke, S. S., Luka, J., Michael, O. D., Peters, E., &amp; Otuu, A. C. (2018). Assessment of indoor residual spraying and entomological collections of mosquitoes at the student village of Nasarawa State University, Keffi, Nasarawa State, Nigeria. </w:t>
      </w:r>
      <w:r>
        <w:rPr>
          <w:rFonts w:ascii="Times New Roman" w:hAnsi="Times New Roman" w:cs="Times New Roman"/>
          <w:i/>
          <w:iCs/>
          <w:sz w:val="24"/>
          <w:szCs w:val="24"/>
        </w:rPr>
        <w:t>Journal of Bioscience and Biotechnology Discovery</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 xml:space="preserve">(3), 71–77. </w:t>
      </w:r>
      <w:hyperlink r:id="rId26" w:history="1">
        <w:r w:rsidR="008A27E2">
          <w:rPr>
            <w:rStyle w:val="Hyperlink"/>
            <w:rFonts w:ascii="Times New Roman" w:hAnsi="Times New Roman" w:cs="Times New Roman"/>
            <w:sz w:val="24"/>
            <w:szCs w:val="24"/>
          </w:rPr>
          <w:t>https://doi.org/10.31248/jbbd2018.061</w:t>
        </w:r>
      </w:hyperlink>
    </w:p>
    <w:p w14:paraId="19D51B17" w14:textId="77777777" w:rsidR="008A27E2" w:rsidRDefault="002C4FB8">
      <w:pPr>
        <w:ind w:left="720" w:right="92" w:hanging="720"/>
        <w:jc w:val="both"/>
        <w:rPr>
          <w:rFonts w:ascii="Times New Roman" w:hAnsi="Times New Roman" w:cs="Times New Roman"/>
          <w:sz w:val="24"/>
          <w:szCs w:val="24"/>
          <w:shd w:val="clear" w:color="auto" w:fill="FFFFFF"/>
        </w:rPr>
      </w:pPr>
      <w:hyperlink r:id="rId27" w:history="1">
        <w:r w:rsidR="008A27E2">
          <w:rPr>
            <w:rStyle w:val="Hyperlink"/>
            <w:rFonts w:ascii="Times New Roman" w:hAnsi="Times New Roman" w:cs="Times New Roman"/>
            <w:sz w:val="24"/>
            <w:szCs w:val="24"/>
            <w:shd w:val="clear" w:color="auto" w:fill="FFFFFF"/>
          </w:rPr>
          <w:t>https://www.dialab.at/en/products/diagnostics/diaquick-rapid-tests/infectious-diseases/aids-hepatitis/hbsag</w:t>
        </w:r>
      </w:hyperlink>
    </w:p>
    <w:p w14:paraId="1F7CF1E0" w14:textId="77777777" w:rsidR="008A27E2" w:rsidRDefault="006B0038">
      <w:pPr>
        <w:ind w:left="720" w:hanging="720"/>
        <w:jc w:val="both"/>
        <w:rPr>
          <w:rFonts w:ascii="Times New Roman" w:eastAsia="Times New Roman" w:hAnsi="Times New Roman" w:cs="Times New Roman"/>
          <w:sz w:val="24"/>
          <w:szCs w:val="24"/>
        </w:rPr>
      </w:pPr>
      <w:bookmarkStart w:id="6" w:name="_Hlk198380616"/>
      <w:r>
        <w:rPr>
          <w:rFonts w:ascii="Times New Roman" w:eastAsia="Times New Roman" w:hAnsi="Times New Roman" w:cs="Times New Roman"/>
          <w:sz w:val="24"/>
          <w:szCs w:val="24"/>
        </w:rPr>
        <w:t>Jaldo</w:t>
      </w:r>
      <w:bookmarkEnd w:id="6"/>
      <w:r>
        <w:rPr>
          <w:rFonts w:ascii="Times New Roman" w:eastAsia="Times New Roman" w:hAnsi="Times New Roman" w:cs="Times New Roman"/>
          <w:sz w:val="24"/>
          <w:szCs w:val="24"/>
        </w:rPr>
        <w:t xml:space="preserve">, M. M., Joffe, M. W., &amp; Zemedkun, E. S. (2025). Prevalence of hepatitis B virus and associated factors among blood donors in Hossana blood bank catchment area, Southern Ethiopia. </w:t>
      </w:r>
      <w:r>
        <w:rPr>
          <w:rFonts w:ascii="Times New Roman" w:eastAsia="Times New Roman" w:hAnsi="Times New Roman" w:cs="Times New Roman"/>
          <w:i/>
          <w:iCs/>
          <w:sz w:val="24"/>
          <w:szCs w:val="24"/>
        </w:rPr>
        <w:t>BMC Infectious Diseases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25</w:t>
      </w:r>
      <w:r>
        <w:rPr>
          <w:rFonts w:ascii="Times New Roman" w:eastAsia="Times New Roman" w:hAnsi="Times New Roman" w:cs="Times New Roman"/>
          <w:sz w:val="24"/>
          <w:szCs w:val="24"/>
        </w:rPr>
        <w:t>(1). https://doi.org/10.1186/s12879-025-10550-0</w:t>
      </w:r>
    </w:p>
    <w:p w14:paraId="1757D629" w14:textId="77777777" w:rsidR="008A27E2" w:rsidRDefault="006B0038">
      <w:pPr>
        <w:ind w:left="720" w:hanging="720"/>
        <w:jc w:val="both"/>
        <w:rPr>
          <w:rFonts w:ascii="Times New Roman" w:hAnsi="Times New Roman" w:cs="Times New Roman"/>
          <w:color w:val="212121"/>
          <w:sz w:val="24"/>
          <w:szCs w:val="24"/>
          <w:shd w:val="clear" w:color="auto" w:fill="FFFFFF"/>
        </w:rPr>
      </w:pPr>
      <w:bookmarkStart w:id="7" w:name="_Hlk198309898"/>
      <w:r>
        <w:rPr>
          <w:rFonts w:ascii="Times New Roman" w:hAnsi="Times New Roman" w:cs="Times New Roman"/>
          <w:color w:val="212121"/>
          <w:sz w:val="24"/>
          <w:szCs w:val="24"/>
          <w:shd w:val="clear" w:color="auto" w:fill="FFFFFF"/>
        </w:rPr>
        <w:t>Kasraian,</w:t>
      </w:r>
      <w:bookmarkEnd w:id="7"/>
      <w:r>
        <w:rPr>
          <w:rFonts w:ascii="Times New Roman" w:hAnsi="Times New Roman" w:cs="Times New Roman"/>
          <w:color w:val="212121"/>
          <w:sz w:val="24"/>
          <w:szCs w:val="24"/>
          <w:shd w:val="clear" w:color="auto" w:fill="FFFFFF"/>
        </w:rPr>
        <w:t xml:space="preserve"> L., Ashkani-Esfahani, S., &amp; Foruozandeh, H. (2021). Reasons of under-representation of Iranian women in blood donation. </w:t>
      </w:r>
      <w:r>
        <w:rPr>
          <w:rFonts w:ascii="Times New Roman" w:hAnsi="Times New Roman" w:cs="Times New Roman"/>
          <w:i/>
          <w:iCs/>
          <w:color w:val="212121"/>
          <w:sz w:val="24"/>
          <w:szCs w:val="24"/>
          <w:shd w:val="clear" w:color="auto" w:fill="FFFFFF"/>
        </w:rPr>
        <w:t>Hematology, transfusion and cell therapy</w:t>
      </w:r>
      <w:r>
        <w:rPr>
          <w:rFonts w:ascii="Times New Roman" w:hAnsi="Times New Roman" w:cs="Times New Roman"/>
          <w:color w:val="212121"/>
          <w:sz w:val="24"/>
          <w:szCs w:val="24"/>
          <w:shd w:val="clear" w:color="auto" w:fill="FFFFFF"/>
        </w:rPr>
        <w:t>, </w:t>
      </w:r>
      <w:r>
        <w:rPr>
          <w:rFonts w:ascii="Times New Roman" w:hAnsi="Times New Roman" w:cs="Times New Roman"/>
          <w:i/>
          <w:iCs/>
          <w:color w:val="212121"/>
          <w:sz w:val="24"/>
          <w:szCs w:val="24"/>
          <w:shd w:val="clear" w:color="auto" w:fill="FFFFFF"/>
        </w:rPr>
        <w:t>43</w:t>
      </w:r>
      <w:r>
        <w:rPr>
          <w:rFonts w:ascii="Times New Roman" w:hAnsi="Times New Roman" w:cs="Times New Roman"/>
          <w:color w:val="212121"/>
          <w:sz w:val="24"/>
          <w:szCs w:val="24"/>
          <w:shd w:val="clear" w:color="auto" w:fill="FFFFFF"/>
        </w:rPr>
        <w:t xml:space="preserve">(3), 256–262. </w:t>
      </w:r>
      <w:hyperlink r:id="rId28" w:history="1">
        <w:r w:rsidR="008A27E2">
          <w:rPr>
            <w:rStyle w:val="Hyperlink"/>
            <w:rFonts w:ascii="Times New Roman" w:hAnsi="Times New Roman" w:cs="Times New Roman"/>
            <w:sz w:val="24"/>
            <w:szCs w:val="24"/>
            <w:shd w:val="clear" w:color="auto" w:fill="FFFFFF"/>
          </w:rPr>
          <w:t>https://doi.org/10.1016/j.htct.2020.03.009</w:t>
        </w:r>
      </w:hyperlink>
    </w:p>
    <w:p w14:paraId="1FBFB26F" w14:textId="78BD76BD" w:rsidR="008A27E2" w:rsidRDefault="006B0038">
      <w:pPr>
        <w:ind w:left="720" w:hanging="720"/>
        <w:jc w:val="both"/>
        <w:rPr>
          <w:rStyle w:val="Hyperlink"/>
          <w:rFonts w:ascii="Times New Roman" w:hAnsi="Times New Roman" w:cs="Times New Roman"/>
          <w:sz w:val="24"/>
          <w:szCs w:val="24"/>
          <w:shd w:val="clear" w:color="auto" w:fill="FFFFFF"/>
        </w:rPr>
      </w:pPr>
      <w:r>
        <w:rPr>
          <w:rFonts w:ascii="Times New Roman" w:hAnsi="Times New Roman" w:cs="Times New Roman"/>
          <w:color w:val="1B1B1B"/>
          <w:sz w:val="24"/>
          <w:szCs w:val="24"/>
          <w:shd w:val="clear" w:color="auto" w:fill="FFFFFF"/>
        </w:rPr>
        <w:t xml:space="preserve">Keleta, Y. T., Achila, O. O., Haile, A. W., Gebrecherkos, B. H., Tesfaldet, D. T., Teklu, K. S., </w:t>
      </w:r>
      <w:r w:rsidR="000C3B50">
        <w:rPr>
          <w:rFonts w:ascii="Times New Roman" w:hAnsi="Times New Roman" w:cs="Times New Roman"/>
          <w:color w:val="1B1B1B"/>
          <w:sz w:val="24"/>
          <w:szCs w:val="24"/>
          <w:shd w:val="clear" w:color="auto" w:fill="FFFFFF"/>
        </w:rPr>
        <w:t>&amp;</w:t>
      </w:r>
      <w:r w:rsidR="000C3B50">
        <w:rPr>
          <w:rFonts w:ascii="Times New Roman" w:hAnsi="Times New Roman" w:cs="Times New Roman"/>
          <w:color w:val="1B1B1B"/>
          <w:sz w:val="24"/>
          <w:szCs w:val="24"/>
          <w:shd w:val="clear" w:color="auto" w:fill="FFFFFF"/>
        </w:rPr>
        <w:t xml:space="preserve"> </w:t>
      </w:r>
      <w:r>
        <w:rPr>
          <w:rFonts w:ascii="Times New Roman" w:hAnsi="Times New Roman" w:cs="Times New Roman"/>
          <w:color w:val="1B1B1B"/>
          <w:sz w:val="24"/>
          <w:szCs w:val="24"/>
          <w:shd w:val="clear" w:color="auto" w:fill="FFFFFF"/>
        </w:rPr>
        <w:t xml:space="preserve">Mohammed, M. A., </w:t>
      </w:r>
      <w:r w:rsidR="000C3B50">
        <w:rPr>
          <w:rFonts w:ascii="Times New Roman" w:hAnsi="Times New Roman" w:cs="Times New Roman"/>
          <w:color w:val="1B1B1B"/>
          <w:sz w:val="24"/>
          <w:szCs w:val="24"/>
          <w:shd w:val="clear" w:color="auto" w:fill="FFFFFF"/>
        </w:rPr>
        <w:t xml:space="preserve">et al. </w:t>
      </w:r>
      <w:r>
        <w:rPr>
          <w:rFonts w:ascii="Times New Roman" w:hAnsi="Times New Roman" w:cs="Times New Roman"/>
          <w:color w:val="1B1B1B"/>
          <w:sz w:val="24"/>
          <w:szCs w:val="24"/>
          <w:shd w:val="clear" w:color="auto" w:fill="FFFFFF"/>
        </w:rPr>
        <w:t>(2019). Seroprevalence of transfusion transmitted infections among blood donors in Gash Barka Zonal Blood Transfusion Center, Barentu, Eritrea, 2014 through 2017. </w:t>
      </w:r>
      <w:r>
        <w:rPr>
          <w:rFonts w:ascii="Times New Roman" w:hAnsi="Times New Roman" w:cs="Times New Roman"/>
          <w:i/>
          <w:iCs/>
          <w:color w:val="1B1B1B"/>
          <w:sz w:val="24"/>
          <w:szCs w:val="24"/>
          <w:shd w:val="clear" w:color="auto" w:fill="FFFFFF"/>
        </w:rPr>
        <w:t>BMC hematology</w:t>
      </w:r>
      <w:r>
        <w:rPr>
          <w:rFonts w:ascii="Times New Roman" w:hAnsi="Times New Roman" w:cs="Times New Roman"/>
          <w:color w:val="1B1B1B"/>
          <w:sz w:val="24"/>
          <w:szCs w:val="24"/>
          <w:shd w:val="clear" w:color="auto" w:fill="FFFFFF"/>
        </w:rPr>
        <w:t>, </w:t>
      </w:r>
      <w:r>
        <w:rPr>
          <w:rFonts w:ascii="Times New Roman" w:hAnsi="Times New Roman" w:cs="Times New Roman"/>
          <w:i/>
          <w:iCs/>
          <w:color w:val="1B1B1B"/>
          <w:sz w:val="24"/>
          <w:szCs w:val="24"/>
          <w:shd w:val="clear" w:color="auto" w:fill="FFFFFF"/>
        </w:rPr>
        <w:t>19</w:t>
      </w:r>
      <w:r>
        <w:rPr>
          <w:rFonts w:ascii="Times New Roman" w:hAnsi="Times New Roman" w:cs="Times New Roman"/>
          <w:color w:val="1B1B1B"/>
          <w:sz w:val="24"/>
          <w:szCs w:val="24"/>
          <w:shd w:val="clear" w:color="auto" w:fill="FFFFFF"/>
        </w:rPr>
        <w:t xml:space="preserve">, 5. </w:t>
      </w:r>
      <w:hyperlink r:id="rId29" w:history="1">
        <w:r w:rsidR="008A27E2">
          <w:rPr>
            <w:rStyle w:val="Hyperlink"/>
            <w:rFonts w:ascii="Times New Roman" w:hAnsi="Times New Roman" w:cs="Times New Roman"/>
            <w:sz w:val="24"/>
            <w:szCs w:val="24"/>
            <w:shd w:val="clear" w:color="auto" w:fill="FFFFFF"/>
          </w:rPr>
          <w:t>https://doi.org/10.1186/s12878-019-0136-5</w:t>
        </w:r>
      </w:hyperlink>
    </w:p>
    <w:p w14:paraId="32423E97" w14:textId="36E08625" w:rsidR="00CD5663" w:rsidRPr="00771720" w:rsidRDefault="00CD5663" w:rsidP="00CD5663">
      <w:pPr>
        <w:ind w:left="720" w:hanging="720"/>
        <w:jc w:val="both"/>
        <w:rPr>
          <w:rFonts w:ascii="Times New Roman" w:hAnsi="Times New Roman" w:cs="Times New Roman"/>
          <w:sz w:val="24"/>
          <w:szCs w:val="24"/>
        </w:rPr>
      </w:pPr>
      <w:r w:rsidRPr="00771720">
        <w:rPr>
          <w:rFonts w:ascii="Times New Roman" w:hAnsi="Times New Roman" w:cs="Times New Roman"/>
          <w:sz w:val="24"/>
          <w:szCs w:val="24"/>
        </w:rPr>
        <w:t>Kim, H. J., &amp; Ko, D. H. (2024). Transfusion-transmitted infections. Blood research, 59(1), 14. https://doi.org/10.1007/s44313-024-00014-w</w:t>
      </w:r>
    </w:p>
    <w:p w14:paraId="744FB12D" w14:textId="77777777" w:rsidR="00CD5663" w:rsidRDefault="00CD5663">
      <w:pPr>
        <w:ind w:left="720" w:hanging="720"/>
        <w:jc w:val="both"/>
        <w:rPr>
          <w:rFonts w:ascii="Times New Roman" w:hAnsi="Times New Roman" w:cs="Times New Roman"/>
          <w:color w:val="1B1B1B"/>
          <w:sz w:val="24"/>
          <w:szCs w:val="24"/>
          <w:shd w:val="clear" w:color="auto" w:fill="FFFFFF"/>
        </w:rPr>
      </w:pPr>
    </w:p>
    <w:p w14:paraId="182D0BC1" w14:textId="77777777" w:rsidR="008A27E2" w:rsidRDefault="006B0038">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Mengjiao, L., Yushan, X., Yan, L., Dawei, C., Xiaojun, Z., Yongjun, W., Cuifen, S., &amp; Jue, X. (2024). Prevalence of transfusion-transmitted infections in hospitalized patients before transfusion and volunteer blood donors in Zhejiang Province, China. </w:t>
      </w:r>
      <w:r>
        <w:rPr>
          <w:rFonts w:ascii="Times New Roman" w:eastAsia="Times New Roman" w:hAnsi="Times New Roman" w:cs="Times New Roman"/>
          <w:i/>
          <w:iCs/>
          <w:sz w:val="24"/>
          <w:szCs w:val="24"/>
        </w:rPr>
        <w:t>Infectious Diseases Now</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54</w:t>
      </w:r>
      <w:r>
        <w:rPr>
          <w:rFonts w:ascii="Times New Roman" w:eastAsia="Times New Roman" w:hAnsi="Times New Roman" w:cs="Times New Roman"/>
          <w:sz w:val="24"/>
          <w:szCs w:val="24"/>
        </w:rPr>
        <w:t>(2), 104861. https://doi.org/10.1016/j.idnow.2024.104861</w:t>
      </w:r>
    </w:p>
    <w:p w14:paraId="1328A885" w14:textId="77777777" w:rsidR="008A27E2" w:rsidRDefault="008A27E2">
      <w:pPr>
        <w:ind w:left="720" w:hanging="720"/>
        <w:jc w:val="both"/>
        <w:rPr>
          <w:rFonts w:ascii="Times New Roman" w:hAnsi="Times New Roman" w:cs="Times New Roman"/>
          <w:color w:val="212121"/>
          <w:sz w:val="24"/>
          <w:szCs w:val="24"/>
          <w:shd w:val="clear" w:color="auto" w:fill="FFFFFF"/>
        </w:rPr>
      </w:pPr>
    </w:p>
    <w:p w14:paraId="19D5B765" w14:textId="77777777" w:rsidR="008A27E2" w:rsidRDefault="006B0038">
      <w:pPr>
        <w:ind w:left="720" w:hanging="720"/>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Mremi, A., Yahaya, J. J., Nyindo, M., &amp; Mollel, E. (2021). Transfusion-Transmitted Infections and associated risk factors at the Northern Zone Blood Transfusion Center in Tanzania: A study of blood donors between 2017 and 2019. </w:t>
      </w:r>
      <w:r>
        <w:rPr>
          <w:rFonts w:ascii="Times New Roman" w:hAnsi="Times New Roman" w:cs="Times New Roman"/>
          <w:i/>
          <w:iCs/>
          <w:color w:val="212121"/>
          <w:sz w:val="24"/>
          <w:szCs w:val="24"/>
          <w:shd w:val="clear" w:color="auto" w:fill="FFFFFF"/>
        </w:rPr>
        <w:t>PloS one</w:t>
      </w:r>
      <w:r>
        <w:rPr>
          <w:rFonts w:ascii="Times New Roman" w:hAnsi="Times New Roman" w:cs="Times New Roman"/>
          <w:color w:val="212121"/>
          <w:sz w:val="24"/>
          <w:szCs w:val="24"/>
          <w:shd w:val="clear" w:color="auto" w:fill="FFFFFF"/>
        </w:rPr>
        <w:t>, </w:t>
      </w:r>
      <w:r>
        <w:rPr>
          <w:rFonts w:ascii="Times New Roman" w:hAnsi="Times New Roman" w:cs="Times New Roman"/>
          <w:i/>
          <w:iCs/>
          <w:color w:val="212121"/>
          <w:sz w:val="24"/>
          <w:szCs w:val="24"/>
          <w:shd w:val="clear" w:color="auto" w:fill="FFFFFF"/>
        </w:rPr>
        <w:t>16</w:t>
      </w:r>
      <w:r>
        <w:rPr>
          <w:rFonts w:ascii="Times New Roman" w:hAnsi="Times New Roman" w:cs="Times New Roman"/>
          <w:color w:val="212121"/>
          <w:sz w:val="24"/>
          <w:szCs w:val="24"/>
          <w:shd w:val="clear" w:color="auto" w:fill="FFFFFF"/>
        </w:rPr>
        <w:t xml:space="preserve">(3), e0249061. </w:t>
      </w:r>
      <w:hyperlink r:id="rId30" w:history="1">
        <w:r w:rsidR="008A27E2">
          <w:rPr>
            <w:rStyle w:val="Hyperlink"/>
            <w:rFonts w:ascii="Times New Roman" w:hAnsi="Times New Roman" w:cs="Times New Roman"/>
            <w:sz w:val="24"/>
            <w:szCs w:val="24"/>
            <w:shd w:val="clear" w:color="auto" w:fill="FFFFFF"/>
          </w:rPr>
          <w:t>https://doi.org/10.1371/journal.pone.0249061</w:t>
        </w:r>
      </w:hyperlink>
    </w:p>
    <w:p w14:paraId="04AD9C1D" w14:textId="76F0DEFB" w:rsidR="009D1B9B" w:rsidRDefault="009D1B9B" w:rsidP="009D1B9B">
      <w:pPr>
        <w:pStyle w:val="NormalWeb"/>
        <w:spacing w:beforeAutospacing="0" w:afterAutospacing="0"/>
        <w:ind w:left="720" w:hanging="720"/>
        <w:jc w:val="both"/>
      </w:pPr>
      <w:r>
        <w:t xml:space="preserve">Mustapha, D. M., </w:t>
      </w:r>
      <w:proofErr w:type="spellStart"/>
      <w:r>
        <w:t>Saba’atu</w:t>
      </w:r>
      <w:proofErr w:type="spellEnd"/>
      <w:r>
        <w:t xml:space="preserve">, D. E., </w:t>
      </w:r>
      <w:proofErr w:type="spellStart"/>
      <w:r>
        <w:t>Misau</w:t>
      </w:r>
      <w:proofErr w:type="spellEnd"/>
      <w:r>
        <w:t>, Y. A., Alkali, M., Titus, O., Faruk, B. M.</w:t>
      </w:r>
      <w:r w:rsidR="000C3B50">
        <w:t xml:space="preserve"> </w:t>
      </w:r>
      <w:r w:rsidR="000C3B50">
        <w:t>&amp;</w:t>
      </w:r>
      <w:r>
        <w:t xml:space="preserve"> </w:t>
      </w:r>
      <w:proofErr w:type="spellStart"/>
      <w:r>
        <w:t>Dambam</w:t>
      </w:r>
      <w:proofErr w:type="spellEnd"/>
      <w:r>
        <w:t>, S. M.</w:t>
      </w:r>
      <w:r w:rsidR="000C3B50">
        <w:t xml:space="preserve"> et al.</w:t>
      </w:r>
      <w:r>
        <w:t xml:space="preserve"> (2019). Prevalence of human immunodeficiency, hepatitis B and hepatitis C viruses among antenatal care attendees in Bauchi State, Nigeria. </w:t>
      </w:r>
      <w:r>
        <w:rPr>
          <w:i/>
          <w:iCs/>
        </w:rPr>
        <w:t>Annals of African Medical Research</w:t>
      </w:r>
      <w:r>
        <w:t xml:space="preserve">, </w:t>
      </w:r>
      <w:r>
        <w:rPr>
          <w:i/>
          <w:iCs/>
        </w:rPr>
        <w:t>2</w:t>
      </w:r>
      <w:r>
        <w:t xml:space="preserve">(1). </w:t>
      </w:r>
      <w:r>
        <w:rPr>
          <w:rStyle w:val="url"/>
        </w:rPr>
        <w:t>https://doi.org/10.4081/aamr.2019.65</w:t>
      </w:r>
    </w:p>
    <w:p w14:paraId="27AC5AE6" w14:textId="77777777" w:rsidR="009D1B9B" w:rsidRDefault="009D1B9B" w:rsidP="009D1B9B">
      <w:pPr>
        <w:pStyle w:val="NormalWeb"/>
        <w:spacing w:beforeAutospacing="0" w:afterAutospacing="0"/>
        <w:ind w:left="720" w:hanging="720"/>
        <w:jc w:val="both"/>
      </w:pPr>
      <w:r>
        <w:t xml:space="preserve">Naidu, A. P., </w:t>
      </w:r>
      <w:proofErr w:type="spellStart"/>
      <w:r>
        <w:t>Saikumar</w:t>
      </w:r>
      <w:proofErr w:type="spellEnd"/>
      <w:r>
        <w:t xml:space="preserve">, C., </w:t>
      </w:r>
      <w:proofErr w:type="spellStart"/>
      <w:r>
        <w:t>Swarnalatha</w:t>
      </w:r>
      <w:proofErr w:type="spellEnd"/>
      <w:r>
        <w:t xml:space="preserve">, G., </w:t>
      </w:r>
      <w:proofErr w:type="spellStart"/>
      <w:r>
        <w:t>Sulthana</w:t>
      </w:r>
      <w:proofErr w:type="spellEnd"/>
      <w:r>
        <w:t xml:space="preserve">, S., &amp; </w:t>
      </w:r>
      <w:proofErr w:type="spellStart"/>
      <w:r>
        <w:t>Meeniga</w:t>
      </w:r>
      <w:proofErr w:type="spellEnd"/>
      <w:r>
        <w:t xml:space="preserve">, S. (2022). Comparison of NS1 Antigen Detection by RDT and ELISA and its Concordance with RT-PCR for the Early Diagnosis of Dengue in </w:t>
      </w:r>
      <w:proofErr w:type="spellStart"/>
      <w:r>
        <w:t>Ananthapuramu</w:t>
      </w:r>
      <w:proofErr w:type="spellEnd"/>
      <w:r>
        <w:t xml:space="preserve"> District, Andhra Pradesh, India. </w:t>
      </w:r>
      <w:r>
        <w:rPr>
          <w:i/>
          <w:iCs/>
        </w:rPr>
        <w:t>JOURNAL OF CLINICAL AND DIAGNOSTIC RESEARCH</w:t>
      </w:r>
      <w:r>
        <w:t xml:space="preserve">. </w:t>
      </w:r>
      <w:r>
        <w:rPr>
          <w:rStyle w:val="url"/>
        </w:rPr>
        <w:t>https://doi.org/10.7860/jcdr/2022/55640.16257</w:t>
      </w:r>
    </w:p>
    <w:p w14:paraId="78F86C43" w14:textId="11A74710" w:rsidR="00CD5663" w:rsidRDefault="006B0038" w:rsidP="000C3B5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Narayanan, D., Rajan, A., &amp; Bindu, V. (2023). Gender distribution and reasons for donor deferral in blood donors at a tertiary healthcare centre, Kerala, India: a cross-sectional study. </w:t>
      </w:r>
      <w:r>
        <w:rPr>
          <w:rFonts w:ascii="Times New Roman" w:eastAsia="Times New Roman" w:hAnsi="Times New Roman" w:cs="Times New Roman"/>
          <w:i/>
          <w:iCs/>
          <w:sz w:val="24"/>
          <w:szCs w:val="24"/>
        </w:rPr>
        <w:t>National Journal of Laboratory Medicine</w:t>
      </w:r>
      <w:r>
        <w:rPr>
          <w:rFonts w:ascii="Times New Roman" w:eastAsia="Times New Roman" w:hAnsi="Times New Roman" w:cs="Times New Roman"/>
          <w:sz w:val="24"/>
          <w:szCs w:val="24"/>
        </w:rPr>
        <w:t xml:space="preserve">. </w:t>
      </w:r>
      <w:hyperlink r:id="rId31" w:history="1">
        <w:r w:rsidR="008A27E2">
          <w:rPr>
            <w:rStyle w:val="Hyperlink"/>
            <w:rFonts w:ascii="Times New Roman" w:eastAsia="Times New Roman" w:hAnsi="Times New Roman" w:cs="Times New Roman"/>
            <w:sz w:val="24"/>
            <w:szCs w:val="24"/>
          </w:rPr>
          <w:t>https://doi.org/10.7860/njlm/2023/63506.2782</w:t>
        </w:r>
      </w:hyperlink>
      <w:bookmarkStart w:id="8" w:name="_Hlk198373879"/>
    </w:p>
    <w:p w14:paraId="54A295CB" w14:textId="77777777" w:rsidR="00CD5663" w:rsidRDefault="00CD5663">
      <w:pPr>
        <w:ind w:left="720" w:hanging="720"/>
        <w:jc w:val="both"/>
        <w:rPr>
          <w:rFonts w:ascii="Times New Roman" w:eastAsia="Times New Roman" w:hAnsi="Times New Roman" w:cs="Times New Roman"/>
          <w:sz w:val="24"/>
          <w:szCs w:val="24"/>
        </w:rPr>
      </w:pPr>
    </w:p>
    <w:p w14:paraId="03B5296B" w14:textId="77777777" w:rsidR="000C3B50" w:rsidRDefault="000C3B50">
      <w:pPr>
        <w:ind w:left="720" w:hanging="720"/>
        <w:jc w:val="both"/>
        <w:rPr>
          <w:rFonts w:ascii="Times New Roman" w:eastAsia="Times New Roman" w:hAnsi="Times New Roman" w:cs="Times New Roman"/>
          <w:sz w:val="24"/>
          <w:szCs w:val="24"/>
        </w:rPr>
      </w:pPr>
    </w:p>
    <w:p w14:paraId="7878DF0D" w14:textId="77777777" w:rsidR="000C3B50" w:rsidRDefault="000C3B50">
      <w:pPr>
        <w:ind w:left="720" w:hanging="720"/>
        <w:jc w:val="both"/>
        <w:rPr>
          <w:rFonts w:ascii="Times New Roman" w:eastAsia="Times New Roman" w:hAnsi="Times New Roman" w:cs="Times New Roman"/>
          <w:sz w:val="24"/>
          <w:szCs w:val="24"/>
        </w:rPr>
      </w:pPr>
    </w:p>
    <w:p w14:paraId="5C5953BD" w14:textId="77777777" w:rsidR="000C3B50" w:rsidRDefault="000C3B50">
      <w:pPr>
        <w:ind w:left="720" w:hanging="720"/>
        <w:jc w:val="both"/>
        <w:rPr>
          <w:rFonts w:ascii="Times New Roman" w:eastAsia="Times New Roman" w:hAnsi="Times New Roman" w:cs="Times New Roman"/>
          <w:sz w:val="24"/>
          <w:szCs w:val="24"/>
        </w:rPr>
      </w:pPr>
    </w:p>
    <w:p w14:paraId="08FEBBD7" w14:textId="5011F7B9" w:rsidR="008A27E2" w:rsidRDefault="006B0038">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Ngomtcho</w:t>
      </w:r>
      <w:bookmarkEnd w:id="8"/>
      <w:proofErr w:type="spellEnd"/>
      <w:r>
        <w:rPr>
          <w:rFonts w:ascii="Times New Roman" w:eastAsia="Times New Roman" w:hAnsi="Times New Roman" w:cs="Times New Roman"/>
          <w:sz w:val="24"/>
          <w:szCs w:val="24"/>
        </w:rPr>
        <w:t xml:space="preserve">, S. C. H., Biyong, O. N. N., Ekwere, T. A., Takemegni, J. M. W., Mbah, H., Bogne, S. M. M., Nkengkanna, O. A., &amp; Kamga, H. L. F. (2024). Trends in immunological markers of transfusion transmissible infections among blood donors in Mamfe District Hospital, Southwest Cameroon. </w:t>
      </w:r>
      <w:r>
        <w:rPr>
          <w:rFonts w:ascii="Times New Roman" w:eastAsia="Times New Roman" w:hAnsi="Times New Roman" w:cs="Times New Roman"/>
          <w:i/>
          <w:iCs/>
          <w:sz w:val="24"/>
          <w:szCs w:val="24"/>
        </w:rPr>
        <w:t>BMC Infectious Diseases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24</w:t>
      </w:r>
      <w:r>
        <w:rPr>
          <w:rFonts w:ascii="Times New Roman" w:eastAsia="Times New Roman" w:hAnsi="Times New Roman" w:cs="Times New Roman"/>
          <w:sz w:val="24"/>
          <w:szCs w:val="24"/>
        </w:rPr>
        <w:t xml:space="preserve">(1). </w:t>
      </w:r>
      <w:hyperlink r:id="rId32" w:history="1">
        <w:r w:rsidR="008A27E2">
          <w:rPr>
            <w:rStyle w:val="Hyperlink"/>
            <w:rFonts w:ascii="Times New Roman" w:eastAsia="Times New Roman" w:hAnsi="Times New Roman" w:cs="Times New Roman"/>
            <w:sz w:val="24"/>
            <w:szCs w:val="24"/>
          </w:rPr>
          <w:t>https://doi.org/10.1186/s12879-024-09119-0</w:t>
        </w:r>
      </w:hyperlink>
    </w:p>
    <w:p w14:paraId="2F78DE67" w14:textId="77777777" w:rsidR="008A27E2" w:rsidRDefault="008A27E2">
      <w:pPr>
        <w:ind w:left="720" w:hanging="720"/>
        <w:jc w:val="both"/>
        <w:rPr>
          <w:rFonts w:ascii="Times New Roman" w:eastAsia="Times New Roman" w:hAnsi="Times New Roman" w:cs="Times New Roman"/>
          <w:sz w:val="24"/>
          <w:szCs w:val="24"/>
        </w:rPr>
      </w:pPr>
    </w:p>
    <w:p w14:paraId="4AF8F134" w14:textId="77777777" w:rsidR="008A27E2" w:rsidRDefault="006B0038">
      <w:pPr>
        <w:ind w:left="418" w:hanging="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Nsekuye, O., Uwayo, H. D., Simbi, C. M. C., Habtu, M., &amp; Ntaganira, J. (2023). Risk Factors of Transfusion Transmissible Infections among Blood Donors at Karongi Regional Centre for Blood Transfusion in Rwanda. </w:t>
      </w:r>
      <w:r>
        <w:rPr>
          <w:rFonts w:ascii="Times New Roman" w:eastAsia="Times New Roman" w:hAnsi="Times New Roman" w:cs="Times New Roman"/>
          <w:i/>
          <w:iCs/>
          <w:sz w:val="24"/>
          <w:szCs w:val="24"/>
        </w:rPr>
        <w:t>Rwanda Journal of Medicine and Health Sciences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6</w:t>
      </w:r>
      <w:r>
        <w:rPr>
          <w:rFonts w:ascii="Times New Roman" w:eastAsia="Times New Roman" w:hAnsi="Times New Roman" w:cs="Times New Roman"/>
          <w:sz w:val="24"/>
          <w:szCs w:val="24"/>
        </w:rPr>
        <w:t>(2), 143–153. https://doi.org/10.4314/rjmhs.v6i2.5</w:t>
      </w:r>
    </w:p>
    <w:p w14:paraId="4B4A4549" w14:textId="77777777" w:rsidR="008A27E2" w:rsidRDefault="006B0038">
      <w:pPr>
        <w:pStyle w:val="NormalWeb"/>
        <w:ind w:left="398" w:hangingChars="166" w:hanging="398"/>
        <w:jc w:val="both"/>
      </w:pPr>
      <w:r>
        <w:t xml:space="preserve">Okoroiwu, H. U., Okafor, I. M., Asemota, E. A., &amp; Okpokam, D. C. (2018). Seroprevalence of transfusion-transmissible infections (HBV, HCV, syphilis, and HIV) among prospective blood donors in a tertiary health care facility in Calabar, Nigeria: An eleven-year evaluation. </w:t>
      </w:r>
      <w:r>
        <w:rPr>
          <w:rStyle w:val="Emphasis"/>
        </w:rPr>
        <w:t>BMC Public Health, 18</w:t>
      </w:r>
      <w:r>
        <w:t xml:space="preserve">(1). </w:t>
      </w:r>
      <w:hyperlink r:id="rId33" w:history="1">
        <w:r w:rsidR="008A27E2">
          <w:rPr>
            <w:rStyle w:val="Hyperlink"/>
          </w:rPr>
          <w:t>https://doi.org/10.1186/s12889-018-5555-x</w:t>
        </w:r>
      </w:hyperlink>
    </w:p>
    <w:p w14:paraId="7B50E2D9" w14:textId="77777777" w:rsidR="008A27E2" w:rsidRDefault="006B0038">
      <w:pPr>
        <w:pStyle w:val="NormalWeb"/>
        <w:ind w:left="398" w:hangingChars="166" w:hanging="398"/>
        <w:jc w:val="both"/>
        <w:rPr>
          <w:rStyle w:val="Hyperlink"/>
          <w:color w:val="auto"/>
          <w:u w:val="none"/>
        </w:rPr>
      </w:pPr>
      <w:r>
        <w:t xml:space="preserve">Olusegun, I., Adebayo, A., Onifade, O. O., Abi, I., Ali, S. A., &amp; Aremu, O. S. (2020). Trend of human immunodeficiency virus (HIV) or acquired immunodeficiency syndrome (AIDS) and care for people living with HIV and AIDS in Benue State, North Central, Nigeria. </w:t>
      </w:r>
      <w:r>
        <w:rPr>
          <w:rStyle w:val="Emphasis"/>
        </w:rPr>
        <w:t>Annals of Clinical and Experimental Medicine, 1</w:t>
      </w:r>
      <w:r>
        <w:t xml:space="preserve">(2). </w:t>
      </w:r>
      <w:hyperlink r:id="rId34" w:history="1">
        <w:r w:rsidR="008A27E2">
          <w:rPr>
            <w:rStyle w:val="Hyperlink"/>
            <w:color w:val="auto"/>
            <w:u w:val="none"/>
          </w:rPr>
          <w:t>https://doi.org/10.47838/acem.26011977.127122020.asmeda.1.10</w:t>
        </w:r>
      </w:hyperlink>
    </w:p>
    <w:p w14:paraId="691B9D29" w14:textId="77777777" w:rsidR="008A27E2" w:rsidRDefault="006B0038">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Oti, V.B., Tella, E.E., Attah, A.A., Al Mustapha, F.Y., &amp; Danjuma, E.D. (2021). Hepatitis B Virus Infection Prevalence among Patients in a Local Community Hospital in Nasarawa State, Nigeria. Epidemiology International Journal, 5(4). </w:t>
      </w:r>
      <w:hyperlink r:id="rId35" w:history="1">
        <w:r w:rsidR="008A27E2">
          <w:rPr>
            <w:rStyle w:val="Hyperlink"/>
            <w:rFonts w:ascii="Times New Roman" w:hAnsi="Times New Roman" w:cs="Times New Roman"/>
            <w:sz w:val="24"/>
            <w:szCs w:val="24"/>
          </w:rPr>
          <w:t>https://doi.org/10.23880/eij-16000203</w:t>
        </w:r>
      </w:hyperlink>
    </w:p>
    <w:p w14:paraId="63691153" w14:textId="77777777" w:rsidR="008A27E2" w:rsidRDefault="006B0038">
      <w:pPr>
        <w:pStyle w:val="NormalWeb"/>
        <w:spacing w:beforeAutospacing="0" w:afterAutospacing="0"/>
        <w:ind w:left="720" w:hanging="720"/>
        <w:rPr>
          <w:rStyle w:val="url"/>
        </w:rPr>
      </w:pPr>
      <w:bookmarkStart w:id="9" w:name="_Hlk197845528"/>
      <w:r>
        <w:t>Pinto-Santini</w:t>
      </w:r>
      <w:bookmarkEnd w:id="9"/>
      <w:r>
        <w:t xml:space="preserve">, D. M., Stenbak, C. R., &amp; Linial, M. L. (2017). Foamy virus zoonotic infections. </w:t>
      </w:r>
      <w:r>
        <w:rPr>
          <w:i/>
          <w:iCs/>
        </w:rPr>
        <w:t>Retrovirology</w:t>
      </w:r>
      <w:r>
        <w:t xml:space="preserve">, </w:t>
      </w:r>
      <w:r>
        <w:rPr>
          <w:i/>
          <w:iCs/>
        </w:rPr>
        <w:t>14</w:t>
      </w:r>
      <w:r>
        <w:t xml:space="preserve">(1). </w:t>
      </w:r>
      <w:hyperlink r:id="rId36" w:history="1">
        <w:r w:rsidR="008A27E2">
          <w:rPr>
            <w:rStyle w:val="Hyperlink"/>
          </w:rPr>
          <w:t>https://doi.org/10.1186/s12977-017-0379-9</w:t>
        </w:r>
      </w:hyperlink>
    </w:p>
    <w:p w14:paraId="50CA786A" w14:textId="77777777" w:rsidR="008A27E2" w:rsidRDefault="006B0038">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Sabir, N., Ghafoor, T., Fatima, S., Lodhi, R., Mehmood, A., &amp; Zaman, G. (2023). Prevalence and Association of Transfusion-Transmissible Infections with Age of Blood Donors: A Regional Transfusion Centre Study in Northern Pakistan. </w:t>
      </w:r>
      <w:r>
        <w:rPr>
          <w:rFonts w:ascii="Times New Roman" w:eastAsia="Times New Roman" w:hAnsi="Times New Roman" w:cs="Times New Roman"/>
          <w:i/>
          <w:iCs/>
          <w:sz w:val="24"/>
          <w:szCs w:val="24"/>
        </w:rPr>
        <w:t>Journal of College of Physicians and Surgeons Pakistan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33</w:t>
      </w:r>
      <w:r>
        <w:rPr>
          <w:rFonts w:ascii="Times New Roman" w:eastAsia="Times New Roman" w:hAnsi="Times New Roman" w:cs="Times New Roman"/>
          <w:sz w:val="24"/>
          <w:szCs w:val="24"/>
        </w:rPr>
        <w:t xml:space="preserve">(09), 978–982. </w:t>
      </w:r>
      <w:hyperlink r:id="rId37" w:history="1">
        <w:r w:rsidR="008A27E2">
          <w:rPr>
            <w:rStyle w:val="Hyperlink"/>
            <w:rFonts w:ascii="Times New Roman" w:eastAsia="Times New Roman" w:hAnsi="Times New Roman" w:cs="Times New Roman"/>
            <w:sz w:val="24"/>
            <w:szCs w:val="24"/>
          </w:rPr>
          <w:t>https://doi.org/10.29271/jcpsp.2023.09.978</w:t>
        </w:r>
      </w:hyperlink>
    </w:p>
    <w:p w14:paraId="027A5D7E" w14:textId="77777777" w:rsidR="008A27E2" w:rsidRDefault="006B0038">
      <w:pPr>
        <w:ind w:left="720" w:hanging="720"/>
        <w:jc w:val="both"/>
        <w:rPr>
          <w:rFonts w:ascii="Times New Roman" w:hAnsi="Times New Roman" w:cs="Times New Roman"/>
          <w:sz w:val="24"/>
          <w:szCs w:val="24"/>
        </w:rPr>
      </w:pPr>
      <w:r>
        <w:rPr>
          <w:rFonts w:ascii="Times New Roman" w:hAnsi="Times New Roman" w:cs="Times New Roman"/>
          <w:sz w:val="24"/>
          <w:szCs w:val="24"/>
        </w:rPr>
        <w:t>Sadiq, I. Z., Usman, A., Muhammad, A., &amp; Ahmad, K. H. (2024). Sample size calculation in biomedical, clinical and biological sciences research. Journal of Umm Al-Qura University for Applied Sciences. https://doi.org/10.1007/s43994-024-00153-x</w:t>
      </w:r>
    </w:p>
    <w:p w14:paraId="2B615C3A" w14:textId="77777777" w:rsidR="008A27E2" w:rsidRDefault="006B0038">
      <w:pPr>
        <w:ind w:left="720" w:hanging="720"/>
        <w:jc w:val="both"/>
        <w:rPr>
          <w:rFonts w:ascii="Times New Roman" w:eastAsia="Times New Roman" w:hAnsi="Times New Roman" w:cs="Times New Roman"/>
          <w:sz w:val="24"/>
          <w:szCs w:val="24"/>
        </w:rPr>
      </w:pPr>
      <w:bookmarkStart w:id="10" w:name="_Hlk198375956"/>
      <w:r>
        <w:rPr>
          <w:rFonts w:ascii="Times New Roman" w:eastAsia="Times New Roman" w:hAnsi="Times New Roman" w:cs="Times New Roman"/>
          <w:sz w:val="24"/>
          <w:szCs w:val="24"/>
        </w:rPr>
        <w:t>Saeed</w:t>
      </w:r>
      <w:bookmarkEnd w:id="10"/>
      <w:r>
        <w:rPr>
          <w:rFonts w:ascii="Times New Roman" w:eastAsia="Times New Roman" w:hAnsi="Times New Roman" w:cs="Times New Roman"/>
          <w:sz w:val="24"/>
          <w:szCs w:val="24"/>
        </w:rPr>
        <w:t xml:space="preserve">, K. M. I., Naeemi, S., Hakim, M. S., &amp; Arian, A. K. (2024). Factors influencing blood donation. </w:t>
      </w:r>
      <w:r>
        <w:rPr>
          <w:rFonts w:ascii="Times New Roman" w:eastAsia="Times New Roman" w:hAnsi="Times New Roman" w:cs="Times New Roman"/>
          <w:i/>
          <w:iCs/>
          <w:sz w:val="24"/>
          <w:szCs w:val="24"/>
        </w:rPr>
        <w:t>Journal of Hematology and Allied Sciences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0</w:t>
      </w:r>
      <w:r>
        <w:rPr>
          <w:rFonts w:ascii="Times New Roman" w:eastAsia="Times New Roman" w:hAnsi="Times New Roman" w:cs="Times New Roman"/>
          <w:sz w:val="24"/>
          <w:szCs w:val="24"/>
        </w:rPr>
        <w:t>, 1–6. https://doi.org/10.25259/jhas_49_2024</w:t>
      </w:r>
    </w:p>
    <w:p w14:paraId="511BF26A" w14:textId="5A37B843" w:rsidR="008A27E2" w:rsidRDefault="006B0038">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Singogo, E., Chagomerana, M., Van Ryn, C., M’bwana, R., Likaka, A., M’baya, B., </w:t>
      </w:r>
      <w:r w:rsidR="000C3B50">
        <w:rPr>
          <w:rFonts w:ascii="Times New Roman" w:eastAsia="Times New Roman" w:hAnsi="Times New Roman" w:cs="Times New Roman"/>
          <w:sz w:val="24"/>
          <w:szCs w:val="24"/>
        </w:rPr>
        <w:t xml:space="preserve">&amp; </w:t>
      </w:r>
      <w:r>
        <w:rPr>
          <w:rFonts w:ascii="Times New Roman" w:eastAsia="Times New Roman" w:hAnsi="Times New Roman" w:cs="Times New Roman"/>
          <w:sz w:val="24"/>
          <w:szCs w:val="24"/>
        </w:rPr>
        <w:t>Puerto‐Meredith, S.</w:t>
      </w:r>
      <w:r w:rsidR="000C3B50">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t xml:space="preserve">(2023). Prevalence and incidence of transfusion‐transmissible infections among blood donors in Malawi: A population‐level study. </w:t>
      </w:r>
      <w:r>
        <w:rPr>
          <w:rFonts w:ascii="Times New Roman" w:eastAsia="Times New Roman" w:hAnsi="Times New Roman" w:cs="Times New Roman"/>
          <w:i/>
          <w:iCs/>
          <w:sz w:val="24"/>
          <w:szCs w:val="24"/>
        </w:rPr>
        <w:t>Transfusion Medicine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33</w:t>
      </w:r>
      <w:r>
        <w:rPr>
          <w:rFonts w:ascii="Times New Roman" w:eastAsia="Times New Roman" w:hAnsi="Times New Roman" w:cs="Times New Roman"/>
          <w:sz w:val="24"/>
          <w:szCs w:val="24"/>
        </w:rPr>
        <w:t>(6), 483–496. https://doi.org/10.1111/tme.13006</w:t>
      </w:r>
    </w:p>
    <w:p w14:paraId="7EC819F4" w14:textId="77777777" w:rsidR="009D1B9B" w:rsidRDefault="009D1B9B">
      <w:pPr>
        <w:ind w:left="720" w:hanging="720"/>
        <w:jc w:val="both"/>
        <w:rPr>
          <w:rFonts w:ascii="Times New Roman" w:hAnsi="Times New Roman" w:cs="Times New Roman"/>
          <w:color w:val="1B1B1B"/>
          <w:sz w:val="24"/>
          <w:szCs w:val="24"/>
          <w:shd w:val="clear" w:color="auto" w:fill="FFFFFF"/>
        </w:rPr>
      </w:pPr>
    </w:p>
    <w:p w14:paraId="382FB914" w14:textId="36DE073A" w:rsidR="008A27E2" w:rsidRDefault="006B0038">
      <w:pPr>
        <w:ind w:left="720" w:hanging="720"/>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Siraj, N., Achila, O. O., Issac, J., Menghisteab, E., Hailemariam, M., Hagos, S., Gebremeskel, Y., &amp; Tesfamichael, D. (2018). Seroprevalence of transfusion-transmissible infections among blood donors at National Blood Transfusion Service, Eritrea: a seven-year retrospective study. </w:t>
      </w:r>
      <w:r>
        <w:rPr>
          <w:rFonts w:ascii="Times New Roman" w:hAnsi="Times New Roman" w:cs="Times New Roman"/>
          <w:i/>
          <w:iCs/>
          <w:color w:val="1B1B1B"/>
          <w:sz w:val="24"/>
          <w:szCs w:val="24"/>
          <w:shd w:val="clear" w:color="auto" w:fill="FFFFFF"/>
        </w:rPr>
        <w:t>BMC infectious diseases</w:t>
      </w:r>
      <w:r>
        <w:rPr>
          <w:rFonts w:ascii="Times New Roman" w:hAnsi="Times New Roman" w:cs="Times New Roman"/>
          <w:color w:val="1B1B1B"/>
          <w:sz w:val="24"/>
          <w:szCs w:val="24"/>
          <w:shd w:val="clear" w:color="auto" w:fill="FFFFFF"/>
        </w:rPr>
        <w:t>, </w:t>
      </w:r>
      <w:r>
        <w:rPr>
          <w:rFonts w:ascii="Times New Roman" w:hAnsi="Times New Roman" w:cs="Times New Roman"/>
          <w:i/>
          <w:iCs/>
          <w:color w:val="1B1B1B"/>
          <w:sz w:val="24"/>
          <w:szCs w:val="24"/>
          <w:shd w:val="clear" w:color="auto" w:fill="FFFFFF"/>
        </w:rPr>
        <w:t>18</w:t>
      </w:r>
      <w:r>
        <w:rPr>
          <w:rFonts w:ascii="Times New Roman" w:hAnsi="Times New Roman" w:cs="Times New Roman"/>
          <w:color w:val="1B1B1B"/>
          <w:sz w:val="24"/>
          <w:szCs w:val="24"/>
          <w:shd w:val="clear" w:color="auto" w:fill="FFFFFF"/>
        </w:rPr>
        <w:t xml:space="preserve">(1), 264. </w:t>
      </w:r>
      <w:hyperlink r:id="rId38" w:history="1">
        <w:r w:rsidR="008A27E2">
          <w:rPr>
            <w:rStyle w:val="Hyperlink"/>
            <w:rFonts w:ascii="Times New Roman" w:hAnsi="Times New Roman" w:cs="Times New Roman"/>
            <w:sz w:val="24"/>
            <w:szCs w:val="24"/>
            <w:shd w:val="clear" w:color="auto" w:fill="FFFFFF"/>
          </w:rPr>
          <w:t>https://doi.org/10.1186/s12879-018-3174-x</w:t>
        </w:r>
      </w:hyperlink>
    </w:p>
    <w:p w14:paraId="19DC15AD" w14:textId="77777777" w:rsidR="008A27E2" w:rsidRDefault="008A27E2">
      <w:pPr>
        <w:ind w:left="720" w:hanging="720"/>
        <w:jc w:val="both"/>
        <w:rPr>
          <w:rFonts w:ascii="Times New Roman" w:hAnsi="Times New Roman" w:cs="Times New Roman"/>
          <w:color w:val="1B1B1B"/>
          <w:sz w:val="24"/>
          <w:szCs w:val="24"/>
          <w:shd w:val="clear" w:color="auto" w:fill="FFFFFF"/>
        </w:rPr>
      </w:pPr>
      <w:bookmarkStart w:id="11" w:name="_Hlk198377114"/>
    </w:p>
    <w:p w14:paraId="2B38466C" w14:textId="77777777" w:rsidR="008A27E2" w:rsidRDefault="006B0038">
      <w:pPr>
        <w:ind w:left="720" w:hanging="720"/>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Teferi</w:t>
      </w:r>
      <w:bookmarkEnd w:id="11"/>
      <w:r>
        <w:rPr>
          <w:rFonts w:ascii="Times New Roman" w:hAnsi="Times New Roman" w:cs="Times New Roman"/>
          <w:color w:val="1B1B1B"/>
          <w:sz w:val="24"/>
          <w:szCs w:val="24"/>
          <w:shd w:val="clear" w:color="auto" w:fill="FFFFFF"/>
        </w:rPr>
        <w:t>, M. Y., Woldesenbet, S. G., Feleke, S. A., Abebe, E. H., Adane, H. T., &amp; Alemayehu, C. M. (2021). Assessment of the level and factors associated with knowledge, attitude and practice of blood donation among medical and paramedical personnel in ALERT Hospital, Ethiopia. </w:t>
      </w:r>
      <w:r>
        <w:rPr>
          <w:rFonts w:ascii="Times New Roman" w:hAnsi="Times New Roman" w:cs="Times New Roman"/>
          <w:i/>
          <w:iCs/>
          <w:color w:val="1B1B1B"/>
          <w:sz w:val="24"/>
          <w:szCs w:val="24"/>
          <w:shd w:val="clear" w:color="auto" w:fill="FFFFFF"/>
        </w:rPr>
        <w:t>Journal of public health research</w:t>
      </w:r>
      <w:r>
        <w:rPr>
          <w:rFonts w:ascii="Times New Roman" w:hAnsi="Times New Roman" w:cs="Times New Roman"/>
          <w:color w:val="1B1B1B"/>
          <w:sz w:val="24"/>
          <w:szCs w:val="24"/>
          <w:shd w:val="clear" w:color="auto" w:fill="FFFFFF"/>
        </w:rPr>
        <w:t>, </w:t>
      </w:r>
      <w:r>
        <w:rPr>
          <w:rFonts w:ascii="Times New Roman" w:hAnsi="Times New Roman" w:cs="Times New Roman"/>
          <w:i/>
          <w:iCs/>
          <w:color w:val="1B1B1B"/>
          <w:sz w:val="24"/>
          <w:szCs w:val="24"/>
          <w:shd w:val="clear" w:color="auto" w:fill="FFFFFF"/>
        </w:rPr>
        <w:t>10</w:t>
      </w:r>
      <w:r>
        <w:rPr>
          <w:rFonts w:ascii="Times New Roman" w:hAnsi="Times New Roman" w:cs="Times New Roman"/>
          <w:color w:val="1B1B1B"/>
          <w:sz w:val="24"/>
          <w:szCs w:val="24"/>
          <w:shd w:val="clear" w:color="auto" w:fill="FFFFFF"/>
        </w:rPr>
        <w:t xml:space="preserve">(1), 1860. </w:t>
      </w:r>
      <w:hyperlink r:id="rId39" w:history="1">
        <w:r w:rsidR="008A27E2">
          <w:rPr>
            <w:rStyle w:val="Hyperlink"/>
            <w:rFonts w:ascii="Times New Roman" w:hAnsi="Times New Roman" w:cs="Times New Roman"/>
            <w:sz w:val="24"/>
            <w:szCs w:val="24"/>
            <w:shd w:val="clear" w:color="auto" w:fill="FFFFFF"/>
          </w:rPr>
          <w:t>https://doi.org/10.4081/jphr.2021.1860</w:t>
        </w:r>
      </w:hyperlink>
    </w:p>
    <w:p w14:paraId="28F25608" w14:textId="5A7011FF" w:rsidR="008A27E2" w:rsidRDefault="006B0038">
      <w:pPr>
        <w:ind w:left="720" w:hanging="720"/>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Walana, W., Vicar, E. K., Kuugbee, E. D., Dari, I., Bichenlib, G., Aneba, C. N.</w:t>
      </w:r>
      <w:r w:rsidR="000C3B50">
        <w:rPr>
          <w:rFonts w:ascii="Times New Roman" w:hAnsi="Times New Roman" w:cs="Times New Roman"/>
          <w:color w:val="1B1B1B"/>
          <w:sz w:val="24"/>
          <w:szCs w:val="24"/>
          <w:shd w:val="clear" w:color="auto" w:fill="FFFFFF"/>
        </w:rPr>
        <w:t xml:space="preserve"> &amp;</w:t>
      </w:r>
      <w:r>
        <w:rPr>
          <w:rFonts w:ascii="Times New Roman" w:hAnsi="Times New Roman" w:cs="Times New Roman"/>
          <w:color w:val="1B1B1B"/>
          <w:sz w:val="24"/>
          <w:szCs w:val="24"/>
          <w:shd w:val="clear" w:color="auto" w:fill="FFFFFF"/>
        </w:rPr>
        <w:t xml:space="preserve"> </w:t>
      </w:r>
      <w:proofErr w:type="spellStart"/>
      <w:r>
        <w:rPr>
          <w:rFonts w:ascii="Times New Roman" w:hAnsi="Times New Roman" w:cs="Times New Roman"/>
          <w:color w:val="1B1B1B"/>
          <w:sz w:val="24"/>
          <w:szCs w:val="24"/>
          <w:shd w:val="clear" w:color="auto" w:fill="FFFFFF"/>
        </w:rPr>
        <w:t>Hinneh</w:t>
      </w:r>
      <w:proofErr w:type="spellEnd"/>
      <w:r>
        <w:rPr>
          <w:rFonts w:ascii="Times New Roman" w:hAnsi="Times New Roman" w:cs="Times New Roman"/>
          <w:color w:val="1B1B1B"/>
          <w:sz w:val="24"/>
          <w:szCs w:val="24"/>
          <w:shd w:val="clear" w:color="auto" w:fill="FFFFFF"/>
        </w:rPr>
        <w:t>, K. N.</w:t>
      </w:r>
      <w:r w:rsidR="000C3B50">
        <w:rPr>
          <w:rFonts w:ascii="Times New Roman" w:hAnsi="Times New Roman" w:cs="Times New Roman"/>
          <w:color w:val="1B1B1B"/>
          <w:sz w:val="24"/>
          <w:szCs w:val="24"/>
          <w:shd w:val="clear" w:color="auto" w:fill="FFFFFF"/>
        </w:rPr>
        <w:t xml:space="preserve"> et al. </w:t>
      </w:r>
      <w:r>
        <w:rPr>
          <w:rFonts w:ascii="Times New Roman" w:hAnsi="Times New Roman" w:cs="Times New Roman"/>
          <w:color w:val="1B1B1B"/>
          <w:sz w:val="24"/>
          <w:szCs w:val="24"/>
          <w:shd w:val="clear" w:color="auto" w:fill="FFFFFF"/>
        </w:rPr>
        <w:t>(2023). Transfusion transmissible infections among blood donors in Ghana: A 3-year multicentered health facility-based retrospective study. </w:t>
      </w:r>
      <w:r>
        <w:rPr>
          <w:rFonts w:ascii="Times New Roman" w:hAnsi="Times New Roman" w:cs="Times New Roman"/>
          <w:i/>
          <w:iCs/>
          <w:color w:val="1B1B1B"/>
          <w:sz w:val="24"/>
          <w:szCs w:val="24"/>
          <w:shd w:val="clear" w:color="auto" w:fill="FFFFFF"/>
        </w:rPr>
        <w:t>Health science reports</w:t>
      </w:r>
      <w:r>
        <w:rPr>
          <w:rFonts w:ascii="Times New Roman" w:hAnsi="Times New Roman" w:cs="Times New Roman"/>
          <w:color w:val="1B1B1B"/>
          <w:sz w:val="24"/>
          <w:szCs w:val="24"/>
          <w:shd w:val="clear" w:color="auto" w:fill="FFFFFF"/>
        </w:rPr>
        <w:t>, </w:t>
      </w:r>
      <w:r>
        <w:rPr>
          <w:rFonts w:ascii="Times New Roman" w:hAnsi="Times New Roman" w:cs="Times New Roman"/>
          <w:i/>
          <w:iCs/>
          <w:color w:val="1B1B1B"/>
          <w:sz w:val="24"/>
          <w:szCs w:val="24"/>
          <w:shd w:val="clear" w:color="auto" w:fill="FFFFFF"/>
        </w:rPr>
        <w:t>6</w:t>
      </w:r>
      <w:r>
        <w:rPr>
          <w:rFonts w:ascii="Times New Roman" w:hAnsi="Times New Roman" w:cs="Times New Roman"/>
          <w:color w:val="1B1B1B"/>
          <w:sz w:val="24"/>
          <w:szCs w:val="24"/>
          <w:shd w:val="clear" w:color="auto" w:fill="FFFFFF"/>
        </w:rPr>
        <w:t xml:space="preserve">(11), e1681. </w:t>
      </w:r>
      <w:hyperlink r:id="rId40" w:history="1">
        <w:r w:rsidR="008A27E2">
          <w:rPr>
            <w:rStyle w:val="Hyperlink"/>
            <w:rFonts w:ascii="Times New Roman" w:hAnsi="Times New Roman" w:cs="Times New Roman"/>
            <w:sz w:val="24"/>
            <w:szCs w:val="24"/>
            <w:shd w:val="clear" w:color="auto" w:fill="FFFFFF"/>
          </w:rPr>
          <w:t>https://doi.org/10.1002/hsr2.1681</w:t>
        </w:r>
      </w:hyperlink>
    </w:p>
    <w:p w14:paraId="73DB3E9B" w14:textId="77777777" w:rsidR="008A27E2" w:rsidRDefault="006B0038">
      <w:pPr>
        <w:pStyle w:val="NormalWeb"/>
        <w:spacing w:beforeAutospacing="0" w:afterAutospacing="0"/>
        <w:ind w:left="720" w:hanging="720"/>
        <w:jc w:val="both"/>
      </w:pPr>
      <w:r>
        <w:t xml:space="preserve">WHO (2010) Guidelines on drawing blood: best practice in phlebotomy. </w:t>
      </w:r>
      <w:hyperlink r:id="rId41" w:history="1">
        <w:r w:rsidR="008A27E2">
          <w:rPr>
            <w:rStyle w:val="Hyperlink"/>
            <w:color w:val="auto"/>
            <w:u w:val="none"/>
          </w:rPr>
          <w:t>https://iris.who.int/bitstream/handle/10665/44294/9789241599221_eng.pdf?sequence=1[Accessed</w:t>
        </w:r>
      </w:hyperlink>
      <w:r>
        <w:t xml:space="preserve"> May 11 2025]</w:t>
      </w:r>
    </w:p>
    <w:p w14:paraId="3CFDA803" w14:textId="77777777" w:rsidR="008A27E2" w:rsidRDefault="006B0038">
      <w:pPr>
        <w:pStyle w:val="NormalWeb"/>
        <w:spacing w:beforeAutospacing="0" w:afterAutospacing="0"/>
        <w:ind w:left="720" w:hanging="720"/>
        <w:rPr>
          <w:rStyle w:val="url"/>
        </w:rPr>
      </w:pPr>
      <w:bookmarkStart w:id="12" w:name="_Hlk197845067"/>
      <w:r>
        <w:t>Yadav</w:t>
      </w:r>
      <w:bookmarkEnd w:id="12"/>
      <w:r>
        <w:t xml:space="preserve">, U., Sharma, D., Arya, A., &amp; Kumar, U. (2018). Prevalence of Transfusion Transmitted Infections among Blood Donors in Madhya Pradesh, a Central State of India. </w:t>
      </w:r>
      <w:r>
        <w:rPr>
          <w:i/>
          <w:iCs/>
        </w:rPr>
        <w:t>International Blood Research &amp; Reviews</w:t>
      </w:r>
      <w:r>
        <w:t xml:space="preserve">, </w:t>
      </w:r>
      <w:r>
        <w:rPr>
          <w:i/>
          <w:iCs/>
        </w:rPr>
        <w:t>8</w:t>
      </w:r>
      <w:r>
        <w:t xml:space="preserve">(1), 1–10. </w:t>
      </w:r>
      <w:hyperlink r:id="rId42" w:history="1">
        <w:r w:rsidR="008A27E2">
          <w:rPr>
            <w:rStyle w:val="Hyperlink"/>
          </w:rPr>
          <w:t>https://doi.org/10.9734/ibrr/2018/41271</w:t>
        </w:r>
      </w:hyperlink>
    </w:p>
    <w:p w14:paraId="5F06E3DA" w14:textId="0869342C" w:rsidR="008A27E2" w:rsidRDefault="006B0038" w:rsidP="00CD5663">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Zakari, A., Damulak, D. O., Salawu, L., Egesie, O. J., Jatau, E. D., James, J., &amp; Jem, G. P. (2022). Prevalence of transfusion transmissible infections among voluntary blood donors: The need for adoption of sensitive screening assays. </w:t>
      </w:r>
      <w:r>
        <w:rPr>
          <w:rFonts w:ascii="Times New Roman" w:eastAsia="Times New Roman" w:hAnsi="Times New Roman" w:cs="Times New Roman"/>
          <w:i/>
          <w:iCs/>
          <w:sz w:val="24"/>
          <w:szCs w:val="24"/>
        </w:rPr>
        <w:t>Sahel Medical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25</w:t>
      </w:r>
      <w:r>
        <w:rPr>
          <w:rFonts w:ascii="Times New Roman" w:eastAsia="Times New Roman" w:hAnsi="Times New Roman" w:cs="Times New Roman"/>
          <w:sz w:val="24"/>
          <w:szCs w:val="24"/>
        </w:rPr>
        <w:t>(3), 74–79. https://doi.org/10.4103/smj.smj_163_20</w:t>
      </w:r>
    </w:p>
    <w:p w14:paraId="7EB0F51B" w14:textId="207D5581" w:rsidR="00CD5663" w:rsidRDefault="00CD5663" w:rsidP="00CD5663">
      <w:pPr>
        <w:pStyle w:val="NormalWeb"/>
        <w:spacing w:beforeAutospacing="0" w:afterAutospacing="0"/>
        <w:ind w:left="720" w:hanging="720"/>
        <w:jc w:val="both"/>
      </w:pPr>
      <w:bookmarkStart w:id="13" w:name="_Hlk199444803"/>
      <w:r>
        <w:t>Zhao</w:t>
      </w:r>
      <w:bookmarkEnd w:id="13"/>
      <w:r>
        <w:t>, Y., Yang, S., Wei, S., Wu, P., Li, Y., Zhu, D.</w:t>
      </w:r>
      <w:r w:rsidR="001E2808">
        <w:t xml:space="preserve"> &amp; </w:t>
      </w:r>
      <w:r>
        <w:t>Li, W.</w:t>
      </w:r>
      <w:r w:rsidR="001E2808">
        <w:t xml:space="preserve"> et al.</w:t>
      </w:r>
      <w:r>
        <w:t xml:space="preserve"> (2025). Prevalence and risk factors evaluation for transfusion-transmissible infections among blood donors from </w:t>
      </w:r>
      <w:proofErr w:type="spellStart"/>
      <w:r>
        <w:t>Shiyan</w:t>
      </w:r>
      <w:proofErr w:type="spellEnd"/>
      <w:r>
        <w:t xml:space="preserve">, China. </w:t>
      </w:r>
      <w:r>
        <w:rPr>
          <w:i/>
          <w:iCs/>
        </w:rPr>
        <w:t>Diagnostic Microbiology and Infectious Disease</w:t>
      </w:r>
      <w:r>
        <w:t xml:space="preserve">, </w:t>
      </w:r>
      <w:r>
        <w:rPr>
          <w:i/>
          <w:iCs/>
        </w:rPr>
        <w:t>111</w:t>
      </w:r>
      <w:r>
        <w:t xml:space="preserve">(3), 116691. </w:t>
      </w:r>
      <w:r>
        <w:rPr>
          <w:rStyle w:val="url"/>
        </w:rPr>
        <w:t>https://doi.org/10.1016/j.diagmicrobio.2025.116691</w:t>
      </w:r>
    </w:p>
    <w:p w14:paraId="266014FD" w14:textId="77777777" w:rsidR="008A27E2" w:rsidRDefault="008A27E2"/>
    <w:p w14:paraId="4F11EBE0" w14:textId="77777777" w:rsidR="008A27E2" w:rsidRDefault="008A27E2">
      <w:pPr>
        <w:pStyle w:val="NormalWeb"/>
        <w:ind w:left="398" w:hangingChars="166" w:hanging="398"/>
        <w:jc w:val="both"/>
      </w:pPr>
    </w:p>
    <w:sectPr w:rsidR="008A27E2">
      <w:headerReference w:type="even" r:id="rId43"/>
      <w:headerReference w:type="default" r:id="rId44"/>
      <w:footerReference w:type="even" r:id="rId45"/>
      <w:footerReference w:type="default" r:id="rId46"/>
      <w:headerReference w:type="first" r:id="rId47"/>
      <w:footerReference w:type="first" r:id="rId48"/>
      <w:pgSz w:w="11906" w:h="16838"/>
      <w:pgMar w:top="1440" w:right="1274"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2ADD" w14:textId="77777777" w:rsidR="002C4FB8" w:rsidRDefault="002C4FB8">
      <w:r>
        <w:separator/>
      </w:r>
    </w:p>
  </w:endnote>
  <w:endnote w:type="continuationSeparator" w:id="0">
    <w:p w14:paraId="71FAC91A" w14:textId="77777777" w:rsidR="002C4FB8" w:rsidRDefault="002C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F727" w14:textId="77777777" w:rsidR="006D4B01" w:rsidRDefault="006D4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80FE" w14:textId="77777777" w:rsidR="008A27E2" w:rsidRDefault="006B0038">
    <w:pPr>
      <w:pStyle w:val="Footer"/>
    </w:pPr>
    <w:r>
      <w:rPr>
        <w:noProof/>
        <w:lang w:eastAsia="en-US"/>
      </w:rPr>
      <mc:AlternateContent>
        <mc:Choice Requires="wps">
          <w:drawing>
            <wp:anchor distT="0" distB="0" distL="0" distR="0" simplePos="0" relativeHeight="2" behindDoc="0" locked="0" layoutInCell="1" allowOverlap="1" wp14:anchorId="102A4FF5" wp14:editId="424A33CF">
              <wp:simplePos x="0" y="0"/>
              <wp:positionH relativeFrom="margin">
                <wp:align>center</wp:align>
              </wp:positionH>
              <wp:positionV relativeFrom="paragraph">
                <wp:posOffset>0</wp:posOffset>
              </wp:positionV>
              <wp:extent cx="1828800" cy="1828800"/>
              <wp:effectExtent l="0" t="0" r="0" b="0"/>
              <wp:wrapNone/>
              <wp:docPr id="409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14:paraId="33B262D1" w14:textId="77777777" w:rsidR="008A27E2" w:rsidRDefault="006B0038">
                          <w:pPr>
                            <w:pStyle w:val="Footer"/>
                          </w:pPr>
                          <w:r>
                            <w:fldChar w:fldCharType="begin"/>
                          </w:r>
                          <w:r>
                            <w:instrText xml:space="preserve"> PAGE  \* MERGEFORMAT </w:instrText>
                          </w:r>
                          <w:r>
                            <w:fldChar w:fldCharType="separate"/>
                          </w:r>
                          <w:r>
                            <w:rPr>
                              <w:noProof/>
                            </w:rPr>
                            <w:t>7</w:t>
                          </w:r>
                          <w:r>
                            <w:fldChar w:fldCharType="end"/>
                          </w:r>
                        </w:p>
                      </w:txbxContent>
                    </wps:txbx>
                    <wps:bodyPr vert="horz" wrap="none" lIns="0" tIns="0" rIns="0" bIns="0" anchor="t">
                      <a:prstTxWarp prst="textNoShape">
                        <a:avLst/>
                      </a:prstTxWarp>
                      <a:spAutoFit/>
                    </wps:bodyPr>
                  </wps:wsp>
                </a:graphicData>
              </a:graphic>
            </wp:anchor>
          </w:drawing>
        </mc:Choice>
        <mc:Fallback>
          <w:pict>
            <v:rect w14:anchorId="102A4FF5" id="Text Box 7" o:spid="_x0000_s1026" style="position:absolute;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" filled="f" stroked="f">
              <v:textbox style="mso-fit-shape-to-text:t" inset="0,0,0,0">
                <w:txbxContent>
                  <w:p w14:paraId="33B262D1" w14:textId="77777777" w:rsidR="008A27E2" w:rsidRDefault="006B0038">
                    <w:pPr>
                      <w:pStyle w:val="Footer"/>
                    </w:pPr>
                    <w:r>
                      <w:fldChar w:fldCharType="begin"/>
                    </w:r>
                    <w:r>
                      <w:instrText xml:space="preserve"> PAGE  \* MERGEFORMAT </w:instrText>
                    </w:r>
                    <w:r>
                      <w:fldChar w:fldCharType="separate"/>
                    </w:r>
                    <w:r>
                      <w:rPr>
                        <w:noProof/>
                      </w:rPr>
                      <w:t>7</w:t>
                    </w:r>
                    <w: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B4D9" w14:textId="77777777" w:rsidR="006D4B01" w:rsidRDefault="006D4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CA8E" w14:textId="77777777" w:rsidR="002C4FB8" w:rsidRDefault="002C4FB8">
      <w:r>
        <w:separator/>
      </w:r>
    </w:p>
  </w:footnote>
  <w:footnote w:type="continuationSeparator" w:id="0">
    <w:p w14:paraId="532F8DB8" w14:textId="77777777" w:rsidR="002C4FB8" w:rsidRDefault="002C4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3461" w14:textId="45495A68" w:rsidR="006D4B01" w:rsidRDefault="002C4FB8">
    <w:pPr>
      <w:pStyle w:val="Header"/>
    </w:pPr>
    <w:r>
      <w:rPr>
        <w:noProof/>
      </w:rPr>
      <w:pict w14:anchorId="0472D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256704" o:spid="_x0000_s2050" type="#_x0000_t136" style="position:absolute;margin-left:0;margin-top:0;width:524.25pt;height:98.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99CF" w14:textId="4343F39F" w:rsidR="006D4B01" w:rsidRDefault="002C4FB8">
    <w:pPr>
      <w:pStyle w:val="Header"/>
    </w:pPr>
    <w:r>
      <w:rPr>
        <w:noProof/>
      </w:rPr>
      <w:pict w14:anchorId="092A9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256705" o:spid="_x0000_s2051" type="#_x0000_t136" style="position:absolute;margin-left:0;margin-top:0;width:524.25pt;height:98.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0FA5" w14:textId="19EE55FF" w:rsidR="006D4B01" w:rsidRDefault="002C4FB8">
    <w:pPr>
      <w:pStyle w:val="Header"/>
    </w:pPr>
    <w:r>
      <w:rPr>
        <w:noProof/>
      </w:rPr>
      <w:pict w14:anchorId="4AC8F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256703" o:spid="_x0000_s2049" type="#_x0000_t136" style="position:absolute;margin-left:0;margin-top:0;width:524.25pt;height:98.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971B3BC3"/>
    <w:lvl w:ilvl="0">
      <w:start w:val="1"/>
      <w:numFmt w:val="bullet"/>
      <w:lvlText w:val=""/>
      <w:lvlJc w:val="left"/>
      <w:pPr>
        <w:tabs>
          <w:tab w:val="left" w:pos="840"/>
        </w:tabs>
        <w:ind w:left="840" w:hanging="420"/>
      </w:pPr>
      <w:rPr>
        <w:rFonts w:ascii="Wingdings" w:hAnsi="Wingdings" w:hint="default"/>
        <w:sz w:val="13"/>
        <w:szCs w:val="13"/>
      </w:rPr>
    </w:lvl>
  </w:abstractNum>
  <w:abstractNum w:abstractNumId="1" w15:restartNumberingAfterBreak="0">
    <w:nsid w:val="00000002"/>
    <w:multiLevelType w:val="multilevel"/>
    <w:tmpl w:val="B0ABD0AC"/>
    <w:lvl w:ilvl="0">
      <w:start w:val="1"/>
      <w:numFmt w:val="decimal"/>
      <w:lvlText w:val="%1"/>
      <w:lvlJc w:val="left"/>
      <w:pPr>
        <w:tabs>
          <w:tab w:val="left" w:pos="312"/>
        </w:tabs>
        <w:ind w:left="0" w:firstLine="0"/>
      </w:pPr>
      <w:rPr>
        <w:rFonts w:hint="default"/>
      </w:rPr>
    </w:lvl>
    <w:lvl w:ilvl="1">
      <w:start w:val="1"/>
      <w:numFmt w:val="decimal"/>
      <w:lvlText w:val="%1.%2"/>
      <w:lvlJc w:val="left"/>
      <w:pPr>
        <w:tabs>
          <w:tab w:val="left" w:pos="312"/>
        </w:tabs>
        <w:ind w:left="20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2" w15:restartNumberingAfterBreak="0">
    <w:nsid w:val="00000003"/>
    <w:multiLevelType w:val="singleLevel"/>
    <w:tmpl w:val="BCA59424"/>
    <w:lvl w:ilvl="0">
      <w:start w:val="1"/>
      <w:numFmt w:val="upperRoman"/>
      <w:lvlText w:val="%1."/>
      <w:lvlJc w:val="left"/>
      <w:pPr>
        <w:tabs>
          <w:tab w:val="left" w:pos="425"/>
        </w:tabs>
        <w:ind w:left="425" w:hanging="425"/>
      </w:pPr>
      <w:rPr>
        <w:rFonts w:hint="default"/>
      </w:rPr>
    </w:lvl>
  </w:abstractNum>
  <w:abstractNum w:abstractNumId="3" w15:restartNumberingAfterBreak="0">
    <w:nsid w:val="00000004"/>
    <w:multiLevelType w:val="singleLevel"/>
    <w:tmpl w:val="D401DBE6"/>
    <w:lvl w:ilvl="0">
      <w:start w:val="1"/>
      <w:numFmt w:val="upperRoman"/>
      <w:lvlText w:val="%1."/>
      <w:lvlJc w:val="left"/>
      <w:pPr>
        <w:tabs>
          <w:tab w:val="left" w:pos="425"/>
        </w:tabs>
        <w:ind w:left="425" w:hanging="425"/>
      </w:pPr>
      <w:rPr>
        <w:rFonts w:hint="default"/>
      </w:rPr>
    </w:lvl>
  </w:abstractNum>
  <w:abstractNum w:abstractNumId="4" w15:restartNumberingAfterBreak="0">
    <w:nsid w:val="00000005"/>
    <w:multiLevelType w:val="singleLevel"/>
    <w:tmpl w:val="E45F4F59"/>
    <w:lvl w:ilvl="0">
      <w:start w:val="1"/>
      <w:numFmt w:val="bullet"/>
      <w:lvlText w:val=""/>
      <w:lvlJc w:val="left"/>
      <w:pPr>
        <w:tabs>
          <w:tab w:val="left" w:pos="420"/>
        </w:tabs>
        <w:ind w:left="420" w:hanging="420"/>
      </w:pPr>
      <w:rPr>
        <w:rFonts w:ascii="Wingdings" w:hAnsi="Wingdings" w:hint="default"/>
        <w:sz w:val="13"/>
        <w:szCs w:val="13"/>
      </w:rPr>
    </w:lvl>
  </w:abstractNum>
  <w:abstractNum w:abstractNumId="5" w15:restartNumberingAfterBreak="0">
    <w:nsid w:val="00000006"/>
    <w:multiLevelType w:val="singleLevel"/>
    <w:tmpl w:val="E70828D8"/>
    <w:lvl w:ilvl="0">
      <w:start w:val="1"/>
      <w:numFmt w:val="upperRoman"/>
      <w:lvlText w:val="%1."/>
      <w:lvlJc w:val="left"/>
      <w:pPr>
        <w:tabs>
          <w:tab w:val="left" w:pos="425"/>
        </w:tabs>
        <w:ind w:left="425" w:hanging="425"/>
      </w:pPr>
      <w:rPr>
        <w:rFonts w:hint="default"/>
      </w:rPr>
    </w:lvl>
  </w:abstractNum>
  <w:abstractNum w:abstractNumId="6" w15:restartNumberingAfterBreak="0">
    <w:nsid w:val="00000007"/>
    <w:multiLevelType w:val="singleLevel"/>
    <w:tmpl w:val="EAE931F2"/>
    <w:lvl w:ilvl="0">
      <w:start w:val="1"/>
      <w:numFmt w:val="upperRoman"/>
      <w:lvlText w:val="%1."/>
      <w:lvlJc w:val="left"/>
      <w:pPr>
        <w:tabs>
          <w:tab w:val="left" w:pos="425"/>
        </w:tabs>
        <w:ind w:left="425" w:hanging="425"/>
      </w:pPr>
      <w:rPr>
        <w:rFonts w:hint="default"/>
      </w:rPr>
    </w:lvl>
  </w:abstractNum>
  <w:abstractNum w:abstractNumId="7" w15:restartNumberingAfterBreak="0">
    <w:nsid w:val="00000008"/>
    <w:multiLevelType w:val="singleLevel"/>
    <w:tmpl w:val="F301E5A5"/>
    <w:lvl w:ilvl="0">
      <w:start w:val="1"/>
      <w:numFmt w:val="bullet"/>
      <w:lvlText w:val=""/>
      <w:lvlJc w:val="left"/>
      <w:pPr>
        <w:tabs>
          <w:tab w:val="left" w:pos="420"/>
        </w:tabs>
        <w:ind w:left="420" w:hanging="420"/>
      </w:pPr>
      <w:rPr>
        <w:rFonts w:ascii="Wingdings" w:hAnsi="Wingdings" w:hint="default"/>
        <w:sz w:val="13"/>
        <w:szCs w:val="13"/>
      </w:rPr>
    </w:lvl>
  </w:abstractNum>
  <w:abstractNum w:abstractNumId="8" w15:restartNumberingAfterBreak="0">
    <w:nsid w:val="00000009"/>
    <w:multiLevelType w:val="singleLevel"/>
    <w:tmpl w:val="FF21BA77"/>
    <w:lvl w:ilvl="0">
      <w:start w:val="1"/>
      <w:numFmt w:val="decimal"/>
      <w:lvlText w:val="%1."/>
      <w:lvlJc w:val="left"/>
      <w:pPr>
        <w:tabs>
          <w:tab w:val="left" w:pos="425"/>
        </w:tabs>
        <w:ind w:left="425" w:hanging="425"/>
      </w:pPr>
      <w:rPr>
        <w:rFonts w:hint="default"/>
        <w:b/>
        <w:bCs/>
      </w:rPr>
    </w:lvl>
  </w:abstractNum>
  <w:abstractNum w:abstractNumId="9" w15:restartNumberingAfterBreak="0">
    <w:nsid w:val="0000000A"/>
    <w:multiLevelType w:val="singleLevel"/>
    <w:tmpl w:val="06984E6F"/>
    <w:lvl w:ilvl="0">
      <w:start w:val="1"/>
      <w:numFmt w:val="upperRoman"/>
      <w:lvlText w:val="%1."/>
      <w:lvlJc w:val="left"/>
      <w:pPr>
        <w:tabs>
          <w:tab w:val="left" w:pos="425"/>
        </w:tabs>
        <w:ind w:left="425" w:hanging="425"/>
      </w:pPr>
      <w:rPr>
        <w:rFonts w:hint="default"/>
      </w:rPr>
    </w:lvl>
  </w:abstractNum>
  <w:abstractNum w:abstractNumId="10" w15:restartNumberingAfterBreak="0">
    <w:nsid w:val="0000000B"/>
    <w:multiLevelType w:val="singleLevel"/>
    <w:tmpl w:val="23C00A48"/>
    <w:lvl w:ilvl="0">
      <w:start w:val="1"/>
      <w:numFmt w:val="upperRoman"/>
      <w:lvlText w:val="%1."/>
      <w:lvlJc w:val="left"/>
      <w:pPr>
        <w:tabs>
          <w:tab w:val="left" w:pos="425"/>
        </w:tabs>
        <w:ind w:left="425" w:hanging="425"/>
      </w:pPr>
      <w:rPr>
        <w:rFonts w:hint="default"/>
      </w:rPr>
    </w:lvl>
  </w:abstractNum>
  <w:abstractNum w:abstractNumId="11" w15:restartNumberingAfterBreak="0">
    <w:nsid w:val="0000000C"/>
    <w:multiLevelType w:val="singleLevel"/>
    <w:tmpl w:val="27AF4E40"/>
    <w:lvl w:ilvl="0">
      <w:start w:val="1"/>
      <w:numFmt w:val="upperRoman"/>
      <w:lvlText w:val="%1."/>
      <w:lvlJc w:val="left"/>
      <w:pPr>
        <w:tabs>
          <w:tab w:val="left" w:pos="425"/>
        </w:tabs>
        <w:ind w:left="425" w:hanging="425"/>
      </w:pPr>
      <w:rPr>
        <w:rFonts w:hint="default"/>
      </w:rPr>
    </w:lvl>
  </w:abstractNum>
  <w:abstractNum w:abstractNumId="12" w15:restartNumberingAfterBreak="0">
    <w:nsid w:val="0000000D"/>
    <w:multiLevelType w:val="singleLevel"/>
    <w:tmpl w:val="29B278A5"/>
    <w:lvl w:ilvl="0">
      <w:start w:val="1"/>
      <w:numFmt w:val="upperRoman"/>
      <w:lvlText w:val="%1."/>
      <w:lvlJc w:val="left"/>
      <w:pPr>
        <w:tabs>
          <w:tab w:val="left" w:pos="425"/>
        </w:tabs>
        <w:ind w:left="425" w:hanging="425"/>
      </w:pPr>
      <w:rPr>
        <w:rFonts w:hint="default"/>
        <w:sz w:val="18"/>
        <w:szCs w:val="18"/>
      </w:rPr>
    </w:lvl>
  </w:abstractNum>
  <w:abstractNum w:abstractNumId="13" w15:restartNumberingAfterBreak="0">
    <w:nsid w:val="0000000E"/>
    <w:multiLevelType w:val="singleLevel"/>
    <w:tmpl w:val="2FC260C5"/>
    <w:lvl w:ilvl="0">
      <w:start w:val="1"/>
      <w:numFmt w:val="bullet"/>
      <w:lvlText w:val=""/>
      <w:lvlJc w:val="left"/>
      <w:pPr>
        <w:tabs>
          <w:tab w:val="left" w:pos="420"/>
        </w:tabs>
        <w:ind w:left="420" w:hanging="420"/>
      </w:pPr>
      <w:rPr>
        <w:rFonts w:ascii="Wingdings" w:hAnsi="Wingdings" w:hint="default"/>
        <w:sz w:val="13"/>
        <w:szCs w:val="13"/>
      </w:rPr>
    </w:lvl>
  </w:abstractNum>
  <w:abstractNum w:abstractNumId="14" w15:restartNumberingAfterBreak="0">
    <w:nsid w:val="0000000F"/>
    <w:multiLevelType w:val="multilevel"/>
    <w:tmpl w:val="05A85120"/>
    <w:lvl w:ilvl="0">
      <w:start w:val="1"/>
      <w:numFmt w:val="decimal"/>
      <w:lvlText w:val="%1"/>
      <w:lvlJc w:val="left"/>
      <w:pPr>
        <w:ind w:left="360" w:hanging="360"/>
      </w:pPr>
      <w:rPr>
        <w:rFonts w:hint="default"/>
      </w:rPr>
    </w:lvl>
    <w:lvl w:ilvl="1">
      <w:start w:val="3"/>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5" w15:restartNumberingAfterBreak="0">
    <w:nsid w:val="00000010"/>
    <w:multiLevelType w:val="singleLevel"/>
    <w:tmpl w:val="380D9D5C"/>
    <w:lvl w:ilvl="0">
      <w:start w:val="1"/>
      <w:numFmt w:val="upperRoman"/>
      <w:lvlText w:val="%1."/>
      <w:lvlJc w:val="left"/>
      <w:pPr>
        <w:tabs>
          <w:tab w:val="left" w:pos="425"/>
        </w:tabs>
        <w:ind w:left="425" w:hanging="425"/>
      </w:pPr>
      <w:rPr>
        <w:rFonts w:hint="default"/>
      </w:rPr>
    </w:lvl>
  </w:abstractNum>
  <w:abstractNum w:abstractNumId="16" w15:restartNumberingAfterBreak="0">
    <w:nsid w:val="00000011"/>
    <w:multiLevelType w:val="singleLevel"/>
    <w:tmpl w:val="5192A64A"/>
    <w:lvl w:ilvl="0">
      <w:start w:val="1"/>
      <w:numFmt w:val="bullet"/>
      <w:lvlText w:val=""/>
      <w:lvlJc w:val="left"/>
      <w:pPr>
        <w:tabs>
          <w:tab w:val="left" w:pos="420"/>
        </w:tabs>
        <w:ind w:left="420" w:hanging="420"/>
      </w:pPr>
      <w:rPr>
        <w:rFonts w:ascii="Wingdings" w:hAnsi="Wingdings" w:hint="default"/>
        <w:sz w:val="13"/>
        <w:szCs w:val="13"/>
      </w:rPr>
    </w:lvl>
  </w:abstractNum>
  <w:abstractNum w:abstractNumId="17" w15:restartNumberingAfterBreak="0">
    <w:nsid w:val="00000012"/>
    <w:multiLevelType w:val="singleLevel"/>
    <w:tmpl w:val="52686310"/>
    <w:lvl w:ilvl="0">
      <w:start w:val="1"/>
      <w:numFmt w:val="bullet"/>
      <w:lvlText w:val=""/>
      <w:lvlJc w:val="left"/>
      <w:pPr>
        <w:tabs>
          <w:tab w:val="left" w:pos="420"/>
        </w:tabs>
        <w:ind w:left="420" w:hanging="420"/>
      </w:pPr>
      <w:rPr>
        <w:rFonts w:ascii="Wingdings" w:hAnsi="Wingdings" w:hint="default"/>
        <w:sz w:val="13"/>
        <w:szCs w:val="13"/>
      </w:rPr>
    </w:lvl>
  </w:abstractNum>
  <w:abstractNum w:abstractNumId="18" w15:restartNumberingAfterBreak="0">
    <w:nsid w:val="00000013"/>
    <w:multiLevelType w:val="multilevel"/>
    <w:tmpl w:val="797AB740"/>
    <w:lvl w:ilvl="0">
      <w:start w:val="1"/>
      <w:numFmt w:val="upperRoman"/>
      <w:lvlText w:val="%1."/>
      <w:lvlJc w:val="left"/>
      <w:pPr>
        <w:tabs>
          <w:tab w:val="left" w:pos="425"/>
        </w:tabs>
        <w:ind w:left="425" w:hanging="4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00000014"/>
    <w:multiLevelType w:val="singleLevel"/>
    <w:tmpl w:val="651BD6C4"/>
    <w:lvl w:ilvl="0">
      <w:start w:val="1"/>
      <w:numFmt w:val="bullet"/>
      <w:lvlText w:val=""/>
      <w:lvlJc w:val="left"/>
      <w:pPr>
        <w:tabs>
          <w:tab w:val="left" w:pos="420"/>
        </w:tabs>
        <w:ind w:left="420" w:hanging="420"/>
      </w:pPr>
      <w:rPr>
        <w:rFonts w:ascii="Wingdings" w:hAnsi="Wingdings" w:hint="default"/>
        <w:sz w:val="13"/>
        <w:szCs w:val="13"/>
      </w:rPr>
    </w:lvl>
  </w:abstractNum>
  <w:abstractNum w:abstractNumId="20" w15:restartNumberingAfterBreak="0">
    <w:nsid w:val="00000015"/>
    <w:multiLevelType w:val="multilevel"/>
    <w:tmpl w:val="DF6E1C1A"/>
    <w:lvl w:ilvl="0">
      <w:start w:val="2"/>
      <w:numFmt w:val="decimal"/>
      <w:lvlText w:val="%1"/>
      <w:lvlJc w:val="left"/>
      <w:pPr>
        <w:ind w:left="360" w:hanging="360"/>
      </w:pPr>
      <w:rPr>
        <w:rFonts w:cs="Times New Roman" w:hint="default"/>
        <w:b/>
        <w:color w:val="000000"/>
      </w:rPr>
    </w:lvl>
    <w:lvl w:ilvl="1">
      <w:start w:val="5"/>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1" w15:restartNumberingAfterBreak="0">
    <w:nsid w:val="00000016"/>
    <w:multiLevelType w:val="singleLevel"/>
    <w:tmpl w:val="79906BC8"/>
    <w:lvl w:ilvl="0">
      <w:start w:val="1"/>
      <w:numFmt w:val="upperRoman"/>
      <w:lvlText w:val="%1."/>
      <w:lvlJc w:val="left"/>
      <w:pPr>
        <w:tabs>
          <w:tab w:val="left" w:pos="425"/>
        </w:tabs>
        <w:ind w:left="425" w:hanging="425"/>
      </w:pPr>
      <w:rPr>
        <w:rFonts w:hint="default"/>
      </w:rPr>
    </w:lvl>
  </w:abstractNum>
  <w:abstractNum w:abstractNumId="22" w15:restartNumberingAfterBreak="0">
    <w:nsid w:val="00000017"/>
    <w:multiLevelType w:val="singleLevel"/>
    <w:tmpl w:val="7DC2F427"/>
    <w:lvl w:ilvl="0">
      <w:start w:val="1"/>
      <w:numFmt w:val="bullet"/>
      <w:lvlText w:val=""/>
      <w:lvlJc w:val="left"/>
      <w:pPr>
        <w:tabs>
          <w:tab w:val="left" w:pos="420"/>
        </w:tabs>
        <w:ind w:left="420" w:hanging="420"/>
      </w:pPr>
      <w:rPr>
        <w:rFonts w:ascii="Wingdings" w:hAnsi="Wingdings" w:hint="default"/>
        <w:sz w:val="13"/>
        <w:szCs w:val="13"/>
      </w:rPr>
    </w:lvl>
  </w:abstractNum>
  <w:abstractNum w:abstractNumId="23" w15:restartNumberingAfterBreak="0">
    <w:nsid w:val="0DC744F6"/>
    <w:multiLevelType w:val="singleLevel"/>
    <w:tmpl w:val="9698573E"/>
    <w:lvl w:ilvl="0">
      <w:start w:val="1"/>
      <w:numFmt w:val="bullet"/>
      <w:lvlText w:val=""/>
      <w:lvlJc w:val="left"/>
      <w:pPr>
        <w:tabs>
          <w:tab w:val="left" w:pos="420"/>
        </w:tabs>
        <w:ind w:left="420" w:hanging="420"/>
      </w:pPr>
      <w:rPr>
        <w:rFonts w:ascii="Wingdings" w:hAnsi="Wingdings" w:hint="default"/>
        <w:sz w:val="13"/>
        <w:szCs w:val="13"/>
      </w:rPr>
    </w:lvl>
  </w:abstractNum>
  <w:abstractNum w:abstractNumId="24" w15:restartNumberingAfterBreak="0">
    <w:nsid w:val="234A1046"/>
    <w:multiLevelType w:val="multilevel"/>
    <w:tmpl w:val="24AA0588"/>
    <w:lvl w:ilvl="0">
      <w:start w:val="1"/>
      <w:numFmt w:val="decimal"/>
      <w:lvlText w:val="%1.0"/>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
  </w:num>
  <w:num w:numId="2">
    <w:abstractNumId w:val="21"/>
  </w:num>
  <w:num w:numId="3">
    <w:abstractNumId w:val="10"/>
  </w:num>
  <w:num w:numId="4">
    <w:abstractNumId w:val="5"/>
  </w:num>
  <w:num w:numId="5">
    <w:abstractNumId w:val="9"/>
  </w:num>
  <w:num w:numId="6">
    <w:abstractNumId w:val="15"/>
  </w:num>
  <w:num w:numId="7">
    <w:abstractNumId w:val="3"/>
  </w:num>
  <w:num w:numId="8">
    <w:abstractNumId w:val="2"/>
  </w:num>
  <w:num w:numId="9">
    <w:abstractNumId w:val="11"/>
  </w:num>
  <w:num w:numId="10">
    <w:abstractNumId w:val="6"/>
  </w:num>
  <w:num w:numId="11">
    <w:abstractNumId w:val="18"/>
  </w:num>
  <w:num w:numId="12">
    <w:abstractNumId w:val="12"/>
  </w:num>
  <w:num w:numId="13">
    <w:abstractNumId w:val="0"/>
  </w:num>
  <w:num w:numId="14">
    <w:abstractNumId w:val="13"/>
  </w:num>
  <w:num w:numId="15">
    <w:abstractNumId w:val="8"/>
  </w:num>
  <w:num w:numId="16">
    <w:abstractNumId w:val="19"/>
  </w:num>
  <w:num w:numId="17">
    <w:abstractNumId w:val="7"/>
  </w:num>
  <w:num w:numId="18">
    <w:abstractNumId w:val="4"/>
  </w:num>
  <w:num w:numId="19">
    <w:abstractNumId w:val="16"/>
  </w:num>
  <w:num w:numId="20">
    <w:abstractNumId w:val="23"/>
  </w:num>
  <w:num w:numId="21">
    <w:abstractNumId w:val="22"/>
  </w:num>
  <w:num w:numId="22">
    <w:abstractNumId w:val="17"/>
  </w:num>
  <w:num w:numId="23">
    <w:abstractNumId w:val="14"/>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7E2"/>
    <w:rsid w:val="000C3B50"/>
    <w:rsid w:val="001E2808"/>
    <w:rsid w:val="002C4FB8"/>
    <w:rsid w:val="002F7A8A"/>
    <w:rsid w:val="0039532B"/>
    <w:rsid w:val="00414EA8"/>
    <w:rsid w:val="0054711C"/>
    <w:rsid w:val="006237FF"/>
    <w:rsid w:val="006B0038"/>
    <w:rsid w:val="006D4B01"/>
    <w:rsid w:val="006D60B4"/>
    <w:rsid w:val="00791A26"/>
    <w:rsid w:val="00796E80"/>
    <w:rsid w:val="0084185B"/>
    <w:rsid w:val="008A27E2"/>
    <w:rsid w:val="008A7DD2"/>
    <w:rsid w:val="008D3741"/>
    <w:rsid w:val="009D1B9B"/>
    <w:rsid w:val="009D6059"/>
    <w:rsid w:val="00A46959"/>
    <w:rsid w:val="00AC4EFF"/>
    <w:rsid w:val="00AD2022"/>
    <w:rsid w:val="00B43DA3"/>
    <w:rsid w:val="00B55FF6"/>
    <w:rsid w:val="00BA7D04"/>
    <w:rsid w:val="00C230E5"/>
    <w:rsid w:val="00C35DB4"/>
    <w:rsid w:val="00C926DD"/>
    <w:rsid w:val="00CD5663"/>
    <w:rsid w:val="00CE78D4"/>
    <w:rsid w:val="00D45580"/>
    <w:rsid w:val="00DC3E0E"/>
    <w:rsid w:val="00F34EEB"/>
    <w:rsid w:val="00F575BC"/>
    <w:rsid w:val="00F86E29"/>
    <w:rsid w:val="00FC0DB8"/>
    <w:rsid w:val="00FC4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437612"/>
  <w15:docId w15:val="{86D4ECC4-C747-4276-9360-26C5BAAF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SimSun"/>
      <w:lang w:eastAsia="zh-CN"/>
    </w:rPr>
  </w:style>
  <w:style w:type="paragraph" w:styleId="Heading1">
    <w:name w:val="heading 1"/>
    <w:basedOn w:val="Normal"/>
    <w:next w:val="Normal"/>
    <w:uiPriority w:val="9"/>
    <w:qFormat/>
    <w:pPr>
      <w:keepNext/>
      <w:keepLines/>
      <w:widowControl w:val="0"/>
      <w:spacing w:before="240" w:line="256" w:lineRule="auto"/>
      <w:outlineLvl w:val="0"/>
    </w:pPr>
    <w:rPr>
      <w:rFonts w:eastAsia="DengXian Light" w:cs="Times New Roman"/>
      <w:b/>
      <w:szCs w:val="24"/>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uiPriority w:val="99"/>
    <w:rPr>
      <w:color w:val="0000FF"/>
      <w:u w:val="single"/>
    </w:rPr>
  </w:style>
  <w:style w:type="paragraph" w:styleId="NormalWeb">
    <w:name w:val="Normal (Web)"/>
    <w:uiPriority w:val="99"/>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pPr>
      <w:ind w:left="720"/>
      <w:contextualSpacing/>
    </w:pPr>
  </w:style>
  <w:style w:type="character" w:customStyle="1" w:styleId="UnresolvedMention1">
    <w:name w:val="Unresolved Mention1"/>
    <w:basedOn w:val="DefaultParagraphFont"/>
    <w:uiPriority w:val="99"/>
    <w:rPr>
      <w:color w:val="605E5C"/>
      <w:shd w:val="clear" w:color="auto" w:fill="E1DFDD"/>
    </w:rPr>
  </w:style>
  <w:style w:type="character" w:customStyle="1" w:styleId="url">
    <w:name w:val="url"/>
    <w:basedOn w:val="DefaultParagraphFont"/>
  </w:style>
  <w:style w:type="character" w:customStyle="1" w:styleId="UnresolvedMention2">
    <w:name w:val="Unresolved Mention2"/>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sid w:val="00CD5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6385">
      <w:bodyDiv w:val="1"/>
      <w:marLeft w:val="0"/>
      <w:marRight w:val="0"/>
      <w:marTop w:val="0"/>
      <w:marBottom w:val="0"/>
      <w:divBdr>
        <w:top w:val="none" w:sz="0" w:space="0" w:color="auto"/>
        <w:left w:val="none" w:sz="0" w:space="0" w:color="auto"/>
        <w:bottom w:val="none" w:sz="0" w:space="0" w:color="auto"/>
        <w:right w:val="none" w:sz="0" w:space="0" w:color="auto"/>
      </w:divBdr>
      <w:divsChild>
        <w:div w:id="1155337130">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604/pamj.2019.34.31.17885" TargetMode="External"/><Relationship Id="rId18" Type="http://schemas.openxmlformats.org/officeDocument/2006/relationships/hyperlink" Target="https://doi.org/10.4103/njm.njm_24_23" TargetMode="External"/><Relationship Id="rId26" Type="http://schemas.openxmlformats.org/officeDocument/2006/relationships/hyperlink" Target="https://doi.org/10.31248/jbbd2018.061" TargetMode="External"/><Relationship Id="rId39" Type="http://schemas.openxmlformats.org/officeDocument/2006/relationships/hyperlink" Target="https://doi.org/10.4081/jphr.2021.1860" TargetMode="External"/><Relationship Id="rId21" Type="http://schemas.openxmlformats.org/officeDocument/2006/relationships/hyperlink" Target="https://doi.org/10.9734/jamb/2024/v24i5822" TargetMode="External"/><Relationship Id="rId34" Type="http://schemas.openxmlformats.org/officeDocument/2006/relationships/hyperlink" Target="https://doi.org/10.47838/acem.26011977.127122020.asmeda.1.10" TargetMode="External"/><Relationship Id="rId42" Type="http://schemas.openxmlformats.org/officeDocument/2006/relationships/hyperlink" Target="https://doi.org/10.9734/ibrr/2018/41271"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86/s12879-024-09838-4" TargetMode="External"/><Relationship Id="rId29" Type="http://schemas.openxmlformats.org/officeDocument/2006/relationships/hyperlink" Target="https://doi.org/10.1186/s12878-019-0136-5" TargetMode="External"/><Relationship Id="rId11" Type="http://schemas.openxmlformats.org/officeDocument/2006/relationships/hyperlink" Target="https://doi.org/10.60787/NMJ-62-5-43" TargetMode="External"/><Relationship Id="rId24" Type="http://schemas.openxmlformats.org/officeDocument/2006/relationships/hyperlink" Target="https://doi.org/10.1002/hsr2.70769" TargetMode="External"/><Relationship Id="rId32" Type="http://schemas.openxmlformats.org/officeDocument/2006/relationships/hyperlink" Target="https://doi.org/10.1186/s12879-024-09119-0" TargetMode="External"/><Relationship Id="rId37" Type="http://schemas.openxmlformats.org/officeDocument/2006/relationships/hyperlink" Target="https://doi.org/10.29271/jcpsp.2023.09.978" TargetMode="External"/><Relationship Id="rId40" Type="http://schemas.openxmlformats.org/officeDocument/2006/relationships/hyperlink" Target="https://doi.org/10.1002/hsr2.168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86/s12879-019-4044-x" TargetMode="External"/><Relationship Id="rId23" Type="http://schemas.openxmlformats.org/officeDocument/2006/relationships/hyperlink" Target="https://doi.org/10.1111/trf.15158" TargetMode="External"/><Relationship Id="rId28" Type="http://schemas.openxmlformats.org/officeDocument/2006/relationships/hyperlink" Target="https://doi.org/10.1016/j.htct.2020.03.009" TargetMode="External"/><Relationship Id="rId36" Type="http://schemas.openxmlformats.org/officeDocument/2006/relationships/hyperlink" Target="https://doi.org/10.1186/s12977-017-0379-9" TargetMode="External"/><Relationship Id="rId49" Type="http://schemas.openxmlformats.org/officeDocument/2006/relationships/fontTable" Target="fontTable.xml"/><Relationship Id="rId10" Type="http://schemas.openxmlformats.org/officeDocument/2006/relationships/hyperlink" Target="https://doi.org/10.21522/tijph.2013.08.02.art037" TargetMode="External"/><Relationship Id="rId19" Type="http://schemas.openxmlformats.org/officeDocument/2006/relationships/hyperlink" Target="https://doi.org/10.1016/j.transci.2021.103132" TargetMode="External"/><Relationship Id="rId31" Type="http://schemas.openxmlformats.org/officeDocument/2006/relationships/hyperlink" Target="https://doi.org/10.7860/njlm/2023/63506.2782"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9790/2402-1008028487" TargetMode="External"/><Relationship Id="rId14" Type="http://schemas.openxmlformats.org/officeDocument/2006/relationships/hyperlink" Target="https://doi.org/10.3390/pathogens12070911" TargetMode="External"/><Relationship Id="rId22" Type="http://schemas.openxmlformats.org/officeDocument/2006/relationships/hyperlink" Target="https://doi.org/10.9734/jammr/2022/v34i1331380" TargetMode="External"/><Relationship Id="rId27" Type="http://schemas.openxmlformats.org/officeDocument/2006/relationships/hyperlink" Target="https://www.dialab.at/en/products/diagnostics/diaquick-rapid-tests/infectious-diseases/aids-hepatitis/hbsag" TargetMode="External"/><Relationship Id="rId30" Type="http://schemas.openxmlformats.org/officeDocument/2006/relationships/hyperlink" Target="https://doi.org/10.1371/journal.pone.0249061" TargetMode="External"/><Relationship Id="rId35" Type="http://schemas.openxmlformats.org/officeDocument/2006/relationships/hyperlink" Target="https://doi.org/10.23880/eij-16000203"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doi.org/10.1177/23333928221136717" TargetMode="External"/><Relationship Id="rId17" Type="http://schemas.openxmlformats.org/officeDocument/2006/relationships/hyperlink" Target="https://doi.org/10.7759/cureus.70469" TargetMode="External"/><Relationship Id="rId25" Type="http://schemas.openxmlformats.org/officeDocument/2006/relationships/hyperlink" Target="https://doi.org/10.1186/s12879-025-11024-z" TargetMode="External"/><Relationship Id="rId33" Type="http://schemas.openxmlformats.org/officeDocument/2006/relationships/hyperlink" Target="https://doi.org/10.1186/s12889-018-5555-x" TargetMode="External"/><Relationship Id="rId38" Type="http://schemas.openxmlformats.org/officeDocument/2006/relationships/hyperlink" Target="https://doi.org/10.1186/s12879-018-3174-x" TargetMode="External"/><Relationship Id="rId46" Type="http://schemas.openxmlformats.org/officeDocument/2006/relationships/footer" Target="footer2.xml"/><Relationship Id="rId20" Type="http://schemas.openxmlformats.org/officeDocument/2006/relationships/hyperlink" Target="https://doi.org/10.17352/apm.000028" TargetMode="External"/><Relationship Id="rId41" Type="http://schemas.openxmlformats.org/officeDocument/2006/relationships/hyperlink" Target="https://iris.who.int/bitstream/handle/10665/44294/9789241599221_eng.pdf?sequence=1%5bAccessed"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3117</TotalTime>
  <Pages>17</Pages>
  <Words>5124</Words>
  <Characters>30648</Characters>
  <Application>Microsoft Office Word</Application>
  <DocSecurity>0</DocSecurity>
  <Lines>806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Ismaila Ibrahim</cp:lastModifiedBy>
  <cp:revision>128</cp:revision>
  <dcterms:created xsi:type="dcterms:W3CDTF">2025-04-15T11:16:00Z</dcterms:created>
  <dcterms:modified xsi:type="dcterms:W3CDTF">2025-05-29T21:30:00Z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ECCCF2907C84412D9D1B8B0561236515_11</vt:lpwstr>
  </property>
  <property fmtid="{D5CDD505-2E9C-101B-9397-08002B2CF9AE}" pid="4" name="GrammarlyDocumentId">
    <vt:lpwstr>5392b22605d60efeb22186447c218e424211c7aa7a3d36c90d4ca59421734d80</vt:lpwstr>
  </property>
</Properties>
</file>