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8CA1" w14:textId="77777777" w:rsidR="005E209E" w:rsidRPr="005E209E" w:rsidRDefault="005E209E" w:rsidP="005E209E">
      <w:pPr>
        <w:spacing w:after="0" w:line="240" w:lineRule="auto"/>
        <w:rPr>
          <w:rFonts w:ascii="Times New Roman" w:eastAsia="Times New Roman" w:hAnsi="Times New Roman" w:cs="Times New Roman"/>
          <w:sz w:val="24"/>
          <w:szCs w:val="24"/>
        </w:rPr>
      </w:pPr>
    </w:p>
    <w:p w14:paraId="3655BD27" w14:textId="6BEB387C" w:rsidR="005E209E" w:rsidRDefault="005E209E" w:rsidP="00FF5EA2">
      <w:pPr>
        <w:spacing w:before="100" w:beforeAutospacing="1" w:after="100" w:afterAutospacing="1" w:line="240" w:lineRule="auto"/>
        <w:ind w:left="360"/>
        <w:jc w:val="center"/>
        <w:rPr>
          <w:rFonts w:ascii="Times New Roman" w:eastAsia="Times New Roman" w:hAnsi="Times New Roman" w:cs="Times New Roman"/>
          <w:b/>
          <w:bCs/>
          <w:sz w:val="32"/>
          <w:szCs w:val="32"/>
        </w:rPr>
      </w:pPr>
      <w:r w:rsidRPr="008C791C">
        <w:rPr>
          <w:rFonts w:ascii="Times New Roman" w:eastAsia="Times New Roman" w:hAnsi="Times New Roman" w:cs="Times New Roman"/>
          <w:b/>
          <w:bCs/>
          <w:sz w:val="32"/>
          <w:szCs w:val="32"/>
        </w:rPr>
        <w:t>Assessment of Biochar Effects on Essential Nu</w:t>
      </w:r>
      <w:r w:rsidR="00FF5EA2" w:rsidRPr="008C791C">
        <w:rPr>
          <w:rFonts w:ascii="Times New Roman" w:eastAsia="Times New Roman" w:hAnsi="Times New Roman" w:cs="Times New Roman"/>
          <w:b/>
          <w:bCs/>
          <w:sz w:val="32"/>
          <w:szCs w:val="32"/>
        </w:rPr>
        <w:t xml:space="preserve">trient Uptake in Chickpea Under </w:t>
      </w:r>
      <w:r w:rsidRPr="008C791C">
        <w:rPr>
          <w:rFonts w:ascii="Times New Roman" w:eastAsia="Times New Roman" w:hAnsi="Times New Roman" w:cs="Times New Roman"/>
          <w:b/>
          <w:bCs/>
          <w:sz w:val="32"/>
          <w:szCs w:val="32"/>
        </w:rPr>
        <w:t>Field Conditions</w:t>
      </w:r>
    </w:p>
    <w:p w14:paraId="124651A5" w14:textId="7DF46D34" w:rsidR="00B54E11" w:rsidRPr="00B02B3D" w:rsidRDefault="00B02B3D" w:rsidP="00FF5EA2">
      <w:pPr>
        <w:autoSpaceDE w:val="0"/>
        <w:autoSpaceDN w:val="0"/>
        <w:adjustRightInd w:val="0"/>
        <w:spacing w:after="0" w:line="360" w:lineRule="auto"/>
        <w:jc w:val="both"/>
        <w:rPr>
          <w:rFonts w:ascii="Times New Roman" w:hAnsi="Times New Roman" w:cs="Times New Roman"/>
          <w:b/>
          <w:bCs/>
          <w:sz w:val="24"/>
          <w:szCs w:val="24"/>
        </w:rPr>
      </w:pPr>
      <w:r w:rsidRPr="00B02B3D">
        <w:rPr>
          <w:rFonts w:ascii="Times New Roman" w:hAnsi="Times New Roman" w:cs="Times New Roman"/>
          <w:b/>
          <w:color w:val="000000"/>
          <w:sz w:val="24"/>
          <w:szCs w:val="24"/>
        </w:rPr>
        <w:t>Abstract</w:t>
      </w:r>
      <w:r w:rsidR="009D002C" w:rsidRPr="00B02B3D">
        <w:rPr>
          <w:rFonts w:ascii="Times New Roman" w:hAnsi="Times New Roman" w:cs="Times New Roman"/>
          <w:b/>
          <w:bCs/>
          <w:sz w:val="24"/>
          <w:szCs w:val="24"/>
        </w:rPr>
        <w:t xml:space="preserve">  </w:t>
      </w:r>
      <w:r w:rsidR="00FF5EA2" w:rsidRPr="00B02B3D">
        <w:rPr>
          <w:rFonts w:ascii="Times New Roman" w:hAnsi="Times New Roman" w:cs="Times New Roman"/>
          <w:b/>
          <w:bCs/>
          <w:sz w:val="24"/>
          <w:szCs w:val="24"/>
        </w:rPr>
        <w:tab/>
      </w:r>
    </w:p>
    <w:p w14:paraId="2A4692AD" w14:textId="77777777" w:rsidR="00546297" w:rsidRDefault="00546297" w:rsidP="00633003">
      <w:pPr>
        <w:autoSpaceDE w:val="0"/>
        <w:autoSpaceDN w:val="0"/>
        <w:adjustRightInd w:val="0"/>
        <w:spacing w:before="240" w:line="360" w:lineRule="auto"/>
        <w:jc w:val="both"/>
        <w:rPr>
          <w:rFonts w:ascii="Times New Roman" w:eastAsia="Times New Roman" w:hAnsi="Times New Roman" w:cs="Times New Roman"/>
          <w:sz w:val="24"/>
          <w:szCs w:val="24"/>
        </w:rPr>
      </w:pPr>
      <w:r w:rsidRPr="00546297">
        <w:rPr>
          <w:rFonts w:ascii="Times New Roman" w:eastAsia="Times New Roman" w:hAnsi="Times New Roman" w:cs="Times New Roman"/>
          <w:sz w:val="24"/>
          <w:szCs w:val="24"/>
        </w:rPr>
        <w:t>A field experiment was conducted during the rabi season of 2021–22 at ICAR-Krishi Vigyan Kendra, Kalaburagi, to assess the effects of biochar on essential nutrient uptake in chickpea under field conditions. The study employed a randomized complete block design (RCBD) with eight treatments: absolute control, recommended dose of fertilizers (RDF) alone, biochar at 2 t ha⁻¹, biochar at 4 t ha⁻¹, 50% RDF + biochar at 2 t ha⁻¹, 50% RDF + biochar at 4 t ha⁻¹, 100% RDF + biochar at 2 t ha⁻¹, and 100% RDF + biochar at 4 t ha⁻¹. Significant differences in nutrient concentrations were observed among the treatments. The application of 100% RDF combined with biochar at 4 t ha⁻¹ resulted in the highest nutrient concentrations in both grain and stover—nitrogen at 3.62% and 1.25%, phosphorus at 0.51% and 0.30%, and potassium at 1.31% and 1.69%, respectively. In contrast, the absolute control recorded the lowest nutrient concentrations. The same treatment (100% RDF + biochar at 4 t ha⁻¹) also resulted in the highest nutrient uptake, with nitrogen uptake of 52.01 kg ha⁻¹ in grain and 22.10 kg ha⁻¹ in stover, phosphorus uptake of 7.32 kg ha⁻¹ in grain and 5.26 kg ha⁻¹ in stover, and potassium uptake of 18.80 kg ha⁻¹ in grain and 29.88 kg ha⁻¹ in stover.</w:t>
      </w:r>
    </w:p>
    <w:p w14:paraId="385EC71D" w14:textId="291874D3" w:rsidR="00921D02" w:rsidRPr="008C791C" w:rsidRDefault="0032062B" w:rsidP="00633003">
      <w:pPr>
        <w:autoSpaceDE w:val="0"/>
        <w:autoSpaceDN w:val="0"/>
        <w:adjustRightInd w:val="0"/>
        <w:spacing w:before="240" w:line="360" w:lineRule="auto"/>
        <w:jc w:val="both"/>
        <w:rPr>
          <w:rFonts w:ascii="Times New Roman" w:hAnsi="Times New Roman" w:cs="Times New Roman"/>
          <w:b/>
          <w:sz w:val="24"/>
          <w:szCs w:val="24"/>
        </w:rPr>
      </w:pPr>
      <w:r w:rsidRPr="008C791C">
        <w:rPr>
          <w:rFonts w:ascii="Times New Roman" w:hAnsi="Times New Roman" w:cs="Times New Roman"/>
          <w:b/>
          <w:sz w:val="24"/>
          <w:szCs w:val="24"/>
        </w:rPr>
        <w:t xml:space="preserve">Keywords: </w:t>
      </w:r>
      <w:r w:rsidRPr="008C791C">
        <w:rPr>
          <w:rFonts w:ascii="Times New Roman" w:hAnsi="Times New Roman" w:cs="Times New Roman"/>
          <w:sz w:val="24"/>
          <w:szCs w:val="24"/>
        </w:rPr>
        <w:t xml:space="preserve">Biochar, RDF, </w:t>
      </w:r>
      <w:r w:rsidR="00944CC8" w:rsidRPr="008C791C">
        <w:rPr>
          <w:rFonts w:ascii="Times New Roman" w:hAnsi="Times New Roman" w:cs="Times New Roman"/>
          <w:sz w:val="24"/>
          <w:szCs w:val="24"/>
        </w:rPr>
        <w:t xml:space="preserve">Uptake, </w:t>
      </w:r>
      <w:r w:rsidR="002949D2" w:rsidRPr="008C791C">
        <w:rPr>
          <w:rFonts w:ascii="Times New Roman" w:hAnsi="Times New Roman" w:cs="Times New Roman"/>
          <w:sz w:val="24"/>
          <w:szCs w:val="24"/>
        </w:rPr>
        <w:t>Grain and Stover</w:t>
      </w:r>
    </w:p>
    <w:p w14:paraId="2709694C" w14:textId="77777777" w:rsidR="00921D02" w:rsidRPr="008C791C" w:rsidRDefault="00921D02" w:rsidP="00633003">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INTRODUCTION</w:t>
      </w:r>
    </w:p>
    <w:p w14:paraId="5F59FFCA" w14:textId="5140828F" w:rsidR="00546297" w:rsidRPr="00046F94" w:rsidRDefault="00FB58E0" w:rsidP="00046F94">
      <w:pPr>
        <w:adjustRightInd w:val="0"/>
        <w:spacing w:line="360" w:lineRule="auto"/>
        <w:jc w:val="both"/>
        <w:rPr>
          <w:rFonts w:ascii="Times New Roman" w:hAnsi="Times New Roman" w:cs="Times New Roman"/>
          <w:color w:val="282828"/>
          <w:sz w:val="24"/>
          <w:szCs w:val="24"/>
          <w:shd w:val="clear" w:color="auto" w:fill="F7F7F7"/>
        </w:rPr>
      </w:pPr>
      <w:r>
        <w:rPr>
          <w:rFonts w:ascii="Times New Roman" w:hAnsi="Times New Roman" w:cs="Times New Roman"/>
          <w:sz w:val="24"/>
          <w:szCs w:val="24"/>
        </w:rPr>
        <w:t>“</w:t>
      </w:r>
      <w:r w:rsidR="00546297" w:rsidRPr="00046F94">
        <w:rPr>
          <w:rFonts w:ascii="Times New Roman" w:hAnsi="Times New Roman" w:cs="Times New Roman"/>
          <w:sz w:val="24"/>
          <w:szCs w:val="24"/>
        </w:rPr>
        <w:t xml:space="preserve">Biochar is a carbon-rich and porous material produced through the thermal decomposition of biomass, such as plant residues, agricultural waste, or wood, under controlled oxygen-limited conditions. This process, known as pyrolysis, involves heating the biomass to high temperatures in the absence or near absence of oxygen, preventing complete combustion. The result is a stable form of charcoal that contains a well-structured network of pores called biochar. </w:t>
      </w:r>
      <w:r w:rsidR="00546297" w:rsidRPr="00046F94">
        <w:rPr>
          <w:rFonts w:ascii="Times New Roman" w:hAnsi="Times New Roman" w:cs="Times New Roman"/>
          <w:color w:val="282828"/>
          <w:sz w:val="24"/>
          <w:szCs w:val="24"/>
          <w:shd w:val="clear" w:color="auto" w:fill="F7F7F7"/>
        </w:rPr>
        <w:t>As a stable carbon-rich material, biochar promotes plant growth and increases crop yields by enhancing microbial activity. Biochar is black, highly porous, lightweight, fine-grained material with large surface area values. Biochar characteristics, such as microbial activity, mineral and nutrient binding, and soil water holding capacity (WHC), depend on the physical structure, pore size, and surface area of the type of feedstock used to produce the biochar</w:t>
      </w:r>
      <w:r>
        <w:rPr>
          <w:rFonts w:ascii="Times New Roman" w:hAnsi="Times New Roman" w:cs="Times New Roman"/>
          <w:color w:val="282828"/>
          <w:sz w:val="24"/>
          <w:szCs w:val="24"/>
          <w:shd w:val="clear" w:color="auto" w:fill="F7F7F7"/>
        </w:rPr>
        <w:t>”</w:t>
      </w:r>
      <w:r w:rsidR="00546297" w:rsidRPr="00046F94">
        <w:rPr>
          <w:rFonts w:ascii="Times New Roman" w:hAnsi="Times New Roman" w:cs="Times New Roman"/>
          <w:color w:val="282828"/>
          <w:sz w:val="24"/>
          <w:szCs w:val="24"/>
          <w:shd w:val="clear" w:color="auto" w:fill="F7F7F7"/>
        </w:rPr>
        <w:t xml:space="preserve"> (</w:t>
      </w:r>
      <w:proofErr w:type="spellStart"/>
      <w:r>
        <w:fldChar w:fldCharType="begin"/>
      </w:r>
      <w:r>
        <w:instrText xml:space="preserve"> HYPERLINK "https://www.frontiersin.org/journals/environmental-science/articles/10.3389/fenvs.2023.13</w:instrText>
      </w:r>
      <w:r>
        <w:instrText xml:space="preserve">24533/full" \l "B108" </w:instrText>
      </w:r>
      <w:r>
        <w:fldChar w:fldCharType="separate"/>
      </w:r>
      <w:r w:rsidR="00546297" w:rsidRPr="00046F94">
        <w:rPr>
          <w:rStyle w:val="Hyperlink"/>
          <w:rFonts w:ascii="Times New Roman" w:hAnsi="Times New Roman" w:cs="Times New Roman"/>
          <w:sz w:val="24"/>
          <w:szCs w:val="24"/>
          <w:shd w:val="clear" w:color="auto" w:fill="F7F7F7"/>
        </w:rPr>
        <w:t>Tomczyk</w:t>
      </w:r>
      <w:proofErr w:type="spellEnd"/>
      <w:r w:rsidR="00546297" w:rsidRPr="00046F94">
        <w:rPr>
          <w:rStyle w:val="Hyperlink"/>
          <w:rFonts w:ascii="Times New Roman" w:hAnsi="Times New Roman" w:cs="Times New Roman"/>
          <w:sz w:val="24"/>
          <w:szCs w:val="24"/>
          <w:shd w:val="clear" w:color="auto" w:fill="F7F7F7"/>
        </w:rPr>
        <w:t xml:space="preserve"> et al., 2020</w:t>
      </w:r>
      <w:r>
        <w:rPr>
          <w:rStyle w:val="Hyperlink"/>
          <w:rFonts w:ascii="Times New Roman" w:hAnsi="Times New Roman" w:cs="Times New Roman"/>
          <w:sz w:val="24"/>
          <w:szCs w:val="24"/>
          <w:shd w:val="clear" w:color="auto" w:fill="F7F7F7"/>
        </w:rPr>
        <w:fldChar w:fldCharType="end"/>
      </w:r>
      <w:r w:rsidR="00546297" w:rsidRPr="00046F94">
        <w:rPr>
          <w:rFonts w:ascii="Times New Roman" w:hAnsi="Times New Roman" w:cs="Times New Roman"/>
          <w:color w:val="282828"/>
          <w:sz w:val="24"/>
          <w:szCs w:val="24"/>
          <w:shd w:val="clear" w:color="auto" w:fill="F7F7F7"/>
        </w:rPr>
        <w:t>). </w:t>
      </w:r>
    </w:p>
    <w:p w14:paraId="76C1028C" w14:textId="7B618AAC" w:rsidR="00921D02" w:rsidRPr="008C791C" w:rsidRDefault="00FB58E0" w:rsidP="00982A08">
      <w:pPr>
        <w:pStyle w:val="BodyText"/>
        <w:spacing w:before="238" w:line="360" w:lineRule="auto"/>
        <w:ind w:right="-23"/>
        <w:jc w:val="both"/>
      </w:pPr>
      <w:r>
        <w:rPr>
          <w:i/>
        </w:rPr>
        <w:lastRenderedPageBreak/>
        <w:t>“</w:t>
      </w:r>
      <w:proofErr w:type="spellStart"/>
      <w:r w:rsidR="00921D02" w:rsidRPr="008C791C">
        <w:rPr>
          <w:i/>
        </w:rPr>
        <w:t>Cicer</w:t>
      </w:r>
      <w:proofErr w:type="spellEnd"/>
      <w:r w:rsidR="00921D02" w:rsidRPr="008C791C">
        <w:rPr>
          <w:i/>
        </w:rPr>
        <w:t xml:space="preserve"> arietinum </w:t>
      </w:r>
      <w:r w:rsidR="00921D02" w:rsidRPr="008C791C">
        <w:t xml:space="preserve">L. commonly called chickpea or </w:t>
      </w:r>
      <w:proofErr w:type="spellStart"/>
      <w:r w:rsidR="00921D02" w:rsidRPr="008C791C">
        <w:t>Bengalgram</w:t>
      </w:r>
      <w:proofErr w:type="spellEnd"/>
      <w:r w:rsidR="00921D02" w:rsidRPr="008C791C">
        <w:t xml:space="preserve"> is one of the major pulse crops most cultivated in the area receiving low rainfall during </w:t>
      </w:r>
      <w:r w:rsidR="00921D02" w:rsidRPr="008C791C">
        <w:rPr>
          <w:i/>
        </w:rPr>
        <w:t xml:space="preserve">rabi </w:t>
      </w:r>
      <w:r w:rsidR="00921D02" w:rsidRPr="008C791C">
        <w:t xml:space="preserve">season in India. Chickpea is a member of legumes family, </w:t>
      </w:r>
      <w:proofErr w:type="spellStart"/>
      <w:r w:rsidR="00921D02" w:rsidRPr="008C791C">
        <w:t>fabaceae</w:t>
      </w:r>
      <w:proofErr w:type="spellEnd"/>
      <w:r w:rsidR="00921D02" w:rsidRPr="008C791C">
        <w:t xml:space="preserve"> and sub family </w:t>
      </w:r>
      <w:proofErr w:type="spellStart"/>
      <w:r w:rsidR="00921D02" w:rsidRPr="008C791C">
        <w:t>papilionaceae</w:t>
      </w:r>
      <w:proofErr w:type="spellEnd"/>
      <w:r w:rsidR="00921D02" w:rsidRPr="008C791C">
        <w:t xml:space="preserve">. </w:t>
      </w:r>
      <w:r w:rsidR="00921D02" w:rsidRPr="008C791C">
        <w:rPr>
          <w:color w:val="000000" w:themeColor="text1"/>
        </w:rPr>
        <w:t>Chickpea has ability to form nitrogen-fixing nodules via interaction with Rhizobia and it maintains the soil</w:t>
      </w:r>
      <w:r w:rsidR="00EE78C7" w:rsidRPr="008C791C">
        <w:rPr>
          <w:color w:val="000000" w:themeColor="text1"/>
        </w:rPr>
        <w:t xml:space="preserve"> </w:t>
      </w:r>
      <w:r w:rsidR="00921D02" w:rsidRPr="008C791C">
        <w:rPr>
          <w:color w:val="000000" w:themeColor="text1"/>
        </w:rPr>
        <w:t>nutrient level. Chickpea plays a significant role in improving soil fertility by fixing the atmospheric nitrogen. Chickpea meets 80 per cent of its N requirement from symbiotic nitrogen fixation and can fix up to 140 kg N per hectare per year from the air</w:t>
      </w:r>
      <w:r>
        <w:rPr>
          <w:color w:val="000000" w:themeColor="text1"/>
        </w:rPr>
        <w:t>”</w:t>
      </w:r>
      <w:r w:rsidR="00921D02" w:rsidRPr="008C791C">
        <w:rPr>
          <w:color w:val="000000" w:themeColor="text1"/>
        </w:rPr>
        <w:t xml:space="preserve"> (Flowers </w:t>
      </w:r>
      <w:r w:rsidR="00921D02" w:rsidRPr="008C791C">
        <w:rPr>
          <w:i/>
          <w:color w:val="000000" w:themeColor="text1"/>
        </w:rPr>
        <w:t>et al</w:t>
      </w:r>
      <w:r w:rsidR="00921D02" w:rsidRPr="008C791C">
        <w:rPr>
          <w:color w:val="000000" w:themeColor="text1"/>
        </w:rPr>
        <w:t xml:space="preserve">., 2010). </w:t>
      </w:r>
      <w:r>
        <w:rPr>
          <w:color w:val="000000" w:themeColor="text1"/>
        </w:rPr>
        <w:t>“</w:t>
      </w:r>
      <w:r w:rsidR="00921D02" w:rsidRPr="008C791C">
        <w:rPr>
          <w:color w:val="000000" w:themeColor="text1"/>
        </w:rPr>
        <w:t>It 1eaves substantial amount of residual nitrogen for subsequent crops and adds plenty of organic matter to improve the soil health and fertility. Because of its deep tap root system, chickpea can withstand drought conditions by extracting water from deeper layers in the soil profile</w:t>
      </w:r>
      <w:r>
        <w:rPr>
          <w:color w:val="000000" w:themeColor="text1"/>
        </w:rPr>
        <w:t>”</w:t>
      </w:r>
      <w:r w:rsidR="00921D02" w:rsidRPr="008C791C">
        <w:rPr>
          <w:color w:val="000000" w:themeColor="text1"/>
        </w:rPr>
        <w:t xml:space="preserve"> (Gupta </w:t>
      </w:r>
      <w:r w:rsidR="00921D02" w:rsidRPr="008C791C">
        <w:rPr>
          <w:i/>
          <w:color w:val="000000" w:themeColor="text1"/>
        </w:rPr>
        <w:t>et al</w:t>
      </w:r>
      <w:r w:rsidR="00921D02" w:rsidRPr="008C791C">
        <w:rPr>
          <w:color w:val="000000" w:themeColor="text1"/>
        </w:rPr>
        <w:t>., 2012).</w:t>
      </w:r>
    </w:p>
    <w:p w14:paraId="658BB822" w14:textId="2FEE3D6B" w:rsidR="00921D02" w:rsidRPr="008C791C" w:rsidRDefault="00FB58E0" w:rsidP="00982A08">
      <w:pPr>
        <w:pStyle w:val="BodyText"/>
        <w:spacing w:before="240" w:line="360" w:lineRule="auto"/>
        <w:ind w:right="-23"/>
        <w:jc w:val="both"/>
        <w:rPr>
          <w:color w:val="000000" w:themeColor="text1"/>
        </w:rPr>
      </w:pPr>
      <w:r>
        <w:rPr>
          <w:color w:val="000000" w:themeColor="text1"/>
        </w:rPr>
        <w:t>“</w:t>
      </w:r>
      <w:r w:rsidR="00921D02" w:rsidRPr="008C791C">
        <w:rPr>
          <w:color w:val="000000" w:themeColor="text1"/>
        </w:rPr>
        <w:t>Chickpea is highly nutritious crop where its seeds containing 23 per cent of protein, 64 per cent of carbohydrates, 47 per cent of starch, 5per cent off at, 6 per cent of crude fiber, 6 per cent of soluble sugar and 3 per cent of ash, minerals such as calcium (202mg), phosphorous(312mg), iron(10.2mg), vitamin C(3.0mg), calorific value(360 cal), small amounts of B complex, fiber (3.9 g) and moisture (9.8 g). Predominantly chickpea is being consumed as dhal or variety of snack foods, sweets and condiments. Husk and split beans are useful as livestock feed. Acidic liquid from glandular hairs of the plant contains 94 per cent of malic acid and 6 per cent of oxalic acid, has medicinal value and used in preparation of vinegar</w:t>
      </w:r>
      <w:r>
        <w:rPr>
          <w:color w:val="000000" w:themeColor="text1"/>
        </w:rPr>
        <w:t>”</w:t>
      </w:r>
      <w:r w:rsidR="00921D02" w:rsidRPr="008C791C">
        <w:rPr>
          <w:color w:val="000000" w:themeColor="text1"/>
        </w:rPr>
        <w:t xml:space="preserve"> (Ferguson </w:t>
      </w:r>
      <w:r w:rsidR="00921D02" w:rsidRPr="008C791C">
        <w:rPr>
          <w:i/>
          <w:color w:val="000000" w:themeColor="text1"/>
        </w:rPr>
        <w:t>et al</w:t>
      </w:r>
      <w:r w:rsidR="00921D02" w:rsidRPr="008C791C">
        <w:rPr>
          <w:color w:val="000000" w:themeColor="text1"/>
        </w:rPr>
        <w:t>., 2010).</w:t>
      </w:r>
    </w:p>
    <w:p w14:paraId="3C23D32F" w14:textId="77777777" w:rsidR="00B54E11" w:rsidRDefault="00921D02" w:rsidP="00982A08">
      <w:pPr>
        <w:pStyle w:val="BodyText"/>
        <w:spacing w:before="240" w:after="240" w:line="360" w:lineRule="auto"/>
        <w:ind w:right="-23"/>
        <w:jc w:val="both"/>
      </w:pPr>
      <w:r w:rsidRPr="008C791C">
        <w:t>In recent years, biochar has emerged as an organic amendment with mineral nutrient elements and hold a promise to improve the soil quality and yield of crops. The biochar is found to have a positive impact on soil fertility, resulting in an increase in crop yield without causing a hazard to soil and water environment. Moreover, its production and utilizations on a commercial basis is seems to be an attractive avenue and a sustainable method of carbon sequestration in agriculture. Effectiveness in retaining most nutrients and keeping them available to plants are the mo</w:t>
      </w:r>
      <w:r w:rsidR="00B54E11">
        <w:t xml:space="preserve">st unique characteristics of the </w:t>
      </w:r>
      <w:r w:rsidR="00B54E11" w:rsidRPr="008C791C">
        <w:t>biochar than the other organic matter (leaf litter, compost and manures) and improve the crop yield by decreasing environmental pollution due to nitrogen. Retuning biochar to the field can quickly improve soil carbon storage, nitrogen content and soil fertility.</w:t>
      </w:r>
      <w:r w:rsidR="00B54E11">
        <w:t xml:space="preserve">   </w:t>
      </w:r>
      <w:r w:rsidR="00B54E11" w:rsidRPr="008C791C">
        <w:t xml:space="preserve">It can also reduce the emission of greenhouse gases and improve crop yields. </w:t>
      </w:r>
      <w:r w:rsidR="00B54E11">
        <w:t xml:space="preserve">Biochar has </w:t>
      </w:r>
      <w:r w:rsidR="00B54E11" w:rsidRPr="008C791C">
        <w:t>a stable and a long-term potential in carbon sequestration</w:t>
      </w:r>
      <w:r w:rsidR="00B54E11">
        <w:t>.</w:t>
      </w:r>
    </w:p>
    <w:p w14:paraId="45697BF4" w14:textId="77777777" w:rsidR="00B54E11" w:rsidRDefault="00B54E11" w:rsidP="00B54E11">
      <w:pPr>
        <w:spacing w:before="240"/>
        <w:rPr>
          <w:rFonts w:ascii="Times New Roman" w:hAnsi="Times New Roman" w:cs="Times New Roman"/>
          <w:sz w:val="24"/>
          <w:szCs w:val="24"/>
        </w:rPr>
      </w:pPr>
      <w:r w:rsidRPr="008C791C">
        <w:rPr>
          <w:rFonts w:ascii="Times New Roman" w:hAnsi="Times New Roman" w:cs="Times New Roman"/>
          <w:b/>
          <w:sz w:val="32"/>
          <w:szCs w:val="32"/>
        </w:rPr>
        <w:t>Materials and methods</w:t>
      </w:r>
      <w:r w:rsidRPr="008C791C">
        <w:rPr>
          <w:rFonts w:ascii="Times New Roman" w:hAnsi="Times New Roman" w:cs="Times New Roman"/>
          <w:sz w:val="24"/>
          <w:szCs w:val="24"/>
        </w:rPr>
        <w:t>:</w:t>
      </w:r>
    </w:p>
    <w:p w14:paraId="2902B557" w14:textId="097DFC16" w:rsidR="003940D3" w:rsidRDefault="003940D3" w:rsidP="003940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940D3">
        <w:rPr>
          <w:rFonts w:ascii="Times New Roman" w:hAnsi="Times New Roman" w:cs="Times New Roman"/>
          <w:sz w:val="24"/>
          <w:szCs w:val="24"/>
        </w:rPr>
        <w:t>A field experiment was conducted during the rabi season of 2021–22 at the ICAR-Krishi Vigyan Kendra farm in Kalaburagi, located in the North Eastern Dry Zone (Zone-2) of Karnataka. The site is geographically situated at 17°34’ N latitude and 76°79’ E longitude, with an elevation of 478 meters above mean sea level. The study employed a Randomized Complete Block Design (RCBD) with eight treatment combinations, each replicated three times.</w:t>
      </w:r>
    </w:p>
    <w:p w14:paraId="1A7AFB5A" w14:textId="413C8613" w:rsidR="003940D3" w:rsidRDefault="003940D3" w:rsidP="003940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3940D3">
        <w:rPr>
          <w:rFonts w:ascii="Times New Roman" w:hAnsi="Times New Roman" w:cs="Times New Roman"/>
          <w:sz w:val="24"/>
          <w:szCs w:val="24"/>
        </w:rPr>
        <w:t>The treatments included: absolute control, recommended dose of fertilizers (RDF) alone, biochar application at 2 t/ha and 4 t/ha, 50% RDF combined with biochar at 2 t/ha and 4 t/ha, and 100% RDF combined with biochar at 2 t/ha and 4 t/ha. The RDF applied consisted of 25:50:00 kg/ha of N</w:t>
      </w:r>
      <w:proofErr w:type="gramStart"/>
      <w:r w:rsidRPr="003940D3">
        <w:rPr>
          <w:rFonts w:ascii="Times New Roman" w:hAnsi="Times New Roman" w:cs="Times New Roman"/>
          <w:sz w:val="24"/>
          <w:szCs w:val="24"/>
        </w:rPr>
        <w:t>:P:K</w:t>
      </w:r>
      <w:proofErr w:type="gramEnd"/>
      <w:r w:rsidRPr="003940D3">
        <w:rPr>
          <w:rFonts w:ascii="Times New Roman" w:hAnsi="Times New Roman" w:cs="Times New Roman"/>
          <w:sz w:val="24"/>
          <w:szCs w:val="24"/>
        </w:rPr>
        <w:t>, supplemented with 5 t/ha of farmyard manure and 5 kg/ha of zinc sulphate (21%), uniformly applied to all treatments except the control (T1). Chickpea sowing was carried out on 9th November 2021.</w:t>
      </w:r>
    </w:p>
    <w:p w14:paraId="4A86E50E" w14:textId="49F05594" w:rsidR="003940D3" w:rsidRPr="008C791C" w:rsidRDefault="003940D3" w:rsidP="003940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3940D3">
        <w:rPr>
          <w:rFonts w:ascii="Times New Roman" w:hAnsi="Times New Roman" w:cs="Times New Roman"/>
          <w:sz w:val="24"/>
          <w:szCs w:val="24"/>
        </w:rPr>
        <w:t xml:space="preserve">The experimental soil was classified as shallow to medium black soil, slightly alkaline in reaction (pH 8.10), with an electrical conductivity of 0.35 </w:t>
      </w:r>
      <w:proofErr w:type="spellStart"/>
      <w:r w:rsidRPr="003940D3">
        <w:rPr>
          <w:rFonts w:ascii="Times New Roman" w:hAnsi="Times New Roman" w:cs="Times New Roman"/>
          <w:sz w:val="24"/>
          <w:szCs w:val="24"/>
        </w:rPr>
        <w:t>dS</w:t>
      </w:r>
      <w:proofErr w:type="spellEnd"/>
      <w:r w:rsidRPr="003940D3">
        <w:rPr>
          <w:rFonts w:ascii="Times New Roman" w:hAnsi="Times New Roman" w:cs="Times New Roman"/>
          <w:sz w:val="24"/>
          <w:szCs w:val="24"/>
        </w:rPr>
        <w:t>/m. The soil had an organic carbon content of 0.53%, and contained 198 kg/ha of available nitrogen, 28.6 kg/ha of available phosphorus, and 370 kg/ha of available potassium. In terms of micronutrients, the soil had 2.66 mg/kg of iron, 3.15 mg/kg of manganese, 0.28 mg/kg of zinc, and 1.18 mg/kg of copper.</w:t>
      </w:r>
    </w:p>
    <w:p w14:paraId="76FF0EE3" w14:textId="77777777" w:rsidR="00B54E11" w:rsidRPr="008C791C" w:rsidRDefault="00B54E11" w:rsidP="00B54E11">
      <w:pPr>
        <w:autoSpaceDE w:val="0"/>
        <w:autoSpaceDN w:val="0"/>
        <w:adjustRightInd w:val="0"/>
        <w:spacing w:after="0" w:line="360" w:lineRule="auto"/>
        <w:jc w:val="both"/>
        <w:rPr>
          <w:rFonts w:ascii="Times New Roman" w:hAnsi="Times New Roman" w:cs="Times New Roman"/>
          <w:b/>
          <w:sz w:val="28"/>
          <w:szCs w:val="28"/>
        </w:rPr>
      </w:pPr>
      <w:r w:rsidRPr="008C791C">
        <w:rPr>
          <w:rFonts w:ascii="Times New Roman" w:hAnsi="Times New Roman" w:cs="Times New Roman"/>
          <w:b/>
          <w:sz w:val="28"/>
          <w:szCs w:val="28"/>
        </w:rPr>
        <w:t>Result and Discussions</w:t>
      </w:r>
    </w:p>
    <w:p w14:paraId="31EB0BFB" w14:textId="77777777" w:rsidR="00B54E11" w:rsidRPr="007621A1" w:rsidRDefault="00B54E11" w:rsidP="007621A1">
      <w:pPr>
        <w:pStyle w:val="ListParagraph"/>
        <w:numPr>
          <w:ilvl w:val="0"/>
          <w:numId w:val="8"/>
        </w:numPr>
        <w:autoSpaceDE w:val="0"/>
        <w:autoSpaceDN w:val="0"/>
        <w:adjustRightInd w:val="0"/>
        <w:spacing w:before="240" w:line="360" w:lineRule="auto"/>
        <w:ind w:left="0"/>
        <w:jc w:val="both"/>
        <w:rPr>
          <w:rFonts w:ascii="Times New Roman" w:hAnsi="Times New Roman" w:cs="Times New Roman"/>
          <w:b/>
          <w:bCs/>
          <w:sz w:val="24"/>
          <w:szCs w:val="24"/>
        </w:rPr>
      </w:pPr>
      <w:r w:rsidRPr="007621A1">
        <w:rPr>
          <w:rFonts w:ascii="Times New Roman" w:hAnsi="Times New Roman" w:cs="Times New Roman"/>
          <w:b/>
          <w:bCs/>
          <w:sz w:val="24"/>
          <w:szCs w:val="24"/>
        </w:rPr>
        <w:t>Concentration of major nutrients and micronutrients in grain and stover of chickpea</w:t>
      </w:r>
    </w:p>
    <w:p w14:paraId="21377D38"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 xml:space="preserve"> 1.1 Micronutrients concentration in chickpea (Fe, Mn, Zn and Cu)</w:t>
      </w:r>
    </w:p>
    <w:p w14:paraId="68CB896F"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1.1. 1 Nitrogen concentration in chickpea (%)</w:t>
      </w:r>
    </w:p>
    <w:p w14:paraId="63645B16"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presented data in the Table 1 represent that, there was a significant difference between control as well as combined application of fertilizers and biochar applied treatments. The nitrogen content in grain (3.62 %), stover (1.25 %) and total (4.87 %) was found to be significantly higher with application of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However, it was found to be on par in grain (3.45 %), stover (1.20 %) and total (4.65 %) of treatments with application of 100 % RDF + biochar @ 2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and grain (3.40 %), stover (1.19 %) and total (4.59 %) which received 50 %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xml:space="preserve">. Significantly, the lowest value in grain (2.45 %), stover (0.81 %) and total (3.26 %) were recorded in absolute control. </w:t>
      </w:r>
    </w:p>
    <w:p w14:paraId="1C074D2F"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lastRenderedPageBreak/>
        <w:t>The application of nitrogen and biochar resulted in higher nitrogen content at harvest in RDF applied treatments than RDF not applied treatments and control. Among the different treatments,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has recorded the highest N concentration. As urea was not applied in control, the lowest plant nitrogen content was noticed due to less supply of nitrogen. Further soil was initially low in available nitrogen (198.10 kg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w:t>
      </w:r>
    </w:p>
    <w:p w14:paraId="5F28D705"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 xml:space="preserve">Biochar can enhance biological nitrogen fixation by stimulating nodulation on roots with adsorption of flavonoids and nod factors which lead to an increase in nitrogen fixation by roots and its availability to shoots. Increase in nitrogen content in both grains and straw of chickpea with biochar addition was also supported by </w:t>
      </w:r>
      <w:proofErr w:type="spellStart"/>
      <w:r w:rsidRPr="008C791C">
        <w:rPr>
          <w:rFonts w:ascii="Times New Roman" w:hAnsi="Times New Roman" w:cs="Times New Roman"/>
          <w:sz w:val="24"/>
          <w:szCs w:val="24"/>
        </w:rPr>
        <w:t>Budania</w:t>
      </w:r>
      <w:proofErr w:type="spellEnd"/>
      <w:r w:rsidRPr="008C791C">
        <w:rPr>
          <w:rFonts w:ascii="Times New Roman" w:hAnsi="Times New Roman" w:cs="Times New Roman"/>
          <w:sz w:val="24"/>
          <w:szCs w:val="24"/>
        </w:rPr>
        <w:t xml:space="preserve"> and Janardhan (2014) and Thies </w:t>
      </w:r>
      <w:r w:rsidRPr="008C791C">
        <w:rPr>
          <w:rFonts w:ascii="Times New Roman" w:hAnsi="Times New Roman" w:cs="Times New Roman"/>
          <w:i/>
          <w:iCs/>
          <w:sz w:val="24"/>
          <w:szCs w:val="24"/>
        </w:rPr>
        <w:t xml:space="preserve">and </w:t>
      </w:r>
      <w:r w:rsidRPr="008C791C">
        <w:rPr>
          <w:rFonts w:ascii="Times New Roman" w:hAnsi="Times New Roman" w:cs="Times New Roman"/>
          <w:sz w:val="24"/>
          <w:szCs w:val="24"/>
        </w:rPr>
        <w:t>Rilling, (2009).</w:t>
      </w:r>
    </w:p>
    <w:p w14:paraId="3CCDB794"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1.1.2. Phosphorus concentration in chickpea (%)</w:t>
      </w:r>
    </w:p>
    <w:p w14:paraId="3B087DA9"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concentration of phosphorus in both grains and stover of chickpea was influenced significantly with different levels of biochar. The significantly highest phosphorus concentration in grain (0.51 %), stover (0.30 %) and total (0.81 %) was found in treatment which received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followed by (0.50, 0.29 and 0.79 % in grain, stover and total respectively), which received 100 % RDF + biochar @ 2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and (0.49, 0.28 and 0.77 % in grain, stover and total) respectively, which received 50 %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which found on par with the application of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Significantly, lowest value (0.25, 0.18 and 0.43 % in grain, stover and total respectively), was noticed in absolute control, that did not received any external nutrient and biochar sources.</w:t>
      </w:r>
    </w:p>
    <w:p w14:paraId="4FC98E84"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Among the different treatments, application of biochar has significantly influenced phosphorous concentration in chickpea plant when compared to biochar untreated plots. In the present investigation,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 xml:space="preserve">recorded the highest phosphorus concentration in chickpea. Biochar application leads to increase in the availability of phosphorus by reducing its fixation with the formation of phosphor humic complex which increased its absorption by the plant tissues. Significant increase in phosphorus content with the application of biochar was also supported by Nguyen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2012 and </w:t>
      </w:r>
      <w:proofErr w:type="spellStart"/>
      <w:r w:rsidRPr="008C791C">
        <w:rPr>
          <w:rFonts w:ascii="Times New Roman" w:hAnsi="Times New Roman" w:cs="Times New Roman"/>
          <w:sz w:val="24"/>
          <w:szCs w:val="24"/>
        </w:rPr>
        <w:t>Agegnehu</w:t>
      </w:r>
      <w:proofErr w:type="spellEnd"/>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(2015).</w:t>
      </w:r>
    </w:p>
    <w:p w14:paraId="026D3ACB"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1.1.3. Potassium content (%)</w:t>
      </w:r>
    </w:p>
    <w:p w14:paraId="3375333F"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lastRenderedPageBreak/>
        <w:t>The data presented in table showed significant influence on potassium contents with the application of biochar along with inorganic fertilizers compared to absolute control. The potassium content in both grains and stover after the harvest of the chickpea crop was significantly higher 1.31, 1.69 and 3.00 % for grains, stover and total, respectively with the application of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However, it was found to be on par with the application of 100 % RDF + biochar @ 2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with grain (1.28 %), stover (1.62 %) and total (2.90 %) and treatment with receiving of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(1.27 %), stover (1.61 %) and total (2.88 %). Significantly, the lowest was recorded in absolute control (0.96, 1.30 and 2.26 % in seed, stover and total, respectively).</w:t>
      </w:r>
    </w:p>
    <w:p w14:paraId="323BC5E4"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At harvest stage, highest potassium concentration was observed in stover than in seed in all the treatments. This might be attributed to the biochar application, which acted as the storehouse of both macro and micronutrients and was released during the mineralization cycle. In the present investigation,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xml:space="preserve"> recorded the highest potassium concentration in chickpea. In addition to extracting nutrients from the organic matter, the organic acids produced through the cycle of decomposition solubilize the native nutrients from the soil and thus improve the plant supply.</w:t>
      </w:r>
    </w:p>
    <w:p w14:paraId="3A2389AE"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 xml:space="preserve">Evangelou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2014 also found that, application of biochar significantly increased potassium content in plant shoots. Addition of biochar leads to significant increase in concentration of potassium in the plant tissues due to higher ash content of the biochar (Yusof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2015) that contained 1.52 per cent K. Lehmann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(2006), recorded similar results. Application of biochar generated at a temperature of 400 ° C and with a low C: N ratio leads to improved soil productivity and is expressed in further straw and grain uptake. Increased assimilation of N that increased root growth also improved the concentration and uptake of other two major nutrients. (Chamorro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2002).</w:t>
      </w:r>
    </w:p>
    <w:p w14:paraId="0065A77D"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1.2. Micronutrients concentration in chickpea (Fe, Mn, Zn and Cu)</w:t>
      </w:r>
    </w:p>
    <w:p w14:paraId="56D720A1"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The data on micronutrients concentration like Fe, Mn, Zn and Cu in chickpea are presented in Fig. 1.</w:t>
      </w:r>
    </w:p>
    <w:p w14:paraId="160B9F80"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1.2.1 Iron concentration in chickpea (mg kg</w:t>
      </w:r>
      <w:r w:rsidRPr="008C791C">
        <w:rPr>
          <w:rFonts w:ascii="Times New Roman" w:hAnsi="Times New Roman" w:cs="Times New Roman"/>
          <w:sz w:val="24"/>
          <w:szCs w:val="24"/>
          <w:vertAlign w:val="superscript"/>
        </w:rPr>
        <w:t>-1</w:t>
      </w:r>
      <w:r w:rsidRPr="008C791C">
        <w:rPr>
          <w:rFonts w:ascii="Times New Roman" w:hAnsi="Times New Roman" w:cs="Times New Roman"/>
          <w:b/>
          <w:bCs/>
          <w:sz w:val="24"/>
          <w:szCs w:val="24"/>
        </w:rPr>
        <w:t>)</w:t>
      </w:r>
    </w:p>
    <w:p w14:paraId="56F2BFA6"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8C791C">
        <w:rPr>
          <w:rFonts w:ascii="Times New Roman" w:hAnsi="Times New Roman" w:cs="Times New Roman"/>
          <w:sz w:val="24"/>
          <w:szCs w:val="24"/>
        </w:rPr>
        <w:t>The concentration of iron in chickpea plant did not varied significantly between treatments. Even though numerically higher iron concentration of 169.59, 39.69 and 209.28 mg kg</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for grain, stover and total, respectively were recorded with the application of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xml:space="preserve">, never the less, a lower concentration values of 130.83, 21.76 and </w:t>
      </w:r>
      <w:r w:rsidRPr="008C791C">
        <w:rPr>
          <w:rFonts w:ascii="Times New Roman" w:hAnsi="Times New Roman" w:cs="Times New Roman"/>
          <w:sz w:val="24"/>
          <w:szCs w:val="24"/>
        </w:rPr>
        <w:lastRenderedPageBreak/>
        <w:t>152.27 mg kg</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in grain and stover respectively were found in absolute control, which was not provided with no external nutrient supply and biochar.</w:t>
      </w:r>
      <w:r w:rsidRPr="008C791C">
        <w:rPr>
          <w:rFonts w:ascii="Times New Roman" w:hAnsi="Times New Roman" w:cs="Times New Roman"/>
          <w:b/>
          <w:bCs/>
          <w:sz w:val="24"/>
          <w:szCs w:val="24"/>
        </w:rPr>
        <w:t xml:space="preserve"> </w:t>
      </w:r>
    </w:p>
    <w:p w14:paraId="39AF2E74"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b/>
          <w:bCs/>
          <w:sz w:val="24"/>
          <w:szCs w:val="24"/>
        </w:rPr>
        <w:t>1.2.2 Zinc concentration in chickpea (mg kg</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w:t>
      </w:r>
    </w:p>
    <w:p w14:paraId="1095E83E"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concentration of zinc in plant differed significantly among the treatments with increasing rate of biochar in combination with fertilizers. Significantly higher zinc concentration (35.69, 12.36 and 48.05 mg kg</w:t>
      </w:r>
      <w:r w:rsidRPr="008C791C">
        <w:rPr>
          <w:rFonts w:ascii="Times New Roman" w:hAnsi="Times New Roman" w:cs="Times New Roman"/>
          <w:sz w:val="24"/>
          <w:szCs w:val="24"/>
          <w:vertAlign w:val="superscript"/>
        </w:rPr>
        <w:t xml:space="preserve">-1 </w:t>
      </w:r>
      <w:r w:rsidRPr="008C791C">
        <w:rPr>
          <w:rFonts w:ascii="Times New Roman" w:hAnsi="Times New Roman" w:cs="Times New Roman"/>
          <w:sz w:val="24"/>
          <w:szCs w:val="24"/>
        </w:rPr>
        <w:t>in grain, stover and total, respectively) was recorded with the application of 100 %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24"/>
          <w:szCs w:val="24"/>
        </w:rPr>
        <w:t>. However, it was on par with 100 % RDF + biochar @ 2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(34.56, 11.82 and 46.38 mg kg</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in grain, stover and total, respectively) and with 50 % RDF + Biochar @ 4 t ha</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(34.22, 11.69 and 45.90 mg kg</w:t>
      </w:r>
      <w:r w:rsidRPr="008C791C">
        <w:rPr>
          <w:rFonts w:ascii="Times New Roman" w:hAnsi="Times New Roman" w:cs="Times New Roman"/>
          <w:sz w:val="24"/>
          <w:szCs w:val="24"/>
          <w:vertAlign w:val="superscript"/>
        </w:rPr>
        <w:t>-1</w:t>
      </w:r>
      <w:r w:rsidRPr="008C791C">
        <w:rPr>
          <w:rFonts w:ascii="Times New Roman" w:hAnsi="Times New Roman" w:cs="Times New Roman"/>
          <w:sz w:val="16"/>
          <w:szCs w:val="16"/>
        </w:rPr>
        <w:t xml:space="preserve"> </w:t>
      </w:r>
      <w:r w:rsidRPr="008C791C">
        <w:rPr>
          <w:rFonts w:ascii="Times New Roman" w:hAnsi="Times New Roman" w:cs="Times New Roman"/>
          <w:sz w:val="24"/>
          <w:szCs w:val="24"/>
        </w:rPr>
        <w:t>in grain, stover and total, respectively). The lower zinc concentration was recorded in absolute control (27.30, 7.58 and 34.88 mg kg</w:t>
      </w:r>
      <w:r w:rsidRPr="008C791C">
        <w:rPr>
          <w:rFonts w:ascii="Times New Roman" w:hAnsi="Times New Roman" w:cs="Times New Roman"/>
          <w:sz w:val="24"/>
          <w:szCs w:val="24"/>
          <w:vertAlign w:val="superscript"/>
        </w:rPr>
        <w:t xml:space="preserve">-1 </w:t>
      </w:r>
      <w:r w:rsidRPr="008C791C">
        <w:rPr>
          <w:rFonts w:ascii="Times New Roman" w:hAnsi="Times New Roman" w:cs="Times New Roman"/>
          <w:sz w:val="24"/>
          <w:szCs w:val="24"/>
        </w:rPr>
        <w:t>in grain, stover and total, respectively) which had not received any external supply of nutrients and biochar.</w:t>
      </w:r>
    </w:p>
    <w:p w14:paraId="61FB4CAB"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1.2.3 Manganese concentration in chickpea plant (mg kg</w:t>
      </w:r>
      <w:r w:rsidRPr="008C791C">
        <w:rPr>
          <w:rFonts w:ascii="Times New Roman" w:hAnsi="Times New Roman" w:cs="Times New Roman"/>
          <w:b/>
          <w:bCs/>
          <w:sz w:val="24"/>
          <w:szCs w:val="24"/>
          <w:vertAlign w:val="superscript"/>
        </w:rPr>
        <w:t>-1</w:t>
      </w:r>
      <w:r w:rsidRPr="008C791C">
        <w:rPr>
          <w:rFonts w:ascii="Times New Roman" w:hAnsi="Times New Roman" w:cs="Times New Roman"/>
          <w:b/>
          <w:bCs/>
          <w:sz w:val="24"/>
          <w:szCs w:val="24"/>
        </w:rPr>
        <w:t>)</w:t>
      </w:r>
    </w:p>
    <w:p w14:paraId="00B9142B"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concentration of manganese in chickpea plant did not differ significantly among the treatments with increasing rate of biochar application. Numerically higher Manganese concentration (41.46, 15.41 and 56.87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was found with the application of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followed by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(40.15, 14.72 and 54.87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However, a lower value of 22.79, 10.13 and 32.92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manganese concentration in grain, stover and total, respectively was noticed in absolute control.</w:t>
      </w:r>
    </w:p>
    <w:p w14:paraId="57475324"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1.2.4 Copper concentration in chickpea plant (mg kg</w:t>
      </w:r>
      <w:r w:rsidRPr="008C791C">
        <w:rPr>
          <w:rFonts w:ascii="Times New Roman" w:hAnsi="Times New Roman" w:cs="Times New Roman"/>
          <w:sz w:val="24"/>
          <w:szCs w:val="24"/>
          <w:vertAlign w:val="superscript"/>
        </w:rPr>
        <w:t>-1</w:t>
      </w:r>
      <w:r w:rsidRPr="008C791C">
        <w:rPr>
          <w:rFonts w:ascii="Times New Roman" w:hAnsi="Times New Roman" w:cs="Times New Roman"/>
          <w:b/>
          <w:bCs/>
          <w:sz w:val="24"/>
          <w:szCs w:val="24"/>
        </w:rPr>
        <w:t>)</w:t>
      </w:r>
    </w:p>
    <w:p w14:paraId="664D7BA5"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concentration of copper in chickpea plant did not differ significantly among the treatments with increasing rate of biochar application. Numerically higher copper concentration (11.38, 12.87 and 24.25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was found with the application of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followed by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(11.24, 12.39 and 23.63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when compared to 100 % RDF with no application of biochar (9.53, 8.65 and 18.18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However, a lower value of 7.74, 6.63 and 14.37 mg kg</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Copper concentration in seed, stover and total, respectively was noticed in absolute control.</w:t>
      </w:r>
    </w:p>
    <w:p w14:paraId="458D6001"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lastRenderedPageBreak/>
        <w:t>2. Effect of biochar on nutrient uptake of major and micronutrients by grain, stover and total uptake of chickpea</w:t>
      </w:r>
    </w:p>
    <w:p w14:paraId="5BA8D1E4"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2.1 Major nutrients (N, P and K) uptake by chickpea</w:t>
      </w:r>
    </w:p>
    <w:p w14:paraId="7688F543"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The uptake of N, P and K by grain, stover and total uptake of chickpea are presented in Fig. 2, 3 and 4.</w:t>
      </w:r>
    </w:p>
    <w:p w14:paraId="7F35F895"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2.1.1 Nitrogen uptake (kg ha</w:t>
      </w:r>
      <w:r w:rsidRPr="008C791C">
        <w:rPr>
          <w:rFonts w:ascii="Times New Roman" w:hAnsi="Times New Roman" w:cs="Times New Roman"/>
          <w:sz w:val="24"/>
          <w:szCs w:val="24"/>
          <w:vertAlign w:val="superscript"/>
        </w:rPr>
        <w:t>-1</w:t>
      </w:r>
      <w:r w:rsidRPr="008C791C">
        <w:rPr>
          <w:rFonts w:ascii="Times New Roman" w:hAnsi="Times New Roman" w:cs="Times New Roman"/>
          <w:b/>
          <w:bCs/>
          <w:sz w:val="24"/>
          <w:szCs w:val="24"/>
        </w:rPr>
        <w:t>) by chickpea</w:t>
      </w:r>
    </w:p>
    <w:p w14:paraId="548E6609"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perusal of data presented in Fig. 2, 3 and 4 showed that uptake of nitrogen by chickpea plant was significantly influenced by the different levels of biochar application. Significantly higher nitrogen uptake (52.01, 22.10 and 74.11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recorded with the application of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However, it was found to be on par with the application of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(48.85, 21.20 and 70.05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and treatment which received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(47.55, 20.81 and 68.36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when compared to 100 % RDF without biochar supply (39.96, 17.08 and 57.04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Significantly, the lower nitrogen uptake (26.03, 11.53 and 37.56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found in absolute control which received no external nutrient and biochar supply.</w:t>
      </w:r>
    </w:p>
    <w:p w14:paraId="75ED557C"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 xml:space="preserve">The reason for higher uptake of nitrogen under high doses of biochar might be due to the positive effects of biochar on crop growth, along with positive effects of crop plant uptake on nutrients (P and K) and soil availability of P, K, Ca and Mg. The uptake of nutrients is a feature of the nutrient concentration and the dry matter yield. Increased biochar application rate increased the production of dry matter which obviously increased the nutrient uptake. Chan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(2007) and Zhao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(2014) noted a rise in N uptake at higher biochar levels. Angst and Sohi (2013) and Yao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(2013) reported that, primary nutrients availability and plant uptake increased the response to biochar application, especially when combined with chemical fertilizers. </w:t>
      </w:r>
    </w:p>
    <w:p w14:paraId="2CF57DAB"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8C791C">
        <w:rPr>
          <w:rFonts w:ascii="Times New Roman" w:hAnsi="Times New Roman" w:cs="Times New Roman"/>
          <w:sz w:val="24"/>
          <w:szCs w:val="24"/>
        </w:rPr>
        <w:t xml:space="preserve">Deluca and Mackenzie, (2009) stated that, biochar added with an organic N source to the soil yielded an increase in net nitrification and improved plant availability of nitrogen. Laxman Rao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(2017) also supported the improvement in nitrogen uptake with the biochar addition which was due to multiplication effect of higher nitrogen absorption as well as high biomass production.</w:t>
      </w:r>
      <w:r w:rsidRPr="008C791C">
        <w:rPr>
          <w:rFonts w:ascii="Times New Roman" w:hAnsi="Times New Roman" w:cs="Times New Roman"/>
          <w:b/>
          <w:bCs/>
          <w:sz w:val="24"/>
          <w:szCs w:val="24"/>
        </w:rPr>
        <w:t xml:space="preserve"> </w:t>
      </w:r>
    </w:p>
    <w:p w14:paraId="60E2DA44"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b/>
          <w:bCs/>
          <w:sz w:val="24"/>
          <w:szCs w:val="24"/>
        </w:rPr>
        <w:lastRenderedPageBreak/>
        <w:t>2.1.2 Phosphorus uptake (kg ha</w:t>
      </w:r>
      <w:r w:rsidRPr="008C791C">
        <w:rPr>
          <w:rFonts w:ascii="Times New Roman" w:hAnsi="Times New Roman" w:cs="Times New Roman"/>
          <w:b/>
          <w:bCs/>
          <w:sz w:val="24"/>
          <w:szCs w:val="24"/>
          <w:vertAlign w:val="superscript"/>
        </w:rPr>
        <w:t>-1</w:t>
      </w:r>
      <w:r w:rsidRPr="008C791C">
        <w:rPr>
          <w:rFonts w:ascii="Times New Roman" w:hAnsi="Times New Roman" w:cs="Times New Roman"/>
          <w:b/>
          <w:bCs/>
          <w:sz w:val="24"/>
          <w:szCs w:val="24"/>
        </w:rPr>
        <w:t>) by chickpea</w:t>
      </w:r>
    </w:p>
    <w:p w14:paraId="79DC580A"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The uptake of phosphorus of by chickpea grain and stover was significantly influenced by the different levels of biochar application. Significantly higher phosphorus uptake (7.32, 5.26 and 12.58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noticed with the application of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However, it was on par with the application of 100 % RDF + biochar @ 2 t ha</w:t>
      </w:r>
      <w:r w:rsidRPr="008C791C">
        <w:rPr>
          <w:rFonts w:ascii="Times New Roman" w:hAnsi="Times New Roman" w:cs="Times New Roman"/>
          <w:sz w:val="16"/>
          <w:szCs w:val="16"/>
        </w:rPr>
        <w:t>-</w:t>
      </w:r>
      <w:r w:rsidRPr="008C791C">
        <w:rPr>
          <w:rFonts w:ascii="Times New Roman" w:hAnsi="Times New Roman" w:cs="Times New Roman"/>
          <w:sz w:val="24"/>
          <w:szCs w:val="24"/>
        </w:rPr>
        <w:t xml:space="preserve"> </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(7.07, 5.12 and 12.19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grain, stover and total, respectively) and treatment which received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(6.81, 4.97 and 11.78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when compared to 100 % RDF without biochar application (4.92, 3.93 and 8.85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Significantly, lower uptake (2.68, 2.57 and 5.25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was reported in absolute control where no external nutrient and biochar source was applied. There was a significant difference in phosphorus uptake by chickpea due to biochar application in combination with fertilizers.</w:t>
      </w:r>
    </w:p>
    <w:p w14:paraId="152A62B5"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All the inorganic phosphorus applied treatments recorded significantly higher phosphorus uptake due to high biomass production. In the present investigation,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 xml:space="preserve">recorded higher phosphorous uptake. The priming effects, competitive sorption processes or improvement in root growth might have contributed to the increased P recovery and its uptake by the plant. </w:t>
      </w:r>
      <w:proofErr w:type="spellStart"/>
      <w:r w:rsidRPr="008C791C">
        <w:rPr>
          <w:rFonts w:ascii="Times New Roman" w:hAnsi="Times New Roman" w:cs="Times New Roman"/>
          <w:sz w:val="24"/>
          <w:szCs w:val="24"/>
        </w:rPr>
        <w:t>Agegnehu</w:t>
      </w:r>
      <w:proofErr w:type="spellEnd"/>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(2015) noticed that, higher phosphorus uptake by the plant indicated that, biochar treated soil maintained higher concentration of these nutrients in the soil solution due to reduced leaching.</w:t>
      </w:r>
    </w:p>
    <w:p w14:paraId="161982F6"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8C791C">
        <w:rPr>
          <w:rFonts w:ascii="Times New Roman" w:hAnsi="Times New Roman" w:cs="Times New Roman"/>
          <w:sz w:val="24"/>
          <w:szCs w:val="24"/>
        </w:rPr>
        <w:t xml:space="preserve">Applied biochar forms phosphor humic complex it solubilizes and reduce P fixation, this improves P uptake. Significant increase in phosphorus uptake with the biochar addition was also supported by Supriyadi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(2012). Aziz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(2006) indicated that the increased availability of P can also be induced healthy root development by reduced Al toxicity which causes root damage. Similarly, with the introduction of biochar, Uzoma </w:t>
      </w:r>
      <w:r w:rsidRPr="008C791C">
        <w:rPr>
          <w:rFonts w:ascii="Times New Roman" w:hAnsi="Times New Roman" w:cs="Times New Roman"/>
          <w:i/>
          <w:iCs/>
          <w:sz w:val="24"/>
          <w:szCs w:val="24"/>
        </w:rPr>
        <w:t>et</w:t>
      </w:r>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al</w:t>
      </w:r>
      <w:r w:rsidRPr="008C791C">
        <w:rPr>
          <w:rFonts w:ascii="Times New Roman" w:hAnsi="Times New Roman" w:cs="Times New Roman"/>
          <w:sz w:val="24"/>
          <w:szCs w:val="24"/>
        </w:rPr>
        <w:t xml:space="preserve">. (2011) and Yamato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(2006) recorded an improvement of the available plant P in soil.</w:t>
      </w:r>
      <w:r w:rsidRPr="008C791C">
        <w:rPr>
          <w:rFonts w:ascii="Times New Roman" w:hAnsi="Times New Roman" w:cs="Times New Roman"/>
          <w:b/>
          <w:bCs/>
          <w:sz w:val="24"/>
          <w:szCs w:val="24"/>
        </w:rPr>
        <w:t xml:space="preserve"> </w:t>
      </w:r>
    </w:p>
    <w:p w14:paraId="6BC1DC99"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b/>
          <w:bCs/>
          <w:sz w:val="24"/>
          <w:szCs w:val="24"/>
        </w:rPr>
        <w:t>2.1.3 Potassium uptake (kg ha</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 by chickpea</w:t>
      </w:r>
    </w:p>
    <w:p w14:paraId="0738D37F" w14:textId="244D4FCE"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 xml:space="preserve">The data presented in Table </w:t>
      </w:r>
      <w:r w:rsidR="006134F2">
        <w:rPr>
          <w:rFonts w:ascii="Times New Roman" w:hAnsi="Times New Roman" w:cs="Times New Roman"/>
          <w:sz w:val="24"/>
          <w:szCs w:val="24"/>
        </w:rPr>
        <w:t>2</w:t>
      </w:r>
      <w:r w:rsidRPr="008C791C">
        <w:rPr>
          <w:rFonts w:ascii="Times New Roman" w:hAnsi="Times New Roman" w:cs="Times New Roman"/>
          <w:sz w:val="24"/>
          <w:szCs w:val="24"/>
        </w:rPr>
        <w:t xml:space="preserve"> and Fig. 2 states that, uptake of potassium by chickpea was significantly influenced with increased level of biochar application when applied in combination with fertilizers. Significantly higher K uptake (18.80, 29.88 and 48.68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with the application of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xml:space="preserve">. However, it was found to be on par with the application of 100 % RDF + </w:t>
      </w:r>
      <w:r w:rsidRPr="008C791C">
        <w:rPr>
          <w:rFonts w:ascii="Times New Roman" w:hAnsi="Times New Roman" w:cs="Times New Roman"/>
          <w:sz w:val="24"/>
          <w:szCs w:val="24"/>
        </w:rPr>
        <w:lastRenderedPageBreak/>
        <w:t>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(18.15, 28.62 and 46.77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and the treatment which received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(17.82, 28.14 and 45.96 kg ha</w:t>
      </w:r>
      <w:r w:rsidRPr="008C791C">
        <w:rPr>
          <w:rFonts w:ascii="Times New Roman" w:hAnsi="Times New Roman" w:cs="Times New Roman"/>
          <w:sz w:val="16"/>
          <w:szCs w:val="16"/>
        </w:rPr>
        <w:t>-1</w:t>
      </w:r>
      <w:r w:rsidRPr="008C791C">
        <w:rPr>
          <w:rFonts w:ascii="Times New Roman" w:hAnsi="Times New Roman" w:cs="Times New Roman"/>
          <w:sz w:val="24"/>
          <w:szCs w:val="24"/>
        </w:rPr>
        <w:t xml:space="preserve"> by grain, stover and total, respectively) when compared to 100 % RDF and without application of biochar (15.63, 24.25 and 39.88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Significantly, lowest uptake (10.24, 18.46 and 28.7 kg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in absolute control where no external nutrient and biochar was applied.</w:t>
      </w:r>
    </w:p>
    <w:p w14:paraId="2A1650A2"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8C791C">
        <w:rPr>
          <w:rFonts w:ascii="Times New Roman" w:hAnsi="Times New Roman" w:cs="Times New Roman"/>
          <w:sz w:val="24"/>
          <w:szCs w:val="24"/>
        </w:rPr>
        <w:t>The increase in K concentration and uptake might be due to biochar ash content which helps to release occluded K for crop use immediately. Most of the uptake of nutrients (N and K) will increase as the biochar influenced the increased availability of water due to greater surface area. In addition, biochar has the capacity to increase the soil's CEC, thereby increasing the soil's ability to hold K and make it available for plant uptake. In the present investigation,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recorded the higher potassium concentration. The availability of K increased as the soil pH increased by applying biochar in combination with agricultural lime (</w:t>
      </w:r>
      <w:proofErr w:type="spellStart"/>
      <w:r w:rsidRPr="008C791C">
        <w:rPr>
          <w:rFonts w:ascii="Times New Roman" w:hAnsi="Times New Roman" w:cs="Times New Roman"/>
          <w:sz w:val="24"/>
          <w:szCs w:val="24"/>
        </w:rPr>
        <w:t>Manolikaki</w:t>
      </w:r>
      <w:proofErr w:type="spellEnd"/>
      <w:r w:rsidRPr="008C791C">
        <w:rPr>
          <w:rFonts w:ascii="Times New Roman" w:hAnsi="Times New Roman" w:cs="Times New Roman"/>
          <w:sz w:val="24"/>
          <w:szCs w:val="24"/>
        </w:rPr>
        <w:t xml:space="preserve"> and </w:t>
      </w:r>
      <w:proofErr w:type="spellStart"/>
      <w:r w:rsidRPr="008C791C">
        <w:rPr>
          <w:rFonts w:ascii="Times New Roman" w:hAnsi="Times New Roman" w:cs="Times New Roman"/>
          <w:sz w:val="24"/>
          <w:szCs w:val="24"/>
        </w:rPr>
        <w:t>Diamadopoulos</w:t>
      </w:r>
      <w:proofErr w:type="spellEnd"/>
      <w:r w:rsidRPr="008C791C">
        <w:rPr>
          <w:rFonts w:ascii="Times New Roman" w:hAnsi="Times New Roman" w:cs="Times New Roman"/>
          <w:sz w:val="24"/>
          <w:szCs w:val="24"/>
        </w:rPr>
        <w:t xml:space="preserve">, 2016), Rondon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(2007) also reported increased K uptake by plant biomass. Higher cation exchange capacity of biochar decreased the losses of potassium and thus increased its uptake. When biochar was added to the soil, it’s surface oxidation by biotic and abiotic agents resulted in development of negative charges that give ability to biochar to sorb more cations like potassium which lead to increase in uptake of nutrients (Danish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2014). </w:t>
      </w:r>
      <w:proofErr w:type="spellStart"/>
      <w:r w:rsidRPr="008C791C">
        <w:rPr>
          <w:rFonts w:ascii="Times New Roman" w:hAnsi="Times New Roman" w:cs="Times New Roman"/>
          <w:sz w:val="24"/>
          <w:szCs w:val="24"/>
        </w:rPr>
        <w:t>Abrishamkesh</w:t>
      </w:r>
      <w:proofErr w:type="spellEnd"/>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(2015) also noticed that, high ash content in biochar amended soils could be attributed to high ash content of biochar and immediate release of potassium from the ash could result in higher uptake of potassium by the plant.</w:t>
      </w:r>
      <w:r w:rsidRPr="008C791C">
        <w:rPr>
          <w:rFonts w:ascii="Times New Roman" w:hAnsi="Times New Roman" w:cs="Times New Roman"/>
          <w:b/>
          <w:bCs/>
          <w:sz w:val="24"/>
          <w:szCs w:val="24"/>
        </w:rPr>
        <w:t xml:space="preserve"> </w:t>
      </w:r>
    </w:p>
    <w:p w14:paraId="352011BF"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b/>
          <w:bCs/>
          <w:sz w:val="24"/>
          <w:szCs w:val="24"/>
        </w:rPr>
        <w:t>2.2 Micronutrients (Fe, Mn, Zn, and Cu) uptake by chickpea</w:t>
      </w:r>
    </w:p>
    <w:p w14:paraId="2A559D63"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2.2.1 Iron uptake (g ha</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 by chickpea</w:t>
      </w:r>
    </w:p>
    <w:p w14:paraId="3183A001"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The perusal of data presented in Table 2 showed that, uptake of iron by chickpea crop was significantly influenced by the different levels of biochar application. Significantly higher value of iron uptake (243.40, 70.15 and 313.55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recorded with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w:t>
      </w:r>
    </w:p>
    <w:p w14:paraId="219E1351"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However, it was found to be on par with the application of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(231.07, 67.55 and 298.62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and with the application of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(224.59, 65.25 and 289.84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 xml:space="preserve">by grain, </w:t>
      </w:r>
      <w:r w:rsidRPr="008C791C">
        <w:rPr>
          <w:rFonts w:ascii="Times New Roman" w:hAnsi="Times New Roman" w:cs="Times New Roman"/>
          <w:sz w:val="24"/>
          <w:szCs w:val="24"/>
        </w:rPr>
        <w:lastRenderedPageBreak/>
        <w:t>stover and total, respectively when compared to the treatment which received 100 % RDF and without application of biochar (187.77, 51.30 and 239.07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Significantly, the lower uptake (137.49, 30.88 and 168.37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in absolute control where no external nutrients and biochar was applied.</w:t>
      </w:r>
    </w:p>
    <w:p w14:paraId="4857D2CE"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2.2.2 Zinc uptake (g ha</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 by chickpea</w:t>
      </w:r>
    </w:p>
    <w:p w14:paraId="6C3F1481"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The data presented in Table 2 states that, uptake of zinc by chickpea was significantly influenced due to different levels of biochar application when applied in combination with chemical fertilizers.</w:t>
      </w:r>
    </w:p>
    <w:p w14:paraId="4B0299BD" w14:textId="77777777" w:rsidR="00B54E11" w:rsidRPr="008C791C"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Significantly higher zinc uptake (51.23, 21.85 and 73.08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with the application of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However, it was found to be par with the application of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(48.94, 20.88 and 69.82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and with the application of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(47.83, 20.48 and 68.31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when compared to the treatment which received only 100 % RDF without application of biochar (40.48, 16.66 and 57.14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Significantly, the lower uptake (29.45, 10.77 and 40.22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was reported in absolute control which had no external supply of nutrients and biochar were applied.</w:t>
      </w:r>
    </w:p>
    <w:p w14:paraId="3DD0D1AF"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2.2.3 Manganese uptake (g ha</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 by chickpea</w:t>
      </w:r>
    </w:p>
    <w:p w14:paraId="0F09013E"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t>The data presented in Table 2 showed that, uptake of manganese by chickpea was significantly influenced by the different levels of biochar application. Significantly higher uptake of manganese (59.46, 27.25 and 86.71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with the application of 100 % RDF + biochar @ 4 t ha</w:t>
      </w:r>
      <w:r w:rsidRPr="008C791C">
        <w:rPr>
          <w:rFonts w:ascii="Times New Roman" w:hAnsi="Times New Roman" w:cs="Times New Roman"/>
          <w:sz w:val="16"/>
          <w:szCs w:val="16"/>
        </w:rPr>
        <w:t>-1</w:t>
      </w:r>
      <w:r w:rsidRPr="008C791C">
        <w:rPr>
          <w:rFonts w:ascii="Times New Roman" w:hAnsi="Times New Roman" w:cs="Times New Roman"/>
          <w:sz w:val="24"/>
          <w:szCs w:val="24"/>
        </w:rPr>
        <w:t>. However, it was found to be on par with the application of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(57.56, 26.01 and 83.57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and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(55.79, 25.41 and 81.20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Significantly lower uptake (23.92, 14.46 and 38.38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in absolute control where no external nutrients and biochar source was applied.</w:t>
      </w:r>
    </w:p>
    <w:p w14:paraId="678152C1"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8C791C">
        <w:rPr>
          <w:rFonts w:ascii="Times New Roman" w:hAnsi="Times New Roman" w:cs="Times New Roman"/>
          <w:b/>
          <w:bCs/>
          <w:sz w:val="24"/>
          <w:szCs w:val="24"/>
        </w:rPr>
        <w:t>2.2.4 Copper uptake (g ha</w:t>
      </w:r>
      <w:r w:rsidRPr="008C791C">
        <w:rPr>
          <w:rFonts w:ascii="Times New Roman" w:hAnsi="Times New Roman" w:cs="Times New Roman"/>
          <w:b/>
          <w:bCs/>
          <w:sz w:val="16"/>
          <w:szCs w:val="16"/>
        </w:rPr>
        <w:t>-1</w:t>
      </w:r>
      <w:r w:rsidRPr="008C791C">
        <w:rPr>
          <w:rFonts w:ascii="Times New Roman" w:hAnsi="Times New Roman" w:cs="Times New Roman"/>
          <w:b/>
          <w:bCs/>
          <w:sz w:val="24"/>
          <w:szCs w:val="24"/>
        </w:rPr>
        <w:t>) by chickpea</w:t>
      </w:r>
    </w:p>
    <w:p w14:paraId="6750AEE5"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8C791C">
        <w:rPr>
          <w:rFonts w:ascii="Times New Roman" w:hAnsi="Times New Roman" w:cs="Times New Roman"/>
          <w:sz w:val="24"/>
          <w:szCs w:val="24"/>
        </w:rPr>
        <w:lastRenderedPageBreak/>
        <w:t>Table 2 showed that, uptake of copper by seed and stover of chickpea, was significantly influenced by the different rates of biochar application with the combination of chemical fertilizers.</w:t>
      </w:r>
    </w:p>
    <w:p w14:paraId="1D527FE7" w14:textId="44FB4875" w:rsidR="00B54E11"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Significantly higher copper uptake (16.31, 22.75 and 39.06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was reported with the application of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followed by 100 % RDF + biochar @ 2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(15.85, 21.91 and 37.76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and 50 %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(15.39, 21.47 and 36.86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by grain, stover and total, respectively) when compared to the treatment with the application of only 100 % RDF with no biochar supply (12.66, 14.74 and 27.40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Significantly lower absorption (8.40, 9.46 and 17.86 g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in grain, stover and total, respectively) was recorded in absolute control with no external supply of nutrients and biochar.</w:t>
      </w:r>
    </w:p>
    <w:p w14:paraId="77179A4D" w14:textId="1EF99F50" w:rsidR="006134F2" w:rsidRPr="006134F2" w:rsidRDefault="006134F2" w:rsidP="006134F2">
      <w:pPr>
        <w:autoSpaceDE w:val="0"/>
        <w:autoSpaceDN w:val="0"/>
        <w:adjustRightInd w:val="0"/>
        <w:spacing w:before="240" w:line="360" w:lineRule="auto"/>
        <w:jc w:val="both"/>
        <w:rPr>
          <w:rFonts w:ascii="Times New Roman" w:hAnsi="Times New Roman" w:cs="Times New Roman"/>
          <w:b/>
          <w:sz w:val="24"/>
          <w:szCs w:val="24"/>
        </w:rPr>
      </w:pPr>
      <w:r w:rsidRPr="006134F2">
        <w:rPr>
          <w:rFonts w:ascii="Times New Roman" w:hAnsi="Times New Roman" w:cs="Times New Roman"/>
          <w:b/>
          <w:sz w:val="24"/>
          <w:szCs w:val="24"/>
        </w:rPr>
        <w:t>Conclusion</w:t>
      </w:r>
    </w:p>
    <w:p w14:paraId="01018C4D" w14:textId="5C1ABF54" w:rsidR="00B54E11"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sz w:val="24"/>
          <w:szCs w:val="24"/>
        </w:rPr>
        <w:t xml:space="preserve">The total uptake of micronutrients </w:t>
      </w:r>
      <w:r w:rsidRPr="008C791C">
        <w:rPr>
          <w:rFonts w:ascii="Times New Roman" w:hAnsi="Times New Roman" w:cs="Times New Roman"/>
          <w:i/>
          <w:iCs/>
          <w:sz w:val="24"/>
          <w:szCs w:val="24"/>
        </w:rPr>
        <w:t>viz</w:t>
      </w:r>
      <w:r w:rsidRPr="008C791C">
        <w:rPr>
          <w:rFonts w:ascii="Times New Roman" w:hAnsi="Times New Roman" w:cs="Times New Roman"/>
          <w:sz w:val="24"/>
          <w:szCs w:val="24"/>
        </w:rPr>
        <w:t>., Fe, Zn, Mn and Cu by chickpea varied significantly due to biochar application. Higher total uptake of Fe, Zn, Mn and Cu by chickpea was recorded in the treatment with the application of 100 % RDF + Biochar @ 4 t ha</w:t>
      </w:r>
      <w:r w:rsidRPr="008C791C">
        <w:rPr>
          <w:rFonts w:ascii="Times New Roman" w:hAnsi="Times New Roman" w:cs="Times New Roman"/>
          <w:sz w:val="16"/>
          <w:szCs w:val="16"/>
        </w:rPr>
        <w:t xml:space="preserve">-1 </w:t>
      </w:r>
      <w:r w:rsidRPr="008C791C">
        <w:rPr>
          <w:rFonts w:ascii="Times New Roman" w:hAnsi="Times New Roman" w:cs="Times New Roman"/>
          <w:sz w:val="24"/>
          <w:szCs w:val="24"/>
        </w:rPr>
        <w:t xml:space="preserve">and the lower uptake was recorded in absolute control where no external source of nutrients and biochar were applied. Higher uptake of these micronutrients was due to higher dry matter yield along with higher doses of biochar application. Application </w:t>
      </w:r>
      <w:proofErr w:type="spellStart"/>
      <w:r w:rsidRPr="008C791C">
        <w:rPr>
          <w:rFonts w:ascii="Times New Roman" w:hAnsi="Times New Roman" w:cs="Times New Roman"/>
          <w:sz w:val="24"/>
          <w:szCs w:val="24"/>
        </w:rPr>
        <w:t>ofbiochar</w:t>
      </w:r>
      <w:proofErr w:type="spellEnd"/>
      <w:r w:rsidRPr="008C791C">
        <w:rPr>
          <w:rFonts w:ascii="Times New Roman" w:hAnsi="Times New Roman" w:cs="Times New Roman"/>
          <w:sz w:val="24"/>
          <w:szCs w:val="24"/>
        </w:rPr>
        <w:t xml:space="preserve"> is accompanied by increase in soil pH and reduced mobility of micronutrients. But in presence of plant, which actively releases organic acids in rhizosphere may mobilize the native micronutrients. Lehmann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(2003) noticed higher uptake of Zn and Cu by the plants with increased levels of biochar due to reduced leaching losses and increased fertilizer use efficiency. Similar fin dings were also reported by Antonio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xml:space="preserve">. (2013) and Willis </w:t>
      </w:r>
      <w:r w:rsidRPr="008C791C">
        <w:rPr>
          <w:rFonts w:ascii="Times New Roman" w:hAnsi="Times New Roman" w:cs="Times New Roman"/>
          <w:i/>
          <w:iCs/>
          <w:sz w:val="24"/>
          <w:szCs w:val="24"/>
        </w:rPr>
        <w:t>et al</w:t>
      </w:r>
      <w:r w:rsidRPr="008C791C">
        <w:rPr>
          <w:rFonts w:ascii="Times New Roman" w:hAnsi="Times New Roman" w:cs="Times New Roman"/>
          <w:sz w:val="24"/>
          <w:szCs w:val="24"/>
        </w:rPr>
        <w:t>. (2016).</w:t>
      </w:r>
    </w:p>
    <w:p w14:paraId="092AD322" w14:textId="4AF27C1E" w:rsidR="00F50AA4" w:rsidRDefault="00F50AA4" w:rsidP="00B54E11">
      <w:pPr>
        <w:autoSpaceDE w:val="0"/>
        <w:autoSpaceDN w:val="0"/>
        <w:adjustRightInd w:val="0"/>
        <w:spacing w:before="240" w:line="360" w:lineRule="auto"/>
        <w:ind w:firstLine="720"/>
        <w:jc w:val="both"/>
        <w:rPr>
          <w:rFonts w:ascii="Times New Roman" w:hAnsi="Times New Roman" w:cs="Times New Roman"/>
          <w:sz w:val="24"/>
          <w:szCs w:val="24"/>
        </w:rPr>
      </w:pPr>
    </w:p>
    <w:p w14:paraId="095420B0" w14:textId="77777777" w:rsidR="00F50AA4" w:rsidRDefault="00F50AA4" w:rsidP="00F50AA4">
      <w:pPr>
        <w:rPr>
          <w:highlight w:val="yellow"/>
        </w:rPr>
      </w:pPr>
      <w:r>
        <w:rPr>
          <w:highlight w:val="yellow"/>
        </w:rPr>
        <w:t>Disclaimer (Artificial intelligence)</w:t>
      </w:r>
    </w:p>
    <w:p w14:paraId="7B76B4AF" w14:textId="77777777" w:rsidR="00F50AA4" w:rsidRDefault="00F50AA4" w:rsidP="00F50AA4">
      <w:pPr>
        <w:rPr>
          <w:highlight w:val="yellow"/>
        </w:rPr>
      </w:pPr>
      <w:r>
        <w:rPr>
          <w:highlight w:val="yellow"/>
        </w:rPr>
        <w:t xml:space="preserve">Option 1: </w:t>
      </w:r>
    </w:p>
    <w:p w14:paraId="13FE98FC" w14:textId="77777777" w:rsidR="00F50AA4" w:rsidRDefault="00F50AA4" w:rsidP="00F50AA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93FB551" w14:textId="77777777" w:rsidR="00F50AA4" w:rsidRDefault="00F50AA4" w:rsidP="00F50AA4">
      <w:pPr>
        <w:rPr>
          <w:highlight w:val="yellow"/>
        </w:rPr>
      </w:pPr>
      <w:r>
        <w:rPr>
          <w:highlight w:val="yellow"/>
        </w:rPr>
        <w:t xml:space="preserve">Option 2: </w:t>
      </w:r>
    </w:p>
    <w:p w14:paraId="0C1BBFFE" w14:textId="77777777" w:rsidR="00F50AA4" w:rsidRDefault="00F50AA4" w:rsidP="00F50AA4">
      <w:pPr>
        <w:rPr>
          <w:highlight w:val="yellow"/>
        </w:rPr>
      </w:pPr>
      <w:r>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A12567" w14:textId="77777777" w:rsidR="00F50AA4" w:rsidRDefault="00F50AA4" w:rsidP="00F50AA4">
      <w:pPr>
        <w:rPr>
          <w:highlight w:val="yellow"/>
        </w:rPr>
      </w:pPr>
      <w:r>
        <w:rPr>
          <w:highlight w:val="yellow"/>
        </w:rPr>
        <w:t>Details of the AI usage are given below:</w:t>
      </w:r>
    </w:p>
    <w:p w14:paraId="0424A7C1" w14:textId="77777777" w:rsidR="00F50AA4" w:rsidRDefault="00F50AA4" w:rsidP="00F50AA4">
      <w:pPr>
        <w:rPr>
          <w:highlight w:val="yellow"/>
        </w:rPr>
      </w:pPr>
      <w:r>
        <w:rPr>
          <w:highlight w:val="yellow"/>
        </w:rPr>
        <w:t>1.</w:t>
      </w:r>
    </w:p>
    <w:p w14:paraId="0D444798" w14:textId="77777777" w:rsidR="00F50AA4" w:rsidRDefault="00F50AA4" w:rsidP="00F50AA4">
      <w:pPr>
        <w:rPr>
          <w:highlight w:val="yellow"/>
        </w:rPr>
      </w:pPr>
      <w:r>
        <w:rPr>
          <w:highlight w:val="yellow"/>
        </w:rPr>
        <w:t>2.</w:t>
      </w:r>
    </w:p>
    <w:p w14:paraId="0F7B59B4" w14:textId="77777777" w:rsidR="00F50AA4" w:rsidRDefault="00F50AA4" w:rsidP="00F50AA4">
      <w:r>
        <w:rPr>
          <w:highlight w:val="yellow"/>
        </w:rPr>
        <w:t>3.</w:t>
      </w:r>
    </w:p>
    <w:p w14:paraId="539070A6" w14:textId="77777777" w:rsidR="00F50AA4" w:rsidRPr="008C791C" w:rsidRDefault="00F50AA4" w:rsidP="00B54E11">
      <w:pPr>
        <w:autoSpaceDE w:val="0"/>
        <w:autoSpaceDN w:val="0"/>
        <w:adjustRightInd w:val="0"/>
        <w:spacing w:before="240" w:line="360" w:lineRule="auto"/>
        <w:ind w:firstLine="720"/>
        <w:jc w:val="both"/>
        <w:rPr>
          <w:rFonts w:ascii="Times New Roman" w:hAnsi="Times New Roman" w:cs="Times New Roman"/>
          <w:sz w:val="24"/>
          <w:szCs w:val="24"/>
        </w:rPr>
      </w:pPr>
    </w:p>
    <w:p w14:paraId="33700F1C" w14:textId="77777777" w:rsidR="00B54E11" w:rsidRPr="008C791C" w:rsidRDefault="00B54E11" w:rsidP="00B54E11">
      <w:pPr>
        <w:autoSpaceDE w:val="0"/>
        <w:autoSpaceDN w:val="0"/>
        <w:adjustRightInd w:val="0"/>
        <w:spacing w:before="240" w:line="360" w:lineRule="auto"/>
        <w:jc w:val="both"/>
        <w:rPr>
          <w:rFonts w:ascii="Times New Roman" w:hAnsi="Times New Roman" w:cs="Times New Roman"/>
          <w:b/>
          <w:bCs/>
          <w:sz w:val="28"/>
          <w:szCs w:val="28"/>
        </w:rPr>
      </w:pPr>
      <w:r w:rsidRPr="008C791C">
        <w:rPr>
          <w:rFonts w:ascii="Times New Roman" w:hAnsi="Times New Roman" w:cs="Times New Roman"/>
          <w:b/>
          <w:bCs/>
          <w:sz w:val="28"/>
          <w:szCs w:val="28"/>
        </w:rPr>
        <w:t>References</w:t>
      </w:r>
    </w:p>
    <w:p w14:paraId="6D00744B"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8C791C">
        <w:rPr>
          <w:rFonts w:ascii="Times New Roman" w:hAnsi="Times New Roman" w:cs="Times New Roman"/>
          <w:sz w:val="24"/>
          <w:szCs w:val="24"/>
        </w:rPr>
        <w:t>Abrishamkesh</w:t>
      </w:r>
      <w:proofErr w:type="spellEnd"/>
      <w:r w:rsidRPr="008C791C">
        <w:rPr>
          <w:rFonts w:ascii="Times New Roman" w:hAnsi="Times New Roman" w:cs="Times New Roman"/>
          <w:sz w:val="24"/>
          <w:szCs w:val="24"/>
        </w:rPr>
        <w:t xml:space="preserve">, S., Gorji, M., Marandi, G. H. and </w:t>
      </w:r>
      <w:proofErr w:type="spellStart"/>
      <w:r w:rsidRPr="008C791C">
        <w:rPr>
          <w:rFonts w:ascii="Times New Roman" w:hAnsi="Times New Roman" w:cs="Times New Roman"/>
          <w:sz w:val="24"/>
          <w:szCs w:val="24"/>
        </w:rPr>
        <w:t>Pourbabaee</w:t>
      </w:r>
      <w:proofErr w:type="spellEnd"/>
      <w:r w:rsidRPr="008C791C">
        <w:rPr>
          <w:rFonts w:ascii="Times New Roman" w:hAnsi="Times New Roman" w:cs="Times New Roman"/>
          <w:sz w:val="24"/>
          <w:szCs w:val="24"/>
        </w:rPr>
        <w:t xml:space="preserve">., 2015, Effects of rice husk biochar application on the properties of alkaline soil and lentil growth. </w:t>
      </w:r>
      <w:r w:rsidRPr="008C791C">
        <w:rPr>
          <w:rFonts w:ascii="Times New Roman" w:hAnsi="Times New Roman" w:cs="Times New Roman"/>
          <w:i/>
          <w:iCs/>
          <w:sz w:val="24"/>
          <w:szCs w:val="24"/>
        </w:rPr>
        <w:t>Plant Soil Environ</w:t>
      </w:r>
      <w:r w:rsidRPr="008C791C">
        <w:rPr>
          <w:rFonts w:ascii="Times New Roman" w:hAnsi="Times New Roman" w:cs="Times New Roman"/>
          <w:sz w:val="24"/>
          <w:szCs w:val="24"/>
        </w:rPr>
        <w:t>., 61(11): 475-482.</w:t>
      </w:r>
    </w:p>
    <w:p w14:paraId="457A65C2"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8C791C">
        <w:rPr>
          <w:rFonts w:ascii="Times New Roman" w:hAnsi="Times New Roman" w:cs="Times New Roman"/>
          <w:sz w:val="24"/>
          <w:szCs w:val="24"/>
        </w:rPr>
        <w:t>Agegnehu</w:t>
      </w:r>
      <w:proofErr w:type="spellEnd"/>
      <w:r w:rsidRPr="008C791C">
        <w:rPr>
          <w:rFonts w:ascii="Times New Roman" w:hAnsi="Times New Roman" w:cs="Times New Roman"/>
          <w:sz w:val="24"/>
          <w:szCs w:val="24"/>
        </w:rPr>
        <w:t xml:space="preserve">, G., Bass, A.M., Nelson, P.N., Muirhead, B., Wright, G and Bird, M. I., 2015, Biochar and biochar-compost as soil amendments: Effects on peanut yield, soil properties and greenhouse gas emissions in tropical north Queensland, Australia. </w:t>
      </w:r>
      <w:r w:rsidRPr="008C791C">
        <w:rPr>
          <w:rFonts w:ascii="Times New Roman" w:hAnsi="Times New Roman" w:cs="Times New Roman"/>
          <w:i/>
          <w:iCs/>
          <w:sz w:val="24"/>
          <w:szCs w:val="24"/>
        </w:rPr>
        <w:t xml:space="preserve">Agric. </w:t>
      </w:r>
      <w:proofErr w:type="spellStart"/>
      <w:r w:rsidRPr="008C791C">
        <w:rPr>
          <w:rFonts w:ascii="Times New Roman" w:hAnsi="Times New Roman" w:cs="Times New Roman"/>
          <w:i/>
          <w:iCs/>
          <w:sz w:val="24"/>
          <w:szCs w:val="24"/>
        </w:rPr>
        <w:t>Ecosys</w:t>
      </w:r>
      <w:proofErr w:type="spellEnd"/>
      <w:r w:rsidRPr="008C791C">
        <w:rPr>
          <w:rFonts w:ascii="Times New Roman" w:hAnsi="Times New Roman" w:cs="Times New Roman"/>
          <w:i/>
          <w:iCs/>
          <w:sz w:val="24"/>
          <w:szCs w:val="24"/>
        </w:rPr>
        <w:t>., Environ</w:t>
      </w:r>
      <w:r w:rsidRPr="008C791C">
        <w:rPr>
          <w:rFonts w:ascii="Times New Roman" w:hAnsi="Times New Roman" w:cs="Times New Roman"/>
          <w:sz w:val="24"/>
          <w:szCs w:val="24"/>
        </w:rPr>
        <w:t>., 213: 72-85.</w:t>
      </w:r>
    </w:p>
    <w:p w14:paraId="039E9321"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Angst, T. E. and Sohi, S. P., 2013, Establishing release dynamics for plant nutrients from biochar. </w:t>
      </w:r>
      <w:r w:rsidRPr="008C791C">
        <w:rPr>
          <w:rFonts w:ascii="Times New Roman" w:hAnsi="Times New Roman" w:cs="Times New Roman"/>
          <w:i/>
          <w:iCs/>
          <w:sz w:val="24"/>
          <w:szCs w:val="24"/>
        </w:rPr>
        <w:t>Global. Change Biol</w:t>
      </w:r>
      <w:r w:rsidRPr="008C791C">
        <w:rPr>
          <w:rFonts w:ascii="Times New Roman" w:hAnsi="Times New Roman" w:cs="Times New Roman"/>
          <w:sz w:val="24"/>
          <w:szCs w:val="24"/>
        </w:rPr>
        <w:t>., 5(2): 221-226.</w:t>
      </w:r>
    </w:p>
    <w:p w14:paraId="757F0FAF"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Antonio, J. A., Pablo, S., Vidal, B., Jose, T., Mariadel, C. C. and Rafael, V., 2013, Enhanced wheat yield by biochar addition under different mineral fertilization levels. </w:t>
      </w:r>
      <w:r w:rsidRPr="008C791C">
        <w:rPr>
          <w:rFonts w:ascii="Times New Roman" w:hAnsi="Times New Roman" w:cs="Times New Roman"/>
          <w:i/>
          <w:iCs/>
          <w:sz w:val="24"/>
          <w:szCs w:val="24"/>
        </w:rPr>
        <w:t>Agron. Sust. Develop</w:t>
      </w:r>
      <w:r w:rsidRPr="008C791C">
        <w:rPr>
          <w:rFonts w:ascii="Times New Roman" w:hAnsi="Times New Roman" w:cs="Times New Roman"/>
          <w:sz w:val="24"/>
          <w:szCs w:val="24"/>
        </w:rPr>
        <w:t>., 33: 475-484.</w:t>
      </w:r>
    </w:p>
    <w:p w14:paraId="26899D58"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Aziz, T., Rahmatullah, M. A., Maqsood, M., Tahir, I. and Cheema, M. A., 2006, Phosphorous utilization by six Brassica cultivars (</w:t>
      </w:r>
      <w:r w:rsidRPr="008C791C">
        <w:rPr>
          <w:rFonts w:ascii="Times New Roman" w:hAnsi="Times New Roman" w:cs="Times New Roman"/>
          <w:i/>
          <w:iCs/>
          <w:sz w:val="24"/>
          <w:szCs w:val="24"/>
        </w:rPr>
        <w:t xml:space="preserve">Brassica juncea </w:t>
      </w:r>
      <w:r w:rsidRPr="008C791C">
        <w:rPr>
          <w:rFonts w:ascii="Times New Roman" w:hAnsi="Times New Roman" w:cs="Times New Roman"/>
          <w:sz w:val="24"/>
          <w:szCs w:val="24"/>
        </w:rPr>
        <w:t>L</w:t>
      </w:r>
      <w:r w:rsidRPr="008C791C">
        <w:rPr>
          <w:rFonts w:ascii="Times New Roman" w:hAnsi="Times New Roman" w:cs="Times New Roman"/>
          <w:i/>
          <w:iCs/>
          <w:sz w:val="24"/>
          <w:szCs w:val="24"/>
        </w:rPr>
        <w:t>.</w:t>
      </w:r>
      <w:r w:rsidRPr="008C791C">
        <w:rPr>
          <w:rFonts w:ascii="Times New Roman" w:hAnsi="Times New Roman" w:cs="Times New Roman"/>
          <w:sz w:val="24"/>
          <w:szCs w:val="24"/>
        </w:rPr>
        <w:t xml:space="preserve">) from </w:t>
      </w:r>
      <w:proofErr w:type="spellStart"/>
      <w:r w:rsidRPr="008C791C">
        <w:rPr>
          <w:rFonts w:ascii="Times New Roman" w:hAnsi="Times New Roman" w:cs="Times New Roman"/>
          <w:sz w:val="24"/>
          <w:szCs w:val="24"/>
        </w:rPr>
        <w:t>tricalciumphosphate</w:t>
      </w:r>
      <w:proofErr w:type="spellEnd"/>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 xml:space="preserve">Pak. J. Bot., </w:t>
      </w:r>
      <w:r w:rsidRPr="008C791C">
        <w:rPr>
          <w:rFonts w:ascii="Times New Roman" w:hAnsi="Times New Roman" w:cs="Times New Roman"/>
          <w:sz w:val="24"/>
          <w:szCs w:val="24"/>
        </w:rPr>
        <w:t>38: 1529-1538</w:t>
      </w:r>
    </w:p>
    <w:p w14:paraId="0865FAAF"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8C791C">
        <w:rPr>
          <w:rFonts w:ascii="Times New Roman" w:hAnsi="Times New Roman" w:cs="Times New Roman"/>
          <w:sz w:val="24"/>
          <w:szCs w:val="24"/>
        </w:rPr>
        <w:t>Budania</w:t>
      </w:r>
      <w:proofErr w:type="spellEnd"/>
      <w:r w:rsidRPr="008C791C">
        <w:rPr>
          <w:rFonts w:ascii="Times New Roman" w:hAnsi="Times New Roman" w:cs="Times New Roman"/>
          <w:sz w:val="24"/>
          <w:szCs w:val="24"/>
        </w:rPr>
        <w:t xml:space="preserve">, K. and Janardhan, Y., 2014, Effects of PGPR blended biochar and different levels of phosphorus on yield and nutrient uptake by chickpea. </w:t>
      </w:r>
      <w:r w:rsidRPr="008C791C">
        <w:rPr>
          <w:rFonts w:ascii="Times New Roman" w:hAnsi="Times New Roman" w:cs="Times New Roman"/>
          <w:i/>
          <w:iCs/>
          <w:sz w:val="24"/>
          <w:szCs w:val="24"/>
        </w:rPr>
        <w:t>Ann. Agri. Bio.</w:t>
      </w:r>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Res</w:t>
      </w:r>
      <w:r w:rsidRPr="008C791C">
        <w:rPr>
          <w:rFonts w:ascii="Times New Roman" w:hAnsi="Times New Roman" w:cs="Times New Roman"/>
          <w:sz w:val="24"/>
          <w:szCs w:val="24"/>
        </w:rPr>
        <w:t>., 19(3): 408-412.</w:t>
      </w:r>
    </w:p>
    <w:p w14:paraId="4B4ECA83"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lastRenderedPageBreak/>
        <w:t xml:space="preserve">Chamorro, A. M., </w:t>
      </w:r>
      <w:proofErr w:type="spellStart"/>
      <w:r w:rsidRPr="008C791C">
        <w:rPr>
          <w:rFonts w:ascii="Times New Roman" w:hAnsi="Times New Roman" w:cs="Times New Roman"/>
          <w:sz w:val="24"/>
          <w:szCs w:val="24"/>
        </w:rPr>
        <w:t>Tamagno</w:t>
      </w:r>
      <w:proofErr w:type="spellEnd"/>
      <w:r w:rsidRPr="008C791C">
        <w:rPr>
          <w:rFonts w:ascii="Times New Roman" w:hAnsi="Times New Roman" w:cs="Times New Roman"/>
          <w:sz w:val="24"/>
          <w:szCs w:val="24"/>
        </w:rPr>
        <w:t xml:space="preserve">, L. N., Bezus, R. and Sarandon, S. J., 2002, Nitrogen accumulation partition and nitrogen use efficiency in canola under different nitrogen availabilities. </w:t>
      </w:r>
      <w:r w:rsidRPr="008C791C">
        <w:rPr>
          <w:rFonts w:ascii="Times New Roman" w:hAnsi="Times New Roman" w:cs="Times New Roman"/>
          <w:i/>
          <w:iCs/>
          <w:sz w:val="24"/>
          <w:szCs w:val="24"/>
        </w:rPr>
        <w:t>Soil Sci. Plant Anal</w:t>
      </w:r>
      <w:r w:rsidRPr="008C791C">
        <w:rPr>
          <w:rFonts w:ascii="Times New Roman" w:hAnsi="Times New Roman" w:cs="Times New Roman"/>
          <w:sz w:val="24"/>
          <w:szCs w:val="24"/>
        </w:rPr>
        <w:t>., 33: 493-504.</w:t>
      </w:r>
    </w:p>
    <w:p w14:paraId="28BBF39C"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Chan, K. Y., Van </w:t>
      </w:r>
      <w:proofErr w:type="spellStart"/>
      <w:r w:rsidRPr="008C791C">
        <w:rPr>
          <w:rFonts w:ascii="Times New Roman" w:hAnsi="Times New Roman" w:cs="Times New Roman"/>
          <w:sz w:val="24"/>
          <w:szCs w:val="24"/>
        </w:rPr>
        <w:t>Zwieten</w:t>
      </w:r>
      <w:proofErr w:type="spellEnd"/>
      <w:r w:rsidRPr="008C791C">
        <w:rPr>
          <w:rFonts w:ascii="Times New Roman" w:hAnsi="Times New Roman" w:cs="Times New Roman"/>
          <w:sz w:val="24"/>
          <w:szCs w:val="24"/>
        </w:rPr>
        <w:t xml:space="preserve">, L., Meszaros, I. A., Downie, C. and Joseph, S., 2007, Agronomic values of green waste biochar as a soil amendment. </w:t>
      </w:r>
      <w:r w:rsidRPr="008C791C">
        <w:rPr>
          <w:rFonts w:ascii="Times New Roman" w:hAnsi="Times New Roman" w:cs="Times New Roman"/>
          <w:i/>
          <w:iCs/>
          <w:sz w:val="24"/>
          <w:szCs w:val="24"/>
        </w:rPr>
        <w:t xml:space="preserve">Australian J. Soil Res., </w:t>
      </w:r>
      <w:r w:rsidRPr="008C791C">
        <w:rPr>
          <w:rFonts w:ascii="Times New Roman" w:hAnsi="Times New Roman" w:cs="Times New Roman"/>
          <w:sz w:val="24"/>
          <w:szCs w:val="24"/>
        </w:rPr>
        <w:t>45: 629-634.</w:t>
      </w:r>
    </w:p>
    <w:p w14:paraId="4D7D705A"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Danish, S., Ameer, A., Qureshi, T. I., Younis, U., Manzoor, H., Shakeel, A. and Ehsanullah, M., 2014, Influence of biochar on growth and photosynthetic attributes of wheat (</w:t>
      </w:r>
      <w:r w:rsidRPr="008C791C">
        <w:rPr>
          <w:rFonts w:ascii="Times New Roman" w:hAnsi="Times New Roman" w:cs="Times New Roman"/>
          <w:i/>
          <w:iCs/>
          <w:sz w:val="24"/>
          <w:szCs w:val="24"/>
        </w:rPr>
        <w:t xml:space="preserve">Triticum aestivum </w:t>
      </w:r>
      <w:r w:rsidRPr="008C791C">
        <w:rPr>
          <w:rFonts w:ascii="Times New Roman" w:hAnsi="Times New Roman" w:cs="Times New Roman"/>
          <w:sz w:val="24"/>
          <w:szCs w:val="24"/>
        </w:rPr>
        <w:t xml:space="preserve">L.) under half and full irrigation. </w:t>
      </w:r>
      <w:r w:rsidRPr="008C791C">
        <w:rPr>
          <w:rFonts w:ascii="Times New Roman" w:hAnsi="Times New Roman" w:cs="Times New Roman"/>
          <w:i/>
          <w:iCs/>
          <w:sz w:val="24"/>
          <w:szCs w:val="24"/>
        </w:rPr>
        <w:t>Int. J.</w:t>
      </w:r>
      <w:r w:rsidRPr="008C791C">
        <w:rPr>
          <w:rFonts w:ascii="Times New Roman" w:hAnsi="Times New Roman" w:cs="Times New Roman"/>
          <w:sz w:val="24"/>
          <w:szCs w:val="24"/>
        </w:rPr>
        <w:t xml:space="preserve"> </w:t>
      </w:r>
      <w:proofErr w:type="spellStart"/>
      <w:r w:rsidRPr="008C791C">
        <w:rPr>
          <w:rFonts w:ascii="Times New Roman" w:hAnsi="Times New Roman" w:cs="Times New Roman"/>
          <w:i/>
          <w:iCs/>
          <w:sz w:val="24"/>
          <w:szCs w:val="24"/>
        </w:rPr>
        <w:t>Biosci</w:t>
      </w:r>
      <w:proofErr w:type="spellEnd"/>
      <w:r w:rsidRPr="008C791C">
        <w:rPr>
          <w:rFonts w:ascii="Times New Roman" w:hAnsi="Times New Roman" w:cs="Times New Roman"/>
          <w:sz w:val="24"/>
          <w:szCs w:val="24"/>
        </w:rPr>
        <w:t>., 5(7): 101-108.</w:t>
      </w:r>
    </w:p>
    <w:p w14:paraId="604C0DE0"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De-</w:t>
      </w:r>
      <w:proofErr w:type="spellStart"/>
      <w:r w:rsidRPr="008C791C">
        <w:rPr>
          <w:rFonts w:ascii="Times New Roman" w:hAnsi="Times New Roman" w:cs="Times New Roman"/>
          <w:sz w:val="24"/>
          <w:szCs w:val="24"/>
        </w:rPr>
        <w:t>luca</w:t>
      </w:r>
      <w:proofErr w:type="spellEnd"/>
      <w:r w:rsidRPr="008C791C">
        <w:rPr>
          <w:rFonts w:ascii="Times New Roman" w:hAnsi="Times New Roman" w:cs="Times New Roman"/>
          <w:sz w:val="24"/>
          <w:szCs w:val="24"/>
        </w:rPr>
        <w:t>, T. H. and Mackenzie, M. D. 2009, Biochar effects on soil nutrient transformations. In: Lehmann J, Joseph S (Eds), Biochar for environmental management science and technology. London, 72-87.</w:t>
      </w:r>
    </w:p>
    <w:p w14:paraId="60BD3AC4"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Ferguson, B. J., </w:t>
      </w:r>
      <w:proofErr w:type="spellStart"/>
      <w:r w:rsidRPr="008C791C">
        <w:rPr>
          <w:rFonts w:ascii="Times New Roman" w:hAnsi="Times New Roman" w:cs="Times New Roman"/>
          <w:sz w:val="24"/>
          <w:szCs w:val="24"/>
        </w:rPr>
        <w:t>Indrasumunar</w:t>
      </w:r>
      <w:proofErr w:type="spellEnd"/>
      <w:r w:rsidRPr="008C791C">
        <w:rPr>
          <w:rFonts w:ascii="Times New Roman" w:hAnsi="Times New Roman" w:cs="Times New Roman"/>
          <w:sz w:val="24"/>
          <w:szCs w:val="24"/>
        </w:rPr>
        <w:t xml:space="preserve">, A., Hayashi, S., Lin, M. H., Lin, Y. H., Reid, D. E. and </w:t>
      </w:r>
      <w:proofErr w:type="spellStart"/>
      <w:r w:rsidRPr="008C791C">
        <w:rPr>
          <w:rFonts w:ascii="Times New Roman" w:hAnsi="Times New Roman" w:cs="Times New Roman"/>
          <w:sz w:val="24"/>
          <w:szCs w:val="24"/>
        </w:rPr>
        <w:t>Gresshoff</w:t>
      </w:r>
      <w:proofErr w:type="spellEnd"/>
      <w:r w:rsidRPr="008C791C">
        <w:rPr>
          <w:rFonts w:ascii="Times New Roman" w:hAnsi="Times New Roman" w:cs="Times New Roman"/>
          <w:sz w:val="24"/>
          <w:szCs w:val="24"/>
        </w:rPr>
        <w:t xml:space="preserve">, P. M., 2010, Molecular analysis of legume nodule development and autoregulation. </w:t>
      </w:r>
      <w:r w:rsidRPr="008C791C">
        <w:rPr>
          <w:rFonts w:ascii="Times New Roman" w:hAnsi="Times New Roman" w:cs="Times New Roman"/>
          <w:i/>
          <w:iCs/>
          <w:sz w:val="24"/>
          <w:szCs w:val="24"/>
        </w:rPr>
        <w:t>J. Integrative Plant Biol</w:t>
      </w:r>
      <w:r w:rsidRPr="008C791C">
        <w:rPr>
          <w:rFonts w:ascii="Times New Roman" w:hAnsi="Times New Roman" w:cs="Times New Roman"/>
          <w:sz w:val="24"/>
          <w:szCs w:val="24"/>
        </w:rPr>
        <w:t>., 52(1): 61-76.</w:t>
      </w:r>
    </w:p>
    <w:p w14:paraId="56845CB9"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Flowers, T. J., Galal, H. K. and Bromham, L., 2010. Evolution of halophytes: multiple origins of salts tolerance in land plants. </w:t>
      </w:r>
      <w:proofErr w:type="spellStart"/>
      <w:r w:rsidRPr="008C791C">
        <w:rPr>
          <w:rFonts w:ascii="Times New Roman" w:hAnsi="Times New Roman" w:cs="Times New Roman"/>
          <w:i/>
          <w:iCs/>
          <w:sz w:val="24"/>
          <w:szCs w:val="24"/>
        </w:rPr>
        <w:t>Funct</w:t>
      </w:r>
      <w:proofErr w:type="spellEnd"/>
      <w:r w:rsidRPr="008C791C">
        <w:rPr>
          <w:rFonts w:ascii="Times New Roman" w:hAnsi="Times New Roman" w:cs="Times New Roman"/>
          <w:i/>
          <w:iCs/>
          <w:sz w:val="24"/>
          <w:szCs w:val="24"/>
        </w:rPr>
        <w:t>. Plant Biol</w:t>
      </w:r>
      <w:r w:rsidRPr="008C791C">
        <w:rPr>
          <w:rFonts w:ascii="Times New Roman" w:hAnsi="Times New Roman" w:cs="Times New Roman"/>
          <w:sz w:val="24"/>
          <w:szCs w:val="24"/>
        </w:rPr>
        <w:t>., 37 (7): 604-612.</w:t>
      </w:r>
    </w:p>
    <w:p w14:paraId="2EE61826"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i/>
          <w:iCs/>
          <w:sz w:val="24"/>
          <w:szCs w:val="24"/>
        </w:rPr>
      </w:pPr>
      <w:r w:rsidRPr="008C791C">
        <w:rPr>
          <w:rFonts w:ascii="Times New Roman" w:hAnsi="Times New Roman" w:cs="Times New Roman"/>
          <w:sz w:val="24"/>
          <w:szCs w:val="24"/>
        </w:rPr>
        <w:t xml:space="preserve">Gupta, O., Patel, S. and Mishra, M., 2012, Diversity in isolates of </w:t>
      </w:r>
      <w:proofErr w:type="spellStart"/>
      <w:r w:rsidRPr="008C791C">
        <w:rPr>
          <w:rFonts w:ascii="Times New Roman" w:hAnsi="Times New Roman" w:cs="Times New Roman"/>
          <w:i/>
          <w:iCs/>
          <w:sz w:val="24"/>
          <w:szCs w:val="24"/>
        </w:rPr>
        <w:t>Rhizoctonia</w:t>
      </w:r>
      <w:proofErr w:type="spellEnd"/>
      <w:r w:rsidRPr="008C791C">
        <w:rPr>
          <w:rFonts w:ascii="Times New Roman" w:hAnsi="Times New Roman" w:cs="Times New Roman"/>
          <w:i/>
          <w:iCs/>
          <w:sz w:val="24"/>
          <w:szCs w:val="24"/>
        </w:rPr>
        <w:t xml:space="preserve"> </w:t>
      </w:r>
      <w:proofErr w:type="spellStart"/>
      <w:r w:rsidRPr="008C791C">
        <w:rPr>
          <w:rFonts w:ascii="Times New Roman" w:hAnsi="Times New Roman" w:cs="Times New Roman"/>
          <w:i/>
          <w:iCs/>
          <w:sz w:val="24"/>
          <w:szCs w:val="24"/>
        </w:rPr>
        <w:t>bataticola</w:t>
      </w:r>
      <w:proofErr w:type="spellEnd"/>
      <w:r w:rsidRPr="008C791C">
        <w:rPr>
          <w:rFonts w:ascii="Times New Roman" w:hAnsi="Times New Roman" w:cs="Times New Roman"/>
          <w:i/>
          <w:iCs/>
          <w:sz w:val="24"/>
          <w:szCs w:val="24"/>
        </w:rPr>
        <w:t xml:space="preserve"> </w:t>
      </w:r>
      <w:r w:rsidRPr="008C791C">
        <w:rPr>
          <w:rFonts w:ascii="Times New Roman" w:hAnsi="Times New Roman" w:cs="Times New Roman"/>
          <w:sz w:val="24"/>
          <w:szCs w:val="24"/>
        </w:rPr>
        <w:t xml:space="preserve">causing dry root rot in chickpea from Central India. </w:t>
      </w:r>
      <w:r w:rsidRPr="008C791C">
        <w:rPr>
          <w:rFonts w:ascii="Times New Roman" w:hAnsi="Times New Roman" w:cs="Times New Roman"/>
          <w:i/>
          <w:iCs/>
          <w:sz w:val="24"/>
          <w:szCs w:val="24"/>
        </w:rPr>
        <w:t>JNKVV Res. J</w:t>
      </w:r>
      <w:r w:rsidRPr="008C791C">
        <w:rPr>
          <w:rFonts w:ascii="Times New Roman" w:hAnsi="Times New Roman" w:cs="Times New Roman"/>
          <w:sz w:val="24"/>
          <w:szCs w:val="24"/>
        </w:rPr>
        <w:t>., 46(3): 376-381.</w:t>
      </w:r>
    </w:p>
    <w:p w14:paraId="4C3935B5"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Laxman Rao, P., Jayasree, G., </w:t>
      </w:r>
      <w:proofErr w:type="spellStart"/>
      <w:r w:rsidRPr="008C791C">
        <w:rPr>
          <w:rFonts w:ascii="Times New Roman" w:hAnsi="Times New Roman" w:cs="Times New Roman"/>
          <w:sz w:val="24"/>
          <w:szCs w:val="24"/>
        </w:rPr>
        <w:t>Prathiba</w:t>
      </w:r>
      <w:proofErr w:type="spellEnd"/>
      <w:r w:rsidRPr="008C791C">
        <w:rPr>
          <w:rFonts w:ascii="Times New Roman" w:hAnsi="Times New Roman" w:cs="Times New Roman"/>
          <w:sz w:val="24"/>
          <w:szCs w:val="24"/>
        </w:rPr>
        <w:t>, G. and Ram Prakash, T., 2017, Effect of soil amendments on dry matter production, nutrient uptake and yield in maize (</w:t>
      </w:r>
      <w:proofErr w:type="spellStart"/>
      <w:r w:rsidRPr="008C791C">
        <w:rPr>
          <w:rFonts w:ascii="Times New Roman" w:hAnsi="Times New Roman" w:cs="Times New Roman"/>
          <w:i/>
          <w:iCs/>
          <w:sz w:val="24"/>
          <w:szCs w:val="24"/>
        </w:rPr>
        <w:t>Zea</w:t>
      </w:r>
      <w:proofErr w:type="spellEnd"/>
      <w:r w:rsidRPr="008C791C">
        <w:rPr>
          <w:rFonts w:ascii="Times New Roman" w:hAnsi="Times New Roman" w:cs="Times New Roman"/>
          <w:i/>
          <w:iCs/>
          <w:sz w:val="24"/>
          <w:szCs w:val="24"/>
        </w:rPr>
        <w:t xml:space="preserve"> mays</w:t>
      </w:r>
      <w:r w:rsidRPr="008C791C">
        <w:rPr>
          <w:rFonts w:ascii="Times New Roman" w:hAnsi="Times New Roman" w:cs="Times New Roman"/>
          <w:sz w:val="24"/>
          <w:szCs w:val="24"/>
        </w:rPr>
        <w:t xml:space="preserve">. L). </w:t>
      </w:r>
      <w:r w:rsidRPr="008C791C">
        <w:rPr>
          <w:rFonts w:ascii="Times New Roman" w:hAnsi="Times New Roman" w:cs="Times New Roman"/>
          <w:i/>
          <w:iCs/>
          <w:sz w:val="24"/>
          <w:szCs w:val="24"/>
        </w:rPr>
        <w:t>J. Ecol. Environ</w:t>
      </w:r>
      <w:r w:rsidRPr="008C791C">
        <w:rPr>
          <w:rFonts w:ascii="Times New Roman" w:hAnsi="Times New Roman" w:cs="Times New Roman"/>
          <w:sz w:val="24"/>
          <w:szCs w:val="24"/>
        </w:rPr>
        <w:t>., 35(3A): 1898-1902.</w:t>
      </w:r>
    </w:p>
    <w:p w14:paraId="49CE3AAB"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Lehmann, J., Kern, D. C., German, L., </w:t>
      </w:r>
      <w:proofErr w:type="spellStart"/>
      <w:r w:rsidRPr="008C791C">
        <w:rPr>
          <w:rFonts w:ascii="Times New Roman" w:hAnsi="Times New Roman" w:cs="Times New Roman"/>
          <w:sz w:val="24"/>
          <w:szCs w:val="24"/>
        </w:rPr>
        <w:t>Mccani</w:t>
      </w:r>
      <w:proofErr w:type="spellEnd"/>
      <w:r w:rsidRPr="008C791C">
        <w:rPr>
          <w:rFonts w:ascii="Times New Roman" w:hAnsi="Times New Roman" w:cs="Times New Roman"/>
          <w:sz w:val="24"/>
          <w:szCs w:val="24"/>
        </w:rPr>
        <w:t xml:space="preserve">, J., Martins, G. C. and Moreira, L., 2003, Soil fertility and production potential, Chapter 6: Amazonian dark earths: origin, properties, management. </w:t>
      </w:r>
      <w:r w:rsidRPr="008C791C">
        <w:rPr>
          <w:rFonts w:ascii="Times New Roman" w:hAnsi="Times New Roman" w:cs="Times New Roman"/>
          <w:i/>
          <w:iCs/>
          <w:sz w:val="24"/>
          <w:szCs w:val="24"/>
        </w:rPr>
        <w:t>Kluwer Academic</w:t>
      </w:r>
      <w:r w:rsidRPr="008C791C">
        <w:rPr>
          <w:rFonts w:ascii="Times New Roman" w:hAnsi="Times New Roman" w:cs="Times New Roman"/>
          <w:sz w:val="24"/>
          <w:szCs w:val="24"/>
        </w:rPr>
        <w:t>, Dordrecht., 105-124.</w:t>
      </w:r>
    </w:p>
    <w:p w14:paraId="07AD8AC4"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8C791C">
        <w:rPr>
          <w:rFonts w:ascii="Times New Roman" w:hAnsi="Times New Roman" w:cs="Times New Roman"/>
          <w:sz w:val="24"/>
          <w:szCs w:val="24"/>
        </w:rPr>
        <w:t>Manolikaki</w:t>
      </w:r>
      <w:proofErr w:type="spellEnd"/>
      <w:r w:rsidRPr="008C791C">
        <w:rPr>
          <w:rFonts w:ascii="Times New Roman" w:hAnsi="Times New Roman" w:cs="Times New Roman"/>
          <w:sz w:val="24"/>
          <w:szCs w:val="24"/>
        </w:rPr>
        <w:t xml:space="preserve">, I. and </w:t>
      </w:r>
      <w:proofErr w:type="spellStart"/>
      <w:r w:rsidRPr="008C791C">
        <w:rPr>
          <w:rFonts w:ascii="Times New Roman" w:hAnsi="Times New Roman" w:cs="Times New Roman"/>
          <w:sz w:val="24"/>
          <w:szCs w:val="24"/>
        </w:rPr>
        <w:t>Diamadopolos</w:t>
      </w:r>
      <w:proofErr w:type="spellEnd"/>
      <w:r w:rsidRPr="008C791C">
        <w:rPr>
          <w:rFonts w:ascii="Times New Roman" w:hAnsi="Times New Roman" w:cs="Times New Roman"/>
          <w:sz w:val="24"/>
          <w:szCs w:val="24"/>
        </w:rPr>
        <w:t xml:space="preserve">, E., 2016, Ryegrass yield and nutrient status after biochar application in two Mediterranean soils. </w:t>
      </w:r>
      <w:r w:rsidRPr="008C791C">
        <w:rPr>
          <w:rFonts w:ascii="Times New Roman" w:hAnsi="Times New Roman" w:cs="Times New Roman"/>
          <w:i/>
          <w:iCs/>
          <w:sz w:val="24"/>
          <w:szCs w:val="24"/>
        </w:rPr>
        <w:t xml:space="preserve">Arch. Agro. Soil Sci., </w:t>
      </w:r>
      <w:r w:rsidRPr="008C791C">
        <w:rPr>
          <w:rFonts w:ascii="Times New Roman" w:hAnsi="Times New Roman" w:cs="Times New Roman"/>
          <w:sz w:val="24"/>
          <w:szCs w:val="24"/>
        </w:rPr>
        <w:t>63: 1093- 1107</w:t>
      </w:r>
    </w:p>
    <w:p w14:paraId="27B1301C"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Nguyen, H., Blair, G and Guppy, C., 2012, Effect of rice husk biochar and nitrification inhibitor treated urea on N and other macronutrient uptake by maize. Capturing </w:t>
      </w:r>
      <w:proofErr w:type="spellStart"/>
      <w:r w:rsidRPr="008C791C">
        <w:rPr>
          <w:rFonts w:ascii="Times New Roman" w:hAnsi="Times New Roman" w:cs="Times New Roman"/>
          <w:sz w:val="24"/>
          <w:szCs w:val="24"/>
        </w:rPr>
        <w:lastRenderedPageBreak/>
        <w:t>oppurtunities</w:t>
      </w:r>
      <w:proofErr w:type="spellEnd"/>
      <w:r w:rsidRPr="008C791C">
        <w:rPr>
          <w:rFonts w:ascii="Times New Roman" w:hAnsi="Times New Roman" w:cs="Times New Roman"/>
          <w:sz w:val="24"/>
          <w:szCs w:val="24"/>
        </w:rPr>
        <w:t xml:space="preserve"> and overcoming obstacles in Australian Agronomy. Proc of the 16</w:t>
      </w:r>
      <w:r w:rsidRPr="008C791C">
        <w:rPr>
          <w:rFonts w:ascii="Times New Roman" w:hAnsi="Times New Roman" w:cs="Times New Roman"/>
          <w:sz w:val="24"/>
          <w:szCs w:val="24"/>
          <w:vertAlign w:val="superscript"/>
        </w:rPr>
        <w:t>th</w:t>
      </w:r>
      <w:r w:rsidRPr="008C791C">
        <w:rPr>
          <w:rFonts w:ascii="Times New Roman" w:hAnsi="Times New Roman" w:cs="Times New Roman"/>
          <w:sz w:val="24"/>
          <w:szCs w:val="24"/>
        </w:rPr>
        <w:t xml:space="preserve"> ASA </w:t>
      </w:r>
      <w:proofErr w:type="spellStart"/>
      <w:r w:rsidRPr="008C791C">
        <w:rPr>
          <w:rFonts w:ascii="Times New Roman" w:hAnsi="Times New Roman" w:cs="Times New Roman"/>
          <w:sz w:val="24"/>
          <w:szCs w:val="24"/>
        </w:rPr>
        <w:t>confe</w:t>
      </w:r>
      <w:proofErr w:type="spellEnd"/>
      <w:r w:rsidRPr="008C791C">
        <w:rPr>
          <w:rFonts w:ascii="Times New Roman" w:hAnsi="Times New Roman" w:cs="Times New Roman"/>
          <w:sz w:val="24"/>
          <w:szCs w:val="24"/>
        </w:rPr>
        <w:t xml:space="preserve">, 14-18 October, </w:t>
      </w:r>
      <w:proofErr w:type="spellStart"/>
      <w:r w:rsidRPr="008C791C">
        <w:rPr>
          <w:rFonts w:ascii="Times New Roman" w:hAnsi="Times New Roman" w:cs="Times New Roman"/>
          <w:sz w:val="24"/>
          <w:szCs w:val="24"/>
        </w:rPr>
        <w:t>Armidale</w:t>
      </w:r>
      <w:proofErr w:type="spellEnd"/>
      <w:r w:rsidRPr="008C791C">
        <w:rPr>
          <w:rFonts w:ascii="Times New Roman" w:hAnsi="Times New Roman" w:cs="Times New Roman"/>
          <w:sz w:val="24"/>
          <w:szCs w:val="24"/>
        </w:rPr>
        <w:t>, Australia.</w:t>
      </w:r>
    </w:p>
    <w:p w14:paraId="538F70C5"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Rondon, M., Lehmann, J., Ramirez, J. and Hurtado, M., 2007, Biological nitrogen fixation by common beans (</w:t>
      </w:r>
      <w:r w:rsidRPr="008C791C">
        <w:rPr>
          <w:rFonts w:ascii="Times New Roman" w:hAnsi="Times New Roman" w:cs="Times New Roman"/>
          <w:i/>
          <w:iCs/>
          <w:sz w:val="24"/>
          <w:szCs w:val="24"/>
        </w:rPr>
        <w:t xml:space="preserve">Phaseolus vulgaris </w:t>
      </w:r>
      <w:r w:rsidRPr="008C791C">
        <w:rPr>
          <w:rFonts w:ascii="Times New Roman" w:hAnsi="Times New Roman" w:cs="Times New Roman"/>
          <w:sz w:val="24"/>
          <w:szCs w:val="24"/>
        </w:rPr>
        <w:t xml:space="preserve">L.) increases with bio-char additions. </w:t>
      </w:r>
      <w:r w:rsidRPr="008C791C">
        <w:rPr>
          <w:rFonts w:ascii="Times New Roman" w:hAnsi="Times New Roman" w:cs="Times New Roman"/>
          <w:i/>
          <w:iCs/>
          <w:sz w:val="24"/>
          <w:szCs w:val="24"/>
        </w:rPr>
        <w:t>Biol. Fert. Soils</w:t>
      </w:r>
      <w:r w:rsidRPr="008C791C">
        <w:rPr>
          <w:rFonts w:ascii="Times New Roman" w:hAnsi="Times New Roman" w:cs="Times New Roman"/>
          <w:sz w:val="24"/>
          <w:szCs w:val="24"/>
        </w:rPr>
        <w:t>., 43: 699-708.</w:t>
      </w:r>
    </w:p>
    <w:p w14:paraId="40E62429"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Supriyadi, S., Cowie, A. L., Guppy, C., McLeod, M. K., and Daniel, H., 2012, Effect of biochar on P uptake from two acid soils. Capturing opportunities and overcoming obstacles in Australian agronomy. Proc 16th ASA Conf, Armidale, Australia. </w:t>
      </w:r>
      <w:hyperlink r:id="rId6" w:history="1">
        <w:r w:rsidRPr="008C791C">
          <w:rPr>
            <w:rStyle w:val="Hyperlink"/>
            <w:rFonts w:ascii="Times New Roman" w:hAnsi="Times New Roman" w:cs="Times New Roman"/>
            <w:i/>
            <w:iCs/>
            <w:sz w:val="24"/>
            <w:szCs w:val="24"/>
          </w:rPr>
          <w:t>www.agronomy.org.au</w:t>
        </w:r>
      </w:hyperlink>
    </w:p>
    <w:p w14:paraId="580616A1"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Thies, E. J. and Rilling, M. C., 2009, Characteristics of biochar: biological properties. Biochar for environmental management. </w:t>
      </w:r>
      <w:r w:rsidRPr="008C791C">
        <w:rPr>
          <w:rFonts w:ascii="Times New Roman" w:hAnsi="Times New Roman" w:cs="Times New Roman"/>
          <w:i/>
          <w:iCs/>
          <w:sz w:val="24"/>
          <w:szCs w:val="24"/>
        </w:rPr>
        <w:t>Sci. Tech</w:t>
      </w:r>
      <w:r w:rsidRPr="008C791C">
        <w:rPr>
          <w:rFonts w:ascii="Times New Roman" w:hAnsi="Times New Roman" w:cs="Times New Roman"/>
          <w:sz w:val="24"/>
          <w:szCs w:val="24"/>
        </w:rPr>
        <w:t>., 2: 85- 102.</w:t>
      </w:r>
    </w:p>
    <w:p w14:paraId="7C9F013E"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Uzoma, K. C., Inoue, M., Andry, H., Zahoor, A. and Nishihara, E., 2011a, Influence of biochar application on sandy soil hydraulic properties and nutrient retention. </w:t>
      </w:r>
      <w:r w:rsidRPr="008C791C">
        <w:rPr>
          <w:rFonts w:ascii="Times New Roman" w:hAnsi="Times New Roman" w:cs="Times New Roman"/>
          <w:i/>
          <w:iCs/>
          <w:sz w:val="24"/>
          <w:szCs w:val="24"/>
        </w:rPr>
        <w:t xml:space="preserve">J. Food </w:t>
      </w:r>
      <w:proofErr w:type="spellStart"/>
      <w:r w:rsidRPr="008C791C">
        <w:rPr>
          <w:rFonts w:ascii="Times New Roman" w:hAnsi="Times New Roman" w:cs="Times New Roman"/>
          <w:i/>
          <w:iCs/>
          <w:sz w:val="24"/>
          <w:szCs w:val="24"/>
        </w:rPr>
        <w:t>Agril</w:t>
      </w:r>
      <w:proofErr w:type="spellEnd"/>
      <w:r w:rsidRPr="008C791C">
        <w:rPr>
          <w:rFonts w:ascii="Times New Roman" w:hAnsi="Times New Roman" w:cs="Times New Roman"/>
          <w:i/>
          <w:iCs/>
          <w:sz w:val="24"/>
          <w:szCs w:val="24"/>
        </w:rPr>
        <w:t xml:space="preserve">. Environ., </w:t>
      </w:r>
      <w:r w:rsidRPr="008C791C">
        <w:rPr>
          <w:rFonts w:ascii="Times New Roman" w:hAnsi="Times New Roman" w:cs="Times New Roman"/>
          <w:sz w:val="24"/>
          <w:szCs w:val="24"/>
        </w:rPr>
        <w:t>9: 1137-1143.</w:t>
      </w:r>
    </w:p>
    <w:p w14:paraId="7AFF90CB"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Willis, G., </w:t>
      </w:r>
      <w:proofErr w:type="spellStart"/>
      <w:r w:rsidRPr="008C791C">
        <w:rPr>
          <w:rFonts w:ascii="Times New Roman" w:hAnsi="Times New Roman" w:cs="Times New Roman"/>
          <w:sz w:val="24"/>
          <w:szCs w:val="24"/>
        </w:rPr>
        <w:t>Moreblessing</w:t>
      </w:r>
      <w:proofErr w:type="spellEnd"/>
      <w:r w:rsidRPr="008C791C">
        <w:rPr>
          <w:rFonts w:ascii="Times New Roman" w:hAnsi="Times New Roman" w:cs="Times New Roman"/>
          <w:sz w:val="24"/>
          <w:szCs w:val="24"/>
        </w:rPr>
        <w:t xml:space="preserve">, M., Farai, M. and Tonny, P., 2016, Comparative short-term effects of sewage sludge and its biochar on soil properties, maize growth and uptake of nutrients on a tropical clay soil in Zimbabwe. </w:t>
      </w:r>
      <w:r w:rsidRPr="008C791C">
        <w:rPr>
          <w:rFonts w:ascii="Times New Roman" w:hAnsi="Times New Roman" w:cs="Times New Roman"/>
          <w:i/>
          <w:iCs/>
          <w:sz w:val="24"/>
          <w:szCs w:val="24"/>
        </w:rPr>
        <w:t>J. Integrative Agric</w:t>
      </w:r>
      <w:r w:rsidRPr="008C791C">
        <w:rPr>
          <w:rFonts w:ascii="Times New Roman" w:hAnsi="Times New Roman" w:cs="Times New Roman"/>
          <w:sz w:val="24"/>
          <w:szCs w:val="24"/>
        </w:rPr>
        <w:t>., 15(6): 1395-1406.</w:t>
      </w:r>
    </w:p>
    <w:p w14:paraId="3962C3E4"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Yamato, M., </w:t>
      </w:r>
      <w:proofErr w:type="spellStart"/>
      <w:r w:rsidRPr="008C791C">
        <w:rPr>
          <w:rFonts w:ascii="Times New Roman" w:hAnsi="Times New Roman" w:cs="Times New Roman"/>
          <w:sz w:val="24"/>
          <w:szCs w:val="24"/>
        </w:rPr>
        <w:t>Okimori</w:t>
      </w:r>
      <w:proofErr w:type="spellEnd"/>
      <w:r w:rsidRPr="008C791C">
        <w:rPr>
          <w:rFonts w:ascii="Times New Roman" w:hAnsi="Times New Roman" w:cs="Times New Roman"/>
          <w:sz w:val="24"/>
          <w:szCs w:val="24"/>
        </w:rPr>
        <w:t xml:space="preserve">, Y., Wibowo, I. F., </w:t>
      </w:r>
      <w:proofErr w:type="spellStart"/>
      <w:r w:rsidRPr="008C791C">
        <w:rPr>
          <w:rFonts w:ascii="Times New Roman" w:hAnsi="Times New Roman" w:cs="Times New Roman"/>
          <w:sz w:val="24"/>
          <w:szCs w:val="24"/>
        </w:rPr>
        <w:t>Anshiori</w:t>
      </w:r>
      <w:proofErr w:type="spellEnd"/>
      <w:r w:rsidRPr="008C791C">
        <w:rPr>
          <w:rFonts w:ascii="Times New Roman" w:hAnsi="Times New Roman" w:cs="Times New Roman"/>
          <w:sz w:val="24"/>
          <w:szCs w:val="24"/>
        </w:rPr>
        <w:t xml:space="preserve">, S. and Ogawa, M., 2006, Effects  of the application of charred bark of </w:t>
      </w:r>
      <w:r w:rsidRPr="008C791C">
        <w:rPr>
          <w:rFonts w:ascii="Times New Roman" w:hAnsi="Times New Roman" w:cs="Times New Roman"/>
          <w:i/>
          <w:iCs/>
          <w:sz w:val="24"/>
          <w:szCs w:val="24"/>
        </w:rPr>
        <w:t xml:space="preserve">Acacia </w:t>
      </w:r>
      <w:proofErr w:type="spellStart"/>
      <w:r w:rsidRPr="008C791C">
        <w:rPr>
          <w:rFonts w:ascii="Times New Roman" w:hAnsi="Times New Roman" w:cs="Times New Roman"/>
          <w:i/>
          <w:iCs/>
          <w:sz w:val="24"/>
          <w:szCs w:val="24"/>
        </w:rPr>
        <w:t>mangium</w:t>
      </w:r>
      <w:proofErr w:type="spellEnd"/>
      <w:r w:rsidRPr="008C791C">
        <w:rPr>
          <w:rFonts w:ascii="Times New Roman" w:hAnsi="Times New Roman" w:cs="Times New Roman"/>
          <w:i/>
          <w:iCs/>
          <w:sz w:val="24"/>
          <w:szCs w:val="24"/>
        </w:rPr>
        <w:t xml:space="preserve"> </w:t>
      </w:r>
      <w:r w:rsidRPr="008C791C">
        <w:rPr>
          <w:rFonts w:ascii="Times New Roman" w:hAnsi="Times New Roman" w:cs="Times New Roman"/>
          <w:sz w:val="24"/>
          <w:szCs w:val="24"/>
        </w:rPr>
        <w:t xml:space="preserve">on the yield of maize, cowpea and peanut, and soil chemical properties in south Sumatra, Indonesia. </w:t>
      </w:r>
      <w:r w:rsidRPr="008C791C">
        <w:rPr>
          <w:rFonts w:ascii="Times New Roman" w:hAnsi="Times New Roman" w:cs="Times New Roman"/>
          <w:i/>
          <w:iCs/>
          <w:sz w:val="24"/>
          <w:szCs w:val="24"/>
        </w:rPr>
        <w:t>Soil</w:t>
      </w:r>
      <w:r w:rsidRPr="008C791C">
        <w:rPr>
          <w:rFonts w:ascii="Times New Roman" w:hAnsi="Times New Roman" w:cs="Times New Roman"/>
          <w:sz w:val="24"/>
          <w:szCs w:val="24"/>
        </w:rPr>
        <w:t xml:space="preserve"> </w:t>
      </w:r>
      <w:r w:rsidRPr="008C791C">
        <w:rPr>
          <w:rFonts w:ascii="Times New Roman" w:hAnsi="Times New Roman" w:cs="Times New Roman"/>
          <w:i/>
          <w:iCs/>
          <w:sz w:val="24"/>
          <w:szCs w:val="24"/>
        </w:rPr>
        <w:t xml:space="preserve">Sci. Plant Nutri., </w:t>
      </w:r>
      <w:r w:rsidRPr="008C791C">
        <w:rPr>
          <w:rFonts w:ascii="Times New Roman" w:hAnsi="Times New Roman" w:cs="Times New Roman"/>
          <w:sz w:val="24"/>
          <w:szCs w:val="24"/>
        </w:rPr>
        <w:t>52: 489-495.</w:t>
      </w:r>
    </w:p>
    <w:p w14:paraId="1D01DD51" w14:textId="77777777" w:rsidR="00B54E11" w:rsidRPr="008C791C"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8C791C">
        <w:rPr>
          <w:rFonts w:ascii="Times New Roman" w:hAnsi="Times New Roman" w:cs="Times New Roman"/>
          <w:sz w:val="24"/>
          <w:szCs w:val="24"/>
        </w:rPr>
        <w:t xml:space="preserve">Yao, Y., Gao, B., Chen, J. J., Zhang, M., Inyang, M., Li, Y. C., Alva, A. and Yang, L.Y., 2013, Engineered carbon (biochar) prepared by direct pyrolysis of </w:t>
      </w:r>
      <w:proofErr w:type="spellStart"/>
      <w:r w:rsidRPr="008C791C">
        <w:rPr>
          <w:rFonts w:ascii="Times New Roman" w:hAnsi="Times New Roman" w:cs="Times New Roman"/>
          <w:sz w:val="24"/>
          <w:szCs w:val="24"/>
        </w:rPr>
        <w:t>Mgaccumulated</w:t>
      </w:r>
      <w:proofErr w:type="spellEnd"/>
      <w:r w:rsidRPr="008C791C">
        <w:rPr>
          <w:rFonts w:ascii="Times New Roman" w:hAnsi="Times New Roman" w:cs="Times New Roman"/>
          <w:sz w:val="24"/>
          <w:szCs w:val="24"/>
        </w:rPr>
        <w:t xml:space="preserve"> tomato tissues: Characterization and phosphate removal potential. </w:t>
      </w:r>
      <w:r w:rsidRPr="008C791C">
        <w:rPr>
          <w:rFonts w:ascii="Times New Roman" w:hAnsi="Times New Roman" w:cs="Times New Roman"/>
          <w:i/>
          <w:iCs/>
          <w:sz w:val="24"/>
          <w:szCs w:val="24"/>
        </w:rPr>
        <w:t>Bio. Resource Tech</w:t>
      </w:r>
      <w:r w:rsidRPr="008C791C">
        <w:rPr>
          <w:rFonts w:ascii="Times New Roman" w:hAnsi="Times New Roman" w:cs="Times New Roman"/>
          <w:sz w:val="24"/>
          <w:szCs w:val="24"/>
        </w:rPr>
        <w:t>., 138: 8-13.</w:t>
      </w:r>
    </w:p>
    <w:p w14:paraId="6B943DF2" w14:textId="77777777" w:rsidR="00B54E11" w:rsidRPr="00B54E11"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sectPr w:rsidR="00B54E11" w:rsidRPr="00B54E11" w:rsidSect="00982A08">
          <w:pgSz w:w="11900" w:h="16840" w:code="9"/>
          <w:pgMar w:top="709" w:right="1552" w:bottom="1440" w:left="1440" w:header="720" w:footer="720" w:gutter="0"/>
          <w:cols w:space="720"/>
          <w:docGrid w:linePitch="299"/>
        </w:sectPr>
      </w:pPr>
      <w:r w:rsidRPr="008C791C">
        <w:rPr>
          <w:rFonts w:ascii="Times New Roman" w:hAnsi="Times New Roman" w:cs="Times New Roman"/>
          <w:sz w:val="24"/>
          <w:szCs w:val="24"/>
        </w:rPr>
        <w:t>Zhao, X., Wang. J., Wang. S. and Xing. G., 2014, Successive straw biochar application as a strategy to sequester carbon and improve fertility: A pot experiment with two rice/wheat rot</w:t>
      </w:r>
      <w:bookmarkStart w:id="0" w:name="_GoBack"/>
      <w:bookmarkEnd w:id="0"/>
      <w:r w:rsidRPr="008C791C">
        <w:rPr>
          <w:rFonts w:ascii="Times New Roman" w:hAnsi="Times New Roman" w:cs="Times New Roman"/>
          <w:sz w:val="24"/>
          <w:szCs w:val="24"/>
        </w:rPr>
        <w:t xml:space="preserve">ations in paddy. </w:t>
      </w:r>
      <w:r w:rsidRPr="008C791C">
        <w:rPr>
          <w:rFonts w:ascii="Times New Roman" w:hAnsi="Times New Roman" w:cs="Times New Roman"/>
          <w:i/>
          <w:iCs/>
          <w:sz w:val="24"/>
          <w:szCs w:val="24"/>
        </w:rPr>
        <w:t>Soil Plant Res</w:t>
      </w:r>
      <w:r>
        <w:rPr>
          <w:rFonts w:ascii="Times New Roman" w:hAnsi="Times New Roman" w:cs="Times New Roman"/>
          <w:sz w:val="24"/>
          <w:szCs w:val="24"/>
        </w:rPr>
        <w:t>., 3 (78): 279–294.</w:t>
      </w:r>
    </w:p>
    <w:p w14:paraId="31195EBB" w14:textId="77777777" w:rsidR="000A6E96" w:rsidRPr="008C791C" w:rsidRDefault="000A6E96" w:rsidP="000A6E96">
      <w:pPr>
        <w:autoSpaceDE w:val="0"/>
        <w:autoSpaceDN w:val="0"/>
        <w:adjustRightInd w:val="0"/>
        <w:spacing w:before="240" w:line="360" w:lineRule="auto"/>
        <w:jc w:val="both"/>
        <w:rPr>
          <w:rFonts w:ascii="Times New Roman" w:hAnsi="Times New Roman" w:cs="Times New Roman"/>
          <w:sz w:val="24"/>
          <w:szCs w:val="24"/>
        </w:rPr>
      </w:pPr>
    </w:p>
    <w:p w14:paraId="3554027A" w14:textId="77777777" w:rsidR="00447DD3" w:rsidRPr="008C791C" w:rsidRDefault="00447DD3" w:rsidP="00447DD3">
      <w:pPr>
        <w:pStyle w:val="Heading2"/>
        <w:spacing w:before="1"/>
        <w:rPr>
          <w:rFonts w:ascii="Times New Roman" w:hAnsi="Times New Roman" w:cs="Times New Roman"/>
          <w:color w:val="000000" w:themeColor="text1"/>
          <w:sz w:val="24"/>
          <w:szCs w:val="24"/>
        </w:rPr>
      </w:pPr>
      <w:r w:rsidRPr="008C791C">
        <w:rPr>
          <w:rFonts w:ascii="Times New Roman" w:hAnsi="Times New Roman" w:cs="Times New Roman"/>
          <w:color w:val="000000" w:themeColor="text1"/>
          <w:sz w:val="24"/>
          <w:szCs w:val="24"/>
        </w:rPr>
        <w:t xml:space="preserve">Table 1. Major nutrients concentration in chickpea as influenced by application of </w:t>
      </w:r>
      <w:r w:rsidRPr="008C791C">
        <w:rPr>
          <w:rFonts w:ascii="Times New Roman" w:hAnsi="Times New Roman" w:cs="Times New Roman"/>
          <w:color w:val="000000" w:themeColor="text1"/>
          <w:spacing w:val="-2"/>
          <w:sz w:val="24"/>
          <w:szCs w:val="24"/>
        </w:rPr>
        <w:t>biochar</w:t>
      </w:r>
    </w:p>
    <w:p w14:paraId="72EFD44A" w14:textId="77777777" w:rsidR="00447DD3" w:rsidRPr="008C791C" w:rsidRDefault="00447DD3" w:rsidP="00447DD3">
      <w:pPr>
        <w:pStyle w:val="BodyText"/>
        <w:rPr>
          <w:b/>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7"/>
        <w:gridCol w:w="671"/>
        <w:gridCol w:w="710"/>
        <w:gridCol w:w="614"/>
        <w:gridCol w:w="666"/>
        <w:gridCol w:w="710"/>
        <w:gridCol w:w="614"/>
        <w:gridCol w:w="670"/>
        <w:gridCol w:w="708"/>
        <w:gridCol w:w="610"/>
      </w:tblGrid>
      <w:tr w:rsidR="00447DD3" w:rsidRPr="008C791C" w14:paraId="379B0BC0" w14:textId="77777777" w:rsidTr="00447DD3">
        <w:trPr>
          <w:trHeight w:val="474"/>
        </w:trPr>
        <w:tc>
          <w:tcPr>
            <w:tcW w:w="1692" w:type="pct"/>
          </w:tcPr>
          <w:p w14:paraId="75B01025" w14:textId="77777777" w:rsidR="00447DD3" w:rsidRPr="008C791C" w:rsidRDefault="00447DD3" w:rsidP="00447DD3">
            <w:pPr>
              <w:pStyle w:val="TableParagraph"/>
              <w:spacing w:before="73"/>
              <w:ind w:left="14" w:right="8"/>
              <w:jc w:val="left"/>
              <w:rPr>
                <w:b/>
                <w:sz w:val="24"/>
                <w:szCs w:val="24"/>
              </w:rPr>
            </w:pPr>
            <w:r w:rsidRPr="008C791C">
              <w:rPr>
                <w:b/>
                <w:spacing w:val="-2"/>
                <w:sz w:val="24"/>
                <w:szCs w:val="24"/>
              </w:rPr>
              <w:t>Treatments</w:t>
            </w:r>
          </w:p>
        </w:tc>
        <w:tc>
          <w:tcPr>
            <w:tcW w:w="1104" w:type="pct"/>
            <w:gridSpan w:val="3"/>
            <w:vAlign w:val="center"/>
          </w:tcPr>
          <w:p w14:paraId="7E683F9E" w14:textId="77777777" w:rsidR="00447DD3" w:rsidRPr="008C791C" w:rsidRDefault="00447DD3" w:rsidP="00447DD3">
            <w:pPr>
              <w:pStyle w:val="TableParagraph"/>
              <w:spacing w:before="73"/>
              <w:rPr>
                <w:b/>
                <w:sz w:val="24"/>
                <w:szCs w:val="24"/>
              </w:rPr>
            </w:pPr>
            <w:r w:rsidRPr="008C791C">
              <w:rPr>
                <w:b/>
                <w:sz w:val="24"/>
                <w:szCs w:val="24"/>
              </w:rPr>
              <w:t>Nitrogen</w:t>
            </w:r>
            <w:r w:rsidRPr="008C791C">
              <w:rPr>
                <w:b/>
                <w:spacing w:val="-5"/>
                <w:sz w:val="24"/>
                <w:szCs w:val="24"/>
              </w:rPr>
              <w:t xml:space="preserve"> (%)</w:t>
            </w:r>
          </w:p>
        </w:tc>
        <w:tc>
          <w:tcPr>
            <w:tcW w:w="1102" w:type="pct"/>
            <w:gridSpan w:val="3"/>
            <w:vAlign w:val="center"/>
          </w:tcPr>
          <w:p w14:paraId="005D8B0F" w14:textId="77777777" w:rsidR="00447DD3" w:rsidRPr="008C791C" w:rsidRDefault="00447DD3" w:rsidP="00447DD3">
            <w:pPr>
              <w:pStyle w:val="TableParagraph"/>
              <w:spacing w:before="73"/>
              <w:rPr>
                <w:b/>
                <w:sz w:val="24"/>
                <w:szCs w:val="24"/>
              </w:rPr>
            </w:pPr>
            <w:proofErr w:type="gramStart"/>
            <w:r w:rsidRPr="008C791C">
              <w:rPr>
                <w:b/>
                <w:sz w:val="24"/>
                <w:szCs w:val="24"/>
              </w:rPr>
              <w:t>Phosphorous</w:t>
            </w:r>
            <w:r w:rsidRPr="008C791C">
              <w:rPr>
                <w:b/>
                <w:spacing w:val="-5"/>
                <w:sz w:val="24"/>
                <w:szCs w:val="24"/>
              </w:rPr>
              <w:t>(</w:t>
            </w:r>
            <w:proofErr w:type="gramEnd"/>
            <w:r w:rsidRPr="008C791C">
              <w:rPr>
                <w:b/>
                <w:spacing w:val="-5"/>
                <w:sz w:val="24"/>
                <w:szCs w:val="24"/>
              </w:rPr>
              <w:t>%)</w:t>
            </w:r>
          </w:p>
        </w:tc>
        <w:tc>
          <w:tcPr>
            <w:tcW w:w="1101" w:type="pct"/>
            <w:gridSpan w:val="3"/>
            <w:vAlign w:val="center"/>
          </w:tcPr>
          <w:p w14:paraId="1FAC7F44" w14:textId="77777777" w:rsidR="00447DD3" w:rsidRPr="008C791C" w:rsidRDefault="00447DD3" w:rsidP="00447DD3">
            <w:pPr>
              <w:pStyle w:val="TableParagraph"/>
              <w:spacing w:before="73"/>
              <w:rPr>
                <w:b/>
                <w:sz w:val="24"/>
                <w:szCs w:val="24"/>
              </w:rPr>
            </w:pPr>
            <w:proofErr w:type="gramStart"/>
            <w:r w:rsidRPr="008C791C">
              <w:rPr>
                <w:b/>
                <w:sz w:val="24"/>
                <w:szCs w:val="24"/>
              </w:rPr>
              <w:t>Potassium</w:t>
            </w:r>
            <w:r w:rsidRPr="008C791C">
              <w:rPr>
                <w:b/>
                <w:spacing w:val="-5"/>
                <w:sz w:val="24"/>
                <w:szCs w:val="24"/>
              </w:rPr>
              <w:t>(</w:t>
            </w:r>
            <w:proofErr w:type="gramEnd"/>
            <w:r w:rsidRPr="008C791C">
              <w:rPr>
                <w:b/>
                <w:spacing w:val="-5"/>
                <w:sz w:val="24"/>
                <w:szCs w:val="24"/>
              </w:rPr>
              <w:t>%)</w:t>
            </w:r>
          </w:p>
        </w:tc>
      </w:tr>
      <w:tr w:rsidR="005F2D56" w:rsidRPr="008C791C" w14:paraId="5B4EFFFC" w14:textId="77777777" w:rsidTr="00447DD3">
        <w:trPr>
          <w:trHeight w:val="479"/>
        </w:trPr>
        <w:tc>
          <w:tcPr>
            <w:tcW w:w="1692" w:type="pct"/>
          </w:tcPr>
          <w:p w14:paraId="521EA7E1" w14:textId="77777777" w:rsidR="00447DD3" w:rsidRPr="008C791C" w:rsidRDefault="00447DD3" w:rsidP="00D0463D">
            <w:pPr>
              <w:pStyle w:val="TableParagraph"/>
              <w:ind w:left="0"/>
              <w:jc w:val="left"/>
              <w:rPr>
                <w:sz w:val="24"/>
                <w:szCs w:val="24"/>
              </w:rPr>
            </w:pPr>
          </w:p>
        </w:tc>
        <w:tc>
          <w:tcPr>
            <w:tcW w:w="371" w:type="pct"/>
            <w:vAlign w:val="center"/>
          </w:tcPr>
          <w:p w14:paraId="7D1B487D" w14:textId="77777777" w:rsidR="00447DD3" w:rsidRPr="008C791C" w:rsidRDefault="00447DD3" w:rsidP="00447DD3">
            <w:pPr>
              <w:pStyle w:val="TableParagraph"/>
              <w:spacing w:before="78"/>
              <w:ind w:left="10" w:right="10"/>
              <w:rPr>
                <w:b/>
                <w:sz w:val="24"/>
                <w:szCs w:val="24"/>
              </w:rPr>
            </w:pPr>
            <w:r w:rsidRPr="008C791C">
              <w:rPr>
                <w:b/>
                <w:spacing w:val="-2"/>
                <w:sz w:val="24"/>
                <w:szCs w:val="24"/>
              </w:rPr>
              <w:t>Grain</w:t>
            </w:r>
          </w:p>
        </w:tc>
        <w:tc>
          <w:tcPr>
            <w:tcW w:w="393" w:type="pct"/>
            <w:vAlign w:val="center"/>
          </w:tcPr>
          <w:p w14:paraId="1AB8D6E1" w14:textId="77777777" w:rsidR="00447DD3" w:rsidRPr="008C791C" w:rsidRDefault="00447DD3" w:rsidP="00447DD3">
            <w:pPr>
              <w:pStyle w:val="TableParagraph"/>
              <w:spacing w:before="78"/>
              <w:ind w:left="24" w:right="18"/>
              <w:rPr>
                <w:b/>
                <w:sz w:val="24"/>
                <w:szCs w:val="24"/>
              </w:rPr>
            </w:pPr>
            <w:r w:rsidRPr="008C791C">
              <w:rPr>
                <w:b/>
                <w:spacing w:val="-2"/>
                <w:sz w:val="24"/>
                <w:szCs w:val="24"/>
              </w:rPr>
              <w:t>Stover</w:t>
            </w:r>
          </w:p>
        </w:tc>
        <w:tc>
          <w:tcPr>
            <w:tcW w:w="340" w:type="pct"/>
            <w:vAlign w:val="center"/>
          </w:tcPr>
          <w:p w14:paraId="401825C5" w14:textId="77777777" w:rsidR="00447DD3" w:rsidRPr="008C791C" w:rsidRDefault="00447DD3" w:rsidP="00447DD3">
            <w:pPr>
              <w:pStyle w:val="TableParagraph"/>
              <w:spacing w:before="78"/>
              <w:ind w:left="25" w:right="19"/>
              <w:rPr>
                <w:b/>
                <w:sz w:val="24"/>
                <w:szCs w:val="24"/>
              </w:rPr>
            </w:pPr>
            <w:r w:rsidRPr="008C791C">
              <w:rPr>
                <w:b/>
                <w:spacing w:val="-2"/>
                <w:sz w:val="24"/>
                <w:szCs w:val="24"/>
              </w:rPr>
              <w:t>Total</w:t>
            </w:r>
          </w:p>
        </w:tc>
        <w:tc>
          <w:tcPr>
            <w:tcW w:w="369" w:type="pct"/>
            <w:vAlign w:val="center"/>
          </w:tcPr>
          <w:p w14:paraId="796DBA99" w14:textId="77777777" w:rsidR="00447DD3" w:rsidRPr="008C791C" w:rsidRDefault="00447DD3" w:rsidP="00447DD3">
            <w:pPr>
              <w:pStyle w:val="TableParagraph"/>
              <w:spacing w:before="78"/>
              <w:ind w:left="13" w:right="6"/>
              <w:rPr>
                <w:b/>
                <w:sz w:val="24"/>
                <w:szCs w:val="24"/>
              </w:rPr>
            </w:pPr>
            <w:r w:rsidRPr="008C791C">
              <w:rPr>
                <w:b/>
                <w:spacing w:val="-2"/>
                <w:sz w:val="24"/>
                <w:szCs w:val="24"/>
              </w:rPr>
              <w:t>Grain</w:t>
            </w:r>
          </w:p>
        </w:tc>
        <w:tc>
          <w:tcPr>
            <w:tcW w:w="393" w:type="pct"/>
            <w:vAlign w:val="center"/>
          </w:tcPr>
          <w:p w14:paraId="019C7D17" w14:textId="77777777" w:rsidR="00447DD3" w:rsidRPr="008C791C" w:rsidRDefault="00447DD3" w:rsidP="00447DD3">
            <w:pPr>
              <w:pStyle w:val="TableParagraph"/>
              <w:spacing w:before="78"/>
              <w:ind w:left="24" w:right="5"/>
              <w:rPr>
                <w:b/>
                <w:sz w:val="24"/>
                <w:szCs w:val="24"/>
              </w:rPr>
            </w:pPr>
            <w:r w:rsidRPr="008C791C">
              <w:rPr>
                <w:b/>
                <w:spacing w:val="-2"/>
                <w:sz w:val="24"/>
                <w:szCs w:val="24"/>
              </w:rPr>
              <w:t>Stover</w:t>
            </w:r>
          </w:p>
        </w:tc>
        <w:tc>
          <w:tcPr>
            <w:tcW w:w="340" w:type="pct"/>
            <w:vAlign w:val="center"/>
          </w:tcPr>
          <w:p w14:paraId="6B77986B" w14:textId="77777777" w:rsidR="00447DD3" w:rsidRPr="008C791C" w:rsidRDefault="00447DD3" w:rsidP="00447DD3">
            <w:pPr>
              <w:pStyle w:val="TableParagraph"/>
              <w:spacing w:before="78"/>
              <w:ind w:left="25" w:right="5"/>
              <w:rPr>
                <w:b/>
                <w:sz w:val="24"/>
                <w:szCs w:val="24"/>
              </w:rPr>
            </w:pPr>
            <w:r w:rsidRPr="008C791C">
              <w:rPr>
                <w:b/>
                <w:spacing w:val="-2"/>
                <w:sz w:val="24"/>
                <w:szCs w:val="24"/>
              </w:rPr>
              <w:t>Total</w:t>
            </w:r>
          </w:p>
        </w:tc>
        <w:tc>
          <w:tcPr>
            <w:tcW w:w="371" w:type="pct"/>
            <w:vAlign w:val="center"/>
          </w:tcPr>
          <w:p w14:paraId="661F427F" w14:textId="77777777" w:rsidR="00447DD3" w:rsidRPr="008C791C" w:rsidRDefault="00447DD3" w:rsidP="00447DD3">
            <w:pPr>
              <w:pStyle w:val="TableParagraph"/>
              <w:spacing w:before="78"/>
              <w:ind w:left="17" w:right="11"/>
              <w:rPr>
                <w:b/>
                <w:sz w:val="24"/>
                <w:szCs w:val="24"/>
              </w:rPr>
            </w:pPr>
            <w:r w:rsidRPr="008C791C">
              <w:rPr>
                <w:b/>
                <w:spacing w:val="-2"/>
                <w:sz w:val="24"/>
                <w:szCs w:val="24"/>
              </w:rPr>
              <w:t>Grain</w:t>
            </w:r>
          </w:p>
        </w:tc>
        <w:tc>
          <w:tcPr>
            <w:tcW w:w="392" w:type="pct"/>
            <w:vAlign w:val="center"/>
          </w:tcPr>
          <w:p w14:paraId="5846F0A8" w14:textId="77777777" w:rsidR="00447DD3" w:rsidRPr="008C791C" w:rsidRDefault="00447DD3" w:rsidP="00447DD3">
            <w:pPr>
              <w:pStyle w:val="TableParagraph"/>
              <w:spacing w:before="78"/>
              <w:ind w:left="20" w:right="4"/>
              <w:rPr>
                <w:b/>
                <w:sz w:val="24"/>
                <w:szCs w:val="24"/>
              </w:rPr>
            </w:pPr>
            <w:r w:rsidRPr="008C791C">
              <w:rPr>
                <w:b/>
                <w:spacing w:val="-2"/>
                <w:sz w:val="24"/>
                <w:szCs w:val="24"/>
              </w:rPr>
              <w:t>Stover</w:t>
            </w:r>
          </w:p>
        </w:tc>
        <w:tc>
          <w:tcPr>
            <w:tcW w:w="338" w:type="pct"/>
            <w:vAlign w:val="center"/>
          </w:tcPr>
          <w:p w14:paraId="348B33CD" w14:textId="77777777" w:rsidR="00447DD3" w:rsidRPr="008C791C" w:rsidRDefault="00447DD3" w:rsidP="00447DD3">
            <w:pPr>
              <w:pStyle w:val="TableParagraph"/>
              <w:spacing w:before="78"/>
              <w:ind w:left="29" w:right="6"/>
              <w:rPr>
                <w:b/>
                <w:sz w:val="24"/>
                <w:szCs w:val="24"/>
              </w:rPr>
            </w:pPr>
            <w:r w:rsidRPr="008C791C">
              <w:rPr>
                <w:b/>
                <w:spacing w:val="-2"/>
                <w:sz w:val="24"/>
                <w:szCs w:val="24"/>
              </w:rPr>
              <w:t>Total</w:t>
            </w:r>
          </w:p>
        </w:tc>
      </w:tr>
      <w:tr w:rsidR="005F2D56" w:rsidRPr="008C791C" w14:paraId="58A9E7E9" w14:textId="77777777" w:rsidTr="00447DD3">
        <w:trPr>
          <w:trHeight w:val="489"/>
        </w:trPr>
        <w:tc>
          <w:tcPr>
            <w:tcW w:w="1692" w:type="pct"/>
          </w:tcPr>
          <w:p w14:paraId="00BF4F73" w14:textId="77777777" w:rsidR="00447DD3" w:rsidRPr="008C791C" w:rsidRDefault="00447DD3" w:rsidP="00D0463D">
            <w:pPr>
              <w:pStyle w:val="TableParagraph"/>
              <w:spacing w:before="68"/>
              <w:jc w:val="left"/>
              <w:rPr>
                <w:position w:val="1"/>
                <w:sz w:val="24"/>
                <w:szCs w:val="24"/>
              </w:rPr>
            </w:pPr>
            <w:r w:rsidRPr="008C791C">
              <w:rPr>
                <w:sz w:val="24"/>
                <w:szCs w:val="24"/>
              </w:rPr>
              <w:t>T</w:t>
            </w:r>
            <w:r w:rsidRPr="008C791C">
              <w:rPr>
                <w:sz w:val="24"/>
                <w:szCs w:val="24"/>
                <w:vertAlign w:val="subscript"/>
              </w:rPr>
              <w:t>1</w:t>
            </w:r>
            <w:r w:rsidRPr="008C791C">
              <w:rPr>
                <w:sz w:val="24"/>
                <w:szCs w:val="24"/>
              </w:rPr>
              <w:t>-Absolute</w:t>
            </w:r>
            <w:r w:rsidRPr="008C791C">
              <w:rPr>
                <w:spacing w:val="-2"/>
                <w:position w:val="1"/>
                <w:sz w:val="24"/>
                <w:szCs w:val="24"/>
              </w:rPr>
              <w:t>control</w:t>
            </w:r>
          </w:p>
        </w:tc>
        <w:tc>
          <w:tcPr>
            <w:tcW w:w="371" w:type="pct"/>
            <w:vAlign w:val="center"/>
          </w:tcPr>
          <w:p w14:paraId="4657ADA4" w14:textId="77777777" w:rsidR="00447DD3" w:rsidRPr="008C791C" w:rsidRDefault="00447DD3" w:rsidP="00447DD3">
            <w:pPr>
              <w:pStyle w:val="TableParagraph"/>
              <w:spacing w:before="78"/>
              <w:ind w:left="10" w:right="5"/>
              <w:rPr>
                <w:sz w:val="24"/>
                <w:szCs w:val="24"/>
              </w:rPr>
            </w:pPr>
            <w:r w:rsidRPr="008C791C">
              <w:rPr>
                <w:spacing w:val="-4"/>
                <w:sz w:val="24"/>
                <w:szCs w:val="24"/>
              </w:rPr>
              <w:t>2.45</w:t>
            </w:r>
          </w:p>
        </w:tc>
        <w:tc>
          <w:tcPr>
            <w:tcW w:w="393" w:type="pct"/>
            <w:vAlign w:val="center"/>
          </w:tcPr>
          <w:p w14:paraId="2CAD55A1" w14:textId="77777777" w:rsidR="00447DD3" w:rsidRPr="008C791C" w:rsidRDefault="00447DD3" w:rsidP="00447DD3">
            <w:pPr>
              <w:pStyle w:val="TableParagraph"/>
              <w:spacing w:before="78"/>
              <w:ind w:left="24" w:right="14"/>
              <w:rPr>
                <w:sz w:val="24"/>
                <w:szCs w:val="24"/>
              </w:rPr>
            </w:pPr>
            <w:r w:rsidRPr="008C791C">
              <w:rPr>
                <w:spacing w:val="-4"/>
                <w:sz w:val="24"/>
                <w:szCs w:val="24"/>
              </w:rPr>
              <w:t>0.81</w:t>
            </w:r>
          </w:p>
        </w:tc>
        <w:tc>
          <w:tcPr>
            <w:tcW w:w="340" w:type="pct"/>
            <w:vAlign w:val="center"/>
          </w:tcPr>
          <w:p w14:paraId="10BAD9C2" w14:textId="77777777" w:rsidR="00447DD3" w:rsidRPr="008C791C" w:rsidRDefault="00447DD3" w:rsidP="00447DD3">
            <w:pPr>
              <w:pStyle w:val="TableParagraph"/>
              <w:spacing w:before="78"/>
              <w:ind w:left="25" w:right="18"/>
              <w:rPr>
                <w:sz w:val="24"/>
                <w:szCs w:val="24"/>
              </w:rPr>
            </w:pPr>
            <w:r w:rsidRPr="008C791C">
              <w:rPr>
                <w:spacing w:val="-4"/>
                <w:sz w:val="24"/>
                <w:szCs w:val="24"/>
              </w:rPr>
              <w:t>3.26</w:t>
            </w:r>
          </w:p>
        </w:tc>
        <w:tc>
          <w:tcPr>
            <w:tcW w:w="369" w:type="pct"/>
            <w:vAlign w:val="center"/>
          </w:tcPr>
          <w:p w14:paraId="6B4099E7" w14:textId="77777777" w:rsidR="00447DD3" w:rsidRPr="008C791C" w:rsidRDefault="00447DD3" w:rsidP="00447DD3">
            <w:pPr>
              <w:pStyle w:val="TableParagraph"/>
              <w:spacing w:before="78"/>
              <w:ind w:left="13"/>
              <w:rPr>
                <w:sz w:val="24"/>
                <w:szCs w:val="24"/>
              </w:rPr>
            </w:pPr>
            <w:r w:rsidRPr="008C791C">
              <w:rPr>
                <w:spacing w:val="-4"/>
                <w:sz w:val="24"/>
                <w:szCs w:val="24"/>
              </w:rPr>
              <w:t>0.25</w:t>
            </w:r>
          </w:p>
        </w:tc>
        <w:tc>
          <w:tcPr>
            <w:tcW w:w="393" w:type="pct"/>
            <w:vAlign w:val="center"/>
          </w:tcPr>
          <w:p w14:paraId="285D1620" w14:textId="77777777" w:rsidR="00447DD3" w:rsidRPr="008C791C" w:rsidRDefault="00447DD3" w:rsidP="00447DD3">
            <w:pPr>
              <w:pStyle w:val="TableParagraph"/>
              <w:spacing w:before="78"/>
              <w:ind w:left="24"/>
              <w:rPr>
                <w:sz w:val="24"/>
                <w:szCs w:val="24"/>
              </w:rPr>
            </w:pPr>
            <w:r w:rsidRPr="008C791C">
              <w:rPr>
                <w:spacing w:val="-4"/>
                <w:sz w:val="24"/>
                <w:szCs w:val="24"/>
              </w:rPr>
              <w:t>0.18</w:t>
            </w:r>
          </w:p>
        </w:tc>
        <w:tc>
          <w:tcPr>
            <w:tcW w:w="340" w:type="pct"/>
            <w:vAlign w:val="center"/>
          </w:tcPr>
          <w:p w14:paraId="16268FFC" w14:textId="77777777" w:rsidR="00447DD3" w:rsidRPr="008C791C" w:rsidRDefault="00447DD3" w:rsidP="00447DD3">
            <w:pPr>
              <w:pStyle w:val="TableParagraph"/>
              <w:spacing w:before="121"/>
              <w:ind w:left="25" w:right="5"/>
              <w:rPr>
                <w:sz w:val="24"/>
                <w:szCs w:val="24"/>
              </w:rPr>
            </w:pPr>
            <w:r w:rsidRPr="008C791C">
              <w:rPr>
                <w:spacing w:val="-4"/>
                <w:sz w:val="24"/>
                <w:szCs w:val="24"/>
              </w:rPr>
              <w:t>0.43</w:t>
            </w:r>
          </w:p>
        </w:tc>
        <w:tc>
          <w:tcPr>
            <w:tcW w:w="371" w:type="pct"/>
            <w:vAlign w:val="center"/>
          </w:tcPr>
          <w:p w14:paraId="606E7F86" w14:textId="77777777" w:rsidR="00447DD3" w:rsidRPr="008C791C" w:rsidRDefault="00447DD3" w:rsidP="00447DD3">
            <w:pPr>
              <w:pStyle w:val="TableParagraph"/>
              <w:spacing w:before="78"/>
              <w:ind w:left="17" w:right="4"/>
              <w:rPr>
                <w:sz w:val="24"/>
                <w:szCs w:val="24"/>
              </w:rPr>
            </w:pPr>
            <w:r w:rsidRPr="008C791C">
              <w:rPr>
                <w:spacing w:val="-4"/>
                <w:sz w:val="24"/>
                <w:szCs w:val="24"/>
              </w:rPr>
              <w:t>0.96</w:t>
            </w:r>
          </w:p>
        </w:tc>
        <w:tc>
          <w:tcPr>
            <w:tcW w:w="392" w:type="pct"/>
            <w:vAlign w:val="center"/>
          </w:tcPr>
          <w:p w14:paraId="0A1F34BD" w14:textId="77777777" w:rsidR="00447DD3" w:rsidRPr="008C791C" w:rsidRDefault="00447DD3" w:rsidP="00447DD3">
            <w:pPr>
              <w:pStyle w:val="TableParagraph"/>
              <w:spacing w:before="78"/>
              <w:ind w:left="20"/>
              <w:rPr>
                <w:sz w:val="24"/>
                <w:szCs w:val="24"/>
              </w:rPr>
            </w:pPr>
            <w:r w:rsidRPr="008C791C">
              <w:rPr>
                <w:spacing w:val="-4"/>
                <w:sz w:val="24"/>
                <w:szCs w:val="24"/>
              </w:rPr>
              <w:t>1.30</w:t>
            </w:r>
          </w:p>
        </w:tc>
        <w:tc>
          <w:tcPr>
            <w:tcW w:w="338" w:type="pct"/>
            <w:vAlign w:val="center"/>
          </w:tcPr>
          <w:p w14:paraId="6A36F034" w14:textId="77777777" w:rsidR="00447DD3" w:rsidRPr="008C791C" w:rsidRDefault="00447DD3" w:rsidP="00447DD3">
            <w:pPr>
              <w:pStyle w:val="TableParagraph"/>
              <w:spacing w:before="121"/>
              <w:ind w:left="29" w:right="5"/>
              <w:rPr>
                <w:sz w:val="24"/>
                <w:szCs w:val="24"/>
              </w:rPr>
            </w:pPr>
            <w:r w:rsidRPr="008C791C">
              <w:rPr>
                <w:spacing w:val="-4"/>
                <w:sz w:val="24"/>
                <w:szCs w:val="24"/>
              </w:rPr>
              <w:t>2.26</w:t>
            </w:r>
          </w:p>
        </w:tc>
      </w:tr>
      <w:tr w:rsidR="005F2D56" w:rsidRPr="008C791C" w14:paraId="2E813AD2" w14:textId="77777777" w:rsidTr="00447DD3">
        <w:trPr>
          <w:trHeight w:val="484"/>
        </w:trPr>
        <w:tc>
          <w:tcPr>
            <w:tcW w:w="1692" w:type="pct"/>
          </w:tcPr>
          <w:p w14:paraId="0932BA80" w14:textId="77777777" w:rsidR="00447DD3" w:rsidRPr="008C791C" w:rsidRDefault="00447DD3" w:rsidP="00D0463D">
            <w:pPr>
              <w:pStyle w:val="TableParagraph"/>
              <w:spacing w:before="68"/>
              <w:jc w:val="left"/>
              <w:rPr>
                <w:position w:val="1"/>
                <w:sz w:val="24"/>
                <w:szCs w:val="24"/>
              </w:rPr>
            </w:pPr>
            <w:r w:rsidRPr="008C791C">
              <w:rPr>
                <w:sz w:val="24"/>
                <w:szCs w:val="24"/>
              </w:rPr>
              <w:t>T</w:t>
            </w:r>
            <w:r w:rsidRPr="008C791C">
              <w:rPr>
                <w:sz w:val="24"/>
                <w:szCs w:val="24"/>
                <w:vertAlign w:val="subscript"/>
              </w:rPr>
              <w:t>2</w:t>
            </w:r>
            <w:r w:rsidRPr="008C791C">
              <w:rPr>
                <w:sz w:val="24"/>
                <w:szCs w:val="24"/>
              </w:rPr>
              <w:t>-RDF</w:t>
            </w:r>
            <w:r w:rsidRPr="008C791C">
              <w:rPr>
                <w:position w:val="1"/>
                <w:sz w:val="24"/>
                <w:szCs w:val="24"/>
              </w:rPr>
              <w:t>only</w:t>
            </w:r>
            <w:r w:rsidRPr="008C791C">
              <w:rPr>
                <w:spacing w:val="-2"/>
                <w:position w:val="1"/>
                <w:sz w:val="24"/>
                <w:szCs w:val="24"/>
              </w:rPr>
              <w:t>(25:50:00)</w:t>
            </w:r>
          </w:p>
        </w:tc>
        <w:tc>
          <w:tcPr>
            <w:tcW w:w="371" w:type="pct"/>
            <w:vAlign w:val="center"/>
          </w:tcPr>
          <w:p w14:paraId="7A2986B4" w14:textId="77777777" w:rsidR="00447DD3" w:rsidRPr="008C791C" w:rsidRDefault="00447DD3" w:rsidP="00447DD3">
            <w:pPr>
              <w:pStyle w:val="TableParagraph"/>
              <w:spacing w:before="78"/>
              <w:ind w:left="10" w:right="5"/>
              <w:rPr>
                <w:sz w:val="24"/>
                <w:szCs w:val="24"/>
              </w:rPr>
            </w:pPr>
            <w:r w:rsidRPr="008C791C">
              <w:rPr>
                <w:spacing w:val="-4"/>
                <w:sz w:val="24"/>
                <w:szCs w:val="24"/>
              </w:rPr>
              <w:t>3.01</w:t>
            </w:r>
          </w:p>
        </w:tc>
        <w:tc>
          <w:tcPr>
            <w:tcW w:w="393" w:type="pct"/>
            <w:vAlign w:val="center"/>
          </w:tcPr>
          <w:p w14:paraId="2621AF2A" w14:textId="77777777" w:rsidR="00447DD3" w:rsidRPr="008C791C" w:rsidRDefault="00447DD3" w:rsidP="00447DD3">
            <w:pPr>
              <w:pStyle w:val="TableParagraph"/>
              <w:spacing w:before="78"/>
              <w:ind w:left="24" w:right="14"/>
              <w:rPr>
                <w:sz w:val="24"/>
                <w:szCs w:val="24"/>
              </w:rPr>
            </w:pPr>
            <w:r w:rsidRPr="008C791C">
              <w:rPr>
                <w:spacing w:val="-4"/>
                <w:sz w:val="24"/>
                <w:szCs w:val="24"/>
              </w:rPr>
              <w:t>1.00</w:t>
            </w:r>
          </w:p>
        </w:tc>
        <w:tc>
          <w:tcPr>
            <w:tcW w:w="340" w:type="pct"/>
            <w:vAlign w:val="center"/>
          </w:tcPr>
          <w:p w14:paraId="754996D3" w14:textId="77777777" w:rsidR="00447DD3" w:rsidRPr="008C791C" w:rsidRDefault="00447DD3" w:rsidP="00447DD3">
            <w:pPr>
              <w:pStyle w:val="TableParagraph"/>
              <w:spacing w:before="78"/>
              <w:ind w:left="25" w:right="18"/>
              <w:rPr>
                <w:sz w:val="24"/>
                <w:szCs w:val="24"/>
              </w:rPr>
            </w:pPr>
            <w:r w:rsidRPr="008C791C">
              <w:rPr>
                <w:spacing w:val="-4"/>
                <w:sz w:val="24"/>
                <w:szCs w:val="24"/>
              </w:rPr>
              <w:t>4.01</w:t>
            </w:r>
          </w:p>
        </w:tc>
        <w:tc>
          <w:tcPr>
            <w:tcW w:w="369" w:type="pct"/>
            <w:vAlign w:val="center"/>
          </w:tcPr>
          <w:p w14:paraId="232C222D" w14:textId="77777777" w:rsidR="00447DD3" w:rsidRPr="008C791C" w:rsidRDefault="00447DD3" w:rsidP="00447DD3">
            <w:pPr>
              <w:pStyle w:val="TableParagraph"/>
              <w:spacing w:before="78"/>
              <w:ind w:left="13"/>
              <w:rPr>
                <w:sz w:val="24"/>
                <w:szCs w:val="24"/>
              </w:rPr>
            </w:pPr>
            <w:r w:rsidRPr="008C791C">
              <w:rPr>
                <w:spacing w:val="-4"/>
                <w:sz w:val="24"/>
                <w:szCs w:val="24"/>
              </w:rPr>
              <w:t>0.37</w:t>
            </w:r>
          </w:p>
        </w:tc>
        <w:tc>
          <w:tcPr>
            <w:tcW w:w="393" w:type="pct"/>
            <w:vAlign w:val="center"/>
          </w:tcPr>
          <w:p w14:paraId="6F27E632" w14:textId="77777777" w:rsidR="00447DD3" w:rsidRPr="008C791C" w:rsidRDefault="00447DD3" w:rsidP="00447DD3">
            <w:pPr>
              <w:pStyle w:val="TableParagraph"/>
              <w:spacing w:before="78"/>
              <w:ind w:left="24"/>
              <w:rPr>
                <w:sz w:val="24"/>
                <w:szCs w:val="24"/>
              </w:rPr>
            </w:pPr>
            <w:r w:rsidRPr="008C791C">
              <w:rPr>
                <w:spacing w:val="-4"/>
                <w:sz w:val="24"/>
                <w:szCs w:val="24"/>
              </w:rPr>
              <w:t>0.23</w:t>
            </w:r>
          </w:p>
        </w:tc>
        <w:tc>
          <w:tcPr>
            <w:tcW w:w="340" w:type="pct"/>
            <w:vAlign w:val="center"/>
          </w:tcPr>
          <w:p w14:paraId="68B701CD" w14:textId="77777777" w:rsidR="00447DD3" w:rsidRPr="008C791C" w:rsidRDefault="00447DD3" w:rsidP="00447DD3">
            <w:pPr>
              <w:pStyle w:val="TableParagraph"/>
              <w:spacing w:before="97"/>
              <w:ind w:left="25" w:right="5"/>
              <w:rPr>
                <w:sz w:val="24"/>
                <w:szCs w:val="24"/>
              </w:rPr>
            </w:pPr>
            <w:r w:rsidRPr="008C791C">
              <w:rPr>
                <w:spacing w:val="-4"/>
                <w:sz w:val="24"/>
                <w:szCs w:val="24"/>
              </w:rPr>
              <w:t>0.60</w:t>
            </w:r>
          </w:p>
        </w:tc>
        <w:tc>
          <w:tcPr>
            <w:tcW w:w="371" w:type="pct"/>
            <w:vAlign w:val="center"/>
          </w:tcPr>
          <w:p w14:paraId="4FCCF634" w14:textId="77777777" w:rsidR="00447DD3" w:rsidRPr="008C791C" w:rsidRDefault="00447DD3" w:rsidP="00447DD3">
            <w:pPr>
              <w:pStyle w:val="TableParagraph"/>
              <w:spacing w:before="78"/>
              <w:ind w:left="17" w:right="4"/>
              <w:rPr>
                <w:sz w:val="24"/>
                <w:szCs w:val="24"/>
              </w:rPr>
            </w:pPr>
            <w:r w:rsidRPr="008C791C">
              <w:rPr>
                <w:spacing w:val="-4"/>
                <w:sz w:val="24"/>
                <w:szCs w:val="24"/>
              </w:rPr>
              <w:t>1.18</w:t>
            </w:r>
          </w:p>
        </w:tc>
        <w:tc>
          <w:tcPr>
            <w:tcW w:w="392" w:type="pct"/>
            <w:vAlign w:val="center"/>
          </w:tcPr>
          <w:p w14:paraId="050E15D7" w14:textId="77777777" w:rsidR="00447DD3" w:rsidRPr="008C791C" w:rsidRDefault="00447DD3" w:rsidP="00447DD3">
            <w:pPr>
              <w:pStyle w:val="TableParagraph"/>
              <w:spacing w:before="78"/>
              <w:ind w:left="20"/>
              <w:rPr>
                <w:sz w:val="24"/>
                <w:szCs w:val="24"/>
              </w:rPr>
            </w:pPr>
            <w:r w:rsidRPr="008C791C">
              <w:rPr>
                <w:spacing w:val="-4"/>
                <w:sz w:val="24"/>
                <w:szCs w:val="24"/>
              </w:rPr>
              <w:t>1.42</w:t>
            </w:r>
          </w:p>
        </w:tc>
        <w:tc>
          <w:tcPr>
            <w:tcW w:w="338" w:type="pct"/>
            <w:vAlign w:val="center"/>
          </w:tcPr>
          <w:p w14:paraId="086890A2" w14:textId="77777777" w:rsidR="00447DD3" w:rsidRPr="008C791C" w:rsidRDefault="00447DD3" w:rsidP="00447DD3">
            <w:pPr>
              <w:pStyle w:val="TableParagraph"/>
              <w:spacing w:before="97"/>
              <w:ind w:left="29" w:right="5"/>
              <w:rPr>
                <w:sz w:val="24"/>
                <w:szCs w:val="24"/>
              </w:rPr>
            </w:pPr>
            <w:r w:rsidRPr="008C791C">
              <w:rPr>
                <w:spacing w:val="-4"/>
                <w:sz w:val="24"/>
                <w:szCs w:val="24"/>
              </w:rPr>
              <w:t>2.60</w:t>
            </w:r>
          </w:p>
        </w:tc>
      </w:tr>
      <w:tr w:rsidR="005F2D56" w:rsidRPr="008C791C" w14:paraId="4B490CD1" w14:textId="77777777" w:rsidTr="00447DD3">
        <w:trPr>
          <w:trHeight w:val="489"/>
        </w:trPr>
        <w:tc>
          <w:tcPr>
            <w:tcW w:w="1692" w:type="pct"/>
          </w:tcPr>
          <w:p w14:paraId="2EBA44F6"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3</w:t>
            </w:r>
            <w:r w:rsidRPr="008C791C">
              <w:rPr>
                <w:position w:val="1"/>
                <w:sz w:val="24"/>
                <w:szCs w:val="24"/>
              </w:rPr>
              <w:t>-Biochar@2t</w:t>
            </w:r>
            <w:r w:rsidRPr="008C791C">
              <w:rPr>
                <w:sz w:val="24"/>
                <w:szCs w:val="24"/>
              </w:rPr>
              <w:t>ha</w:t>
            </w:r>
            <w:r w:rsidRPr="008C791C">
              <w:rPr>
                <w:sz w:val="24"/>
                <w:szCs w:val="24"/>
                <w:vertAlign w:val="superscript"/>
              </w:rPr>
              <w:t>-</w:t>
            </w:r>
            <w:r w:rsidRPr="008C791C">
              <w:rPr>
                <w:spacing w:val="-10"/>
                <w:sz w:val="24"/>
                <w:szCs w:val="24"/>
                <w:vertAlign w:val="superscript"/>
              </w:rPr>
              <w:t>1</w:t>
            </w:r>
          </w:p>
        </w:tc>
        <w:tc>
          <w:tcPr>
            <w:tcW w:w="371" w:type="pct"/>
            <w:vAlign w:val="center"/>
          </w:tcPr>
          <w:p w14:paraId="3AF44D76" w14:textId="77777777" w:rsidR="00447DD3" w:rsidRPr="008C791C" w:rsidRDefault="00447DD3" w:rsidP="00447DD3">
            <w:pPr>
              <w:pStyle w:val="TableParagraph"/>
              <w:spacing w:before="78"/>
              <w:ind w:left="10" w:right="5"/>
              <w:rPr>
                <w:sz w:val="24"/>
                <w:szCs w:val="24"/>
              </w:rPr>
            </w:pPr>
            <w:r w:rsidRPr="008C791C">
              <w:rPr>
                <w:spacing w:val="-4"/>
                <w:sz w:val="24"/>
                <w:szCs w:val="24"/>
              </w:rPr>
              <w:t>2.75</w:t>
            </w:r>
          </w:p>
        </w:tc>
        <w:tc>
          <w:tcPr>
            <w:tcW w:w="393" w:type="pct"/>
            <w:vAlign w:val="center"/>
          </w:tcPr>
          <w:p w14:paraId="494C7545" w14:textId="77777777" w:rsidR="00447DD3" w:rsidRPr="008C791C" w:rsidRDefault="00447DD3" w:rsidP="00447DD3">
            <w:pPr>
              <w:pStyle w:val="TableParagraph"/>
              <w:spacing w:before="78"/>
              <w:ind w:left="24" w:right="14"/>
              <w:rPr>
                <w:sz w:val="24"/>
                <w:szCs w:val="24"/>
              </w:rPr>
            </w:pPr>
            <w:r w:rsidRPr="008C791C">
              <w:rPr>
                <w:spacing w:val="-4"/>
                <w:sz w:val="24"/>
                <w:szCs w:val="24"/>
              </w:rPr>
              <w:t>0.89</w:t>
            </w:r>
          </w:p>
        </w:tc>
        <w:tc>
          <w:tcPr>
            <w:tcW w:w="340" w:type="pct"/>
            <w:vAlign w:val="center"/>
          </w:tcPr>
          <w:p w14:paraId="153BA3E6" w14:textId="77777777" w:rsidR="00447DD3" w:rsidRPr="008C791C" w:rsidRDefault="00447DD3" w:rsidP="00447DD3">
            <w:pPr>
              <w:pStyle w:val="TableParagraph"/>
              <w:spacing w:before="78"/>
              <w:ind w:left="25" w:right="18"/>
              <w:rPr>
                <w:sz w:val="24"/>
                <w:szCs w:val="24"/>
              </w:rPr>
            </w:pPr>
            <w:r w:rsidRPr="008C791C">
              <w:rPr>
                <w:spacing w:val="-4"/>
                <w:sz w:val="24"/>
                <w:szCs w:val="24"/>
              </w:rPr>
              <w:t>3.64</w:t>
            </w:r>
          </w:p>
        </w:tc>
        <w:tc>
          <w:tcPr>
            <w:tcW w:w="369" w:type="pct"/>
            <w:vAlign w:val="center"/>
          </w:tcPr>
          <w:p w14:paraId="2C0B5B23" w14:textId="77777777" w:rsidR="00447DD3" w:rsidRPr="008C791C" w:rsidRDefault="00447DD3" w:rsidP="00447DD3">
            <w:pPr>
              <w:pStyle w:val="TableParagraph"/>
              <w:spacing w:before="78"/>
              <w:ind w:left="13"/>
              <w:rPr>
                <w:sz w:val="24"/>
                <w:szCs w:val="24"/>
              </w:rPr>
            </w:pPr>
            <w:r w:rsidRPr="008C791C">
              <w:rPr>
                <w:spacing w:val="-4"/>
                <w:sz w:val="24"/>
                <w:szCs w:val="24"/>
              </w:rPr>
              <w:t>0.29</w:t>
            </w:r>
          </w:p>
        </w:tc>
        <w:tc>
          <w:tcPr>
            <w:tcW w:w="393" w:type="pct"/>
            <w:vAlign w:val="center"/>
          </w:tcPr>
          <w:p w14:paraId="4AB42A7A" w14:textId="77777777" w:rsidR="00447DD3" w:rsidRPr="008C791C" w:rsidRDefault="00447DD3" w:rsidP="00447DD3">
            <w:pPr>
              <w:pStyle w:val="TableParagraph"/>
              <w:spacing w:before="78"/>
              <w:ind w:left="24"/>
              <w:rPr>
                <w:sz w:val="24"/>
                <w:szCs w:val="24"/>
              </w:rPr>
            </w:pPr>
            <w:r w:rsidRPr="008C791C">
              <w:rPr>
                <w:spacing w:val="-4"/>
                <w:sz w:val="24"/>
                <w:szCs w:val="24"/>
              </w:rPr>
              <w:t>0.20</w:t>
            </w:r>
          </w:p>
        </w:tc>
        <w:tc>
          <w:tcPr>
            <w:tcW w:w="340" w:type="pct"/>
            <w:vAlign w:val="center"/>
          </w:tcPr>
          <w:p w14:paraId="7CCE5F36" w14:textId="77777777" w:rsidR="00447DD3" w:rsidRPr="008C791C" w:rsidRDefault="00447DD3" w:rsidP="00447DD3">
            <w:pPr>
              <w:pStyle w:val="TableParagraph"/>
              <w:spacing w:before="102"/>
              <w:ind w:left="25" w:right="5"/>
              <w:rPr>
                <w:sz w:val="24"/>
                <w:szCs w:val="24"/>
              </w:rPr>
            </w:pPr>
            <w:r w:rsidRPr="008C791C">
              <w:rPr>
                <w:spacing w:val="-4"/>
                <w:sz w:val="24"/>
                <w:szCs w:val="24"/>
              </w:rPr>
              <w:t>0.49</w:t>
            </w:r>
          </w:p>
        </w:tc>
        <w:tc>
          <w:tcPr>
            <w:tcW w:w="371" w:type="pct"/>
            <w:vAlign w:val="center"/>
          </w:tcPr>
          <w:p w14:paraId="1427931B" w14:textId="77777777" w:rsidR="00447DD3" w:rsidRPr="008C791C" w:rsidRDefault="00447DD3" w:rsidP="00447DD3">
            <w:pPr>
              <w:pStyle w:val="TableParagraph"/>
              <w:spacing w:before="78"/>
              <w:ind w:left="17" w:right="4"/>
              <w:rPr>
                <w:sz w:val="24"/>
                <w:szCs w:val="24"/>
              </w:rPr>
            </w:pPr>
            <w:r w:rsidRPr="008C791C">
              <w:rPr>
                <w:spacing w:val="-4"/>
                <w:sz w:val="24"/>
                <w:szCs w:val="24"/>
              </w:rPr>
              <w:t>1.05</w:t>
            </w:r>
          </w:p>
        </w:tc>
        <w:tc>
          <w:tcPr>
            <w:tcW w:w="392" w:type="pct"/>
            <w:vAlign w:val="center"/>
          </w:tcPr>
          <w:p w14:paraId="4D432948" w14:textId="77777777" w:rsidR="00447DD3" w:rsidRPr="008C791C" w:rsidRDefault="00447DD3" w:rsidP="00447DD3">
            <w:pPr>
              <w:pStyle w:val="TableParagraph"/>
              <w:spacing w:before="78"/>
              <w:ind w:left="20"/>
              <w:rPr>
                <w:sz w:val="24"/>
                <w:szCs w:val="24"/>
              </w:rPr>
            </w:pPr>
            <w:r w:rsidRPr="008C791C">
              <w:rPr>
                <w:spacing w:val="-4"/>
                <w:sz w:val="24"/>
                <w:szCs w:val="24"/>
              </w:rPr>
              <w:t>1.31</w:t>
            </w:r>
          </w:p>
        </w:tc>
        <w:tc>
          <w:tcPr>
            <w:tcW w:w="338" w:type="pct"/>
            <w:vAlign w:val="center"/>
          </w:tcPr>
          <w:p w14:paraId="24938B05" w14:textId="77777777" w:rsidR="00447DD3" w:rsidRPr="008C791C" w:rsidRDefault="00447DD3" w:rsidP="00447DD3">
            <w:pPr>
              <w:pStyle w:val="TableParagraph"/>
              <w:spacing w:before="102"/>
              <w:ind w:left="29" w:right="5"/>
              <w:rPr>
                <w:sz w:val="24"/>
                <w:szCs w:val="24"/>
              </w:rPr>
            </w:pPr>
            <w:r w:rsidRPr="008C791C">
              <w:rPr>
                <w:spacing w:val="-4"/>
                <w:sz w:val="24"/>
                <w:szCs w:val="24"/>
              </w:rPr>
              <w:t>2.36</w:t>
            </w:r>
          </w:p>
        </w:tc>
      </w:tr>
      <w:tr w:rsidR="005F2D56" w:rsidRPr="008C791C" w14:paraId="639356A7" w14:textId="77777777" w:rsidTr="00447DD3">
        <w:trPr>
          <w:trHeight w:val="489"/>
        </w:trPr>
        <w:tc>
          <w:tcPr>
            <w:tcW w:w="1692" w:type="pct"/>
          </w:tcPr>
          <w:p w14:paraId="4C7D8B23"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4</w:t>
            </w:r>
            <w:r w:rsidRPr="008C791C">
              <w:rPr>
                <w:sz w:val="24"/>
                <w:szCs w:val="24"/>
              </w:rPr>
              <w:t>-Biochar@4tha</w:t>
            </w:r>
            <w:r w:rsidRPr="008C791C">
              <w:rPr>
                <w:sz w:val="24"/>
                <w:szCs w:val="24"/>
                <w:vertAlign w:val="superscript"/>
              </w:rPr>
              <w:t>-</w:t>
            </w:r>
            <w:r w:rsidRPr="008C791C">
              <w:rPr>
                <w:spacing w:val="-10"/>
                <w:sz w:val="24"/>
                <w:szCs w:val="24"/>
                <w:vertAlign w:val="superscript"/>
              </w:rPr>
              <w:t>1</w:t>
            </w:r>
          </w:p>
        </w:tc>
        <w:tc>
          <w:tcPr>
            <w:tcW w:w="371" w:type="pct"/>
            <w:vAlign w:val="center"/>
          </w:tcPr>
          <w:p w14:paraId="074F960F" w14:textId="77777777" w:rsidR="00447DD3" w:rsidRPr="008C791C" w:rsidRDefault="00447DD3" w:rsidP="00447DD3">
            <w:pPr>
              <w:pStyle w:val="TableParagraph"/>
              <w:spacing w:before="78"/>
              <w:ind w:left="10" w:right="5"/>
              <w:rPr>
                <w:sz w:val="24"/>
                <w:szCs w:val="24"/>
              </w:rPr>
            </w:pPr>
            <w:r w:rsidRPr="008C791C">
              <w:rPr>
                <w:spacing w:val="-4"/>
                <w:sz w:val="24"/>
                <w:szCs w:val="24"/>
              </w:rPr>
              <w:t>2.90</w:t>
            </w:r>
          </w:p>
        </w:tc>
        <w:tc>
          <w:tcPr>
            <w:tcW w:w="393" w:type="pct"/>
            <w:vAlign w:val="center"/>
          </w:tcPr>
          <w:p w14:paraId="133C76D9" w14:textId="77777777" w:rsidR="00447DD3" w:rsidRPr="008C791C" w:rsidRDefault="00447DD3" w:rsidP="00447DD3">
            <w:pPr>
              <w:pStyle w:val="TableParagraph"/>
              <w:spacing w:before="78"/>
              <w:ind w:left="24" w:right="14"/>
              <w:rPr>
                <w:sz w:val="24"/>
                <w:szCs w:val="24"/>
              </w:rPr>
            </w:pPr>
            <w:r w:rsidRPr="008C791C">
              <w:rPr>
                <w:spacing w:val="-4"/>
                <w:sz w:val="24"/>
                <w:szCs w:val="24"/>
              </w:rPr>
              <w:t>0.94</w:t>
            </w:r>
          </w:p>
        </w:tc>
        <w:tc>
          <w:tcPr>
            <w:tcW w:w="340" w:type="pct"/>
            <w:vAlign w:val="center"/>
          </w:tcPr>
          <w:p w14:paraId="11A81B8E" w14:textId="77777777" w:rsidR="00447DD3" w:rsidRPr="008C791C" w:rsidRDefault="00447DD3" w:rsidP="00447DD3">
            <w:pPr>
              <w:pStyle w:val="TableParagraph"/>
              <w:spacing w:before="78"/>
              <w:ind w:left="25" w:right="18"/>
              <w:rPr>
                <w:sz w:val="24"/>
                <w:szCs w:val="24"/>
              </w:rPr>
            </w:pPr>
            <w:r w:rsidRPr="008C791C">
              <w:rPr>
                <w:spacing w:val="-4"/>
                <w:sz w:val="24"/>
                <w:szCs w:val="24"/>
              </w:rPr>
              <w:t>3.84</w:t>
            </w:r>
          </w:p>
        </w:tc>
        <w:tc>
          <w:tcPr>
            <w:tcW w:w="369" w:type="pct"/>
            <w:vAlign w:val="center"/>
          </w:tcPr>
          <w:p w14:paraId="7935DD51" w14:textId="77777777" w:rsidR="00447DD3" w:rsidRPr="008C791C" w:rsidRDefault="00447DD3" w:rsidP="00447DD3">
            <w:pPr>
              <w:pStyle w:val="TableParagraph"/>
              <w:spacing w:before="78"/>
              <w:ind w:left="13"/>
              <w:rPr>
                <w:sz w:val="24"/>
                <w:szCs w:val="24"/>
              </w:rPr>
            </w:pPr>
            <w:r w:rsidRPr="008C791C">
              <w:rPr>
                <w:spacing w:val="-4"/>
                <w:sz w:val="24"/>
                <w:szCs w:val="24"/>
              </w:rPr>
              <w:t>0.32</w:t>
            </w:r>
          </w:p>
        </w:tc>
        <w:tc>
          <w:tcPr>
            <w:tcW w:w="393" w:type="pct"/>
            <w:vAlign w:val="center"/>
          </w:tcPr>
          <w:p w14:paraId="22785840" w14:textId="77777777" w:rsidR="00447DD3" w:rsidRPr="008C791C" w:rsidRDefault="00447DD3" w:rsidP="00447DD3">
            <w:pPr>
              <w:pStyle w:val="TableParagraph"/>
              <w:spacing w:before="78"/>
              <w:ind w:left="24"/>
              <w:rPr>
                <w:sz w:val="24"/>
                <w:szCs w:val="24"/>
              </w:rPr>
            </w:pPr>
            <w:r w:rsidRPr="008C791C">
              <w:rPr>
                <w:spacing w:val="-4"/>
                <w:sz w:val="24"/>
                <w:szCs w:val="24"/>
              </w:rPr>
              <w:t>0.21</w:t>
            </w:r>
          </w:p>
        </w:tc>
        <w:tc>
          <w:tcPr>
            <w:tcW w:w="340" w:type="pct"/>
            <w:vAlign w:val="center"/>
          </w:tcPr>
          <w:p w14:paraId="7DDE5169" w14:textId="77777777" w:rsidR="00447DD3" w:rsidRPr="008C791C" w:rsidRDefault="00447DD3" w:rsidP="00447DD3">
            <w:pPr>
              <w:pStyle w:val="TableParagraph"/>
              <w:spacing w:before="97"/>
              <w:ind w:left="25" w:right="5"/>
              <w:rPr>
                <w:sz w:val="24"/>
                <w:szCs w:val="24"/>
              </w:rPr>
            </w:pPr>
            <w:r w:rsidRPr="008C791C">
              <w:rPr>
                <w:spacing w:val="-4"/>
                <w:sz w:val="24"/>
                <w:szCs w:val="24"/>
              </w:rPr>
              <w:t>0.53</w:t>
            </w:r>
          </w:p>
        </w:tc>
        <w:tc>
          <w:tcPr>
            <w:tcW w:w="371" w:type="pct"/>
            <w:vAlign w:val="center"/>
          </w:tcPr>
          <w:p w14:paraId="54E611E5" w14:textId="77777777" w:rsidR="00447DD3" w:rsidRPr="008C791C" w:rsidRDefault="00447DD3" w:rsidP="00447DD3">
            <w:pPr>
              <w:pStyle w:val="TableParagraph"/>
              <w:spacing w:before="78"/>
              <w:ind w:left="17" w:right="4"/>
              <w:rPr>
                <w:sz w:val="24"/>
                <w:szCs w:val="24"/>
              </w:rPr>
            </w:pPr>
            <w:r w:rsidRPr="008C791C">
              <w:rPr>
                <w:spacing w:val="-4"/>
                <w:sz w:val="24"/>
                <w:szCs w:val="24"/>
              </w:rPr>
              <w:t>1.08</w:t>
            </w:r>
          </w:p>
        </w:tc>
        <w:tc>
          <w:tcPr>
            <w:tcW w:w="392" w:type="pct"/>
            <w:vAlign w:val="center"/>
          </w:tcPr>
          <w:p w14:paraId="194955A3" w14:textId="77777777" w:rsidR="00447DD3" w:rsidRPr="008C791C" w:rsidRDefault="00447DD3" w:rsidP="00447DD3">
            <w:pPr>
              <w:pStyle w:val="TableParagraph"/>
              <w:spacing w:before="78"/>
              <w:ind w:left="20"/>
              <w:rPr>
                <w:sz w:val="24"/>
                <w:szCs w:val="24"/>
              </w:rPr>
            </w:pPr>
            <w:r w:rsidRPr="008C791C">
              <w:rPr>
                <w:spacing w:val="-4"/>
                <w:sz w:val="24"/>
                <w:szCs w:val="24"/>
              </w:rPr>
              <w:t>1.36</w:t>
            </w:r>
          </w:p>
        </w:tc>
        <w:tc>
          <w:tcPr>
            <w:tcW w:w="338" w:type="pct"/>
            <w:vAlign w:val="center"/>
          </w:tcPr>
          <w:p w14:paraId="2D6700B8" w14:textId="77777777" w:rsidR="00447DD3" w:rsidRPr="008C791C" w:rsidRDefault="00447DD3" w:rsidP="00447DD3">
            <w:pPr>
              <w:pStyle w:val="TableParagraph"/>
              <w:spacing w:before="97"/>
              <w:ind w:left="29" w:right="5"/>
              <w:rPr>
                <w:sz w:val="24"/>
                <w:szCs w:val="24"/>
              </w:rPr>
            </w:pPr>
            <w:r w:rsidRPr="008C791C">
              <w:rPr>
                <w:spacing w:val="-4"/>
                <w:sz w:val="24"/>
                <w:szCs w:val="24"/>
              </w:rPr>
              <w:t>2.44</w:t>
            </w:r>
          </w:p>
        </w:tc>
      </w:tr>
      <w:tr w:rsidR="005F2D56" w:rsidRPr="008C791C" w14:paraId="0D648CCD" w14:textId="77777777" w:rsidTr="00447DD3">
        <w:trPr>
          <w:trHeight w:val="484"/>
        </w:trPr>
        <w:tc>
          <w:tcPr>
            <w:tcW w:w="1692" w:type="pct"/>
          </w:tcPr>
          <w:p w14:paraId="26702D45"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5</w:t>
            </w:r>
            <w:r w:rsidRPr="008C791C">
              <w:rPr>
                <w:position w:val="1"/>
                <w:sz w:val="24"/>
                <w:szCs w:val="24"/>
              </w:rPr>
              <w:t>-50%RDF+Biochar@2t</w:t>
            </w:r>
            <w:r w:rsidRPr="008C791C">
              <w:rPr>
                <w:sz w:val="24"/>
                <w:szCs w:val="24"/>
              </w:rPr>
              <w:t>ha</w:t>
            </w:r>
            <w:r w:rsidRPr="008C791C">
              <w:rPr>
                <w:sz w:val="24"/>
                <w:szCs w:val="24"/>
                <w:vertAlign w:val="superscript"/>
              </w:rPr>
              <w:t>-</w:t>
            </w:r>
            <w:r w:rsidRPr="008C791C">
              <w:rPr>
                <w:spacing w:val="-10"/>
                <w:sz w:val="24"/>
                <w:szCs w:val="24"/>
                <w:vertAlign w:val="superscript"/>
              </w:rPr>
              <w:t>1</w:t>
            </w:r>
          </w:p>
        </w:tc>
        <w:tc>
          <w:tcPr>
            <w:tcW w:w="371" w:type="pct"/>
            <w:vAlign w:val="center"/>
          </w:tcPr>
          <w:p w14:paraId="3885796C" w14:textId="77777777" w:rsidR="00447DD3" w:rsidRPr="008C791C" w:rsidRDefault="00447DD3" w:rsidP="00447DD3">
            <w:pPr>
              <w:pStyle w:val="TableParagraph"/>
              <w:spacing w:before="78"/>
              <w:ind w:left="10" w:right="5"/>
              <w:rPr>
                <w:sz w:val="24"/>
                <w:szCs w:val="24"/>
              </w:rPr>
            </w:pPr>
            <w:r w:rsidRPr="008C791C">
              <w:rPr>
                <w:spacing w:val="-4"/>
                <w:sz w:val="24"/>
                <w:szCs w:val="24"/>
              </w:rPr>
              <w:t>3.19</w:t>
            </w:r>
          </w:p>
        </w:tc>
        <w:tc>
          <w:tcPr>
            <w:tcW w:w="393" w:type="pct"/>
            <w:vAlign w:val="center"/>
          </w:tcPr>
          <w:p w14:paraId="738FF767" w14:textId="77777777" w:rsidR="00447DD3" w:rsidRPr="008C791C" w:rsidRDefault="00447DD3" w:rsidP="00447DD3">
            <w:pPr>
              <w:pStyle w:val="TableParagraph"/>
              <w:spacing w:before="78"/>
              <w:ind w:left="24" w:right="14"/>
              <w:rPr>
                <w:sz w:val="24"/>
                <w:szCs w:val="24"/>
              </w:rPr>
            </w:pPr>
            <w:r w:rsidRPr="008C791C">
              <w:rPr>
                <w:spacing w:val="-4"/>
                <w:sz w:val="24"/>
                <w:szCs w:val="24"/>
              </w:rPr>
              <w:t>1.05</w:t>
            </w:r>
          </w:p>
        </w:tc>
        <w:tc>
          <w:tcPr>
            <w:tcW w:w="340" w:type="pct"/>
            <w:vAlign w:val="center"/>
          </w:tcPr>
          <w:p w14:paraId="75131C15" w14:textId="77777777" w:rsidR="00447DD3" w:rsidRPr="008C791C" w:rsidRDefault="00447DD3" w:rsidP="00447DD3">
            <w:pPr>
              <w:pStyle w:val="TableParagraph"/>
              <w:spacing w:before="78"/>
              <w:ind w:left="25" w:right="18"/>
              <w:rPr>
                <w:sz w:val="24"/>
                <w:szCs w:val="24"/>
              </w:rPr>
            </w:pPr>
            <w:r w:rsidRPr="008C791C">
              <w:rPr>
                <w:spacing w:val="-4"/>
                <w:sz w:val="24"/>
                <w:szCs w:val="24"/>
              </w:rPr>
              <w:t>4.24</w:t>
            </w:r>
          </w:p>
        </w:tc>
        <w:tc>
          <w:tcPr>
            <w:tcW w:w="369" w:type="pct"/>
            <w:vAlign w:val="center"/>
          </w:tcPr>
          <w:p w14:paraId="79294098" w14:textId="77777777" w:rsidR="00447DD3" w:rsidRPr="008C791C" w:rsidRDefault="00447DD3" w:rsidP="00447DD3">
            <w:pPr>
              <w:pStyle w:val="TableParagraph"/>
              <w:spacing w:before="78"/>
              <w:ind w:left="13"/>
              <w:rPr>
                <w:sz w:val="24"/>
                <w:szCs w:val="24"/>
              </w:rPr>
            </w:pPr>
            <w:r w:rsidRPr="008C791C">
              <w:rPr>
                <w:spacing w:val="-4"/>
                <w:sz w:val="24"/>
                <w:szCs w:val="24"/>
              </w:rPr>
              <w:t>0.40</w:t>
            </w:r>
          </w:p>
        </w:tc>
        <w:tc>
          <w:tcPr>
            <w:tcW w:w="393" w:type="pct"/>
            <w:vAlign w:val="center"/>
          </w:tcPr>
          <w:p w14:paraId="3EA007DF" w14:textId="77777777" w:rsidR="00447DD3" w:rsidRPr="008C791C" w:rsidRDefault="00447DD3" w:rsidP="00447DD3">
            <w:pPr>
              <w:pStyle w:val="TableParagraph"/>
              <w:spacing w:before="78"/>
              <w:ind w:left="24"/>
              <w:rPr>
                <w:sz w:val="24"/>
                <w:szCs w:val="24"/>
              </w:rPr>
            </w:pPr>
            <w:r w:rsidRPr="008C791C">
              <w:rPr>
                <w:spacing w:val="-4"/>
                <w:sz w:val="24"/>
                <w:szCs w:val="24"/>
              </w:rPr>
              <w:t>0.24</w:t>
            </w:r>
          </w:p>
        </w:tc>
        <w:tc>
          <w:tcPr>
            <w:tcW w:w="340" w:type="pct"/>
            <w:vAlign w:val="center"/>
          </w:tcPr>
          <w:p w14:paraId="1C5ACB35" w14:textId="77777777" w:rsidR="00447DD3" w:rsidRPr="008C791C" w:rsidRDefault="00447DD3" w:rsidP="00447DD3">
            <w:pPr>
              <w:pStyle w:val="TableParagraph"/>
              <w:spacing w:before="97"/>
              <w:ind w:left="25" w:right="5"/>
              <w:rPr>
                <w:sz w:val="24"/>
                <w:szCs w:val="24"/>
              </w:rPr>
            </w:pPr>
            <w:r w:rsidRPr="008C791C">
              <w:rPr>
                <w:spacing w:val="-4"/>
                <w:sz w:val="24"/>
                <w:szCs w:val="24"/>
              </w:rPr>
              <w:t>0.64</w:t>
            </w:r>
          </w:p>
        </w:tc>
        <w:tc>
          <w:tcPr>
            <w:tcW w:w="371" w:type="pct"/>
            <w:vAlign w:val="center"/>
          </w:tcPr>
          <w:p w14:paraId="623277E2" w14:textId="77777777" w:rsidR="00447DD3" w:rsidRPr="008C791C" w:rsidRDefault="00447DD3" w:rsidP="00447DD3">
            <w:pPr>
              <w:pStyle w:val="TableParagraph"/>
              <w:spacing w:before="78"/>
              <w:ind w:left="17" w:right="4"/>
              <w:rPr>
                <w:sz w:val="24"/>
                <w:szCs w:val="24"/>
              </w:rPr>
            </w:pPr>
            <w:r w:rsidRPr="008C791C">
              <w:rPr>
                <w:spacing w:val="-4"/>
                <w:sz w:val="24"/>
                <w:szCs w:val="24"/>
              </w:rPr>
              <w:t>1.19</w:t>
            </w:r>
          </w:p>
        </w:tc>
        <w:tc>
          <w:tcPr>
            <w:tcW w:w="392" w:type="pct"/>
            <w:vAlign w:val="center"/>
          </w:tcPr>
          <w:p w14:paraId="452E0BD1" w14:textId="77777777" w:rsidR="00447DD3" w:rsidRPr="008C791C" w:rsidRDefault="00447DD3" w:rsidP="00447DD3">
            <w:pPr>
              <w:pStyle w:val="TableParagraph"/>
              <w:spacing w:before="78"/>
              <w:ind w:left="20"/>
              <w:rPr>
                <w:sz w:val="24"/>
                <w:szCs w:val="24"/>
              </w:rPr>
            </w:pPr>
            <w:r w:rsidRPr="008C791C">
              <w:rPr>
                <w:spacing w:val="-4"/>
                <w:sz w:val="24"/>
                <w:szCs w:val="24"/>
              </w:rPr>
              <w:t>1.50</w:t>
            </w:r>
          </w:p>
        </w:tc>
        <w:tc>
          <w:tcPr>
            <w:tcW w:w="338" w:type="pct"/>
            <w:vAlign w:val="center"/>
          </w:tcPr>
          <w:p w14:paraId="12882E4A" w14:textId="77777777" w:rsidR="00447DD3" w:rsidRPr="008C791C" w:rsidRDefault="00447DD3" w:rsidP="00447DD3">
            <w:pPr>
              <w:pStyle w:val="TableParagraph"/>
              <w:spacing w:before="97"/>
              <w:ind w:left="29" w:right="5"/>
              <w:rPr>
                <w:sz w:val="24"/>
                <w:szCs w:val="24"/>
              </w:rPr>
            </w:pPr>
            <w:r w:rsidRPr="008C791C">
              <w:rPr>
                <w:spacing w:val="-4"/>
                <w:sz w:val="24"/>
                <w:szCs w:val="24"/>
              </w:rPr>
              <w:t>2.69</w:t>
            </w:r>
          </w:p>
        </w:tc>
      </w:tr>
      <w:tr w:rsidR="005F2D56" w:rsidRPr="008C791C" w14:paraId="42BF4FB8" w14:textId="77777777" w:rsidTr="00447DD3">
        <w:trPr>
          <w:trHeight w:val="489"/>
        </w:trPr>
        <w:tc>
          <w:tcPr>
            <w:tcW w:w="1692" w:type="pct"/>
          </w:tcPr>
          <w:p w14:paraId="657A45A0"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6</w:t>
            </w:r>
            <w:r w:rsidRPr="008C791C">
              <w:rPr>
                <w:position w:val="1"/>
                <w:sz w:val="24"/>
                <w:szCs w:val="24"/>
              </w:rPr>
              <w:t>-50%RDF+Biochar@4t</w:t>
            </w:r>
            <w:r w:rsidRPr="008C791C">
              <w:rPr>
                <w:sz w:val="24"/>
                <w:szCs w:val="24"/>
              </w:rPr>
              <w:t>ha</w:t>
            </w:r>
            <w:r w:rsidRPr="008C791C">
              <w:rPr>
                <w:sz w:val="24"/>
                <w:szCs w:val="24"/>
                <w:vertAlign w:val="superscript"/>
              </w:rPr>
              <w:t>-</w:t>
            </w:r>
            <w:r w:rsidRPr="008C791C">
              <w:rPr>
                <w:spacing w:val="-10"/>
                <w:sz w:val="24"/>
                <w:szCs w:val="24"/>
                <w:vertAlign w:val="superscript"/>
              </w:rPr>
              <w:t>1</w:t>
            </w:r>
          </w:p>
        </w:tc>
        <w:tc>
          <w:tcPr>
            <w:tcW w:w="371" w:type="pct"/>
            <w:vAlign w:val="center"/>
          </w:tcPr>
          <w:p w14:paraId="1ECDEAF6" w14:textId="77777777" w:rsidR="00447DD3" w:rsidRPr="008C791C" w:rsidRDefault="00447DD3" w:rsidP="00447DD3">
            <w:pPr>
              <w:pStyle w:val="TableParagraph"/>
              <w:spacing w:before="78"/>
              <w:ind w:left="10" w:right="5"/>
              <w:rPr>
                <w:sz w:val="24"/>
                <w:szCs w:val="24"/>
              </w:rPr>
            </w:pPr>
            <w:r w:rsidRPr="008C791C">
              <w:rPr>
                <w:spacing w:val="-4"/>
                <w:sz w:val="24"/>
                <w:szCs w:val="24"/>
              </w:rPr>
              <w:t>3.40</w:t>
            </w:r>
          </w:p>
        </w:tc>
        <w:tc>
          <w:tcPr>
            <w:tcW w:w="393" w:type="pct"/>
            <w:vAlign w:val="center"/>
          </w:tcPr>
          <w:p w14:paraId="5CBB9F0E" w14:textId="77777777" w:rsidR="00447DD3" w:rsidRPr="008C791C" w:rsidRDefault="00447DD3" w:rsidP="00447DD3">
            <w:pPr>
              <w:pStyle w:val="TableParagraph"/>
              <w:spacing w:before="78"/>
              <w:ind w:left="24" w:right="14"/>
              <w:rPr>
                <w:sz w:val="24"/>
                <w:szCs w:val="24"/>
              </w:rPr>
            </w:pPr>
            <w:r w:rsidRPr="008C791C">
              <w:rPr>
                <w:spacing w:val="-4"/>
                <w:sz w:val="24"/>
                <w:szCs w:val="24"/>
              </w:rPr>
              <w:t>1.19</w:t>
            </w:r>
          </w:p>
        </w:tc>
        <w:tc>
          <w:tcPr>
            <w:tcW w:w="340" w:type="pct"/>
            <w:vAlign w:val="center"/>
          </w:tcPr>
          <w:p w14:paraId="24D1C510" w14:textId="77777777" w:rsidR="00447DD3" w:rsidRPr="008C791C" w:rsidRDefault="00447DD3" w:rsidP="00447DD3">
            <w:pPr>
              <w:pStyle w:val="TableParagraph"/>
              <w:spacing w:before="78"/>
              <w:ind w:left="25" w:right="18"/>
              <w:rPr>
                <w:sz w:val="24"/>
                <w:szCs w:val="24"/>
              </w:rPr>
            </w:pPr>
            <w:r w:rsidRPr="008C791C">
              <w:rPr>
                <w:spacing w:val="-4"/>
                <w:sz w:val="24"/>
                <w:szCs w:val="24"/>
              </w:rPr>
              <w:t>4.59</w:t>
            </w:r>
          </w:p>
        </w:tc>
        <w:tc>
          <w:tcPr>
            <w:tcW w:w="369" w:type="pct"/>
            <w:vAlign w:val="center"/>
          </w:tcPr>
          <w:p w14:paraId="1E81BCA6" w14:textId="77777777" w:rsidR="00447DD3" w:rsidRPr="008C791C" w:rsidRDefault="00447DD3" w:rsidP="00447DD3">
            <w:pPr>
              <w:pStyle w:val="TableParagraph"/>
              <w:spacing w:before="78"/>
              <w:ind w:left="13"/>
              <w:rPr>
                <w:sz w:val="24"/>
                <w:szCs w:val="24"/>
              </w:rPr>
            </w:pPr>
            <w:r w:rsidRPr="008C791C">
              <w:rPr>
                <w:spacing w:val="-4"/>
                <w:sz w:val="24"/>
                <w:szCs w:val="24"/>
              </w:rPr>
              <w:t>0.49</w:t>
            </w:r>
          </w:p>
        </w:tc>
        <w:tc>
          <w:tcPr>
            <w:tcW w:w="393" w:type="pct"/>
            <w:vAlign w:val="center"/>
          </w:tcPr>
          <w:p w14:paraId="722EEADE" w14:textId="77777777" w:rsidR="00447DD3" w:rsidRPr="008C791C" w:rsidRDefault="00447DD3" w:rsidP="00447DD3">
            <w:pPr>
              <w:pStyle w:val="TableParagraph"/>
              <w:spacing w:before="78"/>
              <w:ind w:left="24"/>
              <w:rPr>
                <w:sz w:val="24"/>
                <w:szCs w:val="24"/>
              </w:rPr>
            </w:pPr>
            <w:r w:rsidRPr="008C791C">
              <w:rPr>
                <w:spacing w:val="-4"/>
                <w:sz w:val="24"/>
                <w:szCs w:val="24"/>
              </w:rPr>
              <w:t>0.28</w:t>
            </w:r>
          </w:p>
        </w:tc>
        <w:tc>
          <w:tcPr>
            <w:tcW w:w="340" w:type="pct"/>
            <w:vAlign w:val="center"/>
          </w:tcPr>
          <w:p w14:paraId="0CF53A31" w14:textId="77777777" w:rsidR="00447DD3" w:rsidRPr="008C791C" w:rsidRDefault="00447DD3" w:rsidP="00447DD3">
            <w:pPr>
              <w:pStyle w:val="TableParagraph"/>
              <w:spacing w:before="97"/>
              <w:ind w:left="25" w:right="5"/>
              <w:rPr>
                <w:sz w:val="24"/>
                <w:szCs w:val="24"/>
              </w:rPr>
            </w:pPr>
            <w:r w:rsidRPr="008C791C">
              <w:rPr>
                <w:spacing w:val="-4"/>
                <w:sz w:val="24"/>
                <w:szCs w:val="24"/>
              </w:rPr>
              <w:t>0.77</w:t>
            </w:r>
          </w:p>
        </w:tc>
        <w:tc>
          <w:tcPr>
            <w:tcW w:w="371" w:type="pct"/>
            <w:vAlign w:val="center"/>
          </w:tcPr>
          <w:p w14:paraId="36C620E0" w14:textId="77777777" w:rsidR="00447DD3" w:rsidRPr="008C791C" w:rsidRDefault="00447DD3" w:rsidP="00447DD3">
            <w:pPr>
              <w:pStyle w:val="TableParagraph"/>
              <w:spacing w:before="78"/>
              <w:ind w:left="17" w:right="4"/>
              <w:rPr>
                <w:sz w:val="24"/>
                <w:szCs w:val="24"/>
              </w:rPr>
            </w:pPr>
            <w:r w:rsidRPr="008C791C">
              <w:rPr>
                <w:spacing w:val="-4"/>
                <w:sz w:val="24"/>
                <w:szCs w:val="24"/>
              </w:rPr>
              <w:t>1.27</w:t>
            </w:r>
          </w:p>
        </w:tc>
        <w:tc>
          <w:tcPr>
            <w:tcW w:w="392" w:type="pct"/>
            <w:vAlign w:val="center"/>
          </w:tcPr>
          <w:p w14:paraId="69E7F841" w14:textId="77777777" w:rsidR="00447DD3" w:rsidRPr="008C791C" w:rsidRDefault="00447DD3" w:rsidP="00447DD3">
            <w:pPr>
              <w:pStyle w:val="TableParagraph"/>
              <w:spacing w:before="78"/>
              <w:ind w:left="20"/>
              <w:rPr>
                <w:sz w:val="24"/>
                <w:szCs w:val="24"/>
              </w:rPr>
            </w:pPr>
            <w:r w:rsidRPr="008C791C">
              <w:rPr>
                <w:spacing w:val="-4"/>
                <w:sz w:val="24"/>
                <w:szCs w:val="24"/>
              </w:rPr>
              <w:t>1.61</w:t>
            </w:r>
          </w:p>
        </w:tc>
        <w:tc>
          <w:tcPr>
            <w:tcW w:w="338" w:type="pct"/>
            <w:vAlign w:val="center"/>
          </w:tcPr>
          <w:p w14:paraId="032BCF60" w14:textId="77777777" w:rsidR="00447DD3" w:rsidRPr="008C791C" w:rsidRDefault="00447DD3" w:rsidP="00447DD3">
            <w:pPr>
              <w:pStyle w:val="TableParagraph"/>
              <w:spacing w:before="97"/>
              <w:ind w:left="29" w:right="5"/>
              <w:rPr>
                <w:sz w:val="24"/>
                <w:szCs w:val="24"/>
              </w:rPr>
            </w:pPr>
            <w:r w:rsidRPr="008C791C">
              <w:rPr>
                <w:spacing w:val="-4"/>
                <w:sz w:val="24"/>
                <w:szCs w:val="24"/>
              </w:rPr>
              <w:t>2.88</w:t>
            </w:r>
          </w:p>
        </w:tc>
      </w:tr>
      <w:tr w:rsidR="005F2D56" w:rsidRPr="008C791C" w14:paraId="15B7F15B" w14:textId="77777777" w:rsidTr="00447DD3">
        <w:trPr>
          <w:trHeight w:val="484"/>
        </w:trPr>
        <w:tc>
          <w:tcPr>
            <w:tcW w:w="1692" w:type="pct"/>
          </w:tcPr>
          <w:p w14:paraId="40622861"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7</w:t>
            </w:r>
            <w:r w:rsidRPr="008C791C">
              <w:rPr>
                <w:sz w:val="24"/>
                <w:szCs w:val="24"/>
              </w:rPr>
              <w:t>-</w:t>
            </w:r>
            <w:r w:rsidRPr="008C791C">
              <w:rPr>
                <w:position w:val="1"/>
                <w:sz w:val="24"/>
                <w:szCs w:val="24"/>
              </w:rPr>
              <w:t>100%RDF+Biochar@2t</w:t>
            </w:r>
            <w:r w:rsidRPr="008C791C">
              <w:rPr>
                <w:sz w:val="24"/>
                <w:szCs w:val="24"/>
              </w:rPr>
              <w:t>ha</w:t>
            </w:r>
            <w:r w:rsidRPr="008C791C">
              <w:rPr>
                <w:sz w:val="24"/>
                <w:szCs w:val="24"/>
                <w:vertAlign w:val="superscript"/>
              </w:rPr>
              <w:t>-</w:t>
            </w:r>
            <w:r w:rsidRPr="008C791C">
              <w:rPr>
                <w:spacing w:val="-10"/>
                <w:sz w:val="24"/>
                <w:szCs w:val="24"/>
                <w:vertAlign w:val="superscript"/>
              </w:rPr>
              <w:t>1</w:t>
            </w:r>
          </w:p>
        </w:tc>
        <w:tc>
          <w:tcPr>
            <w:tcW w:w="371" w:type="pct"/>
            <w:vAlign w:val="center"/>
          </w:tcPr>
          <w:p w14:paraId="10B3D640" w14:textId="77777777" w:rsidR="00447DD3" w:rsidRPr="008C791C" w:rsidRDefault="00447DD3" w:rsidP="00447DD3">
            <w:pPr>
              <w:pStyle w:val="TableParagraph"/>
              <w:spacing w:before="78"/>
              <w:ind w:left="10" w:right="5"/>
              <w:rPr>
                <w:sz w:val="24"/>
                <w:szCs w:val="24"/>
              </w:rPr>
            </w:pPr>
            <w:r w:rsidRPr="008C791C">
              <w:rPr>
                <w:spacing w:val="-4"/>
                <w:sz w:val="24"/>
                <w:szCs w:val="24"/>
              </w:rPr>
              <w:t>3.45</w:t>
            </w:r>
          </w:p>
        </w:tc>
        <w:tc>
          <w:tcPr>
            <w:tcW w:w="393" w:type="pct"/>
            <w:vAlign w:val="center"/>
          </w:tcPr>
          <w:p w14:paraId="5E2F13E3" w14:textId="77777777" w:rsidR="00447DD3" w:rsidRPr="008C791C" w:rsidRDefault="00447DD3" w:rsidP="00447DD3">
            <w:pPr>
              <w:pStyle w:val="TableParagraph"/>
              <w:spacing w:before="78"/>
              <w:ind w:left="24" w:right="14"/>
              <w:rPr>
                <w:sz w:val="24"/>
                <w:szCs w:val="24"/>
              </w:rPr>
            </w:pPr>
            <w:r w:rsidRPr="008C791C">
              <w:rPr>
                <w:spacing w:val="-4"/>
                <w:sz w:val="24"/>
                <w:szCs w:val="24"/>
              </w:rPr>
              <w:t>1.20</w:t>
            </w:r>
          </w:p>
        </w:tc>
        <w:tc>
          <w:tcPr>
            <w:tcW w:w="340" w:type="pct"/>
            <w:vAlign w:val="center"/>
          </w:tcPr>
          <w:p w14:paraId="4F1AE5F9" w14:textId="77777777" w:rsidR="00447DD3" w:rsidRPr="008C791C" w:rsidRDefault="00447DD3" w:rsidP="00447DD3">
            <w:pPr>
              <w:pStyle w:val="TableParagraph"/>
              <w:spacing w:before="78"/>
              <w:ind w:left="25" w:right="18"/>
              <w:rPr>
                <w:sz w:val="24"/>
                <w:szCs w:val="24"/>
              </w:rPr>
            </w:pPr>
            <w:r w:rsidRPr="008C791C">
              <w:rPr>
                <w:spacing w:val="-4"/>
                <w:sz w:val="24"/>
                <w:szCs w:val="24"/>
              </w:rPr>
              <w:t>4.65</w:t>
            </w:r>
          </w:p>
        </w:tc>
        <w:tc>
          <w:tcPr>
            <w:tcW w:w="369" w:type="pct"/>
            <w:vAlign w:val="center"/>
          </w:tcPr>
          <w:p w14:paraId="55F55A9F" w14:textId="77777777" w:rsidR="00447DD3" w:rsidRPr="008C791C" w:rsidRDefault="00447DD3" w:rsidP="00447DD3">
            <w:pPr>
              <w:pStyle w:val="TableParagraph"/>
              <w:spacing w:before="78"/>
              <w:ind w:left="13"/>
              <w:rPr>
                <w:sz w:val="24"/>
                <w:szCs w:val="24"/>
              </w:rPr>
            </w:pPr>
            <w:r w:rsidRPr="008C791C">
              <w:rPr>
                <w:spacing w:val="-4"/>
                <w:sz w:val="24"/>
                <w:szCs w:val="24"/>
              </w:rPr>
              <w:t>0.50</w:t>
            </w:r>
          </w:p>
        </w:tc>
        <w:tc>
          <w:tcPr>
            <w:tcW w:w="393" w:type="pct"/>
            <w:vAlign w:val="center"/>
          </w:tcPr>
          <w:p w14:paraId="40A26572" w14:textId="77777777" w:rsidR="00447DD3" w:rsidRPr="008C791C" w:rsidRDefault="00447DD3" w:rsidP="00447DD3">
            <w:pPr>
              <w:pStyle w:val="TableParagraph"/>
              <w:spacing w:before="78"/>
              <w:ind w:left="24"/>
              <w:rPr>
                <w:sz w:val="24"/>
                <w:szCs w:val="24"/>
              </w:rPr>
            </w:pPr>
            <w:r w:rsidRPr="008C791C">
              <w:rPr>
                <w:spacing w:val="-4"/>
                <w:sz w:val="24"/>
                <w:szCs w:val="24"/>
              </w:rPr>
              <w:t>0.29</w:t>
            </w:r>
          </w:p>
        </w:tc>
        <w:tc>
          <w:tcPr>
            <w:tcW w:w="340" w:type="pct"/>
            <w:vAlign w:val="center"/>
          </w:tcPr>
          <w:p w14:paraId="311A9E88" w14:textId="77777777" w:rsidR="00447DD3" w:rsidRPr="008C791C" w:rsidRDefault="00447DD3" w:rsidP="00447DD3">
            <w:pPr>
              <w:pStyle w:val="TableParagraph"/>
              <w:spacing w:before="97"/>
              <w:ind w:left="25" w:right="5"/>
              <w:rPr>
                <w:sz w:val="24"/>
                <w:szCs w:val="24"/>
              </w:rPr>
            </w:pPr>
            <w:r w:rsidRPr="008C791C">
              <w:rPr>
                <w:spacing w:val="-4"/>
                <w:sz w:val="24"/>
                <w:szCs w:val="24"/>
              </w:rPr>
              <w:t>0.79</w:t>
            </w:r>
          </w:p>
        </w:tc>
        <w:tc>
          <w:tcPr>
            <w:tcW w:w="371" w:type="pct"/>
            <w:vAlign w:val="center"/>
          </w:tcPr>
          <w:p w14:paraId="65409242" w14:textId="77777777" w:rsidR="00447DD3" w:rsidRPr="008C791C" w:rsidRDefault="00447DD3" w:rsidP="00447DD3">
            <w:pPr>
              <w:pStyle w:val="TableParagraph"/>
              <w:spacing w:before="78"/>
              <w:ind w:left="17" w:right="4"/>
              <w:rPr>
                <w:sz w:val="24"/>
                <w:szCs w:val="24"/>
              </w:rPr>
            </w:pPr>
            <w:r w:rsidRPr="008C791C">
              <w:rPr>
                <w:spacing w:val="-4"/>
                <w:sz w:val="24"/>
                <w:szCs w:val="24"/>
              </w:rPr>
              <w:t>1.28</w:t>
            </w:r>
          </w:p>
        </w:tc>
        <w:tc>
          <w:tcPr>
            <w:tcW w:w="392" w:type="pct"/>
            <w:vAlign w:val="center"/>
          </w:tcPr>
          <w:p w14:paraId="7937D96C" w14:textId="77777777" w:rsidR="00447DD3" w:rsidRPr="008C791C" w:rsidRDefault="00447DD3" w:rsidP="00447DD3">
            <w:pPr>
              <w:pStyle w:val="TableParagraph"/>
              <w:spacing w:before="78"/>
              <w:ind w:left="20"/>
              <w:rPr>
                <w:sz w:val="24"/>
                <w:szCs w:val="24"/>
              </w:rPr>
            </w:pPr>
            <w:r w:rsidRPr="008C791C">
              <w:rPr>
                <w:spacing w:val="-4"/>
                <w:sz w:val="24"/>
                <w:szCs w:val="24"/>
              </w:rPr>
              <w:t>1.62</w:t>
            </w:r>
          </w:p>
        </w:tc>
        <w:tc>
          <w:tcPr>
            <w:tcW w:w="338" w:type="pct"/>
            <w:vAlign w:val="center"/>
          </w:tcPr>
          <w:p w14:paraId="6E9CF034" w14:textId="77777777" w:rsidR="00447DD3" w:rsidRPr="008C791C" w:rsidRDefault="00447DD3" w:rsidP="00447DD3">
            <w:pPr>
              <w:pStyle w:val="TableParagraph"/>
              <w:spacing w:before="97"/>
              <w:ind w:left="29" w:right="5"/>
              <w:rPr>
                <w:sz w:val="24"/>
                <w:szCs w:val="24"/>
              </w:rPr>
            </w:pPr>
            <w:r w:rsidRPr="008C791C">
              <w:rPr>
                <w:spacing w:val="-4"/>
                <w:sz w:val="24"/>
                <w:szCs w:val="24"/>
              </w:rPr>
              <w:t>2.90</w:t>
            </w:r>
          </w:p>
        </w:tc>
      </w:tr>
      <w:tr w:rsidR="005F2D56" w:rsidRPr="008C791C" w14:paraId="7065D373" w14:textId="77777777" w:rsidTr="00447DD3">
        <w:trPr>
          <w:trHeight w:val="489"/>
        </w:trPr>
        <w:tc>
          <w:tcPr>
            <w:tcW w:w="1692" w:type="pct"/>
          </w:tcPr>
          <w:p w14:paraId="4CB2EA47" w14:textId="77777777" w:rsidR="00447DD3" w:rsidRPr="008C791C" w:rsidRDefault="00447DD3" w:rsidP="00D0463D">
            <w:pPr>
              <w:pStyle w:val="TableParagraph"/>
              <w:spacing w:before="68"/>
              <w:jc w:val="left"/>
              <w:rPr>
                <w:sz w:val="24"/>
                <w:szCs w:val="24"/>
              </w:rPr>
            </w:pPr>
            <w:r w:rsidRPr="008C791C">
              <w:rPr>
                <w:sz w:val="24"/>
                <w:szCs w:val="24"/>
              </w:rPr>
              <w:t>T</w:t>
            </w:r>
            <w:r w:rsidRPr="008C791C">
              <w:rPr>
                <w:sz w:val="24"/>
                <w:szCs w:val="24"/>
                <w:vertAlign w:val="subscript"/>
              </w:rPr>
              <w:t>8</w:t>
            </w:r>
            <w:r w:rsidRPr="008C791C">
              <w:rPr>
                <w:sz w:val="24"/>
                <w:szCs w:val="24"/>
              </w:rPr>
              <w:t>-</w:t>
            </w:r>
            <w:r w:rsidRPr="008C791C">
              <w:rPr>
                <w:position w:val="1"/>
                <w:sz w:val="24"/>
                <w:szCs w:val="24"/>
              </w:rPr>
              <w:t>100%RDF+Biochar@4t</w:t>
            </w:r>
            <w:r w:rsidRPr="008C791C">
              <w:rPr>
                <w:sz w:val="24"/>
                <w:szCs w:val="24"/>
              </w:rPr>
              <w:t>ha</w:t>
            </w:r>
            <w:r w:rsidRPr="008C791C">
              <w:rPr>
                <w:sz w:val="24"/>
                <w:szCs w:val="24"/>
                <w:vertAlign w:val="superscript"/>
              </w:rPr>
              <w:t>-</w:t>
            </w:r>
            <w:r w:rsidRPr="008C791C">
              <w:rPr>
                <w:spacing w:val="-10"/>
                <w:sz w:val="24"/>
                <w:szCs w:val="24"/>
                <w:vertAlign w:val="superscript"/>
              </w:rPr>
              <w:t>1</w:t>
            </w:r>
          </w:p>
        </w:tc>
        <w:tc>
          <w:tcPr>
            <w:tcW w:w="371" w:type="pct"/>
            <w:vAlign w:val="center"/>
          </w:tcPr>
          <w:p w14:paraId="06D284CE" w14:textId="77777777" w:rsidR="00447DD3" w:rsidRPr="008C791C" w:rsidRDefault="00447DD3" w:rsidP="00447DD3">
            <w:pPr>
              <w:pStyle w:val="TableParagraph"/>
              <w:spacing w:before="83"/>
              <w:ind w:left="10" w:right="5"/>
              <w:rPr>
                <w:sz w:val="24"/>
                <w:szCs w:val="24"/>
              </w:rPr>
            </w:pPr>
            <w:r w:rsidRPr="008C791C">
              <w:rPr>
                <w:spacing w:val="-4"/>
                <w:sz w:val="24"/>
                <w:szCs w:val="24"/>
              </w:rPr>
              <w:t>3.62</w:t>
            </w:r>
          </w:p>
        </w:tc>
        <w:tc>
          <w:tcPr>
            <w:tcW w:w="393" w:type="pct"/>
            <w:vAlign w:val="center"/>
          </w:tcPr>
          <w:p w14:paraId="553D9299" w14:textId="77777777" w:rsidR="00447DD3" w:rsidRPr="008C791C" w:rsidRDefault="00447DD3" w:rsidP="00447DD3">
            <w:pPr>
              <w:pStyle w:val="TableParagraph"/>
              <w:spacing w:before="83"/>
              <w:ind w:left="24" w:right="14"/>
              <w:rPr>
                <w:sz w:val="24"/>
                <w:szCs w:val="24"/>
              </w:rPr>
            </w:pPr>
            <w:r w:rsidRPr="008C791C">
              <w:rPr>
                <w:spacing w:val="-4"/>
                <w:sz w:val="24"/>
                <w:szCs w:val="24"/>
              </w:rPr>
              <w:t>1.25</w:t>
            </w:r>
          </w:p>
        </w:tc>
        <w:tc>
          <w:tcPr>
            <w:tcW w:w="340" w:type="pct"/>
            <w:vAlign w:val="center"/>
          </w:tcPr>
          <w:p w14:paraId="362DE787" w14:textId="77777777" w:rsidR="00447DD3" w:rsidRPr="008C791C" w:rsidRDefault="00447DD3" w:rsidP="00447DD3">
            <w:pPr>
              <w:pStyle w:val="TableParagraph"/>
              <w:spacing w:before="83"/>
              <w:ind w:left="25" w:right="18"/>
              <w:rPr>
                <w:sz w:val="24"/>
                <w:szCs w:val="24"/>
              </w:rPr>
            </w:pPr>
            <w:r w:rsidRPr="008C791C">
              <w:rPr>
                <w:spacing w:val="-4"/>
                <w:sz w:val="24"/>
                <w:szCs w:val="24"/>
              </w:rPr>
              <w:t>4.87</w:t>
            </w:r>
          </w:p>
        </w:tc>
        <w:tc>
          <w:tcPr>
            <w:tcW w:w="369" w:type="pct"/>
            <w:vAlign w:val="center"/>
          </w:tcPr>
          <w:p w14:paraId="1A17E7C2" w14:textId="77777777" w:rsidR="00447DD3" w:rsidRPr="008C791C" w:rsidRDefault="00447DD3" w:rsidP="00447DD3">
            <w:pPr>
              <w:pStyle w:val="TableParagraph"/>
              <w:spacing w:before="83"/>
              <w:ind w:left="13"/>
              <w:rPr>
                <w:sz w:val="24"/>
                <w:szCs w:val="24"/>
              </w:rPr>
            </w:pPr>
            <w:r w:rsidRPr="008C791C">
              <w:rPr>
                <w:spacing w:val="-4"/>
                <w:sz w:val="24"/>
                <w:szCs w:val="24"/>
              </w:rPr>
              <w:t>0.51</w:t>
            </w:r>
          </w:p>
        </w:tc>
        <w:tc>
          <w:tcPr>
            <w:tcW w:w="393" w:type="pct"/>
            <w:vAlign w:val="center"/>
          </w:tcPr>
          <w:p w14:paraId="2222BC6B" w14:textId="77777777" w:rsidR="00447DD3" w:rsidRPr="008C791C" w:rsidRDefault="00447DD3" w:rsidP="00447DD3">
            <w:pPr>
              <w:pStyle w:val="TableParagraph"/>
              <w:spacing w:before="83"/>
              <w:ind w:left="24"/>
              <w:rPr>
                <w:sz w:val="24"/>
                <w:szCs w:val="24"/>
              </w:rPr>
            </w:pPr>
            <w:r w:rsidRPr="008C791C">
              <w:rPr>
                <w:spacing w:val="-4"/>
                <w:sz w:val="24"/>
                <w:szCs w:val="24"/>
              </w:rPr>
              <w:t>0.30</w:t>
            </w:r>
          </w:p>
        </w:tc>
        <w:tc>
          <w:tcPr>
            <w:tcW w:w="340" w:type="pct"/>
            <w:vAlign w:val="center"/>
          </w:tcPr>
          <w:p w14:paraId="29A31E87" w14:textId="77777777" w:rsidR="00447DD3" w:rsidRPr="008C791C" w:rsidRDefault="00447DD3" w:rsidP="00447DD3">
            <w:pPr>
              <w:pStyle w:val="TableParagraph"/>
              <w:spacing w:before="102"/>
              <w:ind w:left="25" w:right="5"/>
              <w:rPr>
                <w:sz w:val="24"/>
                <w:szCs w:val="24"/>
              </w:rPr>
            </w:pPr>
            <w:r w:rsidRPr="008C791C">
              <w:rPr>
                <w:spacing w:val="-4"/>
                <w:sz w:val="24"/>
                <w:szCs w:val="24"/>
              </w:rPr>
              <w:t>0.81</w:t>
            </w:r>
          </w:p>
        </w:tc>
        <w:tc>
          <w:tcPr>
            <w:tcW w:w="371" w:type="pct"/>
            <w:vAlign w:val="center"/>
          </w:tcPr>
          <w:p w14:paraId="71D6E9B8" w14:textId="77777777" w:rsidR="00447DD3" w:rsidRPr="008C791C" w:rsidRDefault="00447DD3" w:rsidP="00447DD3">
            <w:pPr>
              <w:pStyle w:val="TableParagraph"/>
              <w:spacing w:before="83"/>
              <w:ind w:left="17" w:right="4"/>
              <w:rPr>
                <w:sz w:val="24"/>
                <w:szCs w:val="24"/>
              </w:rPr>
            </w:pPr>
            <w:r w:rsidRPr="008C791C">
              <w:rPr>
                <w:spacing w:val="-4"/>
                <w:sz w:val="24"/>
                <w:szCs w:val="24"/>
              </w:rPr>
              <w:t>1.31</w:t>
            </w:r>
          </w:p>
        </w:tc>
        <w:tc>
          <w:tcPr>
            <w:tcW w:w="392" w:type="pct"/>
            <w:vAlign w:val="center"/>
          </w:tcPr>
          <w:p w14:paraId="5CD13F63" w14:textId="77777777" w:rsidR="00447DD3" w:rsidRPr="008C791C" w:rsidRDefault="00447DD3" w:rsidP="00447DD3">
            <w:pPr>
              <w:pStyle w:val="TableParagraph"/>
              <w:spacing w:before="83"/>
              <w:ind w:left="20"/>
              <w:rPr>
                <w:sz w:val="24"/>
                <w:szCs w:val="24"/>
              </w:rPr>
            </w:pPr>
            <w:r w:rsidRPr="008C791C">
              <w:rPr>
                <w:spacing w:val="-4"/>
                <w:sz w:val="24"/>
                <w:szCs w:val="24"/>
              </w:rPr>
              <w:t>1.69</w:t>
            </w:r>
          </w:p>
        </w:tc>
        <w:tc>
          <w:tcPr>
            <w:tcW w:w="338" w:type="pct"/>
            <w:vAlign w:val="center"/>
          </w:tcPr>
          <w:p w14:paraId="6279A96E" w14:textId="77777777" w:rsidR="00447DD3" w:rsidRPr="008C791C" w:rsidRDefault="00447DD3" w:rsidP="00447DD3">
            <w:pPr>
              <w:pStyle w:val="TableParagraph"/>
              <w:spacing w:before="102"/>
              <w:ind w:left="29" w:right="5"/>
              <w:rPr>
                <w:sz w:val="24"/>
                <w:szCs w:val="24"/>
              </w:rPr>
            </w:pPr>
            <w:r w:rsidRPr="008C791C">
              <w:rPr>
                <w:spacing w:val="-4"/>
                <w:sz w:val="24"/>
                <w:szCs w:val="24"/>
              </w:rPr>
              <w:t>3.00</w:t>
            </w:r>
          </w:p>
        </w:tc>
      </w:tr>
      <w:tr w:rsidR="005F2D56" w:rsidRPr="008C791C" w14:paraId="6ACB48BA" w14:textId="77777777" w:rsidTr="00447DD3">
        <w:trPr>
          <w:trHeight w:val="479"/>
        </w:trPr>
        <w:tc>
          <w:tcPr>
            <w:tcW w:w="1692" w:type="pct"/>
          </w:tcPr>
          <w:p w14:paraId="0D6DD19A" w14:textId="77777777" w:rsidR="00447DD3" w:rsidRPr="008C791C" w:rsidRDefault="00447DD3" w:rsidP="00447DD3">
            <w:pPr>
              <w:pStyle w:val="TableParagraph"/>
              <w:spacing w:before="73"/>
              <w:jc w:val="left"/>
              <w:rPr>
                <w:b/>
                <w:sz w:val="24"/>
                <w:szCs w:val="24"/>
              </w:rPr>
            </w:pPr>
            <w:proofErr w:type="spellStart"/>
            <w:r w:rsidRPr="008C791C">
              <w:rPr>
                <w:b/>
                <w:sz w:val="24"/>
                <w:szCs w:val="24"/>
              </w:rPr>
              <w:t>S.Em</w:t>
            </w:r>
            <w:proofErr w:type="spellEnd"/>
            <w:r w:rsidRPr="008C791C">
              <w:rPr>
                <w:b/>
                <w:sz w:val="24"/>
                <w:szCs w:val="24"/>
              </w:rPr>
              <w:t>.</w:t>
            </w:r>
            <w:r w:rsidRPr="008C791C">
              <w:rPr>
                <w:b/>
                <w:spacing w:val="-10"/>
                <w:sz w:val="24"/>
                <w:szCs w:val="24"/>
              </w:rPr>
              <w:t>±</w:t>
            </w:r>
          </w:p>
        </w:tc>
        <w:tc>
          <w:tcPr>
            <w:tcW w:w="371" w:type="pct"/>
            <w:vAlign w:val="center"/>
          </w:tcPr>
          <w:p w14:paraId="490EA6EF" w14:textId="77777777" w:rsidR="00447DD3" w:rsidRPr="008C791C" w:rsidRDefault="00447DD3" w:rsidP="00447DD3">
            <w:pPr>
              <w:pStyle w:val="TableParagraph"/>
              <w:spacing w:before="73"/>
              <w:ind w:left="10" w:right="5"/>
              <w:rPr>
                <w:b/>
                <w:sz w:val="24"/>
                <w:szCs w:val="24"/>
              </w:rPr>
            </w:pPr>
            <w:r w:rsidRPr="008C791C">
              <w:rPr>
                <w:b/>
                <w:spacing w:val="-4"/>
                <w:sz w:val="24"/>
                <w:szCs w:val="24"/>
              </w:rPr>
              <w:t>0.07</w:t>
            </w:r>
          </w:p>
        </w:tc>
        <w:tc>
          <w:tcPr>
            <w:tcW w:w="393" w:type="pct"/>
            <w:vAlign w:val="center"/>
          </w:tcPr>
          <w:p w14:paraId="5226FC2F" w14:textId="77777777" w:rsidR="00447DD3" w:rsidRPr="008C791C" w:rsidRDefault="00447DD3" w:rsidP="00447DD3">
            <w:pPr>
              <w:pStyle w:val="TableParagraph"/>
              <w:spacing w:before="73"/>
              <w:ind w:left="24" w:right="14"/>
              <w:rPr>
                <w:b/>
                <w:sz w:val="24"/>
                <w:szCs w:val="24"/>
              </w:rPr>
            </w:pPr>
            <w:r w:rsidRPr="008C791C">
              <w:rPr>
                <w:b/>
                <w:spacing w:val="-4"/>
                <w:sz w:val="24"/>
                <w:szCs w:val="24"/>
              </w:rPr>
              <w:t>0.02</w:t>
            </w:r>
          </w:p>
        </w:tc>
        <w:tc>
          <w:tcPr>
            <w:tcW w:w="340" w:type="pct"/>
            <w:vAlign w:val="center"/>
          </w:tcPr>
          <w:p w14:paraId="3CA57D5A" w14:textId="77777777" w:rsidR="00447DD3" w:rsidRPr="008C791C" w:rsidRDefault="00447DD3" w:rsidP="00447DD3">
            <w:pPr>
              <w:pStyle w:val="TableParagraph"/>
              <w:spacing w:before="73"/>
              <w:ind w:left="25" w:right="18"/>
              <w:rPr>
                <w:b/>
                <w:sz w:val="24"/>
                <w:szCs w:val="24"/>
              </w:rPr>
            </w:pPr>
            <w:r w:rsidRPr="008C791C">
              <w:rPr>
                <w:b/>
                <w:spacing w:val="-4"/>
                <w:sz w:val="24"/>
                <w:szCs w:val="24"/>
              </w:rPr>
              <w:t>0.07</w:t>
            </w:r>
          </w:p>
        </w:tc>
        <w:tc>
          <w:tcPr>
            <w:tcW w:w="369" w:type="pct"/>
            <w:vAlign w:val="center"/>
          </w:tcPr>
          <w:p w14:paraId="33C6BD36" w14:textId="77777777" w:rsidR="00447DD3" w:rsidRPr="008C791C" w:rsidRDefault="00447DD3" w:rsidP="00447DD3">
            <w:pPr>
              <w:pStyle w:val="TableParagraph"/>
              <w:spacing w:before="73"/>
              <w:ind w:left="13"/>
              <w:rPr>
                <w:b/>
                <w:sz w:val="24"/>
                <w:szCs w:val="24"/>
              </w:rPr>
            </w:pPr>
            <w:r w:rsidRPr="008C791C">
              <w:rPr>
                <w:b/>
                <w:spacing w:val="-4"/>
                <w:sz w:val="24"/>
                <w:szCs w:val="24"/>
              </w:rPr>
              <w:t>0.01</w:t>
            </w:r>
          </w:p>
        </w:tc>
        <w:tc>
          <w:tcPr>
            <w:tcW w:w="393" w:type="pct"/>
            <w:vAlign w:val="center"/>
          </w:tcPr>
          <w:p w14:paraId="6A55A073" w14:textId="77777777" w:rsidR="00447DD3" w:rsidRPr="008C791C" w:rsidRDefault="00447DD3" w:rsidP="00447DD3">
            <w:pPr>
              <w:pStyle w:val="TableParagraph"/>
              <w:spacing w:before="73"/>
              <w:ind w:left="24"/>
              <w:rPr>
                <w:b/>
                <w:sz w:val="24"/>
                <w:szCs w:val="24"/>
              </w:rPr>
            </w:pPr>
            <w:r w:rsidRPr="008C791C">
              <w:rPr>
                <w:b/>
                <w:spacing w:val="-4"/>
                <w:sz w:val="24"/>
                <w:szCs w:val="24"/>
              </w:rPr>
              <w:t>0.01</w:t>
            </w:r>
          </w:p>
        </w:tc>
        <w:tc>
          <w:tcPr>
            <w:tcW w:w="340" w:type="pct"/>
            <w:vAlign w:val="center"/>
          </w:tcPr>
          <w:p w14:paraId="71F941D4" w14:textId="77777777" w:rsidR="00447DD3" w:rsidRPr="008C791C" w:rsidRDefault="00447DD3" w:rsidP="00447DD3">
            <w:pPr>
              <w:pStyle w:val="TableParagraph"/>
              <w:spacing w:before="73"/>
              <w:ind w:left="25" w:right="5"/>
              <w:rPr>
                <w:b/>
                <w:sz w:val="24"/>
                <w:szCs w:val="24"/>
              </w:rPr>
            </w:pPr>
            <w:r w:rsidRPr="008C791C">
              <w:rPr>
                <w:b/>
                <w:spacing w:val="-4"/>
                <w:sz w:val="24"/>
                <w:szCs w:val="24"/>
              </w:rPr>
              <w:t>0.01</w:t>
            </w:r>
          </w:p>
        </w:tc>
        <w:tc>
          <w:tcPr>
            <w:tcW w:w="371" w:type="pct"/>
            <w:vAlign w:val="center"/>
          </w:tcPr>
          <w:p w14:paraId="025F4AFF" w14:textId="77777777" w:rsidR="00447DD3" w:rsidRPr="008C791C" w:rsidRDefault="00447DD3" w:rsidP="00447DD3">
            <w:pPr>
              <w:pStyle w:val="TableParagraph"/>
              <w:spacing w:before="73"/>
              <w:ind w:left="17" w:right="4"/>
              <w:rPr>
                <w:b/>
                <w:sz w:val="24"/>
                <w:szCs w:val="24"/>
              </w:rPr>
            </w:pPr>
            <w:r w:rsidRPr="008C791C">
              <w:rPr>
                <w:b/>
                <w:spacing w:val="-4"/>
                <w:sz w:val="24"/>
                <w:szCs w:val="24"/>
              </w:rPr>
              <w:t>0.02</w:t>
            </w:r>
          </w:p>
        </w:tc>
        <w:tc>
          <w:tcPr>
            <w:tcW w:w="392" w:type="pct"/>
            <w:vAlign w:val="center"/>
          </w:tcPr>
          <w:p w14:paraId="1CCCB82F" w14:textId="77777777" w:rsidR="00447DD3" w:rsidRPr="008C791C" w:rsidRDefault="00447DD3" w:rsidP="00447DD3">
            <w:pPr>
              <w:pStyle w:val="TableParagraph"/>
              <w:spacing w:before="73"/>
              <w:ind w:left="20"/>
              <w:rPr>
                <w:b/>
                <w:sz w:val="24"/>
                <w:szCs w:val="24"/>
              </w:rPr>
            </w:pPr>
            <w:r w:rsidRPr="008C791C">
              <w:rPr>
                <w:b/>
                <w:spacing w:val="-4"/>
                <w:sz w:val="24"/>
                <w:szCs w:val="24"/>
              </w:rPr>
              <w:t>0.03</w:t>
            </w:r>
          </w:p>
        </w:tc>
        <w:tc>
          <w:tcPr>
            <w:tcW w:w="338" w:type="pct"/>
            <w:vAlign w:val="center"/>
          </w:tcPr>
          <w:p w14:paraId="74C2A89B" w14:textId="77777777" w:rsidR="00447DD3" w:rsidRPr="008C791C" w:rsidRDefault="00447DD3" w:rsidP="00447DD3">
            <w:pPr>
              <w:pStyle w:val="TableParagraph"/>
              <w:spacing w:before="73"/>
              <w:ind w:left="29" w:right="5"/>
              <w:rPr>
                <w:b/>
                <w:sz w:val="24"/>
                <w:szCs w:val="24"/>
              </w:rPr>
            </w:pPr>
            <w:r w:rsidRPr="008C791C">
              <w:rPr>
                <w:b/>
                <w:spacing w:val="-4"/>
                <w:sz w:val="24"/>
                <w:szCs w:val="24"/>
              </w:rPr>
              <w:t>0.03</w:t>
            </w:r>
          </w:p>
        </w:tc>
      </w:tr>
      <w:tr w:rsidR="005F2D56" w:rsidRPr="008C791C" w14:paraId="4455C35B" w14:textId="77777777" w:rsidTr="00447DD3">
        <w:trPr>
          <w:trHeight w:val="474"/>
        </w:trPr>
        <w:tc>
          <w:tcPr>
            <w:tcW w:w="1692" w:type="pct"/>
          </w:tcPr>
          <w:p w14:paraId="13B202AE" w14:textId="77777777" w:rsidR="00447DD3" w:rsidRPr="008C791C" w:rsidRDefault="00447DD3" w:rsidP="00447DD3">
            <w:pPr>
              <w:pStyle w:val="TableParagraph"/>
              <w:spacing w:before="73"/>
              <w:ind w:left="14"/>
              <w:jc w:val="left"/>
              <w:rPr>
                <w:b/>
                <w:sz w:val="24"/>
                <w:szCs w:val="24"/>
              </w:rPr>
            </w:pPr>
            <w:r w:rsidRPr="008C791C">
              <w:rPr>
                <w:b/>
                <w:sz w:val="24"/>
                <w:szCs w:val="24"/>
              </w:rPr>
              <w:t>CD @</w:t>
            </w:r>
            <w:r w:rsidRPr="008C791C">
              <w:rPr>
                <w:b/>
                <w:spacing w:val="-5"/>
                <w:sz w:val="24"/>
                <w:szCs w:val="24"/>
              </w:rPr>
              <w:t>5%</w:t>
            </w:r>
          </w:p>
        </w:tc>
        <w:tc>
          <w:tcPr>
            <w:tcW w:w="371" w:type="pct"/>
            <w:vAlign w:val="center"/>
          </w:tcPr>
          <w:p w14:paraId="2F1D9179" w14:textId="77777777" w:rsidR="00447DD3" w:rsidRPr="008C791C" w:rsidRDefault="00447DD3" w:rsidP="00447DD3">
            <w:pPr>
              <w:pStyle w:val="TableParagraph"/>
              <w:spacing w:before="73"/>
              <w:ind w:left="10" w:right="5"/>
              <w:rPr>
                <w:b/>
                <w:sz w:val="24"/>
                <w:szCs w:val="24"/>
              </w:rPr>
            </w:pPr>
            <w:r w:rsidRPr="008C791C">
              <w:rPr>
                <w:b/>
                <w:spacing w:val="-4"/>
                <w:sz w:val="24"/>
                <w:szCs w:val="24"/>
              </w:rPr>
              <w:t>0.23</w:t>
            </w:r>
          </w:p>
        </w:tc>
        <w:tc>
          <w:tcPr>
            <w:tcW w:w="393" w:type="pct"/>
            <w:vAlign w:val="center"/>
          </w:tcPr>
          <w:p w14:paraId="1C6294A5" w14:textId="77777777" w:rsidR="00447DD3" w:rsidRPr="008C791C" w:rsidRDefault="00447DD3" w:rsidP="00447DD3">
            <w:pPr>
              <w:pStyle w:val="TableParagraph"/>
              <w:spacing w:before="73"/>
              <w:ind w:left="24" w:right="14"/>
              <w:rPr>
                <w:b/>
                <w:sz w:val="24"/>
                <w:szCs w:val="24"/>
              </w:rPr>
            </w:pPr>
            <w:r w:rsidRPr="008C791C">
              <w:rPr>
                <w:b/>
                <w:spacing w:val="-4"/>
                <w:sz w:val="24"/>
                <w:szCs w:val="24"/>
              </w:rPr>
              <w:t>0.07</w:t>
            </w:r>
          </w:p>
        </w:tc>
        <w:tc>
          <w:tcPr>
            <w:tcW w:w="340" w:type="pct"/>
            <w:vAlign w:val="center"/>
          </w:tcPr>
          <w:p w14:paraId="0CED2E93" w14:textId="77777777" w:rsidR="00447DD3" w:rsidRPr="008C791C" w:rsidRDefault="00447DD3" w:rsidP="00447DD3">
            <w:pPr>
              <w:pStyle w:val="TableParagraph"/>
              <w:spacing w:before="73"/>
              <w:ind w:left="25" w:right="18"/>
              <w:rPr>
                <w:b/>
                <w:sz w:val="24"/>
                <w:szCs w:val="24"/>
              </w:rPr>
            </w:pPr>
            <w:r w:rsidRPr="008C791C">
              <w:rPr>
                <w:b/>
                <w:spacing w:val="-4"/>
                <w:sz w:val="24"/>
                <w:szCs w:val="24"/>
              </w:rPr>
              <w:t>0.22</w:t>
            </w:r>
          </w:p>
        </w:tc>
        <w:tc>
          <w:tcPr>
            <w:tcW w:w="369" w:type="pct"/>
            <w:vAlign w:val="center"/>
          </w:tcPr>
          <w:p w14:paraId="02206C76" w14:textId="77777777" w:rsidR="00447DD3" w:rsidRPr="008C791C" w:rsidRDefault="00447DD3" w:rsidP="00447DD3">
            <w:pPr>
              <w:pStyle w:val="TableParagraph"/>
              <w:spacing w:before="73"/>
              <w:ind w:left="13"/>
              <w:rPr>
                <w:b/>
                <w:sz w:val="24"/>
                <w:szCs w:val="24"/>
              </w:rPr>
            </w:pPr>
            <w:r w:rsidRPr="008C791C">
              <w:rPr>
                <w:b/>
                <w:spacing w:val="-4"/>
                <w:sz w:val="24"/>
                <w:szCs w:val="24"/>
              </w:rPr>
              <w:t>0.03</w:t>
            </w:r>
          </w:p>
        </w:tc>
        <w:tc>
          <w:tcPr>
            <w:tcW w:w="393" w:type="pct"/>
            <w:vAlign w:val="center"/>
          </w:tcPr>
          <w:p w14:paraId="30EDA10B" w14:textId="77777777" w:rsidR="00447DD3" w:rsidRPr="008C791C" w:rsidRDefault="00447DD3" w:rsidP="00447DD3">
            <w:pPr>
              <w:pStyle w:val="TableParagraph"/>
              <w:spacing w:before="73"/>
              <w:ind w:left="24"/>
              <w:rPr>
                <w:b/>
                <w:sz w:val="24"/>
                <w:szCs w:val="24"/>
              </w:rPr>
            </w:pPr>
            <w:r w:rsidRPr="008C791C">
              <w:rPr>
                <w:b/>
                <w:spacing w:val="-4"/>
                <w:sz w:val="24"/>
                <w:szCs w:val="24"/>
              </w:rPr>
              <w:t>0.02</w:t>
            </w:r>
          </w:p>
        </w:tc>
        <w:tc>
          <w:tcPr>
            <w:tcW w:w="340" w:type="pct"/>
            <w:vAlign w:val="center"/>
          </w:tcPr>
          <w:p w14:paraId="2747E2FD" w14:textId="77777777" w:rsidR="00447DD3" w:rsidRPr="008C791C" w:rsidRDefault="00447DD3" w:rsidP="00447DD3">
            <w:pPr>
              <w:pStyle w:val="TableParagraph"/>
              <w:spacing w:before="73"/>
              <w:ind w:left="25" w:right="5"/>
              <w:rPr>
                <w:b/>
                <w:sz w:val="24"/>
                <w:szCs w:val="24"/>
              </w:rPr>
            </w:pPr>
            <w:r w:rsidRPr="008C791C">
              <w:rPr>
                <w:b/>
                <w:spacing w:val="-4"/>
                <w:sz w:val="24"/>
                <w:szCs w:val="24"/>
              </w:rPr>
              <w:t>0.03</w:t>
            </w:r>
          </w:p>
        </w:tc>
        <w:tc>
          <w:tcPr>
            <w:tcW w:w="371" w:type="pct"/>
            <w:vAlign w:val="center"/>
          </w:tcPr>
          <w:p w14:paraId="0BDBD30A" w14:textId="77777777" w:rsidR="00447DD3" w:rsidRPr="008C791C" w:rsidRDefault="00447DD3" w:rsidP="00447DD3">
            <w:pPr>
              <w:pStyle w:val="TableParagraph"/>
              <w:spacing w:before="73"/>
              <w:ind w:left="17" w:right="4"/>
              <w:rPr>
                <w:b/>
                <w:sz w:val="24"/>
                <w:szCs w:val="24"/>
              </w:rPr>
            </w:pPr>
            <w:r w:rsidRPr="008C791C">
              <w:rPr>
                <w:b/>
                <w:spacing w:val="-4"/>
                <w:sz w:val="24"/>
                <w:szCs w:val="24"/>
              </w:rPr>
              <w:t>0.05</w:t>
            </w:r>
          </w:p>
        </w:tc>
        <w:tc>
          <w:tcPr>
            <w:tcW w:w="392" w:type="pct"/>
            <w:vAlign w:val="center"/>
          </w:tcPr>
          <w:p w14:paraId="0B3BD2EB" w14:textId="77777777" w:rsidR="00447DD3" w:rsidRPr="008C791C" w:rsidRDefault="00447DD3" w:rsidP="00447DD3">
            <w:pPr>
              <w:pStyle w:val="TableParagraph"/>
              <w:spacing w:before="73"/>
              <w:ind w:left="20"/>
              <w:rPr>
                <w:b/>
                <w:sz w:val="24"/>
                <w:szCs w:val="24"/>
              </w:rPr>
            </w:pPr>
            <w:r w:rsidRPr="008C791C">
              <w:rPr>
                <w:b/>
                <w:spacing w:val="-4"/>
                <w:sz w:val="24"/>
                <w:szCs w:val="24"/>
              </w:rPr>
              <w:t>0.10</w:t>
            </w:r>
          </w:p>
        </w:tc>
        <w:tc>
          <w:tcPr>
            <w:tcW w:w="338" w:type="pct"/>
            <w:vAlign w:val="center"/>
          </w:tcPr>
          <w:p w14:paraId="11174243" w14:textId="77777777" w:rsidR="00447DD3" w:rsidRPr="008C791C" w:rsidRDefault="00447DD3" w:rsidP="00447DD3">
            <w:pPr>
              <w:pStyle w:val="TableParagraph"/>
              <w:spacing w:before="73"/>
              <w:ind w:left="29" w:right="5"/>
              <w:rPr>
                <w:b/>
                <w:sz w:val="24"/>
                <w:szCs w:val="24"/>
              </w:rPr>
            </w:pPr>
            <w:r w:rsidRPr="008C791C">
              <w:rPr>
                <w:b/>
                <w:spacing w:val="-4"/>
                <w:sz w:val="24"/>
                <w:szCs w:val="24"/>
              </w:rPr>
              <w:t>0.10</w:t>
            </w:r>
          </w:p>
        </w:tc>
      </w:tr>
    </w:tbl>
    <w:p w14:paraId="29344AAF" w14:textId="77777777" w:rsidR="00447DD3" w:rsidRPr="008C791C" w:rsidRDefault="00447DD3" w:rsidP="00447DD3">
      <w:pPr>
        <w:spacing w:before="97"/>
        <w:ind w:left="165"/>
        <w:rPr>
          <w:rFonts w:ascii="Times New Roman" w:hAnsi="Times New Roman" w:cs="Times New Roman"/>
          <w:b/>
          <w:sz w:val="24"/>
        </w:rPr>
      </w:pPr>
      <w:r w:rsidRPr="008C791C">
        <w:rPr>
          <w:rFonts w:ascii="Times New Roman" w:hAnsi="Times New Roman" w:cs="Times New Roman"/>
          <w:b/>
          <w:spacing w:val="-2"/>
          <w:sz w:val="24"/>
        </w:rPr>
        <w:t>Legend:</w:t>
      </w:r>
    </w:p>
    <w:p w14:paraId="5621E022" w14:textId="77777777" w:rsidR="005F2D56" w:rsidRPr="008C791C" w:rsidRDefault="00447DD3" w:rsidP="00447DD3">
      <w:pPr>
        <w:pStyle w:val="BodyText"/>
        <w:spacing w:before="137"/>
        <w:ind w:left="165"/>
      </w:pPr>
      <w:r w:rsidRPr="008C791C">
        <w:t xml:space="preserve">RDF- </w:t>
      </w:r>
      <w:proofErr w:type="spellStart"/>
      <w:r w:rsidRPr="008C791C">
        <w:t>Recommendeddoseof</w:t>
      </w:r>
      <w:proofErr w:type="spellEnd"/>
      <w:r w:rsidRPr="008C791C">
        <w:rPr>
          <w:spacing w:val="-2"/>
        </w:rPr>
        <w:t xml:space="preserve"> fertilizer</w:t>
      </w:r>
      <w:r w:rsidRPr="008C791C">
        <w:t xml:space="preserve"> </w:t>
      </w:r>
    </w:p>
    <w:p w14:paraId="6CA059E8" w14:textId="77777777" w:rsidR="00447DD3" w:rsidRPr="008C791C" w:rsidRDefault="00447DD3" w:rsidP="005F2D56">
      <w:pPr>
        <w:pStyle w:val="BodyText"/>
        <w:spacing w:before="137"/>
        <w:ind w:left="709"/>
        <w:rPr>
          <w:vertAlign w:val="subscript"/>
        </w:rPr>
      </w:pPr>
      <w:r w:rsidRPr="008C791C">
        <w:t>Farm yard manure @ 5 t ha</w:t>
      </w:r>
      <w:r w:rsidRPr="008C791C">
        <w:rPr>
          <w:vertAlign w:val="superscript"/>
        </w:rPr>
        <w:t>-1</w:t>
      </w:r>
      <w:r w:rsidRPr="008C791C">
        <w:t>is common for all the treatments except T</w:t>
      </w:r>
      <w:r w:rsidRPr="008C791C">
        <w:rPr>
          <w:vertAlign w:val="subscript"/>
        </w:rPr>
        <w:t>1.</w:t>
      </w:r>
    </w:p>
    <w:p w14:paraId="5EA60627" w14:textId="77777777" w:rsidR="00447DD3" w:rsidRPr="008C791C" w:rsidRDefault="00447DD3" w:rsidP="005F2D56">
      <w:pPr>
        <w:pStyle w:val="BodyText"/>
        <w:spacing w:before="137"/>
        <w:ind w:left="709"/>
      </w:pPr>
      <w:r w:rsidRPr="008C791C">
        <w:t xml:space="preserve"> </w:t>
      </w:r>
      <w:proofErr w:type="spellStart"/>
      <w:r w:rsidRPr="008C791C">
        <w:t>Zincsulphate</w:t>
      </w:r>
      <w:proofErr w:type="spellEnd"/>
      <w:r w:rsidRPr="008C791C">
        <w:t xml:space="preserve"> (21%)@5kgha</w:t>
      </w:r>
      <w:r w:rsidRPr="008C791C">
        <w:rPr>
          <w:vertAlign w:val="superscript"/>
        </w:rPr>
        <w:t>-1</w:t>
      </w:r>
      <w:r w:rsidRPr="008C791C">
        <w:t xml:space="preserve"> is common for all the treatments except T</w:t>
      </w:r>
      <w:r w:rsidRPr="008C791C">
        <w:rPr>
          <w:vertAlign w:val="subscript"/>
        </w:rPr>
        <w:t>1</w:t>
      </w:r>
    </w:p>
    <w:p w14:paraId="2246DD29" w14:textId="77777777" w:rsidR="005F2D56" w:rsidRPr="008C791C" w:rsidRDefault="005F2D56" w:rsidP="00633003">
      <w:pPr>
        <w:autoSpaceDE w:val="0"/>
        <w:autoSpaceDN w:val="0"/>
        <w:adjustRightInd w:val="0"/>
        <w:spacing w:before="240" w:line="360" w:lineRule="auto"/>
        <w:ind w:firstLine="720"/>
        <w:jc w:val="both"/>
        <w:rPr>
          <w:rFonts w:ascii="Times New Roman" w:hAnsi="Times New Roman" w:cs="Times New Roman"/>
          <w:sz w:val="24"/>
          <w:szCs w:val="24"/>
        </w:rPr>
      </w:pPr>
    </w:p>
    <w:p w14:paraId="139F4351" w14:textId="77777777" w:rsidR="005F2D56" w:rsidRPr="008C791C" w:rsidRDefault="005F2D56">
      <w:pPr>
        <w:rPr>
          <w:rFonts w:ascii="Times New Roman" w:hAnsi="Times New Roman" w:cs="Times New Roman"/>
          <w:sz w:val="24"/>
          <w:szCs w:val="24"/>
        </w:rPr>
      </w:pPr>
      <w:r w:rsidRPr="008C791C">
        <w:rPr>
          <w:rFonts w:ascii="Times New Roman" w:hAnsi="Times New Roman" w:cs="Times New Roman"/>
          <w:sz w:val="24"/>
          <w:szCs w:val="24"/>
        </w:rPr>
        <w:br w:type="page"/>
      </w:r>
    </w:p>
    <w:p w14:paraId="5FE63099" w14:textId="77777777" w:rsidR="005F2D56" w:rsidRPr="008C791C" w:rsidRDefault="005F2D56" w:rsidP="005F2D56">
      <w:pPr>
        <w:pStyle w:val="Heading2"/>
        <w:spacing w:before="1"/>
        <w:rPr>
          <w:rFonts w:ascii="Times New Roman" w:hAnsi="Times New Roman" w:cs="Times New Roman"/>
          <w:color w:val="000000" w:themeColor="text1"/>
          <w:sz w:val="24"/>
          <w:szCs w:val="24"/>
        </w:rPr>
      </w:pPr>
      <w:r w:rsidRPr="008C791C">
        <w:rPr>
          <w:rFonts w:ascii="Times New Roman" w:hAnsi="Times New Roman" w:cs="Times New Roman"/>
          <w:color w:val="000000" w:themeColor="text1"/>
          <w:sz w:val="24"/>
          <w:szCs w:val="24"/>
        </w:rPr>
        <w:lastRenderedPageBreak/>
        <w:t xml:space="preserve">Table 2. Micronutrients uptake in chickpea as influenced by the application of </w:t>
      </w:r>
      <w:r w:rsidRPr="008C791C">
        <w:rPr>
          <w:rFonts w:ascii="Times New Roman" w:hAnsi="Times New Roman" w:cs="Times New Roman"/>
          <w:color w:val="000000" w:themeColor="text1"/>
          <w:spacing w:val="-2"/>
          <w:sz w:val="24"/>
          <w:szCs w:val="24"/>
        </w:rPr>
        <w:t>biochar</w:t>
      </w:r>
    </w:p>
    <w:p w14:paraId="1CE343F0" w14:textId="77777777" w:rsidR="005F2D56" w:rsidRPr="008C791C" w:rsidRDefault="005F2D56" w:rsidP="005F2D56">
      <w:pPr>
        <w:pStyle w:val="BodyText"/>
        <w:rPr>
          <w:b/>
          <w:sz w:val="13"/>
        </w:rPr>
      </w:pPr>
    </w:p>
    <w:tbl>
      <w:tblPr>
        <w:tblW w:w="56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74"/>
        <w:gridCol w:w="588"/>
        <w:gridCol w:w="738"/>
        <w:gridCol w:w="553"/>
        <w:gridCol w:w="586"/>
        <w:gridCol w:w="714"/>
        <w:gridCol w:w="576"/>
        <w:gridCol w:w="588"/>
        <w:gridCol w:w="584"/>
        <w:gridCol w:w="576"/>
        <w:gridCol w:w="730"/>
        <w:gridCol w:w="567"/>
      </w:tblGrid>
      <w:tr w:rsidR="005F2D56" w:rsidRPr="008C791C" w14:paraId="40B08B96" w14:textId="77777777" w:rsidTr="005F2D56">
        <w:trPr>
          <w:trHeight w:val="522"/>
        </w:trPr>
        <w:tc>
          <w:tcPr>
            <w:tcW w:w="1325" w:type="pct"/>
          </w:tcPr>
          <w:p w14:paraId="55B2064F" w14:textId="77777777" w:rsidR="005F2D56" w:rsidRPr="008C791C" w:rsidRDefault="005F2D56" w:rsidP="00D0463D">
            <w:pPr>
              <w:pStyle w:val="TableParagraph"/>
              <w:spacing w:before="92"/>
              <w:ind w:left="14" w:right="8"/>
              <w:rPr>
                <w:b/>
                <w:sz w:val="24"/>
                <w:szCs w:val="24"/>
              </w:rPr>
            </w:pPr>
            <w:r w:rsidRPr="008C791C">
              <w:rPr>
                <w:b/>
                <w:spacing w:val="-2"/>
                <w:sz w:val="24"/>
                <w:szCs w:val="24"/>
              </w:rPr>
              <w:t>Treatments</w:t>
            </w:r>
          </w:p>
        </w:tc>
        <w:tc>
          <w:tcPr>
            <w:tcW w:w="984" w:type="pct"/>
            <w:gridSpan w:val="3"/>
          </w:tcPr>
          <w:p w14:paraId="29A8E06A" w14:textId="77777777" w:rsidR="005F2D56" w:rsidRPr="008C791C" w:rsidRDefault="005F2D56" w:rsidP="005F2D56">
            <w:pPr>
              <w:pStyle w:val="TableParagraph"/>
              <w:spacing w:before="92"/>
              <w:jc w:val="left"/>
              <w:rPr>
                <w:b/>
                <w:sz w:val="24"/>
                <w:szCs w:val="24"/>
              </w:rPr>
            </w:pPr>
            <w:r w:rsidRPr="008C791C">
              <w:rPr>
                <w:b/>
                <w:sz w:val="24"/>
                <w:szCs w:val="24"/>
              </w:rPr>
              <w:t>Iron (g ha</w:t>
            </w:r>
            <w:r w:rsidRPr="008C791C">
              <w:rPr>
                <w:b/>
                <w:sz w:val="24"/>
                <w:szCs w:val="24"/>
                <w:vertAlign w:val="superscript"/>
              </w:rPr>
              <w:t>-</w:t>
            </w:r>
            <w:r w:rsidRPr="008C791C">
              <w:rPr>
                <w:b/>
                <w:spacing w:val="-5"/>
                <w:sz w:val="24"/>
                <w:szCs w:val="24"/>
                <w:vertAlign w:val="superscript"/>
              </w:rPr>
              <w:t>1</w:t>
            </w:r>
            <w:r w:rsidRPr="008C791C">
              <w:rPr>
                <w:b/>
                <w:spacing w:val="-5"/>
                <w:sz w:val="24"/>
                <w:szCs w:val="24"/>
              </w:rPr>
              <w:t>)</w:t>
            </w:r>
          </w:p>
        </w:tc>
        <w:tc>
          <w:tcPr>
            <w:tcW w:w="911" w:type="pct"/>
            <w:gridSpan w:val="3"/>
          </w:tcPr>
          <w:p w14:paraId="4EB60292" w14:textId="77777777" w:rsidR="005F2D56" w:rsidRPr="008C791C" w:rsidRDefault="005F2D56" w:rsidP="005F2D56">
            <w:pPr>
              <w:pStyle w:val="TableParagraph"/>
              <w:spacing w:before="92"/>
              <w:jc w:val="left"/>
              <w:rPr>
                <w:b/>
                <w:sz w:val="24"/>
                <w:szCs w:val="24"/>
              </w:rPr>
            </w:pPr>
            <w:r w:rsidRPr="008C791C">
              <w:rPr>
                <w:b/>
                <w:sz w:val="24"/>
                <w:szCs w:val="24"/>
              </w:rPr>
              <w:t>Zinc(g ha</w:t>
            </w:r>
            <w:r w:rsidRPr="008C791C">
              <w:rPr>
                <w:b/>
                <w:sz w:val="24"/>
                <w:szCs w:val="24"/>
                <w:vertAlign w:val="superscript"/>
              </w:rPr>
              <w:t>-</w:t>
            </w:r>
            <w:r w:rsidRPr="008C791C">
              <w:rPr>
                <w:b/>
                <w:spacing w:val="-5"/>
                <w:sz w:val="24"/>
                <w:szCs w:val="24"/>
                <w:vertAlign w:val="superscript"/>
              </w:rPr>
              <w:t>1</w:t>
            </w:r>
            <w:r w:rsidRPr="008C791C">
              <w:rPr>
                <w:b/>
                <w:spacing w:val="-5"/>
                <w:sz w:val="24"/>
                <w:szCs w:val="24"/>
              </w:rPr>
              <w:t>)</w:t>
            </w:r>
          </w:p>
        </w:tc>
        <w:tc>
          <w:tcPr>
            <w:tcW w:w="859" w:type="pct"/>
            <w:gridSpan w:val="3"/>
          </w:tcPr>
          <w:p w14:paraId="378D807E" w14:textId="77777777" w:rsidR="005F2D56" w:rsidRPr="008C791C" w:rsidRDefault="005F2D56" w:rsidP="005F2D56">
            <w:pPr>
              <w:pStyle w:val="TableParagraph"/>
              <w:spacing w:before="92"/>
              <w:jc w:val="left"/>
              <w:rPr>
                <w:b/>
                <w:sz w:val="24"/>
                <w:szCs w:val="24"/>
              </w:rPr>
            </w:pPr>
            <w:r w:rsidRPr="008C791C">
              <w:rPr>
                <w:b/>
                <w:sz w:val="24"/>
                <w:szCs w:val="24"/>
              </w:rPr>
              <w:t>Manganese (g ha</w:t>
            </w:r>
            <w:r w:rsidRPr="008C791C">
              <w:rPr>
                <w:b/>
                <w:sz w:val="24"/>
                <w:szCs w:val="24"/>
                <w:vertAlign w:val="superscript"/>
              </w:rPr>
              <w:t>-</w:t>
            </w:r>
            <w:r w:rsidRPr="008C791C">
              <w:rPr>
                <w:b/>
                <w:spacing w:val="-5"/>
                <w:sz w:val="24"/>
                <w:szCs w:val="24"/>
                <w:vertAlign w:val="superscript"/>
              </w:rPr>
              <w:t>1</w:t>
            </w:r>
            <w:r w:rsidRPr="008C791C">
              <w:rPr>
                <w:b/>
                <w:spacing w:val="-5"/>
                <w:sz w:val="24"/>
                <w:szCs w:val="24"/>
              </w:rPr>
              <w:t>)</w:t>
            </w:r>
          </w:p>
        </w:tc>
        <w:tc>
          <w:tcPr>
            <w:tcW w:w="921" w:type="pct"/>
            <w:gridSpan w:val="3"/>
          </w:tcPr>
          <w:p w14:paraId="4A87395D" w14:textId="77777777" w:rsidR="005F2D56" w:rsidRPr="008C791C" w:rsidRDefault="005F2D56" w:rsidP="005F2D56">
            <w:pPr>
              <w:pStyle w:val="TableParagraph"/>
              <w:spacing w:before="92"/>
              <w:jc w:val="left"/>
              <w:rPr>
                <w:b/>
                <w:sz w:val="24"/>
                <w:szCs w:val="24"/>
              </w:rPr>
            </w:pPr>
            <w:r w:rsidRPr="008C791C">
              <w:rPr>
                <w:b/>
                <w:sz w:val="24"/>
                <w:szCs w:val="24"/>
              </w:rPr>
              <w:t>Copper(g ha</w:t>
            </w:r>
            <w:r w:rsidRPr="008C791C">
              <w:rPr>
                <w:b/>
                <w:sz w:val="24"/>
                <w:szCs w:val="24"/>
                <w:vertAlign w:val="superscript"/>
              </w:rPr>
              <w:t>-</w:t>
            </w:r>
            <w:r w:rsidRPr="008C791C">
              <w:rPr>
                <w:b/>
                <w:spacing w:val="-5"/>
                <w:sz w:val="24"/>
                <w:szCs w:val="24"/>
                <w:vertAlign w:val="superscript"/>
              </w:rPr>
              <w:t>1</w:t>
            </w:r>
            <w:r w:rsidRPr="008C791C">
              <w:rPr>
                <w:b/>
                <w:spacing w:val="-5"/>
                <w:sz w:val="24"/>
                <w:szCs w:val="24"/>
              </w:rPr>
              <w:t>)</w:t>
            </w:r>
          </w:p>
        </w:tc>
      </w:tr>
      <w:tr w:rsidR="005F2D56" w:rsidRPr="008C791C" w14:paraId="1C81E40B" w14:textId="77777777" w:rsidTr="005F2D56">
        <w:trPr>
          <w:trHeight w:val="522"/>
        </w:trPr>
        <w:tc>
          <w:tcPr>
            <w:tcW w:w="1325" w:type="pct"/>
          </w:tcPr>
          <w:p w14:paraId="4FE7DB6C" w14:textId="77777777" w:rsidR="005F2D56" w:rsidRPr="008C791C" w:rsidRDefault="005F2D56" w:rsidP="00D0463D">
            <w:pPr>
              <w:pStyle w:val="TableParagraph"/>
              <w:ind w:left="0"/>
              <w:jc w:val="left"/>
              <w:rPr>
                <w:sz w:val="20"/>
                <w:szCs w:val="20"/>
              </w:rPr>
            </w:pPr>
          </w:p>
        </w:tc>
        <w:tc>
          <w:tcPr>
            <w:tcW w:w="332" w:type="pct"/>
          </w:tcPr>
          <w:p w14:paraId="0CD9A796" w14:textId="77777777" w:rsidR="005F2D56" w:rsidRPr="008C791C" w:rsidRDefault="005F2D56" w:rsidP="005F2D56">
            <w:pPr>
              <w:pStyle w:val="TableParagraph"/>
              <w:spacing w:before="92"/>
              <w:ind w:left="0" w:right="85"/>
              <w:jc w:val="left"/>
              <w:rPr>
                <w:b/>
                <w:sz w:val="20"/>
                <w:szCs w:val="20"/>
              </w:rPr>
            </w:pPr>
            <w:r w:rsidRPr="008C791C">
              <w:rPr>
                <w:b/>
                <w:spacing w:val="-2"/>
                <w:sz w:val="20"/>
                <w:szCs w:val="20"/>
              </w:rPr>
              <w:t>Grain</w:t>
            </w:r>
          </w:p>
        </w:tc>
        <w:tc>
          <w:tcPr>
            <w:tcW w:w="289" w:type="pct"/>
          </w:tcPr>
          <w:p w14:paraId="14FEE7CF" w14:textId="77777777" w:rsidR="005F2D56" w:rsidRPr="008C791C" w:rsidRDefault="005F2D56" w:rsidP="00D0463D">
            <w:pPr>
              <w:pStyle w:val="TableParagraph"/>
              <w:spacing w:before="92"/>
              <w:ind w:left="14" w:right="4"/>
              <w:rPr>
                <w:b/>
                <w:sz w:val="20"/>
                <w:szCs w:val="20"/>
              </w:rPr>
            </w:pPr>
            <w:r w:rsidRPr="008C791C">
              <w:rPr>
                <w:b/>
                <w:spacing w:val="-2"/>
                <w:sz w:val="20"/>
                <w:szCs w:val="20"/>
              </w:rPr>
              <w:t>Stover</w:t>
            </w:r>
          </w:p>
        </w:tc>
        <w:tc>
          <w:tcPr>
            <w:tcW w:w="363" w:type="pct"/>
          </w:tcPr>
          <w:p w14:paraId="120F9A2A" w14:textId="77777777" w:rsidR="005F2D56" w:rsidRPr="008C791C" w:rsidRDefault="005F2D56" w:rsidP="00D0463D">
            <w:pPr>
              <w:pStyle w:val="TableParagraph"/>
              <w:spacing w:before="92"/>
              <w:ind w:left="88" w:right="79"/>
              <w:rPr>
                <w:b/>
                <w:sz w:val="20"/>
                <w:szCs w:val="20"/>
              </w:rPr>
            </w:pPr>
            <w:r w:rsidRPr="008C791C">
              <w:rPr>
                <w:b/>
                <w:spacing w:val="-2"/>
                <w:sz w:val="20"/>
                <w:szCs w:val="20"/>
              </w:rPr>
              <w:t>Total</w:t>
            </w:r>
          </w:p>
        </w:tc>
        <w:tc>
          <w:tcPr>
            <w:tcW w:w="272" w:type="pct"/>
          </w:tcPr>
          <w:p w14:paraId="7B99E5F1" w14:textId="77777777" w:rsidR="005F2D56" w:rsidRPr="008C791C" w:rsidRDefault="005F2D56" w:rsidP="00D0463D">
            <w:pPr>
              <w:pStyle w:val="TableParagraph"/>
              <w:spacing w:before="92"/>
              <w:ind w:left="18" w:right="11"/>
              <w:rPr>
                <w:b/>
                <w:sz w:val="20"/>
                <w:szCs w:val="20"/>
              </w:rPr>
            </w:pPr>
            <w:r w:rsidRPr="008C791C">
              <w:rPr>
                <w:b/>
                <w:spacing w:val="-2"/>
                <w:sz w:val="20"/>
                <w:szCs w:val="20"/>
              </w:rPr>
              <w:t>Grain</w:t>
            </w:r>
          </w:p>
        </w:tc>
        <w:tc>
          <w:tcPr>
            <w:tcW w:w="288" w:type="pct"/>
          </w:tcPr>
          <w:p w14:paraId="5A174097" w14:textId="77777777" w:rsidR="005F2D56" w:rsidRPr="008C791C" w:rsidRDefault="005F2D56" w:rsidP="00D0463D">
            <w:pPr>
              <w:pStyle w:val="TableParagraph"/>
              <w:spacing w:before="92"/>
              <w:ind w:left="12" w:right="4"/>
              <w:rPr>
                <w:b/>
                <w:sz w:val="20"/>
                <w:szCs w:val="20"/>
              </w:rPr>
            </w:pPr>
            <w:r w:rsidRPr="008C791C">
              <w:rPr>
                <w:b/>
                <w:spacing w:val="-2"/>
                <w:sz w:val="20"/>
                <w:szCs w:val="20"/>
              </w:rPr>
              <w:t>Stover</w:t>
            </w:r>
          </w:p>
        </w:tc>
        <w:tc>
          <w:tcPr>
            <w:tcW w:w="351" w:type="pct"/>
          </w:tcPr>
          <w:p w14:paraId="4915CC61" w14:textId="77777777" w:rsidR="005F2D56" w:rsidRPr="008C791C" w:rsidRDefault="005F2D56" w:rsidP="00D0463D">
            <w:pPr>
              <w:pStyle w:val="TableParagraph"/>
              <w:spacing w:before="92"/>
              <w:ind w:left="0" w:right="110"/>
              <w:jc w:val="right"/>
              <w:rPr>
                <w:b/>
                <w:sz w:val="20"/>
                <w:szCs w:val="20"/>
              </w:rPr>
            </w:pPr>
            <w:r w:rsidRPr="008C791C">
              <w:rPr>
                <w:b/>
                <w:spacing w:val="-2"/>
                <w:sz w:val="20"/>
                <w:szCs w:val="20"/>
              </w:rPr>
              <w:t>Total</w:t>
            </w:r>
          </w:p>
        </w:tc>
        <w:tc>
          <w:tcPr>
            <w:tcW w:w="283" w:type="pct"/>
          </w:tcPr>
          <w:p w14:paraId="644E71D0" w14:textId="77777777" w:rsidR="005F2D56" w:rsidRPr="008C791C" w:rsidRDefault="005F2D56" w:rsidP="00D0463D">
            <w:pPr>
              <w:pStyle w:val="TableParagraph"/>
              <w:spacing w:before="92"/>
              <w:ind w:left="18" w:right="14"/>
              <w:rPr>
                <w:b/>
                <w:sz w:val="20"/>
                <w:szCs w:val="20"/>
              </w:rPr>
            </w:pPr>
            <w:r w:rsidRPr="008C791C">
              <w:rPr>
                <w:b/>
                <w:spacing w:val="-2"/>
                <w:sz w:val="20"/>
                <w:szCs w:val="20"/>
              </w:rPr>
              <w:t>Grain</w:t>
            </w:r>
          </w:p>
        </w:tc>
        <w:tc>
          <w:tcPr>
            <w:tcW w:w="289" w:type="pct"/>
          </w:tcPr>
          <w:p w14:paraId="30712AD4" w14:textId="77777777" w:rsidR="005F2D56" w:rsidRPr="008C791C" w:rsidRDefault="005F2D56" w:rsidP="00D0463D">
            <w:pPr>
              <w:pStyle w:val="TableParagraph"/>
              <w:spacing w:before="92"/>
              <w:ind w:left="12" w:right="7"/>
              <w:rPr>
                <w:b/>
                <w:sz w:val="20"/>
                <w:szCs w:val="20"/>
              </w:rPr>
            </w:pPr>
            <w:r w:rsidRPr="008C791C">
              <w:rPr>
                <w:b/>
                <w:spacing w:val="-2"/>
                <w:sz w:val="20"/>
                <w:szCs w:val="20"/>
              </w:rPr>
              <w:t>Stover</w:t>
            </w:r>
          </w:p>
        </w:tc>
        <w:tc>
          <w:tcPr>
            <w:tcW w:w="286" w:type="pct"/>
          </w:tcPr>
          <w:p w14:paraId="0084E0EF" w14:textId="77777777" w:rsidR="005F2D56" w:rsidRPr="008C791C" w:rsidRDefault="005F2D56" w:rsidP="00D0463D">
            <w:pPr>
              <w:pStyle w:val="TableParagraph"/>
              <w:spacing w:before="92"/>
              <w:ind w:left="3" w:right="7"/>
              <w:rPr>
                <w:b/>
                <w:sz w:val="20"/>
                <w:szCs w:val="20"/>
              </w:rPr>
            </w:pPr>
            <w:r w:rsidRPr="008C791C">
              <w:rPr>
                <w:b/>
                <w:spacing w:val="-2"/>
                <w:sz w:val="20"/>
                <w:szCs w:val="20"/>
              </w:rPr>
              <w:t>Total</w:t>
            </w:r>
          </w:p>
        </w:tc>
        <w:tc>
          <w:tcPr>
            <w:tcW w:w="283" w:type="pct"/>
          </w:tcPr>
          <w:p w14:paraId="04B5E31B" w14:textId="77777777" w:rsidR="005F2D56" w:rsidRPr="008C791C" w:rsidRDefault="005F2D56" w:rsidP="00D0463D">
            <w:pPr>
              <w:pStyle w:val="TableParagraph"/>
              <w:spacing w:before="92"/>
              <w:ind w:left="18" w:right="17"/>
              <w:rPr>
                <w:b/>
                <w:sz w:val="20"/>
                <w:szCs w:val="20"/>
              </w:rPr>
            </w:pPr>
            <w:r w:rsidRPr="008C791C">
              <w:rPr>
                <w:b/>
                <w:spacing w:val="-2"/>
                <w:sz w:val="20"/>
                <w:szCs w:val="20"/>
              </w:rPr>
              <w:t>Grain</w:t>
            </w:r>
          </w:p>
        </w:tc>
        <w:tc>
          <w:tcPr>
            <w:tcW w:w="359" w:type="pct"/>
          </w:tcPr>
          <w:p w14:paraId="50D631B7" w14:textId="77777777" w:rsidR="005F2D56" w:rsidRPr="008C791C" w:rsidRDefault="005F2D56" w:rsidP="00D0463D">
            <w:pPr>
              <w:pStyle w:val="TableParagraph"/>
              <w:spacing w:before="92"/>
              <w:ind w:left="12" w:right="10"/>
              <w:rPr>
                <w:b/>
                <w:sz w:val="20"/>
                <w:szCs w:val="20"/>
              </w:rPr>
            </w:pPr>
            <w:r w:rsidRPr="008C791C">
              <w:rPr>
                <w:b/>
                <w:spacing w:val="-2"/>
                <w:sz w:val="20"/>
                <w:szCs w:val="20"/>
              </w:rPr>
              <w:t>Stover</w:t>
            </w:r>
          </w:p>
        </w:tc>
        <w:tc>
          <w:tcPr>
            <w:tcW w:w="279" w:type="pct"/>
          </w:tcPr>
          <w:p w14:paraId="443E1394" w14:textId="77777777" w:rsidR="005F2D56" w:rsidRPr="008C791C" w:rsidRDefault="005F2D56" w:rsidP="00D0463D">
            <w:pPr>
              <w:pStyle w:val="TableParagraph"/>
              <w:spacing w:before="92"/>
              <w:ind w:left="4" w:right="7"/>
              <w:rPr>
                <w:b/>
                <w:sz w:val="20"/>
                <w:szCs w:val="20"/>
              </w:rPr>
            </w:pPr>
            <w:r w:rsidRPr="008C791C">
              <w:rPr>
                <w:b/>
                <w:spacing w:val="-2"/>
                <w:sz w:val="20"/>
                <w:szCs w:val="20"/>
              </w:rPr>
              <w:t>Total</w:t>
            </w:r>
          </w:p>
        </w:tc>
      </w:tr>
      <w:tr w:rsidR="005F2D56" w:rsidRPr="008C791C" w14:paraId="5C0B1F57" w14:textId="77777777" w:rsidTr="005F2D56">
        <w:trPr>
          <w:trHeight w:val="532"/>
        </w:trPr>
        <w:tc>
          <w:tcPr>
            <w:tcW w:w="1325" w:type="pct"/>
          </w:tcPr>
          <w:p w14:paraId="3E163437" w14:textId="77777777" w:rsidR="005F2D56" w:rsidRPr="008C791C" w:rsidRDefault="005F2D56" w:rsidP="00D0463D">
            <w:pPr>
              <w:pStyle w:val="TableParagraph"/>
              <w:spacing w:before="87"/>
              <w:jc w:val="left"/>
              <w:rPr>
                <w:position w:val="1"/>
                <w:sz w:val="20"/>
                <w:szCs w:val="20"/>
              </w:rPr>
            </w:pPr>
            <w:r w:rsidRPr="008C791C">
              <w:rPr>
                <w:sz w:val="20"/>
                <w:szCs w:val="20"/>
              </w:rPr>
              <w:t>T</w:t>
            </w:r>
            <w:r w:rsidRPr="008C791C">
              <w:rPr>
                <w:sz w:val="20"/>
                <w:szCs w:val="20"/>
                <w:vertAlign w:val="subscript"/>
              </w:rPr>
              <w:t>1</w:t>
            </w:r>
            <w:r w:rsidRPr="008C791C">
              <w:rPr>
                <w:sz w:val="20"/>
                <w:szCs w:val="20"/>
              </w:rPr>
              <w:t>-Absolute</w:t>
            </w:r>
            <w:r w:rsidRPr="008C791C">
              <w:rPr>
                <w:spacing w:val="-2"/>
                <w:position w:val="1"/>
                <w:sz w:val="20"/>
                <w:szCs w:val="20"/>
              </w:rPr>
              <w:t>control</w:t>
            </w:r>
          </w:p>
        </w:tc>
        <w:tc>
          <w:tcPr>
            <w:tcW w:w="332" w:type="pct"/>
          </w:tcPr>
          <w:p w14:paraId="74DE00FD" w14:textId="77777777" w:rsidR="005F2D56" w:rsidRPr="008C791C" w:rsidRDefault="005F2D56" w:rsidP="00D0463D">
            <w:pPr>
              <w:pStyle w:val="TableParagraph"/>
              <w:spacing w:before="97"/>
              <w:ind w:left="88" w:right="79"/>
              <w:rPr>
                <w:sz w:val="20"/>
                <w:szCs w:val="20"/>
              </w:rPr>
            </w:pPr>
            <w:r w:rsidRPr="008C791C">
              <w:rPr>
                <w:spacing w:val="-2"/>
                <w:sz w:val="20"/>
                <w:szCs w:val="20"/>
              </w:rPr>
              <w:t>137.49</w:t>
            </w:r>
          </w:p>
        </w:tc>
        <w:tc>
          <w:tcPr>
            <w:tcW w:w="289" w:type="pct"/>
          </w:tcPr>
          <w:p w14:paraId="03D8D00B" w14:textId="77777777" w:rsidR="005F2D56" w:rsidRPr="008C791C" w:rsidRDefault="005F2D56" w:rsidP="00D0463D">
            <w:pPr>
              <w:pStyle w:val="TableParagraph"/>
              <w:spacing w:before="97"/>
              <w:ind w:left="14" w:right="5"/>
              <w:rPr>
                <w:sz w:val="20"/>
                <w:szCs w:val="20"/>
              </w:rPr>
            </w:pPr>
            <w:r w:rsidRPr="008C791C">
              <w:rPr>
                <w:spacing w:val="-2"/>
                <w:sz w:val="20"/>
                <w:szCs w:val="20"/>
              </w:rPr>
              <w:t>30.88</w:t>
            </w:r>
          </w:p>
        </w:tc>
        <w:tc>
          <w:tcPr>
            <w:tcW w:w="363" w:type="pct"/>
          </w:tcPr>
          <w:p w14:paraId="2FB1D94A" w14:textId="77777777" w:rsidR="005F2D56" w:rsidRPr="008C791C" w:rsidRDefault="005F2D56" w:rsidP="00D0463D">
            <w:pPr>
              <w:pStyle w:val="TableParagraph"/>
              <w:spacing w:before="87"/>
              <w:ind w:left="88" w:right="79"/>
              <w:rPr>
                <w:sz w:val="20"/>
                <w:szCs w:val="20"/>
              </w:rPr>
            </w:pPr>
            <w:r w:rsidRPr="008C791C">
              <w:rPr>
                <w:spacing w:val="-2"/>
                <w:sz w:val="20"/>
                <w:szCs w:val="20"/>
              </w:rPr>
              <w:t>168.37</w:t>
            </w:r>
          </w:p>
        </w:tc>
        <w:tc>
          <w:tcPr>
            <w:tcW w:w="272" w:type="pct"/>
          </w:tcPr>
          <w:p w14:paraId="54E9B490" w14:textId="77777777" w:rsidR="005F2D56" w:rsidRPr="008C791C" w:rsidRDefault="005F2D56" w:rsidP="00D0463D">
            <w:pPr>
              <w:pStyle w:val="TableParagraph"/>
              <w:spacing w:before="97"/>
              <w:ind w:left="18"/>
              <w:rPr>
                <w:sz w:val="20"/>
                <w:szCs w:val="20"/>
              </w:rPr>
            </w:pPr>
            <w:r w:rsidRPr="008C791C">
              <w:rPr>
                <w:spacing w:val="-2"/>
                <w:sz w:val="20"/>
                <w:szCs w:val="20"/>
              </w:rPr>
              <w:t>29.45</w:t>
            </w:r>
          </w:p>
        </w:tc>
        <w:tc>
          <w:tcPr>
            <w:tcW w:w="288" w:type="pct"/>
          </w:tcPr>
          <w:p w14:paraId="24C0D97F" w14:textId="77777777" w:rsidR="005F2D56" w:rsidRPr="008C791C" w:rsidRDefault="005F2D56" w:rsidP="00D0463D">
            <w:pPr>
              <w:pStyle w:val="TableParagraph"/>
              <w:spacing w:before="97"/>
              <w:ind w:left="12" w:right="5"/>
              <w:rPr>
                <w:sz w:val="20"/>
                <w:szCs w:val="20"/>
              </w:rPr>
            </w:pPr>
            <w:r w:rsidRPr="008C791C">
              <w:rPr>
                <w:spacing w:val="-2"/>
                <w:sz w:val="20"/>
                <w:szCs w:val="20"/>
              </w:rPr>
              <w:t>10.77</w:t>
            </w:r>
          </w:p>
        </w:tc>
        <w:tc>
          <w:tcPr>
            <w:tcW w:w="351" w:type="pct"/>
          </w:tcPr>
          <w:p w14:paraId="1564A72B"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40.22</w:t>
            </w:r>
          </w:p>
        </w:tc>
        <w:tc>
          <w:tcPr>
            <w:tcW w:w="283" w:type="pct"/>
          </w:tcPr>
          <w:p w14:paraId="516DE1C7" w14:textId="77777777" w:rsidR="005F2D56" w:rsidRPr="008C791C" w:rsidRDefault="005F2D56" w:rsidP="00D0463D">
            <w:pPr>
              <w:pStyle w:val="TableParagraph"/>
              <w:spacing w:before="97"/>
              <w:ind w:left="18" w:right="3"/>
              <w:rPr>
                <w:sz w:val="20"/>
                <w:szCs w:val="20"/>
              </w:rPr>
            </w:pPr>
            <w:r w:rsidRPr="008C791C">
              <w:rPr>
                <w:spacing w:val="-2"/>
                <w:sz w:val="20"/>
                <w:szCs w:val="20"/>
              </w:rPr>
              <w:t>23.92</w:t>
            </w:r>
          </w:p>
        </w:tc>
        <w:tc>
          <w:tcPr>
            <w:tcW w:w="289" w:type="pct"/>
          </w:tcPr>
          <w:p w14:paraId="7F7B823B" w14:textId="77777777" w:rsidR="005F2D56" w:rsidRPr="008C791C" w:rsidRDefault="005F2D56" w:rsidP="00D0463D">
            <w:pPr>
              <w:pStyle w:val="TableParagraph"/>
              <w:spacing w:before="97"/>
              <w:ind w:left="12" w:right="8"/>
              <w:rPr>
                <w:sz w:val="20"/>
                <w:szCs w:val="20"/>
              </w:rPr>
            </w:pPr>
            <w:r w:rsidRPr="008C791C">
              <w:rPr>
                <w:spacing w:val="-2"/>
                <w:sz w:val="20"/>
                <w:szCs w:val="20"/>
              </w:rPr>
              <w:t>14.46</w:t>
            </w:r>
          </w:p>
        </w:tc>
        <w:tc>
          <w:tcPr>
            <w:tcW w:w="286" w:type="pct"/>
          </w:tcPr>
          <w:p w14:paraId="404003B3" w14:textId="77777777" w:rsidR="005F2D56" w:rsidRPr="008C791C" w:rsidRDefault="005F2D56" w:rsidP="00D0463D">
            <w:pPr>
              <w:pStyle w:val="TableParagraph"/>
              <w:spacing w:before="87"/>
              <w:ind w:left="3" w:right="4"/>
              <w:rPr>
                <w:sz w:val="20"/>
                <w:szCs w:val="20"/>
              </w:rPr>
            </w:pPr>
            <w:r w:rsidRPr="008C791C">
              <w:rPr>
                <w:spacing w:val="-2"/>
                <w:sz w:val="20"/>
                <w:szCs w:val="20"/>
              </w:rPr>
              <w:t>38.38</w:t>
            </w:r>
          </w:p>
        </w:tc>
        <w:tc>
          <w:tcPr>
            <w:tcW w:w="283" w:type="pct"/>
          </w:tcPr>
          <w:p w14:paraId="72DAC403" w14:textId="77777777" w:rsidR="005F2D56" w:rsidRPr="008C791C" w:rsidRDefault="005F2D56" w:rsidP="00D0463D">
            <w:pPr>
              <w:pStyle w:val="TableParagraph"/>
              <w:spacing w:before="97"/>
              <w:ind w:left="18" w:right="11"/>
              <w:rPr>
                <w:sz w:val="20"/>
                <w:szCs w:val="20"/>
              </w:rPr>
            </w:pPr>
            <w:r w:rsidRPr="008C791C">
              <w:rPr>
                <w:spacing w:val="-4"/>
                <w:sz w:val="20"/>
                <w:szCs w:val="20"/>
              </w:rPr>
              <w:t>8.40</w:t>
            </w:r>
          </w:p>
        </w:tc>
        <w:tc>
          <w:tcPr>
            <w:tcW w:w="359" w:type="pct"/>
          </w:tcPr>
          <w:p w14:paraId="4D9EAD10" w14:textId="77777777" w:rsidR="005F2D56" w:rsidRPr="008C791C" w:rsidRDefault="005F2D56" w:rsidP="00D0463D">
            <w:pPr>
              <w:pStyle w:val="TableParagraph"/>
              <w:spacing w:before="97"/>
              <w:ind w:left="12" w:right="6"/>
              <w:rPr>
                <w:sz w:val="20"/>
                <w:szCs w:val="20"/>
              </w:rPr>
            </w:pPr>
            <w:r w:rsidRPr="008C791C">
              <w:rPr>
                <w:spacing w:val="-4"/>
                <w:sz w:val="20"/>
                <w:szCs w:val="20"/>
              </w:rPr>
              <w:t>9.46</w:t>
            </w:r>
          </w:p>
        </w:tc>
        <w:tc>
          <w:tcPr>
            <w:tcW w:w="279" w:type="pct"/>
          </w:tcPr>
          <w:p w14:paraId="5B620FF5" w14:textId="77777777" w:rsidR="005F2D56" w:rsidRPr="008C791C" w:rsidRDefault="005F2D56" w:rsidP="00D0463D">
            <w:pPr>
              <w:pStyle w:val="TableParagraph"/>
              <w:spacing w:before="87"/>
              <w:ind w:left="4" w:right="4"/>
              <w:rPr>
                <w:sz w:val="20"/>
                <w:szCs w:val="20"/>
              </w:rPr>
            </w:pPr>
            <w:r w:rsidRPr="008C791C">
              <w:rPr>
                <w:spacing w:val="-2"/>
                <w:sz w:val="20"/>
                <w:szCs w:val="20"/>
              </w:rPr>
              <w:t>17.86</w:t>
            </w:r>
          </w:p>
        </w:tc>
      </w:tr>
      <w:tr w:rsidR="005F2D56" w:rsidRPr="008C791C" w14:paraId="37129D38" w14:textId="77777777" w:rsidTr="005F2D56">
        <w:trPr>
          <w:trHeight w:val="532"/>
        </w:trPr>
        <w:tc>
          <w:tcPr>
            <w:tcW w:w="1325" w:type="pct"/>
          </w:tcPr>
          <w:p w14:paraId="31BE37AE" w14:textId="77777777" w:rsidR="005F2D56" w:rsidRPr="008C791C" w:rsidRDefault="005F2D56" w:rsidP="00D0463D">
            <w:pPr>
              <w:pStyle w:val="TableParagraph"/>
              <w:spacing w:before="87"/>
              <w:jc w:val="left"/>
              <w:rPr>
                <w:position w:val="1"/>
                <w:sz w:val="20"/>
                <w:szCs w:val="20"/>
              </w:rPr>
            </w:pPr>
            <w:r w:rsidRPr="008C791C">
              <w:rPr>
                <w:sz w:val="20"/>
                <w:szCs w:val="20"/>
              </w:rPr>
              <w:t>T</w:t>
            </w:r>
            <w:r w:rsidRPr="008C791C">
              <w:rPr>
                <w:sz w:val="20"/>
                <w:szCs w:val="20"/>
                <w:vertAlign w:val="subscript"/>
              </w:rPr>
              <w:t>2</w:t>
            </w:r>
            <w:r w:rsidRPr="008C791C">
              <w:rPr>
                <w:sz w:val="20"/>
                <w:szCs w:val="20"/>
              </w:rPr>
              <w:t>-RDF</w:t>
            </w:r>
            <w:r w:rsidRPr="008C791C">
              <w:rPr>
                <w:position w:val="1"/>
                <w:sz w:val="20"/>
                <w:szCs w:val="20"/>
              </w:rPr>
              <w:t>only</w:t>
            </w:r>
            <w:r w:rsidRPr="008C791C">
              <w:rPr>
                <w:spacing w:val="-2"/>
                <w:position w:val="1"/>
                <w:sz w:val="20"/>
                <w:szCs w:val="20"/>
              </w:rPr>
              <w:t>(25:50:00)</w:t>
            </w:r>
          </w:p>
        </w:tc>
        <w:tc>
          <w:tcPr>
            <w:tcW w:w="332" w:type="pct"/>
          </w:tcPr>
          <w:p w14:paraId="696AD757" w14:textId="77777777" w:rsidR="005F2D56" w:rsidRPr="008C791C" w:rsidRDefault="005F2D56" w:rsidP="00D0463D">
            <w:pPr>
              <w:pStyle w:val="TableParagraph"/>
              <w:spacing w:before="97"/>
              <w:ind w:left="88" w:right="79"/>
              <w:rPr>
                <w:sz w:val="20"/>
                <w:szCs w:val="20"/>
              </w:rPr>
            </w:pPr>
            <w:r w:rsidRPr="008C791C">
              <w:rPr>
                <w:spacing w:val="-2"/>
                <w:sz w:val="20"/>
                <w:szCs w:val="20"/>
              </w:rPr>
              <w:t>187.77</w:t>
            </w:r>
          </w:p>
        </w:tc>
        <w:tc>
          <w:tcPr>
            <w:tcW w:w="289" w:type="pct"/>
          </w:tcPr>
          <w:p w14:paraId="42D4093C" w14:textId="77777777" w:rsidR="005F2D56" w:rsidRPr="008C791C" w:rsidRDefault="005F2D56" w:rsidP="00D0463D">
            <w:pPr>
              <w:pStyle w:val="TableParagraph"/>
              <w:spacing w:before="97"/>
              <w:ind w:left="14" w:right="5"/>
              <w:rPr>
                <w:sz w:val="20"/>
                <w:szCs w:val="20"/>
              </w:rPr>
            </w:pPr>
            <w:r w:rsidRPr="008C791C">
              <w:rPr>
                <w:spacing w:val="-2"/>
                <w:sz w:val="20"/>
                <w:szCs w:val="20"/>
              </w:rPr>
              <w:t>51.30</w:t>
            </w:r>
          </w:p>
        </w:tc>
        <w:tc>
          <w:tcPr>
            <w:tcW w:w="363" w:type="pct"/>
          </w:tcPr>
          <w:p w14:paraId="5B731A76" w14:textId="77777777" w:rsidR="005F2D56" w:rsidRPr="008C791C" w:rsidRDefault="005F2D56" w:rsidP="00D0463D">
            <w:pPr>
              <w:pStyle w:val="TableParagraph"/>
              <w:spacing w:before="87"/>
              <w:ind w:left="88" w:right="79"/>
              <w:rPr>
                <w:sz w:val="20"/>
                <w:szCs w:val="20"/>
              </w:rPr>
            </w:pPr>
            <w:r w:rsidRPr="008C791C">
              <w:rPr>
                <w:spacing w:val="-2"/>
                <w:sz w:val="20"/>
                <w:szCs w:val="20"/>
              </w:rPr>
              <w:t>239.07</w:t>
            </w:r>
          </w:p>
        </w:tc>
        <w:tc>
          <w:tcPr>
            <w:tcW w:w="272" w:type="pct"/>
          </w:tcPr>
          <w:p w14:paraId="69CB0EA3" w14:textId="77777777" w:rsidR="005F2D56" w:rsidRPr="008C791C" w:rsidRDefault="005F2D56" w:rsidP="00D0463D">
            <w:pPr>
              <w:pStyle w:val="TableParagraph"/>
              <w:spacing w:before="97"/>
              <w:ind w:left="18"/>
              <w:rPr>
                <w:sz w:val="20"/>
                <w:szCs w:val="20"/>
              </w:rPr>
            </w:pPr>
            <w:r w:rsidRPr="008C791C">
              <w:rPr>
                <w:spacing w:val="-2"/>
                <w:sz w:val="20"/>
                <w:szCs w:val="20"/>
              </w:rPr>
              <w:t>40.48</w:t>
            </w:r>
          </w:p>
        </w:tc>
        <w:tc>
          <w:tcPr>
            <w:tcW w:w="288" w:type="pct"/>
          </w:tcPr>
          <w:p w14:paraId="2DFD6107" w14:textId="77777777" w:rsidR="005F2D56" w:rsidRPr="008C791C" w:rsidRDefault="005F2D56" w:rsidP="00D0463D">
            <w:pPr>
              <w:pStyle w:val="TableParagraph"/>
              <w:spacing w:before="97"/>
              <w:ind w:left="12" w:right="5"/>
              <w:rPr>
                <w:sz w:val="20"/>
                <w:szCs w:val="20"/>
              </w:rPr>
            </w:pPr>
            <w:r w:rsidRPr="008C791C">
              <w:rPr>
                <w:spacing w:val="-2"/>
                <w:sz w:val="20"/>
                <w:szCs w:val="20"/>
              </w:rPr>
              <w:t>16.66</w:t>
            </w:r>
          </w:p>
        </w:tc>
        <w:tc>
          <w:tcPr>
            <w:tcW w:w="351" w:type="pct"/>
          </w:tcPr>
          <w:p w14:paraId="6C800CE7"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57.14</w:t>
            </w:r>
          </w:p>
        </w:tc>
        <w:tc>
          <w:tcPr>
            <w:tcW w:w="283" w:type="pct"/>
          </w:tcPr>
          <w:p w14:paraId="077BDF13" w14:textId="77777777" w:rsidR="005F2D56" w:rsidRPr="008C791C" w:rsidRDefault="005F2D56" w:rsidP="00D0463D">
            <w:pPr>
              <w:pStyle w:val="TableParagraph"/>
              <w:spacing w:before="97"/>
              <w:ind w:left="18" w:right="3"/>
              <w:rPr>
                <w:sz w:val="20"/>
                <w:szCs w:val="20"/>
              </w:rPr>
            </w:pPr>
            <w:r w:rsidRPr="008C791C">
              <w:rPr>
                <w:spacing w:val="-2"/>
                <w:sz w:val="20"/>
                <w:szCs w:val="20"/>
              </w:rPr>
              <w:t>44.86</w:t>
            </w:r>
          </w:p>
        </w:tc>
        <w:tc>
          <w:tcPr>
            <w:tcW w:w="289" w:type="pct"/>
          </w:tcPr>
          <w:p w14:paraId="362997C5" w14:textId="77777777" w:rsidR="005F2D56" w:rsidRPr="008C791C" w:rsidRDefault="005F2D56" w:rsidP="00D0463D">
            <w:pPr>
              <w:pStyle w:val="TableParagraph"/>
              <w:spacing w:before="97"/>
              <w:ind w:left="12" w:right="8"/>
              <w:rPr>
                <w:sz w:val="20"/>
                <w:szCs w:val="20"/>
              </w:rPr>
            </w:pPr>
            <w:r w:rsidRPr="008C791C">
              <w:rPr>
                <w:spacing w:val="-2"/>
                <w:sz w:val="20"/>
                <w:szCs w:val="20"/>
              </w:rPr>
              <w:t>20.45</w:t>
            </w:r>
          </w:p>
        </w:tc>
        <w:tc>
          <w:tcPr>
            <w:tcW w:w="286" w:type="pct"/>
          </w:tcPr>
          <w:p w14:paraId="74B03F6C" w14:textId="77777777" w:rsidR="005F2D56" w:rsidRPr="008C791C" w:rsidRDefault="005F2D56" w:rsidP="00D0463D">
            <w:pPr>
              <w:pStyle w:val="TableParagraph"/>
              <w:spacing w:before="87"/>
              <w:ind w:left="3" w:right="4"/>
              <w:rPr>
                <w:sz w:val="20"/>
                <w:szCs w:val="20"/>
              </w:rPr>
            </w:pPr>
            <w:r w:rsidRPr="008C791C">
              <w:rPr>
                <w:spacing w:val="-2"/>
                <w:sz w:val="20"/>
                <w:szCs w:val="20"/>
              </w:rPr>
              <w:t>65.31</w:t>
            </w:r>
          </w:p>
        </w:tc>
        <w:tc>
          <w:tcPr>
            <w:tcW w:w="283" w:type="pct"/>
          </w:tcPr>
          <w:p w14:paraId="287E10CA" w14:textId="77777777" w:rsidR="005F2D56" w:rsidRPr="008C791C" w:rsidRDefault="005F2D56" w:rsidP="00D0463D">
            <w:pPr>
              <w:pStyle w:val="TableParagraph"/>
              <w:spacing w:before="97"/>
              <w:ind w:left="18" w:right="6"/>
              <w:rPr>
                <w:sz w:val="20"/>
                <w:szCs w:val="20"/>
              </w:rPr>
            </w:pPr>
            <w:r w:rsidRPr="008C791C">
              <w:rPr>
                <w:spacing w:val="-2"/>
                <w:sz w:val="20"/>
                <w:szCs w:val="20"/>
              </w:rPr>
              <w:t>12.66</w:t>
            </w:r>
          </w:p>
        </w:tc>
        <w:tc>
          <w:tcPr>
            <w:tcW w:w="359" w:type="pct"/>
          </w:tcPr>
          <w:p w14:paraId="0756E749" w14:textId="77777777" w:rsidR="005F2D56" w:rsidRPr="008C791C" w:rsidRDefault="005F2D56" w:rsidP="00D0463D">
            <w:pPr>
              <w:pStyle w:val="TableParagraph"/>
              <w:spacing w:before="97"/>
              <w:ind w:left="12" w:right="11"/>
              <w:rPr>
                <w:sz w:val="20"/>
                <w:szCs w:val="20"/>
              </w:rPr>
            </w:pPr>
            <w:r w:rsidRPr="008C791C">
              <w:rPr>
                <w:spacing w:val="-2"/>
                <w:sz w:val="20"/>
                <w:szCs w:val="20"/>
              </w:rPr>
              <w:t>14.74</w:t>
            </w:r>
          </w:p>
        </w:tc>
        <w:tc>
          <w:tcPr>
            <w:tcW w:w="279" w:type="pct"/>
          </w:tcPr>
          <w:p w14:paraId="2BF37D17" w14:textId="77777777" w:rsidR="005F2D56" w:rsidRPr="008C791C" w:rsidRDefault="005F2D56" w:rsidP="00D0463D">
            <w:pPr>
              <w:pStyle w:val="TableParagraph"/>
              <w:spacing w:before="87"/>
              <w:ind w:left="4" w:right="4"/>
              <w:rPr>
                <w:sz w:val="20"/>
                <w:szCs w:val="20"/>
              </w:rPr>
            </w:pPr>
            <w:r w:rsidRPr="008C791C">
              <w:rPr>
                <w:spacing w:val="-2"/>
                <w:sz w:val="20"/>
                <w:szCs w:val="20"/>
              </w:rPr>
              <w:t>27.40</w:t>
            </w:r>
          </w:p>
        </w:tc>
      </w:tr>
      <w:tr w:rsidR="005F2D56" w:rsidRPr="008C791C" w14:paraId="3FB231EB" w14:textId="77777777" w:rsidTr="005F2D56">
        <w:trPr>
          <w:trHeight w:val="532"/>
        </w:trPr>
        <w:tc>
          <w:tcPr>
            <w:tcW w:w="1325" w:type="pct"/>
          </w:tcPr>
          <w:p w14:paraId="60263A38" w14:textId="77777777" w:rsidR="005F2D56" w:rsidRPr="008C791C" w:rsidRDefault="005F2D56" w:rsidP="00D0463D">
            <w:pPr>
              <w:pStyle w:val="TableParagraph"/>
              <w:spacing w:before="87"/>
              <w:jc w:val="left"/>
              <w:rPr>
                <w:sz w:val="20"/>
                <w:szCs w:val="20"/>
              </w:rPr>
            </w:pPr>
            <w:r w:rsidRPr="008C791C">
              <w:rPr>
                <w:sz w:val="20"/>
                <w:szCs w:val="20"/>
              </w:rPr>
              <w:t>T</w:t>
            </w:r>
            <w:r w:rsidRPr="008C791C">
              <w:rPr>
                <w:sz w:val="20"/>
                <w:szCs w:val="20"/>
                <w:vertAlign w:val="subscript"/>
              </w:rPr>
              <w:t>3</w:t>
            </w:r>
            <w:r w:rsidRPr="008C791C">
              <w:rPr>
                <w:position w:val="1"/>
                <w:sz w:val="20"/>
                <w:szCs w:val="20"/>
              </w:rPr>
              <w:t>-Biochar@2t</w:t>
            </w:r>
            <w:r w:rsidRPr="008C791C">
              <w:rPr>
                <w:sz w:val="20"/>
                <w:szCs w:val="20"/>
              </w:rPr>
              <w:t>ha</w:t>
            </w:r>
            <w:r w:rsidRPr="008C791C">
              <w:rPr>
                <w:sz w:val="20"/>
                <w:szCs w:val="20"/>
                <w:vertAlign w:val="superscript"/>
              </w:rPr>
              <w:t>-</w:t>
            </w:r>
            <w:r w:rsidRPr="008C791C">
              <w:rPr>
                <w:spacing w:val="-10"/>
                <w:sz w:val="20"/>
                <w:szCs w:val="20"/>
                <w:vertAlign w:val="superscript"/>
              </w:rPr>
              <w:t>1</w:t>
            </w:r>
          </w:p>
        </w:tc>
        <w:tc>
          <w:tcPr>
            <w:tcW w:w="332" w:type="pct"/>
          </w:tcPr>
          <w:p w14:paraId="35945E1F" w14:textId="77777777" w:rsidR="005F2D56" w:rsidRPr="008C791C" w:rsidRDefault="005F2D56" w:rsidP="00D0463D">
            <w:pPr>
              <w:pStyle w:val="TableParagraph"/>
              <w:spacing w:before="97"/>
              <w:ind w:left="88" w:right="79"/>
              <w:rPr>
                <w:sz w:val="20"/>
                <w:szCs w:val="20"/>
              </w:rPr>
            </w:pPr>
            <w:r w:rsidRPr="008C791C">
              <w:rPr>
                <w:spacing w:val="-2"/>
                <w:sz w:val="20"/>
                <w:szCs w:val="20"/>
              </w:rPr>
              <w:t>159.32</w:t>
            </w:r>
          </w:p>
        </w:tc>
        <w:tc>
          <w:tcPr>
            <w:tcW w:w="289" w:type="pct"/>
          </w:tcPr>
          <w:p w14:paraId="17EB94B2" w14:textId="77777777" w:rsidR="005F2D56" w:rsidRPr="008C791C" w:rsidRDefault="005F2D56" w:rsidP="00D0463D">
            <w:pPr>
              <w:pStyle w:val="TableParagraph"/>
              <w:spacing w:before="97"/>
              <w:ind w:left="14" w:right="5"/>
              <w:rPr>
                <w:sz w:val="20"/>
                <w:szCs w:val="20"/>
              </w:rPr>
            </w:pPr>
            <w:r w:rsidRPr="008C791C">
              <w:rPr>
                <w:spacing w:val="-2"/>
                <w:sz w:val="20"/>
                <w:szCs w:val="20"/>
              </w:rPr>
              <w:t>35.77</w:t>
            </w:r>
          </w:p>
        </w:tc>
        <w:tc>
          <w:tcPr>
            <w:tcW w:w="363" w:type="pct"/>
          </w:tcPr>
          <w:p w14:paraId="43B42471" w14:textId="77777777" w:rsidR="005F2D56" w:rsidRPr="008C791C" w:rsidRDefault="005F2D56" w:rsidP="00D0463D">
            <w:pPr>
              <w:pStyle w:val="TableParagraph"/>
              <w:spacing w:before="87"/>
              <w:ind w:left="88" w:right="79"/>
              <w:rPr>
                <w:sz w:val="20"/>
                <w:szCs w:val="20"/>
              </w:rPr>
            </w:pPr>
            <w:r w:rsidRPr="008C791C">
              <w:rPr>
                <w:spacing w:val="-2"/>
                <w:sz w:val="20"/>
                <w:szCs w:val="20"/>
              </w:rPr>
              <w:t>195.09</w:t>
            </w:r>
          </w:p>
        </w:tc>
        <w:tc>
          <w:tcPr>
            <w:tcW w:w="272" w:type="pct"/>
          </w:tcPr>
          <w:p w14:paraId="70E6CA3B" w14:textId="77777777" w:rsidR="005F2D56" w:rsidRPr="008C791C" w:rsidRDefault="005F2D56" w:rsidP="00D0463D">
            <w:pPr>
              <w:pStyle w:val="TableParagraph"/>
              <w:spacing w:before="97"/>
              <w:ind w:left="18"/>
              <w:rPr>
                <w:sz w:val="20"/>
                <w:szCs w:val="20"/>
              </w:rPr>
            </w:pPr>
            <w:r w:rsidRPr="008C791C">
              <w:rPr>
                <w:spacing w:val="-2"/>
                <w:sz w:val="20"/>
                <w:szCs w:val="20"/>
              </w:rPr>
              <w:t>33.00</w:t>
            </w:r>
          </w:p>
        </w:tc>
        <w:tc>
          <w:tcPr>
            <w:tcW w:w="288" w:type="pct"/>
          </w:tcPr>
          <w:p w14:paraId="60E928B3" w14:textId="77777777" w:rsidR="005F2D56" w:rsidRPr="008C791C" w:rsidRDefault="005F2D56" w:rsidP="00D0463D">
            <w:pPr>
              <w:pStyle w:val="TableParagraph"/>
              <w:spacing w:before="97"/>
              <w:ind w:left="12" w:right="5"/>
              <w:rPr>
                <w:sz w:val="20"/>
                <w:szCs w:val="20"/>
              </w:rPr>
            </w:pPr>
            <w:r w:rsidRPr="008C791C">
              <w:rPr>
                <w:spacing w:val="-2"/>
                <w:sz w:val="20"/>
                <w:szCs w:val="20"/>
              </w:rPr>
              <w:t>12.40</w:t>
            </w:r>
          </w:p>
        </w:tc>
        <w:tc>
          <w:tcPr>
            <w:tcW w:w="351" w:type="pct"/>
          </w:tcPr>
          <w:p w14:paraId="6BCB5130"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45.40</w:t>
            </w:r>
          </w:p>
        </w:tc>
        <w:tc>
          <w:tcPr>
            <w:tcW w:w="283" w:type="pct"/>
          </w:tcPr>
          <w:p w14:paraId="71F6896F" w14:textId="77777777" w:rsidR="005F2D56" w:rsidRPr="008C791C" w:rsidRDefault="005F2D56" w:rsidP="00D0463D">
            <w:pPr>
              <w:pStyle w:val="TableParagraph"/>
              <w:spacing w:before="97"/>
              <w:ind w:left="18" w:right="3"/>
              <w:rPr>
                <w:sz w:val="20"/>
                <w:szCs w:val="20"/>
              </w:rPr>
            </w:pPr>
            <w:r w:rsidRPr="008C791C">
              <w:rPr>
                <w:spacing w:val="-2"/>
                <w:sz w:val="20"/>
                <w:szCs w:val="20"/>
              </w:rPr>
              <w:t>31.76</w:t>
            </w:r>
          </w:p>
        </w:tc>
        <w:tc>
          <w:tcPr>
            <w:tcW w:w="289" w:type="pct"/>
          </w:tcPr>
          <w:p w14:paraId="1A034FDA" w14:textId="77777777" w:rsidR="005F2D56" w:rsidRPr="008C791C" w:rsidRDefault="005F2D56" w:rsidP="00D0463D">
            <w:pPr>
              <w:pStyle w:val="TableParagraph"/>
              <w:spacing w:before="97"/>
              <w:ind w:left="12" w:right="8"/>
              <w:rPr>
                <w:sz w:val="20"/>
                <w:szCs w:val="20"/>
              </w:rPr>
            </w:pPr>
            <w:r w:rsidRPr="008C791C">
              <w:rPr>
                <w:spacing w:val="-2"/>
                <w:sz w:val="20"/>
                <w:szCs w:val="20"/>
              </w:rPr>
              <w:t>16.07</w:t>
            </w:r>
          </w:p>
        </w:tc>
        <w:tc>
          <w:tcPr>
            <w:tcW w:w="286" w:type="pct"/>
          </w:tcPr>
          <w:p w14:paraId="0C1B20A9" w14:textId="77777777" w:rsidR="005F2D56" w:rsidRPr="008C791C" w:rsidRDefault="005F2D56" w:rsidP="00D0463D">
            <w:pPr>
              <w:pStyle w:val="TableParagraph"/>
              <w:spacing w:before="87"/>
              <w:ind w:left="3" w:right="4"/>
              <w:rPr>
                <w:sz w:val="20"/>
                <w:szCs w:val="20"/>
              </w:rPr>
            </w:pPr>
            <w:r w:rsidRPr="008C791C">
              <w:rPr>
                <w:spacing w:val="-2"/>
                <w:sz w:val="20"/>
                <w:szCs w:val="20"/>
              </w:rPr>
              <w:t>47.83</w:t>
            </w:r>
          </w:p>
        </w:tc>
        <w:tc>
          <w:tcPr>
            <w:tcW w:w="283" w:type="pct"/>
          </w:tcPr>
          <w:p w14:paraId="07C0AB4B" w14:textId="77777777" w:rsidR="005F2D56" w:rsidRPr="008C791C" w:rsidRDefault="005F2D56" w:rsidP="00D0463D">
            <w:pPr>
              <w:pStyle w:val="TableParagraph"/>
              <w:spacing w:before="97"/>
              <w:ind w:left="18" w:right="6"/>
              <w:rPr>
                <w:sz w:val="20"/>
                <w:szCs w:val="20"/>
              </w:rPr>
            </w:pPr>
            <w:r w:rsidRPr="008C791C">
              <w:rPr>
                <w:spacing w:val="-2"/>
                <w:sz w:val="20"/>
                <w:szCs w:val="20"/>
              </w:rPr>
              <w:t>10.02</w:t>
            </w:r>
          </w:p>
        </w:tc>
        <w:tc>
          <w:tcPr>
            <w:tcW w:w="359" w:type="pct"/>
          </w:tcPr>
          <w:p w14:paraId="0578230F" w14:textId="77777777" w:rsidR="005F2D56" w:rsidRPr="008C791C" w:rsidRDefault="005F2D56" w:rsidP="00D0463D">
            <w:pPr>
              <w:pStyle w:val="TableParagraph"/>
              <w:spacing w:before="97"/>
              <w:ind w:left="12" w:right="11"/>
              <w:rPr>
                <w:sz w:val="20"/>
                <w:szCs w:val="20"/>
              </w:rPr>
            </w:pPr>
            <w:r w:rsidRPr="008C791C">
              <w:rPr>
                <w:spacing w:val="-2"/>
                <w:sz w:val="20"/>
                <w:szCs w:val="20"/>
              </w:rPr>
              <w:t>11.35</w:t>
            </w:r>
          </w:p>
        </w:tc>
        <w:tc>
          <w:tcPr>
            <w:tcW w:w="279" w:type="pct"/>
          </w:tcPr>
          <w:p w14:paraId="6CE59C83" w14:textId="77777777" w:rsidR="005F2D56" w:rsidRPr="008C791C" w:rsidRDefault="005F2D56" w:rsidP="00D0463D">
            <w:pPr>
              <w:pStyle w:val="TableParagraph"/>
              <w:spacing w:before="87"/>
              <w:ind w:left="4" w:right="4"/>
              <w:rPr>
                <w:sz w:val="20"/>
                <w:szCs w:val="20"/>
              </w:rPr>
            </w:pPr>
            <w:r w:rsidRPr="008C791C">
              <w:rPr>
                <w:spacing w:val="-2"/>
                <w:sz w:val="20"/>
                <w:szCs w:val="20"/>
              </w:rPr>
              <w:t>21.37</w:t>
            </w:r>
          </w:p>
        </w:tc>
      </w:tr>
      <w:tr w:rsidR="005F2D56" w:rsidRPr="008C791C" w14:paraId="6FFA45B0" w14:textId="77777777" w:rsidTr="005F2D56">
        <w:trPr>
          <w:trHeight w:val="532"/>
        </w:trPr>
        <w:tc>
          <w:tcPr>
            <w:tcW w:w="1325" w:type="pct"/>
          </w:tcPr>
          <w:p w14:paraId="3231E69A" w14:textId="77777777" w:rsidR="005F2D56" w:rsidRPr="008C791C" w:rsidRDefault="005F2D56" w:rsidP="00D0463D">
            <w:pPr>
              <w:pStyle w:val="TableParagraph"/>
              <w:spacing w:before="87"/>
              <w:jc w:val="left"/>
              <w:rPr>
                <w:sz w:val="20"/>
                <w:szCs w:val="20"/>
              </w:rPr>
            </w:pPr>
            <w:r w:rsidRPr="008C791C">
              <w:rPr>
                <w:sz w:val="20"/>
                <w:szCs w:val="20"/>
              </w:rPr>
              <w:t>T</w:t>
            </w:r>
            <w:r w:rsidRPr="008C791C">
              <w:rPr>
                <w:sz w:val="20"/>
                <w:szCs w:val="20"/>
                <w:vertAlign w:val="subscript"/>
              </w:rPr>
              <w:t>4</w:t>
            </w:r>
            <w:r w:rsidRPr="008C791C">
              <w:rPr>
                <w:sz w:val="20"/>
                <w:szCs w:val="20"/>
              </w:rPr>
              <w:t>-Biochar@4tha</w:t>
            </w:r>
            <w:r w:rsidRPr="008C791C">
              <w:rPr>
                <w:sz w:val="20"/>
                <w:szCs w:val="20"/>
                <w:vertAlign w:val="superscript"/>
              </w:rPr>
              <w:t>-</w:t>
            </w:r>
            <w:r w:rsidRPr="008C791C">
              <w:rPr>
                <w:spacing w:val="-10"/>
                <w:sz w:val="20"/>
                <w:szCs w:val="20"/>
                <w:vertAlign w:val="superscript"/>
              </w:rPr>
              <w:t>1</w:t>
            </w:r>
          </w:p>
        </w:tc>
        <w:tc>
          <w:tcPr>
            <w:tcW w:w="332" w:type="pct"/>
          </w:tcPr>
          <w:p w14:paraId="3F6880CE" w14:textId="77777777" w:rsidR="005F2D56" w:rsidRPr="008C791C" w:rsidRDefault="005F2D56" w:rsidP="00D0463D">
            <w:pPr>
              <w:pStyle w:val="TableParagraph"/>
              <w:spacing w:before="97"/>
              <w:ind w:left="88" w:right="79"/>
              <w:rPr>
                <w:sz w:val="20"/>
                <w:szCs w:val="20"/>
              </w:rPr>
            </w:pPr>
            <w:r w:rsidRPr="008C791C">
              <w:rPr>
                <w:spacing w:val="-2"/>
                <w:sz w:val="20"/>
                <w:szCs w:val="20"/>
              </w:rPr>
              <w:t>171.79</w:t>
            </w:r>
          </w:p>
        </w:tc>
        <w:tc>
          <w:tcPr>
            <w:tcW w:w="289" w:type="pct"/>
          </w:tcPr>
          <w:p w14:paraId="27223707" w14:textId="77777777" w:rsidR="005F2D56" w:rsidRPr="008C791C" w:rsidRDefault="005F2D56" w:rsidP="00D0463D">
            <w:pPr>
              <w:pStyle w:val="TableParagraph"/>
              <w:spacing w:before="97"/>
              <w:ind w:left="14" w:right="5"/>
              <w:rPr>
                <w:sz w:val="20"/>
                <w:szCs w:val="20"/>
              </w:rPr>
            </w:pPr>
            <w:r w:rsidRPr="008C791C">
              <w:rPr>
                <w:spacing w:val="-2"/>
                <w:sz w:val="20"/>
                <w:szCs w:val="20"/>
              </w:rPr>
              <w:t>44.17</w:t>
            </w:r>
          </w:p>
        </w:tc>
        <w:tc>
          <w:tcPr>
            <w:tcW w:w="363" w:type="pct"/>
          </w:tcPr>
          <w:p w14:paraId="66A5D95D" w14:textId="77777777" w:rsidR="005F2D56" w:rsidRPr="008C791C" w:rsidRDefault="005F2D56" w:rsidP="00D0463D">
            <w:pPr>
              <w:pStyle w:val="TableParagraph"/>
              <w:spacing w:before="87"/>
              <w:ind w:left="88" w:right="79"/>
              <w:rPr>
                <w:sz w:val="20"/>
                <w:szCs w:val="20"/>
              </w:rPr>
            </w:pPr>
            <w:r w:rsidRPr="008C791C">
              <w:rPr>
                <w:spacing w:val="-2"/>
                <w:sz w:val="20"/>
                <w:szCs w:val="20"/>
              </w:rPr>
              <w:t>215.96</w:t>
            </w:r>
          </w:p>
        </w:tc>
        <w:tc>
          <w:tcPr>
            <w:tcW w:w="272" w:type="pct"/>
          </w:tcPr>
          <w:p w14:paraId="0390AC1E" w14:textId="77777777" w:rsidR="005F2D56" w:rsidRPr="008C791C" w:rsidRDefault="005F2D56" w:rsidP="00D0463D">
            <w:pPr>
              <w:pStyle w:val="TableParagraph"/>
              <w:spacing w:before="97"/>
              <w:ind w:left="18"/>
              <w:rPr>
                <w:sz w:val="20"/>
                <w:szCs w:val="20"/>
              </w:rPr>
            </w:pPr>
            <w:r w:rsidRPr="008C791C">
              <w:rPr>
                <w:spacing w:val="-2"/>
                <w:sz w:val="20"/>
                <w:szCs w:val="20"/>
              </w:rPr>
              <w:t>36.10</w:t>
            </w:r>
          </w:p>
        </w:tc>
        <w:tc>
          <w:tcPr>
            <w:tcW w:w="288" w:type="pct"/>
          </w:tcPr>
          <w:p w14:paraId="60279A84" w14:textId="77777777" w:rsidR="005F2D56" w:rsidRPr="008C791C" w:rsidRDefault="005F2D56" w:rsidP="00D0463D">
            <w:pPr>
              <w:pStyle w:val="TableParagraph"/>
              <w:spacing w:before="97"/>
              <w:ind w:left="12" w:right="5"/>
              <w:rPr>
                <w:sz w:val="20"/>
                <w:szCs w:val="20"/>
              </w:rPr>
            </w:pPr>
            <w:r w:rsidRPr="008C791C">
              <w:rPr>
                <w:spacing w:val="-2"/>
                <w:sz w:val="20"/>
                <w:szCs w:val="20"/>
              </w:rPr>
              <w:t>14.19</w:t>
            </w:r>
          </w:p>
        </w:tc>
        <w:tc>
          <w:tcPr>
            <w:tcW w:w="351" w:type="pct"/>
          </w:tcPr>
          <w:p w14:paraId="6A5FACD1"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50.29</w:t>
            </w:r>
          </w:p>
        </w:tc>
        <w:tc>
          <w:tcPr>
            <w:tcW w:w="283" w:type="pct"/>
          </w:tcPr>
          <w:p w14:paraId="7375B938" w14:textId="77777777" w:rsidR="005F2D56" w:rsidRPr="008C791C" w:rsidRDefault="005F2D56" w:rsidP="00D0463D">
            <w:pPr>
              <w:pStyle w:val="TableParagraph"/>
              <w:spacing w:before="97"/>
              <w:ind w:left="18" w:right="3"/>
              <w:rPr>
                <w:sz w:val="20"/>
                <w:szCs w:val="20"/>
              </w:rPr>
            </w:pPr>
            <w:r w:rsidRPr="008C791C">
              <w:rPr>
                <w:spacing w:val="-2"/>
                <w:sz w:val="20"/>
                <w:szCs w:val="20"/>
              </w:rPr>
              <w:t>37.26</w:t>
            </w:r>
          </w:p>
        </w:tc>
        <w:tc>
          <w:tcPr>
            <w:tcW w:w="289" w:type="pct"/>
          </w:tcPr>
          <w:p w14:paraId="064F9DBF" w14:textId="77777777" w:rsidR="005F2D56" w:rsidRPr="008C791C" w:rsidRDefault="005F2D56" w:rsidP="00D0463D">
            <w:pPr>
              <w:pStyle w:val="TableParagraph"/>
              <w:spacing w:before="97"/>
              <w:ind w:left="12" w:right="8"/>
              <w:rPr>
                <w:sz w:val="20"/>
                <w:szCs w:val="20"/>
              </w:rPr>
            </w:pPr>
            <w:r w:rsidRPr="008C791C">
              <w:rPr>
                <w:spacing w:val="-2"/>
                <w:sz w:val="20"/>
                <w:szCs w:val="20"/>
              </w:rPr>
              <w:t>17.87</w:t>
            </w:r>
          </w:p>
        </w:tc>
        <w:tc>
          <w:tcPr>
            <w:tcW w:w="286" w:type="pct"/>
          </w:tcPr>
          <w:p w14:paraId="37635A5D" w14:textId="77777777" w:rsidR="005F2D56" w:rsidRPr="008C791C" w:rsidRDefault="005F2D56" w:rsidP="00D0463D">
            <w:pPr>
              <w:pStyle w:val="TableParagraph"/>
              <w:spacing w:before="87"/>
              <w:ind w:left="3" w:right="4"/>
              <w:rPr>
                <w:sz w:val="20"/>
                <w:szCs w:val="20"/>
              </w:rPr>
            </w:pPr>
            <w:r w:rsidRPr="008C791C">
              <w:rPr>
                <w:spacing w:val="-2"/>
                <w:sz w:val="20"/>
                <w:szCs w:val="20"/>
              </w:rPr>
              <w:t>55.13</w:t>
            </w:r>
          </w:p>
        </w:tc>
        <w:tc>
          <w:tcPr>
            <w:tcW w:w="283" w:type="pct"/>
          </w:tcPr>
          <w:p w14:paraId="798E818A" w14:textId="77777777" w:rsidR="005F2D56" w:rsidRPr="008C791C" w:rsidRDefault="005F2D56" w:rsidP="00D0463D">
            <w:pPr>
              <w:pStyle w:val="TableParagraph"/>
              <w:spacing w:before="97"/>
              <w:ind w:left="18" w:right="6"/>
              <w:rPr>
                <w:sz w:val="20"/>
                <w:szCs w:val="20"/>
              </w:rPr>
            </w:pPr>
            <w:r w:rsidRPr="008C791C">
              <w:rPr>
                <w:spacing w:val="-2"/>
                <w:sz w:val="20"/>
                <w:szCs w:val="20"/>
              </w:rPr>
              <w:t>11.27</w:t>
            </w:r>
          </w:p>
        </w:tc>
        <w:tc>
          <w:tcPr>
            <w:tcW w:w="359" w:type="pct"/>
          </w:tcPr>
          <w:p w14:paraId="6B0C9094" w14:textId="77777777" w:rsidR="005F2D56" w:rsidRPr="008C791C" w:rsidRDefault="005F2D56" w:rsidP="00D0463D">
            <w:pPr>
              <w:pStyle w:val="TableParagraph"/>
              <w:spacing w:before="97"/>
              <w:ind w:left="12" w:right="11"/>
              <w:rPr>
                <w:sz w:val="20"/>
                <w:szCs w:val="20"/>
              </w:rPr>
            </w:pPr>
            <w:r w:rsidRPr="008C791C">
              <w:rPr>
                <w:spacing w:val="-2"/>
                <w:sz w:val="20"/>
                <w:szCs w:val="20"/>
              </w:rPr>
              <w:t>13.15</w:t>
            </w:r>
          </w:p>
        </w:tc>
        <w:tc>
          <w:tcPr>
            <w:tcW w:w="279" w:type="pct"/>
          </w:tcPr>
          <w:p w14:paraId="5C136AEF" w14:textId="77777777" w:rsidR="005F2D56" w:rsidRPr="008C791C" w:rsidRDefault="005F2D56" w:rsidP="00D0463D">
            <w:pPr>
              <w:pStyle w:val="TableParagraph"/>
              <w:spacing w:before="87"/>
              <w:ind w:left="4" w:right="4"/>
              <w:rPr>
                <w:sz w:val="20"/>
                <w:szCs w:val="20"/>
              </w:rPr>
            </w:pPr>
            <w:r w:rsidRPr="008C791C">
              <w:rPr>
                <w:spacing w:val="-2"/>
                <w:sz w:val="20"/>
                <w:szCs w:val="20"/>
              </w:rPr>
              <w:t>24.42</w:t>
            </w:r>
          </w:p>
        </w:tc>
      </w:tr>
      <w:tr w:rsidR="005F2D56" w:rsidRPr="008C791C" w14:paraId="04A631FB" w14:textId="77777777" w:rsidTr="005F2D56">
        <w:trPr>
          <w:trHeight w:val="527"/>
        </w:trPr>
        <w:tc>
          <w:tcPr>
            <w:tcW w:w="1325" w:type="pct"/>
          </w:tcPr>
          <w:p w14:paraId="6F505C3B" w14:textId="77777777" w:rsidR="005F2D56" w:rsidRPr="008C791C" w:rsidRDefault="005F2D56" w:rsidP="00D0463D">
            <w:pPr>
              <w:pStyle w:val="TableParagraph"/>
              <w:spacing w:before="87"/>
              <w:jc w:val="left"/>
              <w:rPr>
                <w:sz w:val="20"/>
                <w:szCs w:val="20"/>
              </w:rPr>
            </w:pPr>
            <w:r w:rsidRPr="008C791C">
              <w:rPr>
                <w:sz w:val="20"/>
                <w:szCs w:val="20"/>
              </w:rPr>
              <w:t>T</w:t>
            </w:r>
            <w:r w:rsidRPr="008C791C">
              <w:rPr>
                <w:sz w:val="20"/>
                <w:szCs w:val="20"/>
                <w:vertAlign w:val="subscript"/>
              </w:rPr>
              <w:t>5</w:t>
            </w:r>
            <w:r w:rsidRPr="008C791C">
              <w:rPr>
                <w:position w:val="1"/>
                <w:sz w:val="20"/>
                <w:szCs w:val="20"/>
              </w:rPr>
              <w:t>-50%RDF+Biochar@2t</w:t>
            </w:r>
            <w:r w:rsidRPr="008C791C">
              <w:rPr>
                <w:sz w:val="20"/>
                <w:szCs w:val="20"/>
              </w:rPr>
              <w:t>ha</w:t>
            </w:r>
            <w:r w:rsidRPr="008C791C">
              <w:rPr>
                <w:sz w:val="20"/>
                <w:szCs w:val="20"/>
                <w:vertAlign w:val="superscript"/>
              </w:rPr>
              <w:t>-</w:t>
            </w:r>
            <w:r w:rsidRPr="008C791C">
              <w:rPr>
                <w:spacing w:val="-10"/>
                <w:sz w:val="20"/>
                <w:szCs w:val="20"/>
                <w:vertAlign w:val="superscript"/>
              </w:rPr>
              <w:t>1</w:t>
            </w:r>
          </w:p>
        </w:tc>
        <w:tc>
          <w:tcPr>
            <w:tcW w:w="332" w:type="pct"/>
          </w:tcPr>
          <w:p w14:paraId="78EF47D4" w14:textId="77777777" w:rsidR="005F2D56" w:rsidRPr="008C791C" w:rsidRDefault="005F2D56" w:rsidP="00D0463D">
            <w:pPr>
              <w:pStyle w:val="TableParagraph"/>
              <w:spacing w:before="97"/>
              <w:ind w:left="88" w:right="79"/>
              <w:rPr>
                <w:sz w:val="20"/>
                <w:szCs w:val="20"/>
              </w:rPr>
            </w:pPr>
            <w:r w:rsidRPr="008C791C">
              <w:rPr>
                <w:spacing w:val="-2"/>
                <w:sz w:val="20"/>
                <w:szCs w:val="20"/>
              </w:rPr>
              <w:t>203.08</w:t>
            </w:r>
          </w:p>
        </w:tc>
        <w:tc>
          <w:tcPr>
            <w:tcW w:w="289" w:type="pct"/>
          </w:tcPr>
          <w:p w14:paraId="0EA38EB9" w14:textId="77777777" w:rsidR="005F2D56" w:rsidRPr="008C791C" w:rsidRDefault="005F2D56" w:rsidP="00D0463D">
            <w:pPr>
              <w:pStyle w:val="TableParagraph"/>
              <w:spacing w:before="97"/>
              <w:ind w:left="14" w:right="5"/>
              <w:rPr>
                <w:sz w:val="20"/>
                <w:szCs w:val="20"/>
              </w:rPr>
            </w:pPr>
            <w:r w:rsidRPr="008C791C">
              <w:rPr>
                <w:spacing w:val="-2"/>
                <w:sz w:val="20"/>
                <w:szCs w:val="20"/>
              </w:rPr>
              <w:t>55.50</w:t>
            </w:r>
          </w:p>
        </w:tc>
        <w:tc>
          <w:tcPr>
            <w:tcW w:w="363" w:type="pct"/>
          </w:tcPr>
          <w:p w14:paraId="33A708AE" w14:textId="77777777" w:rsidR="005F2D56" w:rsidRPr="008C791C" w:rsidRDefault="005F2D56" w:rsidP="00D0463D">
            <w:pPr>
              <w:pStyle w:val="TableParagraph"/>
              <w:spacing w:before="87"/>
              <w:ind w:left="88" w:right="79"/>
              <w:rPr>
                <w:sz w:val="20"/>
                <w:szCs w:val="20"/>
              </w:rPr>
            </w:pPr>
            <w:r w:rsidRPr="008C791C">
              <w:rPr>
                <w:spacing w:val="-2"/>
                <w:sz w:val="20"/>
                <w:szCs w:val="20"/>
              </w:rPr>
              <w:t>258.58</w:t>
            </w:r>
          </w:p>
        </w:tc>
        <w:tc>
          <w:tcPr>
            <w:tcW w:w="272" w:type="pct"/>
          </w:tcPr>
          <w:p w14:paraId="2A04BAE7" w14:textId="77777777" w:rsidR="005F2D56" w:rsidRPr="008C791C" w:rsidRDefault="005F2D56" w:rsidP="00D0463D">
            <w:pPr>
              <w:pStyle w:val="TableParagraph"/>
              <w:spacing w:before="97"/>
              <w:ind w:left="18"/>
              <w:rPr>
                <w:sz w:val="20"/>
                <w:szCs w:val="20"/>
              </w:rPr>
            </w:pPr>
            <w:r w:rsidRPr="008C791C">
              <w:rPr>
                <w:spacing w:val="-2"/>
                <w:sz w:val="20"/>
                <w:szCs w:val="20"/>
              </w:rPr>
              <w:t>44.18</w:t>
            </w:r>
          </w:p>
        </w:tc>
        <w:tc>
          <w:tcPr>
            <w:tcW w:w="288" w:type="pct"/>
          </w:tcPr>
          <w:p w14:paraId="1282F288" w14:textId="77777777" w:rsidR="005F2D56" w:rsidRPr="008C791C" w:rsidRDefault="005F2D56" w:rsidP="00D0463D">
            <w:pPr>
              <w:pStyle w:val="TableParagraph"/>
              <w:spacing w:before="97"/>
              <w:ind w:left="12" w:right="5"/>
              <w:rPr>
                <w:sz w:val="20"/>
                <w:szCs w:val="20"/>
              </w:rPr>
            </w:pPr>
            <w:r w:rsidRPr="008C791C">
              <w:rPr>
                <w:spacing w:val="-2"/>
                <w:sz w:val="20"/>
                <w:szCs w:val="20"/>
              </w:rPr>
              <w:t>17.83</w:t>
            </w:r>
          </w:p>
        </w:tc>
        <w:tc>
          <w:tcPr>
            <w:tcW w:w="351" w:type="pct"/>
          </w:tcPr>
          <w:p w14:paraId="449F113D"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62.01</w:t>
            </w:r>
          </w:p>
        </w:tc>
        <w:tc>
          <w:tcPr>
            <w:tcW w:w="283" w:type="pct"/>
          </w:tcPr>
          <w:p w14:paraId="25653617" w14:textId="77777777" w:rsidR="005F2D56" w:rsidRPr="008C791C" w:rsidRDefault="005F2D56" w:rsidP="00D0463D">
            <w:pPr>
              <w:pStyle w:val="TableParagraph"/>
              <w:spacing w:before="97"/>
              <w:ind w:left="18" w:right="3"/>
              <w:rPr>
                <w:sz w:val="20"/>
                <w:szCs w:val="20"/>
              </w:rPr>
            </w:pPr>
            <w:r w:rsidRPr="008C791C">
              <w:rPr>
                <w:spacing w:val="-2"/>
                <w:sz w:val="20"/>
                <w:szCs w:val="20"/>
              </w:rPr>
              <w:t>48.61</w:t>
            </w:r>
          </w:p>
        </w:tc>
        <w:tc>
          <w:tcPr>
            <w:tcW w:w="289" w:type="pct"/>
          </w:tcPr>
          <w:p w14:paraId="36D8DD88" w14:textId="77777777" w:rsidR="005F2D56" w:rsidRPr="008C791C" w:rsidRDefault="005F2D56" w:rsidP="00D0463D">
            <w:pPr>
              <w:pStyle w:val="TableParagraph"/>
              <w:spacing w:before="97"/>
              <w:ind w:left="12" w:right="8"/>
              <w:rPr>
                <w:sz w:val="20"/>
                <w:szCs w:val="20"/>
              </w:rPr>
            </w:pPr>
            <w:r w:rsidRPr="008C791C">
              <w:rPr>
                <w:spacing w:val="-2"/>
                <w:sz w:val="20"/>
                <w:szCs w:val="20"/>
              </w:rPr>
              <w:t>21.62</w:t>
            </w:r>
          </w:p>
        </w:tc>
        <w:tc>
          <w:tcPr>
            <w:tcW w:w="286" w:type="pct"/>
          </w:tcPr>
          <w:p w14:paraId="38B787B1" w14:textId="77777777" w:rsidR="005F2D56" w:rsidRPr="008C791C" w:rsidRDefault="005F2D56" w:rsidP="00D0463D">
            <w:pPr>
              <w:pStyle w:val="TableParagraph"/>
              <w:spacing w:before="87"/>
              <w:ind w:left="3" w:right="4"/>
              <w:rPr>
                <w:sz w:val="20"/>
                <w:szCs w:val="20"/>
              </w:rPr>
            </w:pPr>
            <w:r w:rsidRPr="008C791C">
              <w:rPr>
                <w:spacing w:val="-2"/>
                <w:sz w:val="20"/>
                <w:szCs w:val="20"/>
              </w:rPr>
              <w:t>70.23</w:t>
            </w:r>
          </w:p>
        </w:tc>
        <w:tc>
          <w:tcPr>
            <w:tcW w:w="283" w:type="pct"/>
          </w:tcPr>
          <w:p w14:paraId="73DD709B" w14:textId="77777777" w:rsidR="005F2D56" w:rsidRPr="008C791C" w:rsidRDefault="005F2D56" w:rsidP="00D0463D">
            <w:pPr>
              <w:pStyle w:val="TableParagraph"/>
              <w:spacing w:before="97"/>
              <w:ind w:left="18" w:right="6"/>
              <w:rPr>
                <w:sz w:val="20"/>
                <w:szCs w:val="20"/>
              </w:rPr>
            </w:pPr>
            <w:r w:rsidRPr="008C791C">
              <w:rPr>
                <w:spacing w:val="-2"/>
                <w:sz w:val="20"/>
                <w:szCs w:val="20"/>
              </w:rPr>
              <w:t>13.53</w:t>
            </w:r>
          </w:p>
        </w:tc>
        <w:tc>
          <w:tcPr>
            <w:tcW w:w="359" w:type="pct"/>
          </w:tcPr>
          <w:p w14:paraId="1135EC50" w14:textId="77777777" w:rsidR="005F2D56" w:rsidRPr="008C791C" w:rsidRDefault="005F2D56" w:rsidP="00D0463D">
            <w:pPr>
              <w:pStyle w:val="TableParagraph"/>
              <w:spacing w:before="97"/>
              <w:ind w:left="12" w:right="11"/>
              <w:rPr>
                <w:sz w:val="20"/>
                <w:szCs w:val="20"/>
              </w:rPr>
            </w:pPr>
            <w:r w:rsidRPr="008C791C">
              <w:rPr>
                <w:spacing w:val="-2"/>
                <w:sz w:val="20"/>
                <w:szCs w:val="20"/>
              </w:rPr>
              <w:t>16.15</w:t>
            </w:r>
          </w:p>
        </w:tc>
        <w:tc>
          <w:tcPr>
            <w:tcW w:w="279" w:type="pct"/>
          </w:tcPr>
          <w:p w14:paraId="5CB7723B" w14:textId="77777777" w:rsidR="005F2D56" w:rsidRPr="008C791C" w:rsidRDefault="005F2D56" w:rsidP="00D0463D">
            <w:pPr>
              <w:pStyle w:val="TableParagraph"/>
              <w:spacing w:before="87"/>
              <w:ind w:left="4" w:right="4"/>
              <w:rPr>
                <w:sz w:val="20"/>
                <w:szCs w:val="20"/>
              </w:rPr>
            </w:pPr>
            <w:r w:rsidRPr="008C791C">
              <w:rPr>
                <w:spacing w:val="-2"/>
                <w:sz w:val="20"/>
                <w:szCs w:val="20"/>
              </w:rPr>
              <w:t>29.68</w:t>
            </w:r>
          </w:p>
        </w:tc>
      </w:tr>
      <w:tr w:rsidR="005F2D56" w:rsidRPr="008C791C" w14:paraId="42CDAF7B" w14:textId="77777777" w:rsidTr="005F2D56">
        <w:trPr>
          <w:trHeight w:val="532"/>
        </w:trPr>
        <w:tc>
          <w:tcPr>
            <w:tcW w:w="1325" w:type="pct"/>
          </w:tcPr>
          <w:p w14:paraId="76D816EA" w14:textId="77777777" w:rsidR="005F2D56" w:rsidRPr="008C791C" w:rsidRDefault="005F2D56" w:rsidP="00D0463D">
            <w:pPr>
              <w:pStyle w:val="TableParagraph"/>
              <w:spacing w:before="92"/>
              <w:jc w:val="left"/>
              <w:rPr>
                <w:sz w:val="20"/>
                <w:szCs w:val="20"/>
              </w:rPr>
            </w:pPr>
            <w:r w:rsidRPr="008C791C">
              <w:rPr>
                <w:sz w:val="20"/>
                <w:szCs w:val="20"/>
              </w:rPr>
              <w:t>T</w:t>
            </w:r>
            <w:r w:rsidRPr="008C791C">
              <w:rPr>
                <w:sz w:val="20"/>
                <w:szCs w:val="20"/>
                <w:vertAlign w:val="subscript"/>
              </w:rPr>
              <w:t>6</w:t>
            </w:r>
            <w:r w:rsidRPr="008C791C">
              <w:rPr>
                <w:position w:val="1"/>
                <w:sz w:val="20"/>
                <w:szCs w:val="20"/>
              </w:rPr>
              <w:t>-50%RDF+Biochar@4t</w:t>
            </w:r>
            <w:r w:rsidRPr="008C791C">
              <w:rPr>
                <w:sz w:val="20"/>
                <w:szCs w:val="20"/>
              </w:rPr>
              <w:t>ha</w:t>
            </w:r>
            <w:r w:rsidRPr="008C791C">
              <w:rPr>
                <w:sz w:val="20"/>
                <w:szCs w:val="20"/>
                <w:vertAlign w:val="superscript"/>
              </w:rPr>
              <w:t>-</w:t>
            </w:r>
            <w:r w:rsidRPr="008C791C">
              <w:rPr>
                <w:spacing w:val="-10"/>
                <w:sz w:val="20"/>
                <w:szCs w:val="20"/>
                <w:vertAlign w:val="superscript"/>
              </w:rPr>
              <w:t>1</w:t>
            </w:r>
          </w:p>
        </w:tc>
        <w:tc>
          <w:tcPr>
            <w:tcW w:w="332" w:type="pct"/>
          </w:tcPr>
          <w:p w14:paraId="5AF3F9B4" w14:textId="77777777" w:rsidR="005F2D56" w:rsidRPr="008C791C" w:rsidRDefault="005F2D56" w:rsidP="00D0463D">
            <w:pPr>
              <w:pStyle w:val="TableParagraph"/>
              <w:spacing w:before="102"/>
              <w:ind w:left="88" w:right="79"/>
              <w:rPr>
                <w:sz w:val="20"/>
                <w:szCs w:val="20"/>
              </w:rPr>
            </w:pPr>
            <w:r w:rsidRPr="008C791C">
              <w:rPr>
                <w:spacing w:val="-2"/>
                <w:sz w:val="20"/>
                <w:szCs w:val="20"/>
              </w:rPr>
              <w:t>224.59</w:t>
            </w:r>
          </w:p>
        </w:tc>
        <w:tc>
          <w:tcPr>
            <w:tcW w:w="289" w:type="pct"/>
          </w:tcPr>
          <w:p w14:paraId="5CBF6167" w14:textId="77777777" w:rsidR="005F2D56" w:rsidRPr="008C791C" w:rsidRDefault="005F2D56" w:rsidP="00D0463D">
            <w:pPr>
              <w:pStyle w:val="TableParagraph"/>
              <w:spacing w:before="102"/>
              <w:ind w:left="14" w:right="5"/>
              <w:rPr>
                <w:sz w:val="20"/>
                <w:szCs w:val="20"/>
              </w:rPr>
            </w:pPr>
            <w:r w:rsidRPr="008C791C">
              <w:rPr>
                <w:spacing w:val="-2"/>
                <w:sz w:val="20"/>
                <w:szCs w:val="20"/>
              </w:rPr>
              <w:t>65.25</w:t>
            </w:r>
          </w:p>
        </w:tc>
        <w:tc>
          <w:tcPr>
            <w:tcW w:w="363" w:type="pct"/>
          </w:tcPr>
          <w:p w14:paraId="3508A5A7" w14:textId="77777777" w:rsidR="005F2D56" w:rsidRPr="008C791C" w:rsidRDefault="005F2D56" w:rsidP="00D0463D">
            <w:pPr>
              <w:pStyle w:val="TableParagraph"/>
              <w:spacing w:before="92"/>
              <w:ind w:left="88" w:right="79"/>
              <w:rPr>
                <w:sz w:val="20"/>
                <w:szCs w:val="20"/>
              </w:rPr>
            </w:pPr>
            <w:r w:rsidRPr="008C791C">
              <w:rPr>
                <w:spacing w:val="-2"/>
                <w:sz w:val="20"/>
                <w:szCs w:val="20"/>
              </w:rPr>
              <w:t>289.84</w:t>
            </w:r>
          </w:p>
        </w:tc>
        <w:tc>
          <w:tcPr>
            <w:tcW w:w="272" w:type="pct"/>
          </w:tcPr>
          <w:p w14:paraId="27C7CD76" w14:textId="77777777" w:rsidR="005F2D56" w:rsidRPr="008C791C" w:rsidRDefault="005F2D56" w:rsidP="00D0463D">
            <w:pPr>
              <w:pStyle w:val="TableParagraph"/>
              <w:spacing w:before="102"/>
              <w:ind w:left="18"/>
              <w:rPr>
                <w:sz w:val="20"/>
                <w:szCs w:val="20"/>
              </w:rPr>
            </w:pPr>
            <w:r w:rsidRPr="008C791C">
              <w:rPr>
                <w:spacing w:val="-2"/>
                <w:sz w:val="20"/>
                <w:szCs w:val="20"/>
              </w:rPr>
              <w:t>47.83</w:t>
            </w:r>
          </w:p>
        </w:tc>
        <w:tc>
          <w:tcPr>
            <w:tcW w:w="288" w:type="pct"/>
          </w:tcPr>
          <w:p w14:paraId="372200E2" w14:textId="77777777" w:rsidR="005F2D56" w:rsidRPr="008C791C" w:rsidRDefault="005F2D56" w:rsidP="00D0463D">
            <w:pPr>
              <w:pStyle w:val="TableParagraph"/>
              <w:spacing w:before="102"/>
              <w:ind w:left="12" w:right="5"/>
              <w:rPr>
                <w:sz w:val="20"/>
                <w:szCs w:val="20"/>
              </w:rPr>
            </w:pPr>
            <w:r w:rsidRPr="008C791C">
              <w:rPr>
                <w:spacing w:val="-2"/>
                <w:sz w:val="20"/>
                <w:szCs w:val="20"/>
              </w:rPr>
              <w:t>20.48</w:t>
            </w:r>
          </w:p>
        </w:tc>
        <w:tc>
          <w:tcPr>
            <w:tcW w:w="351" w:type="pct"/>
          </w:tcPr>
          <w:p w14:paraId="2E88AFDA" w14:textId="77777777" w:rsidR="005F2D56" w:rsidRPr="008C791C" w:rsidRDefault="005F2D56" w:rsidP="00D0463D">
            <w:pPr>
              <w:pStyle w:val="TableParagraph"/>
              <w:spacing w:before="92"/>
              <w:ind w:left="0" w:right="109"/>
              <w:jc w:val="right"/>
              <w:rPr>
                <w:sz w:val="20"/>
                <w:szCs w:val="20"/>
              </w:rPr>
            </w:pPr>
            <w:r w:rsidRPr="008C791C">
              <w:rPr>
                <w:spacing w:val="-2"/>
                <w:sz w:val="20"/>
                <w:szCs w:val="20"/>
              </w:rPr>
              <w:t>68.31</w:t>
            </w:r>
          </w:p>
        </w:tc>
        <w:tc>
          <w:tcPr>
            <w:tcW w:w="283" w:type="pct"/>
          </w:tcPr>
          <w:p w14:paraId="4CCEF830" w14:textId="77777777" w:rsidR="005F2D56" w:rsidRPr="008C791C" w:rsidRDefault="005F2D56" w:rsidP="00D0463D">
            <w:pPr>
              <w:pStyle w:val="TableParagraph"/>
              <w:spacing w:before="102"/>
              <w:ind w:left="18" w:right="3"/>
              <w:rPr>
                <w:sz w:val="20"/>
                <w:szCs w:val="20"/>
              </w:rPr>
            </w:pPr>
            <w:r w:rsidRPr="008C791C">
              <w:rPr>
                <w:spacing w:val="-2"/>
                <w:sz w:val="20"/>
                <w:szCs w:val="20"/>
              </w:rPr>
              <w:t>55.79</w:t>
            </w:r>
          </w:p>
        </w:tc>
        <w:tc>
          <w:tcPr>
            <w:tcW w:w="289" w:type="pct"/>
          </w:tcPr>
          <w:p w14:paraId="3B1439E8" w14:textId="77777777" w:rsidR="005F2D56" w:rsidRPr="008C791C" w:rsidRDefault="005F2D56" w:rsidP="00D0463D">
            <w:pPr>
              <w:pStyle w:val="TableParagraph"/>
              <w:spacing w:before="102"/>
              <w:ind w:left="12" w:right="8"/>
              <w:rPr>
                <w:sz w:val="20"/>
                <w:szCs w:val="20"/>
              </w:rPr>
            </w:pPr>
            <w:r w:rsidRPr="008C791C">
              <w:rPr>
                <w:spacing w:val="-2"/>
                <w:sz w:val="20"/>
                <w:szCs w:val="20"/>
              </w:rPr>
              <w:t>25.41</w:t>
            </w:r>
          </w:p>
        </w:tc>
        <w:tc>
          <w:tcPr>
            <w:tcW w:w="286" w:type="pct"/>
          </w:tcPr>
          <w:p w14:paraId="11FE4569" w14:textId="77777777" w:rsidR="005F2D56" w:rsidRPr="008C791C" w:rsidRDefault="005F2D56" w:rsidP="00D0463D">
            <w:pPr>
              <w:pStyle w:val="TableParagraph"/>
              <w:spacing w:before="92"/>
              <w:ind w:left="3" w:right="4"/>
              <w:rPr>
                <w:sz w:val="20"/>
                <w:szCs w:val="20"/>
              </w:rPr>
            </w:pPr>
            <w:r w:rsidRPr="008C791C">
              <w:rPr>
                <w:spacing w:val="-2"/>
                <w:sz w:val="20"/>
                <w:szCs w:val="20"/>
              </w:rPr>
              <w:t>81.20</w:t>
            </w:r>
          </w:p>
        </w:tc>
        <w:tc>
          <w:tcPr>
            <w:tcW w:w="283" w:type="pct"/>
          </w:tcPr>
          <w:p w14:paraId="62B99599" w14:textId="77777777" w:rsidR="005F2D56" w:rsidRPr="008C791C" w:rsidRDefault="005F2D56" w:rsidP="00D0463D">
            <w:pPr>
              <w:pStyle w:val="TableParagraph"/>
              <w:spacing w:before="102"/>
              <w:ind w:left="18" w:right="6"/>
              <w:rPr>
                <w:sz w:val="20"/>
                <w:szCs w:val="20"/>
              </w:rPr>
            </w:pPr>
            <w:r w:rsidRPr="008C791C">
              <w:rPr>
                <w:spacing w:val="-2"/>
                <w:sz w:val="20"/>
                <w:szCs w:val="20"/>
              </w:rPr>
              <w:t>15.39</w:t>
            </w:r>
          </w:p>
        </w:tc>
        <w:tc>
          <w:tcPr>
            <w:tcW w:w="359" w:type="pct"/>
          </w:tcPr>
          <w:p w14:paraId="04AD013A" w14:textId="77777777" w:rsidR="005F2D56" w:rsidRPr="008C791C" w:rsidRDefault="005F2D56" w:rsidP="00D0463D">
            <w:pPr>
              <w:pStyle w:val="TableParagraph"/>
              <w:spacing w:before="102"/>
              <w:ind w:left="12" w:right="11"/>
              <w:rPr>
                <w:sz w:val="20"/>
                <w:szCs w:val="20"/>
              </w:rPr>
            </w:pPr>
            <w:r w:rsidRPr="008C791C">
              <w:rPr>
                <w:spacing w:val="-2"/>
                <w:sz w:val="20"/>
                <w:szCs w:val="20"/>
              </w:rPr>
              <w:t>21.47</w:t>
            </w:r>
          </w:p>
        </w:tc>
        <w:tc>
          <w:tcPr>
            <w:tcW w:w="279" w:type="pct"/>
          </w:tcPr>
          <w:p w14:paraId="7C14BE19" w14:textId="77777777" w:rsidR="005F2D56" w:rsidRPr="008C791C" w:rsidRDefault="005F2D56" w:rsidP="00D0463D">
            <w:pPr>
              <w:pStyle w:val="TableParagraph"/>
              <w:spacing w:before="92"/>
              <w:ind w:left="4" w:right="4"/>
              <w:rPr>
                <w:sz w:val="20"/>
                <w:szCs w:val="20"/>
              </w:rPr>
            </w:pPr>
            <w:r w:rsidRPr="008C791C">
              <w:rPr>
                <w:spacing w:val="-2"/>
                <w:sz w:val="20"/>
                <w:szCs w:val="20"/>
              </w:rPr>
              <w:t>36.86</w:t>
            </w:r>
          </w:p>
        </w:tc>
      </w:tr>
      <w:tr w:rsidR="005F2D56" w:rsidRPr="008C791C" w14:paraId="42F7CAD6" w14:textId="77777777" w:rsidTr="005F2D56">
        <w:trPr>
          <w:trHeight w:val="532"/>
        </w:trPr>
        <w:tc>
          <w:tcPr>
            <w:tcW w:w="1325" w:type="pct"/>
          </w:tcPr>
          <w:p w14:paraId="67D1D8D3" w14:textId="77777777" w:rsidR="005F2D56" w:rsidRPr="008C791C" w:rsidRDefault="005F2D56" w:rsidP="00D0463D">
            <w:pPr>
              <w:pStyle w:val="TableParagraph"/>
              <w:spacing w:before="87"/>
              <w:jc w:val="left"/>
              <w:rPr>
                <w:sz w:val="20"/>
                <w:szCs w:val="20"/>
              </w:rPr>
            </w:pPr>
            <w:r w:rsidRPr="008C791C">
              <w:rPr>
                <w:sz w:val="20"/>
                <w:szCs w:val="20"/>
              </w:rPr>
              <w:t>T</w:t>
            </w:r>
            <w:r w:rsidRPr="008C791C">
              <w:rPr>
                <w:sz w:val="20"/>
                <w:szCs w:val="20"/>
                <w:vertAlign w:val="subscript"/>
              </w:rPr>
              <w:t>7</w:t>
            </w:r>
            <w:r w:rsidRPr="008C791C">
              <w:rPr>
                <w:sz w:val="20"/>
                <w:szCs w:val="20"/>
              </w:rPr>
              <w:t>-</w:t>
            </w:r>
            <w:r w:rsidRPr="008C791C">
              <w:rPr>
                <w:position w:val="1"/>
                <w:sz w:val="20"/>
                <w:szCs w:val="20"/>
              </w:rPr>
              <w:t>100%RDF+Biochar@2t</w:t>
            </w:r>
            <w:r w:rsidRPr="008C791C">
              <w:rPr>
                <w:sz w:val="20"/>
                <w:szCs w:val="20"/>
              </w:rPr>
              <w:t>ha</w:t>
            </w:r>
            <w:r w:rsidRPr="008C791C">
              <w:rPr>
                <w:sz w:val="20"/>
                <w:szCs w:val="20"/>
                <w:vertAlign w:val="superscript"/>
              </w:rPr>
              <w:t>-</w:t>
            </w:r>
            <w:r w:rsidRPr="008C791C">
              <w:rPr>
                <w:spacing w:val="-10"/>
                <w:sz w:val="20"/>
                <w:szCs w:val="20"/>
                <w:vertAlign w:val="superscript"/>
              </w:rPr>
              <w:t>1</w:t>
            </w:r>
          </w:p>
        </w:tc>
        <w:tc>
          <w:tcPr>
            <w:tcW w:w="332" w:type="pct"/>
          </w:tcPr>
          <w:p w14:paraId="7877FA01" w14:textId="77777777" w:rsidR="005F2D56" w:rsidRPr="008C791C" w:rsidRDefault="005F2D56" w:rsidP="00D0463D">
            <w:pPr>
              <w:pStyle w:val="TableParagraph"/>
              <w:spacing w:before="102"/>
              <w:ind w:left="88" w:right="79"/>
              <w:rPr>
                <w:sz w:val="20"/>
                <w:szCs w:val="20"/>
              </w:rPr>
            </w:pPr>
            <w:r w:rsidRPr="008C791C">
              <w:rPr>
                <w:spacing w:val="-2"/>
                <w:sz w:val="20"/>
                <w:szCs w:val="20"/>
              </w:rPr>
              <w:t>231.07</w:t>
            </w:r>
          </w:p>
        </w:tc>
        <w:tc>
          <w:tcPr>
            <w:tcW w:w="289" w:type="pct"/>
          </w:tcPr>
          <w:p w14:paraId="2DBEF306" w14:textId="77777777" w:rsidR="005F2D56" w:rsidRPr="008C791C" w:rsidRDefault="005F2D56" w:rsidP="00D0463D">
            <w:pPr>
              <w:pStyle w:val="TableParagraph"/>
              <w:spacing w:before="102"/>
              <w:ind w:left="14" w:right="5"/>
              <w:rPr>
                <w:sz w:val="20"/>
                <w:szCs w:val="20"/>
              </w:rPr>
            </w:pPr>
            <w:r w:rsidRPr="008C791C">
              <w:rPr>
                <w:spacing w:val="-2"/>
                <w:sz w:val="20"/>
                <w:szCs w:val="20"/>
              </w:rPr>
              <w:t>67.55</w:t>
            </w:r>
          </w:p>
        </w:tc>
        <w:tc>
          <w:tcPr>
            <w:tcW w:w="363" w:type="pct"/>
          </w:tcPr>
          <w:p w14:paraId="117DEDFF" w14:textId="77777777" w:rsidR="005F2D56" w:rsidRPr="008C791C" w:rsidRDefault="005F2D56" w:rsidP="00D0463D">
            <w:pPr>
              <w:pStyle w:val="TableParagraph"/>
              <w:spacing w:before="87"/>
              <w:ind w:left="88" w:right="79"/>
              <w:rPr>
                <w:sz w:val="20"/>
                <w:szCs w:val="20"/>
              </w:rPr>
            </w:pPr>
            <w:r w:rsidRPr="008C791C">
              <w:rPr>
                <w:spacing w:val="-2"/>
                <w:sz w:val="20"/>
                <w:szCs w:val="20"/>
              </w:rPr>
              <w:t>298.62</w:t>
            </w:r>
          </w:p>
        </w:tc>
        <w:tc>
          <w:tcPr>
            <w:tcW w:w="272" w:type="pct"/>
          </w:tcPr>
          <w:p w14:paraId="272007AF" w14:textId="77777777" w:rsidR="005F2D56" w:rsidRPr="008C791C" w:rsidRDefault="005F2D56" w:rsidP="00D0463D">
            <w:pPr>
              <w:pStyle w:val="TableParagraph"/>
              <w:spacing w:before="102"/>
              <w:ind w:left="18"/>
              <w:rPr>
                <w:sz w:val="20"/>
                <w:szCs w:val="20"/>
              </w:rPr>
            </w:pPr>
            <w:r w:rsidRPr="008C791C">
              <w:rPr>
                <w:spacing w:val="-2"/>
                <w:sz w:val="20"/>
                <w:szCs w:val="20"/>
              </w:rPr>
              <w:t>48.94</w:t>
            </w:r>
          </w:p>
        </w:tc>
        <w:tc>
          <w:tcPr>
            <w:tcW w:w="288" w:type="pct"/>
          </w:tcPr>
          <w:p w14:paraId="12D39952" w14:textId="77777777" w:rsidR="005F2D56" w:rsidRPr="008C791C" w:rsidRDefault="005F2D56" w:rsidP="00D0463D">
            <w:pPr>
              <w:pStyle w:val="TableParagraph"/>
              <w:spacing w:before="102"/>
              <w:ind w:left="12" w:right="5"/>
              <w:rPr>
                <w:sz w:val="20"/>
                <w:szCs w:val="20"/>
              </w:rPr>
            </w:pPr>
            <w:r w:rsidRPr="008C791C">
              <w:rPr>
                <w:spacing w:val="-2"/>
                <w:sz w:val="20"/>
                <w:szCs w:val="20"/>
              </w:rPr>
              <w:t>20.88</w:t>
            </w:r>
          </w:p>
        </w:tc>
        <w:tc>
          <w:tcPr>
            <w:tcW w:w="351" w:type="pct"/>
          </w:tcPr>
          <w:p w14:paraId="5AADA2F9"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69.82</w:t>
            </w:r>
          </w:p>
        </w:tc>
        <w:tc>
          <w:tcPr>
            <w:tcW w:w="283" w:type="pct"/>
          </w:tcPr>
          <w:p w14:paraId="52520F89" w14:textId="77777777" w:rsidR="005F2D56" w:rsidRPr="008C791C" w:rsidRDefault="005F2D56" w:rsidP="00D0463D">
            <w:pPr>
              <w:pStyle w:val="TableParagraph"/>
              <w:spacing w:before="102"/>
              <w:ind w:left="18" w:right="3"/>
              <w:rPr>
                <w:sz w:val="20"/>
                <w:szCs w:val="20"/>
              </w:rPr>
            </w:pPr>
            <w:r w:rsidRPr="008C791C">
              <w:rPr>
                <w:spacing w:val="-2"/>
                <w:sz w:val="20"/>
                <w:szCs w:val="20"/>
              </w:rPr>
              <w:t>57.56</w:t>
            </w:r>
          </w:p>
        </w:tc>
        <w:tc>
          <w:tcPr>
            <w:tcW w:w="289" w:type="pct"/>
          </w:tcPr>
          <w:p w14:paraId="312AD5E2" w14:textId="77777777" w:rsidR="005F2D56" w:rsidRPr="008C791C" w:rsidRDefault="005F2D56" w:rsidP="00D0463D">
            <w:pPr>
              <w:pStyle w:val="TableParagraph"/>
              <w:spacing w:before="102"/>
              <w:ind w:left="12" w:right="8"/>
              <w:rPr>
                <w:sz w:val="20"/>
                <w:szCs w:val="20"/>
              </w:rPr>
            </w:pPr>
            <w:r w:rsidRPr="008C791C">
              <w:rPr>
                <w:spacing w:val="-2"/>
                <w:sz w:val="20"/>
                <w:szCs w:val="20"/>
              </w:rPr>
              <w:t>26.01</w:t>
            </w:r>
          </w:p>
        </w:tc>
        <w:tc>
          <w:tcPr>
            <w:tcW w:w="286" w:type="pct"/>
          </w:tcPr>
          <w:p w14:paraId="535C1425" w14:textId="77777777" w:rsidR="005F2D56" w:rsidRPr="008C791C" w:rsidRDefault="005F2D56" w:rsidP="00D0463D">
            <w:pPr>
              <w:pStyle w:val="TableParagraph"/>
              <w:spacing w:before="87"/>
              <w:ind w:left="3" w:right="4"/>
              <w:rPr>
                <w:sz w:val="20"/>
                <w:szCs w:val="20"/>
              </w:rPr>
            </w:pPr>
            <w:r w:rsidRPr="008C791C">
              <w:rPr>
                <w:spacing w:val="-2"/>
                <w:sz w:val="20"/>
                <w:szCs w:val="20"/>
              </w:rPr>
              <w:t>83.57</w:t>
            </w:r>
          </w:p>
        </w:tc>
        <w:tc>
          <w:tcPr>
            <w:tcW w:w="283" w:type="pct"/>
          </w:tcPr>
          <w:p w14:paraId="0E7DAF81" w14:textId="77777777" w:rsidR="005F2D56" w:rsidRPr="008C791C" w:rsidRDefault="005F2D56" w:rsidP="00D0463D">
            <w:pPr>
              <w:pStyle w:val="TableParagraph"/>
              <w:spacing w:before="102"/>
              <w:ind w:left="18" w:right="6"/>
              <w:rPr>
                <w:sz w:val="20"/>
                <w:szCs w:val="20"/>
              </w:rPr>
            </w:pPr>
            <w:r w:rsidRPr="008C791C">
              <w:rPr>
                <w:spacing w:val="-2"/>
                <w:sz w:val="20"/>
                <w:szCs w:val="20"/>
              </w:rPr>
              <w:t>15.85</w:t>
            </w:r>
          </w:p>
        </w:tc>
        <w:tc>
          <w:tcPr>
            <w:tcW w:w="359" w:type="pct"/>
          </w:tcPr>
          <w:p w14:paraId="06C29619" w14:textId="77777777" w:rsidR="005F2D56" w:rsidRPr="008C791C" w:rsidRDefault="005F2D56" w:rsidP="00D0463D">
            <w:pPr>
              <w:pStyle w:val="TableParagraph"/>
              <w:spacing w:before="102"/>
              <w:ind w:left="12" w:right="11"/>
              <w:rPr>
                <w:sz w:val="20"/>
                <w:szCs w:val="20"/>
              </w:rPr>
            </w:pPr>
            <w:r w:rsidRPr="008C791C">
              <w:rPr>
                <w:spacing w:val="-2"/>
                <w:sz w:val="20"/>
                <w:szCs w:val="20"/>
              </w:rPr>
              <w:t>21.91</w:t>
            </w:r>
          </w:p>
        </w:tc>
        <w:tc>
          <w:tcPr>
            <w:tcW w:w="279" w:type="pct"/>
          </w:tcPr>
          <w:p w14:paraId="7204F354" w14:textId="77777777" w:rsidR="005F2D56" w:rsidRPr="008C791C" w:rsidRDefault="005F2D56" w:rsidP="00D0463D">
            <w:pPr>
              <w:pStyle w:val="TableParagraph"/>
              <w:spacing w:before="87"/>
              <w:ind w:left="4" w:right="4"/>
              <w:rPr>
                <w:sz w:val="20"/>
                <w:szCs w:val="20"/>
              </w:rPr>
            </w:pPr>
            <w:r w:rsidRPr="008C791C">
              <w:rPr>
                <w:spacing w:val="-2"/>
                <w:sz w:val="20"/>
                <w:szCs w:val="20"/>
              </w:rPr>
              <w:t>37.76</w:t>
            </w:r>
          </w:p>
        </w:tc>
      </w:tr>
      <w:tr w:rsidR="005F2D56" w:rsidRPr="008C791C" w14:paraId="1B3976E2" w14:textId="77777777" w:rsidTr="005F2D56">
        <w:trPr>
          <w:trHeight w:val="532"/>
        </w:trPr>
        <w:tc>
          <w:tcPr>
            <w:tcW w:w="1325" w:type="pct"/>
          </w:tcPr>
          <w:p w14:paraId="372D4E2E" w14:textId="77777777" w:rsidR="005F2D56" w:rsidRPr="008C791C" w:rsidRDefault="005F2D56" w:rsidP="00D0463D">
            <w:pPr>
              <w:pStyle w:val="TableParagraph"/>
              <w:spacing w:before="87"/>
              <w:jc w:val="left"/>
              <w:rPr>
                <w:sz w:val="20"/>
                <w:szCs w:val="20"/>
              </w:rPr>
            </w:pPr>
            <w:r w:rsidRPr="008C791C">
              <w:rPr>
                <w:sz w:val="20"/>
                <w:szCs w:val="20"/>
              </w:rPr>
              <w:t>T</w:t>
            </w:r>
            <w:r w:rsidRPr="008C791C">
              <w:rPr>
                <w:sz w:val="20"/>
                <w:szCs w:val="20"/>
                <w:vertAlign w:val="subscript"/>
              </w:rPr>
              <w:t>8</w:t>
            </w:r>
            <w:r w:rsidRPr="008C791C">
              <w:rPr>
                <w:sz w:val="20"/>
                <w:szCs w:val="20"/>
              </w:rPr>
              <w:t>-</w:t>
            </w:r>
            <w:r w:rsidRPr="008C791C">
              <w:rPr>
                <w:position w:val="1"/>
                <w:sz w:val="20"/>
                <w:szCs w:val="20"/>
              </w:rPr>
              <w:t>100%RDF+Biochar@4t</w:t>
            </w:r>
            <w:r w:rsidRPr="008C791C">
              <w:rPr>
                <w:sz w:val="20"/>
                <w:szCs w:val="20"/>
              </w:rPr>
              <w:t>ha</w:t>
            </w:r>
            <w:r w:rsidRPr="008C791C">
              <w:rPr>
                <w:sz w:val="20"/>
                <w:szCs w:val="20"/>
                <w:vertAlign w:val="superscript"/>
              </w:rPr>
              <w:t>-</w:t>
            </w:r>
            <w:r w:rsidRPr="008C791C">
              <w:rPr>
                <w:spacing w:val="-10"/>
                <w:sz w:val="20"/>
                <w:szCs w:val="20"/>
                <w:vertAlign w:val="superscript"/>
              </w:rPr>
              <w:t>1</w:t>
            </w:r>
          </w:p>
        </w:tc>
        <w:tc>
          <w:tcPr>
            <w:tcW w:w="332" w:type="pct"/>
          </w:tcPr>
          <w:p w14:paraId="601D1DC4" w14:textId="77777777" w:rsidR="005F2D56" w:rsidRPr="008C791C" w:rsidRDefault="005F2D56" w:rsidP="00D0463D">
            <w:pPr>
              <w:pStyle w:val="TableParagraph"/>
              <w:spacing w:before="102"/>
              <w:ind w:left="88" w:right="79"/>
              <w:rPr>
                <w:sz w:val="20"/>
                <w:szCs w:val="20"/>
              </w:rPr>
            </w:pPr>
            <w:r w:rsidRPr="008C791C">
              <w:rPr>
                <w:spacing w:val="-2"/>
                <w:sz w:val="20"/>
                <w:szCs w:val="20"/>
              </w:rPr>
              <w:t>243.40</w:t>
            </w:r>
          </w:p>
        </w:tc>
        <w:tc>
          <w:tcPr>
            <w:tcW w:w="289" w:type="pct"/>
          </w:tcPr>
          <w:p w14:paraId="580BC6FC" w14:textId="77777777" w:rsidR="005F2D56" w:rsidRPr="008C791C" w:rsidRDefault="005F2D56" w:rsidP="00D0463D">
            <w:pPr>
              <w:pStyle w:val="TableParagraph"/>
              <w:spacing w:before="102"/>
              <w:ind w:left="14" w:right="5"/>
              <w:rPr>
                <w:sz w:val="20"/>
                <w:szCs w:val="20"/>
              </w:rPr>
            </w:pPr>
            <w:r w:rsidRPr="008C791C">
              <w:rPr>
                <w:spacing w:val="-2"/>
                <w:sz w:val="20"/>
                <w:szCs w:val="20"/>
              </w:rPr>
              <w:t>70.15</w:t>
            </w:r>
          </w:p>
        </w:tc>
        <w:tc>
          <w:tcPr>
            <w:tcW w:w="363" w:type="pct"/>
          </w:tcPr>
          <w:p w14:paraId="56DDA922" w14:textId="77777777" w:rsidR="005F2D56" w:rsidRPr="008C791C" w:rsidRDefault="005F2D56" w:rsidP="00D0463D">
            <w:pPr>
              <w:pStyle w:val="TableParagraph"/>
              <w:spacing w:before="87"/>
              <w:ind w:left="88" w:right="79"/>
              <w:rPr>
                <w:sz w:val="20"/>
                <w:szCs w:val="20"/>
              </w:rPr>
            </w:pPr>
            <w:r w:rsidRPr="008C791C">
              <w:rPr>
                <w:spacing w:val="-2"/>
                <w:sz w:val="20"/>
                <w:szCs w:val="20"/>
              </w:rPr>
              <w:t>313.55</w:t>
            </w:r>
          </w:p>
        </w:tc>
        <w:tc>
          <w:tcPr>
            <w:tcW w:w="272" w:type="pct"/>
          </w:tcPr>
          <w:p w14:paraId="10AE534C" w14:textId="77777777" w:rsidR="005F2D56" w:rsidRPr="008C791C" w:rsidRDefault="005F2D56" w:rsidP="00D0463D">
            <w:pPr>
              <w:pStyle w:val="TableParagraph"/>
              <w:spacing w:before="102"/>
              <w:ind w:left="18"/>
              <w:rPr>
                <w:sz w:val="20"/>
                <w:szCs w:val="20"/>
              </w:rPr>
            </w:pPr>
            <w:r w:rsidRPr="008C791C">
              <w:rPr>
                <w:spacing w:val="-2"/>
                <w:sz w:val="20"/>
                <w:szCs w:val="20"/>
              </w:rPr>
              <w:t>51.23</w:t>
            </w:r>
          </w:p>
        </w:tc>
        <w:tc>
          <w:tcPr>
            <w:tcW w:w="288" w:type="pct"/>
          </w:tcPr>
          <w:p w14:paraId="0ABE4B33" w14:textId="77777777" w:rsidR="005F2D56" w:rsidRPr="008C791C" w:rsidRDefault="005F2D56" w:rsidP="00D0463D">
            <w:pPr>
              <w:pStyle w:val="TableParagraph"/>
              <w:spacing w:before="102"/>
              <w:ind w:left="12" w:right="5"/>
              <w:rPr>
                <w:sz w:val="20"/>
                <w:szCs w:val="20"/>
              </w:rPr>
            </w:pPr>
            <w:r w:rsidRPr="008C791C">
              <w:rPr>
                <w:spacing w:val="-2"/>
                <w:sz w:val="20"/>
                <w:szCs w:val="20"/>
              </w:rPr>
              <w:t>21.85</w:t>
            </w:r>
          </w:p>
        </w:tc>
        <w:tc>
          <w:tcPr>
            <w:tcW w:w="351" w:type="pct"/>
          </w:tcPr>
          <w:p w14:paraId="4157AD08" w14:textId="77777777" w:rsidR="005F2D56" w:rsidRPr="008C791C" w:rsidRDefault="005F2D56" w:rsidP="00D0463D">
            <w:pPr>
              <w:pStyle w:val="TableParagraph"/>
              <w:spacing w:before="87"/>
              <w:ind w:left="0" w:right="109"/>
              <w:jc w:val="right"/>
              <w:rPr>
                <w:sz w:val="20"/>
                <w:szCs w:val="20"/>
              </w:rPr>
            </w:pPr>
            <w:r w:rsidRPr="008C791C">
              <w:rPr>
                <w:spacing w:val="-2"/>
                <w:sz w:val="20"/>
                <w:szCs w:val="20"/>
              </w:rPr>
              <w:t>73.08</w:t>
            </w:r>
          </w:p>
        </w:tc>
        <w:tc>
          <w:tcPr>
            <w:tcW w:w="283" w:type="pct"/>
          </w:tcPr>
          <w:p w14:paraId="5B95ED03" w14:textId="77777777" w:rsidR="005F2D56" w:rsidRPr="008C791C" w:rsidRDefault="005F2D56" w:rsidP="00D0463D">
            <w:pPr>
              <w:pStyle w:val="TableParagraph"/>
              <w:spacing w:before="102"/>
              <w:ind w:left="18" w:right="3"/>
              <w:rPr>
                <w:sz w:val="20"/>
                <w:szCs w:val="20"/>
              </w:rPr>
            </w:pPr>
            <w:r w:rsidRPr="008C791C">
              <w:rPr>
                <w:spacing w:val="-2"/>
                <w:sz w:val="20"/>
                <w:szCs w:val="20"/>
              </w:rPr>
              <w:t>59.46</w:t>
            </w:r>
          </w:p>
        </w:tc>
        <w:tc>
          <w:tcPr>
            <w:tcW w:w="289" w:type="pct"/>
          </w:tcPr>
          <w:p w14:paraId="21B27584" w14:textId="77777777" w:rsidR="005F2D56" w:rsidRPr="008C791C" w:rsidRDefault="005F2D56" w:rsidP="00D0463D">
            <w:pPr>
              <w:pStyle w:val="TableParagraph"/>
              <w:spacing w:before="102"/>
              <w:ind w:left="12" w:right="8"/>
              <w:rPr>
                <w:sz w:val="20"/>
                <w:szCs w:val="20"/>
              </w:rPr>
            </w:pPr>
            <w:r w:rsidRPr="008C791C">
              <w:rPr>
                <w:spacing w:val="-2"/>
                <w:sz w:val="20"/>
                <w:szCs w:val="20"/>
              </w:rPr>
              <w:t>27.25</w:t>
            </w:r>
          </w:p>
        </w:tc>
        <w:tc>
          <w:tcPr>
            <w:tcW w:w="286" w:type="pct"/>
          </w:tcPr>
          <w:p w14:paraId="5653123B" w14:textId="77777777" w:rsidR="005F2D56" w:rsidRPr="008C791C" w:rsidRDefault="005F2D56" w:rsidP="00D0463D">
            <w:pPr>
              <w:pStyle w:val="TableParagraph"/>
              <w:spacing w:before="87"/>
              <w:ind w:left="3" w:right="4"/>
              <w:rPr>
                <w:sz w:val="20"/>
                <w:szCs w:val="20"/>
              </w:rPr>
            </w:pPr>
            <w:r w:rsidRPr="008C791C">
              <w:rPr>
                <w:spacing w:val="-2"/>
                <w:sz w:val="20"/>
                <w:szCs w:val="20"/>
              </w:rPr>
              <w:t>86.71</w:t>
            </w:r>
          </w:p>
        </w:tc>
        <w:tc>
          <w:tcPr>
            <w:tcW w:w="283" w:type="pct"/>
          </w:tcPr>
          <w:p w14:paraId="4BEF5400" w14:textId="77777777" w:rsidR="005F2D56" w:rsidRPr="008C791C" w:rsidRDefault="005F2D56" w:rsidP="00D0463D">
            <w:pPr>
              <w:pStyle w:val="TableParagraph"/>
              <w:spacing w:before="102"/>
              <w:ind w:left="18" w:right="6"/>
              <w:rPr>
                <w:sz w:val="20"/>
                <w:szCs w:val="20"/>
              </w:rPr>
            </w:pPr>
            <w:r w:rsidRPr="008C791C">
              <w:rPr>
                <w:spacing w:val="-2"/>
                <w:sz w:val="20"/>
                <w:szCs w:val="20"/>
              </w:rPr>
              <w:t>16.31</w:t>
            </w:r>
          </w:p>
        </w:tc>
        <w:tc>
          <w:tcPr>
            <w:tcW w:w="359" w:type="pct"/>
          </w:tcPr>
          <w:p w14:paraId="3776536D" w14:textId="77777777" w:rsidR="005F2D56" w:rsidRPr="008C791C" w:rsidRDefault="005F2D56" w:rsidP="00D0463D">
            <w:pPr>
              <w:pStyle w:val="TableParagraph"/>
              <w:spacing w:before="102"/>
              <w:ind w:left="12" w:right="11"/>
              <w:rPr>
                <w:sz w:val="20"/>
                <w:szCs w:val="20"/>
              </w:rPr>
            </w:pPr>
            <w:r w:rsidRPr="008C791C">
              <w:rPr>
                <w:spacing w:val="-2"/>
                <w:sz w:val="20"/>
                <w:szCs w:val="20"/>
              </w:rPr>
              <w:t>22.75</w:t>
            </w:r>
          </w:p>
        </w:tc>
        <w:tc>
          <w:tcPr>
            <w:tcW w:w="279" w:type="pct"/>
          </w:tcPr>
          <w:p w14:paraId="516B44C1" w14:textId="77777777" w:rsidR="005F2D56" w:rsidRPr="008C791C" w:rsidRDefault="005F2D56" w:rsidP="00D0463D">
            <w:pPr>
              <w:pStyle w:val="TableParagraph"/>
              <w:spacing w:before="87"/>
              <w:ind w:left="4" w:right="4"/>
              <w:rPr>
                <w:sz w:val="20"/>
                <w:szCs w:val="20"/>
              </w:rPr>
            </w:pPr>
            <w:r w:rsidRPr="008C791C">
              <w:rPr>
                <w:spacing w:val="-2"/>
                <w:sz w:val="20"/>
                <w:szCs w:val="20"/>
              </w:rPr>
              <w:t>39.06</w:t>
            </w:r>
          </w:p>
        </w:tc>
      </w:tr>
      <w:tr w:rsidR="005F2D56" w:rsidRPr="008C791C" w14:paraId="1AFEEF7E" w14:textId="77777777" w:rsidTr="005F2D56">
        <w:trPr>
          <w:trHeight w:val="523"/>
        </w:trPr>
        <w:tc>
          <w:tcPr>
            <w:tcW w:w="1325" w:type="pct"/>
          </w:tcPr>
          <w:p w14:paraId="06927C9E" w14:textId="77777777" w:rsidR="005F2D56" w:rsidRPr="008C791C" w:rsidRDefault="005F2D56" w:rsidP="00D0463D">
            <w:pPr>
              <w:pStyle w:val="TableParagraph"/>
              <w:spacing w:before="92"/>
              <w:ind w:left="1507"/>
              <w:jc w:val="left"/>
              <w:rPr>
                <w:b/>
                <w:sz w:val="20"/>
                <w:szCs w:val="20"/>
              </w:rPr>
            </w:pPr>
            <w:proofErr w:type="spellStart"/>
            <w:r w:rsidRPr="008C791C">
              <w:rPr>
                <w:b/>
                <w:sz w:val="20"/>
                <w:szCs w:val="20"/>
              </w:rPr>
              <w:t>S.Em</w:t>
            </w:r>
            <w:proofErr w:type="spellEnd"/>
            <w:r w:rsidRPr="008C791C">
              <w:rPr>
                <w:b/>
                <w:sz w:val="20"/>
                <w:szCs w:val="20"/>
              </w:rPr>
              <w:t>.</w:t>
            </w:r>
            <w:r w:rsidRPr="008C791C">
              <w:rPr>
                <w:b/>
                <w:spacing w:val="-10"/>
                <w:sz w:val="20"/>
                <w:szCs w:val="20"/>
              </w:rPr>
              <w:t>±</w:t>
            </w:r>
          </w:p>
        </w:tc>
        <w:tc>
          <w:tcPr>
            <w:tcW w:w="332" w:type="pct"/>
          </w:tcPr>
          <w:p w14:paraId="3CC37BEF" w14:textId="77777777" w:rsidR="005F2D56" w:rsidRPr="008C791C" w:rsidRDefault="005F2D56" w:rsidP="00D0463D">
            <w:pPr>
              <w:pStyle w:val="TableParagraph"/>
              <w:spacing w:before="92"/>
              <w:ind w:left="88" w:right="74"/>
              <w:rPr>
                <w:b/>
                <w:sz w:val="20"/>
                <w:szCs w:val="20"/>
              </w:rPr>
            </w:pPr>
            <w:r w:rsidRPr="008C791C">
              <w:rPr>
                <w:b/>
                <w:spacing w:val="-2"/>
                <w:sz w:val="20"/>
                <w:szCs w:val="20"/>
              </w:rPr>
              <w:t>17.93</w:t>
            </w:r>
          </w:p>
        </w:tc>
        <w:tc>
          <w:tcPr>
            <w:tcW w:w="289" w:type="pct"/>
          </w:tcPr>
          <w:p w14:paraId="3276650E" w14:textId="77777777" w:rsidR="005F2D56" w:rsidRPr="008C791C" w:rsidRDefault="005F2D56" w:rsidP="00D0463D">
            <w:pPr>
              <w:pStyle w:val="TableParagraph"/>
              <w:spacing w:before="92"/>
              <w:ind w:left="14"/>
              <w:rPr>
                <w:b/>
                <w:sz w:val="20"/>
                <w:szCs w:val="20"/>
              </w:rPr>
            </w:pPr>
            <w:r w:rsidRPr="008C791C">
              <w:rPr>
                <w:b/>
                <w:spacing w:val="-4"/>
                <w:sz w:val="20"/>
                <w:szCs w:val="20"/>
              </w:rPr>
              <w:t>7.71</w:t>
            </w:r>
          </w:p>
        </w:tc>
        <w:tc>
          <w:tcPr>
            <w:tcW w:w="363" w:type="pct"/>
          </w:tcPr>
          <w:p w14:paraId="030F8CC7" w14:textId="77777777" w:rsidR="005F2D56" w:rsidRPr="008C791C" w:rsidRDefault="005F2D56" w:rsidP="00D0463D">
            <w:pPr>
              <w:pStyle w:val="TableParagraph"/>
              <w:spacing w:before="92"/>
              <w:ind w:left="88" w:right="74"/>
              <w:rPr>
                <w:b/>
                <w:sz w:val="20"/>
                <w:szCs w:val="20"/>
              </w:rPr>
            </w:pPr>
            <w:r w:rsidRPr="008C791C">
              <w:rPr>
                <w:b/>
                <w:spacing w:val="-2"/>
                <w:sz w:val="20"/>
                <w:szCs w:val="20"/>
              </w:rPr>
              <w:t>15.25</w:t>
            </w:r>
          </w:p>
        </w:tc>
        <w:tc>
          <w:tcPr>
            <w:tcW w:w="272" w:type="pct"/>
          </w:tcPr>
          <w:p w14:paraId="069854BC" w14:textId="77777777" w:rsidR="005F2D56" w:rsidRPr="008C791C" w:rsidRDefault="005F2D56" w:rsidP="00D0463D">
            <w:pPr>
              <w:pStyle w:val="TableParagraph"/>
              <w:spacing w:before="92"/>
              <w:ind w:left="18" w:right="5"/>
              <w:rPr>
                <w:b/>
                <w:sz w:val="20"/>
                <w:szCs w:val="20"/>
              </w:rPr>
            </w:pPr>
            <w:r w:rsidRPr="008C791C">
              <w:rPr>
                <w:b/>
                <w:spacing w:val="-4"/>
                <w:sz w:val="20"/>
                <w:szCs w:val="20"/>
              </w:rPr>
              <w:t>1.43</w:t>
            </w:r>
          </w:p>
        </w:tc>
        <w:tc>
          <w:tcPr>
            <w:tcW w:w="288" w:type="pct"/>
          </w:tcPr>
          <w:p w14:paraId="1CF76ABF" w14:textId="77777777" w:rsidR="005F2D56" w:rsidRPr="008C791C" w:rsidRDefault="005F2D56" w:rsidP="00D0463D">
            <w:pPr>
              <w:pStyle w:val="TableParagraph"/>
              <w:spacing w:before="92"/>
              <w:ind w:left="14" w:right="2"/>
              <w:rPr>
                <w:b/>
                <w:sz w:val="20"/>
                <w:szCs w:val="20"/>
              </w:rPr>
            </w:pPr>
            <w:r w:rsidRPr="008C791C">
              <w:rPr>
                <w:b/>
                <w:spacing w:val="-4"/>
                <w:sz w:val="20"/>
                <w:szCs w:val="20"/>
              </w:rPr>
              <w:t>0.50</w:t>
            </w:r>
          </w:p>
        </w:tc>
        <w:tc>
          <w:tcPr>
            <w:tcW w:w="351" w:type="pct"/>
          </w:tcPr>
          <w:p w14:paraId="5AC6DF91" w14:textId="77777777" w:rsidR="005F2D56" w:rsidRPr="008C791C" w:rsidRDefault="005F2D56" w:rsidP="00D0463D">
            <w:pPr>
              <w:pStyle w:val="TableParagraph"/>
              <w:spacing w:before="92"/>
              <w:ind w:left="0" w:right="167"/>
              <w:jc w:val="right"/>
              <w:rPr>
                <w:b/>
                <w:sz w:val="20"/>
                <w:szCs w:val="20"/>
              </w:rPr>
            </w:pPr>
            <w:r w:rsidRPr="008C791C">
              <w:rPr>
                <w:b/>
                <w:spacing w:val="-4"/>
                <w:sz w:val="20"/>
                <w:szCs w:val="20"/>
              </w:rPr>
              <w:t>1.25</w:t>
            </w:r>
          </w:p>
        </w:tc>
        <w:tc>
          <w:tcPr>
            <w:tcW w:w="283" w:type="pct"/>
          </w:tcPr>
          <w:p w14:paraId="1A7BA57E" w14:textId="77777777" w:rsidR="005F2D56" w:rsidRPr="008C791C" w:rsidRDefault="005F2D56" w:rsidP="00D0463D">
            <w:pPr>
              <w:pStyle w:val="TableParagraph"/>
              <w:spacing w:before="92"/>
              <w:ind w:left="18" w:right="8"/>
              <w:rPr>
                <w:b/>
                <w:sz w:val="20"/>
                <w:szCs w:val="20"/>
              </w:rPr>
            </w:pPr>
            <w:r w:rsidRPr="008C791C">
              <w:rPr>
                <w:b/>
                <w:spacing w:val="-4"/>
                <w:sz w:val="20"/>
                <w:szCs w:val="20"/>
              </w:rPr>
              <w:t>6.26</w:t>
            </w:r>
          </w:p>
        </w:tc>
        <w:tc>
          <w:tcPr>
            <w:tcW w:w="289" w:type="pct"/>
          </w:tcPr>
          <w:p w14:paraId="14888C79" w14:textId="77777777" w:rsidR="005F2D56" w:rsidRPr="008C791C" w:rsidRDefault="005F2D56" w:rsidP="00D0463D">
            <w:pPr>
              <w:pStyle w:val="TableParagraph"/>
              <w:spacing w:before="92"/>
              <w:ind w:left="12" w:right="3"/>
              <w:rPr>
                <w:b/>
                <w:sz w:val="20"/>
                <w:szCs w:val="20"/>
              </w:rPr>
            </w:pPr>
            <w:r w:rsidRPr="008C791C">
              <w:rPr>
                <w:b/>
                <w:spacing w:val="-4"/>
                <w:sz w:val="20"/>
                <w:szCs w:val="20"/>
              </w:rPr>
              <w:t>2.81</w:t>
            </w:r>
          </w:p>
        </w:tc>
        <w:tc>
          <w:tcPr>
            <w:tcW w:w="286" w:type="pct"/>
          </w:tcPr>
          <w:p w14:paraId="5581AC30" w14:textId="77777777" w:rsidR="005F2D56" w:rsidRPr="008C791C" w:rsidRDefault="005F2D56" w:rsidP="00D0463D">
            <w:pPr>
              <w:pStyle w:val="TableParagraph"/>
              <w:spacing w:before="92"/>
              <w:ind w:left="7" w:right="4"/>
              <w:rPr>
                <w:b/>
                <w:sz w:val="20"/>
                <w:szCs w:val="20"/>
              </w:rPr>
            </w:pPr>
            <w:r w:rsidRPr="008C791C">
              <w:rPr>
                <w:b/>
                <w:spacing w:val="-4"/>
                <w:sz w:val="20"/>
                <w:szCs w:val="20"/>
              </w:rPr>
              <w:t>6.16</w:t>
            </w:r>
          </w:p>
        </w:tc>
        <w:tc>
          <w:tcPr>
            <w:tcW w:w="283" w:type="pct"/>
          </w:tcPr>
          <w:p w14:paraId="6AB78A0C" w14:textId="77777777" w:rsidR="005F2D56" w:rsidRPr="008C791C" w:rsidRDefault="005F2D56" w:rsidP="00D0463D">
            <w:pPr>
              <w:pStyle w:val="TableParagraph"/>
              <w:spacing w:before="92"/>
              <w:ind w:left="18" w:right="11"/>
              <w:rPr>
                <w:b/>
                <w:sz w:val="20"/>
                <w:szCs w:val="20"/>
              </w:rPr>
            </w:pPr>
            <w:r w:rsidRPr="008C791C">
              <w:rPr>
                <w:b/>
                <w:spacing w:val="-4"/>
                <w:sz w:val="20"/>
                <w:szCs w:val="20"/>
              </w:rPr>
              <w:t>1.04</w:t>
            </w:r>
          </w:p>
        </w:tc>
        <w:tc>
          <w:tcPr>
            <w:tcW w:w="359" w:type="pct"/>
          </w:tcPr>
          <w:p w14:paraId="1E37DBAF" w14:textId="77777777" w:rsidR="005F2D56" w:rsidRPr="008C791C" w:rsidRDefault="005F2D56" w:rsidP="00D0463D">
            <w:pPr>
              <w:pStyle w:val="TableParagraph"/>
              <w:spacing w:before="92"/>
              <w:ind w:left="12" w:right="6"/>
              <w:rPr>
                <w:b/>
                <w:sz w:val="20"/>
                <w:szCs w:val="20"/>
              </w:rPr>
            </w:pPr>
            <w:r w:rsidRPr="008C791C">
              <w:rPr>
                <w:b/>
                <w:spacing w:val="-4"/>
                <w:sz w:val="20"/>
                <w:szCs w:val="20"/>
              </w:rPr>
              <w:t>3.00</w:t>
            </w:r>
          </w:p>
        </w:tc>
        <w:tc>
          <w:tcPr>
            <w:tcW w:w="279" w:type="pct"/>
          </w:tcPr>
          <w:p w14:paraId="5FF37C93" w14:textId="77777777" w:rsidR="005F2D56" w:rsidRPr="008C791C" w:rsidRDefault="005F2D56" w:rsidP="00D0463D">
            <w:pPr>
              <w:pStyle w:val="TableParagraph"/>
              <w:spacing w:before="92"/>
              <w:ind w:left="8" w:right="4"/>
              <w:rPr>
                <w:b/>
                <w:sz w:val="20"/>
                <w:szCs w:val="20"/>
              </w:rPr>
            </w:pPr>
            <w:r w:rsidRPr="008C791C">
              <w:rPr>
                <w:b/>
                <w:spacing w:val="-4"/>
                <w:sz w:val="20"/>
                <w:szCs w:val="20"/>
              </w:rPr>
              <w:t>2.98</w:t>
            </w:r>
          </w:p>
        </w:tc>
      </w:tr>
      <w:tr w:rsidR="005F2D56" w:rsidRPr="008C791C" w14:paraId="6371B9AE" w14:textId="77777777" w:rsidTr="005F2D56">
        <w:trPr>
          <w:trHeight w:val="522"/>
        </w:trPr>
        <w:tc>
          <w:tcPr>
            <w:tcW w:w="1325" w:type="pct"/>
          </w:tcPr>
          <w:p w14:paraId="41367151" w14:textId="77777777" w:rsidR="005F2D56" w:rsidRPr="008C791C" w:rsidRDefault="005F2D56" w:rsidP="005F2D56">
            <w:pPr>
              <w:pStyle w:val="TableParagraph"/>
              <w:spacing w:before="92"/>
              <w:ind w:left="-142"/>
              <w:rPr>
                <w:b/>
                <w:sz w:val="20"/>
                <w:szCs w:val="20"/>
              </w:rPr>
            </w:pPr>
            <w:r w:rsidRPr="008C791C">
              <w:rPr>
                <w:b/>
                <w:sz w:val="20"/>
                <w:szCs w:val="20"/>
              </w:rPr>
              <w:t>CD @</w:t>
            </w:r>
            <w:r w:rsidRPr="008C791C">
              <w:rPr>
                <w:b/>
                <w:spacing w:val="-5"/>
                <w:sz w:val="20"/>
                <w:szCs w:val="20"/>
              </w:rPr>
              <w:t>5%</w:t>
            </w:r>
          </w:p>
        </w:tc>
        <w:tc>
          <w:tcPr>
            <w:tcW w:w="332" w:type="pct"/>
          </w:tcPr>
          <w:p w14:paraId="60A60146" w14:textId="77777777" w:rsidR="005F2D56" w:rsidRPr="008C791C" w:rsidRDefault="005F2D56" w:rsidP="00D0463D">
            <w:pPr>
              <w:pStyle w:val="TableParagraph"/>
              <w:spacing w:before="92"/>
              <w:ind w:left="88" w:right="74"/>
              <w:rPr>
                <w:b/>
                <w:sz w:val="20"/>
                <w:szCs w:val="20"/>
              </w:rPr>
            </w:pPr>
            <w:r w:rsidRPr="008C791C">
              <w:rPr>
                <w:b/>
                <w:spacing w:val="-2"/>
                <w:sz w:val="20"/>
                <w:szCs w:val="20"/>
              </w:rPr>
              <w:t>54.38</w:t>
            </w:r>
          </w:p>
        </w:tc>
        <w:tc>
          <w:tcPr>
            <w:tcW w:w="289" w:type="pct"/>
          </w:tcPr>
          <w:p w14:paraId="5B8BB3E5" w14:textId="77777777" w:rsidR="005F2D56" w:rsidRPr="008C791C" w:rsidRDefault="005F2D56" w:rsidP="00D0463D">
            <w:pPr>
              <w:pStyle w:val="TableParagraph"/>
              <w:spacing w:before="92"/>
              <w:ind w:left="14" w:right="5"/>
              <w:rPr>
                <w:b/>
                <w:sz w:val="20"/>
                <w:szCs w:val="20"/>
              </w:rPr>
            </w:pPr>
            <w:r w:rsidRPr="008C791C">
              <w:rPr>
                <w:b/>
                <w:spacing w:val="-2"/>
                <w:sz w:val="20"/>
                <w:szCs w:val="20"/>
              </w:rPr>
              <w:t>23.38</w:t>
            </w:r>
          </w:p>
        </w:tc>
        <w:tc>
          <w:tcPr>
            <w:tcW w:w="363" w:type="pct"/>
          </w:tcPr>
          <w:p w14:paraId="19812D63" w14:textId="77777777" w:rsidR="005F2D56" w:rsidRPr="008C791C" w:rsidRDefault="005F2D56" w:rsidP="00D0463D">
            <w:pPr>
              <w:pStyle w:val="TableParagraph"/>
              <w:spacing w:before="92"/>
              <w:ind w:left="88" w:right="74"/>
              <w:rPr>
                <w:b/>
                <w:sz w:val="20"/>
                <w:szCs w:val="20"/>
              </w:rPr>
            </w:pPr>
            <w:r w:rsidRPr="008C791C">
              <w:rPr>
                <w:b/>
                <w:spacing w:val="-2"/>
                <w:sz w:val="20"/>
                <w:szCs w:val="20"/>
              </w:rPr>
              <w:t>46.25</w:t>
            </w:r>
          </w:p>
        </w:tc>
        <w:tc>
          <w:tcPr>
            <w:tcW w:w="272" w:type="pct"/>
          </w:tcPr>
          <w:p w14:paraId="0BB6F69A" w14:textId="77777777" w:rsidR="005F2D56" w:rsidRPr="008C791C" w:rsidRDefault="005F2D56" w:rsidP="00D0463D">
            <w:pPr>
              <w:pStyle w:val="TableParagraph"/>
              <w:spacing w:before="92"/>
              <w:ind w:left="18" w:right="5"/>
              <w:rPr>
                <w:b/>
                <w:sz w:val="20"/>
                <w:szCs w:val="20"/>
              </w:rPr>
            </w:pPr>
            <w:r w:rsidRPr="008C791C">
              <w:rPr>
                <w:b/>
                <w:spacing w:val="-4"/>
                <w:sz w:val="20"/>
                <w:szCs w:val="20"/>
              </w:rPr>
              <w:t>4.33</w:t>
            </w:r>
          </w:p>
        </w:tc>
        <w:tc>
          <w:tcPr>
            <w:tcW w:w="288" w:type="pct"/>
          </w:tcPr>
          <w:p w14:paraId="051F17F0" w14:textId="77777777" w:rsidR="005F2D56" w:rsidRPr="008C791C" w:rsidRDefault="005F2D56" w:rsidP="00D0463D">
            <w:pPr>
              <w:pStyle w:val="TableParagraph"/>
              <w:spacing w:before="92"/>
              <w:ind w:left="14" w:right="2"/>
              <w:rPr>
                <w:b/>
                <w:sz w:val="20"/>
                <w:szCs w:val="20"/>
              </w:rPr>
            </w:pPr>
            <w:r w:rsidRPr="008C791C">
              <w:rPr>
                <w:b/>
                <w:spacing w:val="-4"/>
                <w:sz w:val="20"/>
                <w:szCs w:val="20"/>
              </w:rPr>
              <w:t>1.51</w:t>
            </w:r>
          </w:p>
        </w:tc>
        <w:tc>
          <w:tcPr>
            <w:tcW w:w="351" w:type="pct"/>
          </w:tcPr>
          <w:p w14:paraId="14E60930" w14:textId="77777777" w:rsidR="005F2D56" w:rsidRPr="008C791C" w:rsidRDefault="005F2D56" w:rsidP="00D0463D">
            <w:pPr>
              <w:pStyle w:val="TableParagraph"/>
              <w:spacing w:before="92"/>
              <w:ind w:left="0" w:right="167"/>
              <w:jc w:val="right"/>
              <w:rPr>
                <w:b/>
                <w:sz w:val="20"/>
                <w:szCs w:val="20"/>
              </w:rPr>
            </w:pPr>
            <w:r w:rsidRPr="008C791C">
              <w:rPr>
                <w:b/>
                <w:spacing w:val="-4"/>
                <w:sz w:val="20"/>
                <w:szCs w:val="20"/>
              </w:rPr>
              <w:t>3.78</w:t>
            </w:r>
          </w:p>
        </w:tc>
        <w:tc>
          <w:tcPr>
            <w:tcW w:w="283" w:type="pct"/>
          </w:tcPr>
          <w:p w14:paraId="57FB365A" w14:textId="77777777" w:rsidR="005F2D56" w:rsidRPr="008C791C" w:rsidRDefault="005F2D56" w:rsidP="00D0463D">
            <w:pPr>
              <w:pStyle w:val="TableParagraph"/>
              <w:spacing w:before="92"/>
              <w:ind w:left="18" w:right="3"/>
              <w:rPr>
                <w:b/>
                <w:sz w:val="20"/>
                <w:szCs w:val="20"/>
              </w:rPr>
            </w:pPr>
            <w:r w:rsidRPr="008C791C">
              <w:rPr>
                <w:b/>
                <w:spacing w:val="-2"/>
                <w:sz w:val="20"/>
                <w:szCs w:val="20"/>
              </w:rPr>
              <w:t>19.00</w:t>
            </w:r>
          </w:p>
        </w:tc>
        <w:tc>
          <w:tcPr>
            <w:tcW w:w="289" w:type="pct"/>
          </w:tcPr>
          <w:p w14:paraId="5B60F236" w14:textId="77777777" w:rsidR="005F2D56" w:rsidRPr="008C791C" w:rsidRDefault="005F2D56" w:rsidP="00D0463D">
            <w:pPr>
              <w:pStyle w:val="TableParagraph"/>
              <w:spacing w:before="92"/>
              <w:ind w:left="12" w:right="3"/>
              <w:rPr>
                <w:b/>
                <w:sz w:val="20"/>
                <w:szCs w:val="20"/>
              </w:rPr>
            </w:pPr>
            <w:r w:rsidRPr="008C791C">
              <w:rPr>
                <w:b/>
                <w:spacing w:val="-4"/>
                <w:sz w:val="20"/>
                <w:szCs w:val="20"/>
              </w:rPr>
              <w:t>8.51</w:t>
            </w:r>
          </w:p>
        </w:tc>
        <w:tc>
          <w:tcPr>
            <w:tcW w:w="286" w:type="pct"/>
          </w:tcPr>
          <w:p w14:paraId="3138E174" w14:textId="77777777" w:rsidR="005F2D56" w:rsidRPr="008C791C" w:rsidRDefault="005F2D56" w:rsidP="00D0463D">
            <w:pPr>
              <w:pStyle w:val="TableParagraph"/>
              <w:spacing w:before="92"/>
              <w:ind w:left="3" w:right="4"/>
              <w:rPr>
                <w:b/>
                <w:sz w:val="20"/>
                <w:szCs w:val="20"/>
              </w:rPr>
            </w:pPr>
            <w:r w:rsidRPr="008C791C">
              <w:rPr>
                <w:b/>
                <w:spacing w:val="-2"/>
                <w:sz w:val="20"/>
                <w:szCs w:val="20"/>
              </w:rPr>
              <w:t>18.70</w:t>
            </w:r>
          </w:p>
        </w:tc>
        <w:tc>
          <w:tcPr>
            <w:tcW w:w="283" w:type="pct"/>
          </w:tcPr>
          <w:p w14:paraId="6E2DDED4" w14:textId="77777777" w:rsidR="005F2D56" w:rsidRPr="008C791C" w:rsidRDefault="005F2D56" w:rsidP="00D0463D">
            <w:pPr>
              <w:pStyle w:val="TableParagraph"/>
              <w:spacing w:before="92"/>
              <w:ind w:left="18" w:right="11"/>
              <w:rPr>
                <w:b/>
                <w:sz w:val="20"/>
                <w:szCs w:val="20"/>
              </w:rPr>
            </w:pPr>
            <w:r w:rsidRPr="008C791C">
              <w:rPr>
                <w:b/>
                <w:spacing w:val="-4"/>
                <w:sz w:val="20"/>
                <w:szCs w:val="20"/>
              </w:rPr>
              <w:t>3.17</w:t>
            </w:r>
          </w:p>
        </w:tc>
        <w:tc>
          <w:tcPr>
            <w:tcW w:w="359" w:type="pct"/>
          </w:tcPr>
          <w:p w14:paraId="70CA53FD" w14:textId="77777777" w:rsidR="005F2D56" w:rsidRPr="008C791C" w:rsidRDefault="005F2D56" w:rsidP="00D0463D">
            <w:pPr>
              <w:pStyle w:val="TableParagraph"/>
              <w:spacing w:before="92"/>
              <w:ind w:left="12" w:right="6"/>
              <w:rPr>
                <w:b/>
                <w:sz w:val="20"/>
                <w:szCs w:val="20"/>
              </w:rPr>
            </w:pPr>
            <w:r w:rsidRPr="008C791C">
              <w:rPr>
                <w:b/>
                <w:spacing w:val="-4"/>
                <w:sz w:val="20"/>
                <w:szCs w:val="20"/>
              </w:rPr>
              <w:t>9.09</w:t>
            </w:r>
          </w:p>
        </w:tc>
        <w:tc>
          <w:tcPr>
            <w:tcW w:w="279" w:type="pct"/>
          </w:tcPr>
          <w:p w14:paraId="1D04FD2F" w14:textId="77777777" w:rsidR="005F2D56" w:rsidRPr="008C791C" w:rsidRDefault="005F2D56" w:rsidP="00D0463D">
            <w:pPr>
              <w:pStyle w:val="TableParagraph"/>
              <w:spacing w:before="92"/>
              <w:ind w:left="8" w:right="4"/>
              <w:rPr>
                <w:b/>
                <w:sz w:val="20"/>
                <w:szCs w:val="20"/>
              </w:rPr>
            </w:pPr>
            <w:r w:rsidRPr="008C791C">
              <w:rPr>
                <w:b/>
                <w:spacing w:val="-4"/>
                <w:sz w:val="20"/>
                <w:szCs w:val="20"/>
              </w:rPr>
              <w:t>9.03</w:t>
            </w:r>
          </w:p>
        </w:tc>
      </w:tr>
    </w:tbl>
    <w:p w14:paraId="1CED3E9A" w14:textId="77777777" w:rsidR="005F2D56" w:rsidRPr="008C791C" w:rsidRDefault="005F2D56" w:rsidP="005F2D56">
      <w:pPr>
        <w:spacing w:before="100"/>
        <w:ind w:left="165"/>
        <w:rPr>
          <w:rFonts w:ascii="Times New Roman" w:hAnsi="Times New Roman" w:cs="Times New Roman"/>
          <w:b/>
          <w:sz w:val="24"/>
        </w:rPr>
      </w:pPr>
      <w:r w:rsidRPr="008C791C">
        <w:rPr>
          <w:rFonts w:ascii="Times New Roman" w:hAnsi="Times New Roman" w:cs="Times New Roman"/>
          <w:b/>
          <w:spacing w:val="-2"/>
          <w:sz w:val="24"/>
        </w:rPr>
        <w:t>Legend:</w:t>
      </w:r>
    </w:p>
    <w:p w14:paraId="54874D1F" w14:textId="77777777" w:rsidR="005F2D56" w:rsidRPr="008C791C" w:rsidRDefault="005F2D56" w:rsidP="005F2D56">
      <w:pPr>
        <w:pStyle w:val="BodyText"/>
        <w:spacing w:before="137"/>
        <w:ind w:left="165"/>
      </w:pPr>
      <w:r w:rsidRPr="008C791C">
        <w:t>RDF-Recommended dose of</w:t>
      </w:r>
      <w:r w:rsidRPr="008C791C">
        <w:rPr>
          <w:spacing w:val="-2"/>
        </w:rPr>
        <w:t xml:space="preserve"> fertilizer</w:t>
      </w:r>
    </w:p>
    <w:p w14:paraId="65A67A6C" w14:textId="77777777" w:rsidR="005F2D56" w:rsidRPr="008C791C" w:rsidRDefault="005F2D56" w:rsidP="005F2D56">
      <w:pPr>
        <w:pStyle w:val="BodyText"/>
        <w:spacing w:before="141" w:line="362" w:lineRule="auto"/>
        <w:ind w:left="885" w:right="1082"/>
      </w:pPr>
      <w:r w:rsidRPr="008C791C">
        <w:t>Farm yard manure@5 t ha</w:t>
      </w:r>
      <w:r w:rsidRPr="008C791C">
        <w:rPr>
          <w:vertAlign w:val="superscript"/>
        </w:rPr>
        <w:t>-1</w:t>
      </w:r>
      <w:r w:rsidRPr="008C791C">
        <w:t>is common for all the treatments except T</w:t>
      </w:r>
      <w:r w:rsidRPr="008C791C">
        <w:rPr>
          <w:vertAlign w:val="subscript"/>
        </w:rPr>
        <w:t>1</w:t>
      </w:r>
      <w:r w:rsidRPr="008C791C">
        <w:t xml:space="preserve"> Zinc sulphate (21%)@5kgha</w:t>
      </w:r>
      <w:r w:rsidRPr="008C791C">
        <w:rPr>
          <w:vertAlign w:val="superscript"/>
        </w:rPr>
        <w:t>-1</w:t>
      </w:r>
      <w:r w:rsidRPr="008C791C">
        <w:t xml:space="preserve"> is common for all the treatments except T</w:t>
      </w:r>
      <w:r w:rsidRPr="008C791C">
        <w:rPr>
          <w:vertAlign w:val="subscript"/>
        </w:rPr>
        <w:t>1</w:t>
      </w:r>
    </w:p>
    <w:p w14:paraId="3EB36B1C" w14:textId="77777777" w:rsidR="005F2D56" w:rsidRPr="008C791C" w:rsidRDefault="005F2D56" w:rsidP="005F2D56">
      <w:pPr>
        <w:pStyle w:val="BodyText"/>
        <w:spacing w:line="362" w:lineRule="auto"/>
      </w:pPr>
    </w:p>
    <w:p w14:paraId="0420DDE7" w14:textId="77777777" w:rsidR="00D16B6C" w:rsidRPr="008C791C" w:rsidRDefault="00D16B6C" w:rsidP="005F2D56">
      <w:pPr>
        <w:pStyle w:val="BodyText"/>
        <w:spacing w:line="362" w:lineRule="auto"/>
      </w:pPr>
    </w:p>
    <w:p w14:paraId="7BED9A64" w14:textId="77777777" w:rsidR="00D16B6C" w:rsidRPr="008C791C" w:rsidRDefault="00D16B6C" w:rsidP="005F2D56">
      <w:pPr>
        <w:pStyle w:val="BodyText"/>
        <w:spacing w:line="362" w:lineRule="auto"/>
      </w:pPr>
    </w:p>
    <w:p w14:paraId="6548E65C" w14:textId="77777777" w:rsidR="00D16B6C" w:rsidRPr="008C791C" w:rsidRDefault="00D16B6C" w:rsidP="005F2D56">
      <w:pPr>
        <w:pStyle w:val="BodyText"/>
        <w:spacing w:line="362" w:lineRule="auto"/>
      </w:pPr>
    </w:p>
    <w:p w14:paraId="38BA5753" w14:textId="77777777" w:rsidR="00D16B6C" w:rsidRPr="008C791C" w:rsidRDefault="00D16B6C" w:rsidP="005F2D56">
      <w:pPr>
        <w:pStyle w:val="BodyText"/>
        <w:spacing w:line="362" w:lineRule="auto"/>
      </w:pPr>
      <w:r w:rsidRPr="008C791C">
        <w:rPr>
          <w:noProof/>
        </w:rPr>
        <w:lastRenderedPageBreak/>
        <w:drawing>
          <wp:inline distT="0" distB="0" distL="0" distR="0" wp14:anchorId="057C08D8" wp14:editId="026BFFB8">
            <wp:extent cx="5709721" cy="3260993"/>
            <wp:effectExtent l="19050" t="0" r="2432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B4E750" w14:textId="77777777" w:rsidR="00D16B6C" w:rsidRPr="008C791C" w:rsidRDefault="00D16B6C" w:rsidP="00D16B6C">
      <w:pPr>
        <w:ind w:left="5" w:right="8"/>
        <w:jc w:val="center"/>
        <w:rPr>
          <w:rFonts w:ascii="Times New Roman" w:hAnsi="Times New Roman" w:cs="Times New Roman"/>
          <w:b/>
          <w:spacing w:val="-2"/>
          <w:sz w:val="24"/>
        </w:rPr>
      </w:pPr>
      <w:r w:rsidRPr="008C791C">
        <w:rPr>
          <w:rFonts w:ascii="Times New Roman" w:hAnsi="Times New Roman" w:cs="Times New Roman"/>
          <w:b/>
          <w:sz w:val="24"/>
        </w:rPr>
        <w:t xml:space="preserve">Fig.1. Micronutrients concentration chickpea after harvest as influenced by application of </w:t>
      </w:r>
      <w:r w:rsidRPr="008C791C">
        <w:rPr>
          <w:rFonts w:ascii="Times New Roman" w:hAnsi="Times New Roman" w:cs="Times New Roman"/>
          <w:b/>
          <w:spacing w:val="-2"/>
          <w:sz w:val="24"/>
        </w:rPr>
        <w:t>biochar</w:t>
      </w:r>
    </w:p>
    <w:p w14:paraId="3A1AD1F0" w14:textId="77777777" w:rsidR="00D16B6C" w:rsidRPr="008C791C" w:rsidRDefault="00D16B6C" w:rsidP="00D16B6C">
      <w:pPr>
        <w:ind w:left="5" w:right="8"/>
        <w:jc w:val="center"/>
        <w:rPr>
          <w:rFonts w:ascii="Times New Roman" w:hAnsi="Times New Roman" w:cs="Times New Roman"/>
          <w:b/>
          <w:spacing w:val="-2"/>
          <w:sz w:val="24"/>
        </w:rPr>
      </w:pPr>
    </w:p>
    <w:p w14:paraId="31F4B0EA" w14:textId="77777777" w:rsidR="00D16B6C" w:rsidRPr="008C791C" w:rsidRDefault="00D16B6C" w:rsidP="00D16B6C">
      <w:pPr>
        <w:ind w:left="5" w:right="8"/>
        <w:jc w:val="center"/>
        <w:rPr>
          <w:rFonts w:ascii="Times New Roman" w:hAnsi="Times New Roman" w:cs="Times New Roman"/>
          <w:b/>
          <w:sz w:val="24"/>
        </w:rPr>
      </w:pPr>
      <w:r w:rsidRPr="008C791C">
        <w:rPr>
          <w:rFonts w:ascii="Times New Roman" w:hAnsi="Times New Roman" w:cs="Times New Roman"/>
          <w:b/>
          <w:noProof/>
          <w:spacing w:val="-2"/>
          <w:sz w:val="24"/>
        </w:rPr>
        <w:drawing>
          <wp:inline distT="0" distB="0" distL="0" distR="0" wp14:anchorId="043DE0A2" wp14:editId="54DF4F77">
            <wp:extent cx="5445316" cy="3404212"/>
            <wp:effectExtent l="19050" t="0" r="22034" b="5738"/>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33DADA" w14:textId="77777777" w:rsidR="00D16B6C" w:rsidRPr="008C791C" w:rsidRDefault="00D16B6C" w:rsidP="00D16B6C">
      <w:pPr>
        <w:ind w:left="5" w:right="8"/>
        <w:jc w:val="center"/>
        <w:rPr>
          <w:rFonts w:ascii="Times New Roman" w:hAnsi="Times New Roman" w:cs="Times New Roman"/>
          <w:b/>
          <w:sz w:val="24"/>
        </w:rPr>
      </w:pPr>
      <w:r w:rsidRPr="008C791C">
        <w:rPr>
          <w:rFonts w:ascii="Times New Roman" w:hAnsi="Times New Roman" w:cs="Times New Roman"/>
          <w:b/>
          <w:sz w:val="24"/>
        </w:rPr>
        <w:t xml:space="preserve">Fig.2.Nutrient uptake by chickpea Grain after harvest as influenced by application of </w:t>
      </w:r>
      <w:r w:rsidRPr="008C791C">
        <w:rPr>
          <w:rFonts w:ascii="Times New Roman" w:hAnsi="Times New Roman" w:cs="Times New Roman"/>
          <w:b/>
          <w:spacing w:val="-2"/>
          <w:sz w:val="24"/>
        </w:rPr>
        <w:t>biochar</w:t>
      </w:r>
    </w:p>
    <w:p w14:paraId="475F8881" w14:textId="77777777" w:rsidR="00D16B6C" w:rsidRPr="008C791C" w:rsidRDefault="00D16B6C" w:rsidP="00D16B6C">
      <w:pPr>
        <w:autoSpaceDE w:val="0"/>
        <w:autoSpaceDN w:val="0"/>
        <w:adjustRightInd w:val="0"/>
        <w:spacing w:before="240" w:line="360" w:lineRule="auto"/>
        <w:ind w:firstLine="720"/>
        <w:jc w:val="both"/>
        <w:rPr>
          <w:rFonts w:ascii="Times New Roman" w:hAnsi="Times New Roman" w:cs="Times New Roman"/>
          <w:sz w:val="24"/>
          <w:szCs w:val="24"/>
        </w:rPr>
      </w:pPr>
    </w:p>
    <w:p w14:paraId="37049641" w14:textId="77777777" w:rsidR="00D16B6C" w:rsidRPr="008C791C" w:rsidRDefault="00D16B6C" w:rsidP="00D16B6C">
      <w:pPr>
        <w:ind w:left="5" w:right="8"/>
        <w:jc w:val="center"/>
        <w:rPr>
          <w:rFonts w:ascii="Times New Roman" w:hAnsi="Times New Roman" w:cs="Times New Roman"/>
          <w:b/>
          <w:sz w:val="24"/>
        </w:rPr>
        <w:sectPr w:rsidR="00D16B6C" w:rsidRPr="008C791C" w:rsidSect="007621A1">
          <w:pgSz w:w="11900" w:h="16840"/>
          <w:pgMar w:top="1135" w:right="1440" w:bottom="1440" w:left="1440" w:header="720" w:footer="720" w:gutter="0"/>
          <w:cols w:space="720"/>
          <w:docGrid w:linePitch="299"/>
        </w:sectPr>
      </w:pPr>
    </w:p>
    <w:p w14:paraId="460509D7" w14:textId="77777777" w:rsidR="00BB36D8" w:rsidRPr="008C791C" w:rsidRDefault="00BB36D8" w:rsidP="00D16B6C">
      <w:pPr>
        <w:autoSpaceDE w:val="0"/>
        <w:autoSpaceDN w:val="0"/>
        <w:adjustRightInd w:val="0"/>
        <w:spacing w:before="240" w:line="360" w:lineRule="auto"/>
        <w:jc w:val="both"/>
        <w:rPr>
          <w:rFonts w:ascii="Times New Roman" w:hAnsi="Times New Roman" w:cs="Times New Roman"/>
          <w:sz w:val="24"/>
          <w:szCs w:val="24"/>
        </w:rPr>
      </w:pPr>
    </w:p>
    <w:p w14:paraId="4A5748DC" w14:textId="77777777" w:rsidR="00D16B6C" w:rsidRPr="008C791C" w:rsidRDefault="00D16B6C" w:rsidP="00633003">
      <w:pPr>
        <w:autoSpaceDE w:val="0"/>
        <w:autoSpaceDN w:val="0"/>
        <w:adjustRightInd w:val="0"/>
        <w:spacing w:before="240" w:line="360" w:lineRule="auto"/>
        <w:ind w:firstLine="720"/>
        <w:jc w:val="both"/>
        <w:rPr>
          <w:noProof/>
        </w:rPr>
      </w:pPr>
      <w:r w:rsidRPr="008C791C">
        <w:rPr>
          <w:rFonts w:ascii="Times New Roman" w:hAnsi="Times New Roman" w:cs="Times New Roman"/>
          <w:noProof/>
          <w:sz w:val="24"/>
          <w:szCs w:val="24"/>
        </w:rPr>
        <w:drawing>
          <wp:inline distT="0" distB="0" distL="0" distR="0" wp14:anchorId="15F863F0" wp14:editId="751E9EF7">
            <wp:extent cx="5442815" cy="3133779"/>
            <wp:effectExtent l="19050" t="0" r="24535" b="947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C791C">
        <w:rPr>
          <w:noProof/>
        </w:rPr>
        <w:t xml:space="preserve"> </w:t>
      </w:r>
    </w:p>
    <w:p w14:paraId="1192EBE7" w14:textId="77777777" w:rsidR="00D16B6C" w:rsidRPr="008C791C" w:rsidRDefault="00D16B6C" w:rsidP="00D16B6C">
      <w:pPr>
        <w:ind w:left="5" w:right="8"/>
        <w:jc w:val="center"/>
        <w:rPr>
          <w:rFonts w:ascii="Times New Roman" w:hAnsi="Times New Roman" w:cs="Times New Roman"/>
          <w:b/>
          <w:sz w:val="24"/>
        </w:rPr>
      </w:pPr>
      <w:r w:rsidRPr="008C791C">
        <w:rPr>
          <w:rFonts w:ascii="Times New Roman" w:hAnsi="Times New Roman" w:cs="Times New Roman"/>
          <w:b/>
          <w:sz w:val="24"/>
        </w:rPr>
        <w:t xml:space="preserve">Fig.3.Nutrient uptake by chickpea Grain after harvest as influenced by application of </w:t>
      </w:r>
      <w:r w:rsidRPr="008C791C">
        <w:rPr>
          <w:rFonts w:ascii="Times New Roman" w:hAnsi="Times New Roman" w:cs="Times New Roman"/>
          <w:b/>
          <w:spacing w:val="-2"/>
          <w:sz w:val="24"/>
        </w:rPr>
        <w:t>biochar</w:t>
      </w:r>
    </w:p>
    <w:p w14:paraId="4C70B770" w14:textId="77777777" w:rsidR="00D16B6C" w:rsidRPr="008C791C" w:rsidRDefault="00D16B6C" w:rsidP="00633003">
      <w:pPr>
        <w:autoSpaceDE w:val="0"/>
        <w:autoSpaceDN w:val="0"/>
        <w:adjustRightInd w:val="0"/>
        <w:spacing w:before="240" w:line="360" w:lineRule="auto"/>
        <w:ind w:firstLine="720"/>
        <w:jc w:val="both"/>
        <w:rPr>
          <w:noProof/>
        </w:rPr>
      </w:pPr>
    </w:p>
    <w:p w14:paraId="1B3A1836" w14:textId="77777777" w:rsidR="00D16B6C" w:rsidRPr="008C791C" w:rsidRDefault="00D16B6C" w:rsidP="00633003">
      <w:pPr>
        <w:autoSpaceDE w:val="0"/>
        <w:autoSpaceDN w:val="0"/>
        <w:adjustRightInd w:val="0"/>
        <w:spacing w:before="240" w:line="360" w:lineRule="auto"/>
        <w:ind w:firstLine="720"/>
        <w:jc w:val="both"/>
        <w:rPr>
          <w:rFonts w:ascii="Times New Roman" w:hAnsi="Times New Roman" w:cs="Times New Roman"/>
          <w:sz w:val="24"/>
          <w:szCs w:val="24"/>
        </w:rPr>
      </w:pPr>
      <w:r w:rsidRPr="008C791C">
        <w:rPr>
          <w:rFonts w:ascii="Times New Roman" w:hAnsi="Times New Roman" w:cs="Times New Roman"/>
          <w:noProof/>
          <w:sz w:val="24"/>
          <w:szCs w:val="24"/>
        </w:rPr>
        <w:drawing>
          <wp:inline distT="0" distB="0" distL="0" distR="0" wp14:anchorId="32C54D16" wp14:editId="562B196F">
            <wp:extent cx="5200029" cy="2756306"/>
            <wp:effectExtent l="19050" t="0" r="19671" b="5944"/>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BF7EE6" w14:textId="77777777" w:rsidR="00D16B6C" w:rsidRPr="00D16B6C" w:rsidRDefault="00D16B6C" w:rsidP="00D16B6C">
      <w:pPr>
        <w:ind w:left="5" w:right="8"/>
        <w:jc w:val="center"/>
        <w:rPr>
          <w:rFonts w:ascii="Times New Roman" w:hAnsi="Times New Roman" w:cs="Times New Roman"/>
          <w:b/>
          <w:sz w:val="24"/>
        </w:rPr>
      </w:pPr>
      <w:r w:rsidRPr="008C791C">
        <w:rPr>
          <w:rFonts w:ascii="Times New Roman" w:hAnsi="Times New Roman" w:cs="Times New Roman"/>
          <w:b/>
          <w:sz w:val="24"/>
        </w:rPr>
        <w:t xml:space="preserve">Fig.4.Nutrient uptake by chickpea Grain after harvest as influenced by application of </w:t>
      </w:r>
      <w:r w:rsidRPr="008C791C">
        <w:rPr>
          <w:rFonts w:ascii="Times New Roman" w:hAnsi="Times New Roman" w:cs="Times New Roman"/>
          <w:b/>
          <w:spacing w:val="-2"/>
          <w:sz w:val="24"/>
        </w:rPr>
        <w:t>biochar</w:t>
      </w:r>
    </w:p>
    <w:p w14:paraId="337408A2" w14:textId="77777777" w:rsidR="00D16B6C" w:rsidRPr="00F30C43" w:rsidRDefault="00D16B6C" w:rsidP="00D16B6C">
      <w:pPr>
        <w:ind w:left="5" w:right="8"/>
        <w:jc w:val="center"/>
        <w:rPr>
          <w:rFonts w:ascii="Times New Roman" w:hAnsi="Times New Roman" w:cs="Times New Roman"/>
          <w:sz w:val="24"/>
          <w:szCs w:val="24"/>
        </w:rPr>
      </w:pPr>
    </w:p>
    <w:sectPr w:rsidR="00D16B6C" w:rsidRPr="00F30C43" w:rsidSect="00447DD3">
      <w:pgSz w:w="11907" w:h="16839" w:code="9"/>
      <w:pgMar w:top="1440" w:right="99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0E8F"/>
    <w:multiLevelType w:val="hybridMultilevel"/>
    <w:tmpl w:val="CF56B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0295B"/>
    <w:multiLevelType w:val="hybridMultilevel"/>
    <w:tmpl w:val="3B2A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F782F"/>
    <w:multiLevelType w:val="hybridMultilevel"/>
    <w:tmpl w:val="3364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52982"/>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9354E"/>
    <w:multiLevelType w:val="hybridMultilevel"/>
    <w:tmpl w:val="05AE6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36004A"/>
    <w:multiLevelType w:val="hybridMultilevel"/>
    <w:tmpl w:val="FABC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A63C0"/>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F5EF2"/>
    <w:multiLevelType w:val="hybridMultilevel"/>
    <w:tmpl w:val="503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71ADC"/>
    <w:rsid w:val="00003BA5"/>
    <w:rsid w:val="000239A6"/>
    <w:rsid w:val="00046F94"/>
    <w:rsid w:val="00080FD4"/>
    <w:rsid w:val="000A6E96"/>
    <w:rsid w:val="00161E23"/>
    <w:rsid w:val="00166ED3"/>
    <w:rsid w:val="00187CBB"/>
    <w:rsid w:val="001E0DA2"/>
    <w:rsid w:val="002949D2"/>
    <w:rsid w:val="00295EA0"/>
    <w:rsid w:val="002A2B54"/>
    <w:rsid w:val="002F069E"/>
    <w:rsid w:val="0032062B"/>
    <w:rsid w:val="003940D3"/>
    <w:rsid w:val="003B76B9"/>
    <w:rsid w:val="003F3FC8"/>
    <w:rsid w:val="00447DD3"/>
    <w:rsid w:val="00546297"/>
    <w:rsid w:val="005B5652"/>
    <w:rsid w:val="005E209E"/>
    <w:rsid w:val="005F2D56"/>
    <w:rsid w:val="0060582E"/>
    <w:rsid w:val="006134F2"/>
    <w:rsid w:val="0061547F"/>
    <w:rsid w:val="00633003"/>
    <w:rsid w:val="00666769"/>
    <w:rsid w:val="006A2F76"/>
    <w:rsid w:val="006A4E64"/>
    <w:rsid w:val="006B2EEF"/>
    <w:rsid w:val="006F30A7"/>
    <w:rsid w:val="007023C7"/>
    <w:rsid w:val="007621A1"/>
    <w:rsid w:val="008C791C"/>
    <w:rsid w:val="00921D02"/>
    <w:rsid w:val="00944CC8"/>
    <w:rsid w:val="009709F5"/>
    <w:rsid w:val="00971ADC"/>
    <w:rsid w:val="00982A08"/>
    <w:rsid w:val="009D002C"/>
    <w:rsid w:val="00A54D06"/>
    <w:rsid w:val="00A57169"/>
    <w:rsid w:val="00AD30BC"/>
    <w:rsid w:val="00AD6913"/>
    <w:rsid w:val="00AD71F0"/>
    <w:rsid w:val="00B02B3D"/>
    <w:rsid w:val="00B21CC2"/>
    <w:rsid w:val="00B54E11"/>
    <w:rsid w:val="00B95DD0"/>
    <w:rsid w:val="00BB36D8"/>
    <w:rsid w:val="00C16B6D"/>
    <w:rsid w:val="00C757F7"/>
    <w:rsid w:val="00CE2DD1"/>
    <w:rsid w:val="00D16B6C"/>
    <w:rsid w:val="00D57E29"/>
    <w:rsid w:val="00D960F1"/>
    <w:rsid w:val="00DC49AC"/>
    <w:rsid w:val="00DF7B76"/>
    <w:rsid w:val="00EE78C7"/>
    <w:rsid w:val="00F30C43"/>
    <w:rsid w:val="00F327BC"/>
    <w:rsid w:val="00F50AA4"/>
    <w:rsid w:val="00FB58E0"/>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B6AC"/>
  <w15:docId w15:val="{F8FDA717-99B6-4C8A-A4AA-879470AD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DD1"/>
  </w:style>
  <w:style w:type="paragraph" w:styleId="Heading2">
    <w:name w:val="heading 2"/>
    <w:basedOn w:val="Normal"/>
    <w:next w:val="Normal"/>
    <w:link w:val="Heading2Char"/>
    <w:uiPriority w:val="9"/>
    <w:semiHidden/>
    <w:unhideWhenUsed/>
    <w:qFormat/>
    <w:rsid w:val="00447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2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0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2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09E"/>
    <w:rPr>
      <w:b/>
      <w:bCs/>
    </w:rPr>
  </w:style>
  <w:style w:type="paragraph" w:styleId="ListParagraph">
    <w:name w:val="List Paragraph"/>
    <w:basedOn w:val="Normal"/>
    <w:uiPriority w:val="34"/>
    <w:qFormat/>
    <w:rsid w:val="00633003"/>
    <w:pPr>
      <w:ind w:left="720"/>
      <w:contextualSpacing/>
    </w:pPr>
  </w:style>
  <w:style w:type="character" w:customStyle="1" w:styleId="Heading2Char">
    <w:name w:val="Heading 2 Char"/>
    <w:basedOn w:val="DefaultParagraphFont"/>
    <w:link w:val="Heading2"/>
    <w:uiPriority w:val="9"/>
    <w:semiHidden/>
    <w:rsid w:val="00447DD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47D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7DD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47DD3"/>
    <w:pPr>
      <w:widowControl w:val="0"/>
      <w:autoSpaceDE w:val="0"/>
      <w:autoSpaceDN w:val="0"/>
      <w:spacing w:after="0" w:line="240" w:lineRule="auto"/>
      <w:ind w:left="110"/>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6C"/>
    <w:rPr>
      <w:rFonts w:ascii="Tahoma" w:hAnsi="Tahoma" w:cs="Tahoma"/>
      <w:sz w:val="16"/>
      <w:szCs w:val="16"/>
    </w:rPr>
  </w:style>
  <w:style w:type="character" w:styleId="Hyperlink">
    <w:name w:val="Hyperlink"/>
    <w:basedOn w:val="DefaultParagraphFont"/>
    <w:uiPriority w:val="99"/>
    <w:unhideWhenUsed/>
    <w:rsid w:val="00605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2146">
      <w:bodyDiv w:val="1"/>
      <w:marLeft w:val="0"/>
      <w:marRight w:val="0"/>
      <w:marTop w:val="0"/>
      <w:marBottom w:val="0"/>
      <w:divBdr>
        <w:top w:val="none" w:sz="0" w:space="0" w:color="auto"/>
        <w:left w:val="none" w:sz="0" w:space="0" w:color="auto"/>
        <w:bottom w:val="none" w:sz="0" w:space="0" w:color="auto"/>
        <w:right w:val="none" w:sz="0" w:space="0" w:color="auto"/>
      </w:divBdr>
    </w:div>
    <w:div w:id="580414325">
      <w:bodyDiv w:val="1"/>
      <w:marLeft w:val="0"/>
      <w:marRight w:val="0"/>
      <w:marTop w:val="0"/>
      <w:marBottom w:val="0"/>
      <w:divBdr>
        <w:top w:val="none" w:sz="0" w:space="0" w:color="auto"/>
        <w:left w:val="none" w:sz="0" w:space="0" w:color="auto"/>
        <w:bottom w:val="none" w:sz="0" w:space="0" w:color="auto"/>
        <w:right w:val="none" w:sz="0" w:space="0" w:color="auto"/>
      </w:divBdr>
    </w:div>
    <w:div w:id="920600004">
      <w:bodyDiv w:val="1"/>
      <w:marLeft w:val="0"/>
      <w:marRight w:val="0"/>
      <w:marTop w:val="0"/>
      <w:marBottom w:val="0"/>
      <w:divBdr>
        <w:top w:val="none" w:sz="0" w:space="0" w:color="auto"/>
        <w:left w:val="none" w:sz="0" w:space="0" w:color="auto"/>
        <w:bottom w:val="none" w:sz="0" w:space="0" w:color="auto"/>
        <w:right w:val="none" w:sz="0" w:space="0" w:color="auto"/>
      </w:divBdr>
    </w:div>
    <w:div w:id="1205942588">
      <w:bodyDiv w:val="1"/>
      <w:marLeft w:val="0"/>
      <w:marRight w:val="0"/>
      <w:marTop w:val="0"/>
      <w:marBottom w:val="0"/>
      <w:divBdr>
        <w:top w:val="none" w:sz="0" w:space="0" w:color="auto"/>
        <w:left w:val="none" w:sz="0" w:space="0" w:color="auto"/>
        <w:bottom w:val="none" w:sz="0" w:space="0" w:color="auto"/>
        <w:right w:val="none" w:sz="0" w:space="0" w:color="auto"/>
      </w:divBdr>
    </w:div>
    <w:div w:id="1254584277">
      <w:bodyDiv w:val="1"/>
      <w:marLeft w:val="0"/>
      <w:marRight w:val="0"/>
      <w:marTop w:val="0"/>
      <w:marBottom w:val="0"/>
      <w:divBdr>
        <w:top w:val="none" w:sz="0" w:space="0" w:color="auto"/>
        <w:left w:val="none" w:sz="0" w:space="0" w:color="auto"/>
        <w:bottom w:val="none" w:sz="0" w:space="0" w:color="auto"/>
        <w:right w:val="none" w:sz="0" w:space="0" w:color="auto"/>
      </w:divBdr>
    </w:div>
    <w:div w:id="20726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gronomy.org.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Micronutrients concentration in Chickpea </a:t>
            </a:r>
          </a:p>
        </c:rich>
      </c:tx>
      <c:overlay val="0"/>
    </c:title>
    <c:autoTitleDeleted val="0"/>
    <c:plotArea>
      <c:layout/>
      <c:barChart>
        <c:barDir val="col"/>
        <c:grouping val="clustered"/>
        <c:varyColors val="0"/>
        <c:ser>
          <c:idx val="1"/>
          <c:order val="1"/>
          <c:tx>
            <c:strRef>
              <c:f>Sheet1!$C$39</c:f>
              <c:strCache>
                <c:ptCount val="1"/>
                <c:pt idx="0">
                  <c:v>Zinc(mgkg-1)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Sheet1!$C$40:$C$47</c:f>
              <c:numCache>
                <c:formatCode>General</c:formatCode>
                <c:ptCount val="8"/>
                <c:pt idx="0">
                  <c:v>34.879999999999995</c:v>
                </c:pt>
                <c:pt idx="1">
                  <c:v>40.260000000000012</c:v>
                </c:pt>
                <c:pt idx="2">
                  <c:v>35.64</c:v>
                </c:pt>
                <c:pt idx="3">
                  <c:v>36.870000000000005</c:v>
                </c:pt>
                <c:pt idx="4">
                  <c:v>42.75</c:v>
                </c:pt>
                <c:pt idx="5">
                  <c:v>45.9</c:v>
                </c:pt>
                <c:pt idx="6">
                  <c:v>46.379999999999995</c:v>
                </c:pt>
                <c:pt idx="7">
                  <c:v>48.05</c:v>
                </c:pt>
              </c:numCache>
            </c:numRef>
          </c:val>
          <c:extLst>
            <c:ext xmlns:c16="http://schemas.microsoft.com/office/drawing/2014/chart" uri="{C3380CC4-5D6E-409C-BE32-E72D297353CC}">
              <c16:uniqueId val="{00000000-21E8-4767-ACC1-BBC1B6692607}"/>
            </c:ext>
          </c:extLst>
        </c:ser>
        <c:ser>
          <c:idx val="2"/>
          <c:order val="2"/>
          <c:tx>
            <c:strRef>
              <c:f>Sheet1!$D$39</c:f>
              <c:strCache>
                <c:ptCount val="1"/>
                <c:pt idx="0">
                  <c:v>Manganese(mgkg-1)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Sheet1!$D$40:$D$47</c:f>
              <c:numCache>
                <c:formatCode>General</c:formatCode>
                <c:ptCount val="8"/>
                <c:pt idx="0">
                  <c:v>32.92</c:v>
                </c:pt>
                <c:pt idx="1">
                  <c:v>45.78</c:v>
                </c:pt>
                <c:pt idx="2">
                  <c:v>36.590000000000003</c:v>
                </c:pt>
                <c:pt idx="3">
                  <c:v>40.14</c:v>
                </c:pt>
                <c:pt idx="4">
                  <c:v>47.849999999999994</c:v>
                </c:pt>
                <c:pt idx="5">
                  <c:v>54.309999999999995</c:v>
                </c:pt>
                <c:pt idx="6">
                  <c:v>54.87</c:v>
                </c:pt>
                <c:pt idx="7">
                  <c:v>56.87</c:v>
                </c:pt>
              </c:numCache>
            </c:numRef>
          </c:val>
          <c:extLst>
            <c:ext xmlns:c16="http://schemas.microsoft.com/office/drawing/2014/chart" uri="{C3380CC4-5D6E-409C-BE32-E72D297353CC}">
              <c16:uniqueId val="{00000001-21E8-4767-ACC1-BBC1B6692607}"/>
            </c:ext>
          </c:extLst>
        </c:ser>
        <c:ser>
          <c:idx val="3"/>
          <c:order val="3"/>
          <c:tx>
            <c:strRef>
              <c:f>Sheet1!$E$39</c:f>
              <c:strCache>
                <c:ptCount val="1"/>
                <c:pt idx="0">
                  <c:v>Copper(mgkg-1)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Sheet1!$E$40:$E$47</c:f>
              <c:numCache>
                <c:formatCode>General</c:formatCode>
                <c:ptCount val="8"/>
                <c:pt idx="0">
                  <c:v>14.370000000000006</c:v>
                </c:pt>
                <c:pt idx="1">
                  <c:v>18.18</c:v>
                </c:pt>
                <c:pt idx="2">
                  <c:v>15.54</c:v>
                </c:pt>
                <c:pt idx="3">
                  <c:v>16.73</c:v>
                </c:pt>
                <c:pt idx="4">
                  <c:v>19.260000000000002</c:v>
                </c:pt>
                <c:pt idx="5">
                  <c:v>23.2</c:v>
                </c:pt>
                <c:pt idx="6">
                  <c:v>23.630000000000031</c:v>
                </c:pt>
                <c:pt idx="7">
                  <c:v>24.25</c:v>
                </c:pt>
              </c:numCache>
            </c:numRef>
          </c:val>
          <c:extLst>
            <c:ext xmlns:c16="http://schemas.microsoft.com/office/drawing/2014/chart" uri="{C3380CC4-5D6E-409C-BE32-E72D297353CC}">
              <c16:uniqueId val="{00000002-21E8-4767-ACC1-BBC1B6692607}"/>
            </c:ext>
          </c:extLst>
        </c:ser>
        <c:dLbls>
          <c:showLegendKey val="0"/>
          <c:showVal val="0"/>
          <c:showCatName val="0"/>
          <c:showSerName val="0"/>
          <c:showPercent val="0"/>
          <c:showBubbleSize val="0"/>
        </c:dLbls>
        <c:gapWidth val="300"/>
        <c:axId val="90022272"/>
        <c:axId val="90132480"/>
      </c:barChart>
      <c:lineChart>
        <c:grouping val="standard"/>
        <c:varyColors val="0"/>
        <c:ser>
          <c:idx val="0"/>
          <c:order val="0"/>
          <c:tx>
            <c:strRef>
              <c:f>Sheet1!$B$39</c:f>
              <c:strCache>
                <c:ptCount val="1"/>
                <c:pt idx="0">
                  <c:v>Iron(mgkg-1)</c:v>
                </c:pt>
              </c:strCache>
            </c:strRef>
          </c:tx>
          <c:cat>
            <c:strRef>
              <c:f>Sheet1!$A$40:$A$47</c:f>
              <c:strCache>
                <c:ptCount val="8"/>
                <c:pt idx="0">
                  <c:v>T1</c:v>
                </c:pt>
                <c:pt idx="1">
                  <c:v>T2</c:v>
                </c:pt>
                <c:pt idx="2">
                  <c:v>T3</c:v>
                </c:pt>
                <c:pt idx="3">
                  <c:v>T4</c:v>
                </c:pt>
                <c:pt idx="4">
                  <c:v>T5</c:v>
                </c:pt>
                <c:pt idx="5">
                  <c:v>T6</c:v>
                </c:pt>
                <c:pt idx="6">
                  <c:v>T7</c:v>
                </c:pt>
                <c:pt idx="7">
                  <c:v>T8</c:v>
                </c:pt>
              </c:strCache>
            </c:strRef>
          </c:cat>
          <c:val>
            <c:numRef>
              <c:f>Sheet1!$B$40:$B$47</c:f>
              <c:numCache>
                <c:formatCode>General</c:formatCode>
                <c:ptCount val="8"/>
                <c:pt idx="0">
                  <c:v>152.26999999999998</c:v>
                </c:pt>
                <c:pt idx="1">
                  <c:v>171.68</c:v>
                </c:pt>
                <c:pt idx="2">
                  <c:v>155.08000000000001</c:v>
                </c:pt>
                <c:pt idx="3">
                  <c:v>161.72</c:v>
                </c:pt>
                <c:pt idx="4">
                  <c:v>180.56</c:v>
                </c:pt>
                <c:pt idx="5">
                  <c:v>197.23999999999998</c:v>
                </c:pt>
                <c:pt idx="6">
                  <c:v>200.52</c:v>
                </c:pt>
                <c:pt idx="7">
                  <c:v>209.28</c:v>
                </c:pt>
              </c:numCache>
            </c:numRef>
          </c:val>
          <c:smooth val="0"/>
          <c:extLst>
            <c:ext xmlns:c16="http://schemas.microsoft.com/office/drawing/2014/chart" uri="{C3380CC4-5D6E-409C-BE32-E72D297353CC}">
              <c16:uniqueId val="{00000003-21E8-4767-ACC1-BBC1B6692607}"/>
            </c:ext>
          </c:extLst>
        </c:ser>
        <c:dLbls>
          <c:showLegendKey val="0"/>
          <c:showVal val="0"/>
          <c:showCatName val="0"/>
          <c:showSerName val="0"/>
          <c:showPercent val="0"/>
          <c:showBubbleSize val="0"/>
        </c:dLbls>
        <c:hiLowLines/>
        <c:marker val="1"/>
        <c:smooth val="0"/>
        <c:axId val="90449408"/>
        <c:axId val="90189184"/>
      </c:lineChart>
      <c:catAx>
        <c:axId val="90022272"/>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90132480"/>
        <c:crosses val="autoZero"/>
        <c:auto val="1"/>
        <c:lblAlgn val="ctr"/>
        <c:lblOffset val="100"/>
        <c:noMultiLvlLbl val="0"/>
      </c:catAx>
      <c:valAx>
        <c:axId val="90132480"/>
        <c:scaling>
          <c:orientation val="minMax"/>
        </c:scaling>
        <c:delete val="0"/>
        <c:axPos val="l"/>
        <c:majorGridlines/>
        <c:title>
          <c:tx>
            <c:rich>
              <a:bodyPr/>
              <a:lstStyle/>
              <a:p>
                <a:pPr>
                  <a:defRPr/>
                </a:pPr>
                <a:r>
                  <a:rPr lang="en-US"/>
                  <a:t>Zn, Mn and Cu</a:t>
                </a:r>
              </a:p>
            </c:rich>
          </c:tx>
          <c:overlay val="0"/>
        </c:title>
        <c:numFmt formatCode="General" sourceLinked="1"/>
        <c:majorTickMark val="out"/>
        <c:minorTickMark val="none"/>
        <c:tickLblPos val="nextTo"/>
        <c:crossAx val="90022272"/>
        <c:crosses val="autoZero"/>
        <c:crossBetween val="between"/>
      </c:valAx>
      <c:valAx>
        <c:axId val="90189184"/>
        <c:scaling>
          <c:orientation val="minMax"/>
        </c:scaling>
        <c:delete val="0"/>
        <c:axPos val="r"/>
        <c:title>
          <c:tx>
            <c:rich>
              <a:bodyPr rot="-5400000" vert="horz"/>
              <a:lstStyle/>
              <a:p>
                <a:pPr>
                  <a:defRPr/>
                </a:pPr>
                <a:r>
                  <a:rPr lang="en-US"/>
                  <a:t>Fe</a:t>
                </a:r>
              </a:p>
            </c:rich>
          </c:tx>
          <c:overlay val="0"/>
        </c:title>
        <c:numFmt formatCode="General" sourceLinked="1"/>
        <c:majorTickMark val="out"/>
        <c:minorTickMark val="none"/>
        <c:tickLblPos val="nextTo"/>
        <c:crossAx val="90449408"/>
        <c:crosses val="max"/>
        <c:crossBetween val="between"/>
      </c:valAx>
      <c:catAx>
        <c:axId val="90449408"/>
        <c:scaling>
          <c:orientation val="minMax"/>
        </c:scaling>
        <c:delete val="1"/>
        <c:axPos val="b"/>
        <c:numFmt formatCode="General" sourceLinked="1"/>
        <c:majorTickMark val="out"/>
        <c:minorTickMark val="none"/>
        <c:tickLblPos val="nextTo"/>
        <c:crossAx val="90189184"/>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c:ext xmlns:c16="http://schemas.microsoft.com/office/drawing/2014/chart" uri="{C3380CC4-5D6E-409C-BE32-E72D297353CC}">
              <c16:uniqueId val="{00000000-F76E-412E-80B5-60101CFF800A}"/>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c:ext xmlns:c16="http://schemas.microsoft.com/office/drawing/2014/chart" uri="{C3380CC4-5D6E-409C-BE32-E72D297353CC}">
              <c16:uniqueId val="{00000001-F76E-412E-80B5-60101CFF800A}"/>
            </c:ext>
          </c:extLst>
        </c:ser>
        <c:dLbls>
          <c:showLegendKey val="0"/>
          <c:showVal val="0"/>
          <c:showCatName val="0"/>
          <c:showSerName val="0"/>
          <c:showPercent val="0"/>
          <c:showBubbleSize val="0"/>
        </c:dLbls>
        <c:gapWidth val="150"/>
        <c:axId val="116340992"/>
        <c:axId val="24465792"/>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c:ext xmlns:c16="http://schemas.microsoft.com/office/drawing/2014/chart" uri="{C3380CC4-5D6E-409C-BE32-E72D297353CC}">
              <c16:uniqueId val="{00000002-F76E-412E-80B5-60101CFF800A}"/>
            </c:ext>
          </c:extLst>
        </c:ser>
        <c:dLbls>
          <c:showLegendKey val="0"/>
          <c:showVal val="0"/>
          <c:showCatName val="0"/>
          <c:showSerName val="0"/>
          <c:showPercent val="0"/>
          <c:showBubbleSize val="0"/>
        </c:dLbls>
        <c:marker val="1"/>
        <c:smooth val="0"/>
        <c:axId val="24473984"/>
        <c:axId val="24467712"/>
      </c:lineChart>
      <c:catAx>
        <c:axId val="116340992"/>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465792"/>
        <c:crosses val="autoZero"/>
        <c:auto val="1"/>
        <c:lblAlgn val="ctr"/>
        <c:lblOffset val="100"/>
        <c:noMultiLvlLbl val="0"/>
      </c:catAx>
      <c:valAx>
        <c:axId val="24465792"/>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47"/>
            </c:manualLayout>
          </c:layout>
          <c:overlay val="0"/>
        </c:title>
        <c:numFmt formatCode="General" sourceLinked="1"/>
        <c:majorTickMark val="out"/>
        <c:minorTickMark val="none"/>
        <c:tickLblPos val="nextTo"/>
        <c:crossAx val="116340992"/>
        <c:crosses val="autoZero"/>
        <c:crossBetween val="between"/>
      </c:valAx>
      <c:valAx>
        <c:axId val="24467712"/>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473984"/>
        <c:crosses val="max"/>
        <c:crossBetween val="between"/>
      </c:valAx>
      <c:catAx>
        <c:axId val="24473984"/>
        <c:scaling>
          <c:orientation val="minMax"/>
        </c:scaling>
        <c:delete val="1"/>
        <c:axPos val="b"/>
        <c:numFmt formatCode="General" sourceLinked="1"/>
        <c:majorTickMark val="out"/>
        <c:minorTickMark val="none"/>
        <c:tickLblPos val="nextTo"/>
        <c:crossAx val="24467712"/>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Major nutrient Uptake by Chickpea Stover</a:t>
            </a:r>
          </a:p>
        </c:rich>
      </c:tx>
      <c:overlay val="0"/>
    </c:title>
    <c:autoTitleDeleted val="0"/>
    <c:plotArea>
      <c:layout/>
      <c:barChart>
        <c:barDir val="col"/>
        <c:grouping val="clustered"/>
        <c:varyColors val="0"/>
        <c:ser>
          <c:idx val="0"/>
          <c:order val="0"/>
          <c:tx>
            <c:strRef>
              <c:f>Sheet1!$AB$26</c:f>
              <c:strCache>
                <c:ptCount val="1"/>
                <c:pt idx="0">
                  <c:v>Nitrogen(kgha-1)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Sheet1!$AB$27:$AB$34</c:f>
              <c:numCache>
                <c:formatCode>General</c:formatCode>
                <c:ptCount val="8"/>
                <c:pt idx="0">
                  <c:v>11.53</c:v>
                </c:pt>
                <c:pt idx="1">
                  <c:v>17.079999999999988</c:v>
                </c:pt>
                <c:pt idx="2">
                  <c:v>13.93</c:v>
                </c:pt>
                <c:pt idx="3">
                  <c:v>15.850000000000026</c:v>
                </c:pt>
                <c:pt idx="4">
                  <c:v>18.09</c:v>
                </c:pt>
                <c:pt idx="5">
                  <c:v>20.810000000000031</c:v>
                </c:pt>
                <c:pt idx="6">
                  <c:v>21.2</c:v>
                </c:pt>
                <c:pt idx="7">
                  <c:v>22.1</c:v>
                </c:pt>
              </c:numCache>
            </c:numRef>
          </c:val>
          <c:extLst>
            <c:ext xmlns:c16="http://schemas.microsoft.com/office/drawing/2014/chart" uri="{C3380CC4-5D6E-409C-BE32-E72D297353CC}">
              <c16:uniqueId val="{00000000-33B8-4191-BB56-FABA24F6D983}"/>
            </c:ext>
          </c:extLst>
        </c:ser>
        <c:ser>
          <c:idx val="2"/>
          <c:order val="2"/>
          <c:tx>
            <c:strRef>
              <c:f>Sheet1!$AD$26</c:f>
              <c:strCache>
                <c:ptCount val="1"/>
                <c:pt idx="0">
                  <c:v>Potassium(kgha-1)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Sheet1!$AD$27:$AD$34</c:f>
              <c:numCache>
                <c:formatCode>General</c:formatCode>
                <c:ptCount val="8"/>
                <c:pt idx="0">
                  <c:v>18.459999999999987</c:v>
                </c:pt>
                <c:pt idx="1">
                  <c:v>24.25</c:v>
                </c:pt>
                <c:pt idx="2">
                  <c:v>20.51</c:v>
                </c:pt>
                <c:pt idx="3">
                  <c:v>22.93</c:v>
                </c:pt>
                <c:pt idx="4">
                  <c:v>25.84</c:v>
                </c:pt>
                <c:pt idx="5">
                  <c:v>28.14</c:v>
                </c:pt>
                <c:pt idx="6">
                  <c:v>28.62</c:v>
                </c:pt>
                <c:pt idx="7">
                  <c:v>29.88</c:v>
                </c:pt>
              </c:numCache>
            </c:numRef>
          </c:val>
          <c:extLst>
            <c:ext xmlns:c16="http://schemas.microsoft.com/office/drawing/2014/chart" uri="{C3380CC4-5D6E-409C-BE32-E72D297353CC}">
              <c16:uniqueId val="{00000001-33B8-4191-BB56-FABA24F6D983}"/>
            </c:ext>
          </c:extLst>
        </c:ser>
        <c:dLbls>
          <c:showLegendKey val="0"/>
          <c:showVal val="0"/>
          <c:showCatName val="0"/>
          <c:showSerName val="0"/>
          <c:showPercent val="0"/>
          <c:showBubbleSize val="0"/>
        </c:dLbls>
        <c:gapWidth val="150"/>
        <c:axId val="24517248"/>
        <c:axId val="24531712"/>
      </c:barChart>
      <c:lineChart>
        <c:grouping val="standard"/>
        <c:varyColors val="0"/>
        <c:ser>
          <c:idx val="1"/>
          <c:order val="1"/>
          <c:tx>
            <c:strRef>
              <c:f>Sheet1!$AC$26</c:f>
              <c:strCache>
                <c:ptCount val="1"/>
                <c:pt idx="0">
                  <c:v>Phosphorous(kgha-1)</c:v>
                </c:pt>
              </c:strCache>
            </c:strRef>
          </c:tx>
          <c:cat>
            <c:strRef>
              <c:f>Sheet1!$AA$27:$AA$34</c:f>
              <c:strCache>
                <c:ptCount val="8"/>
                <c:pt idx="0">
                  <c:v>T1</c:v>
                </c:pt>
                <c:pt idx="1">
                  <c:v>T2</c:v>
                </c:pt>
                <c:pt idx="2">
                  <c:v>T3</c:v>
                </c:pt>
                <c:pt idx="3">
                  <c:v>T4</c:v>
                </c:pt>
                <c:pt idx="4">
                  <c:v>T5</c:v>
                </c:pt>
                <c:pt idx="5">
                  <c:v>T6</c:v>
                </c:pt>
                <c:pt idx="6">
                  <c:v>T7</c:v>
                </c:pt>
                <c:pt idx="7">
                  <c:v>T8</c:v>
                </c:pt>
              </c:strCache>
            </c:strRef>
          </c:cat>
          <c:val>
            <c:numRef>
              <c:f>Sheet1!$AC$27:$AC$34</c:f>
              <c:numCache>
                <c:formatCode>General</c:formatCode>
                <c:ptCount val="8"/>
                <c:pt idx="0">
                  <c:v>2.57</c:v>
                </c:pt>
                <c:pt idx="1">
                  <c:v>3.9299999999999997</c:v>
                </c:pt>
                <c:pt idx="2">
                  <c:v>3.12</c:v>
                </c:pt>
                <c:pt idx="3">
                  <c:v>3.54</c:v>
                </c:pt>
                <c:pt idx="4">
                  <c:v>4.1499999999999995</c:v>
                </c:pt>
                <c:pt idx="5">
                  <c:v>4.9700000000000024</c:v>
                </c:pt>
                <c:pt idx="6">
                  <c:v>5.1199999999999966</c:v>
                </c:pt>
                <c:pt idx="7">
                  <c:v>5.26</c:v>
                </c:pt>
              </c:numCache>
            </c:numRef>
          </c:val>
          <c:smooth val="0"/>
          <c:extLst>
            <c:ext xmlns:c16="http://schemas.microsoft.com/office/drawing/2014/chart" uri="{C3380CC4-5D6E-409C-BE32-E72D297353CC}">
              <c16:uniqueId val="{00000002-33B8-4191-BB56-FABA24F6D983}"/>
            </c:ext>
          </c:extLst>
        </c:ser>
        <c:dLbls>
          <c:showLegendKey val="0"/>
          <c:showVal val="0"/>
          <c:showCatName val="0"/>
          <c:showSerName val="0"/>
          <c:showPercent val="0"/>
          <c:showBubbleSize val="0"/>
        </c:dLbls>
        <c:marker val="1"/>
        <c:smooth val="0"/>
        <c:axId val="24535808"/>
        <c:axId val="24533632"/>
      </c:lineChart>
      <c:catAx>
        <c:axId val="24517248"/>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531712"/>
        <c:crosses val="autoZero"/>
        <c:auto val="1"/>
        <c:lblAlgn val="ctr"/>
        <c:lblOffset val="100"/>
        <c:noMultiLvlLbl val="0"/>
      </c:catAx>
      <c:valAx>
        <c:axId val="24531712"/>
        <c:scaling>
          <c:orientation val="minMax"/>
        </c:scaling>
        <c:delete val="0"/>
        <c:axPos val="l"/>
        <c:majorGridlines/>
        <c:title>
          <c:tx>
            <c:rich>
              <a:bodyPr/>
              <a:lstStyle/>
              <a:p>
                <a:pPr>
                  <a:defRPr/>
                </a:pPr>
                <a:r>
                  <a:rPr lang="en-US"/>
                  <a:t>Nitrogen and Potassium </a:t>
                </a:r>
              </a:p>
            </c:rich>
          </c:tx>
          <c:layout>
            <c:manualLayout>
              <c:xMode val="edge"/>
              <c:yMode val="edge"/>
              <c:x val="3.057072055866741E-2"/>
              <c:y val="0.34879288599169167"/>
            </c:manualLayout>
          </c:layout>
          <c:overlay val="0"/>
        </c:title>
        <c:numFmt formatCode="General" sourceLinked="1"/>
        <c:majorTickMark val="out"/>
        <c:minorTickMark val="none"/>
        <c:tickLblPos val="nextTo"/>
        <c:crossAx val="24517248"/>
        <c:crosses val="autoZero"/>
        <c:crossBetween val="between"/>
      </c:valAx>
      <c:valAx>
        <c:axId val="24533632"/>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535808"/>
        <c:crosses val="max"/>
        <c:crossBetween val="between"/>
      </c:valAx>
      <c:catAx>
        <c:axId val="24535808"/>
        <c:scaling>
          <c:orientation val="minMax"/>
        </c:scaling>
        <c:delete val="1"/>
        <c:axPos val="b"/>
        <c:numFmt formatCode="General" sourceLinked="1"/>
        <c:majorTickMark val="out"/>
        <c:minorTickMark val="none"/>
        <c:tickLblPos val="nextTo"/>
        <c:crossAx val="24533632"/>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c:ext xmlns:c16="http://schemas.microsoft.com/office/drawing/2014/chart" uri="{C3380CC4-5D6E-409C-BE32-E72D297353CC}">
              <c16:uniqueId val="{00000000-6808-4D2C-9527-05ED92F87443}"/>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c:ext xmlns:c16="http://schemas.microsoft.com/office/drawing/2014/chart" uri="{C3380CC4-5D6E-409C-BE32-E72D297353CC}">
              <c16:uniqueId val="{00000001-6808-4D2C-9527-05ED92F87443}"/>
            </c:ext>
          </c:extLst>
        </c:ser>
        <c:dLbls>
          <c:showLegendKey val="0"/>
          <c:showVal val="0"/>
          <c:showCatName val="0"/>
          <c:showSerName val="0"/>
          <c:showPercent val="0"/>
          <c:showBubbleSize val="0"/>
        </c:dLbls>
        <c:gapWidth val="150"/>
        <c:axId val="24550400"/>
        <c:axId val="24585344"/>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c:ext xmlns:c16="http://schemas.microsoft.com/office/drawing/2014/chart" uri="{C3380CC4-5D6E-409C-BE32-E72D297353CC}">
              <c16:uniqueId val="{00000002-6808-4D2C-9527-05ED92F87443}"/>
            </c:ext>
          </c:extLst>
        </c:ser>
        <c:dLbls>
          <c:showLegendKey val="0"/>
          <c:showVal val="0"/>
          <c:showCatName val="0"/>
          <c:showSerName val="0"/>
          <c:showPercent val="0"/>
          <c:showBubbleSize val="0"/>
        </c:dLbls>
        <c:marker val="1"/>
        <c:smooth val="0"/>
        <c:axId val="24589440"/>
        <c:axId val="24587264"/>
      </c:lineChart>
      <c:catAx>
        <c:axId val="24550400"/>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24585344"/>
        <c:crosses val="autoZero"/>
        <c:auto val="1"/>
        <c:lblAlgn val="ctr"/>
        <c:lblOffset val="100"/>
        <c:noMultiLvlLbl val="0"/>
      </c:catAx>
      <c:valAx>
        <c:axId val="24585344"/>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08"/>
            </c:manualLayout>
          </c:layout>
          <c:overlay val="0"/>
        </c:title>
        <c:numFmt formatCode="General" sourceLinked="1"/>
        <c:majorTickMark val="out"/>
        <c:minorTickMark val="none"/>
        <c:tickLblPos val="nextTo"/>
        <c:crossAx val="24550400"/>
        <c:crosses val="autoZero"/>
        <c:crossBetween val="between"/>
      </c:valAx>
      <c:valAx>
        <c:axId val="24587264"/>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24589440"/>
        <c:crosses val="max"/>
        <c:crossBetween val="between"/>
      </c:valAx>
      <c:catAx>
        <c:axId val="24589440"/>
        <c:scaling>
          <c:orientation val="minMax"/>
        </c:scaling>
        <c:delete val="1"/>
        <c:axPos val="b"/>
        <c:numFmt formatCode="General" sourceLinked="1"/>
        <c:majorTickMark val="out"/>
        <c:minorTickMark val="none"/>
        <c:tickLblPos val="nextTo"/>
        <c:crossAx val="24587264"/>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F3CD-A6A6-48D7-9231-845BDEF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5364</Words>
  <Characters>30576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1089</cp:lastModifiedBy>
  <cp:revision>27</cp:revision>
  <dcterms:created xsi:type="dcterms:W3CDTF">2025-05-02T06:55:00Z</dcterms:created>
  <dcterms:modified xsi:type="dcterms:W3CDTF">2025-06-27T07:26:00Z</dcterms:modified>
</cp:coreProperties>
</file>