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BACFA" w14:textId="77777777" w:rsidR="00CD68BB" w:rsidRDefault="00864064">
      <w:pPr>
        <w:ind w:firstLineChars="400" w:firstLine="960"/>
        <w:jc w:val="center"/>
        <w:rPr>
          <w:rFonts w:ascii="Times New Roman" w:hAnsi="Times New Roman" w:cs="Times New Roman"/>
          <w:b/>
          <w:bCs/>
          <w:sz w:val="24"/>
          <w:szCs w:val="24"/>
        </w:rPr>
      </w:pPr>
      <w:r>
        <w:rPr>
          <w:rFonts w:ascii="Times New Roman" w:hAnsi="Times New Roman" w:cs="Times New Roman"/>
          <w:b/>
          <w:bCs/>
          <w:sz w:val="24"/>
          <w:szCs w:val="24"/>
        </w:rPr>
        <w:t>Evaluating Farmers’ Groundwater Conservation Constraints Using Quantitative Ranking Tools</w:t>
      </w:r>
    </w:p>
    <w:p w14:paraId="561ACFC4" w14:textId="77777777" w:rsidR="00CD68BB" w:rsidRDefault="00CD68BB">
      <w:pPr>
        <w:jc w:val="both"/>
        <w:rPr>
          <w:rFonts w:ascii="Times New Roman" w:eastAsia="SimSun" w:hAnsi="Times New Roman" w:cs="Times New Roman"/>
          <w:b/>
          <w:bCs/>
          <w:sz w:val="28"/>
          <w:szCs w:val="28"/>
        </w:rPr>
      </w:pPr>
    </w:p>
    <w:p w14:paraId="5DA17688" w14:textId="77777777" w:rsidR="00CD68BB" w:rsidRDefault="00864064">
      <w:pPr>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Abstract</w:t>
      </w:r>
    </w:p>
    <w:p w14:paraId="164D2191" w14:textId="77777777" w:rsidR="00CD68BB" w:rsidRDefault="00864064">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Despite possessing substantial freshwater reserves, India is facing a severe and escalating water crisis, particularly in the agricultural sector, which </w:t>
      </w:r>
      <w:r>
        <w:rPr>
          <w:rFonts w:ascii="Times New Roman" w:eastAsia="SimSun" w:hAnsi="Times New Roman" w:cs="Times New Roman"/>
          <w:sz w:val="24"/>
          <w:szCs w:val="24"/>
        </w:rPr>
        <w:t>consumes nearly 85% of the nation’s total water resources. This study systematically investigates the barriers to the adoption of groundwater conservation practices among farmers. Employing a mixed-methods approach, data were gathered from 180 farmers in w</w:t>
      </w:r>
      <w:r>
        <w:rPr>
          <w:rFonts w:ascii="Times New Roman" w:eastAsia="SimSun" w:hAnsi="Times New Roman" w:cs="Times New Roman"/>
          <w:sz w:val="24"/>
          <w:szCs w:val="24"/>
        </w:rPr>
        <w:t xml:space="preserve">ater-intensive regions using structured questionnaires, focus group discussions, and key informant interviews. Two analytical tools: Garrett’s Ranking Technique and the Rank-Based Quotient (RBQ) method, were used to prioritize the constraints as perceived </w:t>
      </w:r>
      <w:r>
        <w:rPr>
          <w:rFonts w:ascii="Times New Roman" w:eastAsia="SimSun" w:hAnsi="Times New Roman" w:cs="Times New Roman"/>
          <w:sz w:val="24"/>
          <w:szCs w:val="24"/>
        </w:rPr>
        <w:t>by the respondents. The analysis revealed critical challenges across five domains: demographic and livelihood-related factors, technological accessibility, ecological and resource constraints, economic limitations, and governance support. Key barriers incl</w:t>
      </w:r>
      <w:r>
        <w:rPr>
          <w:rFonts w:ascii="Times New Roman" w:eastAsia="SimSun" w:hAnsi="Times New Roman" w:cs="Times New Roman"/>
          <w:sz w:val="24"/>
          <w:szCs w:val="24"/>
        </w:rPr>
        <w:t>uded inter-generational knowledge gaps (RBQ 93.19), dependence on traditional irrigation methods (Garrett score 71.50), market volatility (Garrett score 68.50), erratic climatic conditions, and insufficient policy incentives (RBQ 91.60). The findings under</w:t>
      </w:r>
      <w:r>
        <w:rPr>
          <w:rFonts w:ascii="Times New Roman" w:eastAsia="SimSun" w:hAnsi="Times New Roman" w:cs="Times New Roman"/>
          <w:sz w:val="24"/>
          <w:szCs w:val="24"/>
        </w:rPr>
        <w:t>score the urgent need for integrated policy reforms, strengthened agricultural extension services, and farmer-centric support systems to facilitate sustainable groundwater management in Indian agriculture.</w:t>
      </w:r>
    </w:p>
    <w:p w14:paraId="280D6935" w14:textId="77777777" w:rsidR="00CD68BB" w:rsidRPr="009A7D54" w:rsidRDefault="00864064">
      <w:pPr>
        <w:spacing w:line="360" w:lineRule="auto"/>
        <w:jc w:val="both"/>
        <w:rPr>
          <w:rFonts w:ascii="Times New Roman" w:eastAsia="SimSun" w:hAnsi="Times New Roman" w:cs="Times New Roman"/>
          <w:bCs/>
          <w:sz w:val="24"/>
          <w:szCs w:val="24"/>
        </w:rPr>
      </w:pPr>
      <w:r w:rsidRPr="009A7D54">
        <w:rPr>
          <w:rFonts w:ascii="Times New Roman" w:eastAsia="SimSun" w:hAnsi="Times New Roman" w:cs="Times New Roman"/>
          <w:bCs/>
          <w:sz w:val="24"/>
          <w:szCs w:val="24"/>
        </w:rPr>
        <w:t>Key Words: Groundwater, ranking, constraints, weat</w:t>
      </w:r>
      <w:r w:rsidRPr="009A7D54">
        <w:rPr>
          <w:rFonts w:ascii="Times New Roman" w:eastAsia="SimSun" w:hAnsi="Times New Roman" w:cs="Times New Roman"/>
          <w:bCs/>
          <w:sz w:val="24"/>
          <w:szCs w:val="24"/>
        </w:rPr>
        <w:t>her, adoption</w:t>
      </w:r>
    </w:p>
    <w:p w14:paraId="2589CC34" w14:textId="77777777" w:rsidR="00CD68BB" w:rsidRDefault="00864064">
      <w:pPr>
        <w:pStyle w:val="NormalWeb"/>
        <w:rPr>
          <w:b/>
          <w:bCs/>
        </w:rPr>
      </w:pPr>
      <w:r>
        <w:rPr>
          <w:b/>
          <w:bCs/>
        </w:rPr>
        <w:t>Introduction</w:t>
      </w:r>
    </w:p>
    <w:p w14:paraId="326BB857" w14:textId="77777777" w:rsidR="00CD68BB" w:rsidRDefault="00864064">
      <w:pPr>
        <w:pStyle w:val="NormalWeb"/>
        <w:spacing w:line="360" w:lineRule="auto"/>
        <w:jc w:val="both"/>
        <w:rPr>
          <w:rFonts w:eastAsia="SimSun"/>
        </w:rPr>
      </w:pPr>
      <w:r>
        <w:rPr>
          <w:rFonts w:eastAsia="SimSun"/>
        </w:rPr>
        <w:t xml:space="preserve">Water, a fundamental resource for life, sustains ecosystems, economies, and human health. In agriculture, it plays a vital role, consuming nearly 70% of global freshwater withdrawals (FAO, 2020). Yet, freshwater constitutes only </w:t>
      </w:r>
      <w:r>
        <w:rPr>
          <w:rFonts w:eastAsia="SimSun"/>
        </w:rPr>
        <w:t>2.5% of Earth's water resources, with the majority locked in glaciers and groundwater (USGS, 2021). India, home to 1.4 billion people, faces acute water stress despite an extensive river basin system. Although the country’s average annual water availabilit</w:t>
      </w:r>
      <w:r>
        <w:rPr>
          <w:rFonts w:eastAsia="SimSun"/>
        </w:rPr>
        <w:t xml:space="preserve">y is around 1,999.20 billion cubic meters (BCM), only 1,123 BCM is utilizable due to geographic and temporal variability (CWC, 2021). Alarmingly, per capita water availability has fallen </w:t>
      </w:r>
      <w:r>
        <w:rPr>
          <w:rFonts w:eastAsia="SimSun"/>
        </w:rPr>
        <w:lastRenderedPageBreak/>
        <w:t>from 5,178 cubic meter per year in 1951 to just 1,441 cubic meter per</w:t>
      </w:r>
      <w:r>
        <w:rPr>
          <w:rFonts w:eastAsia="SimSun"/>
        </w:rPr>
        <w:t xml:space="preserve"> year in 2015, with projections of 1,140 cubic meter per </w:t>
      </w:r>
      <w:proofErr w:type="gramStart"/>
      <w:r>
        <w:rPr>
          <w:rFonts w:eastAsia="SimSun"/>
        </w:rPr>
        <w:t>year  by</w:t>
      </w:r>
      <w:proofErr w:type="gramEnd"/>
      <w:r>
        <w:rPr>
          <w:rFonts w:eastAsia="SimSun"/>
        </w:rPr>
        <w:t xml:space="preserve"> 2050 (NITI Aayog, 2018). Concurrently, water demand is expected to rise to 1,447 BCM by 2050 (NITI Aayog, 2018).  </w:t>
      </w:r>
      <w:r>
        <w:t>Another report projects that by 2050, total water demand could range from 97</w:t>
      </w:r>
      <w:r>
        <w:t xml:space="preserve">3 BCM in a low-demand scenario to 1,180 BCM in a high-demand scenario (NCIWRD, 2019). </w:t>
      </w:r>
    </w:p>
    <w:p w14:paraId="698BA616" w14:textId="77777777" w:rsidR="00CD68BB" w:rsidRDefault="00864064">
      <w:pPr>
        <w:pStyle w:val="NormalWeb"/>
        <w:spacing w:line="360" w:lineRule="auto"/>
        <w:jc w:val="both"/>
        <w:rPr>
          <w:rFonts w:eastAsia="SimSun"/>
        </w:rPr>
      </w:pPr>
      <w:r>
        <w:rPr>
          <w:rFonts w:eastAsia="SimSun"/>
        </w:rPr>
        <w:t>Agriculture, India’s largest water-consuming sector, is also the largest user of groundwater. States like Punjab and Haryana extract groundwater at over 100% of recharge</w:t>
      </w:r>
      <w:r>
        <w:rPr>
          <w:rFonts w:eastAsia="SimSun"/>
        </w:rPr>
        <w:t xml:space="preserve"> levels, exacerbating aquifer depletion (CGWB, 2017–2018). Contributing factors include subsidized electricity (</w:t>
      </w:r>
      <w:r>
        <w:t>Singh, 2012; Baweja, 2017; Dubash and Navroz, 2007)</w:t>
      </w:r>
      <w:r>
        <w:rPr>
          <w:rFonts w:eastAsia="SimSun"/>
        </w:rPr>
        <w:t>, inefficient irrigation systems (</w:t>
      </w:r>
      <w:r>
        <w:t xml:space="preserve">Chaudhuri </w:t>
      </w:r>
      <w:r>
        <w:rPr>
          <w:i/>
          <w:iCs/>
        </w:rPr>
        <w:t>et al.,</w:t>
      </w:r>
      <w:r>
        <w:t xml:space="preserve"> 2021; Kalli </w:t>
      </w:r>
      <w:r>
        <w:rPr>
          <w:i/>
          <w:iCs/>
        </w:rPr>
        <w:t>et al.</w:t>
      </w:r>
      <w:r>
        <w:t>, 2024))</w:t>
      </w:r>
      <w:r>
        <w:rPr>
          <w:rFonts w:eastAsia="SimSun"/>
        </w:rPr>
        <w:t>, and limited a</w:t>
      </w:r>
      <w:r>
        <w:rPr>
          <w:rFonts w:eastAsia="SimSun"/>
        </w:rPr>
        <w:t xml:space="preserve">wareness (Shah, 2008; Rodell </w:t>
      </w:r>
      <w:r>
        <w:rPr>
          <w:rFonts w:eastAsia="SimSun"/>
          <w:i/>
          <w:iCs/>
        </w:rPr>
        <w:t>et al.</w:t>
      </w:r>
      <w:r>
        <w:rPr>
          <w:rFonts w:eastAsia="SimSun"/>
        </w:rPr>
        <w:t>, 2009). This study investigates the major constraints hindering the adoption of sustainable groundwater conservation practices among farmers, providing evidence-based recommendations for policy and practice.</w:t>
      </w:r>
    </w:p>
    <w:p w14:paraId="2D6F9AF2" w14:textId="77777777" w:rsidR="00CD68BB" w:rsidRDefault="00864064">
      <w:pPr>
        <w:pStyle w:val="Heading2"/>
        <w:rPr>
          <w:rFonts w:ascii="Times New Roman" w:hAnsi="Times New Roman" w:hint="default"/>
          <w:sz w:val="24"/>
          <w:szCs w:val="24"/>
          <w:lang w:eastAsia="en-US" w:bidi="hi-IN"/>
        </w:rPr>
      </w:pPr>
      <w:r>
        <w:rPr>
          <w:rFonts w:ascii="Times New Roman" w:hAnsi="Times New Roman" w:hint="default"/>
          <w:sz w:val="24"/>
          <w:szCs w:val="24"/>
          <w:lang w:eastAsia="en-US" w:bidi="hi-IN"/>
        </w:rPr>
        <w:t>Materials an</w:t>
      </w:r>
      <w:r>
        <w:rPr>
          <w:rFonts w:ascii="Times New Roman" w:hAnsi="Times New Roman" w:hint="default"/>
          <w:sz w:val="24"/>
          <w:szCs w:val="24"/>
          <w:lang w:eastAsia="en-US" w:bidi="hi-IN"/>
        </w:rPr>
        <w:t>d Methods</w:t>
      </w:r>
    </w:p>
    <w:p w14:paraId="2D98008B" w14:textId="77777777" w:rsidR="00CD68BB" w:rsidRDefault="00864064">
      <w:pPr>
        <w:pStyle w:val="NormalWeb"/>
        <w:rPr>
          <w:b/>
          <w:bCs/>
        </w:rPr>
      </w:pPr>
      <w:r>
        <w:rPr>
          <w:b/>
          <w:bCs/>
        </w:rPr>
        <w:t>Sampling procedure:</w:t>
      </w:r>
    </w:p>
    <w:p w14:paraId="3B59AB0A" w14:textId="77777777" w:rsidR="00CD68BB" w:rsidRDefault="00864064">
      <w:pPr>
        <w:pStyle w:val="NormalWeb"/>
        <w:spacing w:line="360" w:lineRule="auto"/>
        <w:jc w:val="both"/>
        <w:rPr>
          <w:rFonts w:eastAsia="SimSun"/>
        </w:rPr>
      </w:pPr>
      <w:r>
        <w:rPr>
          <w:rFonts w:eastAsia="SimSun"/>
        </w:rPr>
        <w:t xml:space="preserve">The study was conducted in Jaipur district, Rajasthan, with a specific focus on overexploited groundwater blocks characterized by intensive agricultural activity and high dependence on groundwater resources. To ensure representative coverage, six villages </w:t>
      </w:r>
      <w:r>
        <w:rPr>
          <w:rFonts w:eastAsia="SimSun"/>
        </w:rPr>
        <w:t>were purposively selected from these overexploited blocks based on groundwater dependency, cropping intensity, and irrigation practices. From each selected village, a sample of 30 farmers was randomly chosen, resulting in a total sample size of 180 respond</w:t>
      </w:r>
      <w:r>
        <w:rPr>
          <w:rFonts w:eastAsia="SimSun"/>
        </w:rPr>
        <w:t xml:space="preserve">ents. </w:t>
      </w:r>
    </w:p>
    <w:p w14:paraId="7A03709A" w14:textId="77777777" w:rsidR="00CD68BB" w:rsidRDefault="00864064">
      <w:pPr>
        <w:pStyle w:val="NormalWeb"/>
        <w:spacing w:line="360" w:lineRule="auto"/>
        <w:jc w:val="both"/>
        <w:rPr>
          <w:rFonts w:eastAsia="SimSun"/>
        </w:rPr>
      </w:pPr>
      <w:r>
        <w:rPr>
          <w:rFonts w:eastAsia="SimSun"/>
        </w:rPr>
        <w:t>The sample population comprised farmers who primarily rely on tube wells and canal irrigation for agricultural operations. Data were collected using a mixed-method approach, including structured questionnaires, focus group discussions (FGDs), and ke</w:t>
      </w:r>
      <w:r>
        <w:rPr>
          <w:rFonts w:eastAsia="SimSun"/>
        </w:rPr>
        <w:t>y informant interviews to capture both quantitative and qualitative insights into the constraints faced in adopting groundwater conservation practices.</w:t>
      </w:r>
    </w:p>
    <w:p w14:paraId="7103B935" w14:textId="77777777" w:rsidR="00CD68BB" w:rsidRDefault="00864064">
      <w:pPr>
        <w:pStyle w:val="Heading3"/>
        <w:rPr>
          <w:rFonts w:ascii="Times New Roman" w:hAnsi="Times New Roman" w:hint="default"/>
          <w:sz w:val="24"/>
          <w:szCs w:val="24"/>
          <w:lang w:eastAsia="en-US" w:bidi="hi-IN"/>
        </w:rPr>
      </w:pPr>
      <w:r>
        <w:rPr>
          <w:rFonts w:ascii="Times New Roman" w:hAnsi="Times New Roman" w:hint="default"/>
          <w:sz w:val="24"/>
          <w:szCs w:val="24"/>
          <w:lang w:eastAsia="en-US" w:bidi="hi-IN"/>
        </w:rPr>
        <w:t>Analytical Methods:</w:t>
      </w:r>
    </w:p>
    <w:p w14:paraId="36E50A6F" w14:textId="77777777" w:rsidR="00CD68BB" w:rsidRDefault="00864064">
      <w:pPr>
        <w:pStyle w:val="Heading4"/>
        <w:rPr>
          <w:rFonts w:ascii="Times New Roman" w:hAnsi="Times New Roman" w:hint="default"/>
          <w:lang w:eastAsia="en-US" w:bidi="hi-IN"/>
        </w:rPr>
      </w:pPr>
      <w:r>
        <w:rPr>
          <w:rFonts w:ascii="Times New Roman" w:hAnsi="Times New Roman" w:hint="default"/>
          <w:lang w:eastAsia="en-US" w:bidi="hi-IN"/>
        </w:rPr>
        <w:lastRenderedPageBreak/>
        <w:t>Garrett’s Ranking Technique</w:t>
      </w:r>
    </w:p>
    <w:p w14:paraId="0BCE189F" w14:textId="77777777" w:rsidR="00CD68BB" w:rsidRDefault="00864064">
      <w:pPr>
        <w:pStyle w:val="NormalWeb"/>
        <w:spacing w:before="0" w:beforeAutospacing="0" w:after="0" w:afterAutospacing="0" w:line="360" w:lineRule="auto"/>
        <w:jc w:val="both"/>
      </w:pPr>
      <w:r>
        <w:t>To analyze the constraints faced by farmers for groundwa</w:t>
      </w:r>
      <w:r>
        <w:t>ter conservation measures, Garrett’s Ranking Technique was employed.  This technique is very a popular method in research to rank constraints/factors based on respondent’s preference. A set of farmers were asked to rank a set of indicators related to irrig</w:t>
      </w:r>
      <w:r>
        <w:t>ation constraints. These rankings were converted into scores using the formula:</w:t>
      </w:r>
    </w:p>
    <w:p w14:paraId="7C934C7F" w14:textId="77777777" w:rsidR="00CD68BB" w:rsidRDefault="00864064">
      <w:pPr>
        <w:spacing w:after="0" w:line="360" w:lineRule="auto"/>
        <w:ind w:right="-46"/>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D9B755" wp14:editId="215AF5C6">
            <wp:extent cx="2150745" cy="332105"/>
            <wp:effectExtent l="0" t="0" r="1905"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a:srcRect/>
                    <a:stretch>
                      <a:fillRect/>
                    </a:stretch>
                  </pic:blipFill>
                  <pic:spPr>
                    <a:xfrm>
                      <a:off x="0" y="0"/>
                      <a:ext cx="2152007" cy="332626"/>
                    </a:xfrm>
                    <a:prstGeom prst="rect">
                      <a:avLst/>
                    </a:prstGeom>
                    <a:noFill/>
                    <a:ln w="9525">
                      <a:noFill/>
                      <a:miter lim="800000"/>
                      <a:headEnd/>
                      <a:tailEnd/>
                    </a:ln>
                  </pic:spPr>
                </pic:pic>
              </a:graphicData>
            </a:graphic>
          </wp:inline>
        </w:drawing>
      </w:r>
    </w:p>
    <w:p w14:paraId="39EAA1F1" w14:textId="77777777" w:rsidR="00CD68BB" w:rsidRDefault="00864064">
      <w:pPr>
        <w:spacing w:after="0"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Where;  </w:t>
      </w:r>
    </w:p>
    <w:p w14:paraId="7953737D" w14:textId="77777777" w:rsidR="00CD68BB" w:rsidRDefault="00864064">
      <w:pPr>
        <w:spacing w:after="0"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               R</w:t>
      </w:r>
      <w:r>
        <w:rPr>
          <w:rFonts w:ascii="Times New Roman" w:hAnsi="Times New Roman" w:cs="Times New Roman"/>
          <w:sz w:val="24"/>
          <w:szCs w:val="24"/>
          <w:vertAlign w:val="subscript"/>
        </w:rPr>
        <w:t>i</w:t>
      </w:r>
      <w:r>
        <w:rPr>
          <w:rFonts w:ascii="Times New Roman" w:hAnsi="Times New Roman" w:cs="Times New Roman"/>
          <w:sz w:val="24"/>
          <w:szCs w:val="24"/>
        </w:rPr>
        <w:t xml:space="preserve"> = Rank assigned by the respondents</w:t>
      </w:r>
    </w:p>
    <w:p w14:paraId="1182738E" w14:textId="77777777" w:rsidR="00CD68BB" w:rsidRDefault="00864064">
      <w:pPr>
        <w:spacing w:after="0" w:line="360" w:lineRule="auto"/>
        <w:ind w:right="-46"/>
        <w:jc w:val="both"/>
      </w:pPr>
      <w:r>
        <w:rPr>
          <w:rFonts w:ascii="Times New Roman" w:hAnsi="Times New Roman" w:cs="Times New Roman"/>
          <w:sz w:val="24"/>
          <w:szCs w:val="24"/>
        </w:rPr>
        <w:t xml:space="preserve">                N = Total number of constraints ranked </w:t>
      </w:r>
    </w:p>
    <w:p w14:paraId="5497CCDA" w14:textId="77777777" w:rsidR="00CD68BB" w:rsidRDefault="00864064">
      <w:pPr>
        <w:pStyle w:val="Heading4"/>
        <w:rPr>
          <w:rFonts w:hint="default"/>
        </w:rPr>
      </w:pPr>
      <w:r>
        <w:rPr>
          <w:rFonts w:ascii="Times New Roman" w:hAnsi="Times New Roman" w:hint="default"/>
          <w:lang w:eastAsia="en-US" w:bidi="hi-IN"/>
        </w:rPr>
        <w:t>Rank-Based Quotient (RBQ</w:t>
      </w:r>
      <w:r>
        <w:rPr>
          <w:rFonts w:ascii="Times New Roman" w:hAnsi="Times New Roman" w:hint="default"/>
          <w:b w:val="0"/>
          <w:bCs w:val="0"/>
          <w:lang w:eastAsia="en-US" w:bidi="hi-IN"/>
        </w:rPr>
        <w:t>)</w:t>
      </w:r>
    </w:p>
    <w:p w14:paraId="5E9A9EDC" w14:textId="77777777" w:rsidR="00CD68BB" w:rsidRDefault="00864064">
      <w:pPr>
        <w:pStyle w:val="Default"/>
        <w:spacing w:line="360" w:lineRule="auto"/>
        <w:jc w:val="both"/>
        <w:rPr>
          <w:rFonts w:eastAsia="Times New Roman"/>
        </w:rPr>
      </w:pPr>
      <w:r>
        <w:rPr>
          <w:rFonts w:eastAsia="Times New Roman"/>
          <w:color w:val="auto"/>
        </w:rPr>
        <w:t>For this paper, respondents were asked to rank the constraints they encountered in adopting groundwater conservation practices. In parallel, they were also requested to rank suggested measures that could potentially enhance groundwater resource management.</w:t>
      </w:r>
      <w:r>
        <w:rPr>
          <w:rFonts w:eastAsia="Times New Roman"/>
          <w:color w:val="auto"/>
        </w:rPr>
        <w:t xml:space="preserve"> The Rank-Based Quotient (RBQ) values were then computed for each constraint and suggested measure, with higher RBQ values reflecting greater perceived severity or priority. This quantitative ranking allowed for a systematic, data-driven prioritization of </w:t>
      </w:r>
      <w:r>
        <w:rPr>
          <w:rFonts w:eastAsia="Times New Roman"/>
          <w:color w:val="auto"/>
        </w:rPr>
        <w:t xml:space="preserve">the most critical barriers and actionable solutions as perceived by the farming community. The RBQ was calculated using the following    </w:t>
      </w:r>
      <w:r>
        <w:rPr>
          <w:noProof/>
        </w:rPr>
        <w:drawing>
          <wp:inline distT="0" distB="0" distL="0" distR="0" wp14:anchorId="399361C1" wp14:editId="661A0520">
            <wp:extent cx="2179955" cy="393065"/>
            <wp:effectExtent l="0" t="0" r="10795" b="698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8"/>
                    <a:srcRect/>
                    <a:stretch>
                      <a:fillRect/>
                    </a:stretch>
                  </pic:blipFill>
                  <pic:spPr>
                    <a:xfrm>
                      <a:off x="0" y="0"/>
                      <a:ext cx="2197165" cy="396552"/>
                    </a:xfrm>
                    <a:prstGeom prst="rect">
                      <a:avLst/>
                    </a:prstGeom>
                    <a:noFill/>
                    <a:ln w="9525">
                      <a:noFill/>
                      <a:miter lim="800000"/>
                      <a:headEnd/>
                      <a:tailEnd/>
                    </a:ln>
                  </pic:spPr>
                </pic:pic>
              </a:graphicData>
            </a:graphic>
          </wp:inline>
        </w:drawing>
      </w:r>
    </w:p>
    <w:p w14:paraId="6CCD4BB0" w14:textId="77777777" w:rsidR="00CD68BB" w:rsidRDefault="0086406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1ADDA31D" w14:textId="77777777" w:rsidR="00CD68BB" w:rsidRDefault="0086406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 = Frequency of respondents assigning a particular rank to a constraint</w:t>
      </w:r>
    </w:p>
    <w:p w14:paraId="43C752E5" w14:textId="77777777" w:rsidR="00CD68BB" w:rsidRDefault="0086406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 xml:space="preserve">​ = Rank assigned to the </w:t>
      </w:r>
      <w:r>
        <w:rPr>
          <w:rFonts w:ascii="Times New Roman" w:eastAsia="Times New Roman" w:hAnsi="Times New Roman" w:cs="Times New Roman"/>
          <w:sz w:val="24"/>
          <w:szCs w:val="24"/>
        </w:rPr>
        <w:t>constraint</w:t>
      </w:r>
    </w:p>
    <w:p w14:paraId="50C40058" w14:textId="77777777" w:rsidR="00CD68BB" w:rsidRDefault="00864064">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      = Total number of ranks</w:t>
      </w:r>
    </w:p>
    <w:p w14:paraId="0A4E120E" w14:textId="507FD6D8" w:rsidR="00CD68BB" w:rsidRDefault="00864064">
      <w:pPr>
        <w:rPr>
          <w:rFonts w:ascii="Times New Roman" w:hAnsi="Times New Roman" w:cs="Times New Roman"/>
          <w:b/>
          <w:bCs/>
          <w:sz w:val="24"/>
          <w:szCs w:val="24"/>
        </w:rPr>
      </w:pPr>
      <w:r>
        <w:rPr>
          <w:rFonts w:ascii="Times New Roman" w:hAnsi="Times New Roman" w:cs="Times New Roman"/>
          <w:b/>
          <w:bCs/>
          <w:sz w:val="24"/>
          <w:szCs w:val="24"/>
        </w:rPr>
        <w:t>Results</w:t>
      </w:r>
      <w:r w:rsidR="009A7D54">
        <w:rPr>
          <w:rFonts w:ascii="Times New Roman" w:hAnsi="Times New Roman" w:cs="Times New Roman"/>
          <w:b/>
          <w:bCs/>
          <w:sz w:val="24"/>
          <w:szCs w:val="24"/>
        </w:rPr>
        <w:t xml:space="preserve"> and Discussion: </w:t>
      </w:r>
      <w:bookmarkStart w:id="0" w:name="_GoBack"/>
      <w:bookmarkEnd w:id="0"/>
    </w:p>
    <w:p w14:paraId="70174DA5" w14:textId="77777777" w:rsidR="00CD68BB" w:rsidRDefault="00864064">
      <w:pPr>
        <w:pStyle w:val="Heading3"/>
        <w:rPr>
          <w:rFonts w:hint="default"/>
        </w:rPr>
      </w:pPr>
      <w:r>
        <w:rPr>
          <w:rFonts w:ascii="Times New Roman" w:eastAsia="Times New Roman" w:hAnsi="Times New Roman" w:hint="default"/>
          <w:sz w:val="24"/>
          <w:szCs w:val="24"/>
          <w:lang w:eastAsia="en-US" w:bidi="hi-IN"/>
        </w:rPr>
        <w:t>Demographic and Livelihood Constraints</w:t>
      </w:r>
    </w:p>
    <w:p w14:paraId="490A9360" w14:textId="77777777" w:rsidR="00CD68BB" w:rsidRDefault="00864064">
      <w:pPr>
        <w:pStyle w:val="NormalWeb"/>
        <w:spacing w:line="360" w:lineRule="auto"/>
        <w:jc w:val="both"/>
      </w:pPr>
      <w:r>
        <w:t>Among all constraints, generational knowledge gaps ranked highest (Garrett Score: 73.20; RBQ: 93.19), highlighting a disconnect between traditional wisdom and mode</w:t>
      </w:r>
      <w:r>
        <w:t xml:space="preserve">rn practices. Younger generations are increasingly disengaged from farming, leading to a decline in indigenous groundwater knowledge. Similarly, fragmented </w:t>
      </w:r>
      <w:r>
        <w:lastRenderedPageBreak/>
        <w:t>landholdings (Garrett Rank: II) complicate the implementation of collective water-saving technologie</w:t>
      </w:r>
      <w:r>
        <w:t>s and irrigation systems.</w:t>
      </w:r>
    </w:p>
    <w:p w14:paraId="35C49B06" w14:textId="77777777" w:rsidR="00CD68BB" w:rsidRDefault="00864064">
      <w:pPr>
        <w:pStyle w:val="NormalWeb"/>
        <w:spacing w:line="360" w:lineRule="auto"/>
        <w:jc w:val="both"/>
      </w:pPr>
      <w:r>
        <w:t>Migration and labor shortages further compound the issue. The data showed limited family support and shortage of skilled labor were notable constraints, especially in regions where youth migrate to urban areas. This demographic sh</w:t>
      </w:r>
      <w:r>
        <w:t>ift reduces the availability of active farm labor and increases reliance on costly alternatives.</w:t>
      </w:r>
    </w:p>
    <w:p w14:paraId="527C0427" w14:textId="2BFA22A2" w:rsidR="00CD68BB" w:rsidRDefault="00864064">
      <w:pPr>
        <w:pStyle w:val="Heading3"/>
        <w:rPr>
          <w:rFonts w:ascii="Times New Roman" w:eastAsia="Times New Roman" w:hAnsi="Times New Roman" w:hint="default"/>
          <w:sz w:val="24"/>
          <w:szCs w:val="24"/>
          <w:lang w:eastAsia="en-US" w:bidi="hi-IN"/>
        </w:rPr>
      </w:pPr>
      <w:r>
        <w:rPr>
          <w:rFonts w:ascii="Times New Roman" w:eastAsia="Times New Roman" w:hAnsi="Times New Roman" w:hint="default"/>
          <w:sz w:val="24"/>
          <w:szCs w:val="24"/>
          <w:lang w:eastAsia="en-US" w:bidi="hi-IN"/>
        </w:rPr>
        <w:t>Table 1</w:t>
      </w:r>
      <w:r>
        <w:rPr>
          <w:rFonts w:ascii="Times New Roman" w:eastAsia="Times New Roman" w:hAnsi="Times New Roman" w:hint="default"/>
          <w:sz w:val="24"/>
          <w:szCs w:val="24"/>
          <w:lang w:eastAsia="en-US" w:bidi="hi-IN"/>
        </w:rPr>
        <w:t>: Demographic and Livelihood Constraints (n=180)</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683"/>
        <w:gridCol w:w="1134"/>
        <w:gridCol w:w="1134"/>
        <w:gridCol w:w="1276"/>
        <w:gridCol w:w="1134"/>
      </w:tblGrid>
      <w:tr w:rsidR="00CD68BB" w14:paraId="3261E1D6" w14:textId="77777777">
        <w:trPr>
          <w:trHeight w:val="313"/>
        </w:trPr>
        <w:tc>
          <w:tcPr>
            <w:tcW w:w="570" w:type="dxa"/>
            <w:shd w:val="clear" w:color="auto" w:fill="auto"/>
            <w:noWrap/>
          </w:tcPr>
          <w:p w14:paraId="7AB8373D" w14:textId="77777777" w:rsidR="00CD68BB" w:rsidRDefault="00864064">
            <w:pPr>
              <w:spacing w:after="0" w:line="240" w:lineRule="auto"/>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S.No</w:t>
            </w:r>
            <w:proofErr w:type="spellEnd"/>
            <w:r>
              <w:rPr>
                <w:rFonts w:ascii="Times New Roman" w:eastAsia="Times New Roman" w:hAnsi="Times New Roman" w:cs="Times New Roman"/>
                <w:b/>
                <w:bCs/>
                <w:color w:val="000000"/>
                <w:sz w:val="24"/>
                <w:szCs w:val="24"/>
              </w:rPr>
              <w:t>.</w:t>
            </w:r>
          </w:p>
        </w:tc>
        <w:tc>
          <w:tcPr>
            <w:tcW w:w="3683" w:type="dxa"/>
            <w:shd w:val="clear" w:color="auto" w:fill="auto"/>
            <w:noWrap/>
          </w:tcPr>
          <w:p w14:paraId="082C0EA8"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Constraints</w:t>
            </w:r>
          </w:p>
        </w:tc>
        <w:tc>
          <w:tcPr>
            <w:tcW w:w="1134" w:type="dxa"/>
            <w:shd w:val="clear" w:color="auto" w:fill="auto"/>
            <w:noWrap/>
            <w:vAlign w:val="bottom"/>
          </w:tcPr>
          <w:p w14:paraId="1D3B014D"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Score</w:t>
            </w:r>
          </w:p>
        </w:tc>
        <w:tc>
          <w:tcPr>
            <w:tcW w:w="1134" w:type="dxa"/>
            <w:shd w:val="clear" w:color="auto" w:fill="auto"/>
            <w:noWrap/>
            <w:vAlign w:val="bottom"/>
          </w:tcPr>
          <w:p w14:paraId="7BAD9846"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Rank</w:t>
            </w:r>
          </w:p>
        </w:tc>
        <w:tc>
          <w:tcPr>
            <w:tcW w:w="1276" w:type="dxa"/>
            <w:shd w:val="clear" w:color="auto" w:fill="auto"/>
            <w:noWrap/>
            <w:vAlign w:val="bottom"/>
          </w:tcPr>
          <w:p w14:paraId="4DB7A333"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Score</w:t>
            </w:r>
          </w:p>
        </w:tc>
        <w:tc>
          <w:tcPr>
            <w:tcW w:w="1134" w:type="dxa"/>
            <w:shd w:val="clear" w:color="auto" w:fill="auto"/>
            <w:noWrap/>
            <w:vAlign w:val="bottom"/>
          </w:tcPr>
          <w:p w14:paraId="18FCB96A"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Rank</w:t>
            </w:r>
          </w:p>
        </w:tc>
      </w:tr>
      <w:tr w:rsidR="00CD68BB" w14:paraId="7E8B2C3B" w14:textId="77777777">
        <w:trPr>
          <w:trHeight w:val="313"/>
        </w:trPr>
        <w:tc>
          <w:tcPr>
            <w:tcW w:w="570" w:type="dxa"/>
            <w:shd w:val="clear" w:color="auto" w:fill="auto"/>
            <w:noWrap/>
            <w:vAlign w:val="center"/>
          </w:tcPr>
          <w:p w14:paraId="7021AFC6"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683" w:type="dxa"/>
            <w:shd w:val="clear" w:color="auto" w:fill="auto"/>
            <w:noWrap/>
            <w:vAlign w:val="bottom"/>
          </w:tcPr>
          <w:p w14:paraId="57612162"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Limited family support for farm </w:t>
            </w:r>
            <w:r>
              <w:rPr>
                <w:rFonts w:ascii="Times New Roman" w:eastAsia="Times New Roman" w:hAnsi="Times New Roman" w:cs="Times New Roman"/>
                <w:color w:val="000000"/>
                <w:sz w:val="24"/>
                <w:szCs w:val="24"/>
              </w:rPr>
              <w:t>activities</w:t>
            </w:r>
          </w:p>
        </w:tc>
        <w:tc>
          <w:tcPr>
            <w:tcW w:w="1134" w:type="dxa"/>
            <w:shd w:val="clear" w:color="auto" w:fill="auto"/>
            <w:noWrap/>
            <w:vAlign w:val="center"/>
          </w:tcPr>
          <w:p w14:paraId="444AA084"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32.42</w:t>
            </w:r>
          </w:p>
        </w:tc>
        <w:tc>
          <w:tcPr>
            <w:tcW w:w="1134" w:type="dxa"/>
            <w:shd w:val="clear" w:color="auto" w:fill="auto"/>
            <w:vAlign w:val="center"/>
          </w:tcPr>
          <w:p w14:paraId="7DFCC1B7"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c>
          <w:tcPr>
            <w:tcW w:w="1276" w:type="dxa"/>
            <w:shd w:val="clear" w:color="auto" w:fill="auto"/>
            <w:noWrap/>
            <w:vAlign w:val="center"/>
          </w:tcPr>
          <w:p w14:paraId="64A07A8C"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c>
          <w:tcPr>
            <w:tcW w:w="1134" w:type="dxa"/>
            <w:shd w:val="clear" w:color="auto" w:fill="auto"/>
            <w:vAlign w:val="center"/>
          </w:tcPr>
          <w:p w14:paraId="7B8A2A71"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CD68BB" w14:paraId="5C5A47CC" w14:textId="77777777">
        <w:trPr>
          <w:trHeight w:val="313"/>
        </w:trPr>
        <w:tc>
          <w:tcPr>
            <w:tcW w:w="570" w:type="dxa"/>
            <w:shd w:val="clear" w:color="auto" w:fill="auto"/>
            <w:noWrap/>
            <w:vAlign w:val="center"/>
          </w:tcPr>
          <w:p w14:paraId="3C2CC4F3"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683" w:type="dxa"/>
            <w:shd w:val="clear" w:color="auto" w:fill="auto"/>
            <w:noWrap/>
            <w:vAlign w:val="bottom"/>
          </w:tcPr>
          <w:p w14:paraId="1C8C7F50"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Shortage of skilled and unskilled labor</w:t>
            </w:r>
          </w:p>
        </w:tc>
        <w:tc>
          <w:tcPr>
            <w:tcW w:w="1134" w:type="dxa"/>
            <w:shd w:val="clear" w:color="auto" w:fill="auto"/>
            <w:noWrap/>
            <w:vAlign w:val="center"/>
          </w:tcPr>
          <w:p w14:paraId="54FCDC27"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37.44</w:t>
            </w:r>
          </w:p>
        </w:tc>
        <w:tc>
          <w:tcPr>
            <w:tcW w:w="1134" w:type="dxa"/>
            <w:shd w:val="clear" w:color="auto" w:fill="auto"/>
            <w:vAlign w:val="center"/>
          </w:tcPr>
          <w:p w14:paraId="0396B7F0"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1276" w:type="dxa"/>
            <w:shd w:val="clear" w:color="auto" w:fill="auto"/>
            <w:noWrap/>
            <w:vAlign w:val="center"/>
          </w:tcPr>
          <w:p w14:paraId="481B17A7"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w:t>
            </w:r>
          </w:p>
        </w:tc>
        <w:tc>
          <w:tcPr>
            <w:tcW w:w="1134" w:type="dxa"/>
            <w:shd w:val="clear" w:color="auto" w:fill="auto"/>
            <w:vAlign w:val="center"/>
          </w:tcPr>
          <w:p w14:paraId="5267349D"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r>
      <w:tr w:rsidR="00CD68BB" w14:paraId="64891F90" w14:textId="77777777">
        <w:trPr>
          <w:trHeight w:val="313"/>
        </w:trPr>
        <w:tc>
          <w:tcPr>
            <w:tcW w:w="570" w:type="dxa"/>
            <w:shd w:val="clear" w:color="auto" w:fill="auto"/>
            <w:noWrap/>
            <w:vAlign w:val="center"/>
          </w:tcPr>
          <w:p w14:paraId="0E813202"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683" w:type="dxa"/>
            <w:shd w:val="clear" w:color="auto" w:fill="auto"/>
            <w:noWrap/>
            <w:vAlign w:val="bottom"/>
          </w:tcPr>
          <w:p w14:paraId="0D68227D"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community collaboration</w:t>
            </w:r>
          </w:p>
        </w:tc>
        <w:tc>
          <w:tcPr>
            <w:tcW w:w="1134" w:type="dxa"/>
            <w:shd w:val="clear" w:color="auto" w:fill="auto"/>
            <w:noWrap/>
            <w:vAlign w:val="center"/>
          </w:tcPr>
          <w:p w14:paraId="6EFFCBE1"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18.92</w:t>
            </w:r>
          </w:p>
        </w:tc>
        <w:tc>
          <w:tcPr>
            <w:tcW w:w="1134" w:type="dxa"/>
            <w:shd w:val="clear" w:color="auto" w:fill="auto"/>
            <w:vAlign w:val="center"/>
          </w:tcPr>
          <w:p w14:paraId="663D78F6"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w:t>
            </w:r>
          </w:p>
        </w:tc>
        <w:tc>
          <w:tcPr>
            <w:tcW w:w="1276" w:type="dxa"/>
            <w:shd w:val="clear" w:color="auto" w:fill="auto"/>
            <w:noWrap/>
            <w:vAlign w:val="center"/>
          </w:tcPr>
          <w:p w14:paraId="5F5669E1"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25.16</w:t>
            </w:r>
          </w:p>
        </w:tc>
        <w:tc>
          <w:tcPr>
            <w:tcW w:w="1134" w:type="dxa"/>
            <w:shd w:val="clear" w:color="auto" w:fill="auto"/>
            <w:vAlign w:val="center"/>
          </w:tcPr>
          <w:p w14:paraId="1128C7E4"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w:t>
            </w:r>
          </w:p>
        </w:tc>
      </w:tr>
      <w:tr w:rsidR="00CD68BB" w14:paraId="57277DF3" w14:textId="77777777">
        <w:trPr>
          <w:trHeight w:val="313"/>
        </w:trPr>
        <w:tc>
          <w:tcPr>
            <w:tcW w:w="570" w:type="dxa"/>
            <w:shd w:val="clear" w:color="auto" w:fill="auto"/>
            <w:noWrap/>
            <w:vAlign w:val="center"/>
          </w:tcPr>
          <w:p w14:paraId="7B8CB7D1"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683" w:type="dxa"/>
            <w:shd w:val="clear" w:color="auto" w:fill="auto"/>
            <w:noWrap/>
            <w:vAlign w:val="bottom"/>
          </w:tcPr>
          <w:p w14:paraId="6074CB54"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Reluctance to adopt groundwater sharing practices</w:t>
            </w:r>
          </w:p>
        </w:tc>
        <w:tc>
          <w:tcPr>
            <w:tcW w:w="1134" w:type="dxa"/>
            <w:shd w:val="clear" w:color="auto" w:fill="auto"/>
            <w:noWrap/>
            <w:vAlign w:val="center"/>
          </w:tcPr>
          <w:p w14:paraId="7BA93FD6"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51.44</w:t>
            </w:r>
          </w:p>
        </w:tc>
        <w:tc>
          <w:tcPr>
            <w:tcW w:w="1134" w:type="dxa"/>
            <w:shd w:val="clear" w:color="auto" w:fill="auto"/>
            <w:vAlign w:val="center"/>
          </w:tcPr>
          <w:p w14:paraId="2702EB48"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1276" w:type="dxa"/>
            <w:shd w:val="clear" w:color="auto" w:fill="auto"/>
            <w:noWrap/>
            <w:vAlign w:val="center"/>
          </w:tcPr>
          <w:p w14:paraId="3608EA6B"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66.11</w:t>
            </w:r>
          </w:p>
        </w:tc>
        <w:tc>
          <w:tcPr>
            <w:tcW w:w="1134" w:type="dxa"/>
            <w:shd w:val="clear" w:color="auto" w:fill="auto"/>
            <w:vAlign w:val="center"/>
          </w:tcPr>
          <w:p w14:paraId="0F15ECBB"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r>
      <w:tr w:rsidR="00CD68BB" w14:paraId="1FE33741" w14:textId="77777777">
        <w:trPr>
          <w:trHeight w:val="313"/>
        </w:trPr>
        <w:tc>
          <w:tcPr>
            <w:tcW w:w="570" w:type="dxa"/>
            <w:shd w:val="clear" w:color="auto" w:fill="auto"/>
            <w:noWrap/>
            <w:vAlign w:val="center"/>
          </w:tcPr>
          <w:p w14:paraId="2117C013"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683" w:type="dxa"/>
            <w:shd w:val="clear" w:color="auto" w:fill="auto"/>
            <w:noWrap/>
            <w:vAlign w:val="bottom"/>
          </w:tcPr>
          <w:p w14:paraId="273068DA"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Generational knowledge gaps</w:t>
            </w:r>
          </w:p>
        </w:tc>
        <w:tc>
          <w:tcPr>
            <w:tcW w:w="1134" w:type="dxa"/>
            <w:shd w:val="clear" w:color="auto" w:fill="auto"/>
            <w:noWrap/>
            <w:vAlign w:val="center"/>
          </w:tcPr>
          <w:p w14:paraId="073345C5"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73.20</w:t>
            </w:r>
          </w:p>
        </w:tc>
        <w:tc>
          <w:tcPr>
            <w:tcW w:w="1134" w:type="dxa"/>
            <w:shd w:val="clear" w:color="auto" w:fill="auto"/>
            <w:vAlign w:val="center"/>
          </w:tcPr>
          <w:p w14:paraId="5508507C"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1276" w:type="dxa"/>
            <w:shd w:val="clear" w:color="auto" w:fill="auto"/>
            <w:noWrap/>
            <w:vAlign w:val="center"/>
          </w:tcPr>
          <w:p w14:paraId="3B048E8C"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93.19</w:t>
            </w:r>
          </w:p>
        </w:tc>
        <w:tc>
          <w:tcPr>
            <w:tcW w:w="1134" w:type="dxa"/>
            <w:shd w:val="clear" w:color="auto" w:fill="auto"/>
            <w:vAlign w:val="center"/>
          </w:tcPr>
          <w:p w14:paraId="38DD611C"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r>
      <w:tr w:rsidR="00CD68BB" w14:paraId="1A1A00E1" w14:textId="77777777">
        <w:trPr>
          <w:trHeight w:val="313"/>
        </w:trPr>
        <w:tc>
          <w:tcPr>
            <w:tcW w:w="570" w:type="dxa"/>
            <w:shd w:val="clear" w:color="auto" w:fill="auto"/>
            <w:noWrap/>
            <w:vAlign w:val="center"/>
          </w:tcPr>
          <w:p w14:paraId="6ACB8869"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683" w:type="dxa"/>
            <w:shd w:val="clear" w:color="auto" w:fill="auto"/>
            <w:noWrap/>
            <w:vAlign w:val="bottom"/>
          </w:tcPr>
          <w:p w14:paraId="1D3D0F25"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Migration and workforce decline</w:t>
            </w:r>
          </w:p>
        </w:tc>
        <w:tc>
          <w:tcPr>
            <w:tcW w:w="1134" w:type="dxa"/>
            <w:shd w:val="clear" w:color="auto" w:fill="auto"/>
            <w:noWrap/>
            <w:vAlign w:val="center"/>
          </w:tcPr>
          <w:p w14:paraId="4A7AC09A"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22.86</w:t>
            </w:r>
          </w:p>
        </w:tc>
        <w:tc>
          <w:tcPr>
            <w:tcW w:w="1134" w:type="dxa"/>
            <w:shd w:val="clear" w:color="auto" w:fill="auto"/>
            <w:vAlign w:val="center"/>
          </w:tcPr>
          <w:p w14:paraId="623BBCB1"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c>
          <w:tcPr>
            <w:tcW w:w="1276" w:type="dxa"/>
            <w:shd w:val="clear" w:color="auto" w:fill="auto"/>
            <w:noWrap/>
            <w:vAlign w:val="center"/>
          </w:tcPr>
          <w:p w14:paraId="28C2CFF5"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34.12</w:t>
            </w:r>
          </w:p>
        </w:tc>
        <w:tc>
          <w:tcPr>
            <w:tcW w:w="1134" w:type="dxa"/>
            <w:shd w:val="clear" w:color="auto" w:fill="auto"/>
            <w:vAlign w:val="center"/>
          </w:tcPr>
          <w:p w14:paraId="54B0B4EE"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r>
      <w:tr w:rsidR="00CD68BB" w14:paraId="2AF664DF" w14:textId="77777777">
        <w:trPr>
          <w:trHeight w:val="313"/>
        </w:trPr>
        <w:tc>
          <w:tcPr>
            <w:tcW w:w="570" w:type="dxa"/>
            <w:shd w:val="clear" w:color="auto" w:fill="auto"/>
            <w:noWrap/>
            <w:vAlign w:val="center"/>
          </w:tcPr>
          <w:p w14:paraId="72A07939"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683" w:type="dxa"/>
            <w:shd w:val="clear" w:color="auto" w:fill="auto"/>
            <w:noWrap/>
            <w:vAlign w:val="bottom"/>
          </w:tcPr>
          <w:p w14:paraId="11577679"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Fragmented landholdings</w:t>
            </w:r>
          </w:p>
        </w:tc>
        <w:tc>
          <w:tcPr>
            <w:tcW w:w="1134" w:type="dxa"/>
            <w:shd w:val="clear" w:color="auto" w:fill="auto"/>
            <w:noWrap/>
            <w:vAlign w:val="center"/>
          </w:tcPr>
          <w:p w14:paraId="6368AFAF"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64.52</w:t>
            </w:r>
          </w:p>
        </w:tc>
        <w:tc>
          <w:tcPr>
            <w:tcW w:w="1134" w:type="dxa"/>
            <w:shd w:val="clear" w:color="auto" w:fill="auto"/>
            <w:vAlign w:val="center"/>
          </w:tcPr>
          <w:p w14:paraId="4228C176"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1276" w:type="dxa"/>
            <w:shd w:val="clear" w:color="auto" w:fill="auto"/>
            <w:noWrap/>
            <w:vAlign w:val="center"/>
          </w:tcPr>
          <w:p w14:paraId="3092B37F"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81.80</w:t>
            </w:r>
          </w:p>
        </w:tc>
        <w:tc>
          <w:tcPr>
            <w:tcW w:w="1134" w:type="dxa"/>
            <w:shd w:val="clear" w:color="auto" w:fill="auto"/>
            <w:vAlign w:val="center"/>
          </w:tcPr>
          <w:p w14:paraId="06FCCAA2"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r>
      <w:tr w:rsidR="00CD68BB" w14:paraId="719EAD87" w14:textId="77777777">
        <w:trPr>
          <w:trHeight w:val="313"/>
        </w:trPr>
        <w:tc>
          <w:tcPr>
            <w:tcW w:w="570" w:type="dxa"/>
            <w:shd w:val="clear" w:color="auto" w:fill="auto"/>
            <w:noWrap/>
            <w:vAlign w:val="center"/>
          </w:tcPr>
          <w:p w14:paraId="49888572"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683" w:type="dxa"/>
            <w:shd w:val="clear" w:color="auto" w:fill="auto"/>
            <w:noWrap/>
            <w:vAlign w:val="bottom"/>
          </w:tcPr>
          <w:p w14:paraId="1574365E"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Economic pressure to prioritize cash crops</w:t>
            </w:r>
          </w:p>
        </w:tc>
        <w:tc>
          <w:tcPr>
            <w:tcW w:w="1134" w:type="dxa"/>
            <w:shd w:val="clear" w:color="auto" w:fill="auto"/>
            <w:noWrap/>
            <w:vAlign w:val="center"/>
          </w:tcPr>
          <w:p w14:paraId="2656605C"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52.50</w:t>
            </w:r>
          </w:p>
        </w:tc>
        <w:tc>
          <w:tcPr>
            <w:tcW w:w="1134" w:type="dxa"/>
            <w:shd w:val="clear" w:color="auto" w:fill="auto"/>
            <w:vAlign w:val="center"/>
          </w:tcPr>
          <w:p w14:paraId="5ABB6357"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1276" w:type="dxa"/>
            <w:shd w:val="clear" w:color="auto" w:fill="auto"/>
            <w:noWrap/>
            <w:vAlign w:val="center"/>
          </w:tcPr>
          <w:p w14:paraId="61DEEA1A"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68.61</w:t>
            </w:r>
          </w:p>
        </w:tc>
        <w:tc>
          <w:tcPr>
            <w:tcW w:w="1134" w:type="dxa"/>
            <w:shd w:val="clear" w:color="auto" w:fill="auto"/>
            <w:vAlign w:val="center"/>
          </w:tcPr>
          <w:p w14:paraId="3FC7DE0F"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r>
    </w:tbl>
    <w:p w14:paraId="6F740A34" w14:textId="77777777" w:rsidR="00CD68BB" w:rsidRDefault="00864064">
      <w:pPr>
        <w:pStyle w:val="Heading3"/>
        <w:jc w:val="both"/>
        <w:rPr>
          <w:rFonts w:ascii="Times New Roman" w:eastAsia="Times New Roman" w:hAnsi="Times New Roman" w:hint="default"/>
          <w:sz w:val="24"/>
          <w:szCs w:val="24"/>
          <w:lang w:eastAsia="en-US" w:bidi="hi-IN"/>
        </w:rPr>
      </w:pPr>
      <w:r>
        <w:rPr>
          <w:rFonts w:ascii="Times New Roman" w:eastAsia="Times New Roman" w:hAnsi="Times New Roman"/>
          <w:sz w:val="24"/>
          <w:szCs w:val="24"/>
          <w:lang w:eastAsia="en-US" w:bidi="hi-IN"/>
        </w:rPr>
        <w:t>Technology and Accessibility Constraints</w:t>
      </w:r>
    </w:p>
    <w:p w14:paraId="51B857F6" w14:textId="77777777" w:rsidR="00CD68BB" w:rsidRDefault="00864064">
      <w:pPr>
        <w:pStyle w:val="NormalWeb"/>
        <w:spacing w:line="360" w:lineRule="auto"/>
        <w:jc w:val="both"/>
      </w:pPr>
      <w:r>
        <w:t xml:space="preserve">A key insight from this category is the </w:t>
      </w:r>
      <w:r>
        <w:t>over-reliance on traditional irrigation methods (Garrett Score: 71.50; RBQ: 82.50). Many farmers are skeptical or unaware of modern conservation technologies, and this hesitance stifles innovation. Lack of awareness and limited access to advanced equipment</w:t>
      </w:r>
      <w:r>
        <w:t xml:space="preserve"> followed closely, pointing to significant extension and education gaps in agricultural outreach programs.</w:t>
      </w:r>
    </w:p>
    <w:p w14:paraId="281367F0" w14:textId="77777777" w:rsidR="00CD68BB" w:rsidRDefault="00864064">
      <w:pPr>
        <w:pStyle w:val="NormalWeb"/>
        <w:spacing w:line="360" w:lineRule="auto"/>
        <w:jc w:val="both"/>
      </w:pPr>
      <w:r>
        <w:t>Interestingly, insufficient hands-on training and inadequate customization of technologies were rated lower, but they remain critical barriers to lon</w:t>
      </w:r>
      <w:r>
        <w:t>g-term adoption. These findings suggest that while some infrastructure exists, it is underutilized due to knowledge and capacity issues.</w:t>
      </w:r>
    </w:p>
    <w:p w14:paraId="0B87276D" w14:textId="77777777" w:rsidR="00CD68BB" w:rsidRDefault="00CD68BB">
      <w:pPr>
        <w:pStyle w:val="NormalWeb"/>
        <w:spacing w:line="360" w:lineRule="auto"/>
        <w:jc w:val="both"/>
      </w:pPr>
    </w:p>
    <w:p w14:paraId="5B002DC7" w14:textId="77777777" w:rsidR="00CD68BB" w:rsidRDefault="0086406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Table 2: </w:t>
      </w:r>
      <w:r>
        <w:rPr>
          <w:rStyle w:val="Strong"/>
          <w:rFonts w:ascii="Times New Roman" w:hAnsi="Times New Roman" w:cs="Times New Roman"/>
          <w:sz w:val="24"/>
          <w:szCs w:val="24"/>
        </w:rPr>
        <w:t>Technology and accessibility constraints</w:t>
      </w:r>
      <w:r>
        <w:rPr>
          <w:rFonts w:ascii="Times New Roman" w:eastAsia="Times New Roman" w:hAnsi="Times New Roman" w:cs="Times New Roman"/>
          <w:b/>
          <w:bCs/>
          <w:color w:val="000000"/>
          <w:sz w:val="24"/>
          <w:szCs w:val="24"/>
        </w:rPr>
        <w:t xml:space="preserve"> faced by the farmers (n=180)</w:t>
      </w:r>
    </w:p>
    <w:p w14:paraId="30E91970" w14:textId="77777777" w:rsidR="00CD68BB" w:rsidRDefault="00CD68BB">
      <w:pPr>
        <w:spacing w:after="0" w:line="240" w:lineRule="auto"/>
        <w:jc w:val="center"/>
        <w:rPr>
          <w:rFonts w:ascii="Times New Roman" w:eastAsia="Times New Roman" w:hAnsi="Times New Roman" w:cs="Times New Roman"/>
          <w:b/>
          <w:bCs/>
          <w:color w:val="000000"/>
          <w:sz w:val="24"/>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3328"/>
        <w:gridCol w:w="1073"/>
        <w:gridCol w:w="1073"/>
        <w:gridCol w:w="1205"/>
        <w:gridCol w:w="1073"/>
      </w:tblGrid>
      <w:tr w:rsidR="00CD68BB" w14:paraId="5D751382" w14:textId="77777777">
        <w:trPr>
          <w:trHeight w:val="313"/>
        </w:trPr>
        <w:tc>
          <w:tcPr>
            <w:tcW w:w="770" w:type="dxa"/>
            <w:shd w:val="clear" w:color="auto" w:fill="auto"/>
            <w:noWrap/>
            <w:vAlign w:val="center"/>
          </w:tcPr>
          <w:p w14:paraId="7981B7F9" w14:textId="77777777" w:rsidR="00CD68BB" w:rsidRDefault="00864064">
            <w:pPr>
              <w:spacing w:after="0" w:line="240" w:lineRule="auto"/>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S.No</w:t>
            </w:r>
            <w:proofErr w:type="spellEnd"/>
            <w:r>
              <w:rPr>
                <w:rFonts w:ascii="Times New Roman" w:eastAsia="Times New Roman" w:hAnsi="Times New Roman" w:cs="Times New Roman"/>
                <w:b/>
                <w:bCs/>
                <w:color w:val="000000"/>
                <w:sz w:val="24"/>
                <w:szCs w:val="24"/>
              </w:rPr>
              <w:t>.</w:t>
            </w:r>
          </w:p>
        </w:tc>
        <w:tc>
          <w:tcPr>
            <w:tcW w:w="3328" w:type="dxa"/>
            <w:shd w:val="clear" w:color="auto" w:fill="auto"/>
            <w:noWrap/>
            <w:vAlign w:val="center"/>
          </w:tcPr>
          <w:p w14:paraId="007BC6F1"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Constraints</w:t>
            </w:r>
          </w:p>
        </w:tc>
        <w:tc>
          <w:tcPr>
            <w:tcW w:w="1073" w:type="dxa"/>
            <w:shd w:val="clear" w:color="auto" w:fill="auto"/>
            <w:noWrap/>
            <w:vAlign w:val="center"/>
          </w:tcPr>
          <w:p w14:paraId="278BCC37"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Score</w:t>
            </w:r>
          </w:p>
        </w:tc>
        <w:tc>
          <w:tcPr>
            <w:tcW w:w="1073" w:type="dxa"/>
            <w:shd w:val="clear" w:color="auto" w:fill="auto"/>
            <w:noWrap/>
            <w:vAlign w:val="center"/>
          </w:tcPr>
          <w:p w14:paraId="39262A75"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Rank</w:t>
            </w:r>
          </w:p>
        </w:tc>
        <w:tc>
          <w:tcPr>
            <w:tcW w:w="1205" w:type="dxa"/>
            <w:shd w:val="clear" w:color="auto" w:fill="auto"/>
            <w:noWrap/>
            <w:vAlign w:val="center"/>
          </w:tcPr>
          <w:p w14:paraId="08378CA2"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Score</w:t>
            </w:r>
          </w:p>
        </w:tc>
        <w:tc>
          <w:tcPr>
            <w:tcW w:w="1073" w:type="dxa"/>
            <w:shd w:val="clear" w:color="auto" w:fill="auto"/>
            <w:noWrap/>
            <w:vAlign w:val="center"/>
          </w:tcPr>
          <w:p w14:paraId="561ACE9C"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Rank</w:t>
            </w:r>
          </w:p>
        </w:tc>
      </w:tr>
      <w:tr w:rsidR="00CD68BB" w14:paraId="2236D172" w14:textId="77777777">
        <w:trPr>
          <w:trHeight w:val="449"/>
        </w:trPr>
        <w:tc>
          <w:tcPr>
            <w:tcW w:w="770" w:type="dxa"/>
            <w:shd w:val="clear" w:color="auto" w:fill="auto"/>
            <w:noWrap/>
            <w:vAlign w:val="center"/>
          </w:tcPr>
          <w:p w14:paraId="6F7A3E16"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328" w:type="dxa"/>
            <w:shd w:val="clear" w:color="auto" w:fill="auto"/>
            <w:noWrap/>
            <w:vAlign w:val="center"/>
          </w:tcPr>
          <w:p w14:paraId="3FACC65B"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Skepticism about new conservation technologies</w:t>
            </w:r>
          </w:p>
        </w:tc>
        <w:tc>
          <w:tcPr>
            <w:tcW w:w="1073" w:type="dxa"/>
            <w:shd w:val="clear" w:color="auto" w:fill="auto"/>
            <w:noWrap/>
            <w:vAlign w:val="center"/>
          </w:tcPr>
          <w:p w14:paraId="62426E58"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56.81</w:t>
            </w:r>
          </w:p>
        </w:tc>
        <w:tc>
          <w:tcPr>
            <w:tcW w:w="1073" w:type="dxa"/>
            <w:shd w:val="clear" w:color="auto" w:fill="auto"/>
            <w:vAlign w:val="center"/>
          </w:tcPr>
          <w:p w14:paraId="29900547"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1205" w:type="dxa"/>
            <w:shd w:val="clear" w:color="auto" w:fill="auto"/>
            <w:noWrap/>
            <w:vAlign w:val="center"/>
          </w:tcPr>
          <w:p w14:paraId="1527506F"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62.48</w:t>
            </w:r>
          </w:p>
        </w:tc>
        <w:tc>
          <w:tcPr>
            <w:tcW w:w="1073" w:type="dxa"/>
            <w:shd w:val="clear" w:color="auto" w:fill="auto"/>
            <w:vAlign w:val="center"/>
          </w:tcPr>
          <w:p w14:paraId="20456B6C"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r>
      <w:tr w:rsidR="00CD68BB" w14:paraId="22111530" w14:textId="77777777">
        <w:trPr>
          <w:trHeight w:val="90"/>
        </w:trPr>
        <w:tc>
          <w:tcPr>
            <w:tcW w:w="770" w:type="dxa"/>
            <w:shd w:val="clear" w:color="auto" w:fill="auto"/>
            <w:noWrap/>
            <w:vAlign w:val="center"/>
          </w:tcPr>
          <w:p w14:paraId="2C0DD9A2"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328" w:type="dxa"/>
            <w:shd w:val="clear" w:color="auto" w:fill="auto"/>
            <w:noWrap/>
            <w:vAlign w:val="center"/>
          </w:tcPr>
          <w:p w14:paraId="2A62DFD0"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Underutilization of irrigation infrastructure</w:t>
            </w:r>
          </w:p>
        </w:tc>
        <w:tc>
          <w:tcPr>
            <w:tcW w:w="1073" w:type="dxa"/>
            <w:shd w:val="clear" w:color="auto" w:fill="auto"/>
            <w:noWrap/>
            <w:vAlign w:val="center"/>
          </w:tcPr>
          <w:p w14:paraId="2E30FEBD"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33.65</w:t>
            </w:r>
          </w:p>
        </w:tc>
        <w:tc>
          <w:tcPr>
            <w:tcW w:w="1073" w:type="dxa"/>
            <w:shd w:val="clear" w:color="auto" w:fill="auto"/>
            <w:vAlign w:val="center"/>
          </w:tcPr>
          <w:p w14:paraId="28A959C6"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c>
          <w:tcPr>
            <w:tcW w:w="1205" w:type="dxa"/>
            <w:shd w:val="clear" w:color="auto" w:fill="auto"/>
            <w:noWrap/>
            <w:vAlign w:val="center"/>
          </w:tcPr>
          <w:p w14:paraId="03E5D4DA"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31.52</w:t>
            </w:r>
          </w:p>
        </w:tc>
        <w:tc>
          <w:tcPr>
            <w:tcW w:w="1073" w:type="dxa"/>
            <w:shd w:val="clear" w:color="auto" w:fill="auto"/>
            <w:vAlign w:val="center"/>
          </w:tcPr>
          <w:p w14:paraId="23237375"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CD68BB" w14:paraId="58F41541" w14:textId="77777777">
        <w:trPr>
          <w:trHeight w:val="313"/>
        </w:trPr>
        <w:tc>
          <w:tcPr>
            <w:tcW w:w="770" w:type="dxa"/>
            <w:shd w:val="clear" w:color="auto" w:fill="auto"/>
            <w:noWrap/>
            <w:vAlign w:val="center"/>
          </w:tcPr>
          <w:p w14:paraId="0466A96F"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328" w:type="dxa"/>
            <w:shd w:val="clear" w:color="auto" w:fill="auto"/>
            <w:noWrap/>
            <w:vAlign w:val="center"/>
          </w:tcPr>
          <w:p w14:paraId="717EB660"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awareness about multifaceted benefits</w:t>
            </w:r>
          </w:p>
        </w:tc>
        <w:tc>
          <w:tcPr>
            <w:tcW w:w="1073" w:type="dxa"/>
            <w:shd w:val="clear" w:color="auto" w:fill="auto"/>
            <w:noWrap/>
            <w:vAlign w:val="center"/>
          </w:tcPr>
          <w:p w14:paraId="252783C7"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63.44</w:t>
            </w:r>
          </w:p>
        </w:tc>
        <w:tc>
          <w:tcPr>
            <w:tcW w:w="1073" w:type="dxa"/>
            <w:shd w:val="clear" w:color="auto" w:fill="auto"/>
            <w:vAlign w:val="center"/>
          </w:tcPr>
          <w:p w14:paraId="77F7295B"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1205" w:type="dxa"/>
            <w:shd w:val="clear" w:color="auto" w:fill="auto"/>
            <w:noWrap/>
            <w:vAlign w:val="center"/>
          </w:tcPr>
          <w:p w14:paraId="5FFA6D83"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78.64</w:t>
            </w:r>
          </w:p>
        </w:tc>
        <w:tc>
          <w:tcPr>
            <w:tcW w:w="1073" w:type="dxa"/>
            <w:shd w:val="clear" w:color="auto" w:fill="auto"/>
            <w:vAlign w:val="center"/>
          </w:tcPr>
          <w:p w14:paraId="25481255"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r>
      <w:tr w:rsidR="00CD68BB" w14:paraId="2068B197" w14:textId="77777777">
        <w:trPr>
          <w:trHeight w:val="313"/>
        </w:trPr>
        <w:tc>
          <w:tcPr>
            <w:tcW w:w="770" w:type="dxa"/>
            <w:shd w:val="clear" w:color="auto" w:fill="auto"/>
            <w:noWrap/>
            <w:vAlign w:val="center"/>
          </w:tcPr>
          <w:p w14:paraId="26E0384E"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328" w:type="dxa"/>
            <w:shd w:val="clear" w:color="auto" w:fill="auto"/>
            <w:noWrap/>
            <w:vAlign w:val="center"/>
          </w:tcPr>
          <w:p w14:paraId="02DCCC13"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Insufficient </w:t>
            </w:r>
            <w:r>
              <w:rPr>
                <w:rFonts w:ascii="Times New Roman" w:eastAsia="Times New Roman" w:hAnsi="Times New Roman" w:cs="Times New Roman"/>
                <w:color w:val="000000"/>
                <w:sz w:val="24"/>
                <w:szCs w:val="24"/>
              </w:rPr>
              <w:t>hands-on training</w:t>
            </w:r>
          </w:p>
        </w:tc>
        <w:tc>
          <w:tcPr>
            <w:tcW w:w="1073" w:type="dxa"/>
            <w:shd w:val="clear" w:color="auto" w:fill="auto"/>
            <w:noWrap/>
            <w:vAlign w:val="center"/>
          </w:tcPr>
          <w:p w14:paraId="6B8DB02B"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24.50</w:t>
            </w:r>
          </w:p>
        </w:tc>
        <w:tc>
          <w:tcPr>
            <w:tcW w:w="1073" w:type="dxa"/>
            <w:shd w:val="clear" w:color="auto" w:fill="auto"/>
            <w:vAlign w:val="center"/>
          </w:tcPr>
          <w:p w14:paraId="35AC5577"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c>
          <w:tcPr>
            <w:tcW w:w="1205" w:type="dxa"/>
            <w:shd w:val="clear" w:color="auto" w:fill="auto"/>
            <w:noWrap/>
            <w:vAlign w:val="center"/>
          </w:tcPr>
          <w:p w14:paraId="2F5779BE"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29.80</w:t>
            </w:r>
          </w:p>
        </w:tc>
        <w:tc>
          <w:tcPr>
            <w:tcW w:w="1073" w:type="dxa"/>
            <w:shd w:val="clear" w:color="auto" w:fill="auto"/>
            <w:vAlign w:val="center"/>
          </w:tcPr>
          <w:p w14:paraId="49E63AC0"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r>
      <w:tr w:rsidR="00CD68BB" w14:paraId="52752F29" w14:textId="77777777">
        <w:trPr>
          <w:trHeight w:val="313"/>
        </w:trPr>
        <w:tc>
          <w:tcPr>
            <w:tcW w:w="770" w:type="dxa"/>
            <w:shd w:val="clear" w:color="auto" w:fill="auto"/>
            <w:noWrap/>
            <w:vAlign w:val="center"/>
          </w:tcPr>
          <w:p w14:paraId="6B71BF86"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328" w:type="dxa"/>
            <w:shd w:val="clear" w:color="auto" w:fill="auto"/>
            <w:noWrap/>
            <w:vAlign w:val="center"/>
          </w:tcPr>
          <w:p w14:paraId="05CD7770"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Limited access to advanced equipment</w:t>
            </w:r>
          </w:p>
        </w:tc>
        <w:tc>
          <w:tcPr>
            <w:tcW w:w="1073" w:type="dxa"/>
            <w:shd w:val="clear" w:color="auto" w:fill="auto"/>
            <w:noWrap/>
            <w:vAlign w:val="center"/>
          </w:tcPr>
          <w:p w14:paraId="366BABA0"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36.52</w:t>
            </w:r>
          </w:p>
        </w:tc>
        <w:tc>
          <w:tcPr>
            <w:tcW w:w="1073" w:type="dxa"/>
            <w:shd w:val="clear" w:color="auto" w:fill="auto"/>
            <w:vAlign w:val="center"/>
          </w:tcPr>
          <w:p w14:paraId="5BA3EBD8"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1205" w:type="dxa"/>
            <w:shd w:val="clear" w:color="auto" w:fill="auto"/>
            <w:noWrap/>
            <w:vAlign w:val="center"/>
          </w:tcPr>
          <w:p w14:paraId="3A9BABB0"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49.70</w:t>
            </w:r>
          </w:p>
        </w:tc>
        <w:tc>
          <w:tcPr>
            <w:tcW w:w="1073" w:type="dxa"/>
            <w:shd w:val="clear" w:color="auto" w:fill="auto"/>
            <w:vAlign w:val="center"/>
          </w:tcPr>
          <w:p w14:paraId="01166033"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r>
      <w:tr w:rsidR="00CD68BB" w14:paraId="1F3A5C40" w14:textId="77777777">
        <w:trPr>
          <w:trHeight w:val="313"/>
        </w:trPr>
        <w:tc>
          <w:tcPr>
            <w:tcW w:w="770" w:type="dxa"/>
            <w:shd w:val="clear" w:color="auto" w:fill="auto"/>
            <w:noWrap/>
            <w:vAlign w:val="center"/>
          </w:tcPr>
          <w:p w14:paraId="749F1F4B"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328" w:type="dxa"/>
            <w:shd w:val="clear" w:color="auto" w:fill="auto"/>
            <w:noWrap/>
            <w:vAlign w:val="center"/>
          </w:tcPr>
          <w:p w14:paraId="17807F07"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Knowledge gap in customization</w:t>
            </w:r>
          </w:p>
        </w:tc>
        <w:tc>
          <w:tcPr>
            <w:tcW w:w="1073" w:type="dxa"/>
            <w:shd w:val="clear" w:color="auto" w:fill="auto"/>
            <w:noWrap/>
            <w:vAlign w:val="center"/>
          </w:tcPr>
          <w:p w14:paraId="3795EFE8"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22.60</w:t>
            </w:r>
          </w:p>
        </w:tc>
        <w:tc>
          <w:tcPr>
            <w:tcW w:w="1073" w:type="dxa"/>
            <w:shd w:val="clear" w:color="auto" w:fill="auto"/>
            <w:vAlign w:val="center"/>
          </w:tcPr>
          <w:p w14:paraId="0E21723F"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w:t>
            </w:r>
          </w:p>
        </w:tc>
        <w:tc>
          <w:tcPr>
            <w:tcW w:w="1205" w:type="dxa"/>
            <w:shd w:val="clear" w:color="auto" w:fill="auto"/>
            <w:noWrap/>
            <w:vAlign w:val="center"/>
          </w:tcPr>
          <w:p w14:paraId="3428A1FF"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23.54</w:t>
            </w:r>
          </w:p>
        </w:tc>
        <w:tc>
          <w:tcPr>
            <w:tcW w:w="1073" w:type="dxa"/>
            <w:shd w:val="clear" w:color="auto" w:fill="auto"/>
            <w:vAlign w:val="center"/>
          </w:tcPr>
          <w:p w14:paraId="15DB7594"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w:t>
            </w:r>
          </w:p>
        </w:tc>
      </w:tr>
      <w:tr w:rsidR="00CD68BB" w14:paraId="6E3A9DEA" w14:textId="77777777">
        <w:trPr>
          <w:trHeight w:val="313"/>
        </w:trPr>
        <w:tc>
          <w:tcPr>
            <w:tcW w:w="770" w:type="dxa"/>
            <w:shd w:val="clear" w:color="auto" w:fill="auto"/>
            <w:noWrap/>
            <w:vAlign w:val="center"/>
          </w:tcPr>
          <w:p w14:paraId="1CF1C08B"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328" w:type="dxa"/>
            <w:shd w:val="clear" w:color="auto" w:fill="auto"/>
            <w:noWrap/>
            <w:vAlign w:val="center"/>
          </w:tcPr>
          <w:p w14:paraId="01745E4E"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Inadequate extension services</w:t>
            </w:r>
          </w:p>
        </w:tc>
        <w:tc>
          <w:tcPr>
            <w:tcW w:w="1073" w:type="dxa"/>
            <w:shd w:val="clear" w:color="auto" w:fill="auto"/>
            <w:noWrap/>
            <w:vAlign w:val="center"/>
          </w:tcPr>
          <w:p w14:paraId="68528696"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35.82</w:t>
            </w:r>
          </w:p>
        </w:tc>
        <w:tc>
          <w:tcPr>
            <w:tcW w:w="1073" w:type="dxa"/>
            <w:shd w:val="clear" w:color="auto" w:fill="auto"/>
            <w:vAlign w:val="center"/>
          </w:tcPr>
          <w:p w14:paraId="410227CC"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1205" w:type="dxa"/>
            <w:shd w:val="clear" w:color="auto" w:fill="auto"/>
            <w:noWrap/>
            <w:vAlign w:val="center"/>
          </w:tcPr>
          <w:p w14:paraId="0ABD935B"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42.92</w:t>
            </w:r>
          </w:p>
        </w:tc>
        <w:tc>
          <w:tcPr>
            <w:tcW w:w="1073" w:type="dxa"/>
            <w:shd w:val="clear" w:color="auto" w:fill="auto"/>
            <w:vAlign w:val="center"/>
          </w:tcPr>
          <w:p w14:paraId="25CAC029"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r>
      <w:tr w:rsidR="00CD68BB" w14:paraId="12CBFA83" w14:textId="77777777">
        <w:trPr>
          <w:trHeight w:val="313"/>
        </w:trPr>
        <w:tc>
          <w:tcPr>
            <w:tcW w:w="770" w:type="dxa"/>
            <w:shd w:val="clear" w:color="auto" w:fill="auto"/>
            <w:noWrap/>
            <w:vAlign w:val="center"/>
          </w:tcPr>
          <w:p w14:paraId="59C8FC9D"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328" w:type="dxa"/>
            <w:shd w:val="clear" w:color="auto" w:fill="auto"/>
            <w:noWrap/>
            <w:vAlign w:val="center"/>
          </w:tcPr>
          <w:p w14:paraId="0E8FEE60"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Over-reliance on traditional practices:</w:t>
            </w:r>
          </w:p>
        </w:tc>
        <w:tc>
          <w:tcPr>
            <w:tcW w:w="1073" w:type="dxa"/>
            <w:shd w:val="clear" w:color="auto" w:fill="auto"/>
            <w:noWrap/>
            <w:vAlign w:val="center"/>
          </w:tcPr>
          <w:p w14:paraId="42B89C76"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71.50</w:t>
            </w:r>
          </w:p>
        </w:tc>
        <w:tc>
          <w:tcPr>
            <w:tcW w:w="1073" w:type="dxa"/>
            <w:shd w:val="clear" w:color="auto" w:fill="auto"/>
            <w:vAlign w:val="center"/>
          </w:tcPr>
          <w:p w14:paraId="3F572E90"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1205" w:type="dxa"/>
            <w:shd w:val="clear" w:color="auto" w:fill="auto"/>
            <w:noWrap/>
            <w:vAlign w:val="center"/>
          </w:tcPr>
          <w:p w14:paraId="0EA22009"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82.50</w:t>
            </w:r>
          </w:p>
        </w:tc>
        <w:tc>
          <w:tcPr>
            <w:tcW w:w="1073" w:type="dxa"/>
            <w:shd w:val="clear" w:color="auto" w:fill="auto"/>
            <w:vAlign w:val="center"/>
          </w:tcPr>
          <w:p w14:paraId="7CB3A4F3"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r>
    </w:tbl>
    <w:p w14:paraId="36562D5C" w14:textId="77777777" w:rsidR="00CD68BB" w:rsidRDefault="00864064">
      <w:pPr>
        <w:pStyle w:val="Heading3"/>
        <w:jc w:val="both"/>
        <w:rPr>
          <w:rFonts w:ascii="Times New Roman" w:eastAsia="Times New Roman" w:hAnsi="Times New Roman" w:hint="default"/>
          <w:sz w:val="24"/>
          <w:szCs w:val="24"/>
          <w:lang w:eastAsia="en-US" w:bidi="hi-IN"/>
        </w:rPr>
      </w:pPr>
      <w:r>
        <w:rPr>
          <w:rFonts w:ascii="Times New Roman" w:eastAsia="Times New Roman" w:hAnsi="Times New Roman"/>
          <w:sz w:val="24"/>
          <w:szCs w:val="24"/>
          <w:lang w:eastAsia="en-US" w:bidi="hi-IN"/>
        </w:rPr>
        <w:t>Ecological and Resource-Based Constraints</w:t>
      </w:r>
    </w:p>
    <w:p w14:paraId="2316FDFD" w14:textId="77777777" w:rsidR="00CD68BB" w:rsidRDefault="00864064">
      <w:pPr>
        <w:pStyle w:val="NormalWeb"/>
        <w:spacing w:line="360" w:lineRule="auto"/>
        <w:jc w:val="both"/>
      </w:pPr>
      <w:r>
        <w:t>Ecological stressors were among the most urgent. Unpredictable weather patterns ranked highest (Garrett: 74.50; RBQ: 91.60), reflecting the real-time impact of climate change on farming operations. Farmers</w:t>
      </w:r>
      <w:r>
        <w:t xml:space="preserve"> cited erratic rainfall, extended dry spells, and increasing temperatures as major disruptors. Closely related was groundwater depletion (Rank II), which signals the urgent need for aquifer recharge efforts and regulated extraction. Soil degradation and la</w:t>
      </w:r>
      <w:r>
        <w:t>nd fragmentation were also significant, reinforcing the need for integrated land and water management policies.</w:t>
      </w:r>
    </w:p>
    <w:p w14:paraId="441A850A" w14:textId="77777777" w:rsidR="00CD68BB" w:rsidRDefault="0086406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3: Ecological and Resource-Based constraints faced by the farmers (n=180)</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3478"/>
        <w:gridCol w:w="1134"/>
        <w:gridCol w:w="1134"/>
        <w:gridCol w:w="1276"/>
        <w:gridCol w:w="1134"/>
      </w:tblGrid>
      <w:tr w:rsidR="00CD68BB" w14:paraId="64FB97E9" w14:textId="77777777">
        <w:trPr>
          <w:trHeight w:val="313"/>
        </w:trPr>
        <w:tc>
          <w:tcPr>
            <w:tcW w:w="883" w:type="dxa"/>
            <w:shd w:val="clear" w:color="auto" w:fill="auto"/>
            <w:noWrap/>
            <w:vAlign w:val="center"/>
          </w:tcPr>
          <w:p w14:paraId="486E97F7" w14:textId="77777777" w:rsidR="00CD68BB" w:rsidRDefault="00864064">
            <w:pPr>
              <w:numPr>
                <w:ilvl w:val="0"/>
                <w:numId w:val="1"/>
              </w:num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No.</w:t>
            </w:r>
          </w:p>
        </w:tc>
        <w:tc>
          <w:tcPr>
            <w:tcW w:w="3478" w:type="dxa"/>
            <w:shd w:val="clear" w:color="auto" w:fill="auto"/>
            <w:noWrap/>
            <w:vAlign w:val="center"/>
          </w:tcPr>
          <w:p w14:paraId="55C8B592"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Constraints</w:t>
            </w:r>
          </w:p>
        </w:tc>
        <w:tc>
          <w:tcPr>
            <w:tcW w:w="1134" w:type="dxa"/>
            <w:shd w:val="clear" w:color="auto" w:fill="auto"/>
            <w:noWrap/>
            <w:vAlign w:val="center"/>
          </w:tcPr>
          <w:p w14:paraId="0FEA8FE3"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Score</w:t>
            </w:r>
          </w:p>
        </w:tc>
        <w:tc>
          <w:tcPr>
            <w:tcW w:w="1134" w:type="dxa"/>
            <w:shd w:val="clear" w:color="auto" w:fill="auto"/>
            <w:noWrap/>
            <w:vAlign w:val="center"/>
          </w:tcPr>
          <w:p w14:paraId="349EB5E2"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Rank</w:t>
            </w:r>
          </w:p>
        </w:tc>
        <w:tc>
          <w:tcPr>
            <w:tcW w:w="1276" w:type="dxa"/>
            <w:shd w:val="clear" w:color="auto" w:fill="auto"/>
            <w:noWrap/>
            <w:vAlign w:val="center"/>
          </w:tcPr>
          <w:p w14:paraId="47B45E57"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Score</w:t>
            </w:r>
          </w:p>
        </w:tc>
        <w:tc>
          <w:tcPr>
            <w:tcW w:w="1134" w:type="dxa"/>
            <w:shd w:val="clear" w:color="auto" w:fill="auto"/>
            <w:noWrap/>
            <w:vAlign w:val="center"/>
          </w:tcPr>
          <w:p w14:paraId="6D941521"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Rank</w:t>
            </w:r>
          </w:p>
        </w:tc>
      </w:tr>
      <w:tr w:rsidR="00CD68BB" w14:paraId="25846E0B" w14:textId="77777777">
        <w:trPr>
          <w:trHeight w:val="449"/>
        </w:trPr>
        <w:tc>
          <w:tcPr>
            <w:tcW w:w="883" w:type="dxa"/>
            <w:shd w:val="clear" w:color="auto" w:fill="auto"/>
            <w:noWrap/>
            <w:vAlign w:val="center"/>
          </w:tcPr>
          <w:p w14:paraId="22FFA87A"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478" w:type="dxa"/>
            <w:shd w:val="clear" w:color="auto" w:fill="auto"/>
            <w:noWrap/>
            <w:vAlign w:val="bottom"/>
          </w:tcPr>
          <w:p w14:paraId="44EF1A33"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Unpredictable weather patterns</w:t>
            </w:r>
          </w:p>
        </w:tc>
        <w:tc>
          <w:tcPr>
            <w:tcW w:w="1134" w:type="dxa"/>
            <w:shd w:val="clear" w:color="auto" w:fill="auto"/>
            <w:noWrap/>
            <w:vAlign w:val="center"/>
          </w:tcPr>
          <w:p w14:paraId="23CCF41D"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74.50</w:t>
            </w:r>
          </w:p>
        </w:tc>
        <w:tc>
          <w:tcPr>
            <w:tcW w:w="1134" w:type="dxa"/>
            <w:shd w:val="clear" w:color="auto" w:fill="auto"/>
            <w:vAlign w:val="center"/>
          </w:tcPr>
          <w:p w14:paraId="08BDD15C"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1276" w:type="dxa"/>
            <w:shd w:val="clear" w:color="auto" w:fill="auto"/>
            <w:noWrap/>
            <w:vAlign w:val="center"/>
          </w:tcPr>
          <w:p w14:paraId="75155B35"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91.60</w:t>
            </w:r>
          </w:p>
        </w:tc>
        <w:tc>
          <w:tcPr>
            <w:tcW w:w="1134" w:type="dxa"/>
            <w:shd w:val="clear" w:color="auto" w:fill="auto"/>
            <w:vAlign w:val="center"/>
          </w:tcPr>
          <w:p w14:paraId="4F590793"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r>
      <w:tr w:rsidR="00CD68BB" w14:paraId="4FF2D0B0" w14:textId="77777777">
        <w:trPr>
          <w:trHeight w:val="313"/>
        </w:trPr>
        <w:tc>
          <w:tcPr>
            <w:tcW w:w="883" w:type="dxa"/>
            <w:shd w:val="clear" w:color="auto" w:fill="auto"/>
            <w:noWrap/>
            <w:vAlign w:val="center"/>
          </w:tcPr>
          <w:p w14:paraId="647E5517"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478" w:type="dxa"/>
            <w:shd w:val="clear" w:color="auto" w:fill="auto"/>
            <w:noWrap/>
            <w:vAlign w:val="bottom"/>
          </w:tcPr>
          <w:p w14:paraId="5D933CEE"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 fragmentation issues</w:t>
            </w:r>
          </w:p>
        </w:tc>
        <w:tc>
          <w:tcPr>
            <w:tcW w:w="1134" w:type="dxa"/>
            <w:shd w:val="clear" w:color="auto" w:fill="auto"/>
            <w:noWrap/>
            <w:vAlign w:val="center"/>
          </w:tcPr>
          <w:p w14:paraId="74954DAD"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45.72</w:t>
            </w:r>
          </w:p>
        </w:tc>
        <w:tc>
          <w:tcPr>
            <w:tcW w:w="1134" w:type="dxa"/>
            <w:shd w:val="clear" w:color="auto" w:fill="auto"/>
            <w:vAlign w:val="center"/>
          </w:tcPr>
          <w:p w14:paraId="1ED1D02C"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IV</w:t>
            </w:r>
          </w:p>
        </w:tc>
        <w:tc>
          <w:tcPr>
            <w:tcW w:w="1276" w:type="dxa"/>
            <w:shd w:val="clear" w:color="auto" w:fill="auto"/>
            <w:noWrap/>
            <w:vAlign w:val="center"/>
          </w:tcPr>
          <w:p w14:paraId="722BF83B"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56.60</w:t>
            </w:r>
          </w:p>
        </w:tc>
        <w:tc>
          <w:tcPr>
            <w:tcW w:w="1134" w:type="dxa"/>
            <w:shd w:val="clear" w:color="auto" w:fill="auto"/>
            <w:vAlign w:val="center"/>
          </w:tcPr>
          <w:p w14:paraId="1BDEDDE1"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IV</w:t>
            </w:r>
          </w:p>
        </w:tc>
      </w:tr>
      <w:tr w:rsidR="00CD68BB" w14:paraId="54E328E0" w14:textId="77777777">
        <w:trPr>
          <w:trHeight w:val="313"/>
        </w:trPr>
        <w:tc>
          <w:tcPr>
            <w:tcW w:w="883" w:type="dxa"/>
            <w:shd w:val="clear" w:color="auto" w:fill="auto"/>
            <w:noWrap/>
            <w:vAlign w:val="center"/>
          </w:tcPr>
          <w:p w14:paraId="313CC282"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478" w:type="dxa"/>
            <w:shd w:val="clear" w:color="auto" w:fill="auto"/>
            <w:noWrap/>
            <w:vAlign w:val="bottom"/>
          </w:tcPr>
          <w:p w14:paraId="02FED583"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Disruption to farming activities</w:t>
            </w:r>
          </w:p>
        </w:tc>
        <w:tc>
          <w:tcPr>
            <w:tcW w:w="1134" w:type="dxa"/>
            <w:shd w:val="clear" w:color="auto" w:fill="auto"/>
            <w:noWrap/>
            <w:vAlign w:val="center"/>
          </w:tcPr>
          <w:p w14:paraId="0551C5BB"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26.50</w:t>
            </w:r>
          </w:p>
        </w:tc>
        <w:tc>
          <w:tcPr>
            <w:tcW w:w="1134" w:type="dxa"/>
            <w:shd w:val="clear" w:color="auto" w:fill="auto"/>
            <w:vAlign w:val="center"/>
          </w:tcPr>
          <w:p w14:paraId="2D1B40D3"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w:t>
            </w:r>
          </w:p>
        </w:tc>
        <w:tc>
          <w:tcPr>
            <w:tcW w:w="1276" w:type="dxa"/>
            <w:shd w:val="clear" w:color="auto" w:fill="auto"/>
            <w:noWrap/>
            <w:vAlign w:val="center"/>
          </w:tcPr>
          <w:p w14:paraId="0992975E"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28.64</w:t>
            </w:r>
          </w:p>
        </w:tc>
        <w:tc>
          <w:tcPr>
            <w:tcW w:w="1134" w:type="dxa"/>
            <w:shd w:val="clear" w:color="auto" w:fill="auto"/>
            <w:vAlign w:val="center"/>
          </w:tcPr>
          <w:p w14:paraId="57C5A8A2"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w:t>
            </w:r>
          </w:p>
        </w:tc>
      </w:tr>
      <w:tr w:rsidR="00CD68BB" w14:paraId="59BDF328" w14:textId="77777777">
        <w:trPr>
          <w:trHeight w:val="313"/>
        </w:trPr>
        <w:tc>
          <w:tcPr>
            <w:tcW w:w="883" w:type="dxa"/>
            <w:shd w:val="clear" w:color="auto" w:fill="auto"/>
            <w:noWrap/>
            <w:vAlign w:val="center"/>
          </w:tcPr>
          <w:p w14:paraId="29A40F9D"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478" w:type="dxa"/>
            <w:shd w:val="clear" w:color="auto" w:fill="auto"/>
            <w:noWrap/>
            <w:vAlign w:val="bottom"/>
          </w:tcPr>
          <w:p w14:paraId="15F7C5A4"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Depletion of groundwater levels</w:t>
            </w:r>
          </w:p>
        </w:tc>
        <w:tc>
          <w:tcPr>
            <w:tcW w:w="1134" w:type="dxa"/>
            <w:shd w:val="clear" w:color="auto" w:fill="auto"/>
            <w:noWrap/>
            <w:vAlign w:val="center"/>
          </w:tcPr>
          <w:p w14:paraId="5D65E29E"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73.64</w:t>
            </w:r>
          </w:p>
        </w:tc>
        <w:tc>
          <w:tcPr>
            <w:tcW w:w="1134" w:type="dxa"/>
            <w:shd w:val="clear" w:color="auto" w:fill="auto"/>
            <w:vAlign w:val="bottom"/>
          </w:tcPr>
          <w:p w14:paraId="28B3B086"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1276" w:type="dxa"/>
            <w:shd w:val="clear" w:color="auto" w:fill="auto"/>
            <w:noWrap/>
            <w:vAlign w:val="center"/>
          </w:tcPr>
          <w:p w14:paraId="1087D874"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88.50</w:t>
            </w:r>
          </w:p>
        </w:tc>
        <w:tc>
          <w:tcPr>
            <w:tcW w:w="1134" w:type="dxa"/>
            <w:shd w:val="clear" w:color="auto" w:fill="auto"/>
            <w:vAlign w:val="bottom"/>
          </w:tcPr>
          <w:p w14:paraId="46879077"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r>
      <w:tr w:rsidR="00CD68BB" w14:paraId="24804143" w14:textId="77777777">
        <w:trPr>
          <w:trHeight w:val="578"/>
        </w:trPr>
        <w:tc>
          <w:tcPr>
            <w:tcW w:w="883" w:type="dxa"/>
            <w:shd w:val="clear" w:color="auto" w:fill="auto"/>
            <w:noWrap/>
            <w:vAlign w:val="center"/>
          </w:tcPr>
          <w:p w14:paraId="67261BC6"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478" w:type="dxa"/>
            <w:shd w:val="clear" w:color="auto" w:fill="auto"/>
            <w:noWrap/>
          </w:tcPr>
          <w:p w14:paraId="3C045764" w14:textId="77777777" w:rsidR="00CD68BB" w:rsidRDefault="00864064">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Climate-induced stress on water resources</w:t>
            </w:r>
          </w:p>
        </w:tc>
        <w:tc>
          <w:tcPr>
            <w:tcW w:w="1134" w:type="dxa"/>
            <w:shd w:val="clear" w:color="auto" w:fill="auto"/>
            <w:noWrap/>
          </w:tcPr>
          <w:p w14:paraId="0D9976B7"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64.56</w:t>
            </w:r>
          </w:p>
        </w:tc>
        <w:tc>
          <w:tcPr>
            <w:tcW w:w="1134" w:type="dxa"/>
            <w:shd w:val="clear" w:color="auto" w:fill="auto"/>
          </w:tcPr>
          <w:p w14:paraId="536C06B9" w14:textId="77777777" w:rsidR="00CD68BB" w:rsidRDefault="00864064">
            <w:pPr>
              <w:spacing w:line="240" w:lineRule="auto"/>
              <w:ind w:firstLineChars="150" w:firstLine="360"/>
              <w:jc w:val="center"/>
              <w:rPr>
                <w:rFonts w:ascii="Times New Roman" w:hAnsi="Times New Roman" w:cs="Times New Roman"/>
                <w:color w:val="000000"/>
                <w:sz w:val="24"/>
                <w:szCs w:val="24"/>
              </w:rPr>
            </w:pPr>
            <w:r>
              <w:rPr>
                <w:rFonts w:ascii="Times New Roman" w:hAnsi="Times New Roman" w:cs="Times New Roman"/>
                <w:color w:val="000000"/>
                <w:sz w:val="24"/>
                <w:szCs w:val="24"/>
              </w:rPr>
              <w:t>III</w:t>
            </w:r>
          </w:p>
        </w:tc>
        <w:tc>
          <w:tcPr>
            <w:tcW w:w="1276" w:type="dxa"/>
            <w:shd w:val="clear" w:color="auto" w:fill="auto"/>
            <w:noWrap/>
          </w:tcPr>
          <w:p w14:paraId="724AC28B"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82.50</w:t>
            </w:r>
          </w:p>
        </w:tc>
        <w:tc>
          <w:tcPr>
            <w:tcW w:w="1134" w:type="dxa"/>
            <w:shd w:val="clear" w:color="auto" w:fill="auto"/>
          </w:tcPr>
          <w:p w14:paraId="39163872"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III</w:t>
            </w:r>
          </w:p>
        </w:tc>
      </w:tr>
      <w:tr w:rsidR="00CD68BB" w14:paraId="067F8331" w14:textId="77777777">
        <w:trPr>
          <w:trHeight w:val="313"/>
        </w:trPr>
        <w:tc>
          <w:tcPr>
            <w:tcW w:w="883" w:type="dxa"/>
            <w:shd w:val="clear" w:color="auto" w:fill="auto"/>
            <w:noWrap/>
            <w:vAlign w:val="center"/>
          </w:tcPr>
          <w:p w14:paraId="675464A1"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478" w:type="dxa"/>
            <w:shd w:val="clear" w:color="auto" w:fill="auto"/>
            <w:noWrap/>
            <w:vAlign w:val="bottom"/>
          </w:tcPr>
          <w:p w14:paraId="2BA564A8"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Soil degradation</w:t>
            </w:r>
          </w:p>
        </w:tc>
        <w:tc>
          <w:tcPr>
            <w:tcW w:w="1134" w:type="dxa"/>
            <w:shd w:val="clear" w:color="auto" w:fill="auto"/>
            <w:noWrap/>
            <w:vAlign w:val="center"/>
          </w:tcPr>
          <w:p w14:paraId="031357A7"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42.64</w:t>
            </w:r>
          </w:p>
        </w:tc>
        <w:tc>
          <w:tcPr>
            <w:tcW w:w="1134" w:type="dxa"/>
            <w:shd w:val="clear" w:color="auto" w:fill="auto"/>
            <w:vAlign w:val="bottom"/>
          </w:tcPr>
          <w:p w14:paraId="1816543F"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w:t>
            </w:r>
          </w:p>
        </w:tc>
        <w:tc>
          <w:tcPr>
            <w:tcW w:w="1276" w:type="dxa"/>
            <w:shd w:val="clear" w:color="auto" w:fill="auto"/>
            <w:noWrap/>
            <w:vAlign w:val="center"/>
          </w:tcPr>
          <w:p w14:paraId="2BAABFAB"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36.50</w:t>
            </w:r>
          </w:p>
        </w:tc>
        <w:tc>
          <w:tcPr>
            <w:tcW w:w="1134" w:type="dxa"/>
            <w:shd w:val="clear" w:color="auto" w:fill="auto"/>
            <w:vAlign w:val="bottom"/>
          </w:tcPr>
          <w:p w14:paraId="5087D83D"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w:t>
            </w:r>
          </w:p>
        </w:tc>
      </w:tr>
      <w:tr w:rsidR="00CD68BB" w14:paraId="5295BDF2" w14:textId="77777777">
        <w:trPr>
          <w:trHeight w:val="313"/>
        </w:trPr>
        <w:tc>
          <w:tcPr>
            <w:tcW w:w="883" w:type="dxa"/>
            <w:shd w:val="clear" w:color="auto" w:fill="auto"/>
            <w:noWrap/>
            <w:vAlign w:val="center"/>
          </w:tcPr>
          <w:p w14:paraId="64D898E9"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p>
        </w:tc>
        <w:tc>
          <w:tcPr>
            <w:tcW w:w="3478" w:type="dxa"/>
            <w:shd w:val="clear" w:color="auto" w:fill="auto"/>
            <w:noWrap/>
            <w:vAlign w:val="bottom"/>
          </w:tcPr>
          <w:p w14:paraId="646EFFA1"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Limited space for infrastructure</w:t>
            </w:r>
          </w:p>
        </w:tc>
        <w:tc>
          <w:tcPr>
            <w:tcW w:w="1134" w:type="dxa"/>
            <w:shd w:val="clear" w:color="auto" w:fill="auto"/>
            <w:noWrap/>
            <w:vAlign w:val="center"/>
          </w:tcPr>
          <w:p w14:paraId="1151AD4A"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18.60</w:t>
            </w:r>
          </w:p>
        </w:tc>
        <w:tc>
          <w:tcPr>
            <w:tcW w:w="1134" w:type="dxa"/>
            <w:shd w:val="clear" w:color="auto" w:fill="auto"/>
            <w:vAlign w:val="bottom"/>
          </w:tcPr>
          <w:p w14:paraId="0571B5A5"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VII</w:t>
            </w:r>
          </w:p>
        </w:tc>
        <w:tc>
          <w:tcPr>
            <w:tcW w:w="1276" w:type="dxa"/>
            <w:shd w:val="clear" w:color="auto" w:fill="auto"/>
            <w:noWrap/>
            <w:vAlign w:val="center"/>
          </w:tcPr>
          <w:p w14:paraId="76523289"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22.64</w:t>
            </w:r>
          </w:p>
        </w:tc>
        <w:tc>
          <w:tcPr>
            <w:tcW w:w="1134" w:type="dxa"/>
            <w:shd w:val="clear" w:color="auto" w:fill="auto"/>
            <w:vAlign w:val="bottom"/>
          </w:tcPr>
          <w:p w14:paraId="4A69A96E"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VII</w:t>
            </w:r>
          </w:p>
        </w:tc>
      </w:tr>
    </w:tbl>
    <w:p w14:paraId="55A4D6B6" w14:textId="77777777" w:rsidR="00CD68BB" w:rsidRDefault="00864064">
      <w:pPr>
        <w:pStyle w:val="Heading3"/>
        <w:jc w:val="both"/>
        <w:rPr>
          <w:rFonts w:ascii="Times New Roman" w:eastAsia="Times New Roman" w:hAnsi="Times New Roman" w:hint="default"/>
          <w:sz w:val="24"/>
          <w:szCs w:val="24"/>
          <w:lang w:eastAsia="en-US" w:bidi="hi-IN"/>
        </w:rPr>
      </w:pPr>
      <w:r>
        <w:rPr>
          <w:rFonts w:ascii="Times New Roman" w:eastAsia="Times New Roman" w:hAnsi="Times New Roman"/>
          <w:sz w:val="24"/>
          <w:szCs w:val="24"/>
          <w:lang w:eastAsia="en-US" w:bidi="hi-IN"/>
        </w:rPr>
        <w:t>Economic Constraints</w:t>
      </w:r>
    </w:p>
    <w:p w14:paraId="2FCDF03D" w14:textId="77777777" w:rsidR="00CD68BB" w:rsidRDefault="00864064">
      <w:pPr>
        <w:pStyle w:val="NormalWeb"/>
        <w:spacing w:line="360" w:lineRule="auto"/>
        <w:jc w:val="both"/>
      </w:pPr>
      <w:r>
        <w:t>Economic factors emerged as powerful disincentives. Market instability and low profitability ranked as the most pressing constraint</w:t>
      </w:r>
      <w:r>
        <w:t xml:space="preserve"> (Garrett Score: 68.50; RBQ: 78.64). Farmers hesitate to invest in conservation methods when returns are uncertain or delayed.</w:t>
      </w:r>
    </w:p>
    <w:p w14:paraId="0A863220" w14:textId="77777777" w:rsidR="00CD68BB" w:rsidRDefault="00864064">
      <w:pPr>
        <w:pStyle w:val="NormalWeb"/>
        <w:spacing w:line="360" w:lineRule="auto"/>
        <w:jc w:val="both"/>
      </w:pPr>
      <w:r>
        <w:t>High initial costs and lack of incentives are further deterrents. While many farmers recognize the long-term benefits of water co</w:t>
      </w:r>
      <w:r>
        <w:t>nservation, the absence of short-term financial relief prevents them from making such investments. Limited access to credit and loans, though ranked lower, still poses challenges for marginal and smallholder farmers.</w:t>
      </w:r>
    </w:p>
    <w:p w14:paraId="593DA08F" w14:textId="360F6F87" w:rsidR="00CD68BB" w:rsidRDefault="0086406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4</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Economic constraints faced by the farmers (n=180)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3092"/>
        <w:gridCol w:w="1413"/>
        <w:gridCol w:w="1402"/>
        <w:gridCol w:w="1189"/>
        <w:gridCol w:w="1178"/>
      </w:tblGrid>
      <w:tr w:rsidR="00CD68BB" w14:paraId="03D17175" w14:textId="77777777">
        <w:trPr>
          <w:trHeight w:val="313"/>
        </w:trPr>
        <w:tc>
          <w:tcPr>
            <w:tcW w:w="790" w:type="dxa"/>
            <w:shd w:val="clear" w:color="auto" w:fill="auto"/>
            <w:noWrap/>
          </w:tcPr>
          <w:p w14:paraId="2C456ADD" w14:textId="77777777" w:rsidR="00CD68BB" w:rsidRDefault="0086406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 No.</w:t>
            </w:r>
          </w:p>
        </w:tc>
        <w:tc>
          <w:tcPr>
            <w:tcW w:w="3092" w:type="dxa"/>
            <w:shd w:val="clear" w:color="auto" w:fill="auto"/>
            <w:noWrap/>
          </w:tcPr>
          <w:p w14:paraId="7E215CC0" w14:textId="77777777" w:rsidR="00CD68BB" w:rsidRDefault="0086406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Constraints</w:t>
            </w:r>
          </w:p>
        </w:tc>
        <w:tc>
          <w:tcPr>
            <w:tcW w:w="1413" w:type="dxa"/>
            <w:shd w:val="clear" w:color="auto" w:fill="auto"/>
            <w:noWrap/>
          </w:tcPr>
          <w:p w14:paraId="60F021FE" w14:textId="77777777" w:rsidR="00CD68BB" w:rsidRDefault="0086406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Score</w:t>
            </w:r>
          </w:p>
        </w:tc>
        <w:tc>
          <w:tcPr>
            <w:tcW w:w="1402" w:type="dxa"/>
            <w:shd w:val="clear" w:color="auto" w:fill="auto"/>
            <w:noWrap/>
          </w:tcPr>
          <w:p w14:paraId="7754EB01" w14:textId="77777777" w:rsidR="00CD68BB" w:rsidRDefault="0086406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Rank</w:t>
            </w:r>
          </w:p>
        </w:tc>
        <w:tc>
          <w:tcPr>
            <w:tcW w:w="1189" w:type="dxa"/>
            <w:shd w:val="clear" w:color="auto" w:fill="auto"/>
            <w:noWrap/>
          </w:tcPr>
          <w:p w14:paraId="0FC88E7C" w14:textId="77777777" w:rsidR="00CD68BB" w:rsidRDefault="0086406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Score</w:t>
            </w:r>
          </w:p>
        </w:tc>
        <w:tc>
          <w:tcPr>
            <w:tcW w:w="1178" w:type="dxa"/>
            <w:shd w:val="clear" w:color="auto" w:fill="auto"/>
            <w:noWrap/>
          </w:tcPr>
          <w:p w14:paraId="1C0EEE1C" w14:textId="77777777" w:rsidR="00CD68BB" w:rsidRDefault="0086406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Rank</w:t>
            </w:r>
          </w:p>
        </w:tc>
      </w:tr>
      <w:tr w:rsidR="00CD68BB" w14:paraId="01367CA6" w14:textId="77777777">
        <w:trPr>
          <w:trHeight w:val="449"/>
        </w:trPr>
        <w:tc>
          <w:tcPr>
            <w:tcW w:w="790" w:type="dxa"/>
            <w:shd w:val="clear" w:color="auto" w:fill="auto"/>
            <w:noWrap/>
          </w:tcPr>
          <w:p w14:paraId="14FA3B58"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92" w:type="dxa"/>
            <w:shd w:val="clear" w:color="auto" w:fill="auto"/>
            <w:noWrap/>
          </w:tcPr>
          <w:p w14:paraId="5EC36E64"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High initial investment costs</w:t>
            </w:r>
          </w:p>
        </w:tc>
        <w:tc>
          <w:tcPr>
            <w:tcW w:w="1413" w:type="dxa"/>
            <w:shd w:val="clear" w:color="auto" w:fill="auto"/>
            <w:noWrap/>
          </w:tcPr>
          <w:p w14:paraId="0A6EE0DA"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51.52</w:t>
            </w:r>
          </w:p>
        </w:tc>
        <w:tc>
          <w:tcPr>
            <w:tcW w:w="1402" w:type="dxa"/>
            <w:shd w:val="clear" w:color="auto" w:fill="auto"/>
          </w:tcPr>
          <w:p w14:paraId="5AB4BB99"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IV</w:t>
            </w:r>
          </w:p>
        </w:tc>
        <w:tc>
          <w:tcPr>
            <w:tcW w:w="1189" w:type="dxa"/>
            <w:shd w:val="clear" w:color="auto" w:fill="auto"/>
            <w:noWrap/>
          </w:tcPr>
          <w:p w14:paraId="628DC375"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54.45</w:t>
            </w:r>
          </w:p>
        </w:tc>
        <w:tc>
          <w:tcPr>
            <w:tcW w:w="1178" w:type="dxa"/>
            <w:shd w:val="clear" w:color="auto" w:fill="auto"/>
          </w:tcPr>
          <w:p w14:paraId="73904867"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IV</w:t>
            </w:r>
          </w:p>
        </w:tc>
      </w:tr>
      <w:tr w:rsidR="00CD68BB" w14:paraId="3AD86D66" w14:textId="77777777">
        <w:trPr>
          <w:trHeight w:val="313"/>
        </w:trPr>
        <w:tc>
          <w:tcPr>
            <w:tcW w:w="790" w:type="dxa"/>
            <w:shd w:val="clear" w:color="auto" w:fill="auto"/>
            <w:noWrap/>
          </w:tcPr>
          <w:p w14:paraId="2258AF11"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092" w:type="dxa"/>
            <w:shd w:val="clear" w:color="auto" w:fill="auto"/>
            <w:noWrap/>
          </w:tcPr>
          <w:p w14:paraId="3F40F2F2"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Ongoing maintenance expenses</w:t>
            </w:r>
          </w:p>
        </w:tc>
        <w:tc>
          <w:tcPr>
            <w:tcW w:w="1413" w:type="dxa"/>
            <w:shd w:val="clear" w:color="auto" w:fill="auto"/>
            <w:noWrap/>
          </w:tcPr>
          <w:p w14:paraId="39B5161A"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26.54</w:t>
            </w:r>
          </w:p>
        </w:tc>
        <w:tc>
          <w:tcPr>
            <w:tcW w:w="1402" w:type="dxa"/>
            <w:shd w:val="clear" w:color="auto" w:fill="auto"/>
          </w:tcPr>
          <w:p w14:paraId="731DC00E"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w:t>
            </w:r>
          </w:p>
        </w:tc>
        <w:tc>
          <w:tcPr>
            <w:tcW w:w="1189" w:type="dxa"/>
            <w:shd w:val="clear" w:color="auto" w:fill="auto"/>
            <w:noWrap/>
          </w:tcPr>
          <w:p w14:paraId="575DC668"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32.45</w:t>
            </w:r>
          </w:p>
        </w:tc>
        <w:tc>
          <w:tcPr>
            <w:tcW w:w="1178" w:type="dxa"/>
            <w:shd w:val="clear" w:color="auto" w:fill="auto"/>
          </w:tcPr>
          <w:p w14:paraId="43915E38"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w:t>
            </w:r>
          </w:p>
        </w:tc>
      </w:tr>
      <w:tr w:rsidR="00CD68BB" w14:paraId="26F50BC0" w14:textId="77777777">
        <w:trPr>
          <w:trHeight w:val="313"/>
        </w:trPr>
        <w:tc>
          <w:tcPr>
            <w:tcW w:w="790" w:type="dxa"/>
            <w:shd w:val="clear" w:color="auto" w:fill="auto"/>
            <w:noWrap/>
          </w:tcPr>
          <w:p w14:paraId="1BE9C0D7"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092" w:type="dxa"/>
            <w:shd w:val="clear" w:color="auto" w:fill="auto"/>
            <w:noWrap/>
          </w:tcPr>
          <w:p w14:paraId="7197C953"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Limited access to credit and loans</w:t>
            </w:r>
          </w:p>
        </w:tc>
        <w:tc>
          <w:tcPr>
            <w:tcW w:w="1413" w:type="dxa"/>
            <w:shd w:val="clear" w:color="auto" w:fill="auto"/>
            <w:noWrap/>
          </w:tcPr>
          <w:p w14:paraId="67137175"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14.73</w:t>
            </w:r>
          </w:p>
        </w:tc>
        <w:tc>
          <w:tcPr>
            <w:tcW w:w="1402" w:type="dxa"/>
            <w:shd w:val="clear" w:color="auto" w:fill="auto"/>
          </w:tcPr>
          <w:p w14:paraId="6FF47C87"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w:t>
            </w:r>
          </w:p>
        </w:tc>
        <w:tc>
          <w:tcPr>
            <w:tcW w:w="1189" w:type="dxa"/>
            <w:shd w:val="clear" w:color="auto" w:fill="auto"/>
            <w:noWrap/>
          </w:tcPr>
          <w:p w14:paraId="115A3DE2"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19.57</w:t>
            </w:r>
          </w:p>
        </w:tc>
        <w:tc>
          <w:tcPr>
            <w:tcW w:w="1178" w:type="dxa"/>
            <w:shd w:val="clear" w:color="auto" w:fill="auto"/>
          </w:tcPr>
          <w:p w14:paraId="4E04BDE0"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w:t>
            </w:r>
          </w:p>
        </w:tc>
      </w:tr>
      <w:tr w:rsidR="00CD68BB" w14:paraId="75DC7A9B" w14:textId="77777777">
        <w:trPr>
          <w:trHeight w:val="631"/>
        </w:trPr>
        <w:tc>
          <w:tcPr>
            <w:tcW w:w="790" w:type="dxa"/>
            <w:shd w:val="clear" w:color="auto" w:fill="auto"/>
            <w:noWrap/>
          </w:tcPr>
          <w:p w14:paraId="21D08245"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092" w:type="dxa"/>
            <w:shd w:val="clear" w:color="auto" w:fill="auto"/>
            <w:noWrap/>
          </w:tcPr>
          <w:p w14:paraId="57224969"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Market instability and low profit margins</w:t>
            </w:r>
          </w:p>
        </w:tc>
        <w:tc>
          <w:tcPr>
            <w:tcW w:w="1413" w:type="dxa"/>
            <w:shd w:val="clear" w:color="auto" w:fill="auto"/>
            <w:noWrap/>
          </w:tcPr>
          <w:p w14:paraId="596731C3"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68.50</w:t>
            </w:r>
          </w:p>
        </w:tc>
        <w:tc>
          <w:tcPr>
            <w:tcW w:w="1402" w:type="dxa"/>
            <w:shd w:val="clear" w:color="auto" w:fill="auto"/>
          </w:tcPr>
          <w:p w14:paraId="66ECDFE7"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1189" w:type="dxa"/>
            <w:shd w:val="clear" w:color="auto" w:fill="auto"/>
            <w:noWrap/>
          </w:tcPr>
          <w:p w14:paraId="2856877F"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78.64</w:t>
            </w:r>
          </w:p>
        </w:tc>
        <w:tc>
          <w:tcPr>
            <w:tcW w:w="1178" w:type="dxa"/>
            <w:shd w:val="clear" w:color="auto" w:fill="auto"/>
          </w:tcPr>
          <w:p w14:paraId="1A98E02A"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p>
        </w:tc>
      </w:tr>
      <w:tr w:rsidR="00CD68BB" w14:paraId="121A2DEE" w14:textId="77777777">
        <w:trPr>
          <w:trHeight w:val="313"/>
        </w:trPr>
        <w:tc>
          <w:tcPr>
            <w:tcW w:w="790" w:type="dxa"/>
            <w:shd w:val="clear" w:color="auto" w:fill="auto"/>
            <w:noWrap/>
          </w:tcPr>
          <w:p w14:paraId="265873DD"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092" w:type="dxa"/>
            <w:shd w:val="clear" w:color="auto" w:fill="auto"/>
            <w:noWrap/>
          </w:tcPr>
          <w:p w14:paraId="2A6199F6"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Lack of government incentives</w:t>
            </w:r>
          </w:p>
        </w:tc>
        <w:tc>
          <w:tcPr>
            <w:tcW w:w="1413" w:type="dxa"/>
            <w:shd w:val="clear" w:color="auto" w:fill="auto"/>
            <w:noWrap/>
          </w:tcPr>
          <w:p w14:paraId="7D5C4070"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52.85</w:t>
            </w:r>
          </w:p>
        </w:tc>
        <w:tc>
          <w:tcPr>
            <w:tcW w:w="1402" w:type="dxa"/>
            <w:shd w:val="clear" w:color="auto" w:fill="auto"/>
          </w:tcPr>
          <w:p w14:paraId="5721133B"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III</w:t>
            </w:r>
          </w:p>
        </w:tc>
        <w:tc>
          <w:tcPr>
            <w:tcW w:w="1189" w:type="dxa"/>
            <w:shd w:val="clear" w:color="auto" w:fill="auto"/>
            <w:noWrap/>
          </w:tcPr>
          <w:p w14:paraId="2AEB92BB"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65.89</w:t>
            </w:r>
          </w:p>
        </w:tc>
        <w:tc>
          <w:tcPr>
            <w:tcW w:w="1178" w:type="dxa"/>
            <w:shd w:val="clear" w:color="auto" w:fill="auto"/>
          </w:tcPr>
          <w:p w14:paraId="2A68D0AC"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III</w:t>
            </w:r>
          </w:p>
        </w:tc>
      </w:tr>
      <w:tr w:rsidR="00CD68BB" w14:paraId="6BD08D90" w14:textId="77777777">
        <w:trPr>
          <w:trHeight w:val="313"/>
        </w:trPr>
        <w:tc>
          <w:tcPr>
            <w:tcW w:w="790" w:type="dxa"/>
            <w:shd w:val="clear" w:color="auto" w:fill="auto"/>
            <w:noWrap/>
          </w:tcPr>
          <w:p w14:paraId="1160B5F7" w14:textId="77777777" w:rsidR="00CD68BB" w:rsidRDefault="008640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092" w:type="dxa"/>
            <w:shd w:val="clear" w:color="auto" w:fill="auto"/>
            <w:noWrap/>
          </w:tcPr>
          <w:p w14:paraId="4631888A"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Economic pressures from immediate needs</w:t>
            </w:r>
          </w:p>
        </w:tc>
        <w:tc>
          <w:tcPr>
            <w:tcW w:w="1413" w:type="dxa"/>
            <w:shd w:val="clear" w:color="auto" w:fill="auto"/>
            <w:noWrap/>
          </w:tcPr>
          <w:p w14:paraId="754FFEBB"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66.5</w:t>
            </w:r>
          </w:p>
        </w:tc>
        <w:tc>
          <w:tcPr>
            <w:tcW w:w="1402" w:type="dxa"/>
            <w:shd w:val="clear" w:color="auto" w:fill="auto"/>
          </w:tcPr>
          <w:p w14:paraId="18EC3BA8"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1189" w:type="dxa"/>
            <w:shd w:val="clear" w:color="auto" w:fill="auto"/>
            <w:noWrap/>
          </w:tcPr>
          <w:p w14:paraId="39B948EA"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73.40</w:t>
            </w:r>
          </w:p>
        </w:tc>
        <w:tc>
          <w:tcPr>
            <w:tcW w:w="1178" w:type="dxa"/>
            <w:shd w:val="clear" w:color="auto" w:fill="auto"/>
          </w:tcPr>
          <w:p w14:paraId="142F0B48"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w:t>
            </w:r>
          </w:p>
        </w:tc>
      </w:tr>
    </w:tbl>
    <w:p w14:paraId="3AD3C74C" w14:textId="77777777" w:rsidR="00CD68BB" w:rsidRDefault="00CD68BB">
      <w:pPr>
        <w:spacing w:line="360" w:lineRule="auto"/>
        <w:jc w:val="both"/>
        <w:rPr>
          <w:rFonts w:ascii="Times New Roman" w:eastAsia="Times New Roman" w:hAnsi="Times New Roman" w:cs="Times New Roman"/>
          <w:b/>
          <w:bCs/>
          <w:sz w:val="24"/>
          <w:szCs w:val="24"/>
        </w:rPr>
      </w:pPr>
    </w:p>
    <w:p w14:paraId="69917D5B" w14:textId="77777777" w:rsidR="00CD68BB" w:rsidRDefault="00864064">
      <w:pPr>
        <w:spacing w:line="360" w:lineRule="auto"/>
        <w:jc w:val="both"/>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Governance and support system constraints</w:t>
      </w:r>
    </w:p>
    <w:p w14:paraId="0D830898" w14:textId="77777777" w:rsidR="00CD68BB" w:rsidRDefault="00864064">
      <w:pPr>
        <w:spacing w:line="360" w:lineRule="auto"/>
        <w:jc w:val="both"/>
        <w:rPr>
          <w:rFonts w:ascii="Times New Roman" w:eastAsia="Times New Roman" w:hAnsi="Times New Roman" w:cs="Times New Roman"/>
          <w:b/>
          <w:bCs/>
          <w:color w:val="000000"/>
          <w:szCs w:val="22"/>
        </w:rPr>
      </w:pPr>
      <w:r>
        <w:rPr>
          <w:rFonts w:ascii="Times New Roman" w:hAnsi="Times New Roman" w:cs="Times New Roman"/>
          <w:sz w:val="24"/>
          <w:szCs w:val="24"/>
        </w:rPr>
        <w:t>The most significant constraint identified was the absence of rewards for water conservation, with the highest Garrett Score (75.60) and RBQ Score (81.64), highlighting the critical need for incentives to promote sustainable practices. Cumbersome subsidy a</w:t>
      </w:r>
      <w:r>
        <w:rPr>
          <w:rFonts w:ascii="Times New Roman" w:hAnsi="Times New Roman" w:cs="Times New Roman"/>
          <w:sz w:val="24"/>
          <w:szCs w:val="24"/>
        </w:rPr>
        <w:t xml:space="preserve">pplication processes ranked second (with Garrett Scores 65.42 </w:t>
      </w:r>
      <w:r>
        <w:rPr>
          <w:rFonts w:ascii="Times New Roman" w:hAnsi="Times New Roman" w:cs="Times New Roman"/>
          <w:sz w:val="24"/>
          <w:szCs w:val="24"/>
        </w:rPr>
        <w:lastRenderedPageBreak/>
        <w:t xml:space="preserve">and RBQ value 72.00), reflecting the challenges farmers face in accessing financial support. </w:t>
      </w:r>
    </w:p>
    <w:p w14:paraId="76ED5E58" w14:textId="77777777" w:rsidR="00CD68BB" w:rsidRDefault="00864064">
      <w:pP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Table 5: Governance and support system constraints faced by the farmers (n=180)</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076"/>
        <w:gridCol w:w="1003"/>
        <w:gridCol w:w="1003"/>
        <w:gridCol w:w="1134"/>
        <w:gridCol w:w="1014"/>
      </w:tblGrid>
      <w:tr w:rsidR="00CD68BB" w14:paraId="36510678" w14:textId="77777777">
        <w:trPr>
          <w:trHeight w:val="313"/>
        </w:trPr>
        <w:tc>
          <w:tcPr>
            <w:tcW w:w="852" w:type="dxa"/>
            <w:shd w:val="clear" w:color="auto" w:fill="auto"/>
            <w:noWrap/>
            <w:vAlign w:val="center"/>
          </w:tcPr>
          <w:p w14:paraId="0B495FD7"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 No.</w:t>
            </w:r>
          </w:p>
        </w:tc>
        <w:tc>
          <w:tcPr>
            <w:tcW w:w="4076" w:type="dxa"/>
            <w:shd w:val="clear" w:color="auto" w:fill="auto"/>
            <w:noWrap/>
            <w:vAlign w:val="center"/>
          </w:tcPr>
          <w:p w14:paraId="18EE76FA"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Constraints</w:t>
            </w:r>
          </w:p>
        </w:tc>
        <w:tc>
          <w:tcPr>
            <w:tcW w:w="1003" w:type="dxa"/>
            <w:shd w:val="clear" w:color="auto" w:fill="auto"/>
            <w:noWrap/>
            <w:vAlign w:val="center"/>
          </w:tcPr>
          <w:p w14:paraId="0F570D52"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score</w:t>
            </w:r>
          </w:p>
        </w:tc>
        <w:tc>
          <w:tcPr>
            <w:tcW w:w="1003" w:type="dxa"/>
            <w:shd w:val="clear" w:color="auto" w:fill="auto"/>
            <w:noWrap/>
            <w:vAlign w:val="center"/>
          </w:tcPr>
          <w:p w14:paraId="19A6B49E"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rank</w:t>
            </w:r>
          </w:p>
        </w:tc>
        <w:tc>
          <w:tcPr>
            <w:tcW w:w="1134" w:type="dxa"/>
            <w:shd w:val="clear" w:color="auto" w:fill="auto"/>
            <w:noWrap/>
            <w:vAlign w:val="center"/>
          </w:tcPr>
          <w:p w14:paraId="2B6BE339"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score</w:t>
            </w:r>
          </w:p>
        </w:tc>
        <w:tc>
          <w:tcPr>
            <w:tcW w:w="1014" w:type="dxa"/>
            <w:shd w:val="clear" w:color="auto" w:fill="auto"/>
            <w:noWrap/>
            <w:vAlign w:val="center"/>
          </w:tcPr>
          <w:p w14:paraId="64F8C2AB" w14:textId="77777777" w:rsidR="00CD68BB" w:rsidRDefault="0086406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rank</w:t>
            </w:r>
          </w:p>
        </w:tc>
      </w:tr>
      <w:tr w:rsidR="00CD68BB" w14:paraId="08928C8F" w14:textId="77777777">
        <w:trPr>
          <w:trHeight w:val="449"/>
        </w:trPr>
        <w:tc>
          <w:tcPr>
            <w:tcW w:w="852" w:type="dxa"/>
            <w:shd w:val="clear" w:color="auto" w:fill="auto"/>
            <w:noWrap/>
            <w:vAlign w:val="center"/>
          </w:tcPr>
          <w:p w14:paraId="5D71F618"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076" w:type="dxa"/>
            <w:shd w:val="clear" w:color="auto" w:fill="auto"/>
            <w:noWrap/>
          </w:tcPr>
          <w:p w14:paraId="77FAE203"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Cumbersome subsidy application processes</w:t>
            </w:r>
          </w:p>
        </w:tc>
        <w:tc>
          <w:tcPr>
            <w:tcW w:w="1003" w:type="dxa"/>
            <w:shd w:val="clear" w:color="auto" w:fill="auto"/>
            <w:noWrap/>
          </w:tcPr>
          <w:p w14:paraId="6EBD917C"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65.42</w:t>
            </w:r>
          </w:p>
        </w:tc>
        <w:tc>
          <w:tcPr>
            <w:tcW w:w="1003" w:type="dxa"/>
            <w:shd w:val="clear" w:color="auto" w:fill="auto"/>
          </w:tcPr>
          <w:p w14:paraId="798340BF"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1134" w:type="dxa"/>
            <w:shd w:val="clear" w:color="auto" w:fill="auto"/>
            <w:noWrap/>
          </w:tcPr>
          <w:p w14:paraId="3B57E595"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72.00</w:t>
            </w:r>
          </w:p>
        </w:tc>
        <w:tc>
          <w:tcPr>
            <w:tcW w:w="1014" w:type="dxa"/>
            <w:shd w:val="clear" w:color="auto" w:fill="auto"/>
          </w:tcPr>
          <w:p w14:paraId="360F6B42"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r>
      <w:tr w:rsidR="00CD68BB" w14:paraId="0D91F53E" w14:textId="77777777">
        <w:trPr>
          <w:trHeight w:val="313"/>
        </w:trPr>
        <w:tc>
          <w:tcPr>
            <w:tcW w:w="852" w:type="dxa"/>
            <w:shd w:val="clear" w:color="auto" w:fill="auto"/>
            <w:noWrap/>
            <w:vAlign w:val="center"/>
          </w:tcPr>
          <w:p w14:paraId="79270BA8"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076" w:type="dxa"/>
            <w:shd w:val="clear" w:color="auto" w:fill="auto"/>
            <w:noWrap/>
          </w:tcPr>
          <w:p w14:paraId="69F737B2"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Absence of rewards for water conservation</w:t>
            </w:r>
          </w:p>
        </w:tc>
        <w:tc>
          <w:tcPr>
            <w:tcW w:w="1003" w:type="dxa"/>
            <w:shd w:val="clear" w:color="auto" w:fill="auto"/>
            <w:noWrap/>
          </w:tcPr>
          <w:p w14:paraId="4C2097AE"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75.60</w:t>
            </w:r>
          </w:p>
        </w:tc>
        <w:tc>
          <w:tcPr>
            <w:tcW w:w="1003" w:type="dxa"/>
            <w:shd w:val="clear" w:color="auto" w:fill="auto"/>
          </w:tcPr>
          <w:p w14:paraId="1967DD42"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1134" w:type="dxa"/>
            <w:shd w:val="clear" w:color="auto" w:fill="auto"/>
            <w:noWrap/>
          </w:tcPr>
          <w:p w14:paraId="409FE7CC"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81.64</w:t>
            </w:r>
          </w:p>
        </w:tc>
        <w:tc>
          <w:tcPr>
            <w:tcW w:w="1014" w:type="dxa"/>
            <w:shd w:val="clear" w:color="auto" w:fill="auto"/>
          </w:tcPr>
          <w:p w14:paraId="518C4723"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r>
      <w:tr w:rsidR="00CD68BB" w14:paraId="339413E8" w14:textId="77777777">
        <w:trPr>
          <w:trHeight w:val="589"/>
        </w:trPr>
        <w:tc>
          <w:tcPr>
            <w:tcW w:w="852" w:type="dxa"/>
            <w:shd w:val="clear" w:color="auto" w:fill="auto"/>
            <w:noWrap/>
            <w:vAlign w:val="center"/>
          </w:tcPr>
          <w:p w14:paraId="3379F1BD"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076" w:type="dxa"/>
            <w:shd w:val="clear" w:color="auto" w:fill="auto"/>
            <w:noWrap/>
          </w:tcPr>
          <w:p w14:paraId="683BAB8F"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Fragmented inter-departmental coordination</w:t>
            </w:r>
          </w:p>
        </w:tc>
        <w:tc>
          <w:tcPr>
            <w:tcW w:w="1003" w:type="dxa"/>
            <w:shd w:val="clear" w:color="auto" w:fill="auto"/>
            <w:noWrap/>
          </w:tcPr>
          <w:p w14:paraId="54318D3A"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39.85</w:t>
            </w:r>
          </w:p>
        </w:tc>
        <w:tc>
          <w:tcPr>
            <w:tcW w:w="1003" w:type="dxa"/>
            <w:shd w:val="clear" w:color="auto" w:fill="auto"/>
          </w:tcPr>
          <w:p w14:paraId="0C03C2B7"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IV</w:t>
            </w:r>
          </w:p>
        </w:tc>
        <w:tc>
          <w:tcPr>
            <w:tcW w:w="1134" w:type="dxa"/>
            <w:shd w:val="clear" w:color="auto" w:fill="auto"/>
            <w:noWrap/>
          </w:tcPr>
          <w:p w14:paraId="07519564"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44.86</w:t>
            </w:r>
          </w:p>
        </w:tc>
        <w:tc>
          <w:tcPr>
            <w:tcW w:w="1014" w:type="dxa"/>
            <w:shd w:val="clear" w:color="auto" w:fill="auto"/>
          </w:tcPr>
          <w:p w14:paraId="5FDCC590"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IV</w:t>
            </w:r>
          </w:p>
        </w:tc>
      </w:tr>
      <w:tr w:rsidR="00CD68BB" w14:paraId="4B474074" w14:textId="77777777">
        <w:trPr>
          <w:trHeight w:val="736"/>
        </w:trPr>
        <w:tc>
          <w:tcPr>
            <w:tcW w:w="852" w:type="dxa"/>
            <w:shd w:val="clear" w:color="auto" w:fill="auto"/>
            <w:noWrap/>
            <w:vAlign w:val="center"/>
          </w:tcPr>
          <w:p w14:paraId="52CC8904"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076" w:type="dxa"/>
            <w:shd w:val="clear" w:color="auto" w:fill="auto"/>
            <w:noWrap/>
          </w:tcPr>
          <w:p w14:paraId="0BB14136"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Weak enforcement of </w:t>
            </w:r>
            <w:r>
              <w:rPr>
                <w:rFonts w:ascii="Times New Roman" w:hAnsi="Times New Roman" w:cs="Times New Roman"/>
                <w:color w:val="000000"/>
                <w:sz w:val="24"/>
                <w:szCs w:val="24"/>
              </w:rPr>
              <w:t>water regulations</w:t>
            </w:r>
          </w:p>
        </w:tc>
        <w:tc>
          <w:tcPr>
            <w:tcW w:w="1003" w:type="dxa"/>
            <w:shd w:val="clear" w:color="auto" w:fill="auto"/>
            <w:noWrap/>
          </w:tcPr>
          <w:p w14:paraId="2A1F7788"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56.48</w:t>
            </w:r>
          </w:p>
        </w:tc>
        <w:tc>
          <w:tcPr>
            <w:tcW w:w="1003" w:type="dxa"/>
            <w:shd w:val="clear" w:color="auto" w:fill="auto"/>
          </w:tcPr>
          <w:p w14:paraId="143957C1"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III</w:t>
            </w:r>
          </w:p>
        </w:tc>
        <w:tc>
          <w:tcPr>
            <w:tcW w:w="1134" w:type="dxa"/>
            <w:shd w:val="clear" w:color="auto" w:fill="auto"/>
            <w:noWrap/>
          </w:tcPr>
          <w:p w14:paraId="76E83531"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62.54</w:t>
            </w:r>
          </w:p>
        </w:tc>
        <w:tc>
          <w:tcPr>
            <w:tcW w:w="1014" w:type="dxa"/>
            <w:shd w:val="clear" w:color="auto" w:fill="auto"/>
          </w:tcPr>
          <w:p w14:paraId="454D8DD7"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III</w:t>
            </w:r>
          </w:p>
        </w:tc>
      </w:tr>
      <w:tr w:rsidR="00CD68BB" w14:paraId="35577006" w14:textId="77777777">
        <w:trPr>
          <w:trHeight w:val="313"/>
        </w:trPr>
        <w:tc>
          <w:tcPr>
            <w:tcW w:w="852" w:type="dxa"/>
            <w:shd w:val="clear" w:color="auto" w:fill="auto"/>
            <w:noWrap/>
            <w:vAlign w:val="center"/>
          </w:tcPr>
          <w:p w14:paraId="078089B2" w14:textId="77777777" w:rsidR="00CD68BB" w:rsidRDefault="008640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076" w:type="dxa"/>
            <w:shd w:val="clear" w:color="auto" w:fill="auto"/>
            <w:noWrap/>
          </w:tcPr>
          <w:p w14:paraId="692F2630" w14:textId="77777777" w:rsidR="00CD68BB" w:rsidRDefault="0086406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Lack of long-term policy framework</w:t>
            </w:r>
          </w:p>
        </w:tc>
        <w:tc>
          <w:tcPr>
            <w:tcW w:w="1003" w:type="dxa"/>
            <w:shd w:val="clear" w:color="auto" w:fill="auto"/>
            <w:noWrap/>
          </w:tcPr>
          <w:p w14:paraId="50D8E5F0"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21.98</w:t>
            </w:r>
          </w:p>
        </w:tc>
        <w:tc>
          <w:tcPr>
            <w:tcW w:w="1003" w:type="dxa"/>
            <w:shd w:val="clear" w:color="auto" w:fill="auto"/>
          </w:tcPr>
          <w:p w14:paraId="2BFA149C"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w:t>
            </w:r>
          </w:p>
        </w:tc>
        <w:tc>
          <w:tcPr>
            <w:tcW w:w="1134" w:type="dxa"/>
            <w:shd w:val="clear" w:color="auto" w:fill="auto"/>
            <w:noWrap/>
          </w:tcPr>
          <w:p w14:paraId="33F57825"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24.58</w:t>
            </w:r>
          </w:p>
        </w:tc>
        <w:tc>
          <w:tcPr>
            <w:tcW w:w="1014" w:type="dxa"/>
            <w:shd w:val="clear" w:color="auto" w:fill="auto"/>
          </w:tcPr>
          <w:p w14:paraId="6B0EE441" w14:textId="77777777" w:rsidR="00CD68BB" w:rsidRDefault="0086406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w:t>
            </w:r>
          </w:p>
        </w:tc>
      </w:tr>
    </w:tbl>
    <w:p w14:paraId="76716AEC" w14:textId="77777777" w:rsidR="00CD68BB" w:rsidRDefault="00CD68BB">
      <w:pPr>
        <w:spacing w:line="360" w:lineRule="auto"/>
        <w:jc w:val="both"/>
        <w:rPr>
          <w:rFonts w:ascii="Times New Roman" w:eastAsia="Times New Roman" w:hAnsi="Times New Roman" w:cs="Times New Roman"/>
          <w:b/>
          <w:bCs/>
          <w:sz w:val="24"/>
          <w:szCs w:val="24"/>
        </w:rPr>
      </w:pPr>
    </w:p>
    <w:p w14:paraId="781FCA48" w14:textId="77777777" w:rsidR="00CD68BB" w:rsidRDefault="0086406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Conclusion: </w:t>
      </w:r>
    </w:p>
    <w:p w14:paraId="76A01162" w14:textId="77777777" w:rsidR="00CD68BB" w:rsidRDefault="0086406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comparative analysis across all five dimensions; demographic, technological, ecological, economic and government support reveals that knowledge </w:t>
      </w:r>
      <w:r>
        <w:rPr>
          <w:rFonts w:ascii="Times New Roman" w:eastAsia="Times New Roman" w:hAnsi="Times New Roman" w:cs="Times New Roman"/>
          <w:sz w:val="24"/>
          <w:szCs w:val="24"/>
        </w:rPr>
        <w:t xml:space="preserve">gaps, ecological uncertainty, economic insecurity, and institutional inefficiencies collectively form a complex web of constraints hindering groundwater conservation among farmers. The alignment between RBQ values and Garrett’s rankings further reinforces </w:t>
      </w:r>
      <w:r>
        <w:rPr>
          <w:rFonts w:ascii="Times New Roman" w:eastAsia="Times New Roman" w:hAnsi="Times New Roman" w:cs="Times New Roman"/>
          <w:sz w:val="24"/>
          <w:szCs w:val="24"/>
        </w:rPr>
        <w:t>the reliability of the identified priorities, providing a robust basis for strategic planning. These insights offer a clear roadmap for targeted interventions: strengthening capacity building and farmer training programs to bridge knowledge deficits; imple</w:t>
      </w:r>
      <w:r>
        <w:rPr>
          <w:rFonts w:ascii="Times New Roman" w:eastAsia="Times New Roman" w:hAnsi="Times New Roman" w:cs="Times New Roman"/>
          <w:sz w:val="24"/>
          <w:szCs w:val="24"/>
        </w:rPr>
        <w:t>menting incentive-based schemes to alleviate economic constraints; developing climate-adaptive policies to buffer ecological risks; and promoting integrated governance frameworks to enhance institutional coordination and streamline support mechanisms.</w:t>
      </w:r>
    </w:p>
    <w:p w14:paraId="74AB56C6" w14:textId="77777777" w:rsidR="00DB760D" w:rsidRPr="009A7D54" w:rsidRDefault="00DB760D" w:rsidP="00DB760D">
      <w:pPr>
        <w:rPr>
          <w:b/>
          <w:highlight w:val="yellow"/>
        </w:rPr>
      </w:pPr>
      <w:r w:rsidRPr="009A7D54">
        <w:rPr>
          <w:b/>
          <w:highlight w:val="yellow"/>
        </w:rPr>
        <w:t>Disclaimer (Artificial intelligence)</w:t>
      </w:r>
    </w:p>
    <w:p w14:paraId="6C2CD8E5" w14:textId="77777777" w:rsidR="00DB760D" w:rsidRPr="00DB760D" w:rsidRDefault="00DB760D" w:rsidP="00DB760D">
      <w:pPr>
        <w:rPr>
          <w:highlight w:val="yellow"/>
        </w:rPr>
      </w:pPr>
      <w:r w:rsidRPr="00DB760D">
        <w:rPr>
          <w:highlight w:val="yellow"/>
        </w:rPr>
        <w:t xml:space="preserve">Option 1: </w:t>
      </w:r>
    </w:p>
    <w:p w14:paraId="0F89C9D9" w14:textId="77777777" w:rsidR="00DB760D" w:rsidRPr="00DB760D" w:rsidRDefault="00DB760D" w:rsidP="00DB760D">
      <w:pPr>
        <w:rPr>
          <w:highlight w:val="yellow"/>
        </w:rPr>
      </w:pPr>
      <w:r w:rsidRPr="00DB760D">
        <w:rPr>
          <w:highlight w:val="yellow"/>
        </w:rPr>
        <w:t xml:space="preserve">Author(s) hereby declare that NO generative AI technologies such as Large Language Models (ChatGPT, COPILOT, etc.) and text-to-image generators have been used during the writing or editing of this manuscript. </w:t>
      </w:r>
    </w:p>
    <w:p w14:paraId="341138AA" w14:textId="77777777" w:rsidR="00DB760D" w:rsidRPr="00DB760D" w:rsidRDefault="00DB760D" w:rsidP="00DB760D">
      <w:pPr>
        <w:rPr>
          <w:highlight w:val="yellow"/>
        </w:rPr>
      </w:pPr>
      <w:r w:rsidRPr="00DB760D">
        <w:rPr>
          <w:highlight w:val="yellow"/>
        </w:rPr>
        <w:lastRenderedPageBreak/>
        <w:t xml:space="preserve">Option 2: </w:t>
      </w:r>
    </w:p>
    <w:p w14:paraId="13B79964" w14:textId="77777777" w:rsidR="00DB760D" w:rsidRPr="00DB760D" w:rsidRDefault="00DB760D" w:rsidP="00DB760D">
      <w:pPr>
        <w:rPr>
          <w:highlight w:val="yellow"/>
        </w:rPr>
      </w:pPr>
      <w:r w:rsidRPr="00DB760D">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845DAF" w14:textId="77777777" w:rsidR="00DB760D" w:rsidRPr="00DB760D" w:rsidRDefault="00DB760D" w:rsidP="00DB760D">
      <w:pPr>
        <w:rPr>
          <w:highlight w:val="yellow"/>
        </w:rPr>
      </w:pPr>
      <w:r w:rsidRPr="00DB760D">
        <w:rPr>
          <w:highlight w:val="yellow"/>
        </w:rPr>
        <w:t>Details of the AI usage are given below:</w:t>
      </w:r>
    </w:p>
    <w:p w14:paraId="420AB992" w14:textId="77777777" w:rsidR="00DB760D" w:rsidRPr="00DB760D" w:rsidRDefault="00DB760D" w:rsidP="00DB760D">
      <w:pPr>
        <w:rPr>
          <w:highlight w:val="yellow"/>
        </w:rPr>
      </w:pPr>
      <w:r w:rsidRPr="00DB760D">
        <w:rPr>
          <w:highlight w:val="yellow"/>
        </w:rPr>
        <w:t>1.</w:t>
      </w:r>
    </w:p>
    <w:p w14:paraId="307DFC51" w14:textId="77777777" w:rsidR="00DB760D" w:rsidRPr="00DB760D" w:rsidRDefault="00DB760D" w:rsidP="00DB760D">
      <w:pPr>
        <w:rPr>
          <w:highlight w:val="yellow"/>
        </w:rPr>
      </w:pPr>
      <w:r w:rsidRPr="00DB760D">
        <w:rPr>
          <w:highlight w:val="yellow"/>
        </w:rPr>
        <w:t>2.</w:t>
      </w:r>
    </w:p>
    <w:p w14:paraId="6C4586F1" w14:textId="77777777" w:rsidR="00DB760D" w:rsidRPr="0053103C" w:rsidRDefault="00DB760D" w:rsidP="00DB760D">
      <w:r w:rsidRPr="00DB760D">
        <w:rPr>
          <w:highlight w:val="yellow"/>
        </w:rPr>
        <w:t>3.</w:t>
      </w:r>
    </w:p>
    <w:p w14:paraId="737BEFCC" w14:textId="77777777" w:rsidR="00DB760D" w:rsidRDefault="00DB760D">
      <w:pPr>
        <w:spacing w:line="360" w:lineRule="auto"/>
        <w:jc w:val="both"/>
        <w:rPr>
          <w:rFonts w:ascii="Times New Roman" w:eastAsia="Times New Roman" w:hAnsi="Times New Roman" w:cs="Times New Roman"/>
          <w:b/>
          <w:bCs/>
          <w:sz w:val="24"/>
          <w:szCs w:val="24"/>
        </w:rPr>
      </w:pPr>
    </w:p>
    <w:p w14:paraId="75C7C5B9" w14:textId="77777777" w:rsidR="00CD68BB" w:rsidRDefault="00864064">
      <w:pPr>
        <w:spacing w:after="0" w:line="360" w:lineRule="auto"/>
        <w:ind w:left="720" w:hanging="720"/>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Referances</w:t>
      </w:r>
      <w:proofErr w:type="spellEnd"/>
      <w:r>
        <w:rPr>
          <w:rFonts w:ascii="Times New Roman" w:eastAsia="Times New Roman" w:hAnsi="Times New Roman" w:cs="Times New Roman"/>
          <w:b/>
          <w:bCs/>
          <w:sz w:val="24"/>
          <w:szCs w:val="24"/>
        </w:rPr>
        <w:t xml:space="preserve">: </w:t>
      </w:r>
    </w:p>
    <w:p w14:paraId="0BF9446B" w14:textId="77777777" w:rsidR="00CD68BB" w:rsidRDefault="00864064">
      <w:pPr>
        <w:spacing w:after="0" w:line="360" w:lineRule="auto"/>
        <w:ind w:left="720" w:hanging="720"/>
        <w:jc w:val="both"/>
        <w:rPr>
          <w:rStyle w:val="Hyperlink"/>
          <w:rFonts w:ascii="SimSun" w:eastAsia="SimSun" w:hAnsi="SimSun" w:cs="SimSun"/>
          <w:sz w:val="24"/>
          <w:szCs w:val="24"/>
        </w:rPr>
      </w:pPr>
      <w:r>
        <w:rPr>
          <w:rFonts w:ascii="Times New Roman" w:eastAsia="Times New Roman" w:hAnsi="Times New Roman" w:cs="Times New Roman"/>
          <w:sz w:val="24"/>
          <w:szCs w:val="24"/>
        </w:rPr>
        <w:t xml:space="preserve">Baweja, S., Aggarwal, R. and Brar M. (2017). Groundwater Depletion in Punjab, India. Encyclopedia of Soil Science, Third Edition: Three Volume </w:t>
      </w:r>
      <w:r>
        <w:rPr>
          <w:rStyle w:val="Hyperlink"/>
          <w:rFonts w:ascii="SimSun" w:eastAsia="SimSun" w:hAnsi="SimSun" w:cs="SimSun"/>
          <w:sz w:val="24"/>
          <w:szCs w:val="24"/>
        </w:rPr>
        <w:t>https://www.researchgate.net/publication/318588145_Groundwater_Depletion_in_Punjab_India</w:t>
      </w:r>
    </w:p>
    <w:p w14:paraId="74C27A3C" w14:textId="77777777" w:rsidR="00CD68BB" w:rsidRDefault="0086406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 Ground Water Boa</w:t>
      </w:r>
      <w:r>
        <w:rPr>
          <w:rFonts w:ascii="Times New Roman" w:eastAsia="Times New Roman" w:hAnsi="Times New Roman" w:cs="Times New Roman"/>
          <w:sz w:val="24"/>
          <w:szCs w:val="24"/>
        </w:rPr>
        <w:t>rd (CGWB). (2017–2018). National Compilation on Dynamic Ground Water Resources of India. Ministry of Jal Shakti, Government of India.</w:t>
      </w:r>
    </w:p>
    <w:p w14:paraId="63D846EE" w14:textId="77777777" w:rsidR="00CD68BB" w:rsidRDefault="0086406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 Water Commission (CWC). (2021). Water and Related Statistics. Ministry of Jal Shakti, Government of India.</w:t>
      </w:r>
    </w:p>
    <w:p w14:paraId="7B261178" w14:textId="77777777" w:rsidR="00CD68BB" w:rsidRDefault="00864064">
      <w:pPr>
        <w:spacing w:after="0" w:line="360" w:lineRule="auto"/>
        <w:ind w:left="720" w:hanging="720"/>
        <w:jc w:val="both"/>
        <w:rPr>
          <w:rFonts w:ascii="Times New Roman" w:eastAsia="Times New Roman" w:hAnsi="Times New Roman" w:cs="Times New Roman"/>
          <w:sz w:val="24"/>
          <w:szCs w:val="24"/>
        </w:rPr>
      </w:pPr>
      <w:hyperlink r:id="rId9" w:tgtFrame="_new" w:history="1">
        <w:r>
          <w:rPr>
            <w:rStyle w:val="Hyperlink"/>
            <w:rFonts w:ascii="SimSun" w:eastAsia="SimSun" w:hAnsi="SimSun" w:cs="SimSun"/>
            <w:sz w:val="24"/>
            <w:szCs w:val="24"/>
          </w:rPr>
          <w:t>https://www.scribd.com/document/717860143/Water-and-Related-Statistics-2021compressed-2</w:t>
        </w:r>
      </w:hyperlink>
    </w:p>
    <w:p w14:paraId="7E790FD7" w14:textId="77777777" w:rsidR="00CD68BB" w:rsidRDefault="0086406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Chaudhuri, S., Parakh, D., Roy, M., and Kaur, H. (2021). Grou</w:t>
      </w:r>
      <w:r>
        <w:rPr>
          <w:rFonts w:ascii="Times New Roman" w:eastAsia="Times New Roman" w:hAnsi="Times New Roman" w:cs="Times New Roman"/>
          <w:sz w:val="24"/>
          <w:szCs w:val="24"/>
        </w:rPr>
        <w:t xml:space="preserve">ndwater-sourced irrigation and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-power subsidies: Boon or bane for small/marginal farmers in India? Groundwater for Sustainable Development, 15. </w:t>
      </w:r>
    </w:p>
    <w:p w14:paraId="0561B700" w14:textId="77777777" w:rsidR="00CD68BB" w:rsidRDefault="0086406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Dubash, Navroz K., (2007), “The Electricity-Groundwater Conundrum: Case for a Political Solution to a Polit</w:t>
      </w:r>
      <w:r>
        <w:rPr>
          <w:rFonts w:ascii="Times New Roman" w:eastAsia="Times New Roman" w:hAnsi="Times New Roman" w:cs="Times New Roman"/>
          <w:sz w:val="24"/>
          <w:szCs w:val="24"/>
        </w:rPr>
        <w:t>ical Problem,” Economic and Political Weekly: 45-55</w:t>
      </w:r>
    </w:p>
    <w:p w14:paraId="10B63346" w14:textId="77777777" w:rsidR="00CD68BB" w:rsidRDefault="0086406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and Agriculture Organization (FAO). (2020). AQUASTAT Database.</w:t>
      </w:r>
    </w:p>
    <w:p w14:paraId="38D9C7B7" w14:textId="77777777" w:rsidR="00CD68BB" w:rsidRDefault="0086406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Kalli, R., Jena, P. R., Timilsina, R. R., </w:t>
      </w:r>
      <w:proofErr w:type="spellStart"/>
      <w:r>
        <w:rPr>
          <w:rFonts w:ascii="Times New Roman" w:eastAsia="Times New Roman" w:hAnsi="Times New Roman" w:cs="Times New Roman"/>
          <w:sz w:val="24"/>
          <w:szCs w:val="24"/>
        </w:rPr>
        <w:t>Rahut</w:t>
      </w:r>
      <w:proofErr w:type="spellEnd"/>
      <w:r>
        <w:rPr>
          <w:rFonts w:ascii="Times New Roman" w:eastAsia="Times New Roman" w:hAnsi="Times New Roman" w:cs="Times New Roman"/>
          <w:sz w:val="24"/>
          <w:szCs w:val="24"/>
        </w:rPr>
        <w:t xml:space="preserve">, D. B., and </w:t>
      </w:r>
      <w:proofErr w:type="spellStart"/>
      <w:r>
        <w:rPr>
          <w:rFonts w:ascii="Times New Roman" w:eastAsia="Times New Roman" w:hAnsi="Times New Roman" w:cs="Times New Roman"/>
          <w:sz w:val="24"/>
          <w:szCs w:val="24"/>
        </w:rPr>
        <w:t>Sonobe</w:t>
      </w:r>
      <w:proofErr w:type="spellEnd"/>
      <w:r>
        <w:rPr>
          <w:rFonts w:ascii="Times New Roman" w:eastAsia="Times New Roman" w:hAnsi="Times New Roman" w:cs="Times New Roman"/>
          <w:sz w:val="24"/>
          <w:szCs w:val="24"/>
        </w:rPr>
        <w:t>, T. (2024). Effect of irrigation on farm efficiency in tribal village</w:t>
      </w:r>
      <w:r>
        <w:rPr>
          <w:rFonts w:ascii="Times New Roman" w:eastAsia="Times New Roman" w:hAnsi="Times New Roman" w:cs="Times New Roman"/>
          <w:sz w:val="24"/>
          <w:szCs w:val="24"/>
        </w:rPr>
        <w:t xml:space="preserve">s of Eastern India. Agricultural Water Management, 291, 108647. </w:t>
      </w:r>
    </w:p>
    <w:p w14:paraId="15CF95AB" w14:textId="77777777" w:rsidR="00CD68BB" w:rsidRDefault="0086406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National Commission for Integrated Water Resources Development (NCIWRD). (1999). Integrated Water Resources Development: A Plan for Action. Ministry of Water Resources, Government of India. </w:t>
      </w:r>
    </w:p>
    <w:p w14:paraId="57AD80F5" w14:textId="77777777" w:rsidR="00CD68BB" w:rsidRDefault="00864064">
      <w:pPr>
        <w:spacing w:after="0" w:line="360" w:lineRule="auto"/>
        <w:jc w:val="both"/>
        <w:rPr>
          <w:rStyle w:val="Hyperlink"/>
          <w:rFonts w:ascii="SimSun" w:eastAsia="SimSun" w:hAnsi="SimSun" w:cs="SimSun"/>
          <w:sz w:val="24"/>
          <w:szCs w:val="24"/>
        </w:rPr>
      </w:pPr>
      <w:r>
        <w:rPr>
          <w:rStyle w:val="Hyperlink"/>
          <w:rFonts w:ascii="SimSun" w:eastAsia="SimSun" w:hAnsi="SimSun" w:cs="SimSun"/>
          <w:sz w:val="24"/>
          <w:szCs w:val="24"/>
        </w:rPr>
        <w:t>https://pib.gov.in/PressReleasePage.aspx?PRID=1577980</w:t>
      </w:r>
    </w:p>
    <w:p w14:paraId="36392DEB" w14:textId="77777777" w:rsidR="00CD68BB" w:rsidRDefault="00864064">
      <w:pPr>
        <w:spacing w:after="0" w:line="360" w:lineRule="auto"/>
        <w:ind w:left="720" w:hanging="720"/>
        <w:jc w:val="both"/>
        <w:rPr>
          <w:rFonts w:ascii="SimSun" w:eastAsia="SimSun" w:hAnsi="SimSun" w:cs="SimSun"/>
          <w:sz w:val="24"/>
          <w:szCs w:val="24"/>
        </w:rPr>
      </w:pPr>
      <w:r>
        <w:rPr>
          <w:rFonts w:ascii="Times New Roman" w:eastAsia="Times New Roman" w:hAnsi="Times New Roman" w:cs="Times New Roman"/>
          <w:sz w:val="24"/>
          <w:szCs w:val="24"/>
        </w:rPr>
        <w:t>NITI Aayog. (2018). Composite Water Management Index: A Tool for Water Management. Government of India</w:t>
      </w:r>
    </w:p>
    <w:p w14:paraId="4AA34DF6" w14:textId="77777777" w:rsidR="00CD68BB" w:rsidRDefault="0086406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Rodell, M., </w:t>
      </w:r>
      <w:proofErr w:type="spellStart"/>
      <w:r>
        <w:rPr>
          <w:rFonts w:ascii="Times New Roman" w:eastAsia="Times New Roman" w:hAnsi="Times New Roman" w:cs="Times New Roman"/>
          <w:sz w:val="24"/>
          <w:szCs w:val="24"/>
        </w:rPr>
        <w:t>Velicogna</w:t>
      </w:r>
      <w:proofErr w:type="spellEnd"/>
      <w:r>
        <w:rPr>
          <w:rFonts w:ascii="Times New Roman" w:eastAsia="Times New Roman" w:hAnsi="Times New Roman" w:cs="Times New Roman"/>
          <w:sz w:val="24"/>
          <w:szCs w:val="24"/>
        </w:rPr>
        <w:t>, I., &amp; Famiglietti, J. S. (2009). Satellite-based estimates of groundwater de</w:t>
      </w:r>
      <w:r>
        <w:rPr>
          <w:rFonts w:ascii="Times New Roman" w:eastAsia="Times New Roman" w:hAnsi="Times New Roman" w:cs="Times New Roman"/>
          <w:sz w:val="24"/>
          <w:szCs w:val="24"/>
        </w:rPr>
        <w:t xml:space="preserve">pletion in India. Nature, 460(7258), 999–1002. </w:t>
      </w:r>
      <w:r>
        <w:rPr>
          <w:rStyle w:val="Hyperlink"/>
          <w:rFonts w:ascii="SimSun" w:eastAsia="SimSun" w:hAnsi="SimSun" w:cs="SimSun"/>
          <w:sz w:val="24"/>
          <w:szCs w:val="24"/>
        </w:rPr>
        <w:t>https://doi.org/10.1038/nature08238</w:t>
      </w:r>
    </w:p>
    <w:p w14:paraId="75F2BC0B" w14:textId="77777777" w:rsidR="00CD68BB" w:rsidRDefault="0086406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Shah, T., Bhatt, S., Shah, R. K., &amp; Talati, J. (2008). Groundwater governance through electricity supply management: Assessing an innovative intervention in Gujarat, western</w:t>
      </w:r>
      <w:r>
        <w:rPr>
          <w:rFonts w:ascii="Times New Roman" w:eastAsia="Times New Roman" w:hAnsi="Times New Roman" w:cs="Times New Roman"/>
          <w:sz w:val="24"/>
          <w:szCs w:val="24"/>
        </w:rPr>
        <w:t xml:space="preserve"> India. Agricultural Water Management, 95(11), 1233–1242. </w:t>
      </w:r>
    </w:p>
    <w:p w14:paraId="7C24DE7D" w14:textId="77777777" w:rsidR="00CD68BB" w:rsidRDefault="0086406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Singh, K. (2012). Electricity Subsidy in Punjab Agriculture: Extent and Impact. Indian Journal of Agricultural Economics, 67(4): 617-632.</w:t>
      </w:r>
    </w:p>
    <w:p w14:paraId="2D786237" w14:textId="77777777" w:rsidR="00CD68BB" w:rsidRDefault="0086406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 Geological Survey (USGS). (2021). How much water is </w:t>
      </w:r>
      <w:r>
        <w:rPr>
          <w:rFonts w:ascii="Times New Roman" w:eastAsia="Times New Roman" w:hAnsi="Times New Roman" w:cs="Times New Roman"/>
          <w:sz w:val="24"/>
          <w:szCs w:val="24"/>
        </w:rPr>
        <w:t>there on Earth?</w:t>
      </w:r>
      <w:r>
        <w:rPr>
          <w:rFonts w:ascii="Times New Roman" w:eastAsia="Times New Roman" w:hAnsi="Times New Roman" w:cs="Times New Roman"/>
          <w:sz w:val="24"/>
          <w:szCs w:val="24"/>
        </w:rPr>
        <w:br/>
      </w:r>
    </w:p>
    <w:p w14:paraId="7E5C94BE" w14:textId="77777777" w:rsidR="00CD68BB" w:rsidRDefault="00CD68BB">
      <w:pPr>
        <w:spacing w:after="0" w:line="360" w:lineRule="auto"/>
        <w:ind w:left="720" w:hanging="720"/>
        <w:jc w:val="both"/>
        <w:rPr>
          <w:rFonts w:ascii="Times New Roman" w:eastAsia="Times New Roman" w:hAnsi="Times New Roman" w:cs="Times New Roman"/>
          <w:sz w:val="24"/>
          <w:szCs w:val="24"/>
        </w:rPr>
      </w:pPr>
    </w:p>
    <w:p w14:paraId="40C34924" w14:textId="77777777" w:rsidR="00CD68BB" w:rsidRDefault="00CD68BB">
      <w:pPr>
        <w:spacing w:after="0" w:line="360" w:lineRule="auto"/>
        <w:ind w:left="720" w:hanging="720"/>
        <w:jc w:val="both"/>
        <w:rPr>
          <w:rFonts w:ascii="Times New Roman" w:eastAsia="Times New Roman" w:hAnsi="Times New Roman" w:cs="Times New Roman"/>
          <w:sz w:val="24"/>
          <w:szCs w:val="24"/>
        </w:rPr>
      </w:pPr>
    </w:p>
    <w:sectPr w:rsidR="00CD68BB">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85058" w14:textId="77777777" w:rsidR="00864064" w:rsidRDefault="00864064">
      <w:pPr>
        <w:spacing w:line="240" w:lineRule="auto"/>
      </w:pPr>
      <w:r>
        <w:separator/>
      </w:r>
    </w:p>
  </w:endnote>
  <w:endnote w:type="continuationSeparator" w:id="0">
    <w:p w14:paraId="384924E3" w14:textId="77777777" w:rsidR="00864064" w:rsidRDefault="00864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A22A6" w14:textId="77777777" w:rsidR="00864064" w:rsidRDefault="00864064">
      <w:pPr>
        <w:spacing w:after="0"/>
      </w:pPr>
      <w:r>
        <w:separator/>
      </w:r>
    </w:p>
  </w:footnote>
  <w:footnote w:type="continuationSeparator" w:id="0">
    <w:p w14:paraId="5940813F" w14:textId="77777777" w:rsidR="00864064" w:rsidRDefault="008640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3674E"/>
    <w:multiLevelType w:val="singleLevel"/>
    <w:tmpl w:val="4B93674E"/>
    <w:lvl w:ilvl="0">
      <w:start w:val="19"/>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8BB"/>
    <w:rsid w:val="002F49FE"/>
    <w:rsid w:val="00864064"/>
    <w:rsid w:val="009A7D54"/>
    <w:rsid w:val="00AD1884"/>
    <w:rsid w:val="00CD68BB"/>
    <w:rsid w:val="00DB760D"/>
    <w:rsid w:val="01290CBE"/>
    <w:rsid w:val="015968C3"/>
    <w:rsid w:val="03006AA0"/>
    <w:rsid w:val="04EC3C99"/>
    <w:rsid w:val="0D884323"/>
    <w:rsid w:val="18C96438"/>
    <w:rsid w:val="1CD30C6F"/>
    <w:rsid w:val="262A3886"/>
    <w:rsid w:val="28242793"/>
    <w:rsid w:val="284153FD"/>
    <w:rsid w:val="28B356D4"/>
    <w:rsid w:val="2E24585C"/>
    <w:rsid w:val="33C60242"/>
    <w:rsid w:val="33E10348"/>
    <w:rsid w:val="3CB748CD"/>
    <w:rsid w:val="43654793"/>
    <w:rsid w:val="457D5F1C"/>
    <w:rsid w:val="4ACA23B1"/>
    <w:rsid w:val="4DAC2286"/>
    <w:rsid w:val="4F335731"/>
    <w:rsid w:val="5110251B"/>
    <w:rsid w:val="59951986"/>
    <w:rsid w:val="62751A14"/>
    <w:rsid w:val="667C3DE2"/>
    <w:rsid w:val="686A0E32"/>
    <w:rsid w:val="68FC11E1"/>
    <w:rsid w:val="6E827FF5"/>
    <w:rsid w:val="76300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CFC96"/>
  <w15:docId w15:val="{28F0C9E1-ABB3-40E0-ADFB-53143317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lang w:bidi="hi-I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Default">
    <w:name w:val="Default"/>
    <w:qFormat/>
    <w:pPr>
      <w:autoSpaceDE w:val="0"/>
      <w:autoSpaceDN w:val="0"/>
      <w:adjustRightInd w:val="0"/>
    </w:pPr>
    <w:rPr>
      <w:rFonts w:eastAsiaTheme="minorEastAsia"/>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ribd.com/document/717860143/Water-and-Related-Statistics-2021compressed-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2305</Words>
  <Characters>13141</Characters>
  <Application>Microsoft Office Word</Application>
  <DocSecurity>0</DocSecurity>
  <Lines>109</Lines>
  <Paragraphs>30</Paragraphs>
  <ScaleCrop>false</ScaleCrop>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1183</cp:lastModifiedBy>
  <cp:revision>3</cp:revision>
  <dcterms:created xsi:type="dcterms:W3CDTF">2025-06-12T06:05:00Z</dcterms:created>
  <dcterms:modified xsi:type="dcterms:W3CDTF">2025-06-19T10:21:00Z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0C9FA0DD36874B09B37E46CC38CE158D_12</vt:lpwstr>
  </property>
</Properties>
</file>