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3F" w:rsidRPr="00014883" w:rsidRDefault="0019273F">
      <w:pPr>
        <w:pStyle w:val="Title"/>
        <w:spacing w:after="0"/>
        <w:jc w:val="left"/>
        <w:rPr>
          <w:rFonts w:ascii="Arial" w:hAnsi="Arial" w:cs="Arial"/>
          <w:sz w:val="28"/>
          <w:szCs w:val="16"/>
          <w:u w:val="single"/>
        </w:rPr>
      </w:pPr>
    </w:p>
    <w:p w:rsidR="0019273F" w:rsidRPr="00014883" w:rsidRDefault="000B5382">
      <w:pPr>
        <w:pStyle w:val="Author"/>
        <w:spacing w:line="240" w:lineRule="auto"/>
        <w:rPr>
          <w:rFonts w:ascii="Arial" w:hAnsi="Arial" w:cs="Arial"/>
          <w:bCs/>
          <w:sz w:val="36"/>
        </w:rPr>
      </w:pPr>
      <w:r w:rsidRPr="00014883">
        <w:rPr>
          <w:rFonts w:ascii="Arial" w:hAnsi="Arial" w:cs="Arial"/>
          <w:bCs/>
          <w:sz w:val="28"/>
          <w:szCs w:val="28"/>
        </w:rPr>
        <w:t xml:space="preserve">Risk Assessment of Consumption of </w:t>
      </w:r>
      <w:proofErr w:type="spellStart"/>
      <w:r w:rsidRPr="00014883">
        <w:rPr>
          <w:rFonts w:ascii="Arial" w:hAnsi="Arial" w:cs="Arial"/>
          <w:bCs/>
          <w:sz w:val="28"/>
          <w:szCs w:val="28"/>
        </w:rPr>
        <w:t>Pah</w:t>
      </w:r>
      <w:proofErr w:type="spellEnd"/>
      <w:r w:rsidRPr="00014883">
        <w:rPr>
          <w:rFonts w:ascii="Arial" w:hAnsi="Arial" w:cs="Arial"/>
          <w:bCs/>
          <w:sz w:val="28"/>
          <w:szCs w:val="28"/>
        </w:rPr>
        <w:t xml:space="preserve">-Contaminated </w:t>
      </w:r>
      <w:proofErr w:type="spellStart"/>
      <w:r w:rsidRPr="000B5382">
        <w:rPr>
          <w:rFonts w:ascii="Arial" w:hAnsi="Arial" w:cs="Arial"/>
          <w:bCs/>
          <w:i/>
          <w:sz w:val="28"/>
          <w:szCs w:val="28"/>
        </w:rPr>
        <w:t>Papyrocranus</w:t>
      </w:r>
      <w:proofErr w:type="spellEnd"/>
      <w:r w:rsidRPr="000B5382">
        <w:rPr>
          <w:rFonts w:ascii="Arial" w:hAnsi="Arial" w:cs="Arial"/>
          <w:bCs/>
          <w:i/>
          <w:sz w:val="28"/>
          <w:szCs w:val="28"/>
        </w:rPr>
        <w:t xml:space="preserve"> </w:t>
      </w:r>
      <w:proofErr w:type="spellStart"/>
      <w:r w:rsidRPr="000B5382">
        <w:rPr>
          <w:rFonts w:ascii="Arial" w:hAnsi="Arial" w:cs="Arial"/>
          <w:bCs/>
          <w:i/>
          <w:sz w:val="28"/>
          <w:szCs w:val="28"/>
        </w:rPr>
        <w:t>Afer</w:t>
      </w:r>
      <w:proofErr w:type="spellEnd"/>
      <w:r w:rsidRPr="00014883">
        <w:rPr>
          <w:rFonts w:ascii="Arial" w:hAnsi="Arial" w:cs="Arial"/>
          <w:bCs/>
          <w:sz w:val="28"/>
          <w:szCs w:val="28"/>
        </w:rPr>
        <w:t xml:space="preserve"> </w:t>
      </w:r>
      <w:r>
        <w:rPr>
          <w:rFonts w:ascii="Arial" w:hAnsi="Arial" w:cs="Arial"/>
          <w:bCs/>
          <w:sz w:val="28"/>
          <w:szCs w:val="28"/>
        </w:rPr>
        <w:t>f</w:t>
      </w:r>
      <w:r w:rsidRPr="00014883">
        <w:rPr>
          <w:rFonts w:ascii="Arial" w:hAnsi="Arial" w:cs="Arial"/>
          <w:bCs/>
          <w:sz w:val="28"/>
          <w:szCs w:val="28"/>
        </w:rPr>
        <w:t xml:space="preserve">rom </w:t>
      </w:r>
      <w:proofErr w:type="spellStart"/>
      <w:r w:rsidRPr="00014883">
        <w:rPr>
          <w:rFonts w:ascii="Arial" w:hAnsi="Arial" w:cs="Arial"/>
          <w:bCs/>
          <w:sz w:val="28"/>
          <w:szCs w:val="28"/>
        </w:rPr>
        <w:t>Banegbe</w:t>
      </w:r>
      <w:proofErr w:type="spellEnd"/>
      <w:r w:rsidRPr="00014883">
        <w:rPr>
          <w:rFonts w:ascii="Arial" w:hAnsi="Arial" w:cs="Arial"/>
          <w:bCs/>
          <w:sz w:val="28"/>
          <w:szCs w:val="28"/>
        </w:rPr>
        <w:t xml:space="preserve"> River</w:t>
      </w:r>
    </w:p>
    <w:p w:rsidR="0019273F" w:rsidRPr="00014883" w:rsidRDefault="005634A1">
      <w:pPr>
        <w:jc w:val="right"/>
        <w:rPr>
          <w:rFonts w:ascii="Arial" w:hAnsi="Arial" w:cs="Arial"/>
          <w:bCs/>
          <w:sz w:val="16"/>
          <w:szCs w:val="16"/>
        </w:rPr>
      </w:pPr>
      <w:r w:rsidRPr="00014883">
        <w:rPr>
          <w:rFonts w:ascii="Arial" w:hAnsi="Arial" w:cs="Arial"/>
          <w:bCs/>
          <w:sz w:val="16"/>
          <w:szCs w:val="16"/>
        </w:rPr>
        <w:t xml:space="preserve"> </w:t>
      </w:r>
    </w:p>
    <w:p w:rsidR="0019273F" w:rsidRPr="00014883" w:rsidRDefault="0019273F">
      <w:pPr>
        <w:pStyle w:val="Affiliation"/>
        <w:spacing w:after="0" w:line="240" w:lineRule="auto"/>
        <w:jc w:val="both"/>
        <w:rPr>
          <w:rFonts w:ascii="Arial" w:hAnsi="Arial" w:cs="Arial"/>
        </w:rPr>
      </w:pPr>
    </w:p>
    <w:p w:rsidR="0019273F" w:rsidRPr="00014883" w:rsidRDefault="0019273F">
      <w:pPr>
        <w:pStyle w:val="Affiliation"/>
        <w:spacing w:after="0" w:line="240" w:lineRule="auto"/>
        <w:jc w:val="both"/>
        <w:rPr>
          <w:rFonts w:ascii="Arial" w:hAnsi="Arial" w:cs="Arial"/>
        </w:rPr>
      </w:pPr>
    </w:p>
    <w:p w:rsidR="0019273F" w:rsidRPr="00014883" w:rsidRDefault="005634A1">
      <w:pPr>
        <w:pStyle w:val="Copyright"/>
        <w:spacing w:after="0" w:line="240" w:lineRule="auto"/>
        <w:jc w:val="both"/>
        <w:rPr>
          <w:rFonts w:ascii="Arial" w:hAnsi="Arial" w:cs="Arial"/>
        </w:rPr>
        <w:sectPr w:rsidR="0019273F" w:rsidRPr="00014883">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sidRPr="00014883">
        <w:rPr>
          <w:rFonts w:ascii="Arial" w:hAnsi="Arial" w:cs="Arial"/>
          <w:noProof/>
        </w:rPr>
        <mc:AlternateContent>
          <mc:Choice Requires="wps">
            <w:drawing>
              <wp:inline distT="0" distB="0" distL="0" distR="0">
                <wp:extent cx="5303520" cy="635"/>
                <wp:effectExtent l="13335" t="11430" r="17145" b="17145"/>
                <wp:docPr id="1308680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16cex="http://schemas.microsoft.com/office/word/2018/wordml/cex" xmlns:w16="http://schemas.microsoft.com/office/word/2018/wordml"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SS8qDQAAAAAgEAAA8AAAAAAAAAAQAgAAAA&#10;IgAAAGRycy9kb3ducmV2LnhtbFBLAQIUABQAAAAIAIdO4kAE43y52gEAALoDAAAOAAAAAAAAAAEA&#10;IAAAAB8BAABkcnMvZTJvRG9jLnhtbFBLBQYAAAAABgAGAFkBAABrBQAAAAA=&#10;">
                <v:fill on="f" focussize="0,0"/>
                <v:stroke weight="1.5pt" color="#000000" joinstyle="round"/>
                <v:imagedata o:title=""/>
                <o:lock v:ext="edit" aspectratio="f"/>
                <w10:wrap type="none"/>
                <w10:anchorlock/>
              </v:shape>
            </w:pict>
          </mc:Fallback>
        </mc:AlternateContent>
      </w:r>
      <w:r w:rsidRPr="00014883">
        <w:rPr>
          <w:rFonts w:ascii="Arial" w:hAnsi="Arial" w:cs="Arial"/>
        </w:rPr>
        <w:t>.</w:t>
      </w:r>
    </w:p>
    <w:p w:rsidR="0019273F" w:rsidRPr="00014883" w:rsidRDefault="005634A1">
      <w:pPr>
        <w:pStyle w:val="AbstHead"/>
        <w:spacing w:after="0"/>
        <w:jc w:val="both"/>
        <w:rPr>
          <w:rFonts w:ascii="Arial" w:hAnsi="Arial" w:cs="Arial"/>
        </w:rPr>
      </w:pPr>
      <w:r w:rsidRPr="00014883">
        <w:rPr>
          <w:rFonts w:ascii="Arial" w:hAnsi="Arial" w:cs="Arial"/>
        </w:rPr>
        <w:t xml:space="preserve">ABSTRACT </w:t>
      </w:r>
    </w:p>
    <w:p w:rsidR="0019273F" w:rsidRPr="00014883" w:rsidRDefault="0019273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014883" w:rsidRPr="00014883">
        <w:tc>
          <w:tcPr>
            <w:tcW w:w="9576" w:type="dxa"/>
            <w:shd w:val="clear" w:color="auto" w:fill="F2F2F2"/>
          </w:tcPr>
          <w:p w:rsidR="0019273F" w:rsidRPr="00014883" w:rsidRDefault="005634A1">
            <w:pPr>
              <w:pStyle w:val="Body"/>
              <w:spacing w:after="0"/>
            </w:pPr>
            <w:r w:rsidRPr="00014883">
              <w:rPr>
                <w:rFonts w:ascii="Arial" w:eastAsia="Calibri" w:hAnsi="Arial" w:cs="Arial"/>
                <w:b/>
                <w:szCs w:val="22"/>
              </w:rPr>
              <w:t xml:space="preserve">Aims: </w:t>
            </w:r>
            <w:r w:rsidRPr="00014883">
              <w:t xml:space="preserve">Polycyclic aromatic hydrocarbons (PAHs) are a group of organic compounds with two or more fused aromatic rings. They are present in the environment mainly as a result of incomplete combustion, such as in forest fires, internal combustion engines, wood stoves, and coal coking </w:t>
            </w:r>
            <w:r w:rsidR="004F20DC" w:rsidRPr="00014883">
              <w:t xml:space="preserve">This study aims to determine the concentration of polycyclic aromatic hydrocarbons (PAHs) in river water and </w:t>
            </w:r>
            <w:proofErr w:type="spellStart"/>
            <w:r w:rsidR="004F20DC" w:rsidRPr="00014883">
              <w:rPr>
                <w:i/>
                <w:iCs/>
              </w:rPr>
              <w:t>Papyrocranus</w:t>
            </w:r>
            <w:proofErr w:type="spellEnd"/>
            <w:r w:rsidR="004F20DC" w:rsidRPr="00014883">
              <w:rPr>
                <w:i/>
                <w:iCs/>
              </w:rPr>
              <w:t xml:space="preserve"> </w:t>
            </w:r>
            <w:proofErr w:type="spellStart"/>
            <w:r w:rsidR="004F20DC" w:rsidRPr="00014883">
              <w:rPr>
                <w:i/>
                <w:iCs/>
              </w:rPr>
              <w:t>afer</w:t>
            </w:r>
            <w:proofErr w:type="spellEnd"/>
            <w:r w:rsidR="004F20DC" w:rsidRPr="00014883">
              <w:t xml:space="preserve"> samples from the </w:t>
            </w:r>
            <w:proofErr w:type="spellStart"/>
            <w:r w:rsidR="004F20DC" w:rsidRPr="00014883">
              <w:t>Banegbe</w:t>
            </w:r>
            <w:proofErr w:type="spellEnd"/>
            <w:r w:rsidR="004F20DC" w:rsidRPr="00014883">
              <w:t xml:space="preserve"> River. </w:t>
            </w:r>
          </w:p>
          <w:p w:rsidR="0019273F" w:rsidRPr="00014883" w:rsidRDefault="005634A1">
            <w:pPr>
              <w:pStyle w:val="Body"/>
              <w:spacing w:after="0"/>
              <w:rPr>
                <w:rFonts w:ascii="Arial" w:eastAsia="Calibri" w:hAnsi="Arial" w:cs="Arial"/>
                <w:szCs w:val="22"/>
              </w:rPr>
            </w:pPr>
            <w:r w:rsidRPr="00014883">
              <w:rPr>
                <w:rFonts w:ascii="Arial" w:eastAsia="Calibri" w:hAnsi="Arial" w:cs="Arial"/>
                <w:b/>
                <w:szCs w:val="22"/>
              </w:rPr>
              <w:t>Study design:</w:t>
            </w:r>
            <w:r w:rsidRPr="00014883">
              <w:rPr>
                <w:rFonts w:ascii="Arial" w:eastAsia="Calibri" w:hAnsi="Arial" w:cs="Arial"/>
                <w:szCs w:val="22"/>
              </w:rPr>
              <w:t xml:space="preserve">  </w:t>
            </w:r>
            <w:r w:rsidRPr="00014883">
              <w:t xml:space="preserve">To assess the potential health risks associated with PAH contaminants due to consumption of </w:t>
            </w:r>
            <w:proofErr w:type="spellStart"/>
            <w:r w:rsidRPr="00014883">
              <w:rPr>
                <w:i/>
              </w:rPr>
              <w:t>Papyrocranus</w:t>
            </w:r>
            <w:proofErr w:type="spellEnd"/>
            <w:r w:rsidRPr="00014883">
              <w:rPr>
                <w:i/>
              </w:rPr>
              <w:t xml:space="preserve"> </w:t>
            </w:r>
            <w:proofErr w:type="spellStart"/>
            <w:r w:rsidRPr="00014883">
              <w:rPr>
                <w:i/>
              </w:rPr>
              <w:t>afer</w:t>
            </w:r>
            <w:proofErr w:type="spellEnd"/>
            <w:r w:rsidRPr="00014883">
              <w:rPr>
                <w:i/>
              </w:rPr>
              <w:t xml:space="preserve"> </w:t>
            </w:r>
            <w:r w:rsidRPr="00014883">
              <w:t xml:space="preserve">fish from </w:t>
            </w:r>
            <w:r w:rsidR="00714409" w:rsidRPr="00014883">
              <w:t xml:space="preserve">the </w:t>
            </w:r>
            <w:proofErr w:type="spellStart"/>
            <w:r w:rsidRPr="00014883">
              <w:t>Banegbe</w:t>
            </w:r>
            <w:proofErr w:type="spellEnd"/>
            <w:r w:rsidRPr="00014883">
              <w:t xml:space="preserve"> river, the concentrations of sixteen polycyclic aromatic hydrocarbons were measured</w:t>
            </w:r>
            <w:r w:rsidR="00714409" w:rsidRPr="00014883">
              <w:t>.</w:t>
            </w:r>
          </w:p>
          <w:p w:rsidR="0019273F" w:rsidRPr="00014883" w:rsidRDefault="005634A1">
            <w:pPr>
              <w:pStyle w:val="Body"/>
              <w:spacing w:after="0"/>
              <w:rPr>
                <w:rFonts w:ascii="Arial" w:eastAsia="Calibri" w:hAnsi="Arial" w:cs="Arial"/>
                <w:szCs w:val="22"/>
              </w:rPr>
            </w:pPr>
            <w:r w:rsidRPr="00014883">
              <w:rPr>
                <w:rFonts w:ascii="Arial" w:eastAsia="Calibri" w:hAnsi="Arial" w:cs="Arial"/>
                <w:b/>
                <w:szCs w:val="22"/>
              </w:rPr>
              <w:t>Place and Duration of Study:</w:t>
            </w:r>
            <w:r w:rsidRPr="00014883">
              <w:rPr>
                <w:rFonts w:ascii="Arial" w:eastAsia="Calibri" w:hAnsi="Arial" w:cs="Arial"/>
                <w:szCs w:val="22"/>
              </w:rPr>
              <w:t xml:space="preserve"> </w:t>
            </w:r>
            <w:r w:rsidRPr="00014883">
              <w:t xml:space="preserve">Fish samples were collected from different points of the </w:t>
            </w:r>
            <w:proofErr w:type="spellStart"/>
            <w:r w:rsidRPr="00014883">
              <w:t>Banegbe</w:t>
            </w:r>
            <w:proofErr w:type="spellEnd"/>
            <w:r w:rsidRPr="00014883">
              <w:t xml:space="preserve"> River Latitude 5</w:t>
            </w:r>
            <w:r w:rsidRPr="00014883">
              <w:rPr>
                <w:vertAlign w:val="superscript"/>
              </w:rPr>
              <w:t xml:space="preserve">o </w:t>
            </w:r>
            <w:r w:rsidRPr="00014883">
              <w:t>14N and longitude 5</w:t>
            </w:r>
            <w:r w:rsidRPr="00014883">
              <w:rPr>
                <w:vertAlign w:val="superscript"/>
              </w:rPr>
              <w:t>o</w:t>
            </w:r>
            <w:r w:rsidRPr="00014883">
              <w:t xml:space="preserve"> 22E, Latitude 5</w:t>
            </w:r>
            <w:r w:rsidRPr="00014883">
              <w:rPr>
                <w:vertAlign w:val="superscript"/>
              </w:rPr>
              <w:t>o</w:t>
            </w:r>
            <w:r w:rsidRPr="00014883">
              <w:t xml:space="preserve"> 28N and longitude 5</w:t>
            </w:r>
            <w:r w:rsidRPr="00014883">
              <w:rPr>
                <w:vertAlign w:val="superscript"/>
              </w:rPr>
              <w:t>o</w:t>
            </w:r>
            <w:r w:rsidRPr="00014883">
              <w:t xml:space="preserve"> 10E and Latitude 5</w:t>
            </w:r>
            <w:r w:rsidRPr="00014883">
              <w:rPr>
                <w:vertAlign w:val="superscript"/>
              </w:rPr>
              <w:t>o</w:t>
            </w:r>
            <w:r w:rsidRPr="00014883">
              <w:t xml:space="preserve"> 43N and longitude 5</w:t>
            </w:r>
            <w:r w:rsidRPr="00014883">
              <w:rPr>
                <w:vertAlign w:val="superscript"/>
              </w:rPr>
              <w:t>o</w:t>
            </w:r>
            <w:r w:rsidRPr="00014883">
              <w:t xml:space="preserve"> 14E. </w:t>
            </w:r>
          </w:p>
          <w:p w:rsidR="0019273F" w:rsidRPr="00014883" w:rsidRDefault="005634A1">
            <w:pPr>
              <w:jc w:val="both"/>
              <w:rPr>
                <w:sz w:val="24"/>
                <w:szCs w:val="24"/>
              </w:rPr>
            </w:pPr>
            <w:r w:rsidRPr="00014883">
              <w:rPr>
                <w:rFonts w:ascii="Arial" w:eastAsia="Calibri" w:hAnsi="Arial" w:cs="Arial"/>
                <w:b/>
                <w:bCs/>
                <w:szCs w:val="22"/>
              </w:rPr>
              <w:t>Methodology:</w:t>
            </w:r>
            <w:r w:rsidRPr="00014883">
              <w:rPr>
                <w:rFonts w:ascii="Arial" w:eastAsia="Calibri" w:hAnsi="Arial" w:cs="Arial"/>
                <w:sz w:val="16"/>
                <w:szCs w:val="18"/>
              </w:rPr>
              <w:t xml:space="preserve"> </w:t>
            </w:r>
            <w:r w:rsidRPr="00014883">
              <w:t xml:space="preserve">Extraction and analysis of polycyclic aromatic hydrocarbon in fish and water samples were done. </w:t>
            </w:r>
            <w:r w:rsidRPr="00014883">
              <w:rPr>
                <w:sz w:val="16"/>
                <w:szCs w:val="16"/>
              </w:rPr>
              <w:t xml:space="preserve">The </w:t>
            </w:r>
            <w:r w:rsidRPr="00014883">
              <w:t xml:space="preserve">analysis was carried out using gas chromatography/ Flame Ionization Detector (GC/FID). The human health risk impact resulting from consumption of contaminated fish from </w:t>
            </w:r>
            <w:proofErr w:type="spellStart"/>
            <w:r w:rsidRPr="00014883">
              <w:t>Banegbe</w:t>
            </w:r>
            <w:proofErr w:type="spellEnd"/>
            <w:r w:rsidRPr="00014883">
              <w:t xml:space="preserve"> river and </w:t>
            </w:r>
            <w:proofErr w:type="spellStart"/>
            <w:r w:rsidRPr="00014883">
              <w:t>Ekpan</w:t>
            </w:r>
            <w:proofErr w:type="spellEnd"/>
            <w:r w:rsidRPr="00014883">
              <w:t xml:space="preserve"> pond were estimated.</w:t>
            </w:r>
          </w:p>
          <w:p w:rsidR="0019273F" w:rsidRPr="00014883" w:rsidRDefault="005634A1">
            <w:pPr>
              <w:jc w:val="both"/>
            </w:pPr>
            <w:r w:rsidRPr="00014883">
              <w:rPr>
                <w:rFonts w:ascii="Arial" w:eastAsia="Calibri" w:hAnsi="Arial" w:cs="Arial"/>
                <w:b/>
                <w:bCs/>
                <w:szCs w:val="22"/>
              </w:rPr>
              <w:t>Results:</w:t>
            </w:r>
            <w:r w:rsidRPr="00014883">
              <w:rPr>
                <w:rFonts w:ascii="Arial" w:eastAsia="Calibri" w:hAnsi="Arial" w:cs="Arial"/>
                <w:szCs w:val="22"/>
              </w:rPr>
              <w:t xml:space="preserve"> </w:t>
            </w:r>
            <w:r w:rsidRPr="00014883">
              <w:t xml:space="preserve">The bioassay results indicated that the middle-stream point </w:t>
            </w:r>
            <w:r w:rsidR="004F20DC" w:rsidRPr="00014883">
              <w:t>of the</w:t>
            </w:r>
            <w:r w:rsidR="00714409" w:rsidRPr="00014883">
              <w:t xml:space="preserve"> </w:t>
            </w:r>
            <w:proofErr w:type="spellStart"/>
            <w:r w:rsidRPr="00014883">
              <w:t>Banegbe</w:t>
            </w:r>
            <w:proofErr w:type="spellEnd"/>
            <w:r w:rsidRPr="00014883">
              <w:t xml:space="preserve"> </w:t>
            </w:r>
            <w:r w:rsidR="00714409" w:rsidRPr="00014883">
              <w:t>R</w:t>
            </w:r>
            <w:r w:rsidRPr="00014883">
              <w:t xml:space="preserve">iver water samples had the highest total PAHs concentration of 4.695mg/L when compared to downstream and upstream, with the value of 4.442mg/L and 1.340mg/L, respectively. Varying levels of PAH congeners were observed in the fish tissues, with fish samples from the middle-stream having the highest total concentration of PAHs during the dry and rainy seasons. PAH levels were higher during the dry season than during the rainy season. Mean hazard indexes were all below 1 (&lt;1) for all the sampled points (below an acceptable cumulative threshold). Risk assessment conducted using benzo(a)pyrene carcinogenic and mutagenic toxicity equivalency factors (TEF and MEF) showed risk for middle-stream, down-stream, up-stream, and </w:t>
            </w:r>
            <w:proofErr w:type="spellStart"/>
            <w:r w:rsidRPr="00014883">
              <w:t>Ekpan</w:t>
            </w:r>
            <w:proofErr w:type="spellEnd"/>
            <w:r w:rsidRPr="00014883">
              <w:t xml:space="preserve"> pond, respectively. The cancer risk associated with the consumption of fish from the </w:t>
            </w:r>
            <w:proofErr w:type="spellStart"/>
            <w:r w:rsidRPr="00014883">
              <w:t>Banegbe</w:t>
            </w:r>
            <w:proofErr w:type="spellEnd"/>
            <w:r w:rsidRPr="00014883">
              <w:t xml:space="preserve"> River were all above the USEPA guideline (1.0× 10 </w:t>
            </w:r>
            <w:r w:rsidRPr="00014883">
              <w:rPr>
                <w:vertAlign w:val="superscript"/>
              </w:rPr>
              <w:t>-6</w:t>
            </w:r>
            <w:r w:rsidRPr="00014883">
              <w:t xml:space="preserve">) for potential cancer risk, 0.0328, 0.1648, 0.1096 and 0.5958 for TEF and 0.33128, 0.40564, 0.26809 and 0.02179 for MEF during the dry season for up-stream, middle-stream, down-stream and </w:t>
            </w:r>
            <w:proofErr w:type="spellStart"/>
            <w:r w:rsidRPr="00014883">
              <w:t>Ekpan</w:t>
            </w:r>
            <w:proofErr w:type="spellEnd"/>
            <w:r w:rsidRPr="00014883">
              <w:t xml:space="preserve"> respectively.</w:t>
            </w:r>
            <w:r w:rsidR="004F20DC" w:rsidRPr="00014883">
              <w:t xml:space="preserve"> </w:t>
            </w:r>
            <w:r w:rsidRPr="00014883">
              <w:t xml:space="preserve">During the rainy season the cancer risk associated with the consumption of fish were, 0.00222, 0.29698 and 0.01442 for TEF and 0.00329, 0.2179 and 0.2888 for up-stream, middle-stream and down-stream respectively. </w:t>
            </w:r>
          </w:p>
          <w:p w:rsidR="0019273F" w:rsidRPr="00014883" w:rsidRDefault="005634A1">
            <w:pPr>
              <w:jc w:val="both"/>
            </w:pPr>
            <w:r w:rsidRPr="00014883">
              <w:rPr>
                <w:rFonts w:ascii="Arial" w:eastAsia="Calibri" w:hAnsi="Arial" w:cs="Arial"/>
                <w:b/>
                <w:bCs/>
                <w:szCs w:val="22"/>
              </w:rPr>
              <w:t>Conclusion:</w:t>
            </w:r>
            <w:r w:rsidRPr="00014883">
              <w:rPr>
                <w:rFonts w:ascii="Arial" w:eastAsia="Calibri" w:hAnsi="Arial" w:cs="Arial"/>
                <w:szCs w:val="22"/>
              </w:rPr>
              <w:t xml:space="preserve"> </w:t>
            </w:r>
            <w:r w:rsidR="004F20DC" w:rsidRPr="00014883">
              <w:t xml:space="preserve">The study suggests that fish from the </w:t>
            </w:r>
            <w:proofErr w:type="spellStart"/>
            <w:r w:rsidR="004F20DC" w:rsidRPr="00014883">
              <w:t>Banegbe</w:t>
            </w:r>
            <w:proofErr w:type="spellEnd"/>
            <w:r w:rsidR="004F20DC" w:rsidRPr="00014883">
              <w:t xml:space="preserve"> River are not safe for human consumption.</w:t>
            </w:r>
          </w:p>
        </w:tc>
      </w:tr>
    </w:tbl>
    <w:p w:rsidR="0019273F" w:rsidRPr="00014883" w:rsidRDefault="0019273F">
      <w:pPr>
        <w:pStyle w:val="Body"/>
        <w:spacing w:after="0"/>
        <w:rPr>
          <w:rFonts w:ascii="Arial" w:hAnsi="Arial" w:cs="Arial"/>
          <w:i/>
        </w:rPr>
      </w:pPr>
    </w:p>
    <w:p w:rsidR="0019273F" w:rsidRPr="00014883" w:rsidRDefault="005634A1">
      <w:pPr>
        <w:pStyle w:val="Body"/>
        <w:spacing w:after="0"/>
        <w:rPr>
          <w:rFonts w:ascii="Arial" w:hAnsi="Arial" w:cs="Arial"/>
          <w:i/>
          <w:iCs/>
        </w:rPr>
      </w:pPr>
      <w:r w:rsidRPr="00014883">
        <w:rPr>
          <w:rFonts w:ascii="Arial" w:hAnsi="Arial" w:cs="Arial"/>
          <w:i/>
        </w:rPr>
        <w:t xml:space="preserve">Keywords: </w:t>
      </w:r>
      <w:r w:rsidRPr="00014883">
        <w:rPr>
          <w:i/>
          <w:iCs/>
        </w:rPr>
        <w:t>Polycyclic aromatic hydrocarbons, Risk assessment, carcinogenic, mutagenic</w:t>
      </w:r>
    </w:p>
    <w:p w:rsidR="0019273F" w:rsidRPr="00014883" w:rsidRDefault="0019273F">
      <w:pPr>
        <w:pStyle w:val="Body"/>
        <w:spacing w:after="0"/>
        <w:rPr>
          <w:rFonts w:ascii="Arial" w:hAnsi="Arial" w:cs="Arial"/>
          <w:i/>
          <w:iCs/>
        </w:rPr>
      </w:pPr>
    </w:p>
    <w:p w:rsidR="0019273F" w:rsidRPr="00014883" w:rsidRDefault="0019273F">
      <w:pPr>
        <w:pStyle w:val="Body"/>
        <w:spacing w:after="0"/>
        <w:rPr>
          <w:rFonts w:ascii="Arial" w:hAnsi="Arial" w:cs="Arial"/>
          <w:i/>
          <w:sz w:val="18"/>
        </w:rPr>
      </w:pPr>
    </w:p>
    <w:p w:rsidR="0019273F" w:rsidRPr="00014883" w:rsidRDefault="0019273F">
      <w:pPr>
        <w:pStyle w:val="Body"/>
        <w:spacing w:after="0"/>
        <w:rPr>
          <w:rFonts w:ascii="Arial" w:hAnsi="Arial" w:cs="Arial"/>
          <w:i/>
        </w:rPr>
      </w:pPr>
    </w:p>
    <w:p w:rsidR="0019273F" w:rsidRPr="00014883" w:rsidRDefault="005634A1">
      <w:pPr>
        <w:pStyle w:val="AbstHead"/>
        <w:spacing w:after="0"/>
        <w:jc w:val="both"/>
        <w:rPr>
          <w:rFonts w:ascii="Arial" w:hAnsi="Arial" w:cs="Arial"/>
        </w:rPr>
      </w:pPr>
      <w:r w:rsidRPr="00014883">
        <w:rPr>
          <w:rFonts w:ascii="Arial" w:hAnsi="Arial" w:cs="Arial"/>
        </w:rPr>
        <w:lastRenderedPageBreak/>
        <w:t xml:space="preserve">1. INTRODUCTION </w:t>
      </w:r>
    </w:p>
    <w:p w:rsidR="0019273F" w:rsidRPr="00014883" w:rsidRDefault="0019273F">
      <w:pPr>
        <w:pStyle w:val="AbstHead"/>
        <w:spacing w:after="0"/>
        <w:jc w:val="both"/>
        <w:rPr>
          <w:rFonts w:ascii="Arial" w:hAnsi="Arial" w:cs="Arial"/>
          <w:b w:val="0"/>
          <w:bCs/>
          <w:sz w:val="20"/>
        </w:rPr>
      </w:pPr>
    </w:p>
    <w:p w:rsidR="0019273F" w:rsidRPr="00014883" w:rsidRDefault="00331F79" w:rsidP="00714409">
      <w:pPr>
        <w:pStyle w:val="AbstHead"/>
        <w:spacing w:after="0"/>
        <w:jc w:val="both"/>
        <w:rPr>
          <w:rFonts w:ascii="Arial" w:hAnsi="Arial" w:cs="Arial"/>
          <w:b w:val="0"/>
          <w:bCs/>
          <w:sz w:val="20"/>
        </w:rPr>
      </w:pPr>
      <w:r>
        <w:rPr>
          <w:rFonts w:ascii="Arial" w:eastAsia="Georgia" w:hAnsi="Arial" w:cs="Arial"/>
          <w:b w:val="0"/>
          <w:bCs/>
          <w:caps w:val="0"/>
          <w:sz w:val="20"/>
        </w:rPr>
        <w:t>“</w:t>
      </w:r>
      <w:r w:rsidR="004F20DC" w:rsidRPr="00014883">
        <w:rPr>
          <w:rFonts w:ascii="Arial" w:eastAsia="Georgia" w:hAnsi="Arial" w:cs="Arial"/>
          <w:b w:val="0"/>
          <w:bCs/>
          <w:caps w:val="0"/>
          <w:sz w:val="20"/>
        </w:rPr>
        <w:t>Polycyclic aromatic hydrocarbons (PAHs) are a significant group of persistent organic pollutants (POPs) that are commonly found in aquatic environments</w:t>
      </w:r>
      <w:r>
        <w:rPr>
          <w:rFonts w:ascii="Arial" w:eastAsia="Georgia" w:hAnsi="Arial" w:cs="Arial"/>
          <w:b w:val="0"/>
          <w:bCs/>
          <w:caps w:val="0"/>
          <w:sz w:val="20"/>
        </w:rPr>
        <w:t>”</w:t>
      </w:r>
      <w:r w:rsidR="004F20DC" w:rsidRPr="00014883">
        <w:rPr>
          <w:rFonts w:ascii="Arial" w:eastAsia="Georgia" w:hAnsi="Arial" w:cs="Arial"/>
          <w:b w:val="0"/>
          <w:bCs/>
          <w:caps w:val="0"/>
          <w:sz w:val="20"/>
        </w:rPr>
        <w:t xml:space="preserve">. </w:t>
      </w:r>
      <w:r w:rsidR="005634A1" w:rsidRPr="00014883">
        <w:rPr>
          <w:rFonts w:ascii="Arial" w:eastAsia="Georgia" w:hAnsi="Arial" w:cs="Arial"/>
          <w:b w:val="0"/>
          <w:bCs/>
          <w:caps w:val="0"/>
          <w:sz w:val="20"/>
        </w:rPr>
        <w:t xml:space="preserve">(Qu </w:t>
      </w:r>
      <w:r w:rsidR="005634A1" w:rsidRPr="00014883">
        <w:rPr>
          <w:rFonts w:ascii="Arial" w:eastAsia="Georgia" w:hAnsi="Arial" w:cs="Arial"/>
          <w:b w:val="0"/>
          <w:bCs/>
          <w:i/>
          <w:iCs/>
          <w:caps w:val="0"/>
          <w:sz w:val="20"/>
        </w:rPr>
        <w:t>et al.,</w:t>
      </w:r>
      <w:r w:rsidR="005634A1" w:rsidRPr="00014883">
        <w:rPr>
          <w:rFonts w:ascii="Arial" w:eastAsia="Georgia" w:hAnsi="Arial" w:cs="Arial"/>
          <w:b w:val="0"/>
          <w:bCs/>
          <w:caps w:val="0"/>
          <w:sz w:val="20"/>
        </w:rPr>
        <w:t xml:space="preserve"> 2020). </w:t>
      </w:r>
      <w:r>
        <w:rPr>
          <w:rFonts w:ascii="Arial" w:eastAsia="Georgia" w:hAnsi="Arial" w:cs="Arial"/>
          <w:b w:val="0"/>
          <w:bCs/>
          <w:caps w:val="0"/>
          <w:sz w:val="20"/>
        </w:rPr>
        <w:t>“</w:t>
      </w:r>
      <w:r w:rsidR="004F20DC" w:rsidRPr="00014883">
        <w:rPr>
          <w:rFonts w:ascii="Arial" w:eastAsia="Georgia" w:hAnsi="Arial" w:cs="Arial"/>
          <w:b w:val="0"/>
          <w:bCs/>
          <w:caps w:val="0"/>
          <w:sz w:val="20"/>
        </w:rPr>
        <w:t>PAHs are widespread environmental pollutants characterized by their structure of two or more fused aromatic rings</w:t>
      </w:r>
      <w:r w:rsidR="005634A1" w:rsidRPr="00014883">
        <w:rPr>
          <w:rFonts w:ascii="Arial" w:eastAsia="Georgia" w:hAnsi="Arial" w:cs="Arial"/>
          <w:b w:val="0"/>
          <w:bCs/>
          <w:caps w:val="0"/>
          <w:sz w:val="20"/>
        </w:rPr>
        <w:t>. </w:t>
      </w:r>
      <w:r w:rsidR="00714409" w:rsidRPr="00014883">
        <w:rPr>
          <w:rFonts w:ascii="Arial" w:hAnsi="Arial" w:cs="Arial"/>
          <w:b w:val="0"/>
          <w:bCs/>
          <w:caps w:val="0"/>
          <w:sz w:val="20"/>
        </w:rPr>
        <w:t xml:space="preserve">They have relatively low solubility in water but are highly lipophilic. </w:t>
      </w:r>
      <w:proofErr w:type="spellStart"/>
      <w:r w:rsidR="00714409" w:rsidRPr="00014883">
        <w:rPr>
          <w:rFonts w:ascii="Arial" w:hAnsi="Arial" w:cs="Arial"/>
          <w:b w:val="0"/>
          <w:bCs/>
          <w:caps w:val="0"/>
          <w:sz w:val="20"/>
        </w:rPr>
        <w:t>pahs</w:t>
      </w:r>
      <w:proofErr w:type="spellEnd"/>
      <w:r w:rsidR="00714409" w:rsidRPr="00014883">
        <w:rPr>
          <w:rFonts w:ascii="Arial" w:hAnsi="Arial" w:cs="Arial"/>
          <w:b w:val="0"/>
          <w:bCs/>
          <w:caps w:val="0"/>
          <w:sz w:val="20"/>
        </w:rPr>
        <w:t xml:space="preserve"> are formed and released into the environment through natural and anthropogenic sources</w:t>
      </w:r>
      <w:r>
        <w:rPr>
          <w:rFonts w:ascii="Arial" w:hAnsi="Arial" w:cs="Arial"/>
          <w:b w:val="0"/>
          <w:bCs/>
          <w:caps w:val="0"/>
          <w:sz w:val="20"/>
        </w:rPr>
        <w:t>”</w:t>
      </w:r>
      <w:r w:rsidR="00714409" w:rsidRPr="00014883">
        <w:rPr>
          <w:rFonts w:ascii="Arial" w:hAnsi="Arial" w:cs="Arial"/>
          <w:b w:val="0"/>
          <w:bCs/>
          <w:caps w:val="0"/>
          <w:sz w:val="20"/>
        </w:rPr>
        <w:t xml:space="preserve"> (grimmer, 1983).  Natural sources include volcanoes and forest fires (</w:t>
      </w:r>
      <w:proofErr w:type="spellStart"/>
      <w:r w:rsidR="00714409" w:rsidRPr="00014883">
        <w:rPr>
          <w:rFonts w:ascii="Arial" w:hAnsi="Arial" w:cs="Arial"/>
          <w:b w:val="0"/>
          <w:bCs/>
          <w:caps w:val="0"/>
          <w:sz w:val="20"/>
        </w:rPr>
        <w:t>harvey</w:t>
      </w:r>
      <w:proofErr w:type="spellEnd"/>
      <w:r w:rsidR="00714409" w:rsidRPr="00014883">
        <w:rPr>
          <w:rFonts w:ascii="Arial" w:hAnsi="Arial" w:cs="Arial"/>
          <w:b w:val="0"/>
          <w:bCs/>
          <w:caps w:val="0"/>
          <w:sz w:val="20"/>
        </w:rPr>
        <w:t xml:space="preserve">, 1997). </w:t>
      </w:r>
      <w:r>
        <w:rPr>
          <w:rFonts w:ascii="Arial" w:hAnsi="Arial" w:cs="Arial"/>
          <w:b w:val="0"/>
          <w:bCs/>
          <w:caps w:val="0"/>
          <w:sz w:val="20"/>
        </w:rPr>
        <w:t>“</w:t>
      </w:r>
      <w:r w:rsidR="00714409" w:rsidRPr="00014883">
        <w:rPr>
          <w:rFonts w:ascii="Arial" w:hAnsi="Arial" w:cs="Arial"/>
          <w:b w:val="0"/>
          <w:bCs/>
          <w:caps w:val="0"/>
          <w:sz w:val="20"/>
        </w:rPr>
        <w:t>PAHs are organic pollutants that are widely distributed in the environment; they are harmful and very persistent in the environment</w:t>
      </w:r>
      <w:r>
        <w:rPr>
          <w:rFonts w:ascii="Arial" w:hAnsi="Arial" w:cs="Arial"/>
          <w:b w:val="0"/>
          <w:bCs/>
          <w:caps w:val="0"/>
          <w:sz w:val="20"/>
        </w:rPr>
        <w:t>”</w:t>
      </w:r>
      <w:r w:rsidR="00714409" w:rsidRPr="00014883">
        <w:rPr>
          <w:rFonts w:ascii="Arial" w:hAnsi="Arial" w:cs="Arial"/>
          <w:b w:val="0"/>
          <w:bCs/>
          <w:caps w:val="0"/>
          <w:sz w:val="20"/>
        </w:rPr>
        <w:t xml:space="preserve"> (</w:t>
      </w:r>
      <w:proofErr w:type="spellStart"/>
      <w:r w:rsidR="00714409" w:rsidRPr="00014883">
        <w:rPr>
          <w:rFonts w:ascii="Arial" w:hAnsi="Arial" w:cs="Arial"/>
          <w:b w:val="0"/>
          <w:bCs/>
          <w:caps w:val="0"/>
          <w:sz w:val="20"/>
        </w:rPr>
        <w:t>gao</w:t>
      </w:r>
      <w:proofErr w:type="spellEnd"/>
      <w:r w:rsidR="00714409" w:rsidRPr="00014883">
        <w:rPr>
          <w:rFonts w:ascii="Arial" w:hAnsi="Arial" w:cs="Arial"/>
          <w:b w:val="0"/>
          <w:bCs/>
          <w:caps w:val="0"/>
          <w:sz w:val="20"/>
        </w:rPr>
        <w:t xml:space="preserve"> and </w:t>
      </w:r>
      <w:proofErr w:type="spellStart"/>
      <w:r w:rsidR="00714409" w:rsidRPr="00014883">
        <w:rPr>
          <w:rFonts w:ascii="Arial" w:hAnsi="Arial" w:cs="Arial"/>
          <w:b w:val="0"/>
          <w:bCs/>
          <w:caps w:val="0"/>
          <w:sz w:val="20"/>
        </w:rPr>
        <w:t>zhou</w:t>
      </w:r>
      <w:proofErr w:type="spellEnd"/>
      <w:r w:rsidR="00714409" w:rsidRPr="00014883">
        <w:rPr>
          <w:rFonts w:ascii="Arial" w:hAnsi="Arial" w:cs="Arial"/>
          <w:b w:val="0"/>
          <w:bCs/>
          <w:caps w:val="0"/>
          <w:sz w:val="20"/>
        </w:rPr>
        <w:t>, 2004).</w:t>
      </w:r>
    </w:p>
    <w:p w:rsidR="00714409" w:rsidRPr="00014883" w:rsidRDefault="00714409" w:rsidP="00714409">
      <w:pPr>
        <w:pStyle w:val="AbstHead"/>
        <w:spacing w:after="0"/>
        <w:jc w:val="both"/>
        <w:rPr>
          <w:rFonts w:ascii="Arial" w:hAnsi="Arial" w:cs="Arial"/>
        </w:rPr>
      </w:pPr>
    </w:p>
    <w:p w:rsidR="0019273F" w:rsidRPr="00014883" w:rsidRDefault="00331F79">
      <w:pPr>
        <w:autoSpaceDE w:val="0"/>
        <w:autoSpaceDN w:val="0"/>
        <w:adjustRightInd w:val="0"/>
        <w:spacing w:after="240"/>
        <w:jc w:val="both"/>
        <w:rPr>
          <w:rFonts w:ascii="Arial" w:hAnsi="Arial" w:cs="Arial"/>
        </w:rPr>
      </w:pPr>
      <w:r>
        <w:rPr>
          <w:rFonts w:ascii="Arial" w:hAnsi="Arial" w:cs="Arial"/>
        </w:rPr>
        <w:t>“</w:t>
      </w:r>
      <w:r w:rsidR="005634A1" w:rsidRPr="00014883">
        <w:rPr>
          <w:rFonts w:ascii="Arial" w:hAnsi="Arial" w:cs="Arial"/>
        </w:rPr>
        <w:t>Hundreds of these compounds exist in the ecosystem, and of which 16, (Naphthalene, acenaphthylene, acenaphthene, fluorene, anthracene, phenanthrene, fluoranthene, chrysene, benzo(a)anthracene, pyrene, benzo(</w:t>
      </w:r>
      <w:r w:rsidR="005634A1" w:rsidRPr="00014883">
        <w:rPr>
          <w:rFonts w:ascii="Arial" w:hAnsi="Arial" w:cs="Arial"/>
          <w:i/>
          <w:iCs/>
        </w:rPr>
        <w:t>k</w:t>
      </w:r>
      <w:r w:rsidR="005634A1" w:rsidRPr="00014883">
        <w:rPr>
          <w:rFonts w:ascii="Arial" w:hAnsi="Arial" w:cs="Arial"/>
        </w:rPr>
        <w:t>)fluoranthene, benzo(</w:t>
      </w:r>
      <w:r w:rsidR="005634A1" w:rsidRPr="00014883">
        <w:rPr>
          <w:rFonts w:ascii="Arial" w:hAnsi="Arial" w:cs="Arial"/>
          <w:i/>
          <w:iCs/>
        </w:rPr>
        <w:t>b)</w:t>
      </w:r>
      <w:r w:rsidR="005634A1" w:rsidRPr="00014883">
        <w:rPr>
          <w:rFonts w:ascii="Arial" w:hAnsi="Arial" w:cs="Arial"/>
        </w:rPr>
        <w:t>fluoranthene, benzo(</w:t>
      </w:r>
      <w:r w:rsidR="005634A1" w:rsidRPr="00014883">
        <w:rPr>
          <w:rFonts w:ascii="Arial" w:hAnsi="Arial" w:cs="Arial"/>
          <w:i/>
          <w:iCs/>
        </w:rPr>
        <w:t>a)</w:t>
      </w:r>
      <w:r w:rsidR="005634A1" w:rsidRPr="00014883">
        <w:rPr>
          <w:rFonts w:ascii="Arial" w:hAnsi="Arial" w:cs="Arial"/>
        </w:rPr>
        <w:t>pyrene, dibenzo(</w:t>
      </w:r>
      <w:r w:rsidR="005634A1" w:rsidRPr="00014883">
        <w:rPr>
          <w:rFonts w:ascii="Arial" w:hAnsi="Arial" w:cs="Arial"/>
          <w:i/>
          <w:iCs/>
        </w:rPr>
        <w:t>a, h</w:t>
      </w:r>
      <w:r w:rsidR="005634A1" w:rsidRPr="00014883">
        <w:rPr>
          <w:rFonts w:ascii="Arial" w:hAnsi="Arial" w:cs="Arial"/>
        </w:rPr>
        <w:t>)  anthracene, dibenzo(</w:t>
      </w:r>
      <w:r w:rsidR="005634A1" w:rsidRPr="00014883">
        <w:rPr>
          <w:rFonts w:ascii="Arial" w:hAnsi="Arial" w:cs="Arial"/>
          <w:i/>
          <w:iCs/>
        </w:rPr>
        <w:t>b, c)</w:t>
      </w:r>
      <w:r w:rsidR="005634A1" w:rsidRPr="00014883">
        <w:rPr>
          <w:rFonts w:ascii="Arial" w:hAnsi="Arial" w:cs="Arial"/>
        </w:rPr>
        <w:t>fluoranthene and benzo (</w:t>
      </w:r>
      <w:r w:rsidR="005634A1" w:rsidRPr="00014883">
        <w:rPr>
          <w:rFonts w:ascii="Arial" w:hAnsi="Arial" w:cs="Arial"/>
          <w:i/>
          <w:iCs/>
        </w:rPr>
        <w:t xml:space="preserve">g, h, </w:t>
      </w:r>
      <w:proofErr w:type="spellStart"/>
      <w:r w:rsidR="005634A1" w:rsidRPr="00014883">
        <w:rPr>
          <w:rFonts w:ascii="Arial" w:hAnsi="Arial" w:cs="Arial"/>
          <w:i/>
          <w:iCs/>
        </w:rPr>
        <w:t>i</w:t>
      </w:r>
      <w:proofErr w:type="spellEnd"/>
      <w:r w:rsidR="005634A1" w:rsidRPr="00014883">
        <w:rPr>
          <w:rFonts w:ascii="Arial" w:hAnsi="Arial" w:cs="Arial"/>
          <w:iCs/>
        </w:rPr>
        <w:t xml:space="preserve">) </w:t>
      </w:r>
      <w:r w:rsidR="005634A1" w:rsidRPr="00014883">
        <w:rPr>
          <w:rFonts w:ascii="Arial" w:hAnsi="Arial" w:cs="Arial"/>
        </w:rPr>
        <w:t>perylene) are with greater toxicities and have been selected by the US Environmental Protection Agency (USEPA)  as priority pollutants to be regulated</w:t>
      </w:r>
      <w:r>
        <w:rPr>
          <w:rFonts w:ascii="Arial" w:hAnsi="Arial" w:cs="Arial"/>
        </w:rPr>
        <w:t>”</w:t>
      </w:r>
      <w:r w:rsidR="005634A1" w:rsidRPr="00014883">
        <w:rPr>
          <w:rFonts w:ascii="Arial" w:hAnsi="Arial" w:cs="Arial"/>
        </w:rPr>
        <w:t>. (</w:t>
      </w:r>
      <w:proofErr w:type="spellStart"/>
      <w:r w:rsidR="005634A1" w:rsidRPr="00014883">
        <w:rPr>
          <w:rFonts w:ascii="Arial" w:hAnsi="Arial" w:cs="Arial"/>
        </w:rPr>
        <w:t>Bojes</w:t>
      </w:r>
      <w:proofErr w:type="spellEnd"/>
      <w:r w:rsidR="005634A1" w:rsidRPr="00014883">
        <w:rPr>
          <w:rFonts w:ascii="Arial" w:hAnsi="Arial" w:cs="Arial"/>
        </w:rPr>
        <w:t xml:space="preserve"> and Pope, 2007;</w:t>
      </w:r>
      <w:r w:rsidR="004F20DC" w:rsidRPr="00014883">
        <w:rPr>
          <w:rFonts w:ascii="Arial" w:hAnsi="Arial" w:cs="Arial"/>
        </w:rPr>
        <w:t xml:space="preserve"> </w:t>
      </w:r>
      <w:r w:rsidR="005634A1" w:rsidRPr="00014883">
        <w:rPr>
          <w:rFonts w:ascii="Arial" w:hAnsi="Arial" w:cs="Arial"/>
        </w:rPr>
        <w:t xml:space="preserve">Sun </w:t>
      </w:r>
      <w:r w:rsidR="005634A1" w:rsidRPr="00014883">
        <w:rPr>
          <w:rFonts w:ascii="Arial" w:hAnsi="Arial" w:cs="Arial"/>
          <w:i/>
        </w:rPr>
        <w:t>et al</w:t>
      </w:r>
      <w:r w:rsidR="005634A1" w:rsidRPr="00014883">
        <w:rPr>
          <w:rFonts w:ascii="Arial" w:hAnsi="Arial" w:cs="Arial"/>
        </w:rPr>
        <w:t xml:space="preserve">., 1998). </w:t>
      </w:r>
    </w:p>
    <w:p w:rsidR="0019273F" w:rsidRPr="00014883" w:rsidRDefault="00331F79" w:rsidP="002C5555">
      <w:pPr>
        <w:autoSpaceDE w:val="0"/>
        <w:autoSpaceDN w:val="0"/>
        <w:adjustRightInd w:val="0"/>
        <w:spacing w:after="240"/>
        <w:jc w:val="both"/>
        <w:rPr>
          <w:rFonts w:ascii="Arial" w:hAnsi="Arial" w:cs="Arial"/>
        </w:rPr>
      </w:pPr>
      <w:r>
        <w:rPr>
          <w:rFonts w:ascii="Arial" w:eastAsia="Roboto-Light" w:hAnsi="Arial" w:cs="Arial"/>
        </w:rPr>
        <w:t>“</w:t>
      </w:r>
      <w:r w:rsidR="005634A1" w:rsidRPr="00014883">
        <w:rPr>
          <w:rFonts w:ascii="Arial" w:eastAsia="Roboto-Light" w:hAnsi="Arial" w:cs="Arial"/>
        </w:rPr>
        <w:t>Aquatic bodies are the main recipients of almost all anthropogenic discharges, especially</w:t>
      </w:r>
      <w:r w:rsidR="005634A1" w:rsidRPr="00014883">
        <w:rPr>
          <w:rFonts w:ascii="Arial" w:hAnsi="Arial" w:cs="Arial"/>
        </w:rPr>
        <w:t xml:space="preserve"> domestic and industrial wastewater discharges, oil spills, tire wear debris, asphalt particles, atmospheric transport, dispersion, and deposition of industrial stack emissions</w:t>
      </w:r>
      <w:r>
        <w:rPr>
          <w:rFonts w:ascii="Arial" w:hAnsi="Arial" w:cs="Arial"/>
        </w:rPr>
        <w:t>”</w:t>
      </w:r>
      <w:r w:rsidR="005634A1" w:rsidRPr="00014883">
        <w:rPr>
          <w:rFonts w:ascii="Arial" w:hAnsi="Arial" w:cs="Arial"/>
        </w:rPr>
        <w:t xml:space="preserve"> (Binet </w:t>
      </w:r>
      <w:r w:rsidR="005634A1" w:rsidRPr="00014883">
        <w:rPr>
          <w:rFonts w:ascii="Arial" w:hAnsi="Arial" w:cs="Arial"/>
          <w:i/>
        </w:rPr>
        <w:t>et al.</w:t>
      </w:r>
      <w:r w:rsidR="005634A1" w:rsidRPr="00014883">
        <w:rPr>
          <w:rFonts w:ascii="Arial" w:hAnsi="Arial" w:cs="Arial"/>
        </w:rPr>
        <w:t xml:space="preserve"> 2002; Feng </w:t>
      </w:r>
      <w:r w:rsidR="005634A1" w:rsidRPr="00014883">
        <w:rPr>
          <w:rFonts w:ascii="Arial" w:hAnsi="Arial" w:cs="Arial"/>
          <w:i/>
        </w:rPr>
        <w:t>et al.</w:t>
      </w:r>
      <w:r w:rsidR="005634A1" w:rsidRPr="00014883">
        <w:rPr>
          <w:rFonts w:ascii="Arial" w:hAnsi="Arial" w:cs="Arial"/>
        </w:rPr>
        <w:t xml:space="preserve"> 2009).</w:t>
      </w:r>
      <w:r w:rsidR="005634A1" w:rsidRPr="00014883">
        <w:rPr>
          <w:rFonts w:ascii="Arial" w:eastAsia="Roboto-Light" w:hAnsi="Arial" w:cs="Arial"/>
        </w:rPr>
        <w:t xml:space="preserve"> </w:t>
      </w:r>
      <w:r>
        <w:rPr>
          <w:rFonts w:ascii="Arial" w:eastAsia="Roboto-Light" w:hAnsi="Arial" w:cs="Arial"/>
        </w:rPr>
        <w:t>“</w:t>
      </w:r>
      <w:r w:rsidR="005634A1" w:rsidRPr="00014883">
        <w:rPr>
          <w:rFonts w:ascii="Arial" w:hAnsi="Arial" w:cs="Arial"/>
        </w:rPr>
        <w:t>In aquatic animal species, fish are the specie that cannot escape from the detrimental effects of these contaminants</w:t>
      </w:r>
      <w:r>
        <w:rPr>
          <w:rFonts w:ascii="Arial" w:hAnsi="Arial" w:cs="Arial"/>
        </w:rPr>
        <w:t>”</w:t>
      </w:r>
      <w:r w:rsidR="005634A1" w:rsidRPr="00014883">
        <w:rPr>
          <w:rFonts w:ascii="Arial" w:hAnsi="Arial" w:cs="Arial"/>
        </w:rPr>
        <w:t xml:space="preserve"> (Dickman and Leung, 1998). Also, </w:t>
      </w:r>
      <w:r>
        <w:rPr>
          <w:rFonts w:ascii="Arial" w:hAnsi="Arial" w:cs="Arial"/>
        </w:rPr>
        <w:t>“</w:t>
      </w:r>
      <w:r w:rsidR="005634A1" w:rsidRPr="00014883">
        <w:rPr>
          <w:rFonts w:ascii="Arial" w:hAnsi="Arial" w:cs="Arial"/>
        </w:rPr>
        <w:t>they may have the ability to bioaccumulate harmful substance such as PAH and other lipophilic chemicals</w:t>
      </w:r>
      <w:r w:rsidR="005634A1" w:rsidRPr="00014883">
        <w:rPr>
          <w:rFonts w:ascii="Arial" w:eastAsia="MinionPro-Regular" w:hAnsi="Arial" w:cs="Arial"/>
        </w:rPr>
        <w:t>, which ultimately affect not only the productivity and reproductive abilities of the organisms, but also the health of the human beings that depend on the organisms as an essential source of protein</w:t>
      </w:r>
      <w:r>
        <w:rPr>
          <w:rFonts w:ascii="Arial" w:eastAsia="MinionPro-Regular" w:hAnsi="Arial" w:cs="Arial"/>
        </w:rPr>
        <w:t>”</w:t>
      </w:r>
      <w:r w:rsidR="005634A1" w:rsidRPr="00014883">
        <w:rPr>
          <w:rFonts w:ascii="Arial" w:eastAsia="MinionPro-Regular" w:hAnsi="Arial" w:cs="Arial"/>
        </w:rPr>
        <w:t xml:space="preserve"> (Berman and Lal, 1994). </w:t>
      </w:r>
      <w:r>
        <w:rPr>
          <w:rFonts w:ascii="Arial" w:eastAsia="MinionPro-Regular" w:hAnsi="Arial" w:cs="Arial"/>
        </w:rPr>
        <w:t>“</w:t>
      </w:r>
      <w:r w:rsidR="005634A1" w:rsidRPr="00014883">
        <w:rPr>
          <w:rFonts w:ascii="Arial" w:hAnsi="Arial" w:cs="Arial"/>
        </w:rPr>
        <w:t>PAHs can enter all the tissues of an animal's body that contain fat. They tend to be stored mostly in the kidneys, liver, and fat. Smaller amounts are stored in the spleen, adrenal glands, and ovaries. The main exposure route is dietary, drinking water, and swallowing food, apart from smokers, soil, or dust particles that contain PAHs. Occupationally exposed populations are other routes of exposure of these chemicals to enter the body</w:t>
      </w:r>
      <w:r>
        <w:rPr>
          <w:rFonts w:ascii="Arial" w:hAnsi="Arial" w:cs="Arial"/>
        </w:rPr>
        <w:t>”</w:t>
      </w:r>
      <w:r w:rsidR="005634A1" w:rsidRPr="00014883">
        <w:rPr>
          <w:rFonts w:ascii="Arial" w:hAnsi="Arial" w:cs="Arial"/>
        </w:rPr>
        <w:t xml:space="preserve"> (</w:t>
      </w:r>
      <w:proofErr w:type="spellStart"/>
      <w:r w:rsidR="005634A1" w:rsidRPr="00014883">
        <w:rPr>
          <w:rFonts w:ascii="Arial" w:hAnsi="Arial" w:cs="Arial"/>
        </w:rPr>
        <w:t>Nwaichia</w:t>
      </w:r>
      <w:proofErr w:type="spellEnd"/>
      <w:r w:rsidR="005634A1" w:rsidRPr="00014883">
        <w:rPr>
          <w:rFonts w:ascii="Arial" w:hAnsi="Arial" w:cs="Arial"/>
        </w:rPr>
        <w:t xml:space="preserve"> </w:t>
      </w:r>
      <w:r w:rsidR="005634A1" w:rsidRPr="00014883">
        <w:rPr>
          <w:rFonts w:ascii="Arial" w:eastAsia="NEFAB M+ MTSY" w:hAnsi="Arial" w:cs="Arial"/>
        </w:rPr>
        <w:t xml:space="preserve">and </w:t>
      </w:r>
      <w:proofErr w:type="spellStart"/>
      <w:r w:rsidR="005634A1" w:rsidRPr="00014883">
        <w:rPr>
          <w:rFonts w:ascii="Arial" w:eastAsia="NEFAB M+ MTSY" w:hAnsi="Arial" w:cs="Arial"/>
        </w:rPr>
        <w:t>Ntorgbo</w:t>
      </w:r>
      <w:proofErr w:type="spellEnd"/>
      <w:r w:rsidR="005634A1" w:rsidRPr="00014883">
        <w:rPr>
          <w:rFonts w:ascii="Arial" w:eastAsia="NEFAB M+ MTSY" w:hAnsi="Arial" w:cs="Arial"/>
        </w:rPr>
        <w:t>, 2016</w:t>
      </w:r>
      <w:r w:rsidR="005634A1" w:rsidRPr="00014883">
        <w:rPr>
          <w:rFonts w:ascii="Arial" w:hAnsi="Arial" w:cs="Arial"/>
        </w:rPr>
        <w:t xml:space="preserve">). </w:t>
      </w:r>
    </w:p>
    <w:p w:rsidR="0019273F" w:rsidRPr="00014883" w:rsidRDefault="00331F79" w:rsidP="00D377AF">
      <w:pPr>
        <w:jc w:val="both"/>
        <w:rPr>
          <w:rFonts w:ascii="Arial" w:hAnsi="Arial" w:cs="Arial"/>
        </w:rPr>
      </w:pPr>
      <w:r>
        <w:rPr>
          <w:rFonts w:ascii="Arial" w:hAnsi="Arial" w:cs="Arial"/>
        </w:rPr>
        <w:t>“</w:t>
      </w:r>
      <w:proofErr w:type="spellStart"/>
      <w:r w:rsidR="005634A1" w:rsidRPr="00014883">
        <w:rPr>
          <w:rFonts w:ascii="Arial" w:hAnsi="Arial" w:cs="Arial"/>
        </w:rPr>
        <w:t>Banegbe</w:t>
      </w:r>
      <w:proofErr w:type="spellEnd"/>
      <w:r w:rsidR="005634A1" w:rsidRPr="00014883">
        <w:rPr>
          <w:rFonts w:ascii="Arial" w:hAnsi="Arial" w:cs="Arial"/>
        </w:rPr>
        <w:t xml:space="preserve"> River (</w:t>
      </w:r>
      <w:proofErr w:type="spellStart"/>
      <w:r w:rsidR="005634A1" w:rsidRPr="00014883">
        <w:rPr>
          <w:rFonts w:ascii="Arial" w:hAnsi="Arial" w:cs="Arial"/>
        </w:rPr>
        <w:t>Ekakpamre</w:t>
      </w:r>
      <w:proofErr w:type="spellEnd"/>
      <w:r w:rsidR="005634A1" w:rsidRPr="00014883">
        <w:rPr>
          <w:rFonts w:ascii="Arial" w:hAnsi="Arial" w:cs="Arial"/>
        </w:rPr>
        <w:t xml:space="preserve"> River) is one of the tributaries of Warri River, a major navigable channel of the Niger Delta, southern Nigeria. It takes its origin from around </w:t>
      </w:r>
      <w:proofErr w:type="spellStart"/>
      <w:r w:rsidR="005634A1" w:rsidRPr="00014883">
        <w:rPr>
          <w:rFonts w:ascii="Arial" w:hAnsi="Arial" w:cs="Arial"/>
        </w:rPr>
        <w:t>Utagba</w:t>
      </w:r>
      <w:proofErr w:type="spellEnd"/>
      <w:r w:rsidR="005634A1" w:rsidRPr="00014883">
        <w:rPr>
          <w:rFonts w:ascii="Arial" w:hAnsi="Arial" w:cs="Arial"/>
        </w:rPr>
        <w:t xml:space="preserve"> Uno and flows through zones of freshwater swamps, mangrove swamps, and coastal sand ridges</w:t>
      </w:r>
      <w:r>
        <w:rPr>
          <w:rFonts w:ascii="Arial" w:hAnsi="Arial" w:cs="Arial"/>
        </w:rPr>
        <w:t>”</w:t>
      </w:r>
      <w:r w:rsidR="005634A1" w:rsidRPr="00014883">
        <w:rPr>
          <w:rFonts w:ascii="Arial" w:hAnsi="Arial" w:cs="Arial"/>
        </w:rPr>
        <w:t xml:space="preserve"> (</w:t>
      </w:r>
      <w:proofErr w:type="spellStart"/>
      <w:r w:rsidR="005634A1" w:rsidRPr="00014883">
        <w:rPr>
          <w:rFonts w:ascii="Arial" w:hAnsi="Arial" w:cs="Arial"/>
        </w:rPr>
        <w:t>Tetsola</w:t>
      </w:r>
      <w:proofErr w:type="spellEnd"/>
      <w:r w:rsidR="005634A1" w:rsidRPr="00014883">
        <w:rPr>
          <w:rFonts w:ascii="Arial" w:hAnsi="Arial" w:cs="Arial"/>
        </w:rPr>
        <w:t xml:space="preserve">, 1988). Some of the industries in Ughelli are a few meters along the </w:t>
      </w:r>
      <w:proofErr w:type="spellStart"/>
      <w:r w:rsidR="005634A1" w:rsidRPr="00014883">
        <w:rPr>
          <w:rFonts w:ascii="Arial" w:hAnsi="Arial" w:cs="Arial"/>
        </w:rPr>
        <w:t>Banegbe</w:t>
      </w:r>
      <w:proofErr w:type="spellEnd"/>
      <w:r w:rsidR="005634A1" w:rsidRPr="00014883">
        <w:rPr>
          <w:rFonts w:ascii="Arial" w:hAnsi="Arial" w:cs="Arial"/>
        </w:rPr>
        <w:t xml:space="preserve"> River. A large number of local people, especially farmers, depend on the River </w:t>
      </w:r>
      <w:proofErr w:type="spellStart"/>
      <w:r w:rsidR="005634A1" w:rsidRPr="00014883">
        <w:rPr>
          <w:rFonts w:ascii="Arial" w:hAnsi="Arial" w:cs="Arial"/>
        </w:rPr>
        <w:t>Benegbe</w:t>
      </w:r>
      <w:proofErr w:type="spellEnd"/>
      <w:r w:rsidR="005634A1" w:rsidRPr="00014883">
        <w:rPr>
          <w:rFonts w:ascii="Arial" w:hAnsi="Arial" w:cs="Arial"/>
        </w:rPr>
        <w:t xml:space="preserve"> for navigation, fisheries, and a source of drinking water. The effluents produced from these industries are released into the river and increase the level of pollution of the river.</w:t>
      </w:r>
    </w:p>
    <w:p w:rsidR="002C5555" w:rsidRPr="00014883" w:rsidRDefault="002C5555" w:rsidP="00D377AF">
      <w:pPr>
        <w:jc w:val="both"/>
        <w:rPr>
          <w:rFonts w:ascii="Arial" w:hAnsi="Arial" w:cs="Arial"/>
        </w:rPr>
      </w:pPr>
    </w:p>
    <w:p w:rsidR="002C5555" w:rsidRPr="00014883" w:rsidRDefault="002C5555" w:rsidP="00D377AF">
      <w:pPr>
        <w:jc w:val="both"/>
        <w:rPr>
          <w:rFonts w:ascii="Arial" w:eastAsia="Georgia" w:hAnsi="Arial" w:cs="Arial"/>
        </w:rPr>
      </w:pPr>
      <w:r w:rsidRPr="00014883">
        <w:rPr>
          <w:rFonts w:ascii="Arial" w:eastAsia="AGaramondPro" w:hAnsi="Arial" w:cs="Arial"/>
          <w:lang w:eastAsia="zh-CN" w:bidi="ar"/>
        </w:rPr>
        <w:t>The growing concern for food safety is juxtaposed with the alarming presence of PAHs in fish, exceeding safe limits and posing significant risks to public health (</w:t>
      </w:r>
      <w:proofErr w:type="spellStart"/>
      <w:r w:rsidRPr="00014883">
        <w:rPr>
          <w:rFonts w:ascii="Arial" w:eastAsia="AGaramondPro" w:hAnsi="Arial" w:cs="Arial"/>
          <w:lang w:eastAsia="zh-CN" w:bidi="ar"/>
        </w:rPr>
        <w:t>Tongo</w:t>
      </w:r>
      <w:proofErr w:type="spellEnd"/>
      <w:r w:rsidRPr="00014883">
        <w:rPr>
          <w:rFonts w:ascii="Arial" w:eastAsia="AGaramondPro" w:hAnsi="Arial" w:cs="Arial"/>
          <w:lang w:eastAsia="zh-CN" w:bidi="ar"/>
        </w:rPr>
        <w:t xml:space="preserve"> </w:t>
      </w:r>
      <w:r w:rsidRPr="00014883">
        <w:rPr>
          <w:rFonts w:ascii="Arial" w:eastAsia="AGaramondPro" w:hAnsi="Arial" w:cs="Arial"/>
          <w:i/>
          <w:iCs/>
          <w:lang w:eastAsia="zh-CN" w:bidi="ar"/>
        </w:rPr>
        <w:t>et al.</w:t>
      </w:r>
      <w:r w:rsidRPr="00014883">
        <w:rPr>
          <w:rFonts w:ascii="Arial" w:eastAsia="AGaramondPro" w:hAnsi="Arial" w:cs="Arial"/>
          <w:lang w:eastAsia="zh-CN" w:bidi="ar"/>
        </w:rPr>
        <w:t xml:space="preserve">, 2017). </w:t>
      </w:r>
      <w:r w:rsidRPr="00014883">
        <w:rPr>
          <w:rFonts w:ascii="Arial" w:eastAsia="Georgia" w:hAnsi="Arial" w:cs="Arial"/>
        </w:rPr>
        <w:t xml:space="preserve">In spite of the health risks associated with PAHs, public awareness on their nature, accumulation, toxicity and presence in the Nigeria's environment especially water bodies are still very low. </w:t>
      </w:r>
      <w:r w:rsidRPr="00014883">
        <w:rPr>
          <w:rFonts w:ascii="Arial" w:eastAsia="sans-serif" w:hAnsi="Arial" w:cs="Arial"/>
          <w:shd w:val="clear" w:color="auto" w:fill="FFFFFF"/>
        </w:rPr>
        <w:t xml:space="preserve">Therefore, the study is aimed at assessing the levels of Polycyclic Aromatic Hydrocarbons (PAHs) in surface water and fish of </w:t>
      </w:r>
      <w:proofErr w:type="spellStart"/>
      <w:r w:rsidRPr="00014883">
        <w:rPr>
          <w:rFonts w:ascii="Arial" w:eastAsia="sans-serif" w:hAnsi="Arial" w:cs="Arial"/>
          <w:shd w:val="clear" w:color="auto" w:fill="FFFFFF"/>
        </w:rPr>
        <w:t>Banegbe</w:t>
      </w:r>
      <w:proofErr w:type="spellEnd"/>
      <w:r w:rsidRPr="00014883">
        <w:rPr>
          <w:rFonts w:ascii="Arial" w:eastAsia="sans-serif" w:hAnsi="Arial" w:cs="Arial"/>
          <w:shd w:val="clear" w:color="auto" w:fill="FFFFFF"/>
        </w:rPr>
        <w:t xml:space="preserve"> river and also to investigate the risk associated with consumption of the fish from the river.</w:t>
      </w:r>
    </w:p>
    <w:p w:rsidR="0019273F" w:rsidRPr="00014883" w:rsidRDefault="0019273F">
      <w:pPr>
        <w:pStyle w:val="Body"/>
        <w:spacing w:after="0"/>
        <w:rPr>
          <w:rFonts w:ascii="Arial" w:hAnsi="Arial" w:cs="Arial"/>
        </w:rPr>
      </w:pPr>
    </w:p>
    <w:p w:rsidR="0019273F" w:rsidRPr="00014883" w:rsidRDefault="005634A1">
      <w:pPr>
        <w:pStyle w:val="Body"/>
        <w:spacing w:after="0"/>
        <w:rPr>
          <w:rFonts w:ascii="Arial" w:eastAsia="Cambria" w:hAnsi="Arial" w:cs="Arial"/>
          <w:shd w:val="clear" w:color="auto" w:fill="FFFFFF"/>
        </w:rPr>
      </w:pPr>
      <w:r w:rsidRPr="00014883">
        <w:rPr>
          <w:rFonts w:ascii="Arial" w:eastAsia="Cambria" w:hAnsi="Arial" w:cs="Arial"/>
          <w:shd w:val="clear" w:color="auto" w:fill="FFFFFF"/>
        </w:rPr>
        <w:t xml:space="preserve">To date, no previous studies have evaluated the carcinogenic risk to human health associated with ingestion exposure to PAHs </w:t>
      </w:r>
      <w:r w:rsidR="002C5555" w:rsidRPr="00014883">
        <w:rPr>
          <w:rFonts w:ascii="Arial" w:eastAsia="Cambria" w:hAnsi="Arial" w:cs="Arial"/>
          <w:shd w:val="clear" w:color="auto" w:fill="FFFFFF"/>
        </w:rPr>
        <w:t xml:space="preserve">from </w:t>
      </w:r>
      <w:proofErr w:type="spellStart"/>
      <w:r w:rsidR="002C5555" w:rsidRPr="00014883">
        <w:rPr>
          <w:rFonts w:ascii="Arial" w:hAnsi="Arial" w:cs="Arial"/>
        </w:rPr>
        <w:t>Papyrocranus</w:t>
      </w:r>
      <w:proofErr w:type="spellEnd"/>
      <w:r w:rsidRPr="00014883">
        <w:rPr>
          <w:rFonts w:ascii="Arial" w:hAnsi="Arial" w:cs="Arial"/>
          <w:i/>
        </w:rPr>
        <w:t xml:space="preserve"> </w:t>
      </w:r>
      <w:proofErr w:type="spellStart"/>
      <w:r w:rsidRPr="00014883">
        <w:rPr>
          <w:rFonts w:ascii="Arial" w:hAnsi="Arial" w:cs="Arial"/>
          <w:i/>
        </w:rPr>
        <w:t>afer</w:t>
      </w:r>
      <w:proofErr w:type="spellEnd"/>
      <w:r w:rsidRPr="00014883">
        <w:rPr>
          <w:rFonts w:ascii="Arial" w:hAnsi="Arial" w:cs="Arial"/>
          <w:i/>
        </w:rPr>
        <w:t xml:space="preserve"> in </w:t>
      </w:r>
      <w:proofErr w:type="spellStart"/>
      <w:r w:rsidRPr="00014883">
        <w:rPr>
          <w:rFonts w:ascii="Arial" w:hAnsi="Arial" w:cs="Arial"/>
          <w:i/>
        </w:rPr>
        <w:t>Banrgbe</w:t>
      </w:r>
      <w:proofErr w:type="spellEnd"/>
      <w:r w:rsidRPr="00014883">
        <w:rPr>
          <w:rFonts w:ascii="Arial" w:hAnsi="Arial" w:cs="Arial"/>
          <w:i/>
        </w:rPr>
        <w:t xml:space="preserve"> river</w:t>
      </w:r>
      <w:r w:rsidRPr="00014883">
        <w:rPr>
          <w:rFonts w:ascii="Arial" w:eastAsia="Cambria" w:hAnsi="Arial" w:cs="Arial"/>
          <w:shd w:val="clear" w:color="auto" w:fill="FFFFFF"/>
        </w:rPr>
        <w:t xml:space="preserve">. Therefore, the main aim of this study was to assess the risk to human health from exposure to PAHs present in </w:t>
      </w:r>
      <w:r w:rsidRPr="00014883">
        <w:rPr>
          <w:rFonts w:ascii="Arial" w:eastAsia="Cambria" w:hAnsi="Arial" w:cs="Arial"/>
          <w:shd w:val="clear" w:color="auto" w:fill="FFFFFF"/>
        </w:rPr>
        <w:lastRenderedPageBreak/>
        <w:t>the fish. Specifically, the purpose of this study was to evaluate the distribution patterns of PAHs during the rainy and dry season</w:t>
      </w:r>
    </w:p>
    <w:p w:rsidR="0019273F" w:rsidRPr="00014883" w:rsidRDefault="0019273F">
      <w:pPr>
        <w:pStyle w:val="Body"/>
        <w:spacing w:after="0"/>
        <w:rPr>
          <w:rFonts w:ascii="Cambria" w:eastAsia="Cambria" w:hAnsi="Cambria" w:cs="Cambria"/>
          <w:sz w:val="28"/>
          <w:szCs w:val="28"/>
          <w:shd w:val="clear" w:color="auto" w:fill="FFFFFF"/>
        </w:rPr>
      </w:pPr>
    </w:p>
    <w:p w:rsidR="0019273F" w:rsidRPr="00014883" w:rsidRDefault="005634A1">
      <w:pPr>
        <w:pStyle w:val="AbstHead"/>
        <w:spacing w:after="0"/>
        <w:jc w:val="both"/>
        <w:rPr>
          <w:rFonts w:ascii="Arial" w:hAnsi="Arial" w:cs="Arial"/>
          <w:sz w:val="20"/>
        </w:rPr>
      </w:pPr>
      <w:r w:rsidRPr="00014883">
        <w:rPr>
          <w:rFonts w:ascii="Arial" w:hAnsi="Arial" w:cs="Arial"/>
          <w:sz w:val="20"/>
        </w:rPr>
        <w:t xml:space="preserve">2. material and methods </w:t>
      </w:r>
    </w:p>
    <w:p w:rsidR="0019273F" w:rsidRPr="00014883" w:rsidRDefault="0019273F">
      <w:pPr>
        <w:pStyle w:val="AbstHead"/>
        <w:spacing w:after="0"/>
        <w:jc w:val="both"/>
        <w:rPr>
          <w:rFonts w:ascii="Arial" w:hAnsi="Arial" w:cs="Arial"/>
          <w:sz w:val="20"/>
        </w:rPr>
      </w:pPr>
    </w:p>
    <w:p w:rsidR="0019273F" w:rsidRPr="00014883" w:rsidRDefault="005634A1">
      <w:pPr>
        <w:pStyle w:val="Default"/>
        <w:rPr>
          <w:rFonts w:ascii="Arial" w:hAnsi="Arial" w:cs="Arial"/>
          <w:b/>
          <w:color w:val="auto"/>
          <w:sz w:val="20"/>
          <w:szCs w:val="20"/>
        </w:rPr>
      </w:pPr>
      <w:r w:rsidRPr="00014883">
        <w:rPr>
          <w:rFonts w:ascii="Arial" w:hAnsi="Arial" w:cs="Arial"/>
          <w:b/>
          <w:color w:val="auto"/>
          <w:sz w:val="20"/>
          <w:szCs w:val="20"/>
        </w:rPr>
        <w:t>2.1 Collection of fish samples</w:t>
      </w:r>
    </w:p>
    <w:p w:rsidR="0019273F" w:rsidRPr="00014883" w:rsidRDefault="005634A1">
      <w:pPr>
        <w:pStyle w:val="Default"/>
        <w:jc w:val="both"/>
        <w:rPr>
          <w:rFonts w:ascii="Arial" w:hAnsi="Arial" w:cs="Arial"/>
          <w:color w:val="auto"/>
          <w:sz w:val="20"/>
          <w:szCs w:val="20"/>
        </w:rPr>
      </w:pPr>
      <w:r w:rsidRPr="00014883">
        <w:rPr>
          <w:rFonts w:ascii="Arial" w:hAnsi="Arial" w:cs="Arial"/>
          <w:color w:val="auto"/>
          <w:sz w:val="20"/>
          <w:szCs w:val="20"/>
        </w:rPr>
        <w:t>Fish samples were collected from different points (Fig. </w:t>
      </w:r>
      <w:hyperlink r:id="rId15" w:anchor="Fig1" w:history="1">
        <w:r w:rsidRPr="00014883">
          <w:rPr>
            <w:rStyle w:val="Hyperlink"/>
            <w:rFonts w:ascii="Arial" w:hAnsi="Arial" w:cs="Arial"/>
            <w:color w:val="auto"/>
            <w:sz w:val="20"/>
            <w:szCs w:val="20"/>
          </w:rPr>
          <w:t>1</w:t>
        </w:r>
      </w:hyperlink>
      <w:r w:rsidRPr="00014883">
        <w:rPr>
          <w:rFonts w:ascii="Arial" w:hAnsi="Arial" w:cs="Arial"/>
          <w:color w:val="auto"/>
          <w:sz w:val="20"/>
          <w:szCs w:val="20"/>
        </w:rPr>
        <w:t xml:space="preserve">) of  the </w:t>
      </w:r>
      <w:proofErr w:type="spellStart"/>
      <w:r w:rsidRPr="00014883">
        <w:rPr>
          <w:rFonts w:ascii="Arial" w:hAnsi="Arial" w:cs="Arial"/>
          <w:color w:val="auto"/>
          <w:sz w:val="20"/>
          <w:szCs w:val="20"/>
        </w:rPr>
        <w:t>Banegbe</w:t>
      </w:r>
      <w:proofErr w:type="spellEnd"/>
      <w:r w:rsidRPr="00014883">
        <w:rPr>
          <w:rFonts w:ascii="Arial" w:hAnsi="Arial" w:cs="Arial"/>
          <w:color w:val="auto"/>
          <w:sz w:val="20"/>
          <w:szCs w:val="20"/>
        </w:rPr>
        <w:t xml:space="preserve"> River Latitude 5</w:t>
      </w:r>
      <w:r w:rsidRPr="00014883">
        <w:rPr>
          <w:rFonts w:ascii="Arial" w:hAnsi="Arial" w:cs="Arial"/>
          <w:color w:val="auto"/>
          <w:sz w:val="20"/>
          <w:szCs w:val="20"/>
          <w:vertAlign w:val="superscript"/>
        </w:rPr>
        <w:t xml:space="preserve">o </w:t>
      </w:r>
      <w:r w:rsidRPr="00014883">
        <w:rPr>
          <w:rFonts w:ascii="Arial" w:hAnsi="Arial" w:cs="Arial"/>
          <w:color w:val="auto"/>
          <w:sz w:val="20"/>
          <w:szCs w:val="20"/>
        </w:rPr>
        <w:t xml:space="preserve"> 14N and longitude 5</w:t>
      </w:r>
      <w:r w:rsidRPr="00014883">
        <w:rPr>
          <w:rFonts w:ascii="Arial" w:hAnsi="Arial" w:cs="Arial"/>
          <w:color w:val="auto"/>
          <w:sz w:val="20"/>
          <w:szCs w:val="20"/>
          <w:vertAlign w:val="superscript"/>
        </w:rPr>
        <w:t>o</w:t>
      </w:r>
      <w:r w:rsidRPr="00014883">
        <w:rPr>
          <w:rFonts w:ascii="Arial" w:hAnsi="Arial" w:cs="Arial"/>
          <w:color w:val="auto"/>
          <w:sz w:val="20"/>
          <w:szCs w:val="20"/>
        </w:rPr>
        <w:t xml:space="preserve"> 22E, Latitude 5</w:t>
      </w:r>
      <w:r w:rsidRPr="00014883">
        <w:rPr>
          <w:rFonts w:ascii="Arial" w:hAnsi="Arial" w:cs="Arial"/>
          <w:color w:val="auto"/>
          <w:sz w:val="20"/>
          <w:szCs w:val="20"/>
          <w:vertAlign w:val="superscript"/>
        </w:rPr>
        <w:t>o</w:t>
      </w:r>
      <w:r w:rsidRPr="00014883">
        <w:rPr>
          <w:rFonts w:ascii="Arial" w:hAnsi="Arial" w:cs="Arial"/>
          <w:color w:val="auto"/>
          <w:sz w:val="20"/>
          <w:szCs w:val="20"/>
        </w:rPr>
        <w:t xml:space="preserve">  28N and longitude 5</w:t>
      </w:r>
      <w:r w:rsidRPr="00014883">
        <w:rPr>
          <w:rFonts w:ascii="Arial" w:hAnsi="Arial" w:cs="Arial"/>
          <w:color w:val="auto"/>
          <w:sz w:val="20"/>
          <w:szCs w:val="20"/>
          <w:vertAlign w:val="superscript"/>
        </w:rPr>
        <w:t>o</w:t>
      </w:r>
      <w:r w:rsidRPr="00014883">
        <w:rPr>
          <w:rFonts w:ascii="Arial" w:hAnsi="Arial" w:cs="Arial"/>
          <w:color w:val="auto"/>
          <w:sz w:val="20"/>
          <w:szCs w:val="20"/>
        </w:rPr>
        <w:t xml:space="preserve"> 10E and Latitude5</w:t>
      </w:r>
      <w:r w:rsidRPr="00014883">
        <w:rPr>
          <w:rFonts w:ascii="Arial" w:hAnsi="Arial" w:cs="Arial"/>
          <w:color w:val="auto"/>
          <w:sz w:val="20"/>
          <w:szCs w:val="20"/>
          <w:vertAlign w:val="superscript"/>
        </w:rPr>
        <w:t>o</w:t>
      </w:r>
      <w:r w:rsidRPr="00014883">
        <w:rPr>
          <w:rFonts w:ascii="Arial" w:hAnsi="Arial" w:cs="Arial"/>
          <w:color w:val="auto"/>
          <w:sz w:val="20"/>
          <w:szCs w:val="20"/>
        </w:rPr>
        <w:t xml:space="preserve"> 43N and longitude 5</w:t>
      </w:r>
      <w:r w:rsidRPr="00014883">
        <w:rPr>
          <w:rFonts w:ascii="Arial" w:hAnsi="Arial" w:cs="Arial"/>
          <w:color w:val="auto"/>
          <w:sz w:val="20"/>
          <w:szCs w:val="20"/>
          <w:vertAlign w:val="superscript"/>
        </w:rPr>
        <w:t>o</w:t>
      </w:r>
      <w:r w:rsidRPr="00014883">
        <w:rPr>
          <w:rFonts w:ascii="Arial" w:hAnsi="Arial" w:cs="Arial"/>
          <w:color w:val="auto"/>
          <w:sz w:val="20"/>
          <w:szCs w:val="20"/>
        </w:rPr>
        <w:t xml:space="preserve"> 14E. Fishes were collected with the help of professional fishermen while they were fishing in the river. Individuals of the same species were of similar size and weight. A total number of 24 </w:t>
      </w:r>
      <w:proofErr w:type="spellStart"/>
      <w:r w:rsidRPr="00014883">
        <w:rPr>
          <w:rFonts w:ascii="Arial" w:hAnsi="Arial" w:cs="Arial"/>
          <w:color w:val="auto"/>
          <w:sz w:val="20"/>
          <w:szCs w:val="20"/>
        </w:rPr>
        <w:t>papyrocranus</w:t>
      </w:r>
      <w:proofErr w:type="spellEnd"/>
      <w:r w:rsidRPr="00014883">
        <w:rPr>
          <w:rFonts w:ascii="Arial" w:hAnsi="Arial" w:cs="Arial"/>
          <w:color w:val="auto"/>
          <w:sz w:val="20"/>
          <w:szCs w:val="20"/>
        </w:rPr>
        <w:t xml:space="preserve"> </w:t>
      </w:r>
      <w:proofErr w:type="spellStart"/>
      <w:r w:rsidRPr="00014883">
        <w:rPr>
          <w:rFonts w:ascii="Arial" w:hAnsi="Arial" w:cs="Arial"/>
          <w:color w:val="auto"/>
          <w:sz w:val="20"/>
          <w:szCs w:val="20"/>
        </w:rPr>
        <w:t>afer</w:t>
      </w:r>
      <w:proofErr w:type="spellEnd"/>
      <w:r w:rsidRPr="00014883">
        <w:rPr>
          <w:rFonts w:ascii="Arial" w:hAnsi="Arial" w:cs="Arial"/>
          <w:color w:val="auto"/>
          <w:sz w:val="20"/>
          <w:szCs w:val="20"/>
        </w:rPr>
        <w:t xml:space="preserve"> were used for this study, the weight and length of the fish sample were taken. Then the samples were immediately preserved in air sealed plastic bags and transported to the laboratory.</w:t>
      </w:r>
    </w:p>
    <w:p w:rsidR="008F129F" w:rsidRPr="00014883" w:rsidRDefault="008F129F">
      <w:pPr>
        <w:pStyle w:val="Default"/>
        <w:jc w:val="both"/>
        <w:rPr>
          <w:rFonts w:ascii="Arial" w:hAnsi="Arial" w:cs="Arial"/>
          <w:color w:val="auto"/>
          <w:sz w:val="20"/>
          <w:szCs w:val="20"/>
        </w:rPr>
      </w:pPr>
    </w:p>
    <w:p w:rsidR="0019273F" w:rsidRPr="00014883" w:rsidRDefault="008F129F">
      <w:pPr>
        <w:pStyle w:val="Default"/>
        <w:jc w:val="both"/>
        <w:rPr>
          <w:rFonts w:ascii="Arial" w:hAnsi="Arial" w:cs="Arial"/>
          <w:color w:val="auto"/>
          <w:sz w:val="20"/>
          <w:szCs w:val="20"/>
        </w:rPr>
      </w:pPr>
      <w:r w:rsidRPr="00014883">
        <w:rPr>
          <w:color w:val="auto"/>
        </w:rPr>
        <w:object w:dxaOrig="7755" w:dyaOrig="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98.5pt" o:ole="">
            <v:imagedata r:id="rId16" o:title=""/>
          </v:shape>
          <o:OLEObject Type="Embed" ProgID="PBrush" ShapeID="_x0000_i1025" DrawAspect="Content" ObjectID="_1810810130" r:id="rId17"/>
        </w:object>
      </w:r>
    </w:p>
    <w:p w:rsidR="0019273F" w:rsidRPr="00014883" w:rsidRDefault="0019273F">
      <w:pPr>
        <w:pStyle w:val="Default"/>
        <w:jc w:val="both"/>
        <w:rPr>
          <w:rFonts w:ascii="Arial" w:hAnsi="Arial" w:cs="Arial"/>
          <w:color w:val="auto"/>
          <w:sz w:val="20"/>
          <w:szCs w:val="20"/>
        </w:rPr>
      </w:pPr>
    </w:p>
    <w:p w:rsidR="0019273F" w:rsidRPr="00014883" w:rsidRDefault="005634A1">
      <w:pPr>
        <w:autoSpaceDE w:val="0"/>
        <w:autoSpaceDN w:val="0"/>
        <w:adjustRightInd w:val="0"/>
        <w:jc w:val="both"/>
        <w:rPr>
          <w:rFonts w:ascii="Arial" w:hAnsi="Arial" w:cs="Arial"/>
        </w:rPr>
      </w:pPr>
      <w:r w:rsidRPr="000B5382">
        <w:rPr>
          <w:rFonts w:ascii="Arial" w:hAnsi="Arial" w:cs="Arial"/>
          <w:b/>
        </w:rPr>
        <w:t>Figure 1:</w:t>
      </w:r>
      <w:r w:rsidRPr="00014883">
        <w:rPr>
          <w:rFonts w:ascii="Arial" w:hAnsi="Arial" w:cs="Arial"/>
        </w:rPr>
        <w:t xml:space="preserve"> Map showing Sample sites.</w:t>
      </w:r>
    </w:p>
    <w:p w:rsidR="0019273F" w:rsidRPr="00014883" w:rsidRDefault="005634A1">
      <w:pPr>
        <w:autoSpaceDE w:val="0"/>
        <w:autoSpaceDN w:val="0"/>
        <w:adjustRightInd w:val="0"/>
        <w:jc w:val="both"/>
        <w:rPr>
          <w:rFonts w:ascii="Arial" w:hAnsi="Arial" w:cs="Arial"/>
        </w:rPr>
      </w:pPr>
      <w:r w:rsidRPr="00014883">
        <w:rPr>
          <w:rFonts w:ascii="Arial" w:hAnsi="Arial" w:cs="Arial"/>
        </w:rPr>
        <w:t>Note: Where P1= up-stream,</w:t>
      </w:r>
    </w:p>
    <w:p w:rsidR="0019273F" w:rsidRPr="00014883" w:rsidRDefault="005634A1">
      <w:pPr>
        <w:autoSpaceDE w:val="0"/>
        <w:autoSpaceDN w:val="0"/>
        <w:adjustRightInd w:val="0"/>
        <w:jc w:val="both"/>
        <w:rPr>
          <w:rFonts w:ascii="Arial" w:hAnsi="Arial" w:cs="Arial"/>
        </w:rPr>
      </w:pPr>
      <w:r w:rsidRPr="00014883">
        <w:rPr>
          <w:rFonts w:ascii="Arial" w:hAnsi="Arial" w:cs="Arial"/>
        </w:rPr>
        <w:t>P2 = effluent discharge point,</w:t>
      </w:r>
    </w:p>
    <w:p w:rsidR="0019273F" w:rsidRPr="00014883" w:rsidRDefault="005634A1">
      <w:pPr>
        <w:autoSpaceDE w:val="0"/>
        <w:autoSpaceDN w:val="0"/>
        <w:adjustRightInd w:val="0"/>
        <w:jc w:val="both"/>
        <w:rPr>
          <w:rFonts w:ascii="Arial" w:hAnsi="Arial" w:cs="Arial"/>
        </w:rPr>
      </w:pPr>
      <w:r w:rsidRPr="00014883">
        <w:rPr>
          <w:rFonts w:ascii="Arial" w:hAnsi="Arial" w:cs="Arial"/>
        </w:rPr>
        <w:t>P3 = down-stream,</w:t>
      </w:r>
    </w:p>
    <w:p w:rsidR="0019273F" w:rsidRPr="00014883" w:rsidRDefault="005634A1">
      <w:pPr>
        <w:autoSpaceDE w:val="0"/>
        <w:autoSpaceDN w:val="0"/>
        <w:adjustRightInd w:val="0"/>
        <w:jc w:val="both"/>
        <w:rPr>
          <w:rFonts w:ascii="Arial" w:hAnsi="Arial" w:cs="Arial"/>
          <w:bCs/>
        </w:rPr>
      </w:pPr>
      <w:r w:rsidRPr="00014883">
        <w:rPr>
          <w:rFonts w:ascii="Arial" w:hAnsi="Arial" w:cs="Arial"/>
        </w:rPr>
        <w:t>P4 = Ekpan pond</w:t>
      </w:r>
      <w:r w:rsidRPr="00014883">
        <w:rPr>
          <w:rFonts w:ascii="Arial" w:hAnsi="Arial" w:cs="Arial"/>
          <w:b/>
        </w:rPr>
        <w:t xml:space="preserve">. </w:t>
      </w:r>
      <w:r w:rsidRPr="00014883">
        <w:rPr>
          <w:rFonts w:ascii="Arial" w:hAnsi="Arial" w:cs="Arial"/>
          <w:bCs/>
        </w:rPr>
        <w:t xml:space="preserve">(Ogana </w:t>
      </w:r>
      <w:r w:rsidRPr="00014883">
        <w:rPr>
          <w:rFonts w:ascii="Arial" w:hAnsi="Arial" w:cs="Arial"/>
          <w:bCs/>
          <w:i/>
          <w:iCs/>
        </w:rPr>
        <w:t>et al.</w:t>
      </w:r>
      <w:r w:rsidRPr="00014883">
        <w:rPr>
          <w:rFonts w:ascii="Arial" w:hAnsi="Arial" w:cs="Arial"/>
          <w:bCs/>
        </w:rPr>
        <w:t>, 2023)</w:t>
      </w:r>
    </w:p>
    <w:p w:rsidR="0019273F" w:rsidRPr="00014883" w:rsidRDefault="0019273F">
      <w:pPr>
        <w:autoSpaceDE w:val="0"/>
        <w:autoSpaceDN w:val="0"/>
        <w:adjustRightInd w:val="0"/>
        <w:jc w:val="both"/>
        <w:rPr>
          <w:rFonts w:ascii="Arial" w:hAnsi="Arial" w:cs="Arial"/>
          <w:b/>
        </w:rPr>
      </w:pPr>
    </w:p>
    <w:p w:rsidR="0019273F" w:rsidRPr="00014883" w:rsidRDefault="005634A1">
      <w:pPr>
        <w:autoSpaceDE w:val="0"/>
        <w:autoSpaceDN w:val="0"/>
        <w:adjustRightInd w:val="0"/>
        <w:jc w:val="both"/>
        <w:rPr>
          <w:rFonts w:ascii="Arial" w:hAnsi="Arial" w:cs="Arial"/>
          <w:b/>
        </w:rPr>
      </w:pPr>
      <w:r w:rsidRPr="00014883">
        <w:rPr>
          <w:rFonts w:ascii="Arial" w:hAnsi="Arial" w:cs="Arial"/>
          <w:b/>
        </w:rPr>
        <w:t>2.2 Extraction and analysis of polycyclic aromatic hydrocarbon</w:t>
      </w:r>
    </w:p>
    <w:p w:rsidR="0019273F" w:rsidRPr="00014883" w:rsidRDefault="005634A1">
      <w:pPr>
        <w:jc w:val="both"/>
        <w:rPr>
          <w:rFonts w:ascii="Arial" w:hAnsi="Arial" w:cs="Arial"/>
          <w:b/>
        </w:rPr>
      </w:pPr>
      <w:r w:rsidRPr="00014883">
        <w:rPr>
          <w:rFonts w:ascii="Arial" w:hAnsi="Arial" w:cs="Arial"/>
          <w:b/>
        </w:rPr>
        <w:t>2.2.1 Aqueous Sample Extraction</w:t>
      </w:r>
    </w:p>
    <w:p w:rsidR="0019273F" w:rsidRPr="00014883" w:rsidRDefault="005634A1">
      <w:pPr>
        <w:autoSpaceDE w:val="0"/>
        <w:autoSpaceDN w:val="0"/>
        <w:adjustRightInd w:val="0"/>
        <w:jc w:val="both"/>
        <w:rPr>
          <w:rFonts w:ascii="Arial" w:hAnsi="Arial" w:cs="Arial"/>
          <w:spacing w:val="-2"/>
        </w:rPr>
      </w:pPr>
      <w:r w:rsidRPr="00014883">
        <w:rPr>
          <w:rFonts w:ascii="Arial" w:hAnsi="Arial" w:cs="Arial"/>
        </w:rPr>
        <w:t xml:space="preserve">Extraction and analysis of polycyclic aromatic hydrocarbon in fish and water samples were done according to </w:t>
      </w:r>
      <w:r w:rsidRPr="00014883">
        <w:rPr>
          <w:rFonts w:ascii="Arial" w:hAnsi="Arial" w:cs="Arial"/>
          <w:spacing w:val="-2"/>
        </w:rPr>
        <w:t>USEPA 8270 and 8015, 2004 method.</w:t>
      </w:r>
    </w:p>
    <w:p w:rsidR="0019273F" w:rsidRPr="00014883" w:rsidRDefault="005634A1">
      <w:pPr>
        <w:autoSpaceDE w:val="0"/>
        <w:autoSpaceDN w:val="0"/>
        <w:adjustRightInd w:val="0"/>
        <w:jc w:val="both"/>
        <w:rPr>
          <w:rFonts w:ascii="Arial" w:hAnsi="Arial" w:cs="Arial"/>
        </w:rPr>
      </w:pPr>
      <w:r w:rsidRPr="00014883">
        <w:rPr>
          <w:rFonts w:ascii="Arial" w:hAnsi="Arial" w:cs="Arial"/>
          <w:spacing w:val="-2"/>
        </w:rPr>
        <w:t xml:space="preserve">For the water samples, </w:t>
      </w:r>
      <w:bookmarkStart w:id="0" w:name="_GoBack"/>
      <w:bookmarkEnd w:id="0"/>
      <w:r w:rsidRPr="00014883">
        <w:rPr>
          <w:rFonts w:ascii="Arial" w:hAnsi="Arial" w:cs="Arial"/>
          <w:spacing w:val="-2"/>
        </w:rPr>
        <w:t xml:space="preserve">a </w:t>
      </w:r>
      <w:proofErr w:type="spellStart"/>
      <w:r w:rsidRPr="00014883">
        <w:rPr>
          <w:rFonts w:ascii="Arial" w:hAnsi="Arial" w:cs="Arial"/>
          <w:spacing w:val="-2"/>
        </w:rPr>
        <w:t>litre</w:t>
      </w:r>
      <w:proofErr w:type="spellEnd"/>
      <w:r w:rsidRPr="00014883">
        <w:rPr>
          <w:rFonts w:ascii="Arial" w:hAnsi="Arial" w:cs="Arial"/>
          <w:spacing w:val="-2"/>
        </w:rPr>
        <w:t xml:space="preserve"> each of the sample and reagent water was transferred to a 2-liter different separatory funnel. For all samples and blanks, 1 ml of the concentrated surrogate </w:t>
      </w:r>
      <w:r w:rsidRPr="00014883">
        <w:rPr>
          <w:rFonts w:ascii="Arial" w:hAnsi="Arial" w:cs="Arial"/>
          <w:spacing w:val="-2"/>
        </w:rPr>
        <w:lastRenderedPageBreak/>
        <w:t xml:space="preserve">spiking solution was added directly to the separatory funnel.  The pH was noted and adjusted to pH &lt;2. 60 mL of DCM was added to the separatory funnels. The separatory funnel was sealed and shaken vigorously for at least three (3) minutes with periodic venting to release excess pressure. Then the organic layers were allowed to separate from the water phase for a minimum of 5 minutes. The solvent extracts were then collected in an Erlenmeyer flask. The extraction was repeated two more times using additional 60 ml portions of solvent. The three solvent extracts were then combined in a 250-ml Erlenmeyer flask. A rotary evaporator apparatus was place on a hot water bath (80-90°C) so that the concentrator tube is partially immersed in the hot water and the entire lower rounded surface of the flask is bathed with hot vapor. The vertical position of the apparatus and the water temperature was adjusted as required to complete the concentration in 10 minutes, then the extract was dried   by passing it through a glass powder funnel containing anhydrous sodium sulfate or other suitable drying agent. The extract was concentrated to less than 10 ml, by raising the temperature of the water bath, if necessary, to maintain proper distillation. The snyder column   and evaporation flask was removed from the 10-ml concentrator tube. The concentrator tube containing the DCM extract was placed in an air blow down apparatus. The extract volume was adjusted to 1ml under a gentle stream of nitrogen or air.  If the extract is highly colored, forms a precipitate, or stops evaporating, the final volume should be </w:t>
      </w:r>
      <w:proofErr w:type="gramStart"/>
      <w:r w:rsidRPr="00014883">
        <w:rPr>
          <w:rFonts w:ascii="Arial" w:hAnsi="Arial" w:cs="Arial"/>
          <w:spacing w:val="-2"/>
        </w:rPr>
        <w:t>higher.</w:t>
      </w:r>
      <w:r w:rsidR="00331F79">
        <w:rPr>
          <w:rFonts w:ascii="Arial" w:hAnsi="Arial" w:cs="Arial"/>
          <w:spacing w:val="-2"/>
        </w:rPr>
        <w:t>(</w:t>
      </w:r>
      <w:proofErr w:type="gramEnd"/>
      <w:r w:rsidR="00331F79" w:rsidRPr="00331F79">
        <w:rPr>
          <w:rFonts w:ascii="Arial" w:hAnsi="Arial" w:cs="Arial"/>
          <w:spacing w:val="-2"/>
        </w:rPr>
        <w:t>JOY, O.,</w:t>
      </w:r>
      <w:r w:rsidR="00331F79">
        <w:rPr>
          <w:rFonts w:ascii="Arial" w:hAnsi="Arial" w:cs="Arial"/>
          <w:spacing w:val="-2"/>
        </w:rPr>
        <w:t xml:space="preserve"> et al., 2024)</w:t>
      </w:r>
    </w:p>
    <w:p w:rsidR="0019273F" w:rsidRPr="00014883" w:rsidRDefault="0019273F">
      <w:pPr>
        <w:jc w:val="both"/>
        <w:rPr>
          <w:rFonts w:ascii="Arial" w:hAnsi="Arial" w:cs="Arial"/>
          <w:b/>
        </w:rPr>
      </w:pPr>
    </w:p>
    <w:p w:rsidR="0019273F" w:rsidRPr="00014883" w:rsidRDefault="005634A1">
      <w:pPr>
        <w:jc w:val="both"/>
        <w:rPr>
          <w:rFonts w:ascii="Arial" w:hAnsi="Arial" w:cs="Arial"/>
          <w:b/>
        </w:rPr>
      </w:pPr>
      <w:r w:rsidRPr="00014883">
        <w:rPr>
          <w:rFonts w:ascii="Arial" w:hAnsi="Arial" w:cs="Arial"/>
          <w:b/>
        </w:rPr>
        <w:t>2.3 For the fish (muscle) sample extraction</w:t>
      </w:r>
    </w:p>
    <w:p w:rsidR="0019273F" w:rsidRPr="00014883" w:rsidRDefault="005634A1">
      <w:pPr>
        <w:jc w:val="both"/>
        <w:rPr>
          <w:rFonts w:ascii="Arial" w:hAnsi="Arial" w:cs="Arial"/>
          <w:b/>
          <w:i/>
        </w:rPr>
      </w:pPr>
      <w:r w:rsidRPr="00014883">
        <w:rPr>
          <w:rFonts w:ascii="Arial" w:hAnsi="Arial" w:cs="Arial"/>
        </w:rPr>
        <w:t xml:space="preserve"> A solvent mixture of acetone and methylene chloride 50:50 was prepared. Aliquot of 10g of well-mixed fish muscle sample which was measured into a solvent rinsed beaker, then 50ml of the solvent mix was added to the samples.  Spike with 1ml of the surrogate mix. The sample was placed in the sonicator and sonicated for about 10 – 15 minutes at about 70</w:t>
      </w:r>
      <w:r w:rsidRPr="00014883">
        <w:rPr>
          <w:rFonts w:ascii="Arial" w:hAnsi="Arial" w:cs="Arial"/>
          <w:vertAlign w:val="superscript"/>
        </w:rPr>
        <w:t>o</w:t>
      </w:r>
      <w:r w:rsidRPr="00014883">
        <w:rPr>
          <w:rFonts w:ascii="Arial" w:hAnsi="Arial" w:cs="Arial"/>
        </w:rPr>
        <w:t>C. Anhydrous sodium Sulphate (10g) was added to the sample until a clear extract developed. Then extract solvent were poured   into a round bottom flask. The process was repeated once more with an additional 50ml of solvent and the beaker was allowed to settled and decanted into the same round bottom flask. The solvent was concentrated to about 1 to 3ml. The sample was then ready for clean up using silica gel column. The columns were packed with 10g of 100-200-mesh silica gel pre-conditioned (baked) at 105</w:t>
      </w:r>
      <w:r w:rsidRPr="00014883">
        <w:rPr>
          <w:rFonts w:ascii="Arial" w:hAnsi="Arial" w:cs="Arial"/>
          <w:vertAlign w:val="superscript"/>
        </w:rPr>
        <w:t>o</w:t>
      </w:r>
      <w:r w:rsidRPr="00014883">
        <w:rPr>
          <w:rFonts w:ascii="Arial" w:hAnsi="Arial" w:cs="Arial"/>
        </w:rPr>
        <w:t xml:space="preserve">C overnight. The silica was mixed with DCM to form slurry. The analysis was carried out using gas chromatography/ Flame Ionization Detector (GC/FID), because FID has a very wide dynamic range and high sensitivity, also it has the ability detects all substance that contain </w:t>
      </w:r>
      <w:r w:rsidR="00D377AF" w:rsidRPr="00014883">
        <w:rPr>
          <w:rFonts w:ascii="Arial" w:hAnsi="Arial" w:cs="Arial"/>
        </w:rPr>
        <w:t>carbon.</w:t>
      </w:r>
      <w:r w:rsidR="006938FB" w:rsidRPr="006938FB">
        <w:t xml:space="preserve"> </w:t>
      </w:r>
      <w:r w:rsidR="006938FB" w:rsidRPr="006938FB">
        <w:rPr>
          <w:rFonts w:ascii="Arial" w:hAnsi="Arial" w:cs="Arial"/>
        </w:rPr>
        <w:t>(JOY, O., et al., 2024)</w:t>
      </w:r>
    </w:p>
    <w:p w:rsidR="0019273F" w:rsidRPr="00014883" w:rsidRDefault="0019273F">
      <w:pPr>
        <w:autoSpaceDE w:val="0"/>
        <w:autoSpaceDN w:val="0"/>
        <w:adjustRightInd w:val="0"/>
        <w:jc w:val="both"/>
        <w:rPr>
          <w:rFonts w:ascii="Arial" w:hAnsi="Arial" w:cs="Arial"/>
          <w:b/>
          <w:i/>
        </w:rPr>
      </w:pPr>
    </w:p>
    <w:p w:rsidR="0019273F" w:rsidRPr="00014883" w:rsidRDefault="005634A1">
      <w:pPr>
        <w:jc w:val="both"/>
        <w:rPr>
          <w:rFonts w:ascii="Arial" w:hAnsi="Arial" w:cs="Arial"/>
          <w:b/>
        </w:rPr>
      </w:pPr>
      <w:r w:rsidRPr="00014883">
        <w:rPr>
          <w:rFonts w:ascii="Arial" w:hAnsi="Arial" w:cs="Arial"/>
          <w:b/>
        </w:rPr>
        <w:t>2.4 Determination of risk quotient (RQ)</w:t>
      </w:r>
    </w:p>
    <w:p w:rsidR="0019273F" w:rsidRPr="00014883" w:rsidRDefault="0019273F">
      <w:pPr>
        <w:jc w:val="both"/>
        <w:rPr>
          <w:rFonts w:ascii="Arial" w:hAnsi="Arial" w:cs="Arial"/>
          <w:b/>
        </w:rPr>
      </w:pPr>
    </w:p>
    <w:p w:rsidR="0019273F" w:rsidRPr="00014883" w:rsidRDefault="005634A1">
      <w:pPr>
        <w:autoSpaceDE w:val="0"/>
        <w:autoSpaceDN w:val="0"/>
        <w:adjustRightInd w:val="0"/>
        <w:rPr>
          <w:rFonts w:ascii="Arial" w:hAnsi="Arial" w:cs="Arial"/>
          <w:b/>
          <w:bCs/>
          <w:i/>
          <w:iCs/>
        </w:rPr>
      </w:pPr>
      <w:r w:rsidRPr="00014883">
        <w:rPr>
          <w:rFonts w:ascii="Arial" w:hAnsi="Arial" w:cs="Arial"/>
          <w:b/>
          <w:bCs/>
        </w:rPr>
        <w:t xml:space="preserve">2.4.1 </w:t>
      </w:r>
      <w:r w:rsidRPr="00014883">
        <w:rPr>
          <w:rFonts w:ascii="Arial" w:hAnsi="Arial" w:cs="Arial"/>
          <w:b/>
          <w:bCs/>
          <w:i/>
          <w:iCs/>
        </w:rPr>
        <w:t>Calculation of Risk Quotients</w:t>
      </w:r>
    </w:p>
    <w:p w:rsidR="0019273F" w:rsidRPr="00014883" w:rsidRDefault="0019273F">
      <w:pPr>
        <w:autoSpaceDE w:val="0"/>
        <w:autoSpaceDN w:val="0"/>
        <w:adjustRightInd w:val="0"/>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Risk quotient (RQ) can be used when it comes to the evaluation of the potential risk of a certain pollutant or complex pollutants to aquatic ecosystem (Jiang </w:t>
      </w:r>
      <w:r w:rsidRPr="00014883">
        <w:rPr>
          <w:rFonts w:ascii="Arial" w:hAnsi="Arial" w:cs="Arial"/>
          <w:i/>
        </w:rPr>
        <w:t>et al.</w:t>
      </w:r>
      <w:r w:rsidRPr="00014883">
        <w:rPr>
          <w:rFonts w:ascii="Arial" w:hAnsi="Arial" w:cs="Arial"/>
        </w:rPr>
        <w:t xml:space="preserve">2014). And RQ is calculated by the method described by Caiyun </w:t>
      </w:r>
      <w:r w:rsidRPr="00014883">
        <w:rPr>
          <w:rFonts w:ascii="Arial" w:hAnsi="Arial" w:cs="Arial"/>
          <w:i/>
        </w:rPr>
        <w:t xml:space="preserve">et al. </w:t>
      </w:r>
      <w:r w:rsidRPr="00014883">
        <w:rPr>
          <w:rFonts w:ascii="Arial" w:hAnsi="Arial" w:cs="Arial"/>
        </w:rPr>
        <w:t>(2015).</w:t>
      </w:r>
    </w:p>
    <w:p w:rsidR="0019273F" w:rsidRPr="00014883" w:rsidRDefault="0019273F">
      <w:pPr>
        <w:autoSpaceDE w:val="0"/>
        <w:autoSpaceDN w:val="0"/>
        <w:adjustRightInd w:val="0"/>
        <w:jc w:val="both"/>
        <w:rPr>
          <w:rFonts w:ascii="Arial" w:hAnsi="Arial" w:cs="Arial"/>
        </w:rPr>
      </w:pPr>
    </w:p>
    <w:p w:rsidR="0019273F" w:rsidRPr="00014883" w:rsidRDefault="0019273F">
      <w:pPr>
        <w:autoSpaceDE w:val="0"/>
        <w:autoSpaceDN w:val="0"/>
        <w:adjustRightInd w:val="0"/>
        <w:jc w:val="both"/>
        <w:rPr>
          <w:rFonts w:ascii="Arial" w:hAnsi="Arial" w:cs="Arial"/>
        </w:rPr>
      </w:pPr>
    </w:p>
    <w:p w:rsidR="0019273F" w:rsidRPr="00014883" w:rsidRDefault="005634A1">
      <w:pPr>
        <w:jc w:val="both"/>
        <w:rPr>
          <w:rFonts w:ascii="Arial" w:hAnsi="Arial" w:cs="Arial"/>
        </w:rPr>
      </w:pPr>
      <w:r w:rsidRPr="00014883">
        <w:rPr>
          <w:rFonts w:ascii="Arial" w:hAnsi="Arial" w:cs="Arial"/>
        </w:rPr>
        <w:t xml:space="preserve">        RQ =     </w:t>
      </w:r>
      <m:oMath>
        <m:f>
          <m:fPr>
            <m:ctrlPr>
              <w:rPr>
                <w:rFonts w:ascii="Cambria Math" w:hAnsi="Cambria Math" w:cs="Arial"/>
              </w:rPr>
            </m:ctrlPr>
          </m:fPr>
          <m:num>
            <m:r>
              <m:rPr>
                <m:sty m:val="p"/>
              </m:rPr>
              <w:rPr>
                <w:rFonts w:ascii="Cambria Math" w:hAnsi="Cambria Math" w:cs="Arial"/>
              </w:rPr>
              <m:t>(Monitoring concentration of fish)</m:t>
            </m:r>
          </m:num>
          <m:den>
            <m:r>
              <m:rPr>
                <m:sty m:val="p"/>
              </m:rPr>
              <w:rPr>
                <w:rFonts w:ascii="Cambria Math" w:hAnsi="Cambria Math" w:cs="Arial"/>
              </w:rPr>
              <m:t xml:space="preserve">(Allowable concentration of fish) </m:t>
            </m:r>
          </m:den>
        </m:f>
      </m:oMath>
    </w:p>
    <w:p w:rsidR="0019273F" w:rsidRPr="00014883" w:rsidRDefault="0019273F">
      <w:pPr>
        <w:autoSpaceDE w:val="0"/>
        <w:autoSpaceDN w:val="0"/>
        <w:adjustRightInd w:val="0"/>
        <w:jc w:val="both"/>
        <w:rPr>
          <w:rFonts w:ascii="Arial" w:hAnsi="Arial" w:cs="Arial"/>
        </w:rPr>
      </w:pPr>
    </w:p>
    <w:p w:rsidR="0019273F" w:rsidRPr="00014883" w:rsidRDefault="005634A1">
      <w:pPr>
        <w:jc w:val="both"/>
        <w:rPr>
          <w:rFonts w:ascii="Arial" w:hAnsi="Arial" w:cs="Arial"/>
        </w:rPr>
      </w:pPr>
      <w:r w:rsidRPr="00014883">
        <w:rPr>
          <w:rFonts w:ascii="Arial" w:hAnsi="Arial" w:cs="Arial"/>
        </w:rPr>
        <w:t>Where allowable concentrations of pollutants are recommended by USEPA, (2008).</w:t>
      </w:r>
    </w:p>
    <w:p w:rsidR="0019273F" w:rsidRPr="00014883" w:rsidRDefault="0019273F">
      <w:pPr>
        <w:autoSpaceDE w:val="0"/>
        <w:autoSpaceDN w:val="0"/>
        <w:adjustRightInd w:val="0"/>
        <w:jc w:val="both"/>
        <w:rPr>
          <w:rFonts w:ascii="Arial" w:hAnsi="Arial" w:cs="Arial"/>
          <w:b/>
        </w:rPr>
      </w:pPr>
    </w:p>
    <w:p w:rsidR="0019273F" w:rsidRPr="00014883" w:rsidRDefault="005634A1">
      <w:pPr>
        <w:autoSpaceDE w:val="0"/>
        <w:autoSpaceDN w:val="0"/>
        <w:adjustRightInd w:val="0"/>
        <w:jc w:val="both"/>
        <w:rPr>
          <w:rFonts w:ascii="Arial" w:hAnsi="Arial" w:cs="Arial"/>
          <w:b/>
        </w:rPr>
      </w:pPr>
      <w:r w:rsidRPr="00014883">
        <w:rPr>
          <w:rFonts w:ascii="Arial" w:hAnsi="Arial" w:cs="Arial"/>
          <w:b/>
        </w:rPr>
        <w:t>2.4.2 The human risk assessment</w:t>
      </w:r>
    </w:p>
    <w:p w:rsidR="0019273F" w:rsidRPr="00014883" w:rsidRDefault="0019273F">
      <w:pPr>
        <w:autoSpaceDE w:val="0"/>
        <w:autoSpaceDN w:val="0"/>
        <w:adjustRightInd w:val="0"/>
        <w:jc w:val="both"/>
        <w:rPr>
          <w:rFonts w:ascii="Arial" w:hAnsi="Arial" w:cs="Arial"/>
          <w:b/>
        </w:rPr>
      </w:pPr>
    </w:p>
    <w:p w:rsidR="0019273F" w:rsidRPr="00014883" w:rsidRDefault="005634A1">
      <w:pPr>
        <w:autoSpaceDE w:val="0"/>
        <w:autoSpaceDN w:val="0"/>
        <w:adjustRightInd w:val="0"/>
        <w:jc w:val="both"/>
        <w:rPr>
          <w:rFonts w:ascii="Arial" w:hAnsi="Arial" w:cs="Arial"/>
        </w:rPr>
      </w:pPr>
      <w:r w:rsidRPr="00014883">
        <w:rPr>
          <w:rFonts w:ascii="Arial" w:hAnsi="Arial" w:cs="Arial"/>
        </w:rPr>
        <w:t>The human health risk impact resulting from consumption of contaminated fish from Banegbe river and Ekpan pond were estimated using standard methods of USEPA, (2000) as described by Yusuf</w:t>
      </w:r>
      <w:r w:rsidRPr="00014883">
        <w:rPr>
          <w:rFonts w:ascii="Arial" w:hAnsi="Arial" w:cs="Arial"/>
          <w:i/>
        </w:rPr>
        <w:t xml:space="preserve"> et al.,</w:t>
      </w:r>
      <w:r w:rsidRPr="00014883">
        <w:rPr>
          <w:rFonts w:ascii="Arial" w:hAnsi="Arial" w:cs="Arial"/>
        </w:rPr>
        <w:t xml:space="preserve"> (2015) and Forsberg </w:t>
      </w:r>
      <w:r w:rsidRPr="00014883">
        <w:rPr>
          <w:rFonts w:ascii="Arial" w:hAnsi="Arial" w:cs="Arial"/>
          <w:i/>
        </w:rPr>
        <w:t>et al.,</w:t>
      </w:r>
      <w:r w:rsidRPr="00014883">
        <w:rPr>
          <w:rFonts w:ascii="Arial" w:hAnsi="Arial" w:cs="Arial"/>
        </w:rPr>
        <w:t xml:space="preserve"> (2013).</w:t>
      </w:r>
    </w:p>
    <w:p w:rsidR="0019273F" w:rsidRPr="00014883" w:rsidRDefault="0019273F">
      <w:pPr>
        <w:autoSpaceDE w:val="0"/>
        <w:autoSpaceDN w:val="0"/>
        <w:adjustRightInd w:val="0"/>
        <w:jc w:val="both"/>
        <w:rPr>
          <w:rFonts w:ascii="Arial" w:hAnsi="Arial" w:cs="Arial"/>
        </w:rPr>
      </w:pPr>
    </w:p>
    <w:p w:rsidR="0019273F" w:rsidRPr="00014883" w:rsidRDefault="005634A1">
      <w:pPr>
        <w:jc w:val="both"/>
        <w:rPr>
          <w:rFonts w:ascii="Arial" w:hAnsi="Arial" w:cs="Arial"/>
          <w:b/>
        </w:rPr>
      </w:pPr>
      <w:r w:rsidRPr="00014883">
        <w:rPr>
          <w:rFonts w:ascii="Arial" w:hAnsi="Arial" w:cs="Arial"/>
          <w:b/>
        </w:rPr>
        <w:lastRenderedPageBreak/>
        <w:t>2.5 Determination of hazard quotient (HQ) and hazard index (HI)</w:t>
      </w:r>
    </w:p>
    <w:p w:rsidR="0019273F" w:rsidRPr="00014883" w:rsidRDefault="0019273F">
      <w:pPr>
        <w:jc w:val="both"/>
        <w:rPr>
          <w:rFonts w:ascii="Arial" w:hAnsi="Arial" w:cs="Arial"/>
          <w:b/>
        </w:rPr>
      </w:pPr>
    </w:p>
    <w:p w:rsidR="0019273F" w:rsidRPr="00014883" w:rsidRDefault="005634A1">
      <w:pPr>
        <w:autoSpaceDE w:val="0"/>
        <w:autoSpaceDN w:val="0"/>
        <w:adjustRightInd w:val="0"/>
        <w:jc w:val="both"/>
        <w:rPr>
          <w:rFonts w:ascii="Arial" w:hAnsi="Arial" w:cs="Arial"/>
        </w:rPr>
      </w:pPr>
      <w:r w:rsidRPr="00014883">
        <w:rPr>
          <w:rFonts w:ascii="Arial" w:hAnsi="Arial" w:cs="Arial"/>
        </w:rPr>
        <w:t>HQ =</w:t>
      </w:r>
      <m:oMath>
        <m:r>
          <w:rPr>
            <w:rFonts w:ascii="Cambria Math" w:hAnsi="Cambria Math" w:cs="Arial"/>
          </w:rPr>
          <m:t xml:space="preserve">   </m:t>
        </m:r>
        <m:box>
          <m:boxPr>
            <m:ctrlPr>
              <w:rPr>
                <w:rFonts w:ascii="Cambria Math" w:hAnsi="Cambria Math" w:cs="Arial"/>
              </w:rPr>
            </m:ctrlPr>
          </m:boxPr>
          <m:e>
            <m:argPr>
              <m:argSz m:val="-1"/>
            </m:argPr>
            <m:f>
              <m:fPr>
                <m:ctrlPr>
                  <w:rPr>
                    <w:rFonts w:ascii="Cambria Math" w:hAnsi="Cambria Math" w:cs="Arial"/>
                  </w:rPr>
                </m:ctrlPr>
              </m:fPr>
              <m:num>
                <m:r>
                  <m:rPr>
                    <m:sty m:val="p"/>
                  </m:rPr>
                  <w:rPr>
                    <w:rFonts w:ascii="Cambria Math" w:hAnsi="Cambria Math" w:cs="Arial"/>
                  </w:rPr>
                  <m:t>Average Daily Dose (ADD)</m:t>
                </m:r>
              </m:num>
              <m:den>
                <m:r>
                  <m:rPr>
                    <m:sty m:val="p"/>
                  </m:rPr>
                  <w:rPr>
                    <w:rFonts w:ascii="Cambria Math" w:hAnsi="Cambria Math" w:cs="Arial"/>
                  </w:rPr>
                  <m:t xml:space="preserve">Oral Chronic Reference Dose (RfD) </m:t>
                </m:r>
              </m:den>
            </m:f>
          </m:e>
        </m:box>
      </m:oMath>
    </w:p>
    <w:p w:rsidR="0019273F" w:rsidRPr="00014883" w:rsidRDefault="005634A1">
      <w:pPr>
        <w:autoSpaceDE w:val="0"/>
        <w:autoSpaceDN w:val="0"/>
        <w:adjustRightInd w:val="0"/>
        <w:jc w:val="both"/>
        <w:rPr>
          <w:rFonts w:ascii="Arial" w:hAnsi="Arial" w:cs="Arial"/>
        </w:rPr>
      </w:pPr>
      <w:r w:rsidRPr="00014883">
        <w:rPr>
          <w:rFonts w:ascii="Arial" w:hAnsi="Arial" w:cs="Arial"/>
        </w:rPr>
        <w:t>Where RfD is the oral chronic reference dose of non-carcinogenic PAHs as shown in Table 1 and ADD is the non-carcinogenic averaged daily dose</w:t>
      </w: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           ADD =</w:t>
      </w:r>
      <m:oMath>
        <m: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C×IR×CF×ED</m:t>
            </m:r>
          </m:num>
          <m:den>
            <m:r>
              <m:rPr>
                <m:sty m:val="p"/>
              </m:rPr>
              <w:rPr>
                <w:rFonts w:ascii="Cambria Math" w:hAnsi="Cambria Math" w:cs="Arial"/>
              </w:rPr>
              <m:t>BW×AT</m:t>
            </m:r>
          </m:den>
        </m:f>
      </m:oMath>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Where C is the concentration of non-carcinogenic PAHs, </w:t>
      </w: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 IR is the ingestion rate of the PAHs based on the average fish consumption rate set to be 30.8g /day/ person from the annual per capita fish consumption of 11.3kg for Nigeria (FAO, 2008). </w:t>
      </w: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CF is the conversion factor (0.001) </w:t>
      </w:r>
    </w:p>
    <w:p w:rsidR="0019273F" w:rsidRPr="00014883" w:rsidRDefault="005634A1">
      <w:pPr>
        <w:autoSpaceDE w:val="0"/>
        <w:autoSpaceDN w:val="0"/>
        <w:adjustRightInd w:val="0"/>
        <w:jc w:val="both"/>
        <w:rPr>
          <w:rFonts w:ascii="Arial" w:hAnsi="Arial" w:cs="Arial"/>
        </w:rPr>
      </w:pPr>
      <w:r w:rsidRPr="00014883">
        <w:rPr>
          <w:rFonts w:ascii="Arial" w:hAnsi="Arial" w:cs="Arial"/>
        </w:rPr>
        <w:t>BW is body weight which is set to be 70kg.</w:t>
      </w:r>
    </w:p>
    <w:p w:rsidR="0019273F" w:rsidRPr="00014883" w:rsidRDefault="005634A1">
      <w:pPr>
        <w:autoSpaceDE w:val="0"/>
        <w:autoSpaceDN w:val="0"/>
        <w:adjustRightInd w:val="0"/>
        <w:jc w:val="both"/>
        <w:rPr>
          <w:rFonts w:ascii="Arial" w:hAnsi="Arial" w:cs="Arial"/>
        </w:rPr>
      </w:pPr>
      <w:r w:rsidRPr="00014883">
        <w:rPr>
          <w:rFonts w:ascii="Arial" w:hAnsi="Arial" w:cs="Arial"/>
        </w:rPr>
        <w:t>AT is the averaging time = ED×EF</w:t>
      </w: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where ED is the exposed duration set for 70 years life time </w:t>
      </w:r>
    </w:p>
    <w:p w:rsidR="0019273F" w:rsidRPr="00014883" w:rsidRDefault="005634A1">
      <w:pPr>
        <w:autoSpaceDE w:val="0"/>
        <w:autoSpaceDN w:val="0"/>
        <w:adjustRightInd w:val="0"/>
        <w:jc w:val="both"/>
        <w:rPr>
          <w:rFonts w:ascii="Arial" w:hAnsi="Arial" w:cs="Arial"/>
        </w:rPr>
      </w:pPr>
      <w:r w:rsidRPr="00014883">
        <w:rPr>
          <w:rFonts w:ascii="Arial" w:hAnsi="Arial" w:cs="Arial"/>
        </w:rPr>
        <w:t>EF the exposed frequency set for 7 times a week for the consumption of fish.</w:t>
      </w:r>
    </w:p>
    <w:p w:rsidR="0019273F" w:rsidRPr="00014883" w:rsidRDefault="0019273F">
      <w:pPr>
        <w:autoSpaceDE w:val="0"/>
        <w:autoSpaceDN w:val="0"/>
        <w:adjustRightInd w:val="0"/>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Hazard Index (HI) which is the sum of individual hazard quotient of the non-carcinogenic PAH HI =</w:t>
      </w:r>
      <w:r w:rsidRPr="00014883">
        <w:rPr>
          <w:rFonts w:ascii="Arial" w:hAnsi="Arial" w:cs="Arial"/>
          <w:b/>
          <w:bCs/>
          <w:lang w:val="el-GR"/>
        </w:rPr>
        <w:t xml:space="preserve">Σ </w:t>
      </w:r>
      <w:r w:rsidRPr="00014883">
        <w:rPr>
          <w:rFonts w:ascii="Arial" w:hAnsi="Arial" w:cs="Arial"/>
        </w:rPr>
        <w:t>(HQ</w:t>
      </w:r>
      <w:r w:rsidRPr="00014883">
        <w:rPr>
          <w:rFonts w:ascii="Arial" w:hAnsi="Arial" w:cs="Arial"/>
          <w:vertAlign w:val="subscript"/>
        </w:rPr>
        <w:t>l</w:t>
      </w:r>
      <w:r w:rsidRPr="00014883">
        <w:rPr>
          <w:rFonts w:ascii="Arial" w:hAnsi="Arial" w:cs="Arial"/>
        </w:rPr>
        <w:t xml:space="preserve"> +HQ</w:t>
      </w:r>
      <w:r w:rsidRPr="00014883">
        <w:rPr>
          <w:rFonts w:ascii="Arial" w:hAnsi="Arial" w:cs="Arial"/>
          <w:vertAlign w:val="subscript"/>
        </w:rPr>
        <w:t>2</w:t>
      </w:r>
      <w:r w:rsidRPr="00014883">
        <w:rPr>
          <w:rFonts w:ascii="Arial" w:hAnsi="Arial" w:cs="Arial"/>
        </w:rPr>
        <w:t xml:space="preserve"> + HQ</w:t>
      </w:r>
      <w:r w:rsidRPr="00014883">
        <w:rPr>
          <w:rFonts w:ascii="Arial" w:hAnsi="Arial" w:cs="Arial"/>
          <w:vertAlign w:val="subscript"/>
        </w:rPr>
        <w:t>3</w:t>
      </w:r>
      <w:r w:rsidRPr="00014883">
        <w:rPr>
          <w:rFonts w:ascii="Arial" w:hAnsi="Arial" w:cs="Arial"/>
        </w:rPr>
        <w:t xml:space="preserve">……. HQn) </w:t>
      </w:r>
    </w:p>
    <w:p w:rsidR="0019273F" w:rsidRPr="00014883" w:rsidRDefault="0019273F">
      <w:pPr>
        <w:autoSpaceDE w:val="0"/>
        <w:autoSpaceDN w:val="0"/>
        <w:adjustRightInd w:val="0"/>
        <w:jc w:val="both"/>
        <w:rPr>
          <w:rFonts w:ascii="Arial" w:hAnsi="Arial" w:cs="Arial"/>
          <w:b/>
        </w:rPr>
      </w:pPr>
    </w:p>
    <w:p w:rsidR="0019273F" w:rsidRPr="00014883" w:rsidRDefault="005634A1">
      <w:pPr>
        <w:autoSpaceDE w:val="0"/>
        <w:autoSpaceDN w:val="0"/>
        <w:adjustRightInd w:val="0"/>
        <w:jc w:val="both"/>
        <w:rPr>
          <w:rFonts w:ascii="Arial" w:hAnsi="Arial" w:cs="Arial"/>
          <w:b/>
        </w:rPr>
      </w:pPr>
      <w:r w:rsidRPr="00014883">
        <w:rPr>
          <w:rFonts w:ascii="Arial" w:hAnsi="Arial" w:cs="Arial"/>
          <w:b/>
        </w:rPr>
        <w:t>2.6 Determination of carcinogenic or toxic equivalency of benzo (a)pyrene (TEQ</w:t>
      </w:r>
      <w:r w:rsidRPr="00014883">
        <w:rPr>
          <w:rFonts w:ascii="Arial" w:hAnsi="Arial" w:cs="Arial"/>
          <w:b/>
          <w:vertAlign w:val="subscript"/>
        </w:rPr>
        <w:t>BaP</w:t>
      </w:r>
      <w:r w:rsidRPr="00014883">
        <w:rPr>
          <w:rFonts w:ascii="Arial" w:hAnsi="Arial" w:cs="Arial"/>
          <w:b/>
        </w:rPr>
        <w:t>), mutagenic equivalence of benzo (a) pyrene (MEQ</w:t>
      </w:r>
      <w:r w:rsidRPr="00014883">
        <w:rPr>
          <w:rFonts w:ascii="Arial" w:hAnsi="Arial" w:cs="Arial"/>
          <w:b/>
          <w:vertAlign w:val="subscript"/>
        </w:rPr>
        <w:t>BaP</w:t>
      </w:r>
      <w:r w:rsidRPr="00014883">
        <w:rPr>
          <w:rFonts w:ascii="Arial" w:hAnsi="Arial" w:cs="Arial"/>
          <w:b/>
        </w:rPr>
        <w:t>) and   lifetime cancer risk (LCR)</w:t>
      </w:r>
    </w:p>
    <w:p w:rsidR="0019273F" w:rsidRPr="00014883" w:rsidRDefault="0019273F">
      <w:pPr>
        <w:autoSpaceDE w:val="0"/>
        <w:autoSpaceDN w:val="0"/>
        <w:adjustRightInd w:val="0"/>
        <w:jc w:val="both"/>
        <w:rPr>
          <w:rFonts w:ascii="Arial" w:hAnsi="Arial" w:cs="Arial"/>
          <w:b/>
        </w:rPr>
      </w:pPr>
    </w:p>
    <w:p w:rsidR="0019273F" w:rsidRPr="00014883" w:rsidRDefault="005634A1">
      <w:pPr>
        <w:autoSpaceDE w:val="0"/>
        <w:autoSpaceDN w:val="0"/>
        <w:adjustRightInd w:val="0"/>
        <w:jc w:val="both"/>
        <w:rPr>
          <w:rFonts w:ascii="Arial" w:hAnsi="Arial" w:cs="Arial"/>
        </w:rPr>
      </w:pPr>
      <w:r w:rsidRPr="00014883">
        <w:rPr>
          <w:rFonts w:ascii="Arial" w:hAnsi="Arial" w:cs="Arial"/>
        </w:rPr>
        <w:t>The TEQ</w:t>
      </w:r>
      <w:r w:rsidRPr="00014883">
        <w:rPr>
          <w:rFonts w:ascii="Arial" w:hAnsi="Arial" w:cs="Arial"/>
          <w:vertAlign w:val="subscript"/>
        </w:rPr>
        <w:t xml:space="preserve">BaP, </w:t>
      </w:r>
      <w:r w:rsidRPr="00014883">
        <w:rPr>
          <w:rFonts w:ascii="Arial" w:hAnsi="Arial" w:cs="Arial"/>
        </w:rPr>
        <w:t>MEQ</w:t>
      </w:r>
      <w:r w:rsidRPr="00014883">
        <w:rPr>
          <w:rFonts w:ascii="Arial" w:hAnsi="Arial" w:cs="Arial"/>
          <w:vertAlign w:val="subscript"/>
        </w:rPr>
        <w:t>BaP, and</w:t>
      </w:r>
      <w:r w:rsidRPr="00014883">
        <w:rPr>
          <w:rFonts w:ascii="Arial" w:hAnsi="Arial" w:cs="Arial"/>
        </w:rPr>
        <w:t xml:space="preserve"> LCR were calculated by the method described by Nsikak </w:t>
      </w:r>
      <w:r w:rsidRPr="00014883">
        <w:rPr>
          <w:rFonts w:ascii="Arial" w:hAnsi="Arial" w:cs="Arial"/>
          <w:i/>
        </w:rPr>
        <w:t xml:space="preserve">et al., </w:t>
      </w:r>
      <w:r w:rsidRPr="00014883">
        <w:rPr>
          <w:rFonts w:ascii="Arial" w:hAnsi="Arial" w:cs="Arial"/>
        </w:rPr>
        <w:t>(2017)</w:t>
      </w:r>
    </w:p>
    <w:p w:rsidR="0019273F" w:rsidRPr="00014883" w:rsidRDefault="005634A1">
      <w:pPr>
        <w:autoSpaceDE w:val="0"/>
        <w:autoSpaceDN w:val="0"/>
        <w:adjustRightInd w:val="0"/>
        <w:jc w:val="both"/>
        <w:rPr>
          <w:rFonts w:ascii="Arial" w:hAnsi="Arial" w:cs="Arial"/>
        </w:rPr>
      </w:pPr>
      <w:r w:rsidRPr="00014883">
        <w:rPr>
          <w:rFonts w:ascii="Arial" w:hAnsi="Arial" w:cs="Arial"/>
        </w:rPr>
        <w:t>(TEQ</w:t>
      </w:r>
      <w:r w:rsidRPr="00014883">
        <w:rPr>
          <w:rFonts w:ascii="Arial" w:hAnsi="Arial" w:cs="Arial"/>
          <w:vertAlign w:val="subscript"/>
        </w:rPr>
        <w:t>BaP</w:t>
      </w:r>
      <w:r w:rsidRPr="00014883">
        <w:rPr>
          <w:rFonts w:ascii="Arial" w:hAnsi="Arial" w:cs="Arial"/>
        </w:rPr>
        <w:t xml:space="preserve">) = </w:t>
      </w:r>
      <w:r w:rsidRPr="00014883">
        <w:rPr>
          <w:rFonts w:ascii="Arial" w:hAnsi="Arial" w:cs="Arial"/>
          <w:b/>
          <w:bCs/>
          <w:lang w:val="el-GR"/>
        </w:rPr>
        <w:t>Σ</w:t>
      </w:r>
      <w:r w:rsidRPr="00014883">
        <w:rPr>
          <w:rFonts w:ascii="Arial" w:hAnsi="Arial" w:cs="Arial"/>
          <w:b/>
          <w:bCs/>
        </w:rPr>
        <w:t xml:space="preserve">n </w:t>
      </w:r>
      <w:r w:rsidRPr="00014883">
        <w:rPr>
          <w:rFonts w:ascii="Arial" w:hAnsi="Arial" w:cs="Arial"/>
        </w:rPr>
        <w:t>(TEF</w:t>
      </w:r>
      <w:r w:rsidRPr="00014883">
        <w:rPr>
          <w:rFonts w:ascii="Arial" w:hAnsi="Arial" w:cs="Arial"/>
          <w:vertAlign w:val="subscript"/>
        </w:rPr>
        <w:t xml:space="preserve">l   </w:t>
      </w:r>
      <w:r w:rsidRPr="00014883">
        <w:rPr>
          <w:rFonts w:ascii="Arial" w:hAnsi="Arial" w:cs="Arial"/>
        </w:rPr>
        <w:t>× C</w:t>
      </w:r>
      <w:r w:rsidRPr="00014883">
        <w:rPr>
          <w:rFonts w:ascii="Arial" w:hAnsi="Arial" w:cs="Arial"/>
          <w:vertAlign w:val="subscript"/>
        </w:rPr>
        <w:t>l</w:t>
      </w:r>
      <w:r w:rsidRPr="00014883">
        <w:rPr>
          <w:rFonts w:ascii="Arial" w:hAnsi="Arial" w:cs="Arial"/>
        </w:rPr>
        <w:t xml:space="preserve">) </w:t>
      </w:r>
    </w:p>
    <w:p w:rsidR="0019273F" w:rsidRPr="00014883" w:rsidRDefault="005634A1">
      <w:pPr>
        <w:autoSpaceDE w:val="0"/>
        <w:autoSpaceDN w:val="0"/>
        <w:adjustRightInd w:val="0"/>
        <w:jc w:val="both"/>
        <w:rPr>
          <w:rFonts w:ascii="Arial" w:hAnsi="Arial" w:cs="Arial"/>
        </w:rPr>
      </w:pPr>
      <w:r w:rsidRPr="00014883">
        <w:rPr>
          <w:rFonts w:ascii="Arial" w:hAnsi="Arial" w:cs="Arial"/>
        </w:rPr>
        <w:t>(MEQ</w:t>
      </w:r>
      <w:r w:rsidRPr="00014883">
        <w:rPr>
          <w:rFonts w:ascii="Arial" w:hAnsi="Arial" w:cs="Arial"/>
          <w:vertAlign w:val="subscript"/>
        </w:rPr>
        <w:t>BaP</w:t>
      </w:r>
      <w:r w:rsidRPr="00014883">
        <w:rPr>
          <w:rFonts w:ascii="Arial" w:hAnsi="Arial" w:cs="Arial"/>
        </w:rPr>
        <w:t xml:space="preserve">) = </w:t>
      </w:r>
      <w:r w:rsidRPr="00014883">
        <w:rPr>
          <w:rFonts w:ascii="Arial" w:hAnsi="Arial" w:cs="Arial"/>
          <w:b/>
          <w:bCs/>
          <w:lang w:val="el-GR"/>
        </w:rPr>
        <w:t>Σ</w:t>
      </w:r>
      <w:r w:rsidRPr="00014883">
        <w:rPr>
          <w:rFonts w:ascii="Arial" w:hAnsi="Arial" w:cs="Arial"/>
          <w:b/>
          <w:bCs/>
        </w:rPr>
        <w:t xml:space="preserve">n </w:t>
      </w:r>
      <w:r w:rsidRPr="00014883">
        <w:rPr>
          <w:rFonts w:ascii="Arial" w:hAnsi="Arial" w:cs="Arial"/>
        </w:rPr>
        <w:t>(MEF</w:t>
      </w:r>
      <w:r w:rsidRPr="00014883">
        <w:rPr>
          <w:rFonts w:ascii="Arial" w:hAnsi="Arial" w:cs="Arial"/>
          <w:vertAlign w:val="subscript"/>
        </w:rPr>
        <w:t xml:space="preserve">l   </w:t>
      </w:r>
      <w:r w:rsidRPr="00014883">
        <w:rPr>
          <w:rFonts w:ascii="Arial" w:hAnsi="Arial" w:cs="Arial"/>
        </w:rPr>
        <w:t>× C</w:t>
      </w:r>
      <w:r w:rsidRPr="00014883">
        <w:rPr>
          <w:rFonts w:ascii="Arial" w:hAnsi="Arial" w:cs="Arial"/>
          <w:vertAlign w:val="subscript"/>
        </w:rPr>
        <w:t>l</w:t>
      </w:r>
      <w:r w:rsidRPr="00014883">
        <w:rPr>
          <w:rFonts w:ascii="Arial" w:hAnsi="Arial" w:cs="Arial"/>
        </w:rPr>
        <w:t xml:space="preserve">) </w:t>
      </w: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where TEF is the toxic equivalence factor developed for individual PAHs to express the potency relative to benzo(a)pyrene as shown in Table 1 and C is the concentration of PAHs in fish. </w:t>
      </w:r>
    </w:p>
    <w:p w:rsidR="0019273F" w:rsidRPr="00014883" w:rsidRDefault="005634A1">
      <w:pPr>
        <w:autoSpaceDE w:val="0"/>
        <w:autoSpaceDN w:val="0"/>
        <w:adjustRightInd w:val="0"/>
        <w:jc w:val="both"/>
        <w:rPr>
          <w:rFonts w:ascii="Arial" w:hAnsi="Arial" w:cs="Arial"/>
        </w:rPr>
      </w:pPr>
      <w:r w:rsidRPr="00014883">
        <w:rPr>
          <w:rFonts w:ascii="Arial" w:hAnsi="Arial" w:cs="Arial"/>
        </w:rPr>
        <w:t>MEF mutagenic equivalence factor proposed for individual PAHs to express the mutagenic potency relative to benzo(a)pyrene as also shown in Table 1</w:t>
      </w: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LCR = Average Daily Dose for carcinogenic or mutagenic (ADDt) × cancer slope factor </w:t>
      </w:r>
    </w:p>
    <w:p w:rsidR="0019273F" w:rsidRPr="00014883" w:rsidRDefault="005634A1">
      <w:pPr>
        <w:autoSpaceDE w:val="0"/>
        <w:autoSpaceDN w:val="0"/>
        <w:adjustRightInd w:val="0"/>
        <w:jc w:val="both"/>
        <w:rPr>
          <w:rFonts w:ascii="Arial" w:hAnsi="Arial" w:cs="Arial"/>
        </w:rPr>
      </w:pPr>
      <w:r w:rsidRPr="00014883">
        <w:rPr>
          <w:rFonts w:ascii="Arial" w:hAnsi="Arial" w:cs="Arial"/>
        </w:rPr>
        <w:t>Where; ADDt = TEQ (carcinogenic or mutagenic) × IR × CF×ED×EF×/BW×AT</w:t>
      </w:r>
    </w:p>
    <w:p w:rsidR="0019273F" w:rsidRPr="00014883" w:rsidRDefault="0019273F">
      <w:pPr>
        <w:autoSpaceDE w:val="0"/>
        <w:autoSpaceDN w:val="0"/>
        <w:adjustRightInd w:val="0"/>
        <w:spacing w:line="360" w:lineRule="auto"/>
        <w:jc w:val="both"/>
        <w:rPr>
          <w:rFonts w:ascii="Arial" w:hAnsi="Arial" w:cs="Arial"/>
          <w:b/>
        </w:rPr>
      </w:pPr>
    </w:p>
    <w:p w:rsidR="0019273F" w:rsidRPr="00014883" w:rsidRDefault="005634A1">
      <w:pPr>
        <w:autoSpaceDE w:val="0"/>
        <w:autoSpaceDN w:val="0"/>
        <w:adjustRightInd w:val="0"/>
        <w:jc w:val="both"/>
        <w:rPr>
          <w:rFonts w:ascii="Arial" w:hAnsi="Arial" w:cs="Arial"/>
          <w:b/>
          <w:i/>
          <w:iCs/>
        </w:rPr>
      </w:pPr>
      <w:r w:rsidRPr="00014883">
        <w:rPr>
          <w:rFonts w:ascii="Arial" w:hAnsi="Arial" w:cs="Arial"/>
          <w:b/>
          <w:i/>
          <w:iCs/>
        </w:rPr>
        <w:t>Table 1: Proposed benzo (a) pyrene equivalent factors for carcinogenic (TEF) and Mutagenic toxicity (MEF) and toxicity value for polycyclic aromatic hydrocarbons</w:t>
      </w:r>
    </w:p>
    <w:tbl>
      <w:tblPr>
        <w:tblStyle w:val="TableGridLight1"/>
        <w:tblW w:w="793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1002"/>
        <w:gridCol w:w="1002"/>
        <w:gridCol w:w="1541"/>
        <w:gridCol w:w="1961"/>
      </w:tblGrid>
      <w:tr w:rsidR="00014883" w:rsidRPr="00014883">
        <w:tc>
          <w:tcPr>
            <w:tcW w:w="2432" w:type="dxa"/>
            <w:tcBorders>
              <w:top w:val="single" w:sz="4" w:space="0" w:color="auto"/>
              <w:bottom w:val="single" w:sz="4" w:space="0" w:color="auto"/>
            </w:tcBorders>
          </w:tcPr>
          <w:p w:rsidR="0019273F" w:rsidRPr="00014883" w:rsidRDefault="005634A1">
            <w:pPr>
              <w:autoSpaceDE w:val="0"/>
              <w:autoSpaceDN w:val="0"/>
              <w:adjustRightInd w:val="0"/>
              <w:spacing w:line="360" w:lineRule="auto"/>
              <w:jc w:val="both"/>
              <w:rPr>
                <w:rFonts w:ascii="Arial" w:eastAsiaTheme="minorEastAsia" w:hAnsi="Arial" w:cs="Arial"/>
                <w:b/>
                <w:bCs/>
              </w:rPr>
            </w:pPr>
            <w:r w:rsidRPr="00014883">
              <w:rPr>
                <w:rFonts w:ascii="Arial" w:eastAsiaTheme="minorEastAsia" w:hAnsi="Arial" w:cs="Arial"/>
              </w:rPr>
              <w:t>PAH compound</w:t>
            </w:r>
          </w:p>
        </w:tc>
        <w:tc>
          <w:tcPr>
            <w:tcW w:w="1002" w:type="dxa"/>
            <w:tcBorders>
              <w:top w:val="single" w:sz="4" w:space="0" w:color="auto"/>
              <w:bottom w:val="single" w:sz="4" w:space="0" w:color="auto"/>
            </w:tcBorders>
          </w:tcPr>
          <w:p w:rsidR="0019273F" w:rsidRPr="00014883" w:rsidRDefault="005634A1">
            <w:pPr>
              <w:autoSpaceDE w:val="0"/>
              <w:autoSpaceDN w:val="0"/>
              <w:adjustRightInd w:val="0"/>
              <w:spacing w:line="360" w:lineRule="auto"/>
              <w:jc w:val="both"/>
              <w:rPr>
                <w:rFonts w:ascii="Arial" w:eastAsiaTheme="minorEastAsia" w:hAnsi="Arial" w:cs="Arial"/>
                <w:b/>
                <w:bCs/>
              </w:rPr>
            </w:pPr>
            <w:r w:rsidRPr="00014883">
              <w:rPr>
                <w:rFonts w:ascii="Arial" w:eastAsiaTheme="minorEastAsia" w:hAnsi="Arial" w:cs="Arial"/>
              </w:rPr>
              <w:t>TEF</w:t>
            </w:r>
          </w:p>
        </w:tc>
        <w:tc>
          <w:tcPr>
            <w:tcW w:w="1002" w:type="dxa"/>
            <w:tcBorders>
              <w:top w:val="single" w:sz="4" w:space="0" w:color="auto"/>
              <w:bottom w:val="single" w:sz="4" w:space="0" w:color="auto"/>
            </w:tcBorders>
          </w:tcPr>
          <w:p w:rsidR="0019273F" w:rsidRPr="00014883" w:rsidRDefault="005634A1">
            <w:pPr>
              <w:autoSpaceDE w:val="0"/>
              <w:autoSpaceDN w:val="0"/>
              <w:adjustRightInd w:val="0"/>
              <w:spacing w:line="360" w:lineRule="auto"/>
              <w:jc w:val="both"/>
              <w:rPr>
                <w:rFonts w:ascii="Arial" w:eastAsiaTheme="minorEastAsia" w:hAnsi="Arial" w:cs="Arial"/>
                <w:b/>
                <w:bCs/>
              </w:rPr>
            </w:pPr>
            <w:r w:rsidRPr="00014883">
              <w:rPr>
                <w:rFonts w:ascii="Arial" w:eastAsiaTheme="minorEastAsia" w:hAnsi="Arial" w:cs="Arial"/>
              </w:rPr>
              <w:t>MEF</w:t>
            </w:r>
          </w:p>
        </w:tc>
        <w:tc>
          <w:tcPr>
            <w:tcW w:w="1541" w:type="dxa"/>
            <w:tcBorders>
              <w:top w:val="single" w:sz="4" w:space="0" w:color="auto"/>
              <w:bottom w:val="single" w:sz="4" w:space="0" w:color="auto"/>
            </w:tcBorders>
          </w:tcPr>
          <w:p w:rsidR="0019273F" w:rsidRPr="00014883" w:rsidRDefault="005634A1">
            <w:pPr>
              <w:autoSpaceDE w:val="0"/>
              <w:autoSpaceDN w:val="0"/>
              <w:adjustRightInd w:val="0"/>
              <w:spacing w:line="360" w:lineRule="auto"/>
              <w:jc w:val="both"/>
              <w:rPr>
                <w:rFonts w:ascii="Arial" w:eastAsiaTheme="minorEastAsia" w:hAnsi="Arial" w:cs="Arial"/>
                <w:b/>
                <w:bCs/>
              </w:rPr>
            </w:pPr>
            <w:r w:rsidRPr="00014883">
              <w:rPr>
                <w:rFonts w:ascii="Arial" w:eastAsiaTheme="minorEastAsia" w:hAnsi="Arial" w:cs="Arial"/>
              </w:rPr>
              <w:t>RfD(mg/kg</w:t>
            </w:r>
            <w:r w:rsidRPr="00014883">
              <w:rPr>
                <w:rFonts w:ascii="Arial" w:eastAsiaTheme="minorEastAsia" w:hAnsi="Arial" w:cs="Arial"/>
                <w:vertAlign w:val="superscript"/>
              </w:rPr>
              <w:t>-d</w:t>
            </w:r>
            <w:r w:rsidRPr="00014883">
              <w:rPr>
                <w:rFonts w:ascii="Arial" w:eastAsiaTheme="minorEastAsia" w:hAnsi="Arial" w:cs="Arial"/>
              </w:rPr>
              <w:t>)</w:t>
            </w:r>
          </w:p>
        </w:tc>
        <w:tc>
          <w:tcPr>
            <w:tcW w:w="1961" w:type="dxa"/>
            <w:tcBorders>
              <w:top w:val="single" w:sz="4" w:space="0" w:color="auto"/>
              <w:bottom w:val="single" w:sz="4" w:space="0" w:color="auto"/>
            </w:tcBorders>
          </w:tcPr>
          <w:p w:rsidR="0019273F" w:rsidRPr="00014883" w:rsidRDefault="005634A1">
            <w:pPr>
              <w:autoSpaceDE w:val="0"/>
              <w:autoSpaceDN w:val="0"/>
              <w:adjustRightInd w:val="0"/>
              <w:spacing w:line="360" w:lineRule="auto"/>
              <w:jc w:val="both"/>
              <w:rPr>
                <w:rFonts w:ascii="Arial" w:eastAsiaTheme="minorEastAsia" w:hAnsi="Arial" w:cs="Arial"/>
                <w:b/>
                <w:bCs/>
              </w:rPr>
            </w:pPr>
            <w:r w:rsidRPr="00014883">
              <w:rPr>
                <w:rFonts w:ascii="Arial" w:eastAsiaTheme="minorEastAsia" w:hAnsi="Arial" w:cs="Arial"/>
              </w:rPr>
              <w:t>CSF(1/mg/kg</w:t>
            </w:r>
            <w:r w:rsidRPr="00014883">
              <w:rPr>
                <w:rFonts w:ascii="Arial" w:eastAsiaTheme="minorEastAsia" w:hAnsi="Arial" w:cs="Arial"/>
                <w:vertAlign w:val="superscript"/>
              </w:rPr>
              <w:t>-d</w:t>
            </w:r>
            <w:r w:rsidRPr="00014883">
              <w:rPr>
                <w:rFonts w:ascii="Arial" w:eastAsiaTheme="minorEastAsia" w:hAnsi="Arial" w:cs="Arial"/>
              </w:rPr>
              <w:t>)</w:t>
            </w:r>
          </w:p>
        </w:tc>
      </w:tr>
      <w:tr w:rsidR="00014883" w:rsidRPr="00014883">
        <w:tc>
          <w:tcPr>
            <w:tcW w:w="2432" w:type="dxa"/>
            <w:tcBorders>
              <w:top w:val="single" w:sz="4" w:space="0" w:color="auto"/>
            </w:tcBorders>
          </w:tcPr>
          <w:p w:rsidR="0019273F" w:rsidRPr="00014883" w:rsidRDefault="0019273F">
            <w:pPr>
              <w:autoSpaceDE w:val="0"/>
              <w:autoSpaceDN w:val="0"/>
              <w:adjustRightInd w:val="0"/>
              <w:spacing w:line="360" w:lineRule="auto"/>
              <w:jc w:val="both"/>
              <w:rPr>
                <w:rFonts w:ascii="Arial" w:eastAsiaTheme="minorEastAsia" w:hAnsi="Arial" w:cs="Arial"/>
                <w:b/>
                <w:bCs/>
              </w:rPr>
            </w:pPr>
          </w:p>
        </w:tc>
        <w:tc>
          <w:tcPr>
            <w:tcW w:w="1002" w:type="dxa"/>
            <w:tcBorders>
              <w:top w:val="single" w:sz="4" w:space="0" w:color="auto"/>
            </w:tcBorders>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002" w:type="dxa"/>
            <w:tcBorders>
              <w:top w:val="single" w:sz="4" w:space="0" w:color="auto"/>
            </w:tcBorders>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Borders>
              <w:top w:val="single" w:sz="4" w:space="0" w:color="auto"/>
            </w:tcBorders>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Borders>
              <w:top w:val="single" w:sz="4" w:space="0" w:color="auto"/>
            </w:tcBorders>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Naphthalene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2.00×10</w:t>
            </w:r>
            <w:r w:rsidRPr="00014883">
              <w:rPr>
                <w:rFonts w:ascii="Arial" w:eastAsiaTheme="minorEastAsia" w:hAnsi="Arial" w:cs="Arial"/>
                <w:vertAlign w:val="superscript"/>
              </w:rPr>
              <w:t>-02</w:t>
            </w: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Acenaphthylene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2.00×10</w:t>
            </w:r>
            <w:r w:rsidRPr="00014883">
              <w:rPr>
                <w:rFonts w:ascii="Arial" w:eastAsiaTheme="minorEastAsia" w:hAnsi="Arial" w:cs="Arial"/>
                <w:vertAlign w:val="superscript"/>
              </w:rPr>
              <w:t>-02</w:t>
            </w: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Acenaphthene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6.00×10</w:t>
            </w:r>
            <w:r w:rsidRPr="00014883">
              <w:rPr>
                <w:rFonts w:ascii="Arial" w:eastAsiaTheme="minorEastAsia" w:hAnsi="Arial" w:cs="Arial"/>
                <w:vertAlign w:val="superscript"/>
              </w:rPr>
              <w:t>-02</w:t>
            </w: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Florene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4.00×10</w:t>
            </w:r>
            <w:r w:rsidRPr="00014883">
              <w:rPr>
                <w:rFonts w:ascii="Arial" w:eastAsiaTheme="minorEastAsia" w:hAnsi="Arial" w:cs="Arial"/>
                <w:vertAlign w:val="superscript"/>
              </w:rPr>
              <w:t>-02</w:t>
            </w: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Phenanthrene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Anthracene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3.00×10</w:t>
            </w:r>
            <w:r w:rsidRPr="00014883">
              <w:rPr>
                <w:rFonts w:ascii="Arial" w:eastAsiaTheme="minorEastAsia" w:hAnsi="Arial" w:cs="Arial"/>
                <w:vertAlign w:val="superscript"/>
              </w:rPr>
              <w:t>-02-1</w:t>
            </w: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Fluoranthene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4.00×10</w:t>
            </w:r>
            <w:r w:rsidRPr="00014883">
              <w:rPr>
                <w:rFonts w:ascii="Arial" w:eastAsiaTheme="minorEastAsia" w:hAnsi="Arial" w:cs="Arial"/>
                <w:vertAlign w:val="superscript"/>
              </w:rPr>
              <w:t>-02</w:t>
            </w: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Pyrene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3.00×10</w:t>
            </w:r>
            <w:r w:rsidRPr="00014883">
              <w:rPr>
                <w:rFonts w:ascii="Arial" w:eastAsiaTheme="minorEastAsia" w:hAnsi="Arial" w:cs="Arial"/>
                <w:vertAlign w:val="superscript"/>
              </w:rPr>
              <w:t>-02</w:t>
            </w: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Benzo(a) anthracene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0.1</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0.082</w:t>
            </w:r>
          </w:p>
        </w:tc>
        <w:tc>
          <w:tcPr>
            <w:tcW w:w="1541"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7.30× 10</w:t>
            </w:r>
            <w:r w:rsidRPr="00014883">
              <w:rPr>
                <w:rFonts w:ascii="Arial" w:eastAsiaTheme="minorEastAsia" w:hAnsi="Arial" w:cs="Arial"/>
                <w:vertAlign w:val="superscript"/>
              </w:rPr>
              <w:t>-1</w:t>
            </w: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lastRenderedPageBreak/>
              <w:t>Chrysene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0.001</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0.017</w:t>
            </w:r>
          </w:p>
        </w:tc>
        <w:tc>
          <w:tcPr>
            <w:tcW w:w="1541"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7.30× 10</w:t>
            </w:r>
            <w:r w:rsidRPr="00014883">
              <w:rPr>
                <w:rFonts w:ascii="Arial" w:eastAsiaTheme="minorEastAsia" w:hAnsi="Arial" w:cs="Arial"/>
                <w:vertAlign w:val="superscript"/>
              </w:rPr>
              <w:t>-3</w:t>
            </w: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Benzo(b) fluoranthene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0.1</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0.25</w:t>
            </w:r>
          </w:p>
        </w:tc>
        <w:tc>
          <w:tcPr>
            <w:tcW w:w="1541"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7.30× 10</w:t>
            </w:r>
            <w:r w:rsidRPr="00014883">
              <w:rPr>
                <w:rFonts w:ascii="Arial" w:eastAsiaTheme="minorEastAsia" w:hAnsi="Arial" w:cs="Arial"/>
                <w:vertAlign w:val="superscript"/>
              </w:rPr>
              <w:t>-1</w:t>
            </w: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Benzo(a)pyrene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1.0</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1.0</w:t>
            </w:r>
          </w:p>
        </w:tc>
        <w:tc>
          <w:tcPr>
            <w:tcW w:w="1541"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7.30</w:t>
            </w: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Benzo(k)fluoranthene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0.01</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0.11</w:t>
            </w:r>
          </w:p>
        </w:tc>
        <w:tc>
          <w:tcPr>
            <w:tcW w:w="1541"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7.30× 10</w:t>
            </w:r>
            <w:r w:rsidRPr="00014883">
              <w:rPr>
                <w:rFonts w:ascii="Arial" w:eastAsiaTheme="minorEastAsia" w:hAnsi="Arial" w:cs="Arial"/>
                <w:vertAlign w:val="superscript"/>
              </w:rPr>
              <w:t>-2</w:t>
            </w:r>
          </w:p>
        </w:tc>
      </w:tr>
      <w:tr w:rsidR="00014883" w:rsidRPr="00014883">
        <w:tc>
          <w:tcPr>
            <w:tcW w:w="2432" w:type="dxa"/>
          </w:tcPr>
          <w:p w:rsidR="0019273F" w:rsidRPr="00014883" w:rsidRDefault="005634A1">
            <w:pPr>
              <w:pStyle w:val="NoSpacing"/>
              <w:spacing w:line="276" w:lineRule="auto"/>
              <w:jc w:val="both"/>
              <w:rPr>
                <w:rFonts w:ascii="Arial" w:hAnsi="Arial" w:cs="Arial"/>
                <w:bCs/>
              </w:rPr>
            </w:pPr>
            <w:r w:rsidRPr="00014883">
              <w:rPr>
                <w:rFonts w:ascii="Arial" w:hAnsi="Arial" w:cs="Arial"/>
                <w:bCs/>
              </w:rPr>
              <w:t>Indeno (1,2,3) pyrene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0.1</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0.31</w:t>
            </w:r>
          </w:p>
        </w:tc>
        <w:tc>
          <w:tcPr>
            <w:tcW w:w="1541"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7.30× 10</w:t>
            </w:r>
            <w:r w:rsidRPr="00014883">
              <w:rPr>
                <w:rFonts w:ascii="Arial" w:eastAsiaTheme="minorEastAsia" w:hAnsi="Arial" w:cs="Arial"/>
                <w:vertAlign w:val="superscript"/>
              </w:rPr>
              <w:t>-1</w:t>
            </w:r>
          </w:p>
        </w:tc>
      </w:tr>
      <w:tr w:rsidR="00014883" w:rsidRPr="00014883">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Dibenzo(a,h) anthracene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1.0</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0.29</w:t>
            </w:r>
          </w:p>
        </w:tc>
        <w:tc>
          <w:tcPr>
            <w:tcW w:w="1541"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96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7.30</w:t>
            </w:r>
          </w:p>
        </w:tc>
      </w:tr>
      <w:tr w:rsidR="00014883" w:rsidRPr="00014883">
        <w:trPr>
          <w:trHeight w:val="206"/>
        </w:trPr>
        <w:tc>
          <w:tcPr>
            <w:tcW w:w="2432" w:type="dxa"/>
          </w:tcPr>
          <w:p w:rsidR="0019273F" w:rsidRPr="00014883" w:rsidRDefault="005634A1">
            <w:pPr>
              <w:pStyle w:val="NoSpacing"/>
              <w:spacing w:line="276" w:lineRule="auto"/>
              <w:jc w:val="both"/>
              <w:rPr>
                <w:rFonts w:ascii="Arial" w:hAnsi="Arial" w:cs="Arial"/>
                <w:b/>
                <w:bCs/>
              </w:rPr>
            </w:pPr>
            <w:r w:rsidRPr="00014883">
              <w:rPr>
                <w:rFonts w:ascii="Arial" w:hAnsi="Arial" w:cs="Arial"/>
              </w:rPr>
              <w:t>Benzo(g,h,i) perylene</w:t>
            </w:r>
          </w:p>
        </w:tc>
        <w:tc>
          <w:tcPr>
            <w:tcW w:w="1002"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0.01</w:t>
            </w:r>
          </w:p>
        </w:tc>
        <w:tc>
          <w:tcPr>
            <w:tcW w:w="1002" w:type="dxa"/>
          </w:tcPr>
          <w:p w:rsidR="0019273F" w:rsidRPr="00014883" w:rsidRDefault="0019273F">
            <w:pPr>
              <w:autoSpaceDE w:val="0"/>
              <w:autoSpaceDN w:val="0"/>
              <w:adjustRightInd w:val="0"/>
              <w:spacing w:line="360" w:lineRule="auto"/>
              <w:jc w:val="both"/>
              <w:rPr>
                <w:rFonts w:ascii="Arial" w:eastAsiaTheme="minorEastAsia" w:hAnsi="Arial" w:cs="Arial"/>
              </w:rPr>
            </w:pPr>
          </w:p>
        </w:tc>
        <w:tc>
          <w:tcPr>
            <w:tcW w:w="1541" w:type="dxa"/>
          </w:tcPr>
          <w:p w:rsidR="0019273F" w:rsidRPr="00014883" w:rsidRDefault="005634A1">
            <w:pPr>
              <w:autoSpaceDE w:val="0"/>
              <w:autoSpaceDN w:val="0"/>
              <w:adjustRightInd w:val="0"/>
              <w:spacing w:line="360" w:lineRule="auto"/>
              <w:jc w:val="both"/>
              <w:rPr>
                <w:rFonts w:ascii="Arial" w:eastAsiaTheme="minorEastAsia" w:hAnsi="Arial" w:cs="Arial"/>
              </w:rPr>
            </w:pPr>
            <w:r w:rsidRPr="00014883">
              <w:rPr>
                <w:rFonts w:ascii="Arial" w:eastAsiaTheme="minorEastAsia" w:hAnsi="Arial" w:cs="Arial"/>
              </w:rPr>
              <w:t>4.00×10</w:t>
            </w:r>
            <w:r w:rsidRPr="00014883">
              <w:rPr>
                <w:rFonts w:ascii="Arial" w:eastAsiaTheme="minorEastAsia" w:hAnsi="Arial" w:cs="Arial"/>
                <w:vertAlign w:val="superscript"/>
              </w:rPr>
              <w:t>-02</w:t>
            </w:r>
          </w:p>
        </w:tc>
        <w:tc>
          <w:tcPr>
            <w:tcW w:w="1961" w:type="dxa"/>
          </w:tcPr>
          <w:p w:rsidR="0019273F" w:rsidRPr="00014883" w:rsidRDefault="0019273F">
            <w:pPr>
              <w:autoSpaceDE w:val="0"/>
              <w:autoSpaceDN w:val="0"/>
              <w:adjustRightInd w:val="0"/>
              <w:spacing w:line="360" w:lineRule="auto"/>
              <w:jc w:val="both"/>
              <w:rPr>
                <w:rFonts w:ascii="Arial" w:eastAsiaTheme="minorEastAsia" w:hAnsi="Arial" w:cs="Arial"/>
              </w:rPr>
            </w:pPr>
          </w:p>
        </w:tc>
      </w:tr>
    </w:tbl>
    <w:p w:rsidR="0019273F" w:rsidRPr="00014883" w:rsidRDefault="005634A1">
      <w:pPr>
        <w:autoSpaceDE w:val="0"/>
        <w:autoSpaceDN w:val="0"/>
        <w:adjustRightInd w:val="0"/>
        <w:spacing w:line="360" w:lineRule="auto"/>
        <w:jc w:val="both"/>
        <w:rPr>
          <w:rFonts w:ascii="Arial" w:hAnsi="Arial" w:cs="Arial"/>
        </w:rPr>
      </w:pPr>
      <w:r w:rsidRPr="00014883">
        <w:rPr>
          <w:rFonts w:ascii="Arial" w:hAnsi="Arial" w:cs="Arial"/>
        </w:rPr>
        <w:t>From (Yusuf</w:t>
      </w:r>
      <w:r w:rsidRPr="00014883">
        <w:rPr>
          <w:rFonts w:ascii="Arial" w:hAnsi="Arial" w:cs="Arial"/>
          <w:i/>
        </w:rPr>
        <w:t xml:space="preserve"> et al.,</w:t>
      </w:r>
      <w:r w:rsidRPr="00014883">
        <w:rPr>
          <w:rFonts w:ascii="Arial" w:hAnsi="Arial" w:cs="Arial"/>
        </w:rPr>
        <w:t>2015)</w:t>
      </w:r>
    </w:p>
    <w:p w:rsidR="0019273F" w:rsidRPr="00014883" w:rsidRDefault="005634A1">
      <w:pPr>
        <w:autoSpaceDE w:val="0"/>
        <w:autoSpaceDN w:val="0"/>
        <w:adjustRightInd w:val="0"/>
        <w:spacing w:line="360" w:lineRule="auto"/>
        <w:jc w:val="both"/>
        <w:rPr>
          <w:rFonts w:ascii="Arial" w:hAnsi="Arial" w:cs="Arial"/>
          <w:b/>
        </w:rPr>
      </w:pPr>
      <w:r w:rsidRPr="00014883">
        <w:rPr>
          <w:rFonts w:ascii="Arial" w:hAnsi="Arial" w:cs="Arial"/>
          <w:b/>
        </w:rPr>
        <w:t>2.7 Statistical Analysis</w:t>
      </w:r>
    </w:p>
    <w:p w:rsidR="0019273F" w:rsidRPr="00014883" w:rsidRDefault="005634A1">
      <w:pPr>
        <w:jc w:val="both"/>
        <w:rPr>
          <w:rFonts w:ascii="Arial" w:hAnsi="Arial" w:cs="Arial"/>
          <w:b/>
        </w:rPr>
      </w:pPr>
      <w:r w:rsidRPr="00014883">
        <w:rPr>
          <w:rFonts w:ascii="Arial" w:hAnsi="Arial" w:cs="Arial"/>
        </w:rPr>
        <w:t>Descriptive (mean and standard deviation) statistical analysis was used to present data in numerical and graphical forms.</w:t>
      </w:r>
      <w:r w:rsidRPr="00014883">
        <w:rPr>
          <w:rFonts w:ascii="Arial" w:hAnsi="Arial" w:cs="Arial"/>
          <w:b/>
        </w:rPr>
        <w:t xml:space="preserve"> </w:t>
      </w:r>
    </w:p>
    <w:p w:rsidR="0019273F" w:rsidRPr="00014883" w:rsidRDefault="0019273F">
      <w:pPr>
        <w:pStyle w:val="Body"/>
        <w:spacing w:after="0"/>
        <w:rPr>
          <w:rFonts w:ascii="Arial" w:hAnsi="Arial" w:cs="Arial"/>
        </w:rPr>
      </w:pPr>
    </w:p>
    <w:p w:rsidR="0019273F" w:rsidRPr="00014883" w:rsidRDefault="0019273F">
      <w:pPr>
        <w:pStyle w:val="Body"/>
        <w:spacing w:after="0"/>
        <w:rPr>
          <w:rFonts w:ascii="Arial" w:hAnsi="Arial" w:cs="Arial"/>
        </w:rPr>
      </w:pPr>
    </w:p>
    <w:p w:rsidR="0019273F" w:rsidRPr="00014883" w:rsidRDefault="005634A1">
      <w:pPr>
        <w:pStyle w:val="Head1"/>
        <w:spacing w:after="0"/>
        <w:jc w:val="both"/>
        <w:rPr>
          <w:rFonts w:ascii="Arial" w:hAnsi="Arial" w:cs="Arial"/>
          <w:sz w:val="20"/>
        </w:rPr>
      </w:pPr>
      <w:r w:rsidRPr="00014883">
        <w:rPr>
          <w:rFonts w:ascii="Arial" w:hAnsi="Arial" w:cs="Arial"/>
          <w:sz w:val="20"/>
        </w:rPr>
        <w:t>3. results and discussion</w:t>
      </w:r>
    </w:p>
    <w:p w:rsidR="0019273F" w:rsidRPr="00014883" w:rsidRDefault="0019273F">
      <w:pPr>
        <w:pStyle w:val="Head1"/>
        <w:spacing w:after="0"/>
        <w:jc w:val="both"/>
        <w:rPr>
          <w:rFonts w:ascii="Arial" w:hAnsi="Arial" w:cs="Arial"/>
          <w:sz w:val="20"/>
        </w:rPr>
      </w:pPr>
    </w:p>
    <w:p w:rsidR="0019273F" w:rsidRPr="00014883" w:rsidRDefault="005634A1">
      <w:pPr>
        <w:jc w:val="both"/>
        <w:rPr>
          <w:rFonts w:ascii="Arial" w:hAnsi="Arial" w:cs="Arial"/>
          <w:b/>
        </w:rPr>
      </w:pPr>
      <w:r w:rsidRPr="00014883">
        <w:rPr>
          <w:rFonts w:ascii="Arial" w:hAnsi="Arial" w:cs="Arial"/>
          <w:b/>
        </w:rPr>
        <w:t>3.1 Results</w:t>
      </w:r>
    </w:p>
    <w:p w:rsidR="0019273F" w:rsidRPr="00014883" w:rsidRDefault="0019273F">
      <w:pPr>
        <w:jc w:val="both"/>
        <w:rPr>
          <w:rFonts w:ascii="Arial" w:hAnsi="Arial" w:cs="Arial"/>
          <w:b/>
        </w:rPr>
      </w:pPr>
    </w:p>
    <w:p w:rsidR="0019273F" w:rsidRPr="00014883" w:rsidRDefault="005634A1">
      <w:pPr>
        <w:pStyle w:val="NoSpacing"/>
        <w:jc w:val="both"/>
        <w:rPr>
          <w:rFonts w:ascii="Arial" w:hAnsi="Arial" w:cs="Arial"/>
        </w:rPr>
      </w:pPr>
      <w:r w:rsidRPr="00014883">
        <w:rPr>
          <w:rFonts w:ascii="Arial" w:hAnsi="Arial" w:cs="Arial"/>
          <w:b/>
        </w:rPr>
        <w:t>Table</w:t>
      </w:r>
      <w:r w:rsidR="000B5382">
        <w:rPr>
          <w:rFonts w:ascii="Arial" w:hAnsi="Arial" w:cs="Arial"/>
          <w:b/>
        </w:rPr>
        <w:t xml:space="preserve"> </w:t>
      </w:r>
      <w:r w:rsidRPr="00014883">
        <w:rPr>
          <w:rFonts w:ascii="Arial" w:hAnsi="Arial" w:cs="Arial"/>
          <w:b/>
        </w:rPr>
        <w:t>2: Weight of fishes f</w:t>
      </w:r>
      <w:r w:rsidRPr="00014883">
        <w:rPr>
          <w:rFonts w:ascii="Arial" w:hAnsi="Arial" w:cs="Arial"/>
          <w:b/>
          <w:lang w:val="en-US"/>
        </w:rPr>
        <w:t>or PAHs Analysis</w:t>
      </w:r>
      <w:r w:rsidRPr="00014883">
        <w:rPr>
          <w:rFonts w:ascii="Arial" w:hAnsi="Arial" w:cs="Arial"/>
          <w:b/>
        </w:rPr>
        <w:t xml:space="preserve"> during </w:t>
      </w:r>
      <w:proofErr w:type="gramStart"/>
      <w:r w:rsidRPr="00014883">
        <w:rPr>
          <w:rFonts w:ascii="Arial" w:hAnsi="Arial" w:cs="Arial"/>
          <w:b/>
        </w:rPr>
        <w:t>dry  and</w:t>
      </w:r>
      <w:proofErr w:type="gramEnd"/>
      <w:r w:rsidRPr="00014883">
        <w:rPr>
          <w:rFonts w:ascii="Arial" w:hAnsi="Arial" w:cs="Arial"/>
          <w:b/>
        </w:rPr>
        <w:t xml:space="preserve"> raining season (January 2016 and January 2016 )  from Banegbe river and Ekpan pond</w:t>
      </w:r>
      <w:r w:rsidRPr="00014883">
        <w:rPr>
          <w:rFonts w:ascii="Arial" w:hAnsi="Arial" w:cs="Arial"/>
        </w:rPr>
        <w:t xml:space="preserve"> </w:t>
      </w:r>
    </w:p>
    <w:p w:rsidR="0019273F" w:rsidRPr="00014883" w:rsidRDefault="0019273F">
      <w:pPr>
        <w:pStyle w:val="NoSpacing"/>
        <w:jc w:val="both"/>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616"/>
        <w:gridCol w:w="1636"/>
        <w:gridCol w:w="1616"/>
        <w:gridCol w:w="1713"/>
      </w:tblGrid>
      <w:tr w:rsidR="00014883" w:rsidRPr="00014883">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Point of  collection</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Weight (g)</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Length (cm)</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Weight (g)</w:t>
            </w:r>
          </w:p>
        </w:tc>
        <w:tc>
          <w:tcPr>
            <w:tcW w:w="1916"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Length (cm)</w:t>
            </w:r>
          </w:p>
        </w:tc>
      </w:tr>
      <w:tr w:rsidR="00014883" w:rsidRPr="00014883">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Up-stream</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215</w:t>
            </w:r>
            <w:r w:rsidRPr="00014883">
              <w:rPr>
                <w:rFonts w:ascii="Arial" w:hAnsi="Arial" w:cs="Arial"/>
                <w:kern w:val="24"/>
                <w:sz w:val="20"/>
                <w:szCs w:val="20"/>
              </w:rPr>
              <w:t>±0.01</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9.6</w:t>
            </w:r>
            <w:r w:rsidRPr="00014883">
              <w:rPr>
                <w:rFonts w:ascii="Arial" w:hAnsi="Arial" w:cs="Arial"/>
                <w:kern w:val="24"/>
                <w:sz w:val="20"/>
                <w:szCs w:val="20"/>
              </w:rPr>
              <w:t>±0.00</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271</w:t>
            </w:r>
            <w:r w:rsidRPr="00014883">
              <w:rPr>
                <w:rFonts w:ascii="Arial" w:hAnsi="Arial" w:cs="Arial"/>
                <w:kern w:val="24"/>
                <w:sz w:val="20"/>
                <w:szCs w:val="20"/>
              </w:rPr>
              <w:t>±0.01</w:t>
            </w:r>
          </w:p>
        </w:tc>
        <w:tc>
          <w:tcPr>
            <w:tcW w:w="1916"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14.2</w:t>
            </w:r>
            <w:r w:rsidRPr="00014883">
              <w:rPr>
                <w:rFonts w:ascii="Arial" w:hAnsi="Arial" w:cs="Arial"/>
                <w:kern w:val="24"/>
                <w:sz w:val="20"/>
                <w:szCs w:val="20"/>
              </w:rPr>
              <w:t>±0.032</w:t>
            </w:r>
          </w:p>
        </w:tc>
      </w:tr>
      <w:tr w:rsidR="00014883" w:rsidRPr="00014883">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Middle-stream</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340</w:t>
            </w:r>
            <w:r w:rsidRPr="00014883">
              <w:rPr>
                <w:rFonts w:ascii="Arial" w:hAnsi="Arial" w:cs="Arial"/>
                <w:kern w:val="24"/>
                <w:sz w:val="20"/>
                <w:szCs w:val="20"/>
              </w:rPr>
              <w:t>±0.00</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18</w:t>
            </w:r>
            <w:r w:rsidRPr="00014883">
              <w:rPr>
                <w:rFonts w:ascii="Arial" w:hAnsi="Arial" w:cs="Arial"/>
                <w:kern w:val="24"/>
                <w:sz w:val="20"/>
                <w:szCs w:val="20"/>
              </w:rPr>
              <w:t>±0.01</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440</w:t>
            </w:r>
            <w:r w:rsidRPr="00014883">
              <w:rPr>
                <w:rFonts w:ascii="Arial" w:hAnsi="Arial" w:cs="Arial"/>
                <w:kern w:val="24"/>
                <w:sz w:val="20"/>
                <w:szCs w:val="20"/>
              </w:rPr>
              <w:t>±0.01</w:t>
            </w:r>
          </w:p>
        </w:tc>
        <w:tc>
          <w:tcPr>
            <w:tcW w:w="1916"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22.66</w:t>
            </w:r>
            <w:r w:rsidRPr="00014883">
              <w:rPr>
                <w:rFonts w:ascii="Arial" w:hAnsi="Arial" w:cs="Arial"/>
                <w:kern w:val="24"/>
                <w:sz w:val="20"/>
                <w:szCs w:val="20"/>
              </w:rPr>
              <w:t>±0.01</w:t>
            </w:r>
          </w:p>
        </w:tc>
      </w:tr>
      <w:tr w:rsidR="00014883" w:rsidRPr="00014883">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Down-stream</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265</w:t>
            </w:r>
            <w:r w:rsidRPr="00014883">
              <w:rPr>
                <w:rFonts w:ascii="Arial" w:hAnsi="Arial" w:cs="Arial"/>
                <w:kern w:val="24"/>
                <w:sz w:val="20"/>
                <w:szCs w:val="20"/>
              </w:rPr>
              <w:t>±0.03</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13.7</w:t>
            </w:r>
            <w:r w:rsidRPr="00014883">
              <w:rPr>
                <w:rFonts w:ascii="Arial" w:hAnsi="Arial" w:cs="Arial"/>
                <w:kern w:val="24"/>
                <w:sz w:val="20"/>
                <w:szCs w:val="20"/>
              </w:rPr>
              <w:t>±0.01</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259</w:t>
            </w:r>
            <w:r w:rsidRPr="00014883">
              <w:rPr>
                <w:rFonts w:ascii="Arial" w:hAnsi="Arial" w:cs="Arial"/>
                <w:kern w:val="24"/>
                <w:sz w:val="20"/>
                <w:szCs w:val="20"/>
              </w:rPr>
              <w:t>±0.04</w:t>
            </w:r>
          </w:p>
        </w:tc>
        <w:tc>
          <w:tcPr>
            <w:tcW w:w="1916"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12.84</w:t>
            </w:r>
            <w:r w:rsidRPr="00014883">
              <w:rPr>
                <w:rFonts w:ascii="Arial" w:hAnsi="Arial" w:cs="Arial"/>
                <w:kern w:val="24"/>
                <w:sz w:val="20"/>
                <w:szCs w:val="20"/>
              </w:rPr>
              <w:t>±0.010</w:t>
            </w:r>
          </w:p>
        </w:tc>
      </w:tr>
      <w:tr w:rsidR="002C5555" w:rsidRPr="00014883">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 xml:space="preserve">Ekpan </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178</w:t>
            </w:r>
            <w:r w:rsidRPr="00014883">
              <w:rPr>
                <w:rFonts w:ascii="Arial" w:hAnsi="Arial" w:cs="Arial"/>
                <w:kern w:val="24"/>
                <w:sz w:val="20"/>
                <w:szCs w:val="20"/>
              </w:rPr>
              <w:t>±0.01</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9.6</w:t>
            </w:r>
            <w:r w:rsidRPr="00014883">
              <w:rPr>
                <w:rFonts w:ascii="Arial" w:hAnsi="Arial" w:cs="Arial"/>
                <w:kern w:val="24"/>
                <w:sz w:val="20"/>
                <w:szCs w:val="20"/>
              </w:rPr>
              <w:t>±0.02</w:t>
            </w:r>
          </w:p>
        </w:tc>
        <w:tc>
          <w:tcPr>
            <w:tcW w:w="1915"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223</w:t>
            </w:r>
            <w:r w:rsidRPr="00014883">
              <w:rPr>
                <w:rFonts w:ascii="Arial" w:hAnsi="Arial" w:cs="Arial"/>
                <w:kern w:val="24"/>
                <w:sz w:val="20"/>
                <w:szCs w:val="20"/>
              </w:rPr>
              <w:t>±0.06</w:t>
            </w:r>
          </w:p>
        </w:tc>
        <w:tc>
          <w:tcPr>
            <w:tcW w:w="1916" w:type="dxa"/>
          </w:tcPr>
          <w:p w:rsidR="0019273F" w:rsidRPr="00014883" w:rsidRDefault="005634A1">
            <w:pPr>
              <w:pStyle w:val="NoSpacing"/>
              <w:jc w:val="both"/>
              <w:rPr>
                <w:rFonts w:ascii="Arial" w:hAnsi="Arial" w:cs="Arial"/>
                <w:sz w:val="20"/>
                <w:szCs w:val="20"/>
              </w:rPr>
            </w:pPr>
            <w:r w:rsidRPr="00014883">
              <w:rPr>
                <w:rFonts w:ascii="Arial" w:hAnsi="Arial" w:cs="Arial"/>
                <w:sz w:val="20"/>
                <w:szCs w:val="20"/>
              </w:rPr>
              <w:t>11.54</w:t>
            </w:r>
            <w:r w:rsidRPr="00014883">
              <w:rPr>
                <w:rFonts w:ascii="Arial" w:hAnsi="Arial" w:cs="Arial"/>
                <w:kern w:val="24"/>
                <w:sz w:val="20"/>
                <w:szCs w:val="20"/>
              </w:rPr>
              <w:t>±0.06</w:t>
            </w:r>
          </w:p>
        </w:tc>
      </w:tr>
    </w:tbl>
    <w:p w:rsidR="0019273F" w:rsidRPr="00014883" w:rsidRDefault="0019273F">
      <w:pPr>
        <w:jc w:val="both"/>
        <w:rPr>
          <w:rFonts w:ascii="Arial" w:hAnsi="Arial" w:cs="Arial"/>
          <w:b/>
        </w:rPr>
      </w:pPr>
    </w:p>
    <w:p w:rsidR="0019273F" w:rsidRPr="00014883" w:rsidRDefault="0019273F">
      <w:pPr>
        <w:jc w:val="both"/>
        <w:rPr>
          <w:rFonts w:ascii="Arial" w:hAnsi="Arial" w:cs="Arial"/>
          <w:lang w:val="id-ID"/>
        </w:rPr>
      </w:pPr>
    </w:p>
    <w:p w:rsidR="0019273F" w:rsidRPr="00014883" w:rsidRDefault="005634A1">
      <w:pPr>
        <w:jc w:val="both"/>
        <w:rPr>
          <w:rFonts w:ascii="Arial" w:hAnsi="Arial" w:cs="Arial"/>
          <w:b/>
          <w:i/>
          <w:iCs/>
        </w:rPr>
      </w:pPr>
      <w:r w:rsidRPr="00014883">
        <w:rPr>
          <w:rFonts w:ascii="Arial" w:hAnsi="Arial" w:cs="Arial"/>
          <w:b/>
          <w:i/>
          <w:iCs/>
        </w:rPr>
        <w:t>Polycyclic aromatic hydrocarbon concentrations in Banegbe River at different locations (up-stream, middle-stream and down-stream) and reference points (Ekpan pond water).</w:t>
      </w:r>
    </w:p>
    <w:p w:rsidR="0019273F" w:rsidRPr="00014883" w:rsidRDefault="0019273F">
      <w:pPr>
        <w:jc w:val="both"/>
        <w:rPr>
          <w:rFonts w:ascii="Arial" w:hAnsi="Arial" w:cs="Arial"/>
          <w:b/>
          <w:i/>
          <w:iCs/>
        </w:rPr>
      </w:pPr>
    </w:p>
    <w:p w:rsidR="0019273F" w:rsidRPr="00014883" w:rsidRDefault="005634A1">
      <w:pPr>
        <w:jc w:val="both"/>
        <w:rPr>
          <w:rFonts w:ascii="Arial" w:hAnsi="Arial" w:cs="Arial"/>
        </w:rPr>
      </w:pPr>
      <w:r w:rsidRPr="00014883">
        <w:rPr>
          <w:rFonts w:ascii="Arial" w:hAnsi="Arial" w:cs="Arial"/>
        </w:rPr>
        <w:t>The result of the PAHs from different points of Banegbe River and the control water body (Ekpan pond) revealed that middle-stream and down-stream had the highest concentration of total PAHs of 4.695mg/l and 4.442 mg/l respectively, with benzo (a) anthracene having the highest values respectively, when compared to up-stream of Banegbe River. Then followed by Ekpan pond water with the value of 3.274 mg/l and all the sixteen PAHs analysed present in it, with fluoranthene having the highest value of 2.032 mg/l.</w:t>
      </w:r>
    </w:p>
    <w:p w:rsidR="0019273F" w:rsidRPr="00014883" w:rsidRDefault="0019273F">
      <w:pPr>
        <w:jc w:val="both"/>
        <w:rPr>
          <w:rFonts w:ascii="Arial" w:hAnsi="Arial" w:cs="Arial"/>
        </w:rPr>
      </w:pPr>
    </w:p>
    <w:p w:rsidR="0019273F" w:rsidRPr="00014883" w:rsidRDefault="005634A1">
      <w:pPr>
        <w:jc w:val="both"/>
        <w:rPr>
          <w:rFonts w:ascii="Arial" w:hAnsi="Arial" w:cs="Arial"/>
          <w:b/>
          <w:i/>
          <w:iCs/>
        </w:rPr>
      </w:pPr>
      <w:r w:rsidRPr="00014883">
        <w:rPr>
          <w:rFonts w:ascii="Arial" w:hAnsi="Arial" w:cs="Arial"/>
          <w:b/>
          <w:i/>
          <w:iCs/>
        </w:rPr>
        <w:t>Table 3 Polycyclic aromatic hydrocarbons concentrations in Banegbe River at different locations (up-stream, middle-stream and down-stream) and reference points (Ekpan pond water).</w:t>
      </w:r>
    </w:p>
    <w:tbl>
      <w:tblPr>
        <w:tblStyle w:val="TableGridLight1"/>
        <w:tblW w:w="707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1085"/>
        <w:gridCol w:w="1155"/>
        <w:gridCol w:w="1085"/>
        <w:gridCol w:w="1407"/>
      </w:tblGrid>
      <w:tr w:rsidR="00014883" w:rsidRPr="00014883">
        <w:tc>
          <w:tcPr>
            <w:tcW w:w="2341" w:type="dxa"/>
            <w:tcBorders>
              <w:top w:val="single" w:sz="4" w:space="0" w:color="auto"/>
              <w:bottom w:val="nil"/>
            </w:tcBorders>
          </w:tcPr>
          <w:p w:rsidR="0019273F" w:rsidRPr="00014883" w:rsidRDefault="005634A1">
            <w:pPr>
              <w:rPr>
                <w:rFonts w:ascii="Arial" w:eastAsiaTheme="minorEastAsia" w:hAnsi="Arial" w:cs="Arial"/>
                <w:bCs/>
              </w:rPr>
            </w:pPr>
            <w:r w:rsidRPr="00014883">
              <w:rPr>
                <w:rFonts w:ascii="Arial" w:eastAsiaTheme="minorEastAsia" w:hAnsi="Arial" w:cs="Arial"/>
                <w:b/>
              </w:rPr>
              <w:t>Components</w:t>
            </w:r>
          </w:p>
        </w:tc>
        <w:tc>
          <w:tcPr>
            <w:tcW w:w="1085" w:type="dxa"/>
            <w:tcBorders>
              <w:top w:val="single" w:sz="4" w:space="0" w:color="auto"/>
              <w:bottom w:val="single" w:sz="4" w:space="0" w:color="auto"/>
            </w:tcBorders>
          </w:tcPr>
          <w:p w:rsidR="0019273F" w:rsidRPr="00014883" w:rsidRDefault="0019273F">
            <w:pPr>
              <w:rPr>
                <w:rFonts w:ascii="Arial" w:eastAsiaTheme="minorEastAsia" w:hAnsi="Arial" w:cs="Arial"/>
                <w:b/>
                <w:bCs/>
              </w:rPr>
            </w:pPr>
          </w:p>
        </w:tc>
        <w:tc>
          <w:tcPr>
            <w:tcW w:w="1155" w:type="dxa"/>
            <w:tcBorders>
              <w:top w:val="single" w:sz="4" w:space="0" w:color="auto"/>
              <w:bottom w:val="single" w:sz="4" w:space="0" w:color="auto"/>
            </w:tcBorders>
          </w:tcPr>
          <w:p w:rsidR="0019273F" w:rsidRPr="00014883" w:rsidRDefault="005634A1">
            <w:pPr>
              <w:rPr>
                <w:rFonts w:ascii="Arial" w:eastAsiaTheme="minorEastAsia" w:hAnsi="Arial" w:cs="Arial"/>
                <w:b/>
                <w:bCs/>
              </w:rPr>
            </w:pPr>
            <w:r w:rsidRPr="00014883">
              <w:rPr>
                <w:rFonts w:ascii="Arial" w:eastAsiaTheme="minorEastAsia" w:hAnsi="Arial" w:cs="Arial"/>
                <w:b/>
                <w:bCs/>
              </w:rPr>
              <w:t>Banegbe River</w:t>
            </w:r>
          </w:p>
        </w:tc>
        <w:tc>
          <w:tcPr>
            <w:tcW w:w="1085" w:type="dxa"/>
            <w:tcBorders>
              <w:top w:val="single" w:sz="4" w:space="0" w:color="auto"/>
              <w:bottom w:val="single" w:sz="4" w:space="0" w:color="auto"/>
            </w:tcBorders>
          </w:tcPr>
          <w:p w:rsidR="0019273F" w:rsidRPr="00014883" w:rsidRDefault="0019273F">
            <w:pPr>
              <w:rPr>
                <w:rFonts w:ascii="Arial" w:eastAsiaTheme="minorEastAsia" w:hAnsi="Arial" w:cs="Arial"/>
                <w:b/>
                <w:bCs/>
              </w:rPr>
            </w:pPr>
          </w:p>
        </w:tc>
        <w:tc>
          <w:tcPr>
            <w:tcW w:w="1407" w:type="dxa"/>
            <w:tcBorders>
              <w:top w:val="single" w:sz="4" w:space="0" w:color="auto"/>
              <w:bottom w:val="single" w:sz="4" w:space="0" w:color="auto"/>
            </w:tcBorders>
          </w:tcPr>
          <w:p w:rsidR="0019273F" w:rsidRPr="00014883" w:rsidRDefault="005634A1">
            <w:pPr>
              <w:rPr>
                <w:rFonts w:ascii="Arial" w:eastAsiaTheme="minorEastAsia" w:hAnsi="Arial" w:cs="Arial"/>
                <w:b/>
                <w:bCs/>
              </w:rPr>
            </w:pPr>
            <w:r w:rsidRPr="00014883">
              <w:rPr>
                <w:rFonts w:ascii="Arial" w:eastAsiaTheme="minorEastAsia" w:hAnsi="Arial" w:cs="Arial"/>
                <w:b/>
                <w:bCs/>
              </w:rPr>
              <w:t>Reference (control) site</w:t>
            </w:r>
          </w:p>
        </w:tc>
      </w:tr>
      <w:tr w:rsidR="00014883" w:rsidRPr="00014883">
        <w:tc>
          <w:tcPr>
            <w:tcW w:w="2341" w:type="dxa"/>
            <w:tcBorders>
              <w:top w:val="nil"/>
              <w:bottom w:val="single" w:sz="4" w:space="0" w:color="auto"/>
            </w:tcBorders>
          </w:tcPr>
          <w:p w:rsidR="0019273F" w:rsidRPr="00014883" w:rsidRDefault="0019273F">
            <w:pPr>
              <w:rPr>
                <w:rFonts w:ascii="Arial" w:eastAsiaTheme="minorEastAsia" w:hAnsi="Arial" w:cs="Arial"/>
                <w:bCs/>
              </w:rPr>
            </w:pPr>
          </w:p>
        </w:tc>
        <w:tc>
          <w:tcPr>
            <w:tcW w:w="1085" w:type="dxa"/>
            <w:tcBorders>
              <w:top w:val="single" w:sz="4" w:space="0" w:color="auto"/>
              <w:bottom w:val="single" w:sz="4" w:space="0" w:color="auto"/>
            </w:tcBorders>
          </w:tcPr>
          <w:p w:rsidR="0019273F" w:rsidRPr="00014883" w:rsidRDefault="005634A1">
            <w:pPr>
              <w:rPr>
                <w:rFonts w:ascii="Arial" w:eastAsiaTheme="minorEastAsia" w:hAnsi="Arial" w:cs="Arial"/>
                <w:b/>
              </w:rPr>
            </w:pPr>
            <w:r w:rsidRPr="00014883">
              <w:rPr>
                <w:rFonts w:ascii="Arial" w:eastAsiaTheme="minorEastAsia" w:hAnsi="Arial" w:cs="Arial"/>
                <w:b/>
              </w:rPr>
              <w:t xml:space="preserve">Up-stream </w:t>
            </w:r>
          </w:p>
        </w:tc>
        <w:tc>
          <w:tcPr>
            <w:tcW w:w="1155" w:type="dxa"/>
            <w:tcBorders>
              <w:top w:val="single" w:sz="4" w:space="0" w:color="auto"/>
              <w:bottom w:val="single" w:sz="4" w:space="0" w:color="auto"/>
            </w:tcBorders>
          </w:tcPr>
          <w:p w:rsidR="0019273F" w:rsidRPr="00014883" w:rsidRDefault="005634A1">
            <w:pPr>
              <w:rPr>
                <w:rFonts w:ascii="Arial" w:eastAsiaTheme="minorEastAsia" w:hAnsi="Arial" w:cs="Arial"/>
                <w:b/>
              </w:rPr>
            </w:pPr>
            <w:r w:rsidRPr="00014883">
              <w:rPr>
                <w:rFonts w:ascii="Arial" w:eastAsiaTheme="minorEastAsia" w:hAnsi="Arial" w:cs="Arial"/>
                <w:b/>
              </w:rPr>
              <w:t>Middle-stream</w:t>
            </w:r>
          </w:p>
        </w:tc>
        <w:tc>
          <w:tcPr>
            <w:tcW w:w="1085" w:type="dxa"/>
            <w:tcBorders>
              <w:top w:val="single" w:sz="4" w:space="0" w:color="auto"/>
              <w:bottom w:val="single" w:sz="4" w:space="0" w:color="auto"/>
            </w:tcBorders>
          </w:tcPr>
          <w:p w:rsidR="0019273F" w:rsidRPr="00014883" w:rsidRDefault="005634A1">
            <w:pPr>
              <w:rPr>
                <w:rFonts w:ascii="Arial" w:eastAsiaTheme="minorEastAsia" w:hAnsi="Arial" w:cs="Arial"/>
                <w:b/>
              </w:rPr>
            </w:pPr>
            <w:r w:rsidRPr="00014883">
              <w:rPr>
                <w:rFonts w:ascii="Arial" w:eastAsiaTheme="minorEastAsia" w:hAnsi="Arial" w:cs="Arial"/>
                <w:b/>
              </w:rPr>
              <w:t>Down-stream</w:t>
            </w:r>
          </w:p>
        </w:tc>
        <w:tc>
          <w:tcPr>
            <w:tcW w:w="1407" w:type="dxa"/>
            <w:tcBorders>
              <w:top w:val="single" w:sz="4" w:space="0" w:color="auto"/>
              <w:bottom w:val="single" w:sz="4" w:space="0" w:color="auto"/>
            </w:tcBorders>
          </w:tcPr>
          <w:p w:rsidR="0019273F" w:rsidRPr="00014883" w:rsidRDefault="005634A1">
            <w:pPr>
              <w:rPr>
                <w:rFonts w:ascii="Arial" w:eastAsiaTheme="minorEastAsia" w:hAnsi="Arial" w:cs="Arial"/>
                <w:b/>
              </w:rPr>
            </w:pPr>
            <w:r w:rsidRPr="00014883">
              <w:rPr>
                <w:rFonts w:ascii="Arial" w:eastAsiaTheme="minorEastAsia" w:hAnsi="Arial" w:cs="Arial"/>
                <w:b/>
              </w:rPr>
              <w:t>Pond water</w:t>
            </w:r>
          </w:p>
        </w:tc>
      </w:tr>
      <w:tr w:rsidR="00014883" w:rsidRPr="00014883">
        <w:tc>
          <w:tcPr>
            <w:tcW w:w="2341" w:type="dxa"/>
            <w:tcBorders>
              <w:top w:val="single" w:sz="4" w:space="0" w:color="auto"/>
            </w:tcBorders>
          </w:tcPr>
          <w:p w:rsidR="0019273F" w:rsidRPr="00014883" w:rsidRDefault="005634A1">
            <w:pPr>
              <w:pStyle w:val="NoSpacing"/>
              <w:jc w:val="both"/>
              <w:rPr>
                <w:rFonts w:ascii="Arial" w:hAnsi="Arial" w:cs="Arial"/>
                <w:bCs/>
              </w:rPr>
            </w:pPr>
            <w:r w:rsidRPr="00014883">
              <w:rPr>
                <w:rFonts w:ascii="Arial" w:hAnsi="Arial" w:cs="Arial"/>
                <w:b/>
              </w:rPr>
              <w:t>Naphthalene</w:t>
            </w:r>
          </w:p>
        </w:tc>
        <w:tc>
          <w:tcPr>
            <w:tcW w:w="1085" w:type="dxa"/>
            <w:tcBorders>
              <w:top w:val="single" w:sz="4" w:space="0" w:color="auto"/>
            </w:tcBorders>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eastAsia="Calibri" w:hAnsi="Arial" w:cs="Arial"/>
                <w:kern w:val="24"/>
                <w:sz w:val="20"/>
                <w:szCs w:val="20"/>
              </w:rPr>
              <w:t xml:space="preserve">ND </w:t>
            </w:r>
          </w:p>
        </w:tc>
        <w:tc>
          <w:tcPr>
            <w:tcW w:w="1155" w:type="dxa"/>
            <w:tcBorders>
              <w:top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085" w:type="dxa"/>
            <w:tcBorders>
              <w:top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407" w:type="dxa"/>
            <w:tcBorders>
              <w:top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0.013</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lastRenderedPageBreak/>
              <w:t>Acenaphthylene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0.110</w:t>
            </w:r>
          </w:p>
        </w:tc>
        <w:tc>
          <w:tcPr>
            <w:tcW w:w="1155" w:type="dxa"/>
          </w:tcPr>
          <w:p w:rsidR="0019273F" w:rsidRPr="00014883" w:rsidRDefault="005634A1">
            <w:pPr>
              <w:pStyle w:val="NoSpacing"/>
              <w:jc w:val="both"/>
              <w:rPr>
                <w:rFonts w:ascii="Arial" w:hAnsi="Arial" w:cs="Arial"/>
              </w:rPr>
            </w:pPr>
            <w:r w:rsidRPr="00014883">
              <w:rPr>
                <w:rFonts w:ascii="Arial" w:hAnsi="Arial" w:cs="Arial"/>
              </w:rPr>
              <w:t>0.063</w:t>
            </w:r>
          </w:p>
        </w:tc>
        <w:tc>
          <w:tcPr>
            <w:tcW w:w="1085" w:type="dxa"/>
          </w:tcPr>
          <w:p w:rsidR="0019273F" w:rsidRPr="00014883" w:rsidRDefault="005634A1">
            <w:pPr>
              <w:pStyle w:val="NoSpacing"/>
              <w:jc w:val="both"/>
              <w:rPr>
                <w:rFonts w:ascii="Arial" w:hAnsi="Arial" w:cs="Arial"/>
              </w:rPr>
            </w:pPr>
            <w:r w:rsidRPr="00014883">
              <w:rPr>
                <w:rFonts w:ascii="Arial" w:hAnsi="Arial" w:cs="Arial"/>
              </w:rPr>
              <w:t>0.014</w:t>
            </w:r>
          </w:p>
        </w:tc>
        <w:tc>
          <w:tcPr>
            <w:tcW w:w="1407" w:type="dxa"/>
          </w:tcPr>
          <w:p w:rsidR="0019273F" w:rsidRPr="00014883" w:rsidRDefault="005634A1">
            <w:pPr>
              <w:pStyle w:val="NoSpacing"/>
              <w:jc w:val="both"/>
              <w:rPr>
                <w:rFonts w:ascii="Arial" w:hAnsi="Arial" w:cs="Arial"/>
              </w:rPr>
            </w:pPr>
            <w:r w:rsidRPr="00014883">
              <w:rPr>
                <w:rFonts w:ascii="Arial" w:hAnsi="Arial" w:cs="Arial"/>
              </w:rPr>
              <w:t>0.013</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Acenaphthene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0.013</w:t>
            </w:r>
          </w:p>
        </w:tc>
        <w:tc>
          <w:tcPr>
            <w:tcW w:w="1155" w:type="dxa"/>
          </w:tcPr>
          <w:p w:rsidR="0019273F" w:rsidRPr="00014883" w:rsidRDefault="005634A1">
            <w:pPr>
              <w:pStyle w:val="NoSpacing"/>
              <w:jc w:val="both"/>
              <w:rPr>
                <w:rFonts w:ascii="Arial" w:hAnsi="Arial" w:cs="Arial"/>
              </w:rPr>
            </w:pPr>
            <w:r w:rsidRPr="00014883">
              <w:rPr>
                <w:rFonts w:ascii="Arial" w:hAnsi="Arial" w:cs="Arial"/>
              </w:rPr>
              <w:t>0.154</w:t>
            </w:r>
          </w:p>
        </w:tc>
        <w:tc>
          <w:tcPr>
            <w:tcW w:w="1085" w:type="dxa"/>
          </w:tcPr>
          <w:p w:rsidR="0019273F" w:rsidRPr="00014883" w:rsidRDefault="005634A1">
            <w:pPr>
              <w:pStyle w:val="NoSpacing"/>
              <w:jc w:val="both"/>
              <w:rPr>
                <w:rFonts w:ascii="Arial" w:hAnsi="Arial" w:cs="Arial"/>
              </w:rPr>
            </w:pPr>
            <w:r w:rsidRPr="00014883">
              <w:rPr>
                <w:rFonts w:ascii="Arial" w:hAnsi="Arial" w:cs="Arial"/>
              </w:rPr>
              <w:t>0.111</w:t>
            </w:r>
          </w:p>
        </w:tc>
        <w:tc>
          <w:tcPr>
            <w:tcW w:w="1407" w:type="dxa"/>
          </w:tcPr>
          <w:p w:rsidR="0019273F" w:rsidRPr="00014883" w:rsidRDefault="005634A1">
            <w:pPr>
              <w:pStyle w:val="NoSpacing"/>
              <w:jc w:val="both"/>
              <w:rPr>
                <w:rFonts w:ascii="Arial" w:hAnsi="Arial" w:cs="Arial"/>
              </w:rPr>
            </w:pPr>
            <w:r w:rsidRPr="00014883">
              <w:rPr>
                <w:rFonts w:ascii="Arial" w:hAnsi="Arial" w:cs="Arial"/>
              </w:rPr>
              <w:t>0.045</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Florene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0.257</w:t>
            </w:r>
          </w:p>
        </w:tc>
        <w:tc>
          <w:tcPr>
            <w:tcW w:w="1155" w:type="dxa"/>
          </w:tcPr>
          <w:p w:rsidR="0019273F" w:rsidRPr="00014883" w:rsidRDefault="005634A1">
            <w:pPr>
              <w:pStyle w:val="NoSpacing"/>
              <w:jc w:val="both"/>
              <w:rPr>
                <w:rFonts w:ascii="Arial" w:hAnsi="Arial" w:cs="Arial"/>
              </w:rPr>
            </w:pPr>
            <w:r w:rsidRPr="00014883">
              <w:rPr>
                <w:rFonts w:ascii="Arial" w:hAnsi="Arial" w:cs="Arial"/>
              </w:rPr>
              <w:t>0.315</w:t>
            </w:r>
          </w:p>
        </w:tc>
        <w:tc>
          <w:tcPr>
            <w:tcW w:w="1085" w:type="dxa"/>
          </w:tcPr>
          <w:p w:rsidR="0019273F" w:rsidRPr="00014883" w:rsidRDefault="005634A1">
            <w:pPr>
              <w:pStyle w:val="NoSpacing"/>
              <w:jc w:val="both"/>
              <w:rPr>
                <w:rFonts w:ascii="Arial" w:hAnsi="Arial" w:cs="Arial"/>
              </w:rPr>
            </w:pPr>
            <w:r w:rsidRPr="00014883">
              <w:rPr>
                <w:rFonts w:ascii="Arial" w:hAnsi="Arial" w:cs="Arial"/>
              </w:rPr>
              <w:t>0.957</w:t>
            </w:r>
          </w:p>
        </w:tc>
        <w:tc>
          <w:tcPr>
            <w:tcW w:w="1407" w:type="dxa"/>
          </w:tcPr>
          <w:p w:rsidR="0019273F" w:rsidRPr="00014883" w:rsidRDefault="005634A1">
            <w:pPr>
              <w:pStyle w:val="NoSpacing"/>
              <w:jc w:val="both"/>
              <w:rPr>
                <w:rFonts w:ascii="Arial" w:hAnsi="Arial" w:cs="Arial"/>
              </w:rPr>
            </w:pPr>
            <w:r w:rsidRPr="00014883">
              <w:rPr>
                <w:rFonts w:ascii="Arial" w:hAnsi="Arial" w:cs="Arial"/>
              </w:rPr>
              <w:t>0.349</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Phenanthrene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0.076</w:t>
            </w:r>
          </w:p>
        </w:tc>
        <w:tc>
          <w:tcPr>
            <w:tcW w:w="1155" w:type="dxa"/>
          </w:tcPr>
          <w:p w:rsidR="0019273F" w:rsidRPr="00014883" w:rsidRDefault="005634A1">
            <w:pPr>
              <w:pStyle w:val="NoSpacing"/>
              <w:jc w:val="both"/>
              <w:rPr>
                <w:rFonts w:ascii="Arial" w:hAnsi="Arial" w:cs="Arial"/>
              </w:rPr>
            </w:pPr>
            <w:r w:rsidRPr="00014883">
              <w:rPr>
                <w:rFonts w:ascii="Arial" w:hAnsi="Arial" w:cs="Arial"/>
              </w:rPr>
              <w:t>0.050</w:t>
            </w:r>
          </w:p>
        </w:tc>
        <w:tc>
          <w:tcPr>
            <w:tcW w:w="1085" w:type="dxa"/>
          </w:tcPr>
          <w:p w:rsidR="0019273F" w:rsidRPr="00014883" w:rsidRDefault="005634A1">
            <w:pPr>
              <w:pStyle w:val="NoSpacing"/>
              <w:jc w:val="both"/>
              <w:rPr>
                <w:rFonts w:ascii="Arial" w:hAnsi="Arial" w:cs="Arial"/>
              </w:rPr>
            </w:pPr>
            <w:r w:rsidRPr="00014883">
              <w:rPr>
                <w:rFonts w:ascii="Arial" w:hAnsi="Arial" w:cs="Arial"/>
              </w:rPr>
              <w:t>0.076</w:t>
            </w:r>
          </w:p>
        </w:tc>
        <w:tc>
          <w:tcPr>
            <w:tcW w:w="1407" w:type="dxa"/>
          </w:tcPr>
          <w:p w:rsidR="0019273F" w:rsidRPr="00014883" w:rsidRDefault="005634A1">
            <w:pPr>
              <w:pStyle w:val="NoSpacing"/>
              <w:jc w:val="both"/>
              <w:rPr>
                <w:rFonts w:ascii="Arial" w:hAnsi="Arial" w:cs="Arial"/>
              </w:rPr>
            </w:pPr>
            <w:r w:rsidRPr="00014883">
              <w:rPr>
                <w:rFonts w:ascii="Arial" w:hAnsi="Arial" w:cs="Arial"/>
              </w:rPr>
              <w:t>0.067</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Anthracene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0.174</w:t>
            </w:r>
          </w:p>
        </w:tc>
        <w:tc>
          <w:tcPr>
            <w:tcW w:w="1155" w:type="dxa"/>
          </w:tcPr>
          <w:p w:rsidR="0019273F" w:rsidRPr="00014883" w:rsidRDefault="005634A1">
            <w:pPr>
              <w:pStyle w:val="NoSpacing"/>
              <w:jc w:val="both"/>
              <w:rPr>
                <w:rFonts w:ascii="Arial" w:hAnsi="Arial" w:cs="Arial"/>
              </w:rPr>
            </w:pPr>
            <w:r w:rsidRPr="00014883">
              <w:rPr>
                <w:rFonts w:ascii="Arial" w:hAnsi="Arial" w:cs="Arial"/>
              </w:rPr>
              <w:t>0.154</w:t>
            </w:r>
          </w:p>
        </w:tc>
        <w:tc>
          <w:tcPr>
            <w:tcW w:w="1085" w:type="dxa"/>
          </w:tcPr>
          <w:p w:rsidR="0019273F" w:rsidRPr="00014883" w:rsidRDefault="005634A1">
            <w:pPr>
              <w:pStyle w:val="NoSpacing"/>
              <w:jc w:val="both"/>
              <w:rPr>
                <w:rFonts w:ascii="Arial" w:hAnsi="Arial" w:cs="Arial"/>
              </w:rPr>
            </w:pPr>
            <w:r w:rsidRPr="00014883">
              <w:rPr>
                <w:rFonts w:ascii="Arial" w:hAnsi="Arial" w:cs="Arial"/>
              </w:rPr>
              <w:t>0.134</w:t>
            </w:r>
          </w:p>
        </w:tc>
        <w:tc>
          <w:tcPr>
            <w:tcW w:w="1407" w:type="dxa"/>
          </w:tcPr>
          <w:p w:rsidR="0019273F" w:rsidRPr="00014883" w:rsidRDefault="005634A1">
            <w:pPr>
              <w:pStyle w:val="NoSpacing"/>
              <w:jc w:val="both"/>
              <w:rPr>
                <w:rFonts w:ascii="Arial" w:hAnsi="Arial" w:cs="Arial"/>
              </w:rPr>
            </w:pPr>
            <w:r w:rsidRPr="00014883">
              <w:rPr>
                <w:rFonts w:ascii="Arial" w:hAnsi="Arial" w:cs="Arial"/>
              </w:rPr>
              <w:t>0.011</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Fluoranthene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w:t>
            </w:r>
          </w:p>
        </w:tc>
        <w:tc>
          <w:tcPr>
            <w:tcW w:w="1155" w:type="dxa"/>
          </w:tcPr>
          <w:p w:rsidR="0019273F" w:rsidRPr="00014883" w:rsidRDefault="005634A1">
            <w:pPr>
              <w:pStyle w:val="NoSpacing"/>
              <w:jc w:val="both"/>
              <w:rPr>
                <w:rFonts w:ascii="Arial" w:hAnsi="Arial" w:cs="Arial"/>
              </w:rPr>
            </w:pPr>
            <w:r w:rsidRPr="00014883">
              <w:rPr>
                <w:rFonts w:ascii="Arial" w:hAnsi="Arial" w:cs="Arial"/>
              </w:rPr>
              <w:t>ND</w:t>
            </w:r>
          </w:p>
        </w:tc>
        <w:tc>
          <w:tcPr>
            <w:tcW w:w="1085" w:type="dxa"/>
          </w:tcPr>
          <w:p w:rsidR="0019273F" w:rsidRPr="00014883" w:rsidRDefault="005634A1">
            <w:pPr>
              <w:pStyle w:val="NoSpacing"/>
              <w:jc w:val="both"/>
              <w:rPr>
                <w:rFonts w:ascii="Arial" w:hAnsi="Arial" w:cs="Arial"/>
              </w:rPr>
            </w:pPr>
            <w:r w:rsidRPr="00014883">
              <w:rPr>
                <w:rFonts w:ascii="Arial" w:hAnsi="Arial" w:cs="Arial"/>
              </w:rPr>
              <w:t>ND</w:t>
            </w:r>
          </w:p>
        </w:tc>
        <w:tc>
          <w:tcPr>
            <w:tcW w:w="1407" w:type="dxa"/>
          </w:tcPr>
          <w:p w:rsidR="0019273F" w:rsidRPr="00014883" w:rsidRDefault="005634A1">
            <w:pPr>
              <w:pStyle w:val="NoSpacing"/>
              <w:jc w:val="both"/>
              <w:rPr>
                <w:rFonts w:ascii="Arial" w:hAnsi="Arial" w:cs="Arial"/>
              </w:rPr>
            </w:pPr>
            <w:r w:rsidRPr="00014883">
              <w:rPr>
                <w:rFonts w:ascii="Arial" w:hAnsi="Arial" w:cs="Arial"/>
              </w:rPr>
              <w:t>2.032</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Pyrene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0.027</w:t>
            </w:r>
          </w:p>
        </w:tc>
        <w:tc>
          <w:tcPr>
            <w:tcW w:w="1155" w:type="dxa"/>
          </w:tcPr>
          <w:p w:rsidR="0019273F" w:rsidRPr="00014883" w:rsidRDefault="005634A1">
            <w:pPr>
              <w:pStyle w:val="NoSpacing"/>
              <w:jc w:val="both"/>
              <w:rPr>
                <w:rFonts w:ascii="Arial" w:hAnsi="Arial" w:cs="Arial"/>
              </w:rPr>
            </w:pPr>
            <w:r w:rsidRPr="00014883">
              <w:rPr>
                <w:rFonts w:ascii="Arial" w:hAnsi="Arial" w:cs="Arial"/>
              </w:rPr>
              <w:t>0.081</w:t>
            </w:r>
          </w:p>
        </w:tc>
        <w:tc>
          <w:tcPr>
            <w:tcW w:w="1085" w:type="dxa"/>
          </w:tcPr>
          <w:p w:rsidR="0019273F" w:rsidRPr="00014883" w:rsidRDefault="005634A1">
            <w:pPr>
              <w:pStyle w:val="NoSpacing"/>
              <w:jc w:val="both"/>
              <w:rPr>
                <w:rFonts w:ascii="Arial" w:hAnsi="Arial" w:cs="Arial"/>
              </w:rPr>
            </w:pPr>
            <w:r w:rsidRPr="00014883">
              <w:rPr>
                <w:rFonts w:ascii="Arial" w:hAnsi="Arial" w:cs="Arial"/>
              </w:rPr>
              <w:t>0.067</w:t>
            </w:r>
          </w:p>
        </w:tc>
        <w:tc>
          <w:tcPr>
            <w:tcW w:w="1407" w:type="dxa"/>
          </w:tcPr>
          <w:p w:rsidR="0019273F" w:rsidRPr="00014883" w:rsidRDefault="005634A1">
            <w:pPr>
              <w:pStyle w:val="NoSpacing"/>
              <w:jc w:val="both"/>
              <w:rPr>
                <w:rFonts w:ascii="Arial" w:hAnsi="Arial" w:cs="Arial"/>
              </w:rPr>
            </w:pPr>
            <w:r w:rsidRPr="00014883">
              <w:rPr>
                <w:rFonts w:ascii="Arial" w:hAnsi="Arial" w:cs="Arial"/>
              </w:rPr>
              <w:t>0.015</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Benzo(a) anthracene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0.962</w:t>
            </w:r>
          </w:p>
        </w:tc>
        <w:tc>
          <w:tcPr>
            <w:tcW w:w="1155" w:type="dxa"/>
          </w:tcPr>
          <w:p w:rsidR="0019273F" w:rsidRPr="00014883" w:rsidRDefault="005634A1">
            <w:pPr>
              <w:pStyle w:val="NoSpacing"/>
              <w:jc w:val="both"/>
              <w:rPr>
                <w:rFonts w:ascii="Arial" w:hAnsi="Arial" w:cs="Arial"/>
              </w:rPr>
            </w:pPr>
            <w:r w:rsidRPr="00014883">
              <w:rPr>
                <w:rFonts w:ascii="Arial" w:hAnsi="Arial" w:cs="Arial"/>
              </w:rPr>
              <w:t>1.068</w:t>
            </w:r>
          </w:p>
        </w:tc>
        <w:tc>
          <w:tcPr>
            <w:tcW w:w="1085" w:type="dxa"/>
          </w:tcPr>
          <w:p w:rsidR="0019273F" w:rsidRPr="00014883" w:rsidRDefault="005634A1">
            <w:pPr>
              <w:pStyle w:val="NoSpacing"/>
              <w:jc w:val="both"/>
              <w:rPr>
                <w:rFonts w:ascii="Arial" w:hAnsi="Arial" w:cs="Arial"/>
              </w:rPr>
            </w:pPr>
            <w:r w:rsidRPr="00014883">
              <w:rPr>
                <w:rFonts w:ascii="Arial" w:hAnsi="Arial" w:cs="Arial"/>
              </w:rPr>
              <w:t>1.062</w:t>
            </w:r>
          </w:p>
        </w:tc>
        <w:tc>
          <w:tcPr>
            <w:tcW w:w="1407" w:type="dxa"/>
          </w:tcPr>
          <w:p w:rsidR="0019273F" w:rsidRPr="00014883" w:rsidRDefault="005634A1">
            <w:pPr>
              <w:pStyle w:val="NoSpacing"/>
              <w:jc w:val="both"/>
              <w:rPr>
                <w:rFonts w:ascii="Arial" w:hAnsi="Arial" w:cs="Arial"/>
              </w:rPr>
            </w:pPr>
            <w:r w:rsidRPr="00014883">
              <w:rPr>
                <w:rFonts w:ascii="Arial" w:hAnsi="Arial" w:cs="Arial"/>
              </w:rPr>
              <w:t>0.045</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Chrysene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0.440</w:t>
            </w:r>
          </w:p>
        </w:tc>
        <w:tc>
          <w:tcPr>
            <w:tcW w:w="1155" w:type="dxa"/>
          </w:tcPr>
          <w:p w:rsidR="0019273F" w:rsidRPr="00014883" w:rsidRDefault="005634A1">
            <w:pPr>
              <w:pStyle w:val="NoSpacing"/>
              <w:jc w:val="both"/>
              <w:rPr>
                <w:rFonts w:ascii="Arial" w:hAnsi="Arial" w:cs="Arial"/>
              </w:rPr>
            </w:pPr>
            <w:r w:rsidRPr="00014883">
              <w:rPr>
                <w:rFonts w:ascii="Arial" w:hAnsi="Arial" w:cs="Arial"/>
              </w:rPr>
              <w:t>0.758</w:t>
            </w:r>
          </w:p>
        </w:tc>
        <w:tc>
          <w:tcPr>
            <w:tcW w:w="1085" w:type="dxa"/>
          </w:tcPr>
          <w:p w:rsidR="0019273F" w:rsidRPr="00014883" w:rsidRDefault="005634A1">
            <w:pPr>
              <w:pStyle w:val="NoSpacing"/>
              <w:jc w:val="both"/>
              <w:rPr>
                <w:rFonts w:ascii="Arial" w:hAnsi="Arial" w:cs="Arial"/>
              </w:rPr>
            </w:pPr>
            <w:r w:rsidRPr="00014883">
              <w:rPr>
                <w:rFonts w:ascii="Arial" w:hAnsi="Arial" w:cs="Arial"/>
              </w:rPr>
              <w:t>0.690</w:t>
            </w:r>
          </w:p>
        </w:tc>
        <w:tc>
          <w:tcPr>
            <w:tcW w:w="1407" w:type="dxa"/>
          </w:tcPr>
          <w:p w:rsidR="0019273F" w:rsidRPr="00014883" w:rsidRDefault="005634A1">
            <w:pPr>
              <w:pStyle w:val="NoSpacing"/>
              <w:jc w:val="both"/>
              <w:rPr>
                <w:rFonts w:ascii="Arial" w:hAnsi="Arial" w:cs="Arial"/>
              </w:rPr>
            </w:pPr>
            <w:r w:rsidRPr="00014883">
              <w:rPr>
                <w:rFonts w:ascii="Arial" w:hAnsi="Arial" w:cs="Arial"/>
              </w:rPr>
              <w:t>0.067</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Benzo(b) fluoranthene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hAnsi="Arial" w:cs="Arial"/>
                <w:kern w:val="24"/>
                <w:sz w:val="20"/>
                <w:szCs w:val="20"/>
              </w:rPr>
              <w:t>0.283</w:t>
            </w:r>
          </w:p>
        </w:tc>
        <w:tc>
          <w:tcPr>
            <w:tcW w:w="1155" w:type="dxa"/>
          </w:tcPr>
          <w:p w:rsidR="0019273F" w:rsidRPr="00014883" w:rsidRDefault="005634A1">
            <w:pPr>
              <w:pStyle w:val="NoSpacing"/>
              <w:jc w:val="both"/>
              <w:rPr>
                <w:rFonts w:ascii="Arial" w:hAnsi="Arial" w:cs="Arial"/>
              </w:rPr>
            </w:pPr>
            <w:r w:rsidRPr="00014883">
              <w:rPr>
                <w:rFonts w:ascii="Arial" w:hAnsi="Arial" w:cs="Arial"/>
              </w:rPr>
              <w:t>0.099</w:t>
            </w:r>
          </w:p>
        </w:tc>
        <w:tc>
          <w:tcPr>
            <w:tcW w:w="1085" w:type="dxa"/>
          </w:tcPr>
          <w:p w:rsidR="0019273F" w:rsidRPr="00014883" w:rsidRDefault="005634A1">
            <w:pPr>
              <w:pStyle w:val="NoSpacing"/>
              <w:jc w:val="both"/>
              <w:rPr>
                <w:rFonts w:ascii="Arial" w:hAnsi="Arial" w:cs="Arial"/>
              </w:rPr>
            </w:pPr>
            <w:r w:rsidRPr="00014883">
              <w:rPr>
                <w:rFonts w:ascii="Arial" w:hAnsi="Arial" w:cs="Arial"/>
              </w:rPr>
              <w:t>0.093</w:t>
            </w:r>
          </w:p>
        </w:tc>
        <w:tc>
          <w:tcPr>
            <w:tcW w:w="1407" w:type="dxa"/>
          </w:tcPr>
          <w:p w:rsidR="0019273F" w:rsidRPr="00014883" w:rsidRDefault="005634A1">
            <w:pPr>
              <w:pStyle w:val="NoSpacing"/>
              <w:jc w:val="both"/>
              <w:rPr>
                <w:rFonts w:ascii="Arial" w:hAnsi="Arial" w:cs="Arial"/>
              </w:rPr>
            </w:pPr>
            <w:r w:rsidRPr="00014883">
              <w:rPr>
                <w:rFonts w:ascii="Arial" w:hAnsi="Arial" w:cs="Arial"/>
              </w:rPr>
              <w:t>0.402</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Benzo(a)pyrene</w:t>
            </w:r>
          </w:p>
        </w:tc>
        <w:tc>
          <w:tcPr>
            <w:tcW w:w="1085" w:type="dxa"/>
          </w:tcPr>
          <w:p w:rsidR="0019273F" w:rsidRPr="00014883" w:rsidRDefault="005634A1">
            <w:pPr>
              <w:rPr>
                <w:rFonts w:ascii="Arial" w:eastAsiaTheme="minorEastAsia" w:hAnsi="Arial" w:cs="Arial"/>
              </w:rPr>
            </w:pPr>
            <w:r w:rsidRPr="00014883">
              <w:rPr>
                <w:rFonts w:ascii="Arial" w:eastAsiaTheme="minorEastAsia" w:hAnsi="Arial" w:cs="Arial"/>
              </w:rPr>
              <w:t>ND</w:t>
            </w:r>
          </w:p>
        </w:tc>
        <w:tc>
          <w:tcPr>
            <w:tcW w:w="1155" w:type="dxa"/>
          </w:tcPr>
          <w:p w:rsidR="0019273F" w:rsidRPr="00014883" w:rsidRDefault="005634A1">
            <w:pPr>
              <w:pStyle w:val="NoSpacing"/>
              <w:jc w:val="both"/>
              <w:rPr>
                <w:rFonts w:ascii="Arial" w:hAnsi="Arial" w:cs="Arial"/>
              </w:rPr>
            </w:pPr>
            <w:r w:rsidRPr="00014883">
              <w:rPr>
                <w:rFonts w:ascii="Arial" w:hAnsi="Arial" w:cs="Arial"/>
              </w:rPr>
              <w:t>0.642</w:t>
            </w:r>
          </w:p>
        </w:tc>
        <w:tc>
          <w:tcPr>
            <w:tcW w:w="1085" w:type="dxa"/>
          </w:tcPr>
          <w:p w:rsidR="0019273F" w:rsidRPr="00014883" w:rsidRDefault="005634A1">
            <w:pPr>
              <w:pStyle w:val="NoSpacing"/>
              <w:jc w:val="both"/>
              <w:rPr>
                <w:rFonts w:ascii="Arial" w:hAnsi="Arial" w:cs="Arial"/>
              </w:rPr>
            </w:pPr>
            <w:r w:rsidRPr="00014883">
              <w:rPr>
                <w:rFonts w:ascii="Arial" w:hAnsi="Arial" w:cs="Arial"/>
              </w:rPr>
              <w:t>0.107</w:t>
            </w:r>
          </w:p>
        </w:tc>
        <w:tc>
          <w:tcPr>
            <w:tcW w:w="1407" w:type="dxa"/>
          </w:tcPr>
          <w:p w:rsidR="0019273F" w:rsidRPr="00014883" w:rsidRDefault="005634A1">
            <w:pPr>
              <w:pStyle w:val="NoSpacing"/>
              <w:jc w:val="both"/>
              <w:rPr>
                <w:rFonts w:ascii="Arial" w:hAnsi="Arial" w:cs="Arial"/>
              </w:rPr>
            </w:pPr>
            <w:r w:rsidRPr="00014883">
              <w:rPr>
                <w:rFonts w:ascii="Arial" w:hAnsi="Arial" w:cs="Arial"/>
              </w:rPr>
              <w:t>0.071</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Benzo(k) fluoranthracene</w:t>
            </w:r>
          </w:p>
        </w:tc>
        <w:tc>
          <w:tcPr>
            <w:tcW w:w="1085" w:type="dxa"/>
          </w:tcPr>
          <w:p w:rsidR="0019273F" w:rsidRPr="00014883" w:rsidRDefault="005634A1">
            <w:pPr>
              <w:rPr>
                <w:rFonts w:ascii="Arial" w:eastAsiaTheme="minorEastAsia" w:hAnsi="Arial" w:cs="Arial"/>
              </w:rPr>
            </w:pPr>
            <w:r w:rsidRPr="00014883">
              <w:rPr>
                <w:rFonts w:ascii="Arial" w:eastAsiaTheme="minorEastAsia" w:hAnsi="Arial" w:cs="Arial"/>
              </w:rPr>
              <w:t>ND</w:t>
            </w:r>
          </w:p>
        </w:tc>
        <w:tc>
          <w:tcPr>
            <w:tcW w:w="1155" w:type="dxa"/>
          </w:tcPr>
          <w:p w:rsidR="0019273F" w:rsidRPr="00014883" w:rsidRDefault="005634A1">
            <w:pPr>
              <w:pStyle w:val="NoSpacing"/>
              <w:jc w:val="both"/>
              <w:rPr>
                <w:rFonts w:ascii="Arial" w:hAnsi="Arial" w:cs="Arial"/>
              </w:rPr>
            </w:pPr>
            <w:r w:rsidRPr="00014883">
              <w:rPr>
                <w:rFonts w:ascii="Arial" w:hAnsi="Arial" w:cs="Arial"/>
              </w:rPr>
              <w:t>0.712</w:t>
            </w:r>
          </w:p>
        </w:tc>
        <w:tc>
          <w:tcPr>
            <w:tcW w:w="1085" w:type="dxa"/>
          </w:tcPr>
          <w:p w:rsidR="0019273F" w:rsidRPr="00014883" w:rsidRDefault="005634A1">
            <w:pPr>
              <w:pStyle w:val="NoSpacing"/>
              <w:jc w:val="both"/>
              <w:rPr>
                <w:rFonts w:ascii="Arial" w:hAnsi="Arial" w:cs="Arial"/>
              </w:rPr>
            </w:pPr>
            <w:r w:rsidRPr="00014883">
              <w:rPr>
                <w:rFonts w:ascii="Arial" w:hAnsi="Arial" w:cs="Arial"/>
              </w:rPr>
              <w:t>0.605</w:t>
            </w:r>
          </w:p>
        </w:tc>
        <w:tc>
          <w:tcPr>
            <w:tcW w:w="1407" w:type="dxa"/>
          </w:tcPr>
          <w:p w:rsidR="0019273F" w:rsidRPr="00014883" w:rsidRDefault="005634A1">
            <w:pPr>
              <w:pStyle w:val="NoSpacing"/>
              <w:jc w:val="both"/>
              <w:rPr>
                <w:rFonts w:ascii="Arial" w:hAnsi="Arial" w:cs="Arial"/>
              </w:rPr>
            </w:pPr>
            <w:r w:rsidRPr="00014883">
              <w:rPr>
                <w:rFonts w:ascii="Arial" w:hAnsi="Arial" w:cs="Arial"/>
              </w:rPr>
              <w:t>0.132</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Indeno (1,2,3) pyrene</w:t>
            </w:r>
          </w:p>
        </w:tc>
        <w:tc>
          <w:tcPr>
            <w:tcW w:w="1085" w:type="dxa"/>
          </w:tcPr>
          <w:p w:rsidR="0019273F" w:rsidRPr="00014883" w:rsidRDefault="005634A1">
            <w:pPr>
              <w:rPr>
                <w:rFonts w:ascii="Arial" w:eastAsiaTheme="minorEastAsia" w:hAnsi="Arial" w:cs="Arial"/>
              </w:rPr>
            </w:pPr>
            <w:r w:rsidRPr="00014883">
              <w:rPr>
                <w:rFonts w:ascii="Arial" w:eastAsiaTheme="minorEastAsia" w:hAnsi="Arial" w:cs="Arial"/>
              </w:rPr>
              <w:t>ND</w:t>
            </w:r>
          </w:p>
        </w:tc>
        <w:tc>
          <w:tcPr>
            <w:tcW w:w="1155" w:type="dxa"/>
          </w:tcPr>
          <w:p w:rsidR="0019273F" w:rsidRPr="00014883" w:rsidRDefault="005634A1">
            <w:pPr>
              <w:pStyle w:val="NoSpacing"/>
              <w:jc w:val="both"/>
              <w:rPr>
                <w:rFonts w:ascii="Arial" w:hAnsi="Arial" w:cs="Arial"/>
              </w:rPr>
            </w:pPr>
            <w:r w:rsidRPr="00014883">
              <w:rPr>
                <w:rFonts w:ascii="Arial" w:hAnsi="Arial" w:cs="Arial"/>
              </w:rPr>
              <w:t>0.689</w:t>
            </w:r>
          </w:p>
        </w:tc>
        <w:tc>
          <w:tcPr>
            <w:tcW w:w="1085" w:type="dxa"/>
          </w:tcPr>
          <w:p w:rsidR="0019273F" w:rsidRPr="00014883" w:rsidRDefault="005634A1">
            <w:pPr>
              <w:pStyle w:val="NoSpacing"/>
              <w:jc w:val="both"/>
              <w:rPr>
                <w:rFonts w:ascii="Arial" w:hAnsi="Arial" w:cs="Arial"/>
              </w:rPr>
            </w:pPr>
            <w:r w:rsidRPr="00014883">
              <w:rPr>
                <w:rFonts w:ascii="Arial" w:hAnsi="Arial" w:cs="Arial"/>
              </w:rPr>
              <w:t>0.682</w:t>
            </w:r>
          </w:p>
        </w:tc>
        <w:tc>
          <w:tcPr>
            <w:tcW w:w="1407" w:type="dxa"/>
          </w:tcPr>
          <w:p w:rsidR="0019273F" w:rsidRPr="00014883" w:rsidRDefault="005634A1">
            <w:pPr>
              <w:pStyle w:val="NoSpacing"/>
              <w:jc w:val="both"/>
              <w:rPr>
                <w:rFonts w:ascii="Arial" w:hAnsi="Arial" w:cs="Arial"/>
              </w:rPr>
            </w:pPr>
            <w:r w:rsidRPr="00014883">
              <w:rPr>
                <w:rFonts w:ascii="Arial" w:hAnsi="Arial" w:cs="Arial"/>
              </w:rPr>
              <w:t>0.032</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Dibenzo(a,h) anthracene</w:t>
            </w:r>
          </w:p>
        </w:tc>
        <w:tc>
          <w:tcPr>
            <w:tcW w:w="1085" w:type="dxa"/>
          </w:tcPr>
          <w:p w:rsidR="0019273F" w:rsidRPr="00014883" w:rsidRDefault="005634A1">
            <w:pPr>
              <w:rPr>
                <w:rFonts w:ascii="Arial" w:eastAsiaTheme="minorEastAsia" w:hAnsi="Arial" w:cs="Arial"/>
              </w:rPr>
            </w:pPr>
            <w:r w:rsidRPr="00014883">
              <w:rPr>
                <w:rFonts w:ascii="Arial" w:eastAsiaTheme="minorEastAsia" w:hAnsi="Arial" w:cs="Arial"/>
              </w:rPr>
              <w:t>ND</w:t>
            </w:r>
          </w:p>
        </w:tc>
        <w:tc>
          <w:tcPr>
            <w:tcW w:w="1155" w:type="dxa"/>
          </w:tcPr>
          <w:p w:rsidR="0019273F" w:rsidRPr="00014883" w:rsidRDefault="005634A1">
            <w:pPr>
              <w:pStyle w:val="NoSpacing"/>
              <w:jc w:val="both"/>
              <w:rPr>
                <w:rFonts w:ascii="Arial" w:hAnsi="Arial" w:cs="Arial"/>
              </w:rPr>
            </w:pPr>
            <w:r w:rsidRPr="00014883">
              <w:rPr>
                <w:rFonts w:ascii="Arial" w:hAnsi="Arial" w:cs="Arial"/>
              </w:rPr>
              <w:t>0.190</w:t>
            </w:r>
          </w:p>
        </w:tc>
        <w:tc>
          <w:tcPr>
            <w:tcW w:w="1085" w:type="dxa"/>
          </w:tcPr>
          <w:p w:rsidR="0019273F" w:rsidRPr="00014883" w:rsidRDefault="005634A1">
            <w:pPr>
              <w:pStyle w:val="NoSpacing"/>
              <w:jc w:val="both"/>
              <w:rPr>
                <w:rFonts w:ascii="Arial" w:hAnsi="Arial" w:cs="Arial"/>
              </w:rPr>
            </w:pPr>
            <w:r w:rsidRPr="00014883">
              <w:rPr>
                <w:rFonts w:ascii="Arial" w:hAnsi="Arial" w:cs="Arial"/>
              </w:rPr>
              <w:t>0.097</w:t>
            </w:r>
          </w:p>
        </w:tc>
        <w:tc>
          <w:tcPr>
            <w:tcW w:w="1407" w:type="dxa"/>
          </w:tcPr>
          <w:p w:rsidR="0019273F" w:rsidRPr="00014883" w:rsidRDefault="005634A1">
            <w:pPr>
              <w:pStyle w:val="NoSpacing"/>
              <w:jc w:val="both"/>
              <w:rPr>
                <w:rFonts w:ascii="Arial" w:hAnsi="Arial" w:cs="Arial"/>
              </w:rPr>
            </w:pPr>
            <w:r w:rsidRPr="00014883">
              <w:rPr>
                <w:rFonts w:ascii="Arial" w:hAnsi="Arial" w:cs="Arial"/>
              </w:rPr>
              <w:t>0.020</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b/>
              </w:rPr>
              <w:t>Benzo (g,h,i) perylene</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eastAsia="Calibri" w:hAnsi="Arial" w:cs="Arial"/>
                <w:kern w:val="24"/>
                <w:sz w:val="20"/>
                <w:szCs w:val="20"/>
              </w:rPr>
              <w:t>ND</w:t>
            </w:r>
          </w:p>
        </w:tc>
        <w:tc>
          <w:tcPr>
            <w:tcW w:w="1155" w:type="dxa"/>
          </w:tcPr>
          <w:p w:rsidR="0019273F" w:rsidRPr="00014883" w:rsidRDefault="005634A1">
            <w:pPr>
              <w:pStyle w:val="NoSpacing"/>
              <w:jc w:val="both"/>
              <w:rPr>
                <w:rFonts w:ascii="Arial" w:hAnsi="Arial" w:cs="Arial"/>
              </w:rPr>
            </w:pPr>
            <w:r w:rsidRPr="00014883">
              <w:rPr>
                <w:rFonts w:ascii="Arial" w:hAnsi="Arial" w:cs="Arial"/>
              </w:rPr>
              <w:t>ND</w:t>
            </w:r>
          </w:p>
        </w:tc>
        <w:tc>
          <w:tcPr>
            <w:tcW w:w="1085" w:type="dxa"/>
          </w:tcPr>
          <w:p w:rsidR="0019273F" w:rsidRPr="00014883" w:rsidRDefault="005634A1">
            <w:pPr>
              <w:pStyle w:val="NoSpacing"/>
              <w:jc w:val="both"/>
              <w:rPr>
                <w:rFonts w:ascii="Arial" w:hAnsi="Arial" w:cs="Arial"/>
              </w:rPr>
            </w:pPr>
            <w:r w:rsidRPr="00014883">
              <w:rPr>
                <w:rFonts w:ascii="Arial" w:hAnsi="Arial" w:cs="Arial"/>
              </w:rPr>
              <w:t>ND</w:t>
            </w:r>
          </w:p>
        </w:tc>
        <w:tc>
          <w:tcPr>
            <w:tcW w:w="1407" w:type="dxa"/>
          </w:tcPr>
          <w:p w:rsidR="0019273F" w:rsidRPr="00014883" w:rsidRDefault="005634A1">
            <w:pPr>
              <w:pStyle w:val="NoSpacing"/>
              <w:jc w:val="both"/>
              <w:rPr>
                <w:rFonts w:ascii="Arial" w:hAnsi="Arial" w:cs="Arial"/>
              </w:rPr>
            </w:pPr>
            <w:r w:rsidRPr="00014883">
              <w:rPr>
                <w:rFonts w:ascii="Arial" w:hAnsi="Arial" w:cs="Arial"/>
              </w:rPr>
              <w:t>0.021</w:t>
            </w:r>
          </w:p>
        </w:tc>
      </w:tr>
      <w:tr w:rsidR="00014883" w:rsidRPr="00014883">
        <w:tc>
          <w:tcPr>
            <w:tcW w:w="2341" w:type="dxa"/>
          </w:tcPr>
          <w:p w:rsidR="0019273F" w:rsidRPr="00014883" w:rsidRDefault="005634A1">
            <w:pPr>
              <w:pStyle w:val="NoSpacing"/>
              <w:jc w:val="both"/>
              <w:rPr>
                <w:rFonts w:ascii="Arial" w:hAnsi="Arial" w:cs="Arial"/>
                <w:bCs/>
              </w:rPr>
            </w:pPr>
            <w:r w:rsidRPr="00014883">
              <w:rPr>
                <w:rFonts w:ascii="Arial" w:hAnsi="Arial" w:cs="Arial"/>
              </w:rPr>
              <w:t>Total (mg/L)</w:t>
            </w:r>
          </w:p>
        </w:tc>
        <w:tc>
          <w:tcPr>
            <w:tcW w:w="1085" w:type="dxa"/>
          </w:tcPr>
          <w:p w:rsidR="0019273F" w:rsidRPr="00014883" w:rsidRDefault="005634A1">
            <w:pPr>
              <w:pStyle w:val="NormalWeb"/>
              <w:spacing w:before="0" w:beforeAutospacing="0" w:after="0" w:afterAutospacing="0"/>
              <w:jc w:val="both"/>
              <w:rPr>
                <w:rFonts w:ascii="Arial" w:hAnsi="Arial" w:cs="Arial"/>
                <w:sz w:val="20"/>
                <w:szCs w:val="20"/>
              </w:rPr>
            </w:pPr>
            <w:r w:rsidRPr="00014883">
              <w:rPr>
                <w:rFonts w:ascii="Arial" w:eastAsia="Calibri" w:hAnsi="Arial" w:cs="Arial"/>
                <w:b/>
                <w:bCs/>
                <w:kern w:val="24"/>
                <w:sz w:val="20"/>
                <w:szCs w:val="20"/>
              </w:rPr>
              <w:t xml:space="preserve">1.340 </w:t>
            </w:r>
          </w:p>
        </w:tc>
        <w:tc>
          <w:tcPr>
            <w:tcW w:w="1155" w:type="dxa"/>
          </w:tcPr>
          <w:p w:rsidR="0019273F" w:rsidRPr="00014883" w:rsidRDefault="005634A1">
            <w:pPr>
              <w:pStyle w:val="NoSpacing"/>
              <w:jc w:val="both"/>
              <w:rPr>
                <w:rFonts w:ascii="Arial" w:hAnsi="Arial" w:cs="Arial"/>
                <w:b/>
              </w:rPr>
            </w:pPr>
            <w:r w:rsidRPr="00014883">
              <w:rPr>
                <w:rFonts w:ascii="Arial" w:hAnsi="Arial" w:cs="Arial"/>
                <w:b/>
              </w:rPr>
              <w:t>4.695</w:t>
            </w:r>
          </w:p>
        </w:tc>
        <w:tc>
          <w:tcPr>
            <w:tcW w:w="1085" w:type="dxa"/>
          </w:tcPr>
          <w:p w:rsidR="0019273F" w:rsidRPr="00014883" w:rsidRDefault="005634A1">
            <w:pPr>
              <w:pStyle w:val="NoSpacing"/>
              <w:jc w:val="both"/>
              <w:rPr>
                <w:rFonts w:ascii="Arial" w:hAnsi="Arial" w:cs="Arial"/>
                <w:b/>
              </w:rPr>
            </w:pPr>
            <w:r w:rsidRPr="00014883">
              <w:rPr>
                <w:rFonts w:ascii="Arial" w:hAnsi="Arial" w:cs="Arial"/>
                <w:b/>
              </w:rPr>
              <w:t>4.442</w:t>
            </w:r>
          </w:p>
        </w:tc>
        <w:tc>
          <w:tcPr>
            <w:tcW w:w="1407" w:type="dxa"/>
          </w:tcPr>
          <w:p w:rsidR="0019273F" w:rsidRPr="00014883" w:rsidRDefault="005634A1">
            <w:pPr>
              <w:rPr>
                <w:rFonts w:ascii="Arial" w:eastAsiaTheme="minorEastAsia" w:hAnsi="Arial" w:cs="Arial"/>
                <w:b/>
              </w:rPr>
            </w:pPr>
            <w:r w:rsidRPr="00014883">
              <w:rPr>
                <w:rFonts w:ascii="Arial" w:eastAsiaTheme="minorEastAsia" w:hAnsi="Arial" w:cs="Arial"/>
                <w:b/>
              </w:rPr>
              <w:t>3.274</w:t>
            </w:r>
          </w:p>
        </w:tc>
      </w:tr>
      <w:tr w:rsidR="00014883" w:rsidRPr="00014883">
        <w:tc>
          <w:tcPr>
            <w:tcW w:w="2341" w:type="dxa"/>
            <w:tcBorders>
              <w:bottom w:val="single" w:sz="4" w:space="0" w:color="auto"/>
            </w:tcBorders>
          </w:tcPr>
          <w:p w:rsidR="0019273F" w:rsidRPr="00014883" w:rsidRDefault="005634A1">
            <w:pPr>
              <w:pStyle w:val="NoSpacing"/>
              <w:jc w:val="both"/>
              <w:rPr>
                <w:rFonts w:ascii="Arial" w:hAnsi="Arial" w:cs="Arial"/>
                <w:b/>
                <w:bCs/>
              </w:rPr>
            </w:pPr>
            <w:r w:rsidRPr="00014883">
              <w:rPr>
                <w:rFonts w:ascii="Arial" w:hAnsi="Arial" w:cs="Arial"/>
              </w:rPr>
              <w:t>Mean</w:t>
            </w:r>
          </w:p>
        </w:tc>
        <w:tc>
          <w:tcPr>
            <w:tcW w:w="1085" w:type="dxa"/>
            <w:tcBorders>
              <w:bottom w:val="single" w:sz="4" w:space="0" w:color="auto"/>
            </w:tcBorders>
          </w:tcPr>
          <w:p w:rsidR="0019273F" w:rsidRPr="00014883" w:rsidRDefault="0019273F">
            <w:pPr>
              <w:pStyle w:val="NormalWeb"/>
              <w:spacing w:before="0" w:beforeAutospacing="0" w:after="0" w:afterAutospacing="0"/>
              <w:jc w:val="both"/>
              <w:rPr>
                <w:rFonts w:ascii="Arial" w:eastAsia="Calibri" w:hAnsi="Arial" w:cs="Arial"/>
                <w:b/>
                <w:bCs/>
                <w:kern w:val="24"/>
                <w:sz w:val="20"/>
                <w:szCs w:val="20"/>
              </w:rPr>
            </w:pPr>
          </w:p>
        </w:tc>
        <w:tc>
          <w:tcPr>
            <w:tcW w:w="1155" w:type="dxa"/>
            <w:tcBorders>
              <w:bottom w:val="single" w:sz="4" w:space="0" w:color="auto"/>
            </w:tcBorders>
          </w:tcPr>
          <w:p w:rsidR="0019273F" w:rsidRPr="00014883" w:rsidRDefault="0019273F">
            <w:pPr>
              <w:pStyle w:val="NoSpacing"/>
              <w:jc w:val="both"/>
              <w:rPr>
                <w:rFonts w:ascii="Arial" w:hAnsi="Arial" w:cs="Arial"/>
                <w:b/>
              </w:rPr>
            </w:pPr>
          </w:p>
        </w:tc>
        <w:tc>
          <w:tcPr>
            <w:tcW w:w="1085" w:type="dxa"/>
            <w:tcBorders>
              <w:bottom w:val="single" w:sz="4" w:space="0" w:color="auto"/>
            </w:tcBorders>
          </w:tcPr>
          <w:p w:rsidR="0019273F" w:rsidRPr="00014883" w:rsidRDefault="0019273F">
            <w:pPr>
              <w:pStyle w:val="NoSpacing"/>
              <w:jc w:val="both"/>
              <w:rPr>
                <w:rFonts w:ascii="Arial" w:hAnsi="Arial" w:cs="Arial"/>
                <w:b/>
              </w:rPr>
            </w:pPr>
          </w:p>
        </w:tc>
        <w:tc>
          <w:tcPr>
            <w:tcW w:w="1407" w:type="dxa"/>
            <w:tcBorders>
              <w:bottom w:val="single" w:sz="4" w:space="0" w:color="auto"/>
            </w:tcBorders>
          </w:tcPr>
          <w:p w:rsidR="0019273F" w:rsidRPr="00014883" w:rsidRDefault="0019273F">
            <w:pPr>
              <w:rPr>
                <w:rFonts w:ascii="Arial" w:eastAsiaTheme="minorEastAsia" w:hAnsi="Arial" w:cs="Arial"/>
                <w:b/>
              </w:rPr>
            </w:pPr>
          </w:p>
        </w:tc>
      </w:tr>
      <w:tr w:rsidR="0019273F" w:rsidRPr="00014883">
        <w:tc>
          <w:tcPr>
            <w:tcW w:w="2341" w:type="dxa"/>
            <w:tcBorders>
              <w:top w:val="single" w:sz="4" w:space="0" w:color="auto"/>
              <w:bottom w:val="single" w:sz="4" w:space="0" w:color="auto"/>
            </w:tcBorders>
          </w:tcPr>
          <w:p w:rsidR="0019273F" w:rsidRPr="00014883" w:rsidRDefault="005634A1">
            <w:pPr>
              <w:pStyle w:val="NoSpacing"/>
              <w:jc w:val="both"/>
              <w:rPr>
                <w:rFonts w:ascii="Arial" w:hAnsi="Arial" w:cs="Arial"/>
                <w:b/>
                <w:bCs/>
              </w:rPr>
            </w:pPr>
            <w:r w:rsidRPr="00014883">
              <w:rPr>
                <w:rFonts w:ascii="Arial" w:hAnsi="Arial" w:cs="Arial"/>
              </w:rPr>
              <w:t>WHO permissive limit for each PAHs in water</w:t>
            </w:r>
          </w:p>
        </w:tc>
        <w:tc>
          <w:tcPr>
            <w:tcW w:w="4732" w:type="dxa"/>
            <w:gridSpan w:val="4"/>
            <w:tcBorders>
              <w:top w:val="single" w:sz="4" w:space="0" w:color="auto"/>
              <w:bottom w:val="single" w:sz="4" w:space="0" w:color="auto"/>
            </w:tcBorders>
          </w:tcPr>
          <w:p w:rsidR="0019273F" w:rsidRPr="00014883" w:rsidRDefault="005634A1">
            <w:pPr>
              <w:rPr>
                <w:rFonts w:ascii="Arial" w:eastAsiaTheme="minorEastAsia" w:hAnsi="Arial" w:cs="Arial"/>
                <w:b/>
              </w:rPr>
            </w:pPr>
            <w:r w:rsidRPr="00014883">
              <w:rPr>
                <w:rFonts w:ascii="Arial" w:eastAsiaTheme="minorEastAsia" w:hAnsi="Arial" w:cs="Arial"/>
                <w:b/>
              </w:rPr>
              <w:t xml:space="preserve">0.00002 </w:t>
            </w:r>
          </w:p>
        </w:tc>
      </w:tr>
    </w:tbl>
    <w:p w:rsidR="0019273F" w:rsidRPr="00014883" w:rsidRDefault="0019273F">
      <w:pPr>
        <w:rPr>
          <w:rFonts w:ascii="Arial" w:hAnsi="Arial" w:cs="Arial"/>
          <w:b/>
        </w:rPr>
      </w:pPr>
    </w:p>
    <w:p w:rsidR="0019273F" w:rsidRPr="00014883" w:rsidRDefault="0019273F">
      <w:pPr>
        <w:jc w:val="both"/>
        <w:rPr>
          <w:rFonts w:ascii="Arial" w:hAnsi="Arial" w:cs="Arial"/>
          <w:b/>
          <w:i/>
          <w:iCs/>
        </w:rPr>
      </w:pPr>
    </w:p>
    <w:p w:rsidR="0019273F" w:rsidRPr="00014883" w:rsidRDefault="005634A1">
      <w:pPr>
        <w:jc w:val="both"/>
        <w:rPr>
          <w:rFonts w:ascii="Arial" w:hAnsi="Arial" w:cs="Arial"/>
          <w:b/>
          <w:i/>
          <w:iCs/>
        </w:rPr>
      </w:pPr>
      <w:r w:rsidRPr="00014883">
        <w:rPr>
          <w:rFonts w:ascii="Arial" w:hAnsi="Arial" w:cs="Arial"/>
          <w:b/>
          <w:i/>
          <w:iCs/>
        </w:rPr>
        <w:t xml:space="preserve">Polycyclic aromatic hydrocarbons </w:t>
      </w:r>
      <w:r w:rsidRPr="00014883">
        <w:rPr>
          <w:rFonts w:ascii="Arial" w:hAnsi="Arial" w:cs="Arial"/>
          <w:b/>
          <w:i/>
          <w:iCs/>
          <w:bdr w:val="single" w:sz="4" w:space="0" w:color="FFFFFF" w:themeColor="background1"/>
        </w:rPr>
        <w:t xml:space="preserve">concentrations in the </w:t>
      </w:r>
      <w:r w:rsidRPr="00014883">
        <w:rPr>
          <w:rFonts w:ascii="Arial" w:hAnsi="Arial" w:cs="Arial"/>
          <w:b/>
          <w:i/>
          <w:iCs/>
        </w:rPr>
        <w:t>Papyrocranus afer</w:t>
      </w:r>
      <w:r w:rsidRPr="00014883">
        <w:rPr>
          <w:rFonts w:ascii="Arial" w:hAnsi="Arial" w:cs="Arial"/>
          <w:b/>
          <w:i/>
          <w:iCs/>
          <w:bdr w:val="single" w:sz="4" w:space="0" w:color="FFFFFF" w:themeColor="background1"/>
        </w:rPr>
        <w:t xml:space="preserve"> samples from </w:t>
      </w:r>
      <w:r w:rsidRPr="00014883">
        <w:rPr>
          <w:rFonts w:ascii="Arial" w:hAnsi="Arial" w:cs="Arial"/>
          <w:b/>
          <w:i/>
          <w:iCs/>
        </w:rPr>
        <w:t>Banegbe River at different locations (up-stream, middle-stream and down-stream)</w:t>
      </w:r>
      <w:r w:rsidRPr="00014883">
        <w:rPr>
          <w:rFonts w:ascii="Arial" w:hAnsi="Arial" w:cs="Arial"/>
          <w:b/>
          <w:i/>
          <w:iCs/>
          <w:bdr w:val="single" w:sz="4" w:space="0" w:color="FFFFFF" w:themeColor="background1"/>
        </w:rPr>
        <w:t xml:space="preserve"> during </w:t>
      </w:r>
      <w:r w:rsidRPr="00014883">
        <w:rPr>
          <w:rFonts w:ascii="Arial" w:hAnsi="Arial" w:cs="Arial"/>
          <w:b/>
          <w:i/>
          <w:iCs/>
        </w:rPr>
        <w:t>dry season (January 2016) a</w:t>
      </w:r>
      <w:r w:rsidRPr="00014883">
        <w:rPr>
          <w:rFonts w:ascii="Arial" w:hAnsi="Arial" w:cs="Arial"/>
          <w:b/>
          <w:i/>
          <w:iCs/>
          <w:bdr w:val="single" w:sz="4" w:space="0" w:color="FFFFFF" w:themeColor="background1"/>
        </w:rPr>
        <w:t>nd rainy season (July</w:t>
      </w:r>
      <w:r w:rsidRPr="00014883">
        <w:rPr>
          <w:rFonts w:ascii="Arial" w:hAnsi="Arial" w:cs="Arial"/>
          <w:b/>
          <w:i/>
          <w:iCs/>
        </w:rPr>
        <w:t xml:space="preserve"> 2016). </w:t>
      </w:r>
    </w:p>
    <w:p w:rsidR="0019273F" w:rsidRPr="00014883" w:rsidRDefault="0019273F">
      <w:pPr>
        <w:jc w:val="both"/>
        <w:rPr>
          <w:rFonts w:ascii="Arial" w:hAnsi="Arial" w:cs="Arial"/>
          <w:b/>
          <w:i/>
          <w:iCs/>
        </w:rPr>
      </w:pPr>
    </w:p>
    <w:p w:rsidR="0019273F" w:rsidRPr="00014883" w:rsidRDefault="005634A1">
      <w:pPr>
        <w:pStyle w:val="NoSpacing"/>
        <w:spacing w:after="240"/>
        <w:jc w:val="both"/>
        <w:rPr>
          <w:rFonts w:ascii="Arial" w:hAnsi="Arial" w:cs="Arial"/>
        </w:rPr>
      </w:pPr>
      <w:r w:rsidRPr="00014883">
        <w:rPr>
          <w:rFonts w:ascii="Arial" w:hAnsi="Arial" w:cs="Arial"/>
        </w:rPr>
        <w:t>The PAHs of fish samples from different locations of Banegbe River during dry and rainy season revealed, that fish from the middle-stream point of Banegbe River during dry season bioaccumulated the highest total PAHs level of 0.472 mg/kg with naphthalene, fluoranthene, pyrene, benzo(a) anthrancene, crysene, benzo (b) fluoranthrene and benzo (a) pyrene detected. It was then followed by down-stream of Banegbe River with total PAHs levels of 0.350mg/kg with nine PAHs detected. Fish from up-stream of Banegbe had the least concentration with anthracene and benzo (g,h,i) perylene not detected out of the sixteen PAHs during dry season.</w:t>
      </w:r>
    </w:p>
    <w:p w:rsidR="0019273F" w:rsidRPr="00014883" w:rsidRDefault="005634A1">
      <w:pPr>
        <w:pStyle w:val="NoSpacing"/>
        <w:spacing w:after="240"/>
        <w:jc w:val="both"/>
        <w:rPr>
          <w:rFonts w:ascii="Arial" w:hAnsi="Arial" w:cs="Arial"/>
          <w:b/>
        </w:rPr>
      </w:pPr>
      <w:r w:rsidRPr="00014883">
        <w:rPr>
          <w:rFonts w:ascii="Arial" w:hAnsi="Arial" w:cs="Arial"/>
        </w:rPr>
        <w:t>During rainy season the concentration of PAHs in the fish at the different locations at Banegbe River were relatively lower when compared with fish harvested during the dry season at all the different locations. Fish from down-stream during rainy bioaccumulated the highest total PAHs level of 0.267mg/</w:t>
      </w:r>
      <w:r w:rsidRPr="00014883">
        <w:rPr>
          <w:rFonts w:ascii="Arial" w:hAnsi="Arial" w:cs="Arial"/>
          <w:lang w:val="en-US"/>
        </w:rPr>
        <w:t>kg</w:t>
      </w:r>
      <w:r w:rsidRPr="00014883">
        <w:rPr>
          <w:rFonts w:ascii="Arial" w:hAnsi="Arial" w:cs="Arial"/>
        </w:rPr>
        <w:t xml:space="preserve"> with acenaphthylene, acenaphthene, fluorene, phenanthrene, anthracene, fluoranthene, pyrene, benzo (a) anthracene, and chysene detected. It was then followed by middle-stream point of Banegbe River with total PAHs levels of 0.192mg/kg and eleven of the PAHs detected. Up-stream of river Banegbe accumulated the least concentration of 0.091mg/kg with naphthalene, acenaphthylene, acenaphthene, fluorene, phenanthrene, fluoranthene, pyrene, benzo (a) anthracene, and chysene detecte.</w:t>
      </w:r>
    </w:p>
    <w:p w:rsidR="0019273F" w:rsidRPr="00014883" w:rsidRDefault="0019273F">
      <w:pPr>
        <w:jc w:val="both"/>
        <w:rPr>
          <w:rFonts w:ascii="Arial" w:hAnsi="Arial" w:cs="Arial"/>
          <w:b/>
        </w:rPr>
      </w:pPr>
    </w:p>
    <w:p w:rsidR="0019273F" w:rsidRPr="00014883" w:rsidRDefault="005634A1">
      <w:pPr>
        <w:jc w:val="both"/>
        <w:rPr>
          <w:rFonts w:ascii="Arial" w:hAnsi="Arial" w:cs="Arial"/>
          <w:b/>
        </w:rPr>
      </w:pPr>
      <w:r w:rsidRPr="00014883">
        <w:rPr>
          <w:rFonts w:ascii="Arial" w:hAnsi="Arial" w:cs="Arial"/>
          <w:b/>
        </w:rPr>
        <w:t>Table 4</w:t>
      </w:r>
      <w:r w:rsidR="002C5555" w:rsidRPr="00014883">
        <w:rPr>
          <w:rFonts w:ascii="Arial" w:hAnsi="Arial" w:cs="Arial"/>
          <w:b/>
        </w:rPr>
        <w:t>:</w:t>
      </w:r>
      <w:r w:rsidRPr="00014883">
        <w:rPr>
          <w:rFonts w:ascii="Arial" w:hAnsi="Arial" w:cs="Arial"/>
          <w:b/>
        </w:rPr>
        <w:t xml:space="preserve"> Polycyclic aromatic hydrocarbons </w:t>
      </w:r>
      <w:r w:rsidRPr="00014883">
        <w:rPr>
          <w:rFonts w:ascii="Arial" w:hAnsi="Arial" w:cs="Arial"/>
          <w:b/>
          <w:bdr w:val="single" w:sz="4" w:space="0" w:color="FFFFFF" w:themeColor="background1"/>
        </w:rPr>
        <w:t>concentrations in the</w:t>
      </w:r>
      <w:r w:rsidRPr="00014883">
        <w:rPr>
          <w:rFonts w:ascii="Arial" w:hAnsi="Arial" w:cs="Arial"/>
          <w:b/>
          <w:i/>
        </w:rPr>
        <w:t xml:space="preserve"> Papyrocranus afer</w:t>
      </w:r>
      <w:r w:rsidRPr="00014883">
        <w:rPr>
          <w:rFonts w:ascii="Arial" w:hAnsi="Arial" w:cs="Arial"/>
          <w:b/>
          <w:bdr w:val="single" w:sz="4" w:space="0" w:color="FFFFFF" w:themeColor="background1"/>
        </w:rPr>
        <w:t xml:space="preserve"> samples from </w:t>
      </w:r>
      <w:r w:rsidRPr="00014883">
        <w:rPr>
          <w:rFonts w:ascii="Arial" w:hAnsi="Arial" w:cs="Arial"/>
          <w:b/>
        </w:rPr>
        <w:t>Banegbe River at different locations (up-stream, middle-stream and down-stream)</w:t>
      </w:r>
      <w:r w:rsidRPr="00014883">
        <w:rPr>
          <w:rFonts w:ascii="Arial" w:hAnsi="Arial" w:cs="Arial"/>
          <w:b/>
          <w:bdr w:val="single" w:sz="4" w:space="0" w:color="FFFFFF" w:themeColor="background1"/>
        </w:rPr>
        <w:t xml:space="preserve"> during </w:t>
      </w:r>
      <w:r w:rsidRPr="00014883">
        <w:rPr>
          <w:rFonts w:ascii="Arial" w:hAnsi="Arial" w:cs="Arial"/>
          <w:b/>
        </w:rPr>
        <w:t>dry season (January 2016) a</w:t>
      </w:r>
      <w:r w:rsidRPr="00014883">
        <w:rPr>
          <w:rFonts w:ascii="Arial" w:hAnsi="Arial" w:cs="Arial"/>
          <w:b/>
          <w:bdr w:val="single" w:sz="4" w:space="0" w:color="FFFFFF" w:themeColor="background1"/>
        </w:rPr>
        <w:t>nd rainy season (July</w:t>
      </w:r>
      <w:r w:rsidRPr="00014883">
        <w:rPr>
          <w:rFonts w:ascii="Arial" w:hAnsi="Arial" w:cs="Arial"/>
          <w:b/>
        </w:rPr>
        <w:t xml:space="preserve"> 2016).</w:t>
      </w:r>
    </w:p>
    <w:tbl>
      <w:tblPr>
        <w:tblStyle w:val="TableGridLight1"/>
        <w:tblW w:w="839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979"/>
        <w:gridCol w:w="992"/>
        <w:gridCol w:w="915"/>
        <w:gridCol w:w="1070"/>
        <w:gridCol w:w="992"/>
        <w:gridCol w:w="883"/>
      </w:tblGrid>
      <w:tr w:rsidR="00014883" w:rsidRPr="00014883">
        <w:tc>
          <w:tcPr>
            <w:tcW w:w="2560" w:type="dxa"/>
          </w:tcPr>
          <w:p w:rsidR="0019273F" w:rsidRPr="00014883" w:rsidRDefault="005634A1">
            <w:pPr>
              <w:rPr>
                <w:rFonts w:ascii="Arial" w:eastAsiaTheme="minorEastAsia" w:hAnsi="Arial" w:cs="Arial"/>
                <w:bCs/>
              </w:rPr>
            </w:pPr>
            <w:r w:rsidRPr="00014883">
              <w:rPr>
                <w:rFonts w:ascii="Arial" w:eastAsiaTheme="minorEastAsia" w:hAnsi="Arial" w:cs="Arial"/>
                <w:b/>
              </w:rPr>
              <w:t>Component</w:t>
            </w:r>
          </w:p>
        </w:tc>
        <w:tc>
          <w:tcPr>
            <w:tcW w:w="979" w:type="dxa"/>
            <w:tcBorders>
              <w:top w:val="single" w:sz="4" w:space="0" w:color="auto"/>
              <w:bottom w:val="single" w:sz="4" w:space="0" w:color="auto"/>
            </w:tcBorders>
          </w:tcPr>
          <w:p w:rsidR="0019273F" w:rsidRPr="00014883" w:rsidRDefault="005634A1">
            <w:pPr>
              <w:rPr>
                <w:rFonts w:ascii="Arial" w:eastAsiaTheme="minorEastAsia" w:hAnsi="Arial" w:cs="Arial"/>
                <w:bCs/>
              </w:rPr>
            </w:pPr>
            <w:r w:rsidRPr="00014883">
              <w:rPr>
                <w:rFonts w:ascii="Arial" w:eastAsiaTheme="minorEastAsia" w:hAnsi="Arial" w:cs="Arial"/>
                <w:b/>
              </w:rPr>
              <w:t>Dry Season</w:t>
            </w:r>
          </w:p>
        </w:tc>
        <w:tc>
          <w:tcPr>
            <w:tcW w:w="992" w:type="dxa"/>
            <w:tcBorders>
              <w:top w:val="single" w:sz="4" w:space="0" w:color="auto"/>
              <w:bottom w:val="single" w:sz="4" w:space="0" w:color="auto"/>
            </w:tcBorders>
          </w:tcPr>
          <w:p w:rsidR="0019273F" w:rsidRPr="00014883" w:rsidRDefault="0019273F">
            <w:pPr>
              <w:rPr>
                <w:rFonts w:ascii="Arial" w:eastAsiaTheme="minorEastAsia" w:hAnsi="Arial" w:cs="Arial"/>
                <w:bCs/>
              </w:rPr>
            </w:pPr>
          </w:p>
        </w:tc>
        <w:tc>
          <w:tcPr>
            <w:tcW w:w="915" w:type="dxa"/>
            <w:tcBorders>
              <w:top w:val="single" w:sz="4" w:space="0" w:color="auto"/>
              <w:bottom w:val="single" w:sz="4" w:space="0" w:color="auto"/>
              <w:right w:val="single" w:sz="4" w:space="0" w:color="auto"/>
            </w:tcBorders>
          </w:tcPr>
          <w:p w:rsidR="0019273F" w:rsidRPr="00014883" w:rsidRDefault="0019273F">
            <w:pPr>
              <w:rPr>
                <w:rFonts w:ascii="Arial" w:eastAsiaTheme="minorEastAsia" w:hAnsi="Arial" w:cs="Arial"/>
                <w:bCs/>
              </w:rPr>
            </w:pPr>
          </w:p>
        </w:tc>
        <w:tc>
          <w:tcPr>
            <w:tcW w:w="1070" w:type="dxa"/>
            <w:tcBorders>
              <w:top w:val="single" w:sz="4" w:space="0" w:color="auto"/>
              <w:left w:val="single" w:sz="4" w:space="0" w:color="auto"/>
              <w:bottom w:val="single" w:sz="4" w:space="0" w:color="auto"/>
            </w:tcBorders>
          </w:tcPr>
          <w:p w:rsidR="0019273F" w:rsidRPr="00014883" w:rsidRDefault="005634A1">
            <w:pPr>
              <w:rPr>
                <w:rFonts w:ascii="Arial" w:eastAsiaTheme="minorEastAsia" w:hAnsi="Arial" w:cs="Arial"/>
                <w:bCs/>
              </w:rPr>
            </w:pPr>
            <w:r w:rsidRPr="00014883">
              <w:rPr>
                <w:rFonts w:ascii="Arial" w:eastAsiaTheme="minorEastAsia" w:hAnsi="Arial" w:cs="Arial"/>
                <w:b/>
              </w:rPr>
              <w:t>Rainy Season</w:t>
            </w:r>
          </w:p>
        </w:tc>
        <w:tc>
          <w:tcPr>
            <w:tcW w:w="992" w:type="dxa"/>
            <w:tcBorders>
              <w:top w:val="single" w:sz="4" w:space="0" w:color="auto"/>
              <w:bottom w:val="single" w:sz="4" w:space="0" w:color="auto"/>
            </w:tcBorders>
          </w:tcPr>
          <w:p w:rsidR="0019273F" w:rsidRPr="00014883" w:rsidRDefault="0019273F">
            <w:pPr>
              <w:rPr>
                <w:rFonts w:ascii="Arial" w:eastAsiaTheme="minorEastAsia" w:hAnsi="Arial" w:cs="Arial"/>
                <w:bCs/>
              </w:rPr>
            </w:pPr>
          </w:p>
        </w:tc>
        <w:tc>
          <w:tcPr>
            <w:tcW w:w="883" w:type="dxa"/>
            <w:tcBorders>
              <w:top w:val="single" w:sz="4" w:space="0" w:color="auto"/>
              <w:bottom w:val="single" w:sz="4" w:space="0" w:color="auto"/>
            </w:tcBorders>
          </w:tcPr>
          <w:p w:rsidR="0019273F" w:rsidRPr="00014883" w:rsidRDefault="0019273F">
            <w:pPr>
              <w:rPr>
                <w:rFonts w:ascii="Arial" w:eastAsiaTheme="minorEastAsia" w:hAnsi="Arial" w:cs="Arial"/>
                <w:bCs/>
              </w:rPr>
            </w:pPr>
          </w:p>
        </w:tc>
      </w:tr>
      <w:tr w:rsidR="00014883" w:rsidRPr="00014883">
        <w:tc>
          <w:tcPr>
            <w:tcW w:w="2560" w:type="dxa"/>
            <w:tcBorders>
              <w:bottom w:val="single" w:sz="4" w:space="0" w:color="auto"/>
            </w:tcBorders>
          </w:tcPr>
          <w:p w:rsidR="0019273F" w:rsidRPr="00014883" w:rsidRDefault="0019273F">
            <w:pPr>
              <w:rPr>
                <w:rFonts w:ascii="Arial" w:eastAsiaTheme="minorEastAsia" w:hAnsi="Arial" w:cs="Arial"/>
                <w:bCs/>
              </w:rPr>
            </w:pPr>
          </w:p>
        </w:tc>
        <w:tc>
          <w:tcPr>
            <w:tcW w:w="979" w:type="dxa"/>
            <w:tcBorders>
              <w:top w:val="single" w:sz="4" w:space="0" w:color="auto"/>
              <w:bottom w:val="single" w:sz="4" w:space="0" w:color="auto"/>
            </w:tcBorders>
          </w:tcPr>
          <w:p w:rsidR="0019273F" w:rsidRPr="00014883" w:rsidRDefault="005634A1">
            <w:pPr>
              <w:rPr>
                <w:rFonts w:ascii="Arial" w:eastAsiaTheme="minorEastAsia" w:hAnsi="Arial" w:cs="Arial"/>
              </w:rPr>
            </w:pPr>
            <w:r w:rsidRPr="00014883">
              <w:rPr>
                <w:rFonts w:ascii="Arial" w:eastAsiaTheme="minorEastAsia" w:hAnsi="Arial" w:cs="Arial"/>
              </w:rPr>
              <w:t xml:space="preserve">Up-stream </w:t>
            </w:r>
          </w:p>
        </w:tc>
        <w:tc>
          <w:tcPr>
            <w:tcW w:w="992" w:type="dxa"/>
            <w:tcBorders>
              <w:top w:val="single" w:sz="4" w:space="0" w:color="auto"/>
              <w:bottom w:val="single" w:sz="4" w:space="0" w:color="auto"/>
            </w:tcBorders>
          </w:tcPr>
          <w:p w:rsidR="0019273F" w:rsidRPr="00014883" w:rsidRDefault="005634A1">
            <w:pPr>
              <w:rPr>
                <w:rFonts w:ascii="Arial" w:eastAsiaTheme="minorEastAsia" w:hAnsi="Arial" w:cs="Arial"/>
              </w:rPr>
            </w:pPr>
            <w:r w:rsidRPr="00014883">
              <w:rPr>
                <w:rFonts w:ascii="Arial" w:eastAsiaTheme="minorEastAsia" w:hAnsi="Arial" w:cs="Arial"/>
              </w:rPr>
              <w:t>Middle-stream</w:t>
            </w:r>
          </w:p>
        </w:tc>
        <w:tc>
          <w:tcPr>
            <w:tcW w:w="915" w:type="dxa"/>
            <w:tcBorders>
              <w:top w:val="single" w:sz="4" w:space="0" w:color="auto"/>
              <w:bottom w:val="single" w:sz="4" w:space="0" w:color="auto"/>
              <w:right w:val="single" w:sz="4" w:space="0" w:color="auto"/>
            </w:tcBorders>
          </w:tcPr>
          <w:p w:rsidR="0019273F" w:rsidRPr="00014883" w:rsidRDefault="005634A1">
            <w:pPr>
              <w:rPr>
                <w:rFonts w:ascii="Arial" w:eastAsiaTheme="minorEastAsia" w:hAnsi="Arial" w:cs="Arial"/>
              </w:rPr>
            </w:pPr>
            <w:r w:rsidRPr="00014883">
              <w:rPr>
                <w:rFonts w:ascii="Arial" w:eastAsiaTheme="minorEastAsia" w:hAnsi="Arial" w:cs="Arial"/>
              </w:rPr>
              <w:t>Down-stream</w:t>
            </w:r>
          </w:p>
        </w:tc>
        <w:tc>
          <w:tcPr>
            <w:tcW w:w="1070" w:type="dxa"/>
            <w:tcBorders>
              <w:top w:val="single" w:sz="4" w:space="0" w:color="auto"/>
              <w:left w:val="single" w:sz="4" w:space="0" w:color="auto"/>
              <w:bottom w:val="single" w:sz="4" w:space="0" w:color="auto"/>
            </w:tcBorders>
          </w:tcPr>
          <w:p w:rsidR="0019273F" w:rsidRPr="00014883" w:rsidRDefault="005634A1">
            <w:pPr>
              <w:rPr>
                <w:rFonts w:ascii="Arial" w:eastAsiaTheme="minorEastAsia" w:hAnsi="Arial" w:cs="Arial"/>
              </w:rPr>
            </w:pPr>
            <w:r w:rsidRPr="00014883">
              <w:rPr>
                <w:rFonts w:ascii="Arial" w:eastAsiaTheme="minorEastAsia" w:hAnsi="Arial" w:cs="Arial"/>
              </w:rPr>
              <w:t xml:space="preserve">Up-stream </w:t>
            </w:r>
          </w:p>
        </w:tc>
        <w:tc>
          <w:tcPr>
            <w:tcW w:w="992" w:type="dxa"/>
            <w:tcBorders>
              <w:top w:val="single" w:sz="4" w:space="0" w:color="auto"/>
              <w:bottom w:val="single" w:sz="4" w:space="0" w:color="auto"/>
            </w:tcBorders>
          </w:tcPr>
          <w:p w:rsidR="0019273F" w:rsidRPr="00014883" w:rsidRDefault="005634A1">
            <w:pPr>
              <w:rPr>
                <w:rFonts w:ascii="Arial" w:eastAsiaTheme="minorEastAsia" w:hAnsi="Arial" w:cs="Arial"/>
              </w:rPr>
            </w:pPr>
            <w:r w:rsidRPr="00014883">
              <w:rPr>
                <w:rFonts w:ascii="Arial" w:eastAsiaTheme="minorEastAsia" w:hAnsi="Arial" w:cs="Arial"/>
              </w:rPr>
              <w:t>Middle-stream</w:t>
            </w:r>
          </w:p>
        </w:tc>
        <w:tc>
          <w:tcPr>
            <w:tcW w:w="883" w:type="dxa"/>
            <w:tcBorders>
              <w:top w:val="single" w:sz="4" w:space="0" w:color="auto"/>
              <w:bottom w:val="single" w:sz="4" w:space="0" w:color="auto"/>
            </w:tcBorders>
          </w:tcPr>
          <w:p w:rsidR="0019273F" w:rsidRPr="00014883" w:rsidRDefault="005634A1">
            <w:pPr>
              <w:rPr>
                <w:rFonts w:ascii="Arial" w:eastAsiaTheme="minorEastAsia" w:hAnsi="Arial" w:cs="Arial"/>
              </w:rPr>
            </w:pPr>
            <w:r w:rsidRPr="00014883">
              <w:rPr>
                <w:rFonts w:ascii="Arial" w:eastAsiaTheme="minorEastAsia" w:hAnsi="Arial" w:cs="Arial"/>
              </w:rPr>
              <w:t>Down-stream</w:t>
            </w:r>
          </w:p>
        </w:tc>
      </w:tr>
      <w:tr w:rsidR="00014883" w:rsidRPr="00014883">
        <w:tc>
          <w:tcPr>
            <w:tcW w:w="2560" w:type="dxa"/>
            <w:tcBorders>
              <w:top w:val="single" w:sz="4" w:space="0" w:color="auto"/>
            </w:tcBorders>
          </w:tcPr>
          <w:p w:rsidR="0019273F" w:rsidRPr="00014883" w:rsidRDefault="005634A1">
            <w:pPr>
              <w:pStyle w:val="NoSpacing"/>
              <w:jc w:val="both"/>
              <w:rPr>
                <w:rFonts w:ascii="Arial" w:hAnsi="Arial" w:cs="Arial"/>
                <w:b/>
                <w:bCs/>
              </w:rPr>
            </w:pPr>
            <w:r w:rsidRPr="00014883">
              <w:rPr>
                <w:rFonts w:ascii="Arial" w:hAnsi="Arial" w:cs="Arial"/>
              </w:rPr>
              <w:t>Naphthalene</w:t>
            </w:r>
          </w:p>
        </w:tc>
        <w:tc>
          <w:tcPr>
            <w:tcW w:w="979" w:type="dxa"/>
            <w:tcBorders>
              <w:top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0.002</w:t>
            </w:r>
          </w:p>
        </w:tc>
        <w:tc>
          <w:tcPr>
            <w:tcW w:w="992" w:type="dxa"/>
            <w:tcBorders>
              <w:top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0.005</w:t>
            </w:r>
          </w:p>
        </w:tc>
        <w:tc>
          <w:tcPr>
            <w:tcW w:w="915" w:type="dxa"/>
            <w:tcBorders>
              <w:top w:val="single" w:sz="4" w:space="0" w:color="auto"/>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070" w:type="dxa"/>
            <w:tcBorders>
              <w:top w:val="single" w:sz="4" w:space="0" w:color="auto"/>
              <w:left w:val="single" w:sz="4" w:space="0" w:color="auto"/>
            </w:tcBorders>
          </w:tcPr>
          <w:p w:rsidR="0019273F" w:rsidRPr="00014883" w:rsidRDefault="005634A1">
            <w:pPr>
              <w:jc w:val="both"/>
              <w:rPr>
                <w:rFonts w:ascii="Arial" w:hAnsi="Arial" w:cs="Arial"/>
              </w:rPr>
            </w:pPr>
            <w:r w:rsidRPr="00014883">
              <w:rPr>
                <w:rFonts w:ascii="Arial" w:hAnsi="Arial" w:cs="Arial"/>
              </w:rPr>
              <w:t>0.002</w:t>
            </w:r>
          </w:p>
        </w:tc>
        <w:tc>
          <w:tcPr>
            <w:tcW w:w="992" w:type="dxa"/>
            <w:tcBorders>
              <w:top w:val="single" w:sz="4" w:space="0" w:color="auto"/>
            </w:tcBorders>
          </w:tcPr>
          <w:p w:rsidR="0019273F" w:rsidRPr="00014883" w:rsidRDefault="005634A1">
            <w:pPr>
              <w:jc w:val="both"/>
              <w:rPr>
                <w:rFonts w:ascii="Arial" w:hAnsi="Arial" w:cs="Arial"/>
              </w:rPr>
            </w:pPr>
            <w:r w:rsidRPr="00014883">
              <w:rPr>
                <w:rFonts w:ascii="Arial" w:hAnsi="Arial" w:cs="Arial"/>
              </w:rPr>
              <w:t>ND</w:t>
            </w:r>
          </w:p>
        </w:tc>
        <w:tc>
          <w:tcPr>
            <w:tcW w:w="883" w:type="dxa"/>
            <w:tcBorders>
              <w:top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Acenaphthalene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0.002</w:t>
            </w:r>
          </w:p>
        </w:tc>
        <w:tc>
          <w:tcPr>
            <w:tcW w:w="992" w:type="dxa"/>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0.005</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0.034</w:t>
            </w:r>
          </w:p>
        </w:tc>
        <w:tc>
          <w:tcPr>
            <w:tcW w:w="992" w:type="dxa"/>
          </w:tcPr>
          <w:p w:rsidR="0019273F" w:rsidRPr="00014883" w:rsidRDefault="005634A1">
            <w:pPr>
              <w:jc w:val="both"/>
              <w:rPr>
                <w:rFonts w:ascii="Arial" w:hAnsi="Arial" w:cs="Arial"/>
              </w:rPr>
            </w:pPr>
            <w:r w:rsidRPr="00014883">
              <w:rPr>
                <w:rFonts w:ascii="Arial" w:hAnsi="Arial" w:cs="Arial"/>
              </w:rPr>
              <w:t>0.013</w:t>
            </w:r>
          </w:p>
        </w:tc>
        <w:tc>
          <w:tcPr>
            <w:tcW w:w="883" w:type="dxa"/>
          </w:tcPr>
          <w:p w:rsidR="0019273F" w:rsidRPr="00014883" w:rsidRDefault="005634A1">
            <w:pPr>
              <w:pStyle w:val="NoSpacing"/>
              <w:jc w:val="both"/>
              <w:rPr>
                <w:rFonts w:ascii="Arial" w:hAnsi="Arial" w:cs="Arial"/>
              </w:rPr>
            </w:pPr>
            <w:r w:rsidRPr="00014883">
              <w:rPr>
                <w:rFonts w:ascii="Arial" w:hAnsi="Arial" w:cs="Arial"/>
              </w:rPr>
              <w:t>0.027</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Acenaphthene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0.002</w:t>
            </w:r>
          </w:p>
        </w:tc>
        <w:tc>
          <w:tcPr>
            <w:tcW w:w="992" w:type="dxa"/>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0.008</w:t>
            </w:r>
          </w:p>
        </w:tc>
        <w:tc>
          <w:tcPr>
            <w:tcW w:w="992" w:type="dxa"/>
          </w:tcPr>
          <w:p w:rsidR="0019273F" w:rsidRPr="00014883" w:rsidRDefault="005634A1">
            <w:pPr>
              <w:jc w:val="both"/>
              <w:rPr>
                <w:rFonts w:ascii="Arial" w:hAnsi="Arial" w:cs="Arial"/>
              </w:rPr>
            </w:pPr>
            <w:r w:rsidRPr="00014883">
              <w:rPr>
                <w:rFonts w:ascii="Arial" w:hAnsi="Arial" w:cs="Arial"/>
              </w:rPr>
              <w:t>0.037</w:t>
            </w:r>
          </w:p>
        </w:tc>
        <w:tc>
          <w:tcPr>
            <w:tcW w:w="883" w:type="dxa"/>
          </w:tcPr>
          <w:p w:rsidR="0019273F" w:rsidRPr="00014883" w:rsidRDefault="005634A1">
            <w:pPr>
              <w:pStyle w:val="NoSpacing"/>
              <w:jc w:val="both"/>
              <w:rPr>
                <w:rFonts w:ascii="Arial" w:hAnsi="Arial" w:cs="Arial"/>
              </w:rPr>
            </w:pPr>
            <w:r w:rsidRPr="00014883">
              <w:rPr>
                <w:rFonts w:ascii="Arial" w:hAnsi="Arial" w:cs="Arial"/>
              </w:rPr>
              <w:t>0.029</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Florene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0.002</w:t>
            </w:r>
          </w:p>
        </w:tc>
        <w:tc>
          <w:tcPr>
            <w:tcW w:w="992" w:type="dxa"/>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0.003</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0.003</w:t>
            </w:r>
          </w:p>
        </w:tc>
        <w:tc>
          <w:tcPr>
            <w:tcW w:w="992" w:type="dxa"/>
          </w:tcPr>
          <w:p w:rsidR="0019273F" w:rsidRPr="00014883" w:rsidRDefault="005634A1">
            <w:pPr>
              <w:jc w:val="both"/>
              <w:rPr>
                <w:rFonts w:ascii="Arial" w:hAnsi="Arial" w:cs="Arial"/>
              </w:rPr>
            </w:pPr>
            <w:r w:rsidRPr="00014883">
              <w:rPr>
                <w:rFonts w:ascii="Arial" w:hAnsi="Arial" w:cs="Arial"/>
              </w:rPr>
              <w:t>ND</w:t>
            </w:r>
          </w:p>
        </w:tc>
        <w:tc>
          <w:tcPr>
            <w:tcW w:w="883" w:type="dxa"/>
          </w:tcPr>
          <w:p w:rsidR="0019273F" w:rsidRPr="00014883" w:rsidRDefault="005634A1">
            <w:pPr>
              <w:pStyle w:val="NoSpacing"/>
              <w:jc w:val="both"/>
              <w:rPr>
                <w:rFonts w:ascii="Arial" w:hAnsi="Arial" w:cs="Arial"/>
              </w:rPr>
            </w:pPr>
            <w:r w:rsidRPr="00014883">
              <w:rPr>
                <w:rFonts w:ascii="Arial" w:hAnsi="Arial" w:cs="Arial"/>
              </w:rPr>
              <w:t>0.085</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Phenathrene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0.002</w:t>
            </w:r>
          </w:p>
        </w:tc>
        <w:tc>
          <w:tcPr>
            <w:tcW w:w="992" w:type="dxa"/>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0.020</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0.010</w:t>
            </w:r>
          </w:p>
        </w:tc>
        <w:tc>
          <w:tcPr>
            <w:tcW w:w="992" w:type="dxa"/>
          </w:tcPr>
          <w:p w:rsidR="0019273F" w:rsidRPr="00014883" w:rsidRDefault="005634A1">
            <w:pPr>
              <w:jc w:val="both"/>
              <w:rPr>
                <w:rFonts w:ascii="Arial" w:hAnsi="Arial" w:cs="Arial"/>
              </w:rPr>
            </w:pPr>
            <w:r w:rsidRPr="00014883">
              <w:rPr>
                <w:rFonts w:ascii="Arial" w:hAnsi="Arial" w:cs="Arial"/>
              </w:rPr>
              <w:t>ND</w:t>
            </w:r>
          </w:p>
        </w:tc>
        <w:tc>
          <w:tcPr>
            <w:tcW w:w="883" w:type="dxa"/>
          </w:tcPr>
          <w:p w:rsidR="0019273F" w:rsidRPr="00014883" w:rsidRDefault="005634A1">
            <w:pPr>
              <w:pStyle w:val="NoSpacing"/>
              <w:jc w:val="both"/>
              <w:rPr>
                <w:rFonts w:ascii="Arial" w:hAnsi="Arial" w:cs="Arial"/>
              </w:rPr>
            </w:pPr>
            <w:r w:rsidRPr="00014883">
              <w:rPr>
                <w:rFonts w:ascii="Arial" w:hAnsi="Arial" w:cs="Arial"/>
              </w:rPr>
              <w:t>0.019</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Anthracene</w:t>
            </w:r>
          </w:p>
        </w:tc>
        <w:tc>
          <w:tcPr>
            <w:tcW w:w="979" w:type="dxa"/>
          </w:tcPr>
          <w:p w:rsidR="0019273F" w:rsidRPr="00014883" w:rsidRDefault="005634A1">
            <w:pPr>
              <w:pStyle w:val="NoSpacing"/>
              <w:jc w:val="both"/>
              <w:rPr>
                <w:rFonts w:ascii="Arial" w:hAnsi="Arial" w:cs="Arial"/>
              </w:rPr>
            </w:pPr>
            <w:r w:rsidRPr="00014883">
              <w:rPr>
                <w:rFonts w:ascii="Arial" w:hAnsi="Arial" w:cs="Arial"/>
              </w:rPr>
              <w:t>ND</w:t>
            </w:r>
          </w:p>
        </w:tc>
        <w:tc>
          <w:tcPr>
            <w:tcW w:w="992" w:type="dxa"/>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0.008</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ND</w:t>
            </w:r>
          </w:p>
        </w:tc>
        <w:tc>
          <w:tcPr>
            <w:tcW w:w="992" w:type="dxa"/>
          </w:tcPr>
          <w:p w:rsidR="0019273F" w:rsidRPr="00014883" w:rsidRDefault="005634A1">
            <w:pPr>
              <w:jc w:val="both"/>
              <w:rPr>
                <w:rFonts w:ascii="Arial" w:hAnsi="Arial" w:cs="Arial"/>
              </w:rPr>
            </w:pPr>
            <w:r w:rsidRPr="00014883">
              <w:rPr>
                <w:rFonts w:ascii="Arial" w:hAnsi="Arial" w:cs="Arial"/>
              </w:rPr>
              <w:t>0.034</w:t>
            </w:r>
          </w:p>
        </w:tc>
        <w:tc>
          <w:tcPr>
            <w:tcW w:w="883" w:type="dxa"/>
          </w:tcPr>
          <w:p w:rsidR="0019273F" w:rsidRPr="00014883" w:rsidRDefault="005634A1">
            <w:pPr>
              <w:pStyle w:val="NoSpacing"/>
              <w:jc w:val="both"/>
              <w:rPr>
                <w:rFonts w:ascii="Arial" w:hAnsi="Arial" w:cs="Arial"/>
              </w:rPr>
            </w:pPr>
            <w:r w:rsidRPr="00014883">
              <w:rPr>
                <w:rFonts w:ascii="Arial" w:hAnsi="Arial" w:cs="Arial"/>
              </w:rPr>
              <w:t>0.023</w:t>
            </w:r>
          </w:p>
        </w:tc>
      </w:tr>
      <w:tr w:rsidR="00014883" w:rsidRPr="00014883">
        <w:tc>
          <w:tcPr>
            <w:tcW w:w="2560" w:type="dxa"/>
            <w:tcBorders>
              <w:bottom w:val="nil"/>
            </w:tcBorders>
          </w:tcPr>
          <w:p w:rsidR="0019273F" w:rsidRPr="00014883" w:rsidRDefault="005634A1">
            <w:pPr>
              <w:pStyle w:val="NoSpacing"/>
              <w:jc w:val="both"/>
              <w:rPr>
                <w:rFonts w:ascii="Arial" w:hAnsi="Arial" w:cs="Arial"/>
                <w:b/>
                <w:bCs/>
              </w:rPr>
            </w:pPr>
            <w:r w:rsidRPr="00014883">
              <w:rPr>
                <w:rFonts w:ascii="Arial" w:hAnsi="Arial" w:cs="Arial"/>
              </w:rPr>
              <w:t>Fluoranthene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0.003</w:t>
            </w:r>
          </w:p>
        </w:tc>
        <w:tc>
          <w:tcPr>
            <w:tcW w:w="992" w:type="dxa"/>
          </w:tcPr>
          <w:p w:rsidR="0019273F" w:rsidRPr="00014883" w:rsidRDefault="005634A1">
            <w:pPr>
              <w:pStyle w:val="NoSpacing"/>
              <w:jc w:val="both"/>
              <w:rPr>
                <w:rFonts w:ascii="Arial" w:hAnsi="Arial" w:cs="Arial"/>
              </w:rPr>
            </w:pPr>
            <w:r w:rsidRPr="00014883">
              <w:rPr>
                <w:rFonts w:ascii="Arial" w:hAnsi="Arial" w:cs="Arial"/>
              </w:rPr>
              <w:t>0.015</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0.017</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0.008</w:t>
            </w:r>
          </w:p>
        </w:tc>
        <w:tc>
          <w:tcPr>
            <w:tcW w:w="992" w:type="dxa"/>
          </w:tcPr>
          <w:p w:rsidR="0019273F" w:rsidRPr="00014883" w:rsidRDefault="005634A1">
            <w:pPr>
              <w:jc w:val="both"/>
              <w:rPr>
                <w:rFonts w:ascii="Arial" w:hAnsi="Arial" w:cs="Arial"/>
              </w:rPr>
            </w:pPr>
            <w:r w:rsidRPr="00014883">
              <w:rPr>
                <w:rFonts w:ascii="Arial" w:hAnsi="Arial" w:cs="Arial"/>
              </w:rPr>
              <w:t>0.004</w:t>
            </w:r>
          </w:p>
        </w:tc>
        <w:tc>
          <w:tcPr>
            <w:tcW w:w="883" w:type="dxa"/>
          </w:tcPr>
          <w:p w:rsidR="0019273F" w:rsidRPr="00014883" w:rsidRDefault="005634A1">
            <w:pPr>
              <w:pStyle w:val="NoSpacing"/>
              <w:jc w:val="both"/>
              <w:rPr>
                <w:rFonts w:ascii="Arial" w:hAnsi="Arial" w:cs="Arial"/>
              </w:rPr>
            </w:pPr>
            <w:r w:rsidRPr="00014883">
              <w:rPr>
                <w:rFonts w:ascii="Arial" w:hAnsi="Arial" w:cs="Arial"/>
              </w:rPr>
              <w:t>0.028</w:t>
            </w:r>
          </w:p>
        </w:tc>
      </w:tr>
      <w:tr w:rsidR="00014883" w:rsidRPr="00014883">
        <w:trPr>
          <w:trHeight w:val="166"/>
        </w:trPr>
        <w:tc>
          <w:tcPr>
            <w:tcW w:w="2560" w:type="dxa"/>
            <w:tcBorders>
              <w:top w:val="nil"/>
              <w:bottom w:val="nil"/>
            </w:tcBorders>
          </w:tcPr>
          <w:p w:rsidR="0019273F" w:rsidRPr="00014883" w:rsidRDefault="005634A1">
            <w:pPr>
              <w:pStyle w:val="NoSpacing"/>
              <w:jc w:val="both"/>
              <w:rPr>
                <w:rFonts w:ascii="Arial" w:hAnsi="Arial" w:cs="Arial"/>
                <w:b/>
                <w:bCs/>
              </w:rPr>
            </w:pPr>
            <w:r w:rsidRPr="00014883">
              <w:rPr>
                <w:rFonts w:ascii="Arial" w:hAnsi="Arial" w:cs="Arial"/>
              </w:rPr>
              <w:t>Pyrene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0.011</w:t>
            </w:r>
          </w:p>
        </w:tc>
        <w:tc>
          <w:tcPr>
            <w:tcW w:w="992" w:type="dxa"/>
          </w:tcPr>
          <w:p w:rsidR="0019273F" w:rsidRPr="00014883" w:rsidRDefault="005634A1">
            <w:pPr>
              <w:pStyle w:val="NoSpacing"/>
              <w:jc w:val="both"/>
              <w:rPr>
                <w:rFonts w:ascii="Arial" w:hAnsi="Arial" w:cs="Arial"/>
              </w:rPr>
            </w:pPr>
            <w:r w:rsidRPr="00014883">
              <w:rPr>
                <w:rFonts w:ascii="Arial" w:hAnsi="Arial" w:cs="Arial"/>
              </w:rPr>
              <w:t>0.010</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0.002</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0.012</w:t>
            </w:r>
          </w:p>
        </w:tc>
        <w:tc>
          <w:tcPr>
            <w:tcW w:w="992" w:type="dxa"/>
          </w:tcPr>
          <w:p w:rsidR="0019273F" w:rsidRPr="00014883" w:rsidRDefault="005634A1">
            <w:pPr>
              <w:jc w:val="both"/>
              <w:rPr>
                <w:rFonts w:ascii="Arial" w:hAnsi="Arial" w:cs="Arial"/>
              </w:rPr>
            </w:pPr>
            <w:r w:rsidRPr="00014883">
              <w:rPr>
                <w:rFonts w:ascii="Arial" w:hAnsi="Arial" w:cs="Arial"/>
              </w:rPr>
              <w:t>0.017</w:t>
            </w:r>
          </w:p>
        </w:tc>
        <w:tc>
          <w:tcPr>
            <w:tcW w:w="883" w:type="dxa"/>
          </w:tcPr>
          <w:p w:rsidR="0019273F" w:rsidRPr="00014883" w:rsidRDefault="005634A1">
            <w:pPr>
              <w:pStyle w:val="NoSpacing"/>
              <w:jc w:val="both"/>
              <w:rPr>
                <w:rFonts w:ascii="Arial" w:hAnsi="Arial" w:cs="Arial"/>
              </w:rPr>
            </w:pPr>
            <w:r w:rsidRPr="00014883">
              <w:rPr>
                <w:rFonts w:ascii="Arial" w:hAnsi="Arial" w:cs="Arial"/>
              </w:rPr>
              <w:t>0.016</w:t>
            </w:r>
          </w:p>
        </w:tc>
      </w:tr>
      <w:tr w:rsidR="00014883" w:rsidRPr="00014883">
        <w:tc>
          <w:tcPr>
            <w:tcW w:w="2560" w:type="dxa"/>
            <w:tcBorders>
              <w:top w:val="nil"/>
            </w:tcBorders>
          </w:tcPr>
          <w:p w:rsidR="0019273F" w:rsidRPr="00014883" w:rsidRDefault="005634A1">
            <w:pPr>
              <w:pStyle w:val="NoSpacing"/>
              <w:jc w:val="both"/>
              <w:rPr>
                <w:rFonts w:ascii="Arial" w:hAnsi="Arial" w:cs="Arial"/>
                <w:b/>
                <w:bCs/>
              </w:rPr>
            </w:pPr>
            <w:r w:rsidRPr="00014883">
              <w:rPr>
                <w:rFonts w:ascii="Arial" w:hAnsi="Arial" w:cs="Arial"/>
              </w:rPr>
              <w:t>Benzo(a) anthrancene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0.041</w:t>
            </w:r>
          </w:p>
        </w:tc>
        <w:tc>
          <w:tcPr>
            <w:tcW w:w="992" w:type="dxa"/>
          </w:tcPr>
          <w:p w:rsidR="0019273F" w:rsidRPr="00014883" w:rsidRDefault="005634A1">
            <w:pPr>
              <w:pStyle w:val="NoSpacing"/>
              <w:jc w:val="both"/>
              <w:rPr>
                <w:rFonts w:ascii="Arial" w:hAnsi="Arial" w:cs="Arial"/>
              </w:rPr>
            </w:pPr>
            <w:r w:rsidRPr="00014883">
              <w:rPr>
                <w:rFonts w:ascii="Arial" w:hAnsi="Arial" w:cs="Arial"/>
              </w:rPr>
              <w:t>0.028</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0.009</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0.003</w:t>
            </w:r>
          </w:p>
        </w:tc>
        <w:tc>
          <w:tcPr>
            <w:tcW w:w="992" w:type="dxa"/>
          </w:tcPr>
          <w:p w:rsidR="0019273F" w:rsidRPr="00014883" w:rsidRDefault="005634A1">
            <w:pPr>
              <w:jc w:val="both"/>
              <w:rPr>
                <w:rFonts w:ascii="Arial" w:hAnsi="Arial" w:cs="Arial"/>
              </w:rPr>
            </w:pPr>
            <w:r w:rsidRPr="00014883">
              <w:rPr>
                <w:rFonts w:ascii="Arial" w:hAnsi="Arial" w:cs="Arial"/>
              </w:rPr>
              <w:t>0.024</w:t>
            </w:r>
          </w:p>
        </w:tc>
        <w:tc>
          <w:tcPr>
            <w:tcW w:w="883" w:type="dxa"/>
          </w:tcPr>
          <w:p w:rsidR="0019273F" w:rsidRPr="00014883" w:rsidRDefault="005634A1">
            <w:pPr>
              <w:pStyle w:val="NoSpacing"/>
              <w:jc w:val="both"/>
              <w:rPr>
                <w:rFonts w:ascii="Arial" w:hAnsi="Arial" w:cs="Arial"/>
              </w:rPr>
            </w:pPr>
            <w:r w:rsidRPr="00014883">
              <w:rPr>
                <w:rFonts w:ascii="Arial" w:hAnsi="Arial" w:cs="Arial"/>
              </w:rPr>
              <w:t>0.014</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Crysene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0.015</w:t>
            </w:r>
          </w:p>
        </w:tc>
        <w:tc>
          <w:tcPr>
            <w:tcW w:w="992" w:type="dxa"/>
          </w:tcPr>
          <w:p w:rsidR="0019273F" w:rsidRPr="00014883" w:rsidRDefault="005634A1">
            <w:pPr>
              <w:pStyle w:val="NoSpacing"/>
              <w:jc w:val="both"/>
              <w:rPr>
                <w:rFonts w:ascii="Arial" w:hAnsi="Arial" w:cs="Arial"/>
              </w:rPr>
            </w:pPr>
            <w:r w:rsidRPr="00014883">
              <w:rPr>
                <w:rFonts w:ascii="Arial" w:hAnsi="Arial" w:cs="Arial"/>
              </w:rPr>
              <w:t>0.004</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0.008</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0.007</w:t>
            </w:r>
          </w:p>
        </w:tc>
        <w:tc>
          <w:tcPr>
            <w:tcW w:w="992" w:type="dxa"/>
          </w:tcPr>
          <w:p w:rsidR="0019273F" w:rsidRPr="00014883" w:rsidRDefault="005634A1">
            <w:pPr>
              <w:jc w:val="both"/>
              <w:rPr>
                <w:rFonts w:ascii="Arial" w:hAnsi="Arial" w:cs="Arial"/>
              </w:rPr>
            </w:pPr>
            <w:r w:rsidRPr="00014883">
              <w:rPr>
                <w:rFonts w:ascii="Arial" w:hAnsi="Arial" w:cs="Arial"/>
              </w:rPr>
              <w:t>0.004</w:t>
            </w:r>
          </w:p>
        </w:tc>
        <w:tc>
          <w:tcPr>
            <w:tcW w:w="883" w:type="dxa"/>
          </w:tcPr>
          <w:p w:rsidR="0019273F" w:rsidRPr="00014883" w:rsidRDefault="005634A1">
            <w:pPr>
              <w:pStyle w:val="NoSpacing"/>
              <w:jc w:val="both"/>
              <w:rPr>
                <w:rFonts w:ascii="Arial" w:hAnsi="Arial" w:cs="Arial"/>
              </w:rPr>
            </w:pPr>
            <w:r w:rsidRPr="00014883">
              <w:rPr>
                <w:rFonts w:ascii="Arial" w:hAnsi="Arial" w:cs="Arial"/>
              </w:rPr>
              <w:t>0.013</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Benzo(b) fluoranthrene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0.004</w:t>
            </w:r>
          </w:p>
        </w:tc>
        <w:tc>
          <w:tcPr>
            <w:tcW w:w="992" w:type="dxa"/>
          </w:tcPr>
          <w:p w:rsidR="0019273F" w:rsidRPr="00014883" w:rsidRDefault="005634A1">
            <w:pPr>
              <w:pStyle w:val="NoSpacing"/>
              <w:jc w:val="both"/>
              <w:rPr>
                <w:rFonts w:ascii="Arial" w:hAnsi="Arial" w:cs="Arial"/>
              </w:rPr>
            </w:pPr>
            <w:r w:rsidRPr="00014883">
              <w:rPr>
                <w:rFonts w:ascii="Arial" w:hAnsi="Arial" w:cs="Arial"/>
              </w:rPr>
              <w:t>0.406</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0.279</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0.002</w:t>
            </w:r>
          </w:p>
        </w:tc>
        <w:tc>
          <w:tcPr>
            <w:tcW w:w="992" w:type="dxa"/>
          </w:tcPr>
          <w:p w:rsidR="0019273F" w:rsidRPr="00014883" w:rsidRDefault="005634A1">
            <w:pPr>
              <w:jc w:val="both"/>
              <w:rPr>
                <w:rFonts w:ascii="Arial" w:hAnsi="Arial" w:cs="Arial"/>
              </w:rPr>
            </w:pPr>
            <w:r w:rsidRPr="00014883">
              <w:rPr>
                <w:rFonts w:ascii="Arial" w:hAnsi="Arial" w:cs="Arial"/>
              </w:rPr>
              <w:t>0.002</w:t>
            </w:r>
          </w:p>
        </w:tc>
        <w:tc>
          <w:tcPr>
            <w:tcW w:w="883" w:type="dxa"/>
          </w:tcPr>
          <w:p w:rsidR="0019273F" w:rsidRPr="00014883" w:rsidRDefault="005634A1">
            <w:pPr>
              <w:pStyle w:val="NoSpacing"/>
              <w:jc w:val="both"/>
              <w:rPr>
                <w:rFonts w:ascii="Arial" w:hAnsi="Arial" w:cs="Arial"/>
              </w:rPr>
            </w:pPr>
            <w:r w:rsidRPr="00014883">
              <w:rPr>
                <w:rFonts w:ascii="Arial" w:hAnsi="Arial" w:cs="Arial"/>
              </w:rPr>
              <w:t>0.017</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Benzo(a)pyrene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0.003</w:t>
            </w:r>
          </w:p>
        </w:tc>
        <w:tc>
          <w:tcPr>
            <w:tcW w:w="992" w:type="dxa"/>
          </w:tcPr>
          <w:p w:rsidR="0019273F" w:rsidRPr="00014883" w:rsidRDefault="005634A1">
            <w:pPr>
              <w:pStyle w:val="NoSpacing"/>
              <w:jc w:val="both"/>
              <w:rPr>
                <w:rFonts w:ascii="Arial" w:hAnsi="Arial" w:cs="Arial"/>
              </w:rPr>
            </w:pPr>
            <w:r w:rsidRPr="00014883">
              <w:rPr>
                <w:rFonts w:ascii="Arial" w:hAnsi="Arial" w:cs="Arial"/>
              </w:rPr>
              <w:t>0.003</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ND</w:t>
            </w:r>
          </w:p>
        </w:tc>
        <w:tc>
          <w:tcPr>
            <w:tcW w:w="992" w:type="dxa"/>
          </w:tcPr>
          <w:p w:rsidR="0019273F" w:rsidRPr="00014883" w:rsidRDefault="005634A1">
            <w:pPr>
              <w:jc w:val="both"/>
              <w:rPr>
                <w:rFonts w:ascii="Arial" w:hAnsi="Arial" w:cs="Arial"/>
              </w:rPr>
            </w:pPr>
            <w:r w:rsidRPr="00014883">
              <w:rPr>
                <w:rFonts w:ascii="Arial" w:hAnsi="Arial" w:cs="Arial"/>
              </w:rPr>
              <w:t>0.053</w:t>
            </w:r>
          </w:p>
        </w:tc>
        <w:tc>
          <w:tcPr>
            <w:tcW w:w="883" w:type="dxa"/>
          </w:tcPr>
          <w:p w:rsidR="0019273F" w:rsidRPr="00014883" w:rsidRDefault="005634A1">
            <w:pPr>
              <w:pStyle w:val="NoSpacing"/>
              <w:jc w:val="both"/>
              <w:rPr>
                <w:rFonts w:ascii="Arial" w:hAnsi="Arial" w:cs="Arial"/>
              </w:rPr>
            </w:pPr>
            <w:r w:rsidRPr="00014883">
              <w:rPr>
                <w:rFonts w:ascii="Arial" w:hAnsi="Arial" w:cs="Arial"/>
              </w:rPr>
              <w:t>ND</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Benzo(k)fluoranthrene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0.002</w:t>
            </w:r>
          </w:p>
        </w:tc>
        <w:tc>
          <w:tcPr>
            <w:tcW w:w="992" w:type="dxa"/>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ND</w:t>
            </w:r>
          </w:p>
        </w:tc>
        <w:tc>
          <w:tcPr>
            <w:tcW w:w="992" w:type="dxa"/>
          </w:tcPr>
          <w:p w:rsidR="0019273F" w:rsidRPr="00014883" w:rsidRDefault="005634A1">
            <w:pPr>
              <w:jc w:val="both"/>
              <w:rPr>
                <w:rFonts w:ascii="Arial" w:hAnsi="Arial" w:cs="Arial"/>
              </w:rPr>
            </w:pPr>
            <w:r w:rsidRPr="00014883">
              <w:rPr>
                <w:rFonts w:ascii="Arial" w:hAnsi="Arial" w:cs="Arial"/>
              </w:rPr>
              <w:t>0.003</w:t>
            </w:r>
          </w:p>
        </w:tc>
        <w:tc>
          <w:tcPr>
            <w:tcW w:w="883" w:type="dxa"/>
          </w:tcPr>
          <w:p w:rsidR="0019273F" w:rsidRPr="00014883" w:rsidRDefault="005634A1">
            <w:pPr>
              <w:pStyle w:val="NoSpacing"/>
              <w:jc w:val="both"/>
              <w:rPr>
                <w:rFonts w:ascii="Arial" w:hAnsi="Arial" w:cs="Arial"/>
              </w:rPr>
            </w:pPr>
            <w:r w:rsidRPr="00014883">
              <w:rPr>
                <w:rFonts w:ascii="Arial" w:hAnsi="Arial" w:cs="Arial"/>
              </w:rPr>
              <w:t>ND</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Indeno(1,2,3) perylene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0.002</w:t>
            </w:r>
          </w:p>
        </w:tc>
        <w:tc>
          <w:tcPr>
            <w:tcW w:w="992" w:type="dxa"/>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ND</w:t>
            </w:r>
          </w:p>
        </w:tc>
        <w:tc>
          <w:tcPr>
            <w:tcW w:w="992" w:type="dxa"/>
          </w:tcPr>
          <w:p w:rsidR="0019273F" w:rsidRPr="00014883" w:rsidRDefault="005634A1">
            <w:pPr>
              <w:jc w:val="both"/>
              <w:rPr>
                <w:rFonts w:ascii="Arial" w:hAnsi="Arial" w:cs="Arial"/>
              </w:rPr>
            </w:pPr>
            <w:r w:rsidRPr="00014883">
              <w:rPr>
                <w:rFonts w:ascii="Arial" w:hAnsi="Arial" w:cs="Arial"/>
              </w:rPr>
              <w:t>0.005</w:t>
            </w:r>
          </w:p>
        </w:tc>
        <w:tc>
          <w:tcPr>
            <w:tcW w:w="883" w:type="dxa"/>
          </w:tcPr>
          <w:p w:rsidR="0019273F" w:rsidRPr="00014883" w:rsidRDefault="005634A1">
            <w:pPr>
              <w:pStyle w:val="NoSpacing"/>
              <w:jc w:val="both"/>
              <w:rPr>
                <w:rFonts w:ascii="Arial" w:hAnsi="Arial" w:cs="Arial"/>
              </w:rPr>
            </w:pPr>
            <w:r w:rsidRPr="00014883">
              <w:rPr>
                <w:rFonts w:ascii="Arial" w:hAnsi="Arial" w:cs="Arial"/>
              </w:rPr>
              <w:t>ND</w:t>
            </w:r>
          </w:p>
        </w:tc>
      </w:tr>
      <w:tr w:rsidR="00014883" w:rsidRPr="00014883">
        <w:tc>
          <w:tcPr>
            <w:tcW w:w="2560" w:type="dxa"/>
          </w:tcPr>
          <w:p w:rsidR="0019273F" w:rsidRPr="00014883" w:rsidRDefault="005634A1">
            <w:pPr>
              <w:pStyle w:val="NoSpacing"/>
              <w:jc w:val="both"/>
              <w:rPr>
                <w:rFonts w:ascii="Arial" w:hAnsi="Arial" w:cs="Arial"/>
                <w:b/>
                <w:bCs/>
              </w:rPr>
            </w:pPr>
            <w:r w:rsidRPr="00014883">
              <w:rPr>
                <w:rFonts w:ascii="Arial" w:hAnsi="Arial" w:cs="Arial"/>
              </w:rPr>
              <w:t>Dibenzo(a,h) anthracene</w:t>
            </w:r>
          </w:p>
        </w:tc>
        <w:tc>
          <w:tcPr>
            <w:tcW w:w="979" w:type="dxa"/>
          </w:tcPr>
          <w:p w:rsidR="0019273F" w:rsidRPr="00014883" w:rsidRDefault="005634A1">
            <w:pPr>
              <w:pStyle w:val="NoSpacing"/>
              <w:jc w:val="both"/>
              <w:rPr>
                <w:rFonts w:ascii="Arial" w:hAnsi="Arial" w:cs="Arial"/>
              </w:rPr>
            </w:pPr>
            <w:r w:rsidRPr="00014883">
              <w:rPr>
                <w:rFonts w:ascii="Arial" w:hAnsi="Arial" w:cs="Arial"/>
              </w:rPr>
              <w:t>0.001</w:t>
            </w:r>
          </w:p>
        </w:tc>
        <w:tc>
          <w:tcPr>
            <w:tcW w:w="992" w:type="dxa"/>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070"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ND</w:t>
            </w:r>
          </w:p>
        </w:tc>
        <w:tc>
          <w:tcPr>
            <w:tcW w:w="992" w:type="dxa"/>
          </w:tcPr>
          <w:p w:rsidR="0019273F" w:rsidRPr="00014883" w:rsidRDefault="005634A1">
            <w:pPr>
              <w:jc w:val="both"/>
              <w:rPr>
                <w:rFonts w:ascii="Arial" w:hAnsi="Arial" w:cs="Arial"/>
              </w:rPr>
            </w:pPr>
            <w:r w:rsidRPr="00014883">
              <w:rPr>
                <w:rFonts w:ascii="Arial" w:hAnsi="Arial" w:cs="Arial"/>
              </w:rPr>
              <w:t>ND</w:t>
            </w:r>
          </w:p>
        </w:tc>
        <w:tc>
          <w:tcPr>
            <w:tcW w:w="883" w:type="dxa"/>
          </w:tcPr>
          <w:p w:rsidR="0019273F" w:rsidRPr="00014883" w:rsidRDefault="005634A1">
            <w:pPr>
              <w:pStyle w:val="NoSpacing"/>
              <w:jc w:val="both"/>
              <w:rPr>
                <w:rFonts w:ascii="Arial" w:hAnsi="Arial" w:cs="Arial"/>
              </w:rPr>
            </w:pPr>
            <w:r w:rsidRPr="00014883">
              <w:rPr>
                <w:rFonts w:ascii="Arial" w:hAnsi="Arial" w:cs="Arial"/>
              </w:rPr>
              <w:t>ND</w:t>
            </w:r>
          </w:p>
        </w:tc>
      </w:tr>
      <w:tr w:rsidR="00014883" w:rsidRPr="00014883">
        <w:tc>
          <w:tcPr>
            <w:tcW w:w="2560" w:type="dxa"/>
            <w:tcBorders>
              <w:bottom w:val="single" w:sz="4" w:space="0" w:color="auto"/>
            </w:tcBorders>
          </w:tcPr>
          <w:p w:rsidR="0019273F" w:rsidRPr="00014883" w:rsidRDefault="005634A1">
            <w:pPr>
              <w:pStyle w:val="NoSpacing"/>
              <w:jc w:val="both"/>
              <w:rPr>
                <w:rFonts w:ascii="Arial" w:hAnsi="Arial" w:cs="Arial"/>
                <w:b/>
                <w:bCs/>
              </w:rPr>
            </w:pPr>
            <w:r w:rsidRPr="00014883">
              <w:rPr>
                <w:rFonts w:ascii="Arial" w:hAnsi="Arial" w:cs="Arial"/>
              </w:rPr>
              <w:t>Benzo(g,h,i)perylene</w:t>
            </w:r>
          </w:p>
        </w:tc>
        <w:tc>
          <w:tcPr>
            <w:tcW w:w="979" w:type="dxa"/>
            <w:tcBorders>
              <w:bottom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992" w:type="dxa"/>
            <w:tcBorders>
              <w:bottom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915" w:type="dxa"/>
            <w:tcBorders>
              <w:bottom w:val="single" w:sz="4" w:space="0" w:color="auto"/>
              <w:right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c>
          <w:tcPr>
            <w:tcW w:w="1070" w:type="dxa"/>
            <w:tcBorders>
              <w:left w:val="single" w:sz="4" w:space="0" w:color="auto"/>
              <w:bottom w:val="single" w:sz="4" w:space="0" w:color="auto"/>
            </w:tcBorders>
          </w:tcPr>
          <w:p w:rsidR="0019273F" w:rsidRPr="00014883" w:rsidRDefault="005634A1">
            <w:pPr>
              <w:jc w:val="both"/>
              <w:rPr>
                <w:rFonts w:ascii="Arial" w:hAnsi="Arial" w:cs="Arial"/>
              </w:rPr>
            </w:pPr>
            <w:r w:rsidRPr="00014883">
              <w:rPr>
                <w:rFonts w:ascii="Arial" w:hAnsi="Arial" w:cs="Arial"/>
              </w:rPr>
              <w:t>ND</w:t>
            </w:r>
          </w:p>
        </w:tc>
        <w:tc>
          <w:tcPr>
            <w:tcW w:w="992" w:type="dxa"/>
            <w:tcBorders>
              <w:bottom w:val="single" w:sz="4" w:space="0" w:color="auto"/>
            </w:tcBorders>
          </w:tcPr>
          <w:p w:rsidR="0019273F" w:rsidRPr="00014883" w:rsidRDefault="005634A1">
            <w:pPr>
              <w:jc w:val="both"/>
              <w:rPr>
                <w:rFonts w:ascii="Arial" w:hAnsi="Arial" w:cs="Arial"/>
              </w:rPr>
            </w:pPr>
            <w:r w:rsidRPr="00014883">
              <w:rPr>
                <w:rFonts w:ascii="Arial" w:hAnsi="Arial" w:cs="Arial"/>
              </w:rPr>
              <w:t>ND</w:t>
            </w:r>
          </w:p>
        </w:tc>
        <w:tc>
          <w:tcPr>
            <w:tcW w:w="883" w:type="dxa"/>
            <w:tcBorders>
              <w:bottom w:val="single" w:sz="4" w:space="0" w:color="auto"/>
            </w:tcBorders>
          </w:tcPr>
          <w:p w:rsidR="0019273F" w:rsidRPr="00014883" w:rsidRDefault="005634A1">
            <w:pPr>
              <w:pStyle w:val="NoSpacing"/>
              <w:jc w:val="both"/>
              <w:rPr>
                <w:rFonts w:ascii="Arial" w:hAnsi="Arial" w:cs="Arial"/>
              </w:rPr>
            </w:pPr>
            <w:r w:rsidRPr="00014883">
              <w:rPr>
                <w:rFonts w:ascii="Arial" w:hAnsi="Arial" w:cs="Arial"/>
              </w:rPr>
              <w:t>ND</w:t>
            </w:r>
          </w:p>
        </w:tc>
      </w:tr>
      <w:tr w:rsidR="0019273F" w:rsidRPr="00014883">
        <w:tc>
          <w:tcPr>
            <w:tcW w:w="2560" w:type="dxa"/>
            <w:tcBorders>
              <w:top w:val="single" w:sz="4" w:space="0" w:color="auto"/>
              <w:bottom w:val="single" w:sz="4" w:space="0" w:color="auto"/>
            </w:tcBorders>
          </w:tcPr>
          <w:p w:rsidR="0019273F" w:rsidRPr="00014883" w:rsidRDefault="005634A1">
            <w:pPr>
              <w:pStyle w:val="NoSpacing"/>
              <w:jc w:val="both"/>
              <w:rPr>
                <w:rFonts w:ascii="Arial" w:hAnsi="Arial" w:cs="Arial"/>
                <w:bCs/>
              </w:rPr>
            </w:pPr>
            <w:r w:rsidRPr="00014883">
              <w:rPr>
                <w:rFonts w:ascii="Arial" w:hAnsi="Arial" w:cs="Arial"/>
                <w:b/>
              </w:rPr>
              <w:t>Total (mg/kg</w:t>
            </w:r>
            <w:r w:rsidRPr="00014883">
              <w:rPr>
                <w:rFonts w:ascii="Arial" w:hAnsi="Arial" w:cs="Arial"/>
              </w:rPr>
              <w:t>)</w:t>
            </w:r>
          </w:p>
        </w:tc>
        <w:tc>
          <w:tcPr>
            <w:tcW w:w="979" w:type="dxa"/>
            <w:tcBorders>
              <w:top w:val="single" w:sz="4" w:space="0" w:color="auto"/>
              <w:bottom w:val="single" w:sz="4" w:space="0" w:color="auto"/>
            </w:tcBorders>
          </w:tcPr>
          <w:p w:rsidR="0019273F" w:rsidRPr="00014883" w:rsidRDefault="005634A1">
            <w:pPr>
              <w:pStyle w:val="NoSpacing"/>
              <w:jc w:val="both"/>
              <w:rPr>
                <w:rFonts w:ascii="Arial" w:hAnsi="Arial" w:cs="Arial"/>
                <w:b/>
              </w:rPr>
            </w:pPr>
            <w:r w:rsidRPr="00014883">
              <w:rPr>
                <w:rFonts w:ascii="Arial" w:hAnsi="Arial" w:cs="Arial"/>
                <w:b/>
              </w:rPr>
              <w:t>0.093</w:t>
            </w:r>
          </w:p>
        </w:tc>
        <w:tc>
          <w:tcPr>
            <w:tcW w:w="992" w:type="dxa"/>
            <w:tcBorders>
              <w:top w:val="single" w:sz="4" w:space="0" w:color="auto"/>
              <w:bottom w:val="single" w:sz="4" w:space="0" w:color="auto"/>
            </w:tcBorders>
          </w:tcPr>
          <w:p w:rsidR="0019273F" w:rsidRPr="00014883" w:rsidRDefault="005634A1">
            <w:pPr>
              <w:pStyle w:val="NoSpacing"/>
              <w:jc w:val="both"/>
              <w:rPr>
                <w:rFonts w:ascii="Arial" w:hAnsi="Arial" w:cs="Arial"/>
                <w:b/>
              </w:rPr>
            </w:pPr>
            <w:r w:rsidRPr="00014883">
              <w:rPr>
                <w:rFonts w:ascii="Arial" w:hAnsi="Arial" w:cs="Arial"/>
                <w:b/>
              </w:rPr>
              <w:t>0.472</w:t>
            </w:r>
          </w:p>
        </w:tc>
        <w:tc>
          <w:tcPr>
            <w:tcW w:w="915" w:type="dxa"/>
            <w:tcBorders>
              <w:top w:val="single" w:sz="4" w:space="0" w:color="auto"/>
              <w:bottom w:val="single" w:sz="4" w:space="0" w:color="auto"/>
              <w:right w:val="single" w:sz="4" w:space="0" w:color="auto"/>
            </w:tcBorders>
          </w:tcPr>
          <w:p w:rsidR="0019273F" w:rsidRPr="00014883" w:rsidRDefault="005634A1">
            <w:pPr>
              <w:rPr>
                <w:rFonts w:ascii="Arial" w:eastAsiaTheme="minorEastAsia" w:hAnsi="Arial" w:cs="Arial"/>
                <w:b/>
              </w:rPr>
            </w:pPr>
            <w:r w:rsidRPr="00014883">
              <w:rPr>
                <w:rFonts w:ascii="Arial" w:eastAsiaTheme="minorEastAsia" w:hAnsi="Arial" w:cs="Arial"/>
                <w:b/>
              </w:rPr>
              <w:t>0.350</w:t>
            </w:r>
          </w:p>
        </w:tc>
        <w:tc>
          <w:tcPr>
            <w:tcW w:w="1070" w:type="dxa"/>
            <w:tcBorders>
              <w:top w:val="single" w:sz="4" w:space="0" w:color="auto"/>
              <w:left w:val="single" w:sz="4" w:space="0" w:color="auto"/>
              <w:bottom w:val="single" w:sz="4" w:space="0" w:color="auto"/>
            </w:tcBorders>
          </w:tcPr>
          <w:p w:rsidR="0019273F" w:rsidRPr="00014883" w:rsidRDefault="005634A1">
            <w:pPr>
              <w:jc w:val="both"/>
              <w:rPr>
                <w:rFonts w:ascii="Arial" w:hAnsi="Arial" w:cs="Arial"/>
                <w:b/>
                <w:bCs/>
              </w:rPr>
            </w:pPr>
            <w:r w:rsidRPr="00014883">
              <w:rPr>
                <w:rFonts w:ascii="Arial" w:hAnsi="Arial" w:cs="Arial"/>
                <w:b/>
                <w:bCs/>
              </w:rPr>
              <w:t>0.091</w:t>
            </w:r>
          </w:p>
        </w:tc>
        <w:tc>
          <w:tcPr>
            <w:tcW w:w="992" w:type="dxa"/>
            <w:tcBorders>
              <w:top w:val="single" w:sz="4" w:space="0" w:color="auto"/>
              <w:bottom w:val="single" w:sz="4" w:space="0" w:color="auto"/>
            </w:tcBorders>
          </w:tcPr>
          <w:p w:rsidR="0019273F" w:rsidRPr="00014883" w:rsidRDefault="005634A1">
            <w:pPr>
              <w:jc w:val="both"/>
              <w:rPr>
                <w:rFonts w:ascii="Arial" w:hAnsi="Arial" w:cs="Arial"/>
                <w:b/>
                <w:bCs/>
              </w:rPr>
            </w:pPr>
            <w:r w:rsidRPr="00014883">
              <w:rPr>
                <w:rFonts w:ascii="Arial" w:hAnsi="Arial" w:cs="Arial"/>
                <w:b/>
                <w:bCs/>
              </w:rPr>
              <w:t>0.192</w:t>
            </w:r>
          </w:p>
        </w:tc>
        <w:tc>
          <w:tcPr>
            <w:tcW w:w="883" w:type="dxa"/>
            <w:tcBorders>
              <w:top w:val="single" w:sz="4" w:space="0" w:color="auto"/>
              <w:bottom w:val="single" w:sz="4" w:space="0" w:color="auto"/>
            </w:tcBorders>
          </w:tcPr>
          <w:p w:rsidR="0019273F" w:rsidRPr="00014883" w:rsidRDefault="005634A1">
            <w:pPr>
              <w:pStyle w:val="NoSpacing"/>
              <w:jc w:val="both"/>
              <w:rPr>
                <w:rFonts w:ascii="Arial" w:hAnsi="Arial" w:cs="Arial"/>
                <w:b/>
              </w:rPr>
            </w:pPr>
            <w:r w:rsidRPr="00014883">
              <w:rPr>
                <w:rFonts w:ascii="Arial" w:hAnsi="Arial" w:cs="Arial"/>
                <w:b/>
              </w:rPr>
              <w:t>0.267</w:t>
            </w:r>
          </w:p>
        </w:tc>
      </w:tr>
    </w:tbl>
    <w:p w:rsidR="0019273F" w:rsidRPr="00014883" w:rsidRDefault="0019273F">
      <w:pPr>
        <w:autoSpaceDE w:val="0"/>
        <w:autoSpaceDN w:val="0"/>
        <w:adjustRightInd w:val="0"/>
        <w:rPr>
          <w:rFonts w:ascii="Arial" w:hAnsi="Arial" w:cs="Arial"/>
          <w:b/>
        </w:rPr>
      </w:pPr>
    </w:p>
    <w:p w:rsidR="0019273F" w:rsidRPr="00014883" w:rsidRDefault="0019273F">
      <w:pPr>
        <w:jc w:val="both"/>
        <w:rPr>
          <w:rFonts w:ascii="Arial" w:hAnsi="Arial" w:cs="Arial"/>
          <w:b/>
        </w:rPr>
      </w:pPr>
    </w:p>
    <w:p w:rsidR="0019273F" w:rsidRPr="00014883" w:rsidRDefault="005634A1">
      <w:pPr>
        <w:jc w:val="both"/>
        <w:rPr>
          <w:rFonts w:ascii="Arial" w:hAnsi="Arial" w:cs="Arial"/>
          <w:b/>
          <w:i/>
          <w:iCs/>
        </w:rPr>
      </w:pPr>
      <w:r w:rsidRPr="00014883">
        <w:rPr>
          <w:rFonts w:ascii="Arial" w:hAnsi="Arial" w:cs="Arial"/>
          <w:b/>
          <w:i/>
          <w:iCs/>
        </w:rPr>
        <w:t>Bioaccumulation factor (BAF) of PAHs in fish samples.</w:t>
      </w:r>
    </w:p>
    <w:p w:rsidR="0019273F" w:rsidRPr="00014883" w:rsidRDefault="0019273F">
      <w:pPr>
        <w:jc w:val="both"/>
        <w:rPr>
          <w:rFonts w:ascii="Arial" w:hAnsi="Arial" w:cs="Arial"/>
          <w:b/>
          <w:i/>
          <w:iCs/>
        </w:rPr>
      </w:pPr>
    </w:p>
    <w:p w:rsidR="0019273F" w:rsidRPr="00014883" w:rsidRDefault="005634A1">
      <w:pPr>
        <w:jc w:val="both"/>
        <w:rPr>
          <w:rFonts w:ascii="Arial" w:hAnsi="Arial" w:cs="Arial"/>
        </w:rPr>
      </w:pPr>
      <w:r w:rsidRPr="00014883">
        <w:rPr>
          <w:rFonts w:ascii="Arial" w:hAnsi="Arial" w:cs="Arial"/>
        </w:rPr>
        <w:t>The bioaccumulation factor for PAHs showed in Table 4 revealed that the BAF for PAHs in all the sampled points were below 1, in the increasing order of; Up-stream &gt; down-stream &gt; middle-stream &gt; Ekpan pond.</w:t>
      </w:r>
    </w:p>
    <w:p w:rsidR="0019273F" w:rsidRPr="00014883" w:rsidRDefault="0019273F">
      <w:pPr>
        <w:ind w:firstLine="567"/>
        <w:jc w:val="both"/>
        <w:rPr>
          <w:rFonts w:ascii="Arial" w:hAnsi="Arial" w:cs="Arial"/>
        </w:rPr>
      </w:pPr>
    </w:p>
    <w:p w:rsidR="0019273F" w:rsidRPr="00014883" w:rsidRDefault="005634A1">
      <w:pPr>
        <w:jc w:val="both"/>
        <w:rPr>
          <w:rFonts w:ascii="Arial" w:hAnsi="Arial" w:cs="Arial"/>
          <w:b/>
          <w:i/>
          <w:iCs/>
        </w:rPr>
      </w:pPr>
      <w:r w:rsidRPr="00014883">
        <w:rPr>
          <w:rFonts w:ascii="Arial" w:hAnsi="Arial" w:cs="Arial"/>
          <w:b/>
          <w:i/>
          <w:iCs/>
        </w:rPr>
        <w:t>Table 5: Bioaccumulation factor (BAF) of PAHs in Papyrocranus afer samples during dry season</w:t>
      </w:r>
    </w:p>
    <w:tbl>
      <w:tblPr>
        <w:tblStyle w:val="TableGridLight1"/>
        <w:tblW w:w="750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992"/>
        <w:gridCol w:w="1558"/>
        <w:gridCol w:w="1264"/>
        <w:gridCol w:w="1856"/>
      </w:tblGrid>
      <w:tr w:rsidR="00014883" w:rsidRPr="00014883">
        <w:tc>
          <w:tcPr>
            <w:tcW w:w="1839" w:type="dxa"/>
          </w:tcPr>
          <w:p w:rsidR="0019273F" w:rsidRPr="00014883" w:rsidRDefault="0019273F">
            <w:pPr>
              <w:jc w:val="both"/>
              <w:rPr>
                <w:rFonts w:ascii="Arial" w:hAnsi="Arial" w:cs="Arial"/>
                <w:b/>
                <w:bCs/>
              </w:rPr>
            </w:pPr>
          </w:p>
        </w:tc>
        <w:tc>
          <w:tcPr>
            <w:tcW w:w="992" w:type="dxa"/>
            <w:tcBorders>
              <w:top w:val="single" w:sz="4" w:space="0" w:color="auto"/>
              <w:bottom w:val="single" w:sz="4" w:space="0" w:color="auto"/>
            </w:tcBorders>
          </w:tcPr>
          <w:p w:rsidR="0019273F" w:rsidRPr="00014883" w:rsidRDefault="005634A1">
            <w:pPr>
              <w:jc w:val="both"/>
              <w:rPr>
                <w:rFonts w:ascii="Arial" w:hAnsi="Arial" w:cs="Arial"/>
                <w:b/>
                <w:bCs/>
              </w:rPr>
            </w:pPr>
            <w:r w:rsidRPr="00014883">
              <w:rPr>
                <w:rFonts w:ascii="Arial" w:hAnsi="Arial" w:cs="Arial"/>
              </w:rPr>
              <w:t>Up-stream</w:t>
            </w:r>
          </w:p>
        </w:tc>
        <w:tc>
          <w:tcPr>
            <w:tcW w:w="1558" w:type="dxa"/>
            <w:tcBorders>
              <w:top w:val="single" w:sz="4" w:space="0" w:color="auto"/>
              <w:bottom w:val="single" w:sz="4" w:space="0" w:color="auto"/>
              <w:right w:val="single" w:sz="4" w:space="0" w:color="auto"/>
            </w:tcBorders>
          </w:tcPr>
          <w:p w:rsidR="0019273F" w:rsidRPr="00014883" w:rsidRDefault="005634A1">
            <w:pPr>
              <w:jc w:val="both"/>
              <w:rPr>
                <w:rFonts w:ascii="Arial" w:hAnsi="Arial" w:cs="Arial"/>
                <w:b/>
                <w:bCs/>
              </w:rPr>
            </w:pPr>
            <w:r w:rsidRPr="00014883">
              <w:rPr>
                <w:rFonts w:ascii="Arial" w:hAnsi="Arial" w:cs="Arial"/>
              </w:rPr>
              <w:t>Middle-stream</w:t>
            </w:r>
          </w:p>
        </w:tc>
        <w:tc>
          <w:tcPr>
            <w:tcW w:w="1264" w:type="dxa"/>
            <w:tcBorders>
              <w:top w:val="single" w:sz="4" w:space="0" w:color="auto"/>
              <w:left w:val="single" w:sz="4" w:space="0" w:color="auto"/>
              <w:bottom w:val="single" w:sz="4" w:space="0" w:color="auto"/>
            </w:tcBorders>
          </w:tcPr>
          <w:p w:rsidR="0019273F" w:rsidRPr="00014883" w:rsidRDefault="005634A1">
            <w:pPr>
              <w:jc w:val="both"/>
              <w:rPr>
                <w:rFonts w:ascii="Arial" w:hAnsi="Arial" w:cs="Arial"/>
                <w:b/>
                <w:bCs/>
              </w:rPr>
            </w:pPr>
            <w:r w:rsidRPr="00014883">
              <w:rPr>
                <w:rFonts w:ascii="Arial" w:hAnsi="Arial" w:cs="Arial"/>
              </w:rPr>
              <w:t>Down-stream</w:t>
            </w:r>
          </w:p>
        </w:tc>
        <w:tc>
          <w:tcPr>
            <w:tcW w:w="1856" w:type="dxa"/>
            <w:tcBorders>
              <w:top w:val="single" w:sz="4" w:space="0" w:color="auto"/>
              <w:bottom w:val="single" w:sz="4" w:space="0" w:color="auto"/>
            </w:tcBorders>
          </w:tcPr>
          <w:p w:rsidR="0019273F" w:rsidRPr="00014883" w:rsidRDefault="005634A1">
            <w:pPr>
              <w:jc w:val="both"/>
              <w:rPr>
                <w:rFonts w:ascii="Arial" w:hAnsi="Arial" w:cs="Arial"/>
                <w:b/>
                <w:bCs/>
              </w:rPr>
            </w:pPr>
            <w:r w:rsidRPr="00014883">
              <w:rPr>
                <w:rFonts w:ascii="Arial" w:hAnsi="Arial" w:cs="Arial"/>
              </w:rPr>
              <w:t>Ekpan pond</w:t>
            </w:r>
          </w:p>
        </w:tc>
      </w:tr>
      <w:tr w:rsidR="00014883" w:rsidRPr="00014883">
        <w:tc>
          <w:tcPr>
            <w:tcW w:w="1839" w:type="dxa"/>
          </w:tcPr>
          <w:p w:rsidR="0019273F" w:rsidRPr="00014883" w:rsidRDefault="005634A1">
            <w:pPr>
              <w:jc w:val="both"/>
              <w:rPr>
                <w:rFonts w:ascii="Arial" w:hAnsi="Arial" w:cs="Arial"/>
                <w:bCs/>
              </w:rPr>
            </w:pPr>
            <w:r w:rsidRPr="00014883">
              <w:rPr>
                <w:rFonts w:ascii="Arial" w:hAnsi="Arial" w:cs="Arial"/>
                <w:b/>
              </w:rPr>
              <w:t>Conc of PAHs in fish</w:t>
            </w:r>
          </w:p>
        </w:tc>
        <w:tc>
          <w:tcPr>
            <w:tcW w:w="992" w:type="dxa"/>
            <w:tcBorders>
              <w:top w:val="single" w:sz="4" w:space="0" w:color="auto"/>
            </w:tcBorders>
          </w:tcPr>
          <w:p w:rsidR="0019273F" w:rsidRPr="00014883" w:rsidRDefault="005634A1">
            <w:pPr>
              <w:jc w:val="both"/>
              <w:rPr>
                <w:rFonts w:ascii="Arial" w:hAnsi="Arial" w:cs="Arial"/>
              </w:rPr>
            </w:pPr>
            <w:r w:rsidRPr="00014883">
              <w:rPr>
                <w:rFonts w:ascii="Arial" w:hAnsi="Arial" w:cs="Arial"/>
              </w:rPr>
              <w:t>0.093</w:t>
            </w:r>
          </w:p>
        </w:tc>
        <w:tc>
          <w:tcPr>
            <w:tcW w:w="1558" w:type="dxa"/>
            <w:tcBorders>
              <w:top w:val="single" w:sz="4" w:space="0" w:color="auto"/>
              <w:right w:val="single" w:sz="4" w:space="0" w:color="auto"/>
            </w:tcBorders>
          </w:tcPr>
          <w:p w:rsidR="0019273F" w:rsidRPr="00014883" w:rsidRDefault="005634A1">
            <w:pPr>
              <w:ind w:hanging="79"/>
              <w:jc w:val="both"/>
              <w:rPr>
                <w:rFonts w:ascii="Arial" w:hAnsi="Arial" w:cs="Arial"/>
              </w:rPr>
            </w:pPr>
            <w:r w:rsidRPr="00014883">
              <w:rPr>
                <w:rFonts w:ascii="Arial" w:hAnsi="Arial" w:cs="Arial"/>
              </w:rPr>
              <w:t>0.472</w:t>
            </w:r>
          </w:p>
        </w:tc>
        <w:tc>
          <w:tcPr>
            <w:tcW w:w="1264" w:type="dxa"/>
            <w:tcBorders>
              <w:top w:val="single" w:sz="4" w:space="0" w:color="auto"/>
              <w:left w:val="single" w:sz="4" w:space="0" w:color="auto"/>
            </w:tcBorders>
          </w:tcPr>
          <w:p w:rsidR="0019273F" w:rsidRPr="00014883" w:rsidRDefault="005634A1">
            <w:pPr>
              <w:jc w:val="both"/>
              <w:rPr>
                <w:rFonts w:ascii="Arial" w:hAnsi="Arial" w:cs="Arial"/>
              </w:rPr>
            </w:pPr>
            <w:r w:rsidRPr="00014883">
              <w:rPr>
                <w:rFonts w:ascii="Arial" w:hAnsi="Arial" w:cs="Arial"/>
              </w:rPr>
              <w:t>0.350</w:t>
            </w:r>
          </w:p>
        </w:tc>
        <w:tc>
          <w:tcPr>
            <w:tcW w:w="1856" w:type="dxa"/>
            <w:tcBorders>
              <w:top w:val="single" w:sz="4" w:space="0" w:color="auto"/>
            </w:tcBorders>
          </w:tcPr>
          <w:p w:rsidR="0019273F" w:rsidRPr="00014883" w:rsidRDefault="005634A1">
            <w:pPr>
              <w:jc w:val="both"/>
              <w:rPr>
                <w:rFonts w:ascii="Arial" w:hAnsi="Arial" w:cs="Arial"/>
              </w:rPr>
            </w:pPr>
            <w:r w:rsidRPr="00014883">
              <w:rPr>
                <w:rFonts w:ascii="Arial" w:hAnsi="Arial" w:cs="Arial"/>
              </w:rPr>
              <w:t>0.494</w:t>
            </w:r>
          </w:p>
        </w:tc>
      </w:tr>
      <w:tr w:rsidR="00014883" w:rsidRPr="00014883">
        <w:tc>
          <w:tcPr>
            <w:tcW w:w="1839" w:type="dxa"/>
          </w:tcPr>
          <w:p w:rsidR="0019273F" w:rsidRPr="00014883" w:rsidRDefault="005634A1">
            <w:pPr>
              <w:jc w:val="both"/>
              <w:rPr>
                <w:rFonts w:ascii="Arial" w:hAnsi="Arial" w:cs="Arial"/>
                <w:bCs/>
              </w:rPr>
            </w:pPr>
            <w:r w:rsidRPr="00014883">
              <w:rPr>
                <w:rFonts w:ascii="Arial" w:hAnsi="Arial" w:cs="Arial"/>
                <w:b/>
              </w:rPr>
              <w:t>Conc of PAHs in water</w:t>
            </w:r>
          </w:p>
        </w:tc>
        <w:tc>
          <w:tcPr>
            <w:tcW w:w="992" w:type="dxa"/>
          </w:tcPr>
          <w:p w:rsidR="0019273F" w:rsidRPr="00014883" w:rsidRDefault="005634A1">
            <w:pPr>
              <w:jc w:val="both"/>
              <w:rPr>
                <w:rFonts w:ascii="Arial" w:hAnsi="Arial" w:cs="Arial"/>
              </w:rPr>
            </w:pPr>
            <w:r w:rsidRPr="00014883">
              <w:rPr>
                <w:rFonts w:ascii="Arial" w:hAnsi="Arial" w:cs="Arial"/>
              </w:rPr>
              <w:t>1.340</w:t>
            </w:r>
          </w:p>
        </w:tc>
        <w:tc>
          <w:tcPr>
            <w:tcW w:w="1558" w:type="dxa"/>
            <w:tcBorders>
              <w:right w:val="single" w:sz="4" w:space="0" w:color="auto"/>
            </w:tcBorders>
          </w:tcPr>
          <w:p w:rsidR="0019273F" w:rsidRPr="00014883" w:rsidRDefault="005634A1">
            <w:pPr>
              <w:jc w:val="both"/>
              <w:rPr>
                <w:rFonts w:ascii="Arial" w:hAnsi="Arial" w:cs="Arial"/>
              </w:rPr>
            </w:pPr>
            <w:r w:rsidRPr="00014883">
              <w:rPr>
                <w:rFonts w:ascii="Arial" w:hAnsi="Arial" w:cs="Arial"/>
              </w:rPr>
              <w:t>4.695</w:t>
            </w:r>
          </w:p>
        </w:tc>
        <w:tc>
          <w:tcPr>
            <w:tcW w:w="1264" w:type="dxa"/>
            <w:tcBorders>
              <w:left w:val="single" w:sz="4" w:space="0" w:color="auto"/>
            </w:tcBorders>
          </w:tcPr>
          <w:p w:rsidR="0019273F" w:rsidRPr="00014883" w:rsidRDefault="005634A1">
            <w:pPr>
              <w:jc w:val="both"/>
              <w:rPr>
                <w:rFonts w:ascii="Arial" w:hAnsi="Arial" w:cs="Arial"/>
              </w:rPr>
            </w:pPr>
            <w:r w:rsidRPr="00014883">
              <w:rPr>
                <w:rFonts w:ascii="Arial" w:hAnsi="Arial" w:cs="Arial"/>
              </w:rPr>
              <w:t>4.442</w:t>
            </w:r>
          </w:p>
        </w:tc>
        <w:tc>
          <w:tcPr>
            <w:tcW w:w="1856" w:type="dxa"/>
          </w:tcPr>
          <w:p w:rsidR="0019273F" w:rsidRPr="00014883" w:rsidRDefault="005634A1">
            <w:pPr>
              <w:jc w:val="both"/>
              <w:rPr>
                <w:rFonts w:ascii="Arial" w:hAnsi="Arial" w:cs="Arial"/>
              </w:rPr>
            </w:pPr>
            <w:r w:rsidRPr="00014883">
              <w:rPr>
                <w:rFonts w:ascii="Arial" w:hAnsi="Arial" w:cs="Arial"/>
              </w:rPr>
              <w:t>3.274</w:t>
            </w:r>
          </w:p>
        </w:tc>
      </w:tr>
      <w:tr w:rsidR="0019273F" w:rsidRPr="00014883">
        <w:tc>
          <w:tcPr>
            <w:tcW w:w="1839" w:type="dxa"/>
          </w:tcPr>
          <w:p w:rsidR="0019273F" w:rsidRPr="00014883" w:rsidRDefault="005634A1">
            <w:pPr>
              <w:jc w:val="both"/>
              <w:rPr>
                <w:rFonts w:ascii="Arial" w:hAnsi="Arial" w:cs="Arial"/>
                <w:b/>
                <w:bCs/>
              </w:rPr>
            </w:pPr>
            <w:r w:rsidRPr="00014883">
              <w:rPr>
                <w:rFonts w:ascii="Arial" w:hAnsi="Arial" w:cs="Arial"/>
              </w:rPr>
              <w:t>BAF</w:t>
            </w:r>
          </w:p>
        </w:tc>
        <w:tc>
          <w:tcPr>
            <w:tcW w:w="992" w:type="dxa"/>
          </w:tcPr>
          <w:p w:rsidR="0019273F" w:rsidRPr="00014883" w:rsidRDefault="005634A1">
            <w:pPr>
              <w:jc w:val="both"/>
              <w:rPr>
                <w:rFonts w:ascii="Arial" w:hAnsi="Arial" w:cs="Arial"/>
                <w:b/>
              </w:rPr>
            </w:pPr>
            <w:r w:rsidRPr="00014883">
              <w:rPr>
                <w:rFonts w:ascii="Arial" w:hAnsi="Arial" w:cs="Arial"/>
                <w:b/>
              </w:rPr>
              <w:t>0.069</w:t>
            </w:r>
          </w:p>
        </w:tc>
        <w:tc>
          <w:tcPr>
            <w:tcW w:w="1558" w:type="dxa"/>
            <w:tcBorders>
              <w:right w:val="single" w:sz="4" w:space="0" w:color="auto"/>
            </w:tcBorders>
          </w:tcPr>
          <w:p w:rsidR="0019273F" w:rsidRPr="00014883" w:rsidRDefault="005634A1">
            <w:pPr>
              <w:jc w:val="both"/>
              <w:rPr>
                <w:rFonts w:ascii="Arial" w:hAnsi="Arial" w:cs="Arial"/>
                <w:b/>
              </w:rPr>
            </w:pPr>
            <w:r w:rsidRPr="00014883">
              <w:rPr>
                <w:rFonts w:ascii="Arial" w:hAnsi="Arial" w:cs="Arial"/>
                <w:b/>
              </w:rPr>
              <w:t>0.101</w:t>
            </w:r>
          </w:p>
        </w:tc>
        <w:tc>
          <w:tcPr>
            <w:tcW w:w="1264" w:type="dxa"/>
            <w:tcBorders>
              <w:left w:val="single" w:sz="4" w:space="0" w:color="auto"/>
              <w:bottom w:val="single" w:sz="4" w:space="0" w:color="auto"/>
            </w:tcBorders>
          </w:tcPr>
          <w:p w:rsidR="0019273F" w:rsidRPr="00014883" w:rsidRDefault="005634A1">
            <w:pPr>
              <w:jc w:val="both"/>
              <w:rPr>
                <w:rFonts w:ascii="Arial" w:hAnsi="Arial" w:cs="Arial"/>
                <w:b/>
              </w:rPr>
            </w:pPr>
            <w:r w:rsidRPr="00014883">
              <w:rPr>
                <w:rFonts w:ascii="Arial" w:hAnsi="Arial" w:cs="Arial"/>
                <w:b/>
              </w:rPr>
              <w:t>0.079</w:t>
            </w:r>
          </w:p>
        </w:tc>
        <w:tc>
          <w:tcPr>
            <w:tcW w:w="1856" w:type="dxa"/>
          </w:tcPr>
          <w:p w:rsidR="0019273F" w:rsidRPr="00014883" w:rsidRDefault="005634A1">
            <w:pPr>
              <w:jc w:val="both"/>
              <w:rPr>
                <w:rFonts w:ascii="Arial" w:hAnsi="Arial" w:cs="Arial"/>
                <w:b/>
              </w:rPr>
            </w:pPr>
            <w:r w:rsidRPr="00014883">
              <w:rPr>
                <w:rFonts w:ascii="Arial" w:hAnsi="Arial" w:cs="Arial"/>
                <w:b/>
              </w:rPr>
              <w:t>0.151</w:t>
            </w:r>
          </w:p>
        </w:tc>
      </w:tr>
    </w:tbl>
    <w:p w:rsidR="0019273F" w:rsidRPr="00014883" w:rsidRDefault="0019273F">
      <w:pPr>
        <w:jc w:val="both"/>
        <w:rPr>
          <w:rFonts w:ascii="Arial" w:hAnsi="Arial" w:cs="Arial"/>
          <w:b/>
          <w:bCs/>
        </w:rPr>
      </w:pPr>
    </w:p>
    <w:p w:rsidR="0019273F" w:rsidRPr="00014883" w:rsidRDefault="005634A1">
      <w:pPr>
        <w:jc w:val="both"/>
        <w:rPr>
          <w:rFonts w:ascii="Arial" w:hAnsi="Arial" w:cs="Arial"/>
          <w:b/>
          <w:bCs/>
          <w:i/>
          <w:iCs/>
        </w:rPr>
      </w:pPr>
      <w:r w:rsidRPr="00014883">
        <w:rPr>
          <w:rFonts w:ascii="Arial" w:hAnsi="Arial" w:cs="Arial"/>
          <w:b/>
          <w:bCs/>
          <w:i/>
          <w:iCs/>
        </w:rPr>
        <w:t>Estimated hazard risk (HR) of PAHs on the</w:t>
      </w:r>
      <w:r w:rsidRPr="00014883">
        <w:rPr>
          <w:rFonts w:ascii="Arial" w:hAnsi="Arial" w:cs="Arial"/>
          <w:b/>
          <w:i/>
          <w:iCs/>
        </w:rPr>
        <w:t xml:space="preserve"> Papyrocranus afer</w:t>
      </w:r>
      <w:r w:rsidRPr="00014883">
        <w:rPr>
          <w:rFonts w:ascii="Arial" w:hAnsi="Arial" w:cs="Arial"/>
          <w:b/>
          <w:bCs/>
          <w:i/>
          <w:iCs/>
        </w:rPr>
        <w:t xml:space="preserve"> from Banegbe river and Ekpan pond during dry and rainy season.</w:t>
      </w:r>
    </w:p>
    <w:p w:rsidR="0019273F" w:rsidRPr="00014883" w:rsidRDefault="0019273F">
      <w:pPr>
        <w:jc w:val="both"/>
        <w:rPr>
          <w:rFonts w:ascii="Arial" w:hAnsi="Arial" w:cs="Arial"/>
          <w:b/>
          <w:bCs/>
          <w:i/>
          <w:iCs/>
        </w:rPr>
      </w:pPr>
    </w:p>
    <w:p w:rsidR="0019273F" w:rsidRPr="00014883" w:rsidRDefault="005634A1">
      <w:pPr>
        <w:jc w:val="both"/>
        <w:rPr>
          <w:rFonts w:ascii="Arial" w:hAnsi="Arial" w:cs="Arial"/>
          <w:bCs/>
        </w:rPr>
      </w:pPr>
      <w:r w:rsidRPr="00014883">
        <w:rPr>
          <w:rFonts w:ascii="Arial" w:hAnsi="Arial" w:cs="Arial"/>
          <w:bCs/>
        </w:rPr>
        <w:t xml:space="preserve">The estimated HR for PAHs in Table 5 shows that all sampled points were greater than 1, and in the increasing order during the dry season as follow; Ekpan pond &gt; middle-stream &gt; down-stream &gt; up-stream for PAHs. </w:t>
      </w:r>
    </w:p>
    <w:p w:rsidR="0019273F" w:rsidRPr="00014883" w:rsidRDefault="0019273F">
      <w:pPr>
        <w:ind w:firstLine="567"/>
        <w:jc w:val="both"/>
        <w:rPr>
          <w:rFonts w:ascii="Arial" w:hAnsi="Arial" w:cs="Arial"/>
          <w:bCs/>
        </w:rPr>
      </w:pPr>
    </w:p>
    <w:p w:rsidR="0019273F" w:rsidRPr="00014883" w:rsidRDefault="005634A1">
      <w:pPr>
        <w:jc w:val="both"/>
        <w:rPr>
          <w:rFonts w:ascii="Arial" w:hAnsi="Arial" w:cs="Arial"/>
          <w:b/>
          <w:bCs/>
          <w:i/>
          <w:iCs/>
        </w:rPr>
      </w:pPr>
      <w:r w:rsidRPr="00014883">
        <w:rPr>
          <w:rFonts w:ascii="Arial" w:hAnsi="Arial" w:cs="Arial"/>
          <w:b/>
          <w:bCs/>
          <w:i/>
          <w:iCs/>
        </w:rPr>
        <w:t>Table 6:  Estimated hazard risk (HR) of PAHs on the fish from Banegbe and Ekpan pond during dry and rainy season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2609"/>
      </w:tblGrid>
      <w:tr w:rsidR="00014883" w:rsidRPr="00014883">
        <w:tc>
          <w:tcPr>
            <w:tcW w:w="2644" w:type="dxa"/>
            <w:tcBorders>
              <w:top w:val="single" w:sz="4" w:space="0" w:color="auto"/>
              <w:bottom w:val="single" w:sz="4" w:space="0" w:color="auto"/>
            </w:tcBorders>
          </w:tcPr>
          <w:p w:rsidR="0019273F" w:rsidRPr="00014883" w:rsidRDefault="005634A1">
            <w:pPr>
              <w:jc w:val="both"/>
              <w:rPr>
                <w:rFonts w:ascii="Arial" w:eastAsia="Calibri" w:hAnsi="Arial" w:cs="Arial"/>
                <w:b/>
                <w:sz w:val="20"/>
                <w:szCs w:val="20"/>
              </w:rPr>
            </w:pPr>
            <w:r w:rsidRPr="00014883">
              <w:rPr>
                <w:rFonts w:ascii="Arial" w:eastAsia="Calibri" w:hAnsi="Arial" w:cs="Arial"/>
                <w:bCs/>
                <w:sz w:val="20"/>
                <w:szCs w:val="20"/>
              </w:rPr>
              <w:t>POINTS</w:t>
            </w:r>
          </w:p>
        </w:tc>
        <w:tc>
          <w:tcPr>
            <w:tcW w:w="2609" w:type="dxa"/>
            <w:tcBorders>
              <w:top w:val="single" w:sz="4" w:space="0" w:color="auto"/>
              <w:bottom w:val="single" w:sz="4" w:space="0" w:color="auto"/>
            </w:tcBorders>
          </w:tcPr>
          <w:p w:rsidR="0019273F" w:rsidRPr="00014883" w:rsidRDefault="005634A1">
            <w:pPr>
              <w:jc w:val="both"/>
              <w:rPr>
                <w:rFonts w:ascii="Arial" w:eastAsia="Calibri" w:hAnsi="Arial" w:cs="Arial"/>
                <w:b/>
                <w:sz w:val="20"/>
                <w:szCs w:val="20"/>
              </w:rPr>
            </w:pPr>
            <w:r w:rsidRPr="00014883">
              <w:rPr>
                <w:rFonts w:ascii="Arial" w:eastAsia="Calibri" w:hAnsi="Arial" w:cs="Arial"/>
                <w:bCs/>
                <w:sz w:val="20"/>
                <w:szCs w:val="20"/>
              </w:rPr>
              <w:t>PAHs (HR)</w:t>
            </w:r>
          </w:p>
        </w:tc>
      </w:tr>
      <w:tr w:rsidR="00014883" w:rsidRPr="00014883">
        <w:tc>
          <w:tcPr>
            <w:tcW w:w="2644" w:type="dxa"/>
            <w:tcBorders>
              <w:top w:val="single" w:sz="4" w:space="0" w:color="auto"/>
            </w:tcBorders>
          </w:tcPr>
          <w:p w:rsidR="0019273F" w:rsidRPr="00014883" w:rsidRDefault="0019273F">
            <w:pPr>
              <w:jc w:val="both"/>
              <w:rPr>
                <w:rFonts w:ascii="Arial" w:eastAsia="Calibri" w:hAnsi="Arial" w:cs="Arial"/>
                <w:b/>
                <w:bCs/>
                <w:sz w:val="20"/>
                <w:szCs w:val="20"/>
              </w:rPr>
            </w:pPr>
          </w:p>
        </w:tc>
        <w:tc>
          <w:tcPr>
            <w:tcW w:w="2609" w:type="dxa"/>
            <w:tcBorders>
              <w:top w:val="single" w:sz="4" w:space="0" w:color="auto"/>
              <w:bottom w:val="single" w:sz="4" w:space="0" w:color="auto"/>
            </w:tcBorders>
          </w:tcPr>
          <w:p w:rsidR="0019273F" w:rsidRPr="00014883" w:rsidRDefault="005634A1">
            <w:pPr>
              <w:jc w:val="both"/>
              <w:rPr>
                <w:rFonts w:ascii="Arial" w:eastAsia="Calibri" w:hAnsi="Arial" w:cs="Arial"/>
                <w:b/>
                <w:sz w:val="20"/>
                <w:szCs w:val="20"/>
              </w:rPr>
            </w:pPr>
            <w:r w:rsidRPr="00014883">
              <w:rPr>
                <w:rFonts w:ascii="Arial" w:eastAsia="Calibri" w:hAnsi="Arial" w:cs="Arial"/>
                <w:b/>
                <w:sz w:val="20"/>
                <w:szCs w:val="20"/>
              </w:rPr>
              <w:t xml:space="preserve"> Dry Season</w:t>
            </w:r>
          </w:p>
        </w:tc>
      </w:tr>
      <w:tr w:rsidR="00014883" w:rsidRPr="00014883">
        <w:tc>
          <w:tcPr>
            <w:tcW w:w="2644" w:type="dxa"/>
          </w:tcPr>
          <w:p w:rsidR="0019273F" w:rsidRPr="00014883" w:rsidRDefault="005634A1">
            <w:pPr>
              <w:jc w:val="both"/>
              <w:rPr>
                <w:rFonts w:ascii="Arial" w:eastAsia="Calibri" w:hAnsi="Arial" w:cs="Arial"/>
                <w:b/>
                <w:sz w:val="20"/>
                <w:szCs w:val="20"/>
              </w:rPr>
            </w:pPr>
            <w:r w:rsidRPr="00014883">
              <w:rPr>
                <w:rFonts w:ascii="Arial" w:eastAsia="Calibri" w:hAnsi="Arial" w:cs="Arial"/>
                <w:bCs/>
                <w:sz w:val="20"/>
                <w:szCs w:val="20"/>
              </w:rPr>
              <w:t>Middle-stream</w:t>
            </w:r>
          </w:p>
        </w:tc>
        <w:tc>
          <w:tcPr>
            <w:tcW w:w="2609" w:type="dxa"/>
            <w:tcBorders>
              <w:top w:val="single" w:sz="4" w:space="0" w:color="auto"/>
            </w:tcBorders>
          </w:tcPr>
          <w:p w:rsidR="0019273F" w:rsidRPr="00014883" w:rsidRDefault="005634A1">
            <w:pPr>
              <w:jc w:val="both"/>
              <w:rPr>
                <w:rFonts w:ascii="Arial" w:eastAsia="Calibri" w:hAnsi="Arial" w:cs="Arial"/>
                <w:bCs/>
                <w:sz w:val="20"/>
                <w:szCs w:val="20"/>
              </w:rPr>
            </w:pPr>
            <w:r w:rsidRPr="00014883">
              <w:rPr>
                <w:rFonts w:ascii="Arial" w:eastAsia="Calibri" w:hAnsi="Arial" w:cs="Arial"/>
                <w:bCs/>
                <w:sz w:val="20"/>
                <w:szCs w:val="20"/>
              </w:rPr>
              <w:t>39.3</w:t>
            </w:r>
          </w:p>
        </w:tc>
      </w:tr>
      <w:tr w:rsidR="00014883" w:rsidRPr="00014883">
        <w:tc>
          <w:tcPr>
            <w:tcW w:w="2644" w:type="dxa"/>
            <w:tcBorders>
              <w:bottom w:val="nil"/>
            </w:tcBorders>
          </w:tcPr>
          <w:p w:rsidR="0019273F" w:rsidRPr="00014883" w:rsidRDefault="005634A1">
            <w:pPr>
              <w:jc w:val="both"/>
              <w:rPr>
                <w:rFonts w:ascii="Arial" w:eastAsia="Calibri" w:hAnsi="Arial" w:cs="Arial"/>
                <w:b/>
                <w:sz w:val="20"/>
                <w:szCs w:val="20"/>
              </w:rPr>
            </w:pPr>
            <w:r w:rsidRPr="00014883">
              <w:rPr>
                <w:rFonts w:ascii="Arial" w:eastAsia="Calibri" w:hAnsi="Arial" w:cs="Arial"/>
                <w:bCs/>
                <w:sz w:val="20"/>
                <w:szCs w:val="20"/>
              </w:rPr>
              <w:t>Up-Stream</w:t>
            </w:r>
          </w:p>
        </w:tc>
        <w:tc>
          <w:tcPr>
            <w:tcW w:w="2609" w:type="dxa"/>
            <w:tcBorders>
              <w:bottom w:val="nil"/>
            </w:tcBorders>
          </w:tcPr>
          <w:p w:rsidR="0019273F" w:rsidRPr="00014883" w:rsidRDefault="005634A1">
            <w:pPr>
              <w:jc w:val="both"/>
              <w:rPr>
                <w:rFonts w:ascii="Arial" w:eastAsia="Calibri" w:hAnsi="Arial" w:cs="Arial"/>
                <w:bCs/>
                <w:sz w:val="20"/>
                <w:szCs w:val="20"/>
              </w:rPr>
            </w:pPr>
            <w:r w:rsidRPr="00014883">
              <w:rPr>
                <w:rFonts w:ascii="Arial" w:eastAsia="Calibri" w:hAnsi="Arial" w:cs="Arial"/>
                <w:bCs/>
                <w:sz w:val="20"/>
                <w:szCs w:val="20"/>
              </w:rPr>
              <w:t>7.75</w:t>
            </w:r>
          </w:p>
        </w:tc>
      </w:tr>
      <w:tr w:rsidR="00014883" w:rsidRPr="00014883">
        <w:tc>
          <w:tcPr>
            <w:tcW w:w="2644" w:type="dxa"/>
            <w:tcBorders>
              <w:top w:val="nil"/>
              <w:bottom w:val="single" w:sz="4" w:space="0" w:color="auto"/>
            </w:tcBorders>
          </w:tcPr>
          <w:p w:rsidR="0019273F" w:rsidRPr="00014883" w:rsidRDefault="005634A1">
            <w:pPr>
              <w:jc w:val="both"/>
              <w:rPr>
                <w:rFonts w:ascii="Arial" w:eastAsia="Calibri" w:hAnsi="Arial" w:cs="Arial"/>
                <w:b/>
                <w:sz w:val="20"/>
                <w:szCs w:val="20"/>
              </w:rPr>
            </w:pPr>
            <w:r w:rsidRPr="00014883">
              <w:rPr>
                <w:rFonts w:ascii="Arial" w:eastAsia="Calibri" w:hAnsi="Arial" w:cs="Arial"/>
                <w:bCs/>
                <w:sz w:val="20"/>
                <w:szCs w:val="20"/>
              </w:rPr>
              <w:t>Down-Stream</w:t>
            </w:r>
          </w:p>
        </w:tc>
        <w:tc>
          <w:tcPr>
            <w:tcW w:w="2609" w:type="dxa"/>
            <w:tcBorders>
              <w:top w:val="nil"/>
              <w:bottom w:val="single" w:sz="4" w:space="0" w:color="auto"/>
            </w:tcBorders>
          </w:tcPr>
          <w:p w:rsidR="0019273F" w:rsidRPr="00014883" w:rsidRDefault="005634A1">
            <w:pPr>
              <w:jc w:val="both"/>
              <w:rPr>
                <w:rFonts w:ascii="Arial" w:eastAsia="Calibri" w:hAnsi="Arial" w:cs="Arial"/>
                <w:bCs/>
                <w:sz w:val="20"/>
                <w:szCs w:val="20"/>
              </w:rPr>
            </w:pPr>
            <w:r w:rsidRPr="00014883">
              <w:rPr>
                <w:rFonts w:ascii="Arial" w:eastAsia="Calibri" w:hAnsi="Arial" w:cs="Arial"/>
                <w:bCs/>
                <w:sz w:val="20"/>
                <w:szCs w:val="20"/>
              </w:rPr>
              <w:t>29.2</w:t>
            </w:r>
          </w:p>
        </w:tc>
      </w:tr>
      <w:tr w:rsidR="00014883" w:rsidRPr="00014883">
        <w:tc>
          <w:tcPr>
            <w:tcW w:w="2644" w:type="dxa"/>
            <w:tcBorders>
              <w:top w:val="single" w:sz="4" w:space="0" w:color="auto"/>
            </w:tcBorders>
          </w:tcPr>
          <w:p w:rsidR="0019273F" w:rsidRPr="00014883" w:rsidRDefault="0019273F">
            <w:pPr>
              <w:jc w:val="both"/>
              <w:rPr>
                <w:rFonts w:ascii="Arial" w:eastAsia="Calibri" w:hAnsi="Arial" w:cs="Arial"/>
                <w:b/>
                <w:sz w:val="20"/>
                <w:szCs w:val="20"/>
              </w:rPr>
            </w:pPr>
          </w:p>
        </w:tc>
        <w:tc>
          <w:tcPr>
            <w:tcW w:w="2609" w:type="dxa"/>
            <w:tcBorders>
              <w:top w:val="single" w:sz="4" w:space="0" w:color="auto"/>
              <w:bottom w:val="single" w:sz="4" w:space="0" w:color="auto"/>
            </w:tcBorders>
          </w:tcPr>
          <w:p w:rsidR="0019273F" w:rsidRPr="00014883" w:rsidRDefault="005634A1">
            <w:pPr>
              <w:jc w:val="both"/>
              <w:rPr>
                <w:rFonts w:ascii="Arial" w:eastAsia="Calibri" w:hAnsi="Arial" w:cs="Arial"/>
                <w:bCs/>
                <w:sz w:val="20"/>
                <w:szCs w:val="20"/>
              </w:rPr>
            </w:pPr>
            <w:r w:rsidRPr="00014883">
              <w:rPr>
                <w:rFonts w:ascii="Arial" w:eastAsia="Calibri" w:hAnsi="Arial" w:cs="Arial"/>
                <w:b/>
                <w:sz w:val="20"/>
                <w:szCs w:val="20"/>
              </w:rPr>
              <w:t xml:space="preserve"> Rainy Season</w:t>
            </w:r>
          </w:p>
        </w:tc>
      </w:tr>
      <w:tr w:rsidR="00014883" w:rsidRPr="00014883">
        <w:tc>
          <w:tcPr>
            <w:tcW w:w="2644" w:type="dxa"/>
          </w:tcPr>
          <w:p w:rsidR="0019273F" w:rsidRPr="00014883" w:rsidRDefault="005634A1">
            <w:pPr>
              <w:jc w:val="both"/>
              <w:rPr>
                <w:rFonts w:ascii="Arial" w:eastAsia="Calibri" w:hAnsi="Arial" w:cs="Arial"/>
                <w:b/>
                <w:bCs/>
                <w:sz w:val="20"/>
                <w:szCs w:val="20"/>
              </w:rPr>
            </w:pPr>
            <w:r w:rsidRPr="00014883">
              <w:rPr>
                <w:rFonts w:ascii="Arial" w:eastAsia="Calibri" w:hAnsi="Arial" w:cs="Arial"/>
                <w:bCs/>
                <w:sz w:val="20"/>
                <w:szCs w:val="20"/>
              </w:rPr>
              <w:t>Middle-stream</w:t>
            </w:r>
          </w:p>
        </w:tc>
        <w:tc>
          <w:tcPr>
            <w:tcW w:w="2609" w:type="dxa"/>
            <w:tcBorders>
              <w:top w:val="single" w:sz="4" w:space="0" w:color="auto"/>
            </w:tcBorders>
          </w:tcPr>
          <w:p w:rsidR="0019273F" w:rsidRPr="00014883" w:rsidRDefault="005634A1">
            <w:pPr>
              <w:jc w:val="both"/>
              <w:rPr>
                <w:rFonts w:ascii="Arial" w:eastAsia="Calibri" w:hAnsi="Arial" w:cs="Arial"/>
                <w:b/>
                <w:sz w:val="20"/>
                <w:szCs w:val="20"/>
              </w:rPr>
            </w:pPr>
            <w:r w:rsidRPr="00014883">
              <w:rPr>
                <w:rFonts w:ascii="Arial" w:eastAsia="Calibri" w:hAnsi="Arial" w:cs="Arial"/>
                <w:bCs/>
                <w:sz w:val="20"/>
                <w:szCs w:val="20"/>
              </w:rPr>
              <w:t>16</w:t>
            </w:r>
          </w:p>
        </w:tc>
      </w:tr>
      <w:tr w:rsidR="00014883" w:rsidRPr="00014883">
        <w:tc>
          <w:tcPr>
            <w:tcW w:w="2644" w:type="dxa"/>
            <w:tcBorders>
              <w:bottom w:val="nil"/>
            </w:tcBorders>
          </w:tcPr>
          <w:p w:rsidR="0019273F" w:rsidRPr="00014883" w:rsidRDefault="005634A1">
            <w:pPr>
              <w:jc w:val="both"/>
              <w:rPr>
                <w:rFonts w:ascii="Arial" w:eastAsia="Calibri" w:hAnsi="Arial" w:cs="Arial"/>
                <w:b/>
                <w:sz w:val="20"/>
                <w:szCs w:val="20"/>
              </w:rPr>
            </w:pPr>
            <w:r w:rsidRPr="00014883">
              <w:rPr>
                <w:rFonts w:ascii="Arial" w:eastAsia="Calibri" w:hAnsi="Arial" w:cs="Arial"/>
                <w:sz w:val="20"/>
                <w:szCs w:val="20"/>
              </w:rPr>
              <w:lastRenderedPageBreak/>
              <w:t>Up-Stream</w:t>
            </w:r>
          </w:p>
        </w:tc>
        <w:tc>
          <w:tcPr>
            <w:tcW w:w="2609" w:type="dxa"/>
            <w:tcBorders>
              <w:bottom w:val="nil"/>
            </w:tcBorders>
          </w:tcPr>
          <w:p w:rsidR="0019273F" w:rsidRPr="00014883" w:rsidRDefault="005634A1">
            <w:pPr>
              <w:jc w:val="both"/>
              <w:rPr>
                <w:rFonts w:ascii="Arial" w:eastAsia="Calibri" w:hAnsi="Arial" w:cs="Arial"/>
                <w:bCs/>
                <w:sz w:val="20"/>
                <w:szCs w:val="20"/>
              </w:rPr>
            </w:pPr>
            <w:r w:rsidRPr="00014883">
              <w:rPr>
                <w:rFonts w:ascii="Arial" w:eastAsia="Calibri" w:hAnsi="Arial" w:cs="Arial"/>
                <w:bCs/>
                <w:sz w:val="20"/>
                <w:szCs w:val="20"/>
              </w:rPr>
              <w:t>7.58</w:t>
            </w:r>
          </w:p>
        </w:tc>
      </w:tr>
      <w:tr w:rsidR="00014883" w:rsidRPr="00014883">
        <w:tc>
          <w:tcPr>
            <w:tcW w:w="2644" w:type="dxa"/>
            <w:tcBorders>
              <w:top w:val="nil"/>
              <w:bottom w:val="single" w:sz="4" w:space="0" w:color="auto"/>
            </w:tcBorders>
          </w:tcPr>
          <w:p w:rsidR="0019273F" w:rsidRPr="00014883" w:rsidRDefault="005634A1">
            <w:pPr>
              <w:jc w:val="both"/>
              <w:rPr>
                <w:rFonts w:ascii="Arial" w:eastAsia="Calibri" w:hAnsi="Arial" w:cs="Arial"/>
                <w:b/>
                <w:bCs/>
                <w:sz w:val="20"/>
                <w:szCs w:val="20"/>
              </w:rPr>
            </w:pPr>
            <w:r w:rsidRPr="00014883">
              <w:rPr>
                <w:rFonts w:ascii="Arial" w:eastAsia="Calibri" w:hAnsi="Arial" w:cs="Arial"/>
                <w:sz w:val="20"/>
                <w:szCs w:val="20"/>
              </w:rPr>
              <w:t>Down-Stream</w:t>
            </w:r>
          </w:p>
        </w:tc>
        <w:tc>
          <w:tcPr>
            <w:tcW w:w="2609" w:type="dxa"/>
            <w:tcBorders>
              <w:top w:val="nil"/>
              <w:bottom w:val="single" w:sz="4" w:space="0" w:color="auto"/>
            </w:tcBorders>
          </w:tcPr>
          <w:p w:rsidR="0019273F" w:rsidRPr="00014883" w:rsidRDefault="005634A1">
            <w:pPr>
              <w:jc w:val="both"/>
              <w:rPr>
                <w:rFonts w:ascii="Arial" w:eastAsia="Calibri" w:hAnsi="Arial" w:cs="Arial"/>
                <w:bCs/>
                <w:sz w:val="20"/>
                <w:szCs w:val="20"/>
              </w:rPr>
            </w:pPr>
            <w:r w:rsidRPr="00014883">
              <w:rPr>
                <w:rFonts w:ascii="Arial" w:eastAsia="Calibri" w:hAnsi="Arial" w:cs="Arial"/>
                <w:bCs/>
                <w:sz w:val="20"/>
                <w:szCs w:val="20"/>
              </w:rPr>
              <w:t>22.25</w:t>
            </w:r>
          </w:p>
        </w:tc>
      </w:tr>
      <w:tr w:rsidR="0019273F" w:rsidRPr="00014883">
        <w:tc>
          <w:tcPr>
            <w:tcW w:w="2644" w:type="dxa"/>
            <w:tcBorders>
              <w:top w:val="single" w:sz="4" w:space="0" w:color="auto"/>
            </w:tcBorders>
          </w:tcPr>
          <w:p w:rsidR="0019273F" w:rsidRPr="00014883" w:rsidRDefault="005634A1">
            <w:pPr>
              <w:jc w:val="both"/>
              <w:rPr>
                <w:rFonts w:ascii="Arial" w:eastAsia="Calibri" w:hAnsi="Arial" w:cs="Arial"/>
                <w:b/>
                <w:bCs/>
                <w:sz w:val="20"/>
                <w:szCs w:val="20"/>
              </w:rPr>
            </w:pPr>
            <w:r w:rsidRPr="00014883">
              <w:rPr>
                <w:rFonts w:ascii="Arial" w:eastAsia="Calibri" w:hAnsi="Arial" w:cs="Arial"/>
                <w:bCs/>
                <w:sz w:val="20"/>
                <w:szCs w:val="20"/>
              </w:rPr>
              <w:t>Ekpan pond</w:t>
            </w:r>
          </w:p>
        </w:tc>
        <w:tc>
          <w:tcPr>
            <w:tcW w:w="2609" w:type="dxa"/>
            <w:tcBorders>
              <w:top w:val="single" w:sz="4" w:space="0" w:color="auto"/>
            </w:tcBorders>
          </w:tcPr>
          <w:p w:rsidR="0019273F" w:rsidRPr="00014883" w:rsidRDefault="005634A1">
            <w:pPr>
              <w:jc w:val="both"/>
              <w:rPr>
                <w:rFonts w:ascii="Arial" w:eastAsia="Calibri" w:hAnsi="Arial" w:cs="Arial"/>
                <w:bCs/>
                <w:sz w:val="20"/>
                <w:szCs w:val="20"/>
              </w:rPr>
            </w:pPr>
            <w:r w:rsidRPr="00014883">
              <w:rPr>
                <w:rFonts w:ascii="Arial" w:eastAsia="Calibri" w:hAnsi="Arial" w:cs="Arial"/>
                <w:bCs/>
                <w:sz w:val="20"/>
                <w:szCs w:val="20"/>
              </w:rPr>
              <w:t>41.12</w:t>
            </w:r>
          </w:p>
        </w:tc>
      </w:tr>
    </w:tbl>
    <w:p w:rsidR="0019273F" w:rsidRPr="00014883" w:rsidRDefault="0019273F">
      <w:pPr>
        <w:autoSpaceDE w:val="0"/>
        <w:autoSpaceDN w:val="0"/>
        <w:adjustRightInd w:val="0"/>
        <w:rPr>
          <w:rFonts w:ascii="Arial" w:hAnsi="Arial" w:cs="Arial"/>
        </w:rPr>
      </w:pPr>
    </w:p>
    <w:p w:rsidR="0019273F" w:rsidRPr="00014883" w:rsidRDefault="0019273F">
      <w:pPr>
        <w:autoSpaceDE w:val="0"/>
        <w:autoSpaceDN w:val="0"/>
        <w:adjustRightInd w:val="0"/>
        <w:rPr>
          <w:rFonts w:ascii="Arial" w:hAnsi="Arial" w:cs="Arial"/>
        </w:rPr>
      </w:pPr>
    </w:p>
    <w:p w:rsidR="0019273F" w:rsidRPr="00014883" w:rsidRDefault="005634A1">
      <w:pPr>
        <w:jc w:val="both"/>
        <w:rPr>
          <w:rFonts w:ascii="Arial" w:hAnsi="Arial" w:cs="Arial"/>
          <w:b/>
          <w:i/>
          <w:iCs/>
        </w:rPr>
      </w:pPr>
      <w:r w:rsidRPr="00014883">
        <w:rPr>
          <w:rFonts w:ascii="Arial" w:hAnsi="Arial" w:cs="Arial"/>
          <w:b/>
          <w:i/>
          <w:iCs/>
        </w:rPr>
        <w:t>Non-carcinogenic effect for the consumption of PAHs contaminated fish during the dry season.</w:t>
      </w:r>
    </w:p>
    <w:p w:rsidR="0019273F" w:rsidRPr="00014883" w:rsidRDefault="0019273F">
      <w:pPr>
        <w:jc w:val="both"/>
        <w:rPr>
          <w:rFonts w:ascii="Arial" w:hAnsi="Arial" w:cs="Arial"/>
          <w:b/>
          <w:i/>
          <w:iCs/>
        </w:rPr>
      </w:pPr>
    </w:p>
    <w:p w:rsidR="0019273F" w:rsidRPr="00014883" w:rsidRDefault="005634A1">
      <w:pPr>
        <w:jc w:val="both"/>
        <w:rPr>
          <w:rFonts w:ascii="Arial" w:hAnsi="Arial" w:cs="Arial"/>
        </w:rPr>
      </w:pPr>
      <w:r w:rsidRPr="00014883">
        <w:rPr>
          <w:rFonts w:ascii="Arial" w:hAnsi="Arial" w:cs="Arial"/>
        </w:rPr>
        <w:t>The non-carcinogenic effect for the consumption of PAHs contaminated fish during the dry season for all the sampled points presented in Table 6 using hazard quotient and hazard index revealed that the individual PAH hazard quotient and total hazard index of all the sampled locations were less than 1.</w:t>
      </w:r>
    </w:p>
    <w:p w:rsidR="0019273F" w:rsidRPr="00014883" w:rsidRDefault="0019273F">
      <w:pPr>
        <w:ind w:firstLine="567"/>
        <w:jc w:val="both"/>
        <w:rPr>
          <w:rFonts w:ascii="Arial" w:hAnsi="Arial" w:cs="Arial"/>
        </w:rPr>
      </w:pPr>
    </w:p>
    <w:p w:rsidR="0019273F" w:rsidRPr="00014883" w:rsidRDefault="005634A1">
      <w:pPr>
        <w:jc w:val="both"/>
        <w:rPr>
          <w:rFonts w:ascii="Arial" w:hAnsi="Arial" w:cs="Arial"/>
          <w:b/>
          <w:i/>
          <w:iCs/>
        </w:rPr>
      </w:pPr>
      <w:r w:rsidRPr="00014883">
        <w:rPr>
          <w:rFonts w:ascii="Arial" w:hAnsi="Arial" w:cs="Arial"/>
          <w:b/>
          <w:i/>
          <w:iCs/>
        </w:rPr>
        <w:t>Table 7 Risk assessment of PAHs based on non-carcinogenic equivalence using HQ and HI samples dry season.</w:t>
      </w:r>
    </w:p>
    <w:p w:rsidR="0019273F" w:rsidRPr="00014883" w:rsidRDefault="0019273F">
      <w:pPr>
        <w:rPr>
          <w:rFonts w:ascii="Arial" w:hAnsi="Arial" w:cs="Arial"/>
          <w:b/>
        </w:rPr>
      </w:pPr>
    </w:p>
    <w:tbl>
      <w:tblPr>
        <w:tblStyle w:val="TableClassic1"/>
        <w:tblW w:w="9497" w:type="dxa"/>
        <w:tblInd w:w="-709" w:type="dxa"/>
        <w:tblLook w:val="04A0" w:firstRow="1" w:lastRow="0" w:firstColumn="1" w:lastColumn="0" w:noHBand="0" w:noVBand="1"/>
      </w:tblPr>
      <w:tblGrid>
        <w:gridCol w:w="2694"/>
        <w:gridCol w:w="1196"/>
        <w:gridCol w:w="1785"/>
        <w:gridCol w:w="1225"/>
        <w:gridCol w:w="2597"/>
      </w:tblGrid>
      <w:tr w:rsidR="00014883" w:rsidRPr="00014883" w:rsidTr="00192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rPr>
                <w:rFonts w:ascii="Arial" w:hAnsi="Arial" w:cs="Arial"/>
                <w:b/>
                <w:bCs/>
                <w:i w:val="0"/>
                <w:iCs w:val="0"/>
              </w:rPr>
            </w:pPr>
            <w:r w:rsidRPr="00014883">
              <w:rPr>
                <w:rFonts w:ascii="Arial" w:hAnsi="Arial" w:cs="Arial"/>
                <w:b/>
                <w:bCs/>
              </w:rPr>
              <w:t>Non- Carcinogenic equivalency</w:t>
            </w:r>
          </w:p>
        </w:tc>
        <w:tc>
          <w:tcPr>
            <w:tcW w:w="1196" w:type="dxa"/>
          </w:tcPr>
          <w:p w:rsidR="0019273F" w:rsidRPr="00014883" w:rsidRDefault="0019273F">
            <w:pPr>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p>
        </w:tc>
        <w:tc>
          <w:tcPr>
            <w:tcW w:w="1785" w:type="dxa"/>
          </w:tcPr>
          <w:p w:rsidR="0019273F" w:rsidRPr="00014883" w:rsidRDefault="005634A1">
            <w:pPr>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r w:rsidRPr="00014883">
              <w:rPr>
                <w:rFonts w:ascii="Arial" w:hAnsi="Arial" w:cs="Arial"/>
                <w:b/>
                <w:bCs/>
              </w:rPr>
              <w:t>Banegbe River</w:t>
            </w:r>
          </w:p>
        </w:tc>
        <w:tc>
          <w:tcPr>
            <w:tcW w:w="1225" w:type="dxa"/>
          </w:tcPr>
          <w:p w:rsidR="0019273F" w:rsidRPr="00014883" w:rsidRDefault="0019273F">
            <w:pPr>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p>
        </w:tc>
        <w:tc>
          <w:tcPr>
            <w:tcW w:w="2597" w:type="dxa"/>
          </w:tcPr>
          <w:p w:rsidR="0019273F" w:rsidRPr="00014883" w:rsidRDefault="005634A1">
            <w:pPr>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rPr>
            </w:pPr>
            <w:r w:rsidRPr="00014883">
              <w:rPr>
                <w:rFonts w:ascii="Arial" w:hAnsi="Arial" w:cs="Arial"/>
                <w:b/>
                <w:bCs/>
              </w:rPr>
              <w:t>Reference (Control site)</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19273F">
            <w:pPr>
              <w:rPr>
                <w:rFonts w:ascii="Arial" w:eastAsiaTheme="minorEastAsia" w:hAnsi="Arial" w:cs="Arial"/>
                <w:bCs/>
              </w:rPr>
            </w:pPr>
          </w:p>
        </w:tc>
        <w:tc>
          <w:tcPr>
            <w:tcW w:w="1196" w:type="dxa"/>
            <w:tcBorders>
              <w:top w:val="single" w:sz="6" w:space="0" w:color="000000"/>
              <w:bottom w:val="single" w:sz="4" w:space="0" w:color="auto"/>
            </w:tcBorders>
          </w:tcPr>
          <w:p w:rsidR="0019273F" w:rsidRPr="00014883" w:rsidRDefault="005634A1">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rPr>
            </w:pPr>
            <w:r w:rsidRPr="00014883">
              <w:rPr>
                <w:rFonts w:ascii="Arial" w:eastAsiaTheme="minorEastAsia" w:hAnsi="Arial" w:cs="Arial"/>
                <w:b/>
              </w:rPr>
              <w:t>Up-stream</w:t>
            </w:r>
          </w:p>
        </w:tc>
        <w:tc>
          <w:tcPr>
            <w:tcW w:w="1785" w:type="dxa"/>
            <w:tcBorders>
              <w:top w:val="single" w:sz="6" w:space="0" w:color="000000"/>
              <w:bottom w:val="single" w:sz="4" w:space="0" w:color="auto"/>
            </w:tcBorders>
          </w:tcPr>
          <w:p w:rsidR="0019273F" w:rsidRPr="00014883" w:rsidRDefault="005634A1">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rPr>
            </w:pPr>
            <w:r w:rsidRPr="00014883">
              <w:rPr>
                <w:rFonts w:ascii="Arial" w:eastAsiaTheme="minorEastAsia" w:hAnsi="Arial" w:cs="Arial"/>
                <w:b/>
              </w:rPr>
              <w:t>Middle-stream</w:t>
            </w:r>
          </w:p>
        </w:tc>
        <w:tc>
          <w:tcPr>
            <w:tcW w:w="1225" w:type="dxa"/>
            <w:tcBorders>
              <w:top w:val="single" w:sz="6" w:space="0" w:color="000000"/>
              <w:bottom w:val="single" w:sz="4" w:space="0" w:color="auto"/>
            </w:tcBorders>
          </w:tcPr>
          <w:p w:rsidR="0019273F" w:rsidRPr="00014883" w:rsidRDefault="005634A1">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rPr>
            </w:pPr>
            <w:r w:rsidRPr="00014883">
              <w:rPr>
                <w:rFonts w:ascii="Arial" w:eastAsiaTheme="minorEastAsia" w:hAnsi="Arial" w:cs="Arial"/>
                <w:b/>
              </w:rPr>
              <w:t>Down-stream</w:t>
            </w:r>
          </w:p>
        </w:tc>
        <w:tc>
          <w:tcPr>
            <w:tcW w:w="2597" w:type="dxa"/>
            <w:tcBorders>
              <w:top w:val="single" w:sz="6" w:space="0" w:color="000000"/>
              <w:bottom w:val="single" w:sz="4" w:space="0" w:color="auto"/>
            </w:tcBorders>
          </w:tcPr>
          <w:p w:rsidR="0019273F" w:rsidRPr="00014883" w:rsidRDefault="005634A1">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rPr>
            </w:pPr>
            <w:r w:rsidRPr="00014883">
              <w:rPr>
                <w:rFonts w:ascii="Arial" w:eastAsiaTheme="minorEastAsia" w:hAnsi="Arial" w:cs="Arial"/>
                <w:b/>
              </w:rPr>
              <w:t>Ekpan pond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jc w:val="both"/>
              <w:rPr>
                <w:rFonts w:ascii="Arial" w:hAnsi="Arial" w:cs="Arial"/>
                <w:b/>
                <w:bCs/>
              </w:rPr>
            </w:pPr>
            <w:r w:rsidRPr="00014883">
              <w:rPr>
                <w:rFonts w:ascii="Arial" w:hAnsi="Arial" w:cs="Arial"/>
              </w:rPr>
              <w:t>Naphthalene</w:t>
            </w:r>
          </w:p>
        </w:tc>
        <w:tc>
          <w:tcPr>
            <w:tcW w:w="1196" w:type="dxa"/>
            <w:tcBorders>
              <w:top w:val="single" w:sz="4" w:space="0" w:color="auto"/>
            </w:tcBorders>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0.000052</w:t>
            </w:r>
          </w:p>
        </w:tc>
        <w:tc>
          <w:tcPr>
            <w:tcW w:w="1785" w:type="dxa"/>
            <w:tcBorders>
              <w:top w:val="single" w:sz="4" w:space="0" w:color="auto"/>
            </w:tcBorders>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0.00013</w:t>
            </w:r>
          </w:p>
        </w:tc>
        <w:tc>
          <w:tcPr>
            <w:tcW w:w="1225" w:type="dxa"/>
            <w:tcBorders>
              <w:top w:val="single" w:sz="4" w:space="0" w:color="auto"/>
            </w:tcBorders>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597" w:type="dxa"/>
            <w:tcBorders>
              <w:top w:val="single" w:sz="4" w:space="0" w:color="auto"/>
            </w:tcBorders>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pStyle w:val="NoSpacing"/>
              <w:jc w:val="both"/>
              <w:rPr>
                <w:rFonts w:ascii="Arial" w:eastAsia="Calibri" w:hAnsi="Arial" w:cs="Arial"/>
                <w:b/>
                <w:bCs/>
              </w:rPr>
            </w:pPr>
            <w:r w:rsidRPr="00014883">
              <w:rPr>
                <w:rFonts w:ascii="Arial" w:eastAsia="Calibri" w:hAnsi="Arial" w:cs="Arial"/>
              </w:rPr>
              <w:t>Acenaphthylene</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0.000520</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0.00013</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pStyle w:val="NoSpacing"/>
              <w:jc w:val="both"/>
              <w:rPr>
                <w:rFonts w:ascii="Arial" w:eastAsia="Calibri" w:hAnsi="Arial" w:cs="Arial"/>
                <w:b/>
                <w:bCs/>
              </w:rPr>
            </w:pPr>
            <w:r w:rsidRPr="00014883">
              <w:rPr>
                <w:rFonts w:ascii="Arial" w:eastAsia="Calibri" w:hAnsi="Arial" w:cs="Arial"/>
              </w:rPr>
              <w:t>Acenaphthene</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0.000017</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pStyle w:val="NoSpacing"/>
              <w:jc w:val="both"/>
              <w:rPr>
                <w:rFonts w:ascii="Arial" w:eastAsia="Calibri" w:hAnsi="Arial" w:cs="Arial"/>
                <w:b/>
                <w:bCs/>
              </w:rPr>
            </w:pPr>
            <w:r w:rsidRPr="00014883">
              <w:rPr>
                <w:rFonts w:ascii="Arial" w:eastAsia="Calibri" w:hAnsi="Arial" w:cs="Arial"/>
              </w:rPr>
              <w:t>Florene</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0.000026</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0.00039</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0.000039</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0.000091</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pStyle w:val="NoSpacing"/>
              <w:jc w:val="both"/>
              <w:rPr>
                <w:rFonts w:ascii="Arial" w:eastAsia="Calibri" w:hAnsi="Arial" w:cs="Arial"/>
                <w:b/>
                <w:bCs/>
              </w:rPr>
            </w:pPr>
            <w:r w:rsidRPr="00014883">
              <w:rPr>
                <w:rFonts w:ascii="Arial" w:eastAsia="Calibri" w:hAnsi="Arial" w:cs="Arial"/>
              </w:rPr>
              <w:t>Phenanthrene</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pStyle w:val="NoSpacing"/>
              <w:jc w:val="both"/>
              <w:rPr>
                <w:rFonts w:ascii="Arial" w:eastAsia="Calibri" w:hAnsi="Arial" w:cs="Arial"/>
                <w:b/>
                <w:bCs/>
              </w:rPr>
            </w:pPr>
            <w:r w:rsidRPr="00014883">
              <w:rPr>
                <w:rFonts w:ascii="Arial" w:eastAsia="Calibri" w:hAnsi="Arial" w:cs="Arial"/>
              </w:rPr>
              <w:t>Anthracene</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0.000139</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pStyle w:val="NoSpacing"/>
              <w:jc w:val="both"/>
              <w:rPr>
                <w:rFonts w:ascii="Arial" w:eastAsia="Calibri" w:hAnsi="Arial" w:cs="Arial"/>
                <w:b/>
                <w:bCs/>
              </w:rPr>
            </w:pPr>
            <w:r w:rsidRPr="00014883">
              <w:rPr>
                <w:rFonts w:ascii="Arial" w:eastAsia="Calibri" w:hAnsi="Arial" w:cs="Arial"/>
              </w:rPr>
              <w:t>Fluoranthene</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0.000039</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0.000022</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pStyle w:val="NoSpacing"/>
              <w:jc w:val="both"/>
              <w:rPr>
                <w:rFonts w:ascii="Arial" w:eastAsia="Calibri" w:hAnsi="Arial" w:cs="Arial"/>
                <w:b/>
                <w:bCs/>
              </w:rPr>
            </w:pPr>
            <w:r w:rsidRPr="00014883">
              <w:rPr>
                <w:rFonts w:ascii="Arial" w:eastAsia="Calibri" w:hAnsi="Arial" w:cs="Arial"/>
              </w:rPr>
              <w:t>Pyrene</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0.000191</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0.000173</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0.000035</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0.0000173</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pStyle w:val="NoSpacing"/>
              <w:jc w:val="both"/>
              <w:rPr>
                <w:rFonts w:ascii="Arial" w:eastAsia="Calibri" w:hAnsi="Arial" w:cs="Arial"/>
                <w:b/>
                <w:bCs/>
              </w:rPr>
            </w:pPr>
            <w:r w:rsidRPr="00014883">
              <w:rPr>
                <w:rFonts w:ascii="Arial" w:eastAsia="Calibri" w:hAnsi="Arial" w:cs="Arial"/>
              </w:rPr>
              <w:t>Benzo(g,h,i) perylene</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5634A1">
            <w:pPr>
              <w:jc w:val="both"/>
              <w:rPr>
                <w:rFonts w:ascii="Arial" w:hAnsi="Arial" w:cs="Arial"/>
                <w:b/>
                <w:bCs/>
              </w:rPr>
            </w:pPr>
            <w:r w:rsidRPr="00014883">
              <w:rPr>
                <w:rFonts w:ascii="Arial" w:hAnsi="Arial" w:cs="Arial"/>
              </w:rPr>
              <w:t>ΣHI</w:t>
            </w:r>
          </w:p>
        </w:tc>
        <w:tc>
          <w:tcPr>
            <w:tcW w:w="1196"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0.000845</w:t>
            </w:r>
          </w:p>
        </w:tc>
        <w:tc>
          <w:tcPr>
            <w:tcW w:w="178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0.000693</w:t>
            </w:r>
          </w:p>
        </w:tc>
        <w:tc>
          <w:tcPr>
            <w:tcW w:w="122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0.000365</w:t>
            </w:r>
          </w:p>
        </w:tc>
        <w:tc>
          <w:tcPr>
            <w:tcW w:w="2597"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0.000264</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694" w:type="dxa"/>
          </w:tcPr>
          <w:p w:rsidR="0019273F" w:rsidRPr="00014883" w:rsidRDefault="0019273F">
            <w:pPr>
              <w:jc w:val="both"/>
              <w:rPr>
                <w:rFonts w:ascii="Arial" w:hAnsi="Arial" w:cs="Arial"/>
                <w:b/>
                <w:bCs/>
              </w:rPr>
            </w:pPr>
          </w:p>
        </w:tc>
        <w:tc>
          <w:tcPr>
            <w:tcW w:w="1196" w:type="dxa"/>
          </w:tcPr>
          <w:p w:rsidR="0019273F" w:rsidRPr="00014883" w:rsidRDefault="001927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85" w:type="dxa"/>
          </w:tcPr>
          <w:p w:rsidR="0019273F" w:rsidRPr="00014883" w:rsidRDefault="001927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25" w:type="dxa"/>
          </w:tcPr>
          <w:p w:rsidR="0019273F" w:rsidRPr="00014883" w:rsidRDefault="0019273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97" w:type="dxa"/>
          </w:tcPr>
          <w:p w:rsidR="0019273F" w:rsidRPr="00014883" w:rsidRDefault="0019273F">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rPr>
            </w:pPr>
          </w:p>
        </w:tc>
      </w:tr>
    </w:tbl>
    <w:p w:rsidR="0019273F" w:rsidRPr="00014883" w:rsidRDefault="0019273F">
      <w:pPr>
        <w:jc w:val="both"/>
        <w:rPr>
          <w:rFonts w:ascii="Arial" w:hAnsi="Arial" w:cs="Arial"/>
        </w:rPr>
      </w:pPr>
    </w:p>
    <w:p w:rsidR="0019273F" w:rsidRPr="00014883" w:rsidRDefault="0019273F">
      <w:pPr>
        <w:jc w:val="both"/>
        <w:rPr>
          <w:rFonts w:ascii="Arial" w:hAnsi="Arial" w:cs="Arial"/>
        </w:rPr>
      </w:pPr>
    </w:p>
    <w:p w:rsidR="0019273F" w:rsidRPr="00014883" w:rsidRDefault="0019273F">
      <w:pPr>
        <w:jc w:val="both"/>
        <w:rPr>
          <w:rFonts w:ascii="Arial" w:hAnsi="Arial" w:cs="Arial"/>
        </w:rPr>
      </w:pPr>
    </w:p>
    <w:p w:rsidR="0019273F" w:rsidRPr="00014883" w:rsidRDefault="005634A1">
      <w:pPr>
        <w:jc w:val="both"/>
        <w:rPr>
          <w:rFonts w:ascii="Arial" w:hAnsi="Arial" w:cs="Arial"/>
          <w:b/>
          <w:i/>
          <w:iCs/>
        </w:rPr>
      </w:pPr>
      <w:r w:rsidRPr="00014883">
        <w:rPr>
          <w:rFonts w:ascii="Arial" w:hAnsi="Arial" w:cs="Arial"/>
          <w:b/>
          <w:i/>
          <w:iCs/>
        </w:rPr>
        <w:t>Non-carcinogenic effect for the consumption of PAHs contaminated fish during the rainy season.</w:t>
      </w:r>
    </w:p>
    <w:p w:rsidR="0019273F" w:rsidRPr="00014883" w:rsidRDefault="0019273F">
      <w:pPr>
        <w:jc w:val="both"/>
        <w:rPr>
          <w:rFonts w:ascii="Arial" w:hAnsi="Arial" w:cs="Arial"/>
          <w:b/>
          <w:i/>
          <w:iCs/>
        </w:rPr>
      </w:pPr>
    </w:p>
    <w:p w:rsidR="0019273F" w:rsidRPr="00014883" w:rsidRDefault="005634A1">
      <w:pPr>
        <w:jc w:val="both"/>
        <w:rPr>
          <w:rFonts w:ascii="Arial" w:hAnsi="Arial" w:cs="Arial"/>
        </w:rPr>
      </w:pPr>
      <w:r w:rsidRPr="00014883">
        <w:rPr>
          <w:rFonts w:ascii="Arial" w:hAnsi="Arial" w:cs="Arial"/>
        </w:rPr>
        <w:t>Result of non-carcinogenic effect for the consumption of PAHs contaminated fish during the rainy season during rainy season using hazard quotient and hazard index showed in Table 7, revealed that the individual PAH hazard quotient and the total hazard index of all the sampled locations were all less than 1, in the following order of increase: down-stream &gt; Up-stream &gt; middle-stream.</w:t>
      </w:r>
    </w:p>
    <w:p w:rsidR="0019273F" w:rsidRPr="00014883" w:rsidRDefault="0019273F">
      <w:pPr>
        <w:jc w:val="both"/>
        <w:rPr>
          <w:rFonts w:ascii="Arial" w:hAnsi="Arial" w:cs="Arial"/>
        </w:rPr>
      </w:pPr>
    </w:p>
    <w:p w:rsidR="0019273F" w:rsidRPr="00014883" w:rsidRDefault="005634A1">
      <w:pPr>
        <w:jc w:val="both"/>
        <w:rPr>
          <w:rFonts w:ascii="Arial" w:hAnsi="Arial" w:cs="Arial"/>
          <w:b/>
          <w:i/>
          <w:iCs/>
        </w:rPr>
      </w:pPr>
      <w:r w:rsidRPr="00014883">
        <w:rPr>
          <w:rFonts w:ascii="Arial" w:hAnsi="Arial" w:cs="Arial"/>
          <w:b/>
          <w:i/>
          <w:iCs/>
        </w:rPr>
        <w:t>Table 8: Risk assessment based on non-carcinogenic equivalence using HQ and HI samples rainy season.</w:t>
      </w:r>
    </w:p>
    <w:p w:rsidR="0019273F" w:rsidRPr="00014883" w:rsidRDefault="0019273F">
      <w:pPr>
        <w:rPr>
          <w:rFonts w:ascii="Arial" w:hAnsi="Arial" w:cs="Arial"/>
          <w:b/>
        </w:rPr>
      </w:pPr>
    </w:p>
    <w:tbl>
      <w:tblPr>
        <w:tblStyle w:val="TableClassic1"/>
        <w:tblW w:w="0" w:type="auto"/>
        <w:tblLook w:val="04A0" w:firstRow="1" w:lastRow="0" w:firstColumn="1" w:lastColumn="0" w:noHBand="0" w:noVBand="1"/>
      </w:tblPr>
      <w:tblGrid>
        <w:gridCol w:w="2353"/>
        <w:gridCol w:w="2069"/>
        <w:gridCol w:w="1894"/>
        <w:gridCol w:w="1892"/>
      </w:tblGrid>
      <w:tr w:rsidR="00014883" w:rsidRPr="00014883" w:rsidTr="00192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jc w:val="both"/>
              <w:rPr>
                <w:rFonts w:ascii="Arial" w:hAnsi="Arial" w:cs="Arial"/>
                <w:bCs/>
                <w:i w:val="0"/>
                <w:iCs w:val="0"/>
              </w:rPr>
            </w:pPr>
            <w:r w:rsidRPr="00014883">
              <w:rPr>
                <w:rFonts w:ascii="Arial" w:hAnsi="Arial" w:cs="Arial"/>
                <w:b/>
              </w:rPr>
              <w:t>Non-Carcinogenic equivalency</w:t>
            </w:r>
          </w:p>
        </w:tc>
        <w:tc>
          <w:tcPr>
            <w:tcW w:w="2372" w:type="dxa"/>
          </w:tcPr>
          <w:p w:rsidR="0019273F" w:rsidRPr="00014883" w:rsidRDefault="005634A1">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Cs/>
                <w:i w:val="0"/>
                <w:iCs w:val="0"/>
              </w:rPr>
            </w:pPr>
            <w:r w:rsidRPr="00014883">
              <w:rPr>
                <w:rFonts w:ascii="Arial" w:hAnsi="Arial" w:cs="Arial"/>
                <w:b/>
              </w:rPr>
              <w:t>Up- Stream</w:t>
            </w:r>
          </w:p>
        </w:tc>
        <w:tc>
          <w:tcPr>
            <w:tcW w:w="2375" w:type="dxa"/>
          </w:tcPr>
          <w:p w:rsidR="0019273F" w:rsidRPr="00014883" w:rsidRDefault="005634A1">
            <w:pPr>
              <w:jc w:val="both"/>
              <w:cnfStyle w:val="100000000000" w:firstRow="1" w:lastRow="0" w:firstColumn="0" w:lastColumn="0" w:oddVBand="0" w:evenVBand="0" w:oddHBand="0" w:evenHBand="0" w:firstRowFirstColumn="0" w:firstRowLastColumn="0" w:lastRowFirstColumn="0" w:lastRowLastColumn="0"/>
              <w:rPr>
                <w:rFonts w:ascii="Arial" w:hAnsi="Arial" w:cs="Arial"/>
                <w:bCs/>
                <w:i w:val="0"/>
                <w:iCs w:val="0"/>
              </w:rPr>
            </w:pPr>
            <w:r w:rsidRPr="00014883">
              <w:rPr>
                <w:rFonts w:ascii="Arial" w:hAnsi="Arial" w:cs="Arial"/>
                <w:b/>
              </w:rPr>
              <w:t xml:space="preserve">Middle-stream </w:t>
            </w:r>
          </w:p>
        </w:tc>
        <w:tc>
          <w:tcPr>
            <w:tcW w:w="2373" w:type="dxa"/>
          </w:tcPr>
          <w:p w:rsidR="0019273F" w:rsidRPr="00014883" w:rsidRDefault="005634A1">
            <w:pPr>
              <w:jc w:val="both"/>
              <w:cnfStyle w:val="100000000000" w:firstRow="1" w:lastRow="0" w:firstColumn="0" w:lastColumn="0" w:oddVBand="0" w:evenVBand="0" w:oddHBand="0" w:evenHBand="0" w:firstRowFirstColumn="0" w:firstRowLastColumn="0" w:lastRowFirstColumn="0" w:lastRowLastColumn="0"/>
              <w:rPr>
                <w:rFonts w:ascii="Arial" w:hAnsi="Arial" w:cs="Arial"/>
                <w:bCs/>
                <w:i w:val="0"/>
                <w:iCs w:val="0"/>
              </w:rPr>
            </w:pPr>
            <w:r w:rsidRPr="00014883">
              <w:rPr>
                <w:rFonts w:ascii="Arial" w:hAnsi="Arial" w:cs="Arial"/>
                <w:b/>
              </w:rPr>
              <w:t>Down- Stream</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19273F">
            <w:pPr>
              <w:rPr>
                <w:rFonts w:ascii="Arial" w:eastAsiaTheme="minorEastAsia" w:hAnsi="Arial" w:cs="Arial"/>
                <w:bCs/>
              </w:rPr>
            </w:pPr>
          </w:p>
        </w:tc>
        <w:tc>
          <w:tcPr>
            <w:tcW w:w="2372" w:type="dxa"/>
          </w:tcPr>
          <w:p w:rsidR="0019273F" w:rsidRPr="00014883" w:rsidRDefault="0019273F">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rPr>
            </w:pPr>
          </w:p>
        </w:tc>
        <w:tc>
          <w:tcPr>
            <w:tcW w:w="2375" w:type="dxa"/>
          </w:tcPr>
          <w:p w:rsidR="0019273F" w:rsidRPr="00014883" w:rsidRDefault="0019273F">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rPr>
            </w:pPr>
          </w:p>
        </w:tc>
        <w:tc>
          <w:tcPr>
            <w:tcW w:w="2373" w:type="dxa"/>
          </w:tcPr>
          <w:p w:rsidR="0019273F" w:rsidRPr="00014883" w:rsidRDefault="0019273F">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rPr>
            </w:pP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jc w:val="both"/>
              <w:rPr>
                <w:rFonts w:ascii="Arial" w:hAnsi="Arial" w:cs="Arial"/>
                <w:b/>
                <w:bCs/>
              </w:rPr>
            </w:pPr>
            <w:r w:rsidRPr="00014883">
              <w:rPr>
                <w:rFonts w:ascii="Arial" w:hAnsi="Arial" w:cs="Arial"/>
              </w:rPr>
              <w:t>Naphthalene</w:t>
            </w:r>
          </w:p>
        </w:tc>
        <w:tc>
          <w:tcPr>
            <w:tcW w:w="2372" w:type="dxa"/>
          </w:tcPr>
          <w:p w:rsidR="0019273F" w:rsidRPr="00014883" w:rsidRDefault="005634A1">
            <w:pPr>
              <w:tabs>
                <w:tab w:val="right" w:pos="2156"/>
              </w:tabs>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0.000052</w:t>
            </w:r>
            <w:r w:rsidRPr="00014883">
              <w:rPr>
                <w:rFonts w:ascii="Arial" w:hAnsi="Arial" w:cs="Arial"/>
              </w:rPr>
              <w:tab/>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0.000070</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pStyle w:val="NoSpacing"/>
              <w:jc w:val="both"/>
              <w:rPr>
                <w:rFonts w:ascii="Arial" w:hAnsi="Arial" w:cs="Arial"/>
                <w:b/>
                <w:bCs/>
              </w:rPr>
            </w:pPr>
            <w:r w:rsidRPr="00014883">
              <w:rPr>
                <w:rFonts w:ascii="Arial" w:hAnsi="Arial" w:cs="Arial"/>
              </w:rPr>
              <w:t>Acenaphthylene</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0.00156</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pStyle w:val="NoSpacing"/>
              <w:jc w:val="both"/>
              <w:rPr>
                <w:rFonts w:ascii="Arial" w:hAnsi="Arial" w:cs="Arial"/>
                <w:b/>
                <w:bCs/>
              </w:rPr>
            </w:pPr>
            <w:r w:rsidRPr="00014883">
              <w:rPr>
                <w:rFonts w:ascii="Arial" w:hAnsi="Arial" w:cs="Arial"/>
              </w:rPr>
              <w:t>Acenaphthene</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0.000069</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0.00039</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0.000251</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pStyle w:val="NoSpacing"/>
              <w:jc w:val="both"/>
              <w:rPr>
                <w:rFonts w:ascii="Arial" w:hAnsi="Arial" w:cs="Arial"/>
                <w:b/>
                <w:bCs/>
              </w:rPr>
            </w:pPr>
            <w:r w:rsidRPr="00014883">
              <w:rPr>
                <w:rFonts w:ascii="Arial" w:hAnsi="Arial" w:cs="Arial"/>
              </w:rPr>
              <w:t>Florene</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0.000065</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0.001105</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pStyle w:val="NoSpacing"/>
              <w:jc w:val="both"/>
              <w:rPr>
                <w:rFonts w:ascii="Arial" w:hAnsi="Arial" w:cs="Arial"/>
                <w:b/>
                <w:bCs/>
              </w:rPr>
            </w:pPr>
            <w:r w:rsidRPr="00014883">
              <w:rPr>
                <w:rFonts w:ascii="Arial" w:hAnsi="Arial" w:cs="Arial"/>
              </w:rPr>
              <w:lastRenderedPageBreak/>
              <w:t>Phenanthrene</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pStyle w:val="NoSpacing"/>
              <w:jc w:val="both"/>
              <w:rPr>
                <w:rFonts w:ascii="Arial" w:hAnsi="Arial" w:cs="Arial"/>
                <w:b/>
                <w:bCs/>
              </w:rPr>
            </w:pPr>
            <w:r w:rsidRPr="00014883">
              <w:rPr>
                <w:rFonts w:ascii="Arial" w:hAnsi="Arial" w:cs="Arial"/>
              </w:rPr>
              <w:t>Anthracene</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0.000069</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0.000399</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pStyle w:val="NoSpacing"/>
              <w:jc w:val="both"/>
              <w:rPr>
                <w:rFonts w:ascii="Arial" w:hAnsi="Arial" w:cs="Arial"/>
                <w:b/>
                <w:bCs/>
              </w:rPr>
            </w:pPr>
            <w:r w:rsidRPr="00014883">
              <w:rPr>
                <w:rFonts w:ascii="Arial" w:hAnsi="Arial" w:cs="Arial"/>
              </w:rPr>
              <w:t>Fluoranthene</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0.000234</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0.000052</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0.000364</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pStyle w:val="NoSpacing"/>
              <w:jc w:val="both"/>
              <w:rPr>
                <w:rFonts w:ascii="Arial" w:hAnsi="Arial" w:cs="Arial"/>
                <w:b/>
                <w:bCs/>
              </w:rPr>
            </w:pPr>
            <w:r w:rsidRPr="00014883">
              <w:rPr>
                <w:rFonts w:ascii="Arial" w:hAnsi="Arial" w:cs="Arial"/>
              </w:rPr>
              <w:t>Pyrene</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0.000208</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0.000295</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0.000277</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pStyle w:val="NoSpacing"/>
              <w:jc w:val="both"/>
              <w:rPr>
                <w:rFonts w:ascii="Arial" w:hAnsi="Arial" w:cs="Arial"/>
                <w:b/>
                <w:bCs/>
              </w:rPr>
            </w:pPr>
            <w:r w:rsidRPr="00014883">
              <w:rPr>
                <w:rFonts w:ascii="Arial" w:hAnsi="Arial" w:cs="Arial"/>
              </w:rPr>
              <w:t>Indeno(1,2,3)perylene</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0.000065</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ND</w:t>
            </w:r>
          </w:p>
        </w:tc>
      </w:tr>
      <w:tr w:rsidR="00014883" w:rsidRPr="00014883" w:rsidTr="0019273F">
        <w:tc>
          <w:tcPr>
            <w:cnfStyle w:val="001000000000" w:firstRow="0" w:lastRow="0" w:firstColumn="1" w:lastColumn="0" w:oddVBand="0" w:evenVBand="0" w:oddHBand="0" w:evenHBand="0" w:firstRowFirstColumn="0" w:firstRowLastColumn="0" w:lastRowFirstColumn="0" w:lastRowLastColumn="0"/>
            <w:tcW w:w="2456" w:type="dxa"/>
          </w:tcPr>
          <w:p w:rsidR="0019273F" w:rsidRPr="00014883" w:rsidRDefault="005634A1">
            <w:pPr>
              <w:jc w:val="both"/>
              <w:rPr>
                <w:rFonts w:ascii="Arial" w:hAnsi="Arial" w:cs="Arial"/>
                <w:b/>
                <w:bCs/>
              </w:rPr>
            </w:pPr>
            <w:r w:rsidRPr="00014883">
              <w:rPr>
                <w:rFonts w:ascii="Arial" w:hAnsi="Arial" w:cs="Arial"/>
              </w:rPr>
              <w:t>ΣHI</w:t>
            </w:r>
          </w:p>
        </w:tc>
        <w:tc>
          <w:tcPr>
            <w:tcW w:w="2372"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0.002188</w:t>
            </w:r>
          </w:p>
        </w:tc>
        <w:tc>
          <w:tcPr>
            <w:tcW w:w="2375"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0.000877</w:t>
            </w:r>
          </w:p>
        </w:tc>
        <w:tc>
          <w:tcPr>
            <w:tcW w:w="2373" w:type="dxa"/>
          </w:tcPr>
          <w:p w:rsidR="0019273F" w:rsidRPr="00014883" w:rsidRDefault="005634A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14883">
              <w:rPr>
                <w:rFonts w:ascii="Arial" w:hAnsi="Arial" w:cs="Arial"/>
              </w:rPr>
              <w:t>0.002466</w:t>
            </w:r>
          </w:p>
        </w:tc>
      </w:tr>
    </w:tbl>
    <w:p w:rsidR="0019273F" w:rsidRPr="00014883" w:rsidRDefault="0019273F">
      <w:pPr>
        <w:rPr>
          <w:rFonts w:ascii="Arial" w:hAnsi="Arial" w:cs="Arial"/>
          <w:b/>
        </w:rPr>
      </w:pPr>
    </w:p>
    <w:p w:rsidR="0019273F" w:rsidRPr="00014883" w:rsidRDefault="0019273F">
      <w:pPr>
        <w:jc w:val="both"/>
        <w:rPr>
          <w:rFonts w:ascii="Arial" w:hAnsi="Arial" w:cs="Arial"/>
        </w:rPr>
      </w:pPr>
    </w:p>
    <w:p w:rsidR="0019273F" w:rsidRPr="00014883" w:rsidRDefault="0019273F">
      <w:pPr>
        <w:jc w:val="both"/>
        <w:rPr>
          <w:rFonts w:ascii="Arial" w:hAnsi="Arial" w:cs="Arial"/>
          <w:b/>
        </w:rPr>
      </w:pPr>
    </w:p>
    <w:p w:rsidR="0019273F" w:rsidRPr="00014883" w:rsidRDefault="005634A1">
      <w:pPr>
        <w:jc w:val="both"/>
        <w:rPr>
          <w:rFonts w:ascii="Arial" w:hAnsi="Arial" w:cs="Arial"/>
          <w:b/>
          <w:i/>
          <w:iCs/>
        </w:rPr>
      </w:pPr>
      <w:r w:rsidRPr="00014883">
        <w:rPr>
          <w:rFonts w:ascii="Arial" w:hAnsi="Arial" w:cs="Arial"/>
          <w:b/>
          <w:i/>
          <w:iCs/>
        </w:rPr>
        <w:t>Carcinogenic toxicity (TEQ) relative to Benzo (a) pyrene (B[a]P) equivalence for the consumption of PAHs contaminated fish during the dry season.</w:t>
      </w:r>
    </w:p>
    <w:p w:rsidR="0019273F" w:rsidRPr="00014883" w:rsidRDefault="0019273F">
      <w:pPr>
        <w:ind w:firstLine="567"/>
        <w:jc w:val="both"/>
        <w:rPr>
          <w:rFonts w:ascii="Arial" w:hAnsi="Arial" w:cs="Arial"/>
        </w:rPr>
      </w:pPr>
    </w:p>
    <w:p w:rsidR="0019273F" w:rsidRPr="00014883" w:rsidRDefault="005634A1" w:rsidP="00D377AF">
      <w:pPr>
        <w:jc w:val="both"/>
        <w:rPr>
          <w:rFonts w:ascii="Arial" w:hAnsi="Arial" w:cs="Arial"/>
          <w:bCs/>
        </w:rPr>
      </w:pPr>
      <w:r w:rsidRPr="00014883">
        <w:rPr>
          <w:rFonts w:ascii="Arial" w:hAnsi="Arial" w:cs="Arial"/>
        </w:rPr>
        <w:t>The result of carcinogenic toxicity (TEQ) relative to Benzo (a) pyrene (B(a)P) equivalence using lifetime cancer risk, revealed that the total TEQ</w:t>
      </w:r>
      <w:r w:rsidRPr="00014883">
        <w:rPr>
          <w:rFonts w:ascii="Arial" w:hAnsi="Arial" w:cs="Arial"/>
          <w:vertAlign w:val="subscript"/>
        </w:rPr>
        <w:t>B[a]P</w:t>
      </w:r>
      <w:r w:rsidRPr="00014883">
        <w:rPr>
          <w:rFonts w:ascii="Arial" w:hAnsi="Arial" w:cs="Arial"/>
        </w:rPr>
        <w:t xml:space="preserve"> value was in the following increase order of; down-stream &gt; middle-stream &gt; Ekapan pond &gt;up-stream. With all the sampled locations at Banegbe above </w:t>
      </w:r>
      <w:r w:rsidRPr="00014883">
        <w:rPr>
          <w:rFonts w:ascii="Arial" w:hAnsi="Arial" w:cs="Arial"/>
          <w:bCs/>
        </w:rPr>
        <w:t>the USEPA standard of 10</w:t>
      </w:r>
      <w:r w:rsidRPr="00014883">
        <w:rPr>
          <w:rFonts w:ascii="Arial" w:hAnsi="Arial" w:cs="Arial"/>
          <w:bCs/>
          <w:vertAlign w:val="superscript"/>
        </w:rPr>
        <w:t>-6</w:t>
      </w:r>
      <w:r w:rsidRPr="00014883">
        <w:rPr>
          <w:rFonts w:ascii="Arial" w:hAnsi="Arial" w:cs="Arial"/>
          <w:bCs/>
        </w:rPr>
        <w:t xml:space="preserve"> during rainy season is presented in Table 8.</w:t>
      </w:r>
    </w:p>
    <w:p w:rsidR="0019273F" w:rsidRPr="00014883" w:rsidRDefault="0019273F">
      <w:pPr>
        <w:jc w:val="both"/>
        <w:rPr>
          <w:rFonts w:ascii="Arial" w:hAnsi="Arial" w:cs="Arial"/>
          <w:b/>
        </w:rPr>
      </w:pPr>
    </w:p>
    <w:p w:rsidR="0019273F" w:rsidRPr="00014883" w:rsidRDefault="005634A1">
      <w:pPr>
        <w:jc w:val="both"/>
        <w:rPr>
          <w:rFonts w:ascii="Arial" w:hAnsi="Arial" w:cs="Arial"/>
          <w:b/>
          <w:i/>
          <w:iCs/>
        </w:rPr>
      </w:pPr>
      <w:r w:rsidRPr="00014883">
        <w:rPr>
          <w:rFonts w:ascii="Arial" w:hAnsi="Arial" w:cs="Arial"/>
          <w:b/>
          <w:i/>
          <w:iCs/>
        </w:rPr>
        <w:t>Table 9: Risk assessment based on carcinogenic equivalence (TEQ), average daily dose, and lifetime excess cancer risk for consumption of fish samples during dry season.</w:t>
      </w:r>
    </w:p>
    <w:tbl>
      <w:tblPr>
        <w:tblStyle w:val="TableGrid"/>
        <w:tblW w:w="0" w:type="auto"/>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1152"/>
        <w:gridCol w:w="1104"/>
        <w:gridCol w:w="967"/>
        <w:gridCol w:w="1242"/>
      </w:tblGrid>
      <w:tr w:rsidR="00014883" w:rsidRPr="00014883">
        <w:tc>
          <w:tcPr>
            <w:tcW w:w="2456" w:type="dxa"/>
            <w:tcBorders>
              <w:bottom w:val="nil"/>
            </w:tcBorders>
          </w:tcPr>
          <w:p w:rsidR="0019273F" w:rsidRPr="00014883" w:rsidRDefault="0019273F">
            <w:pPr>
              <w:rPr>
                <w:rFonts w:ascii="Arial" w:eastAsia="Calibri" w:hAnsi="Arial" w:cs="Arial"/>
                <w:bCs/>
                <w:sz w:val="20"/>
                <w:szCs w:val="20"/>
              </w:rPr>
            </w:pPr>
          </w:p>
        </w:tc>
        <w:tc>
          <w:tcPr>
            <w:tcW w:w="1152" w:type="dxa"/>
            <w:tcBorders>
              <w:top w:val="single" w:sz="4" w:space="0" w:color="auto"/>
              <w:bottom w:val="single" w:sz="4" w:space="0" w:color="auto"/>
            </w:tcBorders>
          </w:tcPr>
          <w:p w:rsidR="0019273F" w:rsidRPr="00014883" w:rsidRDefault="005634A1">
            <w:pPr>
              <w:rPr>
                <w:rFonts w:ascii="Arial" w:eastAsia="Calibri" w:hAnsi="Arial" w:cs="Arial"/>
                <w:bCs/>
                <w:sz w:val="20"/>
                <w:szCs w:val="20"/>
              </w:rPr>
            </w:pPr>
            <w:r w:rsidRPr="00014883">
              <w:rPr>
                <w:rFonts w:ascii="Arial" w:eastAsia="Calibri" w:hAnsi="Arial" w:cs="Arial"/>
                <w:b/>
                <w:sz w:val="20"/>
                <w:szCs w:val="20"/>
              </w:rPr>
              <w:t>Banegbe River</w:t>
            </w:r>
          </w:p>
        </w:tc>
        <w:tc>
          <w:tcPr>
            <w:tcW w:w="1104" w:type="dxa"/>
            <w:tcBorders>
              <w:top w:val="single" w:sz="4" w:space="0" w:color="auto"/>
              <w:bottom w:val="single" w:sz="4" w:space="0" w:color="auto"/>
            </w:tcBorders>
          </w:tcPr>
          <w:p w:rsidR="0019273F" w:rsidRPr="00014883" w:rsidRDefault="0019273F">
            <w:pPr>
              <w:rPr>
                <w:rFonts w:ascii="Arial" w:eastAsia="Calibri" w:hAnsi="Arial" w:cs="Arial"/>
                <w:bCs/>
                <w:sz w:val="20"/>
                <w:szCs w:val="20"/>
              </w:rPr>
            </w:pPr>
          </w:p>
        </w:tc>
        <w:tc>
          <w:tcPr>
            <w:tcW w:w="967" w:type="dxa"/>
            <w:tcBorders>
              <w:top w:val="single" w:sz="4" w:space="0" w:color="auto"/>
              <w:bottom w:val="single" w:sz="4" w:space="0" w:color="auto"/>
            </w:tcBorders>
          </w:tcPr>
          <w:p w:rsidR="0019273F" w:rsidRPr="00014883" w:rsidRDefault="0019273F">
            <w:pPr>
              <w:rPr>
                <w:rFonts w:ascii="Arial" w:eastAsia="Calibri" w:hAnsi="Arial" w:cs="Arial"/>
                <w:bCs/>
                <w:sz w:val="20"/>
                <w:szCs w:val="20"/>
              </w:rPr>
            </w:pPr>
          </w:p>
        </w:tc>
        <w:tc>
          <w:tcPr>
            <w:tcW w:w="1242" w:type="dxa"/>
            <w:tcBorders>
              <w:top w:val="single" w:sz="4" w:space="0" w:color="auto"/>
              <w:bottom w:val="single" w:sz="4" w:space="0" w:color="auto"/>
            </w:tcBorders>
          </w:tcPr>
          <w:p w:rsidR="0019273F" w:rsidRPr="00014883" w:rsidRDefault="005634A1">
            <w:pPr>
              <w:rPr>
                <w:rFonts w:ascii="Arial" w:eastAsia="Calibri" w:hAnsi="Arial" w:cs="Arial"/>
                <w:b/>
                <w:sz w:val="20"/>
                <w:szCs w:val="20"/>
              </w:rPr>
            </w:pPr>
            <w:r w:rsidRPr="00014883">
              <w:rPr>
                <w:rFonts w:ascii="Arial" w:eastAsia="Calibri" w:hAnsi="Arial" w:cs="Arial"/>
                <w:b/>
                <w:sz w:val="20"/>
                <w:szCs w:val="20"/>
              </w:rPr>
              <w:t>Reference (control) site</w:t>
            </w:r>
          </w:p>
        </w:tc>
      </w:tr>
      <w:tr w:rsidR="00014883" w:rsidRPr="00014883">
        <w:tc>
          <w:tcPr>
            <w:tcW w:w="2456" w:type="dxa"/>
            <w:tcBorders>
              <w:top w:val="nil"/>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Carcinogenic equivalency (µg/kg)</w:t>
            </w:r>
          </w:p>
        </w:tc>
        <w:tc>
          <w:tcPr>
            <w:tcW w:w="1152"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Up-stream</w:t>
            </w:r>
          </w:p>
        </w:tc>
        <w:tc>
          <w:tcPr>
            <w:tcW w:w="1104"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Middle-stream</w:t>
            </w:r>
          </w:p>
        </w:tc>
        <w:tc>
          <w:tcPr>
            <w:tcW w:w="967"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Down-Stream</w:t>
            </w:r>
          </w:p>
        </w:tc>
        <w:tc>
          <w:tcPr>
            <w:tcW w:w="1242" w:type="dxa"/>
            <w:tcBorders>
              <w:top w:val="single" w:sz="4" w:space="0" w:color="auto"/>
              <w:bottom w:val="single" w:sz="4" w:space="0" w:color="auto"/>
            </w:tcBorders>
          </w:tcPr>
          <w:p w:rsidR="0019273F" w:rsidRPr="00014883" w:rsidRDefault="005634A1">
            <w:pPr>
              <w:rPr>
                <w:rFonts w:ascii="Arial" w:hAnsi="Arial" w:cs="Arial"/>
                <w:b/>
                <w:bCs/>
                <w:sz w:val="20"/>
                <w:szCs w:val="20"/>
              </w:rPr>
            </w:pPr>
            <w:r w:rsidRPr="00014883">
              <w:rPr>
                <w:rFonts w:ascii="Arial" w:hAnsi="Arial" w:cs="Arial"/>
                <w:b/>
                <w:bCs/>
                <w:sz w:val="20"/>
                <w:szCs w:val="20"/>
              </w:rPr>
              <w:t>Ekpan Pond</w:t>
            </w:r>
          </w:p>
        </w:tc>
      </w:tr>
      <w:tr w:rsidR="00014883" w:rsidRPr="00014883">
        <w:tc>
          <w:tcPr>
            <w:tcW w:w="2456" w:type="dxa"/>
            <w:tcBorders>
              <w:top w:val="single" w:sz="4" w:space="0" w:color="auto"/>
            </w:tcBorders>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Naphthalene</w:t>
            </w:r>
          </w:p>
        </w:tc>
        <w:tc>
          <w:tcPr>
            <w:tcW w:w="1152"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0.002</w:t>
            </w:r>
          </w:p>
        </w:tc>
        <w:tc>
          <w:tcPr>
            <w:tcW w:w="1104"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0.005</w:t>
            </w:r>
          </w:p>
        </w:tc>
        <w:tc>
          <w:tcPr>
            <w:tcW w:w="967"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242"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Acenaphthylene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0.002</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0.005</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Acenaphthene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0.002</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Fluorene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0.002</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0.003</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Phenanthrene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0.002</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0.020</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Anthracene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0.008</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Fluoranthene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0.003</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0.015</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0.017</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0.007</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Pyrene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0.001</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0.002</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0.001</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Benzo(a) anthracene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4.100</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2.8</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0.900</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0.0114</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Chrysene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0.0015</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0.004</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0.008</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0.121</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Benzo(b) fluoranthene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0.400</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40.600</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27.900</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11.200</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Benzo(a)pyrene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3.00</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3.00</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32.00</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 xml:space="preserve">Benzo(k) </w:t>
            </w:r>
          </w:p>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Fluoranthene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0.022</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0.03</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Indeno (1,2,3) perylene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0.20</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0.200</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Dibenzo(a,h) anthracene</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1</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102</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ΣBaP TEQ</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8.6356</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43.424</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28.863</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41.3812</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ΣBaPTEQ ADD</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0.0049</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0.0225</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0.0150</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0.08162</w:t>
            </w:r>
          </w:p>
        </w:tc>
      </w:tr>
      <w:tr w:rsidR="00014883" w:rsidRPr="00014883">
        <w:tc>
          <w:tcPr>
            <w:tcW w:w="2456"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LCR</w:t>
            </w:r>
          </w:p>
        </w:tc>
        <w:tc>
          <w:tcPr>
            <w:tcW w:w="115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0.0328</w:t>
            </w:r>
          </w:p>
        </w:tc>
        <w:tc>
          <w:tcPr>
            <w:tcW w:w="1104"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0.1648</w:t>
            </w:r>
          </w:p>
        </w:tc>
        <w:tc>
          <w:tcPr>
            <w:tcW w:w="967"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0.1096</w:t>
            </w:r>
          </w:p>
        </w:tc>
        <w:tc>
          <w:tcPr>
            <w:tcW w:w="1242"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0.5958</w:t>
            </w:r>
          </w:p>
        </w:tc>
      </w:tr>
      <w:tr w:rsidR="00014883" w:rsidRPr="00014883">
        <w:tc>
          <w:tcPr>
            <w:tcW w:w="2456" w:type="dxa"/>
          </w:tcPr>
          <w:p w:rsidR="0019273F" w:rsidRPr="00014883" w:rsidRDefault="0019273F">
            <w:pPr>
              <w:rPr>
                <w:rFonts w:ascii="Arial" w:eastAsia="Calibri" w:hAnsi="Arial" w:cs="Arial"/>
                <w:bCs/>
                <w:sz w:val="20"/>
                <w:szCs w:val="20"/>
              </w:rPr>
            </w:pPr>
          </w:p>
        </w:tc>
        <w:tc>
          <w:tcPr>
            <w:tcW w:w="1152" w:type="dxa"/>
          </w:tcPr>
          <w:p w:rsidR="0019273F" w:rsidRPr="00014883" w:rsidRDefault="0019273F">
            <w:pPr>
              <w:rPr>
                <w:rFonts w:ascii="Arial" w:eastAsia="Calibri" w:hAnsi="Arial" w:cs="Arial"/>
                <w:b/>
                <w:sz w:val="20"/>
                <w:szCs w:val="20"/>
              </w:rPr>
            </w:pPr>
          </w:p>
        </w:tc>
        <w:tc>
          <w:tcPr>
            <w:tcW w:w="1104" w:type="dxa"/>
          </w:tcPr>
          <w:p w:rsidR="0019273F" w:rsidRPr="00014883" w:rsidRDefault="0019273F">
            <w:pPr>
              <w:rPr>
                <w:rFonts w:ascii="Arial" w:eastAsia="Calibri" w:hAnsi="Arial" w:cs="Arial"/>
                <w:b/>
                <w:sz w:val="20"/>
                <w:szCs w:val="20"/>
              </w:rPr>
            </w:pPr>
          </w:p>
        </w:tc>
        <w:tc>
          <w:tcPr>
            <w:tcW w:w="967" w:type="dxa"/>
          </w:tcPr>
          <w:p w:rsidR="0019273F" w:rsidRPr="00014883" w:rsidRDefault="0019273F">
            <w:pPr>
              <w:rPr>
                <w:rFonts w:ascii="Arial" w:eastAsia="Calibri" w:hAnsi="Arial" w:cs="Arial"/>
                <w:b/>
                <w:sz w:val="20"/>
                <w:szCs w:val="20"/>
              </w:rPr>
            </w:pPr>
          </w:p>
        </w:tc>
        <w:tc>
          <w:tcPr>
            <w:tcW w:w="1242" w:type="dxa"/>
          </w:tcPr>
          <w:p w:rsidR="0019273F" w:rsidRPr="00014883" w:rsidRDefault="0019273F">
            <w:pPr>
              <w:rPr>
                <w:rFonts w:ascii="Arial" w:eastAsia="Calibri" w:hAnsi="Arial" w:cs="Arial"/>
                <w:b/>
                <w:sz w:val="20"/>
                <w:szCs w:val="20"/>
              </w:rPr>
            </w:pPr>
          </w:p>
        </w:tc>
      </w:tr>
    </w:tbl>
    <w:p w:rsidR="0019273F" w:rsidRPr="00014883" w:rsidRDefault="0019273F">
      <w:pPr>
        <w:jc w:val="both"/>
        <w:rPr>
          <w:rFonts w:ascii="Arial" w:hAnsi="Arial" w:cs="Arial"/>
          <w:b/>
        </w:rPr>
      </w:pPr>
    </w:p>
    <w:p w:rsidR="0019273F" w:rsidRPr="00014883" w:rsidRDefault="0019273F">
      <w:pPr>
        <w:jc w:val="both"/>
        <w:rPr>
          <w:rFonts w:ascii="Arial" w:hAnsi="Arial" w:cs="Arial"/>
          <w:b/>
        </w:rPr>
      </w:pPr>
    </w:p>
    <w:p w:rsidR="0019273F" w:rsidRPr="00014883" w:rsidRDefault="005634A1">
      <w:pPr>
        <w:jc w:val="both"/>
        <w:rPr>
          <w:rFonts w:ascii="Arial" w:hAnsi="Arial" w:cs="Arial"/>
          <w:b/>
          <w:i/>
          <w:iCs/>
        </w:rPr>
      </w:pPr>
      <w:r w:rsidRPr="00014883">
        <w:rPr>
          <w:rFonts w:ascii="Arial" w:hAnsi="Arial" w:cs="Arial"/>
          <w:b/>
          <w:i/>
          <w:iCs/>
        </w:rPr>
        <w:t>Mutagenic toxicity (MEQ) relative to Benzo (a) pyrene (B[a]P) equivalence for the consumption of PAHs contaminated fish during the dry season.</w:t>
      </w:r>
    </w:p>
    <w:p w:rsidR="0019273F" w:rsidRPr="00014883" w:rsidRDefault="0019273F">
      <w:pPr>
        <w:jc w:val="both"/>
        <w:rPr>
          <w:rFonts w:ascii="Arial" w:hAnsi="Arial" w:cs="Arial"/>
          <w:b/>
          <w:i/>
          <w:iCs/>
        </w:rPr>
      </w:pPr>
    </w:p>
    <w:p w:rsidR="0019273F" w:rsidRPr="00014883" w:rsidRDefault="005634A1">
      <w:pPr>
        <w:jc w:val="both"/>
        <w:rPr>
          <w:rFonts w:ascii="Arial" w:hAnsi="Arial" w:cs="Arial"/>
          <w:bCs/>
          <w:vertAlign w:val="superscript"/>
        </w:rPr>
      </w:pPr>
      <w:r w:rsidRPr="00014883">
        <w:rPr>
          <w:rFonts w:ascii="Arial" w:hAnsi="Arial" w:cs="Arial"/>
        </w:rPr>
        <w:t>Mutagenic toxicity (MEQ) relative to Benzo (a) pyrene (B(a)P) equivalent using lifetime cancer risk showed in Table 9, revealed that the total MEQ</w:t>
      </w:r>
      <w:r w:rsidRPr="00014883">
        <w:rPr>
          <w:rFonts w:ascii="Arial" w:hAnsi="Arial" w:cs="Arial"/>
          <w:vertAlign w:val="subscript"/>
        </w:rPr>
        <w:t>B[a]P</w:t>
      </w:r>
      <w:r w:rsidRPr="00014883">
        <w:rPr>
          <w:rFonts w:ascii="Arial" w:hAnsi="Arial" w:cs="Arial"/>
        </w:rPr>
        <w:t xml:space="preserve"> values were in the increasing order of; </w:t>
      </w:r>
      <w:r w:rsidRPr="00014883">
        <w:rPr>
          <w:rFonts w:ascii="Arial" w:hAnsi="Arial" w:cs="Arial"/>
        </w:rPr>
        <w:lastRenderedPageBreak/>
        <w:t xml:space="preserve">down-stream &gt; middle-stream &gt;Ekpan pond &gt;up-stream. With all the sampled locations at Banegbe above </w:t>
      </w:r>
      <w:r w:rsidRPr="00014883">
        <w:rPr>
          <w:rFonts w:ascii="Arial" w:hAnsi="Arial" w:cs="Arial"/>
          <w:bCs/>
        </w:rPr>
        <w:t>the USEPA standard of 10</w:t>
      </w:r>
      <w:r w:rsidRPr="00014883">
        <w:rPr>
          <w:rFonts w:ascii="Arial" w:hAnsi="Arial" w:cs="Arial"/>
          <w:bCs/>
          <w:vertAlign w:val="superscript"/>
        </w:rPr>
        <w:t>-6</w:t>
      </w:r>
    </w:p>
    <w:p w:rsidR="0019273F" w:rsidRPr="00014883" w:rsidRDefault="0019273F">
      <w:pPr>
        <w:ind w:firstLine="567"/>
        <w:jc w:val="both"/>
        <w:rPr>
          <w:rFonts w:ascii="Arial" w:hAnsi="Arial" w:cs="Arial"/>
          <w:bCs/>
          <w:vertAlign w:val="superscript"/>
        </w:rPr>
      </w:pPr>
    </w:p>
    <w:p w:rsidR="0019273F" w:rsidRPr="00014883" w:rsidRDefault="005634A1">
      <w:pPr>
        <w:jc w:val="both"/>
        <w:rPr>
          <w:rFonts w:ascii="Arial" w:hAnsi="Arial" w:cs="Arial"/>
          <w:b/>
          <w:i/>
          <w:iCs/>
        </w:rPr>
      </w:pPr>
      <w:r w:rsidRPr="00014883">
        <w:rPr>
          <w:rFonts w:ascii="Arial" w:hAnsi="Arial" w:cs="Arial"/>
          <w:b/>
          <w:i/>
          <w:iCs/>
        </w:rPr>
        <w:t>Table 10: Risk assessment based on mutagenic equivalence, average daily dose, and lifetime excess cancer risk for fish samples during dry season.</w:t>
      </w:r>
    </w:p>
    <w:tbl>
      <w:tblPr>
        <w:tblStyle w:val="TableGrid"/>
        <w:tblW w:w="679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116"/>
        <w:gridCol w:w="1030"/>
        <w:gridCol w:w="996"/>
        <w:gridCol w:w="1242"/>
      </w:tblGrid>
      <w:tr w:rsidR="00014883" w:rsidRPr="00014883">
        <w:tc>
          <w:tcPr>
            <w:tcW w:w="2409" w:type="dxa"/>
          </w:tcPr>
          <w:p w:rsidR="0019273F" w:rsidRPr="00014883" w:rsidRDefault="0019273F">
            <w:pPr>
              <w:rPr>
                <w:rFonts w:ascii="Arial" w:eastAsia="Calibri" w:hAnsi="Arial" w:cs="Arial"/>
                <w:bCs/>
                <w:sz w:val="20"/>
                <w:szCs w:val="20"/>
              </w:rPr>
            </w:pPr>
          </w:p>
        </w:tc>
        <w:tc>
          <w:tcPr>
            <w:tcW w:w="1116" w:type="dxa"/>
            <w:tcBorders>
              <w:top w:val="single" w:sz="4" w:space="0" w:color="auto"/>
              <w:bottom w:val="single" w:sz="4" w:space="0" w:color="auto"/>
            </w:tcBorders>
          </w:tcPr>
          <w:p w:rsidR="0019273F" w:rsidRPr="00014883" w:rsidRDefault="005634A1">
            <w:pPr>
              <w:rPr>
                <w:rFonts w:ascii="Arial" w:eastAsia="Calibri" w:hAnsi="Arial" w:cs="Arial"/>
                <w:b/>
                <w:bCs/>
                <w:sz w:val="20"/>
                <w:szCs w:val="20"/>
              </w:rPr>
            </w:pPr>
            <w:r w:rsidRPr="00014883">
              <w:rPr>
                <w:rFonts w:ascii="Arial" w:eastAsia="Calibri" w:hAnsi="Arial" w:cs="Arial"/>
                <w:b/>
                <w:bCs/>
                <w:sz w:val="20"/>
                <w:szCs w:val="20"/>
              </w:rPr>
              <w:t>Banegbe River</w:t>
            </w:r>
          </w:p>
        </w:tc>
        <w:tc>
          <w:tcPr>
            <w:tcW w:w="1030" w:type="dxa"/>
            <w:tcBorders>
              <w:top w:val="single" w:sz="4" w:space="0" w:color="auto"/>
              <w:bottom w:val="single" w:sz="4" w:space="0" w:color="auto"/>
            </w:tcBorders>
          </w:tcPr>
          <w:p w:rsidR="0019273F" w:rsidRPr="00014883" w:rsidRDefault="0019273F">
            <w:pPr>
              <w:rPr>
                <w:rFonts w:ascii="Arial" w:eastAsia="Calibri" w:hAnsi="Arial" w:cs="Arial"/>
                <w:b/>
                <w:bCs/>
                <w:sz w:val="20"/>
                <w:szCs w:val="20"/>
              </w:rPr>
            </w:pPr>
          </w:p>
        </w:tc>
        <w:tc>
          <w:tcPr>
            <w:tcW w:w="996" w:type="dxa"/>
            <w:tcBorders>
              <w:top w:val="single" w:sz="4" w:space="0" w:color="auto"/>
              <w:bottom w:val="single" w:sz="4" w:space="0" w:color="auto"/>
            </w:tcBorders>
          </w:tcPr>
          <w:p w:rsidR="0019273F" w:rsidRPr="00014883" w:rsidRDefault="0019273F">
            <w:pPr>
              <w:rPr>
                <w:rFonts w:ascii="Arial" w:eastAsia="Calibri" w:hAnsi="Arial" w:cs="Arial"/>
                <w:b/>
                <w:bCs/>
                <w:sz w:val="20"/>
                <w:szCs w:val="20"/>
              </w:rPr>
            </w:pPr>
          </w:p>
        </w:tc>
        <w:tc>
          <w:tcPr>
            <w:tcW w:w="1242" w:type="dxa"/>
            <w:tcBorders>
              <w:top w:val="single" w:sz="4" w:space="0" w:color="auto"/>
              <w:bottom w:val="single" w:sz="4" w:space="0" w:color="auto"/>
            </w:tcBorders>
          </w:tcPr>
          <w:p w:rsidR="0019273F" w:rsidRPr="00014883" w:rsidRDefault="005634A1">
            <w:pPr>
              <w:rPr>
                <w:rFonts w:ascii="Arial" w:eastAsia="Calibri" w:hAnsi="Arial" w:cs="Arial"/>
                <w:b/>
                <w:bCs/>
                <w:sz w:val="20"/>
                <w:szCs w:val="20"/>
              </w:rPr>
            </w:pPr>
            <w:r w:rsidRPr="00014883">
              <w:rPr>
                <w:rFonts w:ascii="Arial" w:eastAsia="Calibri" w:hAnsi="Arial" w:cs="Arial"/>
                <w:b/>
                <w:bCs/>
                <w:sz w:val="20"/>
                <w:szCs w:val="20"/>
              </w:rPr>
              <w:t>Reference (control) sites</w:t>
            </w:r>
          </w:p>
        </w:tc>
      </w:tr>
      <w:tr w:rsidR="00014883" w:rsidRPr="00014883">
        <w:tc>
          <w:tcPr>
            <w:tcW w:w="2409" w:type="dxa"/>
            <w:tcBorders>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Mutagenic equivalency (µg/kg)</w:t>
            </w:r>
          </w:p>
        </w:tc>
        <w:tc>
          <w:tcPr>
            <w:tcW w:w="1116"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Up-stream</w:t>
            </w:r>
          </w:p>
        </w:tc>
        <w:tc>
          <w:tcPr>
            <w:tcW w:w="1030"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Middle-stream</w:t>
            </w:r>
          </w:p>
        </w:tc>
        <w:tc>
          <w:tcPr>
            <w:tcW w:w="996"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Down-Stream</w:t>
            </w:r>
          </w:p>
        </w:tc>
        <w:tc>
          <w:tcPr>
            <w:tcW w:w="1242" w:type="dxa"/>
            <w:tcBorders>
              <w:top w:val="single" w:sz="4" w:space="0" w:color="auto"/>
              <w:bottom w:val="single" w:sz="4" w:space="0" w:color="auto"/>
            </w:tcBorders>
          </w:tcPr>
          <w:p w:rsidR="0019273F" w:rsidRPr="00014883" w:rsidRDefault="005634A1">
            <w:pPr>
              <w:rPr>
                <w:rFonts w:ascii="Arial" w:hAnsi="Arial" w:cs="Arial"/>
                <w:b/>
                <w:bCs/>
                <w:sz w:val="20"/>
                <w:szCs w:val="20"/>
              </w:rPr>
            </w:pPr>
            <w:r w:rsidRPr="00014883">
              <w:rPr>
                <w:rFonts w:ascii="Arial" w:hAnsi="Arial" w:cs="Arial"/>
                <w:b/>
                <w:bCs/>
                <w:sz w:val="20"/>
                <w:szCs w:val="20"/>
              </w:rPr>
              <w:t>Ekpan Pond</w:t>
            </w:r>
          </w:p>
        </w:tc>
      </w:tr>
      <w:tr w:rsidR="00014883" w:rsidRPr="00014883">
        <w:tc>
          <w:tcPr>
            <w:tcW w:w="2409" w:type="dxa"/>
            <w:tcBorders>
              <w:top w:val="single" w:sz="4" w:space="0" w:color="auto"/>
            </w:tcBorders>
          </w:tcPr>
          <w:p w:rsidR="0019273F" w:rsidRPr="00014883" w:rsidRDefault="005634A1">
            <w:pPr>
              <w:jc w:val="both"/>
              <w:rPr>
                <w:rFonts w:ascii="Arial" w:hAnsi="Arial" w:cs="Arial"/>
                <w:b/>
                <w:bCs/>
                <w:sz w:val="20"/>
                <w:szCs w:val="20"/>
              </w:rPr>
            </w:pPr>
            <w:r w:rsidRPr="00014883">
              <w:rPr>
                <w:rFonts w:ascii="Arial" w:eastAsia="Calibri" w:hAnsi="Arial" w:cs="Arial"/>
                <w:sz w:val="20"/>
                <w:szCs w:val="20"/>
              </w:rPr>
              <w:t>Benzo(a) anthracene</w:t>
            </w:r>
          </w:p>
        </w:tc>
        <w:tc>
          <w:tcPr>
            <w:tcW w:w="1116" w:type="dxa"/>
            <w:tcBorders>
              <w:top w:val="single" w:sz="4" w:space="0" w:color="auto"/>
            </w:tcBorders>
          </w:tcPr>
          <w:p w:rsidR="0019273F" w:rsidRPr="00014883" w:rsidRDefault="005634A1">
            <w:pPr>
              <w:jc w:val="both"/>
              <w:rPr>
                <w:rFonts w:ascii="Arial" w:hAnsi="Arial" w:cs="Arial"/>
                <w:sz w:val="20"/>
                <w:szCs w:val="20"/>
              </w:rPr>
            </w:pPr>
            <w:r w:rsidRPr="00014883">
              <w:rPr>
                <w:rFonts w:ascii="Arial" w:hAnsi="Arial" w:cs="Arial"/>
                <w:sz w:val="20"/>
                <w:szCs w:val="20"/>
              </w:rPr>
              <w:t>3.362</w:t>
            </w:r>
          </w:p>
        </w:tc>
        <w:tc>
          <w:tcPr>
            <w:tcW w:w="1030" w:type="dxa"/>
            <w:tcBorders>
              <w:top w:val="single" w:sz="4" w:space="0" w:color="auto"/>
            </w:tcBorders>
          </w:tcPr>
          <w:p w:rsidR="0019273F" w:rsidRPr="00014883" w:rsidRDefault="005634A1">
            <w:pPr>
              <w:jc w:val="both"/>
              <w:rPr>
                <w:rFonts w:ascii="Arial" w:hAnsi="Arial" w:cs="Arial"/>
                <w:sz w:val="20"/>
                <w:szCs w:val="20"/>
              </w:rPr>
            </w:pPr>
            <w:r w:rsidRPr="00014883">
              <w:rPr>
                <w:rFonts w:ascii="Arial" w:hAnsi="Arial" w:cs="Arial"/>
                <w:sz w:val="20"/>
                <w:szCs w:val="20"/>
              </w:rPr>
              <w:t>2.296</w:t>
            </w:r>
          </w:p>
        </w:tc>
        <w:tc>
          <w:tcPr>
            <w:tcW w:w="996" w:type="dxa"/>
            <w:tcBorders>
              <w:top w:val="single" w:sz="4" w:space="0" w:color="auto"/>
            </w:tcBorders>
          </w:tcPr>
          <w:p w:rsidR="0019273F" w:rsidRPr="00014883" w:rsidRDefault="005634A1">
            <w:pPr>
              <w:jc w:val="both"/>
              <w:rPr>
                <w:rFonts w:ascii="Arial" w:hAnsi="Arial" w:cs="Arial"/>
                <w:sz w:val="20"/>
                <w:szCs w:val="20"/>
              </w:rPr>
            </w:pPr>
            <w:r w:rsidRPr="00014883">
              <w:rPr>
                <w:rFonts w:ascii="Arial" w:hAnsi="Arial" w:cs="Arial"/>
                <w:sz w:val="20"/>
                <w:szCs w:val="20"/>
              </w:rPr>
              <w:t>0.738</w:t>
            </w:r>
          </w:p>
        </w:tc>
        <w:tc>
          <w:tcPr>
            <w:tcW w:w="1242" w:type="dxa"/>
            <w:tcBorders>
              <w:top w:val="single" w:sz="4" w:space="0" w:color="auto"/>
            </w:tcBorders>
          </w:tcPr>
          <w:p w:rsidR="0019273F" w:rsidRPr="00014883" w:rsidRDefault="005634A1">
            <w:pPr>
              <w:jc w:val="both"/>
              <w:rPr>
                <w:rFonts w:ascii="Arial" w:hAnsi="Arial" w:cs="Arial"/>
                <w:sz w:val="20"/>
                <w:szCs w:val="20"/>
              </w:rPr>
            </w:pPr>
            <w:r w:rsidRPr="00014883">
              <w:rPr>
                <w:rFonts w:ascii="Arial" w:hAnsi="Arial" w:cs="Arial"/>
                <w:sz w:val="20"/>
                <w:szCs w:val="20"/>
              </w:rPr>
              <w:t>9.348</w:t>
            </w:r>
          </w:p>
        </w:tc>
      </w:tr>
      <w:tr w:rsidR="00014883" w:rsidRPr="00014883">
        <w:tc>
          <w:tcPr>
            <w:tcW w:w="240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Benzo(b) fluoranthene</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1.00</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101.5</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69. 75</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28</w:t>
            </w:r>
          </w:p>
        </w:tc>
      </w:tr>
      <w:tr w:rsidR="00014883" w:rsidRPr="00014883">
        <w:tc>
          <w:tcPr>
            <w:tcW w:w="240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Benzo(k) fluoranthene</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0.22</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ND</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ND</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0.33</w:t>
            </w:r>
          </w:p>
        </w:tc>
      </w:tr>
      <w:tr w:rsidR="00014883" w:rsidRPr="00014883">
        <w:tc>
          <w:tcPr>
            <w:tcW w:w="240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Benzo(a)Pyrene</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3</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3</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ND</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32</w:t>
            </w:r>
          </w:p>
        </w:tc>
      </w:tr>
      <w:tr w:rsidR="00014883" w:rsidRPr="00014883">
        <w:tc>
          <w:tcPr>
            <w:tcW w:w="240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Dibenzo(a,h) anthracene</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0.31</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ND</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ND</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29.85</w:t>
            </w:r>
          </w:p>
        </w:tc>
      </w:tr>
      <w:tr w:rsidR="00014883" w:rsidRPr="00014883">
        <w:tc>
          <w:tcPr>
            <w:tcW w:w="240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 xml:space="preserve"> Chrysene</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0.255</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0.068</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0.136</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2.057</w:t>
            </w:r>
          </w:p>
        </w:tc>
      </w:tr>
      <w:tr w:rsidR="00014883" w:rsidRPr="00014883">
        <w:tc>
          <w:tcPr>
            <w:tcW w:w="240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Indeno (1,2,3,) perylene</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0.580</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ND</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ND</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0.0062</w:t>
            </w:r>
          </w:p>
        </w:tc>
      </w:tr>
      <w:tr w:rsidR="00014883" w:rsidRPr="00014883">
        <w:tc>
          <w:tcPr>
            <w:tcW w:w="2409" w:type="dxa"/>
          </w:tcPr>
          <w:p w:rsidR="0019273F" w:rsidRPr="00014883" w:rsidRDefault="005634A1">
            <w:pPr>
              <w:jc w:val="both"/>
              <w:rPr>
                <w:rFonts w:ascii="Arial" w:hAnsi="Arial" w:cs="Arial"/>
                <w:b/>
                <w:bCs/>
                <w:sz w:val="20"/>
                <w:szCs w:val="20"/>
              </w:rPr>
            </w:pPr>
            <w:r w:rsidRPr="00014883">
              <w:rPr>
                <w:rFonts w:ascii="Arial" w:hAnsi="Arial" w:cs="Arial"/>
                <w:sz w:val="20"/>
                <w:szCs w:val="20"/>
              </w:rPr>
              <w:t>ΣBaP MEQ</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8.727</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106.864</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70.624</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41.3812</w:t>
            </w:r>
          </w:p>
        </w:tc>
      </w:tr>
      <w:tr w:rsidR="00014883" w:rsidRPr="00014883">
        <w:tc>
          <w:tcPr>
            <w:tcW w:w="2409" w:type="dxa"/>
          </w:tcPr>
          <w:p w:rsidR="0019273F" w:rsidRPr="00014883" w:rsidRDefault="005634A1">
            <w:pPr>
              <w:jc w:val="both"/>
              <w:rPr>
                <w:rFonts w:ascii="Arial" w:hAnsi="Arial" w:cs="Arial"/>
                <w:b/>
                <w:bCs/>
                <w:sz w:val="20"/>
                <w:szCs w:val="20"/>
              </w:rPr>
            </w:pPr>
            <w:r w:rsidRPr="00014883">
              <w:rPr>
                <w:rFonts w:ascii="Arial" w:hAnsi="Arial" w:cs="Arial"/>
                <w:sz w:val="20"/>
                <w:szCs w:val="20"/>
              </w:rPr>
              <w:t>ΣBaP MEQ ADD</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0.004538</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0.0556</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0.03672</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0.0029848</w:t>
            </w:r>
          </w:p>
        </w:tc>
      </w:tr>
      <w:tr w:rsidR="00014883" w:rsidRPr="00014883">
        <w:trPr>
          <w:trHeight w:val="394"/>
        </w:trPr>
        <w:tc>
          <w:tcPr>
            <w:tcW w:w="2409" w:type="dxa"/>
          </w:tcPr>
          <w:p w:rsidR="0019273F" w:rsidRPr="00014883" w:rsidRDefault="0019273F">
            <w:pPr>
              <w:jc w:val="both"/>
              <w:rPr>
                <w:rFonts w:ascii="Arial" w:hAnsi="Arial" w:cs="Arial"/>
                <w:b/>
                <w:bCs/>
                <w:sz w:val="20"/>
                <w:szCs w:val="20"/>
              </w:rPr>
            </w:pPr>
          </w:p>
          <w:p w:rsidR="0019273F" w:rsidRPr="00014883" w:rsidRDefault="005634A1">
            <w:pPr>
              <w:jc w:val="both"/>
              <w:rPr>
                <w:rFonts w:ascii="Arial" w:hAnsi="Arial" w:cs="Arial"/>
                <w:b/>
                <w:bCs/>
                <w:sz w:val="20"/>
                <w:szCs w:val="20"/>
              </w:rPr>
            </w:pPr>
            <w:r w:rsidRPr="00014883">
              <w:rPr>
                <w:rFonts w:ascii="Arial" w:hAnsi="Arial" w:cs="Arial"/>
                <w:sz w:val="20"/>
                <w:szCs w:val="20"/>
              </w:rPr>
              <w:t>LECR</w:t>
            </w:r>
          </w:p>
        </w:tc>
        <w:tc>
          <w:tcPr>
            <w:tcW w:w="1116" w:type="dxa"/>
          </w:tcPr>
          <w:p w:rsidR="0019273F" w:rsidRPr="00014883" w:rsidRDefault="005634A1">
            <w:pPr>
              <w:jc w:val="both"/>
              <w:rPr>
                <w:rFonts w:ascii="Arial" w:hAnsi="Arial" w:cs="Arial"/>
                <w:sz w:val="20"/>
                <w:szCs w:val="20"/>
              </w:rPr>
            </w:pPr>
            <w:r w:rsidRPr="00014883">
              <w:rPr>
                <w:rFonts w:ascii="Arial" w:hAnsi="Arial" w:cs="Arial"/>
                <w:sz w:val="20"/>
                <w:szCs w:val="20"/>
              </w:rPr>
              <w:t>0.331277</w:t>
            </w:r>
          </w:p>
        </w:tc>
        <w:tc>
          <w:tcPr>
            <w:tcW w:w="1030" w:type="dxa"/>
          </w:tcPr>
          <w:p w:rsidR="0019273F" w:rsidRPr="00014883" w:rsidRDefault="005634A1">
            <w:pPr>
              <w:jc w:val="both"/>
              <w:rPr>
                <w:rFonts w:ascii="Arial" w:hAnsi="Arial" w:cs="Arial"/>
                <w:sz w:val="20"/>
                <w:szCs w:val="20"/>
              </w:rPr>
            </w:pPr>
            <w:r w:rsidRPr="00014883">
              <w:rPr>
                <w:rFonts w:ascii="Arial" w:hAnsi="Arial" w:cs="Arial"/>
                <w:sz w:val="20"/>
                <w:szCs w:val="20"/>
              </w:rPr>
              <w:t>0.40564</w:t>
            </w:r>
          </w:p>
        </w:tc>
        <w:tc>
          <w:tcPr>
            <w:tcW w:w="996" w:type="dxa"/>
          </w:tcPr>
          <w:p w:rsidR="0019273F" w:rsidRPr="00014883" w:rsidRDefault="005634A1">
            <w:pPr>
              <w:jc w:val="both"/>
              <w:rPr>
                <w:rFonts w:ascii="Arial" w:hAnsi="Arial" w:cs="Arial"/>
                <w:sz w:val="20"/>
                <w:szCs w:val="20"/>
              </w:rPr>
            </w:pPr>
            <w:r w:rsidRPr="00014883">
              <w:rPr>
                <w:rFonts w:ascii="Arial" w:hAnsi="Arial" w:cs="Arial"/>
                <w:sz w:val="20"/>
                <w:szCs w:val="20"/>
              </w:rPr>
              <w:t>0.26809</w:t>
            </w:r>
          </w:p>
        </w:tc>
        <w:tc>
          <w:tcPr>
            <w:tcW w:w="1242" w:type="dxa"/>
          </w:tcPr>
          <w:p w:rsidR="0019273F" w:rsidRPr="00014883" w:rsidRDefault="005634A1">
            <w:pPr>
              <w:jc w:val="both"/>
              <w:rPr>
                <w:rFonts w:ascii="Arial" w:hAnsi="Arial" w:cs="Arial"/>
                <w:sz w:val="20"/>
                <w:szCs w:val="20"/>
              </w:rPr>
            </w:pPr>
            <w:r w:rsidRPr="00014883">
              <w:rPr>
                <w:rFonts w:ascii="Arial" w:hAnsi="Arial" w:cs="Arial"/>
                <w:sz w:val="20"/>
                <w:szCs w:val="20"/>
              </w:rPr>
              <w:t>0. 021790</w:t>
            </w:r>
          </w:p>
        </w:tc>
      </w:tr>
    </w:tbl>
    <w:p w:rsidR="0019273F" w:rsidRPr="00014883" w:rsidRDefault="005634A1">
      <w:pPr>
        <w:spacing w:before="240"/>
        <w:jc w:val="both"/>
        <w:rPr>
          <w:rFonts w:ascii="Arial" w:hAnsi="Arial" w:cs="Arial"/>
          <w:b/>
          <w:i/>
          <w:iCs/>
        </w:rPr>
      </w:pPr>
      <w:r w:rsidRPr="00014883">
        <w:rPr>
          <w:rFonts w:ascii="Arial" w:hAnsi="Arial" w:cs="Arial"/>
          <w:b/>
          <w:i/>
          <w:iCs/>
        </w:rPr>
        <w:t>Carcinogenic toxicity (TEQ) and Mutagenic toxicity (MEQ) relative to Benzo (a) pyrene (B(a)P) equivalence for the consumption of PAHs contaminated fish during rainy season.</w:t>
      </w:r>
    </w:p>
    <w:p w:rsidR="0019273F" w:rsidRPr="00014883" w:rsidRDefault="005634A1">
      <w:pPr>
        <w:spacing w:before="240"/>
        <w:jc w:val="both"/>
        <w:rPr>
          <w:rFonts w:ascii="Arial" w:hAnsi="Arial" w:cs="Arial"/>
          <w:bCs/>
        </w:rPr>
      </w:pPr>
      <w:r w:rsidRPr="00014883">
        <w:rPr>
          <w:rFonts w:ascii="Arial" w:hAnsi="Arial" w:cs="Arial"/>
        </w:rPr>
        <w:t>The total TEQ</w:t>
      </w:r>
      <w:r w:rsidRPr="00014883">
        <w:rPr>
          <w:rFonts w:ascii="Arial" w:hAnsi="Arial" w:cs="Arial"/>
          <w:vertAlign w:val="subscript"/>
        </w:rPr>
        <w:t>B[a]P</w:t>
      </w:r>
      <w:r w:rsidRPr="00014883">
        <w:rPr>
          <w:rFonts w:ascii="Arial" w:hAnsi="Arial" w:cs="Arial"/>
        </w:rPr>
        <w:t xml:space="preserve"> and MEQ</w:t>
      </w:r>
      <w:r w:rsidRPr="00014883">
        <w:rPr>
          <w:rFonts w:ascii="Arial" w:hAnsi="Arial" w:cs="Arial"/>
          <w:vertAlign w:val="subscript"/>
        </w:rPr>
        <w:t>B[a]P</w:t>
      </w:r>
      <w:r w:rsidRPr="00014883">
        <w:rPr>
          <w:rFonts w:ascii="Arial" w:hAnsi="Arial" w:cs="Arial"/>
        </w:rPr>
        <w:t xml:space="preserve"> values using lifetime cancer risk were in the following increasing order of; down-stream &gt; middle-stream &gt;up-stream for TEQ</w:t>
      </w:r>
      <w:r w:rsidRPr="00014883">
        <w:rPr>
          <w:rFonts w:ascii="Arial" w:hAnsi="Arial" w:cs="Arial"/>
          <w:vertAlign w:val="subscript"/>
        </w:rPr>
        <w:t>B[a]P</w:t>
      </w:r>
      <w:r w:rsidRPr="00014883">
        <w:rPr>
          <w:rFonts w:ascii="Arial" w:hAnsi="Arial" w:cs="Arial"/>
        </w:rPr>
        <w:t>. For MEQ</w:t>
      </w:r>
      <w:r w:rsidRPr="00014883">
        <w:rPr>
          <w:rFonts w:ascii="Arial" w:hAnsi="Arial" w:cs="Arial"/>
          <w:vertAlign w:val="subscript"/>
        </w:rPr>
        <w:t>B[a]P,</w:t>
      </w:r>
      <w:r w:rsidRPr="00014883">
        <w:rPr>
          <w:rFonts w:ascii="Arial" w:hAnsi="Arial" w:cs="Arial"/>
        </w:rPr>
        <w:t xml:space="preserve"> the order was middle-stream &gt; downstream&gt; upstream. The TEQ</w:t>
      </w:r>
      <w:r w:rsidRPr="00014883">
        <w:rPr>
          <w:rFonts w:ascii="Arial" w:hAnsi="Arial" w:cs="Arial"/>
          <w:vertAlign w:val="subscript"/>
        </w:rPr>
        <w:t>B[a]P</w:t>
      </w:r>
      <w:r w:rsidRPr="00014883">
        <w:rPr>
          <w:rFonts w:ascii="Arial" w:hAnsi="Arial" w:cs="Arial"/>
        </w:rPr>
        <w:t xml:space="preserve"> and MEQ</w:t>
      </w:r>
      <w:r w:rsidRPr="00014883">
        <w:rPr>
          <w:rFonts w:ascii="Arial" w:hAnsi="Arial" w:cs="Arial"/>
          <w:vertAlign w:val="subscript"/>
        </w:rPr>
        <w:t>B[a]P</w:t>
      </w:r>
      <w:r w:rsidRPr="00014883">
        <w:rPr>
          <w:rFonts w:ascii="Arial" w:hAnsi="Arial" w:cs="Arial"/>
        </w:rPr>
        <w:t xml:space="preserve"> of all the sampled locations at Banegbe were all above </w:t>
      </w:r>
      <w:r w:rsidRPr="00014883">
        <w:rPr>
          <w:rFonts w:ascii="Arial" w:hAnsi="Arial" w:cs="Arial"/>
          <w:bCs/>
        </w:rPr>
        <w:t>the USEPA standard of 10</w:t>
      </w:r>
      <w:r w:rsidRPr="00014883">
        <w:rPr>
          <w:rFonts w:ascii="Arial" w:hAnsi="Arial" w:cs="Arial"/>
          <w:bCs/>
          <w:vertAlign w:val="superscript"/>
        </w:rPr>
        <w:t>-6,</w:t>
      </w:r>
      <w:r w:rsidRPr="00014883">
        <w:rPr>
          <w:rFonts w:ascii="Arial" w:hAnsi="Arial" w:cs="Arial"/>
          <w:bCs/>
        </w:rPr>
        <w:t xml:space="preserve"> as shown in Table 10</w:t>
      </w:r>
    </w:p>
    <w:p w:rsidR="0019273F" w:rsidRPr="00014883" w:rsidRDefault="0019273F">
      <w:pPr>
        <w:jc w:val="both"/>
        <w:rPr>
          <w:rFonts w:ascii="Arial" w:hAnsi="Arial" w:cs="Arial"/>
        </w:rPr>
      </w:pPr>
    </w:p>
    <w:p w:rsidR="0019273F" w:rsidRPr="00014883" w:rsidRDefault="0019273F">
      <w:pPr>
        <w:jc w:val="both"/>
        <w:rPr>
          <w:rFonts w:ascii="Arial" w:hAnsi="Arial" w:cs="Arial"/>
          <w:b/>
        </w:rPr>
      </w:pPr>
    </w:p>
    <w:p w:rsidR="0019273F" w:rsidRPr="00014883" w:rsidRDefault="005634A1">
      <w:pPr>
        <w:jc w:val="both"/>
        <w:rPr>
          <w:rFonts w:ascii="Arial" w:hAnsi="Arial" w:cs="Arial"/>
          <w:b/>
          <w:i/>
          <w:iCs/>
        </w:rPr>
      </w:pPr>
      <w:r w:rsidRPr="00014883">
        <w:rPr>
          <w:rFonts w:ascii="Arial" w:hAnsi="Arial" w:cs="Arial"/>
          <w:b/>
          <w:i/>
          <w:iCs/>
        </w:rPr>
        <w:t>Table 11: Risk assessment based on carcinogenic and mutagenic equivalence, average daily dose, and lifetime excess cancer risk for fish samples during the rainy season.</w:t>
      </w:r>
    </w:p>
    <w:tbl>
      <w:tblPr>
        <w:tblStyle w:val="TableGrid"/>
        <w:tblW w:w="9393" w:type="dxa"/>
        <w:tblInd w:w="-7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576"/>
        <w:gridCol w:w="1030"/>
        <w:gridCol w:w="996"/>
        <w:gridCol w:w="1416"/>
        <w:gridCol w:w="1030"/>
        <w:gridCol w:w="996"/>
      </w:tblGrid>
      <w:tr w:rsidR="00014883" w:rsidRPr="00014883">
        <w:tc>
          <w:tcPr>
            <w:tcW w:w="2349" w:type="dxa"/>
          </w:tcPr>
          <w:p w:rsidR="0019273F" w:rsidRPr="00014883" w:rsidRDefault="005634A1">
            <w:pPr>
              <w:jc w:val="both"/>
              <w:rPr>
                <w:rFonts w:ascii="Arial" w:hAnsi="Arial" w:cs="Arial"/>
                <w:b/>
                <w:bCs/>
                <w:sz w:val="20"/>
                <w:szCs w:val="20"/>
              </w:rPr>
            </w:pPr>
            <w:r w:rsidRPr="00014883">
              <w:rPr>
                <w:rFonts w:ascii="Arial" w:hAnsi="Arial" w:cs="Arial"/>
                <w:b/>
                <w:bCs/>
                <w:sz w:val="20"/>
                <w:szCs w:val="20"/>
              </w:rPr>
              <w:t>PAH Component</w:t>
            </w:r>
          </w:p>
          <w:p w:rsidR="0019273F" w:rsidRPr="00014883" w:rsidRDefault="0019273F">
            <w:pPr>
              <w:rPr>
                <w:rFonts w:ascii="Arial" w:eastAsia="Calibri" w:hAnsi="Arial" w:cs="Arial"/>
                <w:b/>
                <w:bCs/>
                <w:sz w:val="20"/>
                <w:szCs w:val="20"/>
              </w:rPr>
            </w:pPr>
          </w:p>
        </w:tc>
        <w:tc>
          <w:tcPr>
            <w:tcW w:w="1576"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Up-stream</w:t>
            </w:r>
          </w:p>
        </w:tc>
        <w:tc>
          <w:tcPr>
            <w:tcW w:w="1030"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Middle-stream</w:t>
            </w:r>
          </w:p>
        </w:tc>
        <w:tc>
          <w:tcPr>
            <w:tcW w:w="996"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Down-Stream</w:t>
            </w:r>
          </w:p>
        </w:tc>
        <w:tc>
          <w:tcPr>
            <w:tcW w:w="1416"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Up-stream</w:t>
            </w:r>
          </w:p>
        </w:tc>
        <w:tc>
          <w:tcPr>
            <w:tcW w:w="1030"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Middle-stream</w:t>
            </w:r>
          </w:p>
        </w:tc>
        <w:tc>
          <w:tcPr>
            <w:tcW w:w="996" w:type="dxa"/>
            <w:tcBorders>
              <w:top w:val="single" w:sz="4" w:space="0" w:color="auto"/>
              <w:bottom w:val="single" w:sz="4" w:space="0" w:color="auto"/>
            </w:tcBorders>
          </w:tcPr>
          <w:p w:rsidR="0019273F" w:rsidRPr="00014883" w:rsidRDefault="005634A1">
            <w:pPr>
              <w:jc w:val="both"/>
              <w:rPr>
                <w:rFonts w:ascii="Arial" w:hAnsi="Arial" w:cs="Arial"/>
                <w:b/>
                <w:bCs/>
                <w:sz w:val="20"/>
                <w:szCs w:val="20"/>
              </w:rPr>
            </w:pPr>
            <w:r w:rsidRPr="00014883">
              <w:rPr>
                <w:rFonts w:ascii="Arial" w:hAnsi="Arial" w:cs="Arial"/>
                <w:b/>
                <w:bCs/>
                <w:sz w:val="20"/>
                <w:szCs w:val="20"/>
              </w:rPr>
              <w:t>Down-Stream</w:t>
            </w:r>
          </w:p>
        </w:tc>
      </w:tr>
      <w:tr w:rsidR="00014883" w:rsidRPr="00014883">
        <w:tc>
          <w:tcPr>
            <w:tcW w:w="2349" w:type="dxa"/>
            <w:tcBorders>
              <w:bottom w:val="single" w:sz="4" w:space="0" w:color="auto"/>
            </w:tcBorders>
          </w:tcPr>
          <w:p w:rsidR="0019273F" w:rsidRPr="00014883" w:rsidRDefault="0019273F">
            <w:pPr>
              <w:rPr>
                <w:rFonts w:ascii="Arial" w:eastAsia="Calibri" w:hAnsi="Arial" w:cs="Arial"/>
                <w:bCs/>
                <w:sz w:val="20"/>
                <w:szCs w:val="20"/>
              </w:rPr>
            </w:pPr>
          </w:p>
        </w:tc>
        <w:tc>
          <w:tcPr>
            <w:tcW w:w="1576" w:type="dxa"/>
            <w:tcBorders>
              <w:top w:val="single" w:sz="4" w:space="0" w:color="auto"/>
              <w:bottom w:val="single" w:sz="4" w:space="0" w:color="auto"/>
            </w:tcBorders>
          </w:tcPr>
          <w:p w:rsidR="0019273F" w:rsidRPr="00014883" w:rsidRDefault="005634A1">
            <w:pPr>
              <w:rPr>
                <w:rFonts w:ascii="Arial" w:eastAsia="Calibri" w:hAnsi="Arial" w:cs="Arial"/>
                <w:b/>
                <w:bCs/>
                <w:sz w:val="20"/>
                <w:szCs w:val="20"/>
              </w:rPr>
            </w:pPr>
            <w:r w:rsidRPr="00014883">
              <w:rPr>
                <w:rFonts w:ascii="Arial" w:hAnsi="Arial" w:cs="Arial"/>
                <w:b/>
                <w:bCs/>
                <w:sz w:val="20"/>
                <w:szCs w:val="20"/>
              </w:rPr>
              <w:t>Carcinogenic equivalence</w:t>
            </w:r>
          </w:p>
        </w:tc>
        <w:tc>
          <w:tcPr>
            <w:tcW w:w="1030" w:type="dxa"/>
            <w:tcBorders>
              <w:top w:val="single" w:sz="4" w:space="0" w:color="auto"/>
              <w:bottom w:val="single" w:sz="4" w:space="0" w:color="auto"/>
            </w:tcBorders>
          </w:tcPr>
          <w:p w:rsidR="0019273F" w:rsidRPr="00014883" w:rsidRDefault="0019273F">
            <w:pPr>
              <w:rPr>
                <w:rFonts w:ascii="Arial" w:eastAsia="Calibri" w:hAnsi="Arial" w:cs="Arial"/>
                <w:b/>
                <w:bCs/>
                <w:sz w:val="20"/>
                <w:szCs w:val="20"/>
              </w:rPr>
            </w:pPr>
          </w:p>
        </w:tc>
        <w:tc>
          <w:tcPr>
            <w:tcW w:w="996" w:type="dxa"/>
            <w:tcBorders>
              <w:top w:val="single" w:sz="4" w:space="0" w:color="auto"/>
              <w:bottom w:val="single" w:sz="4" w:space="0" w:color="auto"/>
            </w:tcBorders>
          </w:tcPr>
          <w:p w:rsidR="0019273F" w:rsidRPr="00014883" w:rsidRDefault="0019273F">
            <w:pPr>
              <w:rPr>
                <w:rFonts w:ascii="Arial" w:eastAsia="Calibri" w:hAnsi="Arial" w:cs="Arial"/>
                <w:b/>
                <w:bCs/>
                <w:sz w:val="20"/>
                <w:szCs w:val="20"/>
              </w:rPr>
            </w:pPr>
          </w:p>
        </w:tc>
        <w:tc>
          <w:tcPr>
            <w:tcW w:w="1416" w:type="dxa"/>
            <w:tcBorders>
              <w:top w:val="single" w:sz="4" w:space="0" w:color="auto"/>
              <w:bottom w:val="single" w:sz="4" w:space="0" w:color="auto"/>
            </w:tcBorders>
          </w:tcPr>
          <w:p w:rsidR="0019273F" w:rsidRPr="00014883" w:rsidRDefault="005634A1">
            <w:pPr>
              <w:rPr>
                <w:rFonts w:ascii="Arial" w:eastAsia="Calibri" w:hAnsi="Arial" w:cs="Arial"/>
                <w:b/>
                <w:bCs/>
                <w:sz w:val="20"/>
                <w:szCs w:val="20"/>
              </w:rPr>
            </w:pPr>
            <w:r w:rsidRPr="00014883">
              <w:rPr>
                <w:rFonts w:ascii="Arial" w:hAnsi="Arial" w:cs="Arial"/>
                <w:b/>
                <w:bCs/>
                <w:sz w:val="20"/>
                <w:szCs w:val="20"/>
              </w:rPr>
              <w:t>Mutagenic equivalence</w:t>
            </w:r>
          </w:p>
        </w:tc>
        <w:tc>
          <w:tcPr>
            <w:tcW w:w="1030" w:type="dxa"/>
            <w:tcBorders>
              <w:top w:val="single" w:sz="4" w:space="0" w:color="auto"/>
              <w:bottom w:val="single" w:sz="4" w:space="0" w:color="auto"/>
            </w:tcBorders>
          </w:tcPr>
          <w:p w:rsidR="0019273F" w:rsidRPr="00014883" w:rsidRDefault="0019273F">
            <w:pPr>
              <w:rPr>
                <w:rFonts w:ascii="Arial" w:eastAsia="Calibri" w:hAnsi="Arial" w:cs="Arial"/>
                <w:b/>
                <w:sz w:val="20"/>
                <w:szCs w:val="20"/>
              </w:rPr>
            </w:pPr>
          </w:p>
        </w:tc>
        <w:tc>
          <w:tcPr>
            <w:tcW w:w="996" w:type="dxa"/>
            <w:tcBorders>
              <w:top w:val="single" w:sz="4" w:space="0" w:color="auto"/>
              <w:bottom w:val="single" w:sz="4" w:space="0" w:color="auto"/>
            </w:tcBorders>
          </w:tcPr>
          <w:p w:rsidR="0019273F" w:rsidRPr="00014883" w:rsidRDefault="0019273F">
            <w:pPr>
              <w:rPr>
                <w:rFonts w:ascii="Arial" w:eastAsia="Calibri" w:hAnsi="Arial" w:cs="Arial"/>
                <w:b/>
                <w:sz w:val="20"/>
                <w:szCs w:val="20"/>
              </w:rPr>
            </w:pPr>
          </w:p>
        </w:tc>
      </w:tr>
      <w:tr w:rsidR="00014883" w:rsidRPr="00014883">
        <w:tc>
          <w:tcPr>
            <w:tcW w:w="2349" w:type="dxa"/>
            <w:tcBorders>
              <w:top w:val="single" w:sz="4" w:space="0" w:color="auto"/>
            </w:tcBorders>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Naphthalene</w:t>
            </w:r>
          </w:p>
        </w:tc>
        <w:tc>
          <w:tcPr>
            <w:tcW w:w="1576"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0.002</w:t>
            </w:r>
          </w:p>
        </w:tc>
        <w:tc>
          <w:tcPr>
            <w:tcW w:w="1030"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416"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Borders>
              <w:top w:val="single" w:sz="4" w:space="0" w:color="auto"/>
            </w:tcBorders>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Acenaphthylene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0.034</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0.013</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0.027</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Acenaphthene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0.008</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0.037</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0.029</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Florene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0.003</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0.085</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Phenanthrene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0.010</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0.019</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Anthracene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0.34</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0.23</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Fluoranthene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0.008</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0.004</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0.28</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Pyrene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0.012</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0.017</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0.016</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Benzo(a) anthracene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0.3</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24</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1.4</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0.246</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1.968</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1.148</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Chrysene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0.007</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0.004</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0.013</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0.119</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0.064</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2.21</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Benzo(b) fluoranthene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0.02</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1.70</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0.5</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0.5</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4.25</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Benzo(a)pyrene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53</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53</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Benzo(k)fluoranthene</w:t>
            </w:r>
          </w:p>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Fluoranthene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0.33</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0.33</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lastRenderedPageBreak/>
              <w:t>Indeno(1,2,3) perylene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0.5</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1.55</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Dibenzo(a,h) anthracene</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BaP TEQ and MTQ</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0.584</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78.235</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3.799</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0.865</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57.412</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7.608</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BaPTEQ and   ADD</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0.00030</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0.04068</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0.00197</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0.00045</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0.02985</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0.00396</w:t>
            </w:r>
          </w:p>
        </w:tc>
      </w:tr>
      <w:tr w:rsidR="00014883" w:rsidRPr="00014883">
        <w:tc>
          <w:tcPr>
            <w:tcW w:w="2349" w:type="dxa"/>
          </w:tcPr>
          <w:p w:rsidR="0019273F" w:rsidRPr="00014883" w:rsidRDefault="005634A1">
            <w:pPr>
              <w:pStyle w:val="NoSpacing"/>
              <w:jc w:val="both"/>
              <w:rPr>
                <w:rFonts w:ascii="Arial" w:hAnsi="Arial" w:cs="Arial"/>
                <w:b/>
                <w:bCs/>
                <w:sz w:val="20"/>
                <w:szCs w:val="20"/>
              </w:rPr>
            </w:pPr>
            <w:r w:rsidRPr="00014883">
              <w:rPr>
                <w:rFonts w:ascii="Arial" w:hAnsi="Arial" w:cs="Arial"/>
                <w:sz w:val="20"/>
                <w:szCs w:val="20"/>
              </w:rPr>
              <w:t>(LCR)</w:t>
            </w:r>
          </w:p>
        </w:tc>
        <w:tc>
          <w:tcPr>
            <w:tcW w:w="157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0.00222</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0.29698</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0.01442</w:t>
            </w:r>
          </w:p>
        </w:tc>
        <w:tc>
          <w:tcPr>
            <w:tcW w:w="141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0.00329</w:t>
            </w:r>
          </w:p>
        </w:tc>
        <w:tc>
          <w:tcPr>
            <w:tcW w:w="1030"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0.2179</w:t>
            </w:r>
          </w:p>
        </w:tc>
        <w:tc>
          <w:tcPr>
            <w:tcW w:w="996" w:type="dxa"/>
          </w:tcPr>
          <w:p w:rsidR="0019273F" w:rsidRPr="00014883" w:rsidRDefault="005634A1">
            <w:pPr>
              <w:rPr>
                <w:rFonts w:ascii="Arial" w:eastAsia="Calibri" w:hAnsi="Arial" w:cs="Arial"/>
                <w:sz w:val="20"/>
                <w:szCs w:val="20"/>
              </w:rPr>
            </w:pPr>
            <w:r w:rsidRPr="00014883">
              <w:rPr>
                <w:rFonts w:ascii="Arial" w:eastAsia="Calibri" w:hAnsi="Arial" w:cs="Arial"/>
                <w:sz w:val="20"/>
                <w:szCs w:val="20"/>
              </w:rPr>
              <w:t>0.2888</w:t>
            </w:r>
          </w:p>
        </w:tc>
      </w:tr>
      <w:tr w:rsidR="00014883" w:rsidRPr="00014883">
        <w:tc>
          <w:tcPr>
            <w:tcW w:w="2349" w:type="dxa"/>
          </w:tcPr>
          <w:p w:rsidR="0019273F" w:rsidRPr="00014883" w:rsidRDefault="0019273F">
            <w:pPr>
              <w:rPr>
                <w:rFonts w:ascii="Arial" w:eastAsia="Calibri" w:hAnsi="Arial" w:cs="Arial"/>
                <w:bCs/>
                <w:sz w:val="20"/>
                <w:szCs w:val="20"/>
              </w:rPr>
            </w:pPr>
          </w:p>
        </w:tc>
        <w:tc>
          <w:tcPr>
            <w:tcW w:w="1576" w:type="dxa"/>
          </w:tcPr>
          <w:p w:rsidR="0019273F" w:rsidRPr="00014883" w:rsidRDefault="0019273F">
            <w:pPr>
              <w:rPr>
                <w:rFonts w:ascii="Arial" w:eastAsia="Calibri" w:hAnsi="Arial" w:cs="Arial"/>
                <w:b/>
                <w:sz w:val="20"/>
                <w:szCs w:val="20"/>
              </w:rPr>
            </w:pPr>
          </w:p>
        </w:tc>
        <w:tc>
          <w:tcPr>
            <w:tcW w:w="1030" w:type="dxa"/>
          </w:tcPr>
          <w:p w:rsidR="0019273F" w:rsidRPr="00014883" w:rsidRDefault="0019273F">
            <w:pPr>
              <w:rPr>
                <w:rFonts w:ascii="Arial" w:eastAsia="Calibri" w:hAnsi="Arial" w:cs="Arial"/>
                <w:b/>
                <w:sz w:val="20"/>
                <w:szCs w:val="20"/>
              </w:rPr>
            </w:pPr>
          </w:p>
        </w:tc>
        <w:tc>
          <w:tcPr>
            <w:tcW w:w="996" w:type="dxa"/>
          </w:tcPr>
          <w:p w:rsidR="0019273F" w:rsidRPr="00014883" w:rsidRDefault="0019273F">
            <w:pPr>
              <w:rPr>
                <w:rFonts w:ascii="Arial" w:eastAsia="Calibri" w:hAnsi="Arial" w:cs="Arial"/>
                <w:b/>
                <w:sz w:val="20"/>
                <w:szCs w:val="20"/>
              </w:rPr>
            </w:pPr>
          </w:p>
        </w:tc>
        <w:tc>
          <w:tcPr>
            <w:tcW w:w="1416" w:type="dxa"/>
          </w:tcPr>
          <w:p w:rsidR="0019273F" w:rsidRPr="00014883" w:rsidRDefault="0019273F">
            <w:pPr>
              <w:rPr>
                <w:rFonts w:ascii="Arial" w:eastAsia="Calibri" w:hAnsi="Arial" w:cs="Arial"/>
                <w:b/>
                <w:sz w:val="20"/>
                <w:szCs w:val="20"/>
              </w:rPr>
            </w:pPr>
          </w:p>
        </w:tc>
        <w:tc>
          <w:tcPr>
            <w:tcW w:w="1030" w:type="dxa"/>
          </w:tcPr>
          <w:p w:rsidR="0019273F" w:rsidRPr="00014883" w:rsidRDefault="0019273F">
            <w:pPr>
              <w:rPr>
                <w:rFonts w:ascii="Arial" w:eastAsia="Calibri" w:hAnsi="Arial" w:cs="Arial"/>
                <w:b/>
                <w:sz w:val="20"/>
                <w:szCs w:val="20"/>
              </w:rPr>
            </w:pPr>
          </w:p>
        </w:tc>
        <w:tc>
          <w:tcPr>
            <w:tcW w:w="996" w:type="dxa"/>
          </w:tcPr>
          <w:p w:rsidR="0019273F" w:rsidRPr="00014883" w:rsidRDefault="0019273F">
            <w:pPr>
              <w:rPr>
                <w:rFonts w:ascii="Arial" w:eastAsia="Calibri" w:hAnsi="Arial" w:cs="Arial"/>
                <w:b/>
                <w:sz w:val="20"/>
                <w:szCs w:val="20"/>
              </w:rPr>
            </w:pPr>
          </w:p>
        </w:tc>
      </w:tr>
    </w:tbl>
    <w:p w:rsidR="0019273F" w:rsidRPr="00014883" w:rsidRDefault="0019273F">
      <w:pPr>
        <w:jc w:val="both"/>
        <w:rPr>
          <w:rFonts w:ascii="Arial" w:hAnsi="Arial" w:cs="Arial"/>
          <w:lang w:eastAsia="zh-CN"/>
        </w:rPr>
      </w:pPr>
    </w:p>
    <w:p w:rsidR="0019273F" w:rsidRPr="00014883" w:rsidRDefault="005634A1">
      <w:pPr>
        <w:autoSpaceDE w:val="0"/>
        <w:autoSpaceDN w:val="0"/>
        <w:adjustRightInd w:val="0"/>
        <w:rPr>
          <w:rFonts w:ascii="Arial" w:hAnsi="Arial" w:cs="Arial"/>
          <w:b/>
        </w:rPr>
      </w:pPr>
      <w:r w:rsidRPr="00014883">
        <w:rPr>
          <w:rFonts w:ascii="Arial" w:hAnsi="Arial" w:cs="Arial"/>
          <w:b/>
        </w:rPr>
        <w:t xml:space="preserve">3.2 Discussion </w:t>
      </w:r>
    </w:p>
    <w:p w:rsidR="0019273F" w:rsidRPr="00014883" w:rsidRDefault="0019273F">
      <w:pPr>
        <w:autoSpaceDE w:val="0"/>
        <w:autoSpaceDN w:val="0"/>
        <w:adjustRightInd w:val="0"/>
        <w:rPr>
          <w:rFonts w:ascii="Arial" w:hAnsi="Arial" w:cs="Arial"/>
          <w:b/>
        </w:rPr>
      </w:pPr>
    </w:p>
    <w:p w:rsidR="0019273F" w:rsidRPr="00014883" w:rsidRDefault="005634A1">
      <w:pPr>
        <w:spacing w:after="240"/>
        <w:jc w:val="both"/>
        <w:rPr>
          <w:rFonts w:ascii="Arial" w:hAnsi="Arial" w:cs="Arial"/>
        </w:rPr>
      </w:pPr>
      <w:r w:rsidRPr="00014883">
        <w:rPr>
          <w:rFonts w:ascii="Arial" w:hAnsi="Arial" w:cs="Arial"/>
        </w:rPr>
        <w:t>Analysis of results</w:t>
      </w:r>
    </w:p>
    <w:p w:rsidR="0019273F" w:rsidRPr="00014883" w:rsidRDefault="005634A1">
      <w:pPr>
        <w:spacing w:after="240"/>
        <w:jc w:val="both"/>
        <w:rPr>
          <w:rFonts w:ascii="Arial" w:hAnsi="Arial" w:cs="Arial"/>
        </w:rPr>
      </w:pPr>
      <w:r w:rsidRPr="00014883">
        <w:rPr>
          <w:rFonts w:ascii="Arial" w:hAnsi="Arial" w:cs="Arial"/>
        </w:rPr>
        <w:t xml:space="preserve">The presence of PAHs in Banegbe River water is an indication of contamination from those industries located along the river, which channelled their effluent into the river. From our results Fourteen out of sixteen priority PAHs listed by USEPA as hazardous were detected in all the different locations in Banegbe river water with most of 4 and 6 ringed PAHs, which are potential cancer-causing chemical present in them. Benzo(a) anthracene had the highest PAHs concentration in Banegbe river while benzo (b) flouranthrene was highest in fish during dry season Agbozu </w:t>
      </w:r>
      <w:r w:rsidRPr="00014883">
        <w:rPr>
          <w:rFonts w:ascii="Arial" w:hAnsi="Arial" w:cs="Arial"/>
          <w:i/>
        </w:rPr>
        <w:t>et al</w:t>
      </w:r>
      <w:r w:rsidRPr="00014883">
        <w:rPr>
          <w:rFonts w:ascii="Arial" w:hAnsi="Arial" w:cs="Arial"/>
        </w:rPr>
        <w:t xml:space="preserve">., (2020) detected 50 percentage of four and six-ringed PAHs compounds in the Ethiope River, which is similar to our result. The Ekpan pond water was found to contain all the sixteen PAHs which includes naphthalene, acenaphthylene, acenaphthene, fluorene, phenanthrene, anthracene, fluoranthene, pyrene, benzo (a) anthracene, chysene, benzo (a) pyrene, benzo (b) fluoranthene, indeno (1,2,3, cd) pyrene, benzo (k) fluoranthene, Benzo (g, h, i) perylene, dibenzo (a,h) anthracene. The last seven PAHs mentioned have been said to be probable human carcinogens. These PAHs warrant reasonable regulation and remediation. The concentration of PAHs at different points of the Banegbe River and pond water were higher when compared with recommended permissible limit of fresh water guidelines of 50 ng/L, 0.002 mg/L and 0.003 mg/L by WHO 1998, USEPA, 1996 and ANZECC, 2000, respectively. Concentrations above 50 ng/L indicate contamination by PAHs mainly through industrial point sources. PAH levels in uncontaminated groundwater are usually in the range of 0-5ng/l (Stuermer </w:t>
      </w:r>
      <w:r w:rsidRPr="00014883">
        <w:rPr>
          <w:rFonts w:ascii="Arial" w:hAnsi="Arial" w:cs="Arial"/>
          <w:i/>
        </w:rPr>
        <w:t>et al.,</w:t>
      </w:r>
      <w:r w:rsidRPr="00014883">
        <w:rPr>
          <w:rFonts w:ascii="Arial" w:hAnsi="Arial" w:cs="Arial"/>
        </w:rPr>
        <w:t xml:space="preserve"> 1982).</w:t>
      </w:r>
    </w:p>
    <w:p w:rsidR="0019273F" w:rsidRPr="00014883" w:rsidRDefault="005634A1">
      <w:pPr>
        <w:spacing w:after="240"/>
        <w:jc w:val="both"/>
        <w:rPr>
          <w:rFonts w:ascii="Arial" w:hAnsi="Arial" w:cs="Arial"/>
        </w:rPr>
      </w:pPr>
      <w:r w:rsidRPr="00014883">
        <w:rPr>
          <w:rFonts w:ascii="Arial" w:hAnsi="Arial" w:cs="Arial"/>
        </w:rPr>
        <w:t>Comparison with other studies</w:t>
      </w:r>
    </w:p>
    <w:p w:rsidR="0019273F" w:rsidRPr="00014883" w:rsidRDefault="005634A1">
      <w:pPr>
        <w:spacing w:after="240"/>
        <w:jc w:val="both"/>
        <w:rPr>
          <w:rFonts w:ascii="Arial" w:hAnsi="Arial" w:cs="Arial"/>
        </w:rPr>
      </w:pPr>
      <w:r w:rsidRPr="00014883">
        <w:rPr>
          <w:rFonts w:ascii="Arial" w:hAnsi="Arial" w:cs="Arial"/>
        </w:rPr>
        <w:t xml:space="preserve"> Our present study is in line with other researchers who observed the presence of PAHs in different rivers in Nigeria, which were above the WHO limit of 50ng/l.  Davies and Abolude (2016) reported the presence of PAHs in the Oburun Lake Niger Delta, Nigeria with a concentration higher than this present study which was attributed to pyrolytic sources. Also, Nwineewii and Abiye (2015) detected higher PAH concentrations when compared to our results in some creeks of southeast in River state was also as a result of incomplete combustion of PAH containing materials respectively.</w:t>
      </w:r>
    </w:p>
    <w:p w:rsidR="0019273F" w:rsidRPr="00014883" w:rsidRDefault="005634A1">
      <w:pPr>
        <w:spacing w:after="240"/>
        <w:jc w:val="both"/>
        <w:rPr>
          <w:rFonts w:ascii="Arial" w:hAnsi="Arial" w:cs="Arial"/>
        </w:rPr>
      </w:pPr>
      <w:r w:rsidRPr="00014883">
        <w:rPr>
          <w:rFonts w:ascii="Arial" w:hAnsi="Arial" w:cs="Arial"/>
        </w:rPr>
        <w:t xml:space="preserve">Nnwachukwu </w:t>
      </w:r>
      <w:r w:rsidRPr="00014883">
        <w:rPr>
          <w:rFonts w:ascii="Arial" w:hAnsi="Arial" w:cs="Arial"/>
          <w:i/>
        </w:rPr>
        <w:t>et al.,</w:t>
      </w:r>
      <w:r w:rsidRPr="00014883">
        <w:rPr>
          <w:rFonts w:ascii="Arial" w:hAnsi="Arial" w:cs="Arial"/>
        </w:rPr>
        <w:t xml:space="preserve"> (2016) reported a total lower PAH concentration in River Niger and Benue confluence, Lokoja when compared with our present study, with only six PAH (Nap, Ph, BbF, BkF and BaP) detected. Also, Obiakor </w:t>
      </w:r>
      <w:r w:rsidRPr="00014883">
        <w:rPr>
          <w:rFonts w:ascii="Arial" w:hAnsi="Arial" w:cs="Arial"/>
          <w:i/>
        </w:rPr>
        <w:t>et al</w:t>
      </w:r>
      <w:r w:rsidRPr="00014883">
        <w:rPr>
          <w:rFonts w:ascii="Arial" w:hAnsi="Arial" w:cs="Arial"/>
        </w:rPr>
        <w:t>., (2014) reported a lower total concentration of PAHs in a freshwater media. I</w:t>
      </w:r>
      <w:r w:rsidRPr="00014883">
        <w:rPr>
          <w:rFonts w:ascii="Arial" w:eastAsia="Georgia" w:hAnsi="Arial" w:cs="Arial"/>
        </w:rPr>
        <w:t xml:space="preserve">hunwo </w:t>
      </w:r>
      <w:r w:rsidRPr="00014883">
        <w:rPr>
          <w:rFonts w:ascii="Arial" w:eastAsia="Georgia" w:hAnsi="Arial" w:cs="Arial"/>
          <w:i/>
          <w:iCs/>
        </w:rPr>
        <w:t>et al</w:t>
      </w:r>
      <w:r w:rsidRPr="00014883">
        <w:rPr>
          <w:rFonts w:ascii="Arial" w:eastAsia="Georgia" w:hAnsi="Arial" w:cs="Arial"/>
        </w:rPr>
        <w:t>. (2029)found up to eleven PAHs in the waters of Woji Creeks. The concentrations of PAHs in the water samples ranged between 6.029 and 29.257 ppm  over a 3 –month period.</w:t>
      </w:r>
    </w:p>
    <w:p w:rsidR="0019273F" w:rsidRPr="00014883" w:rsidRDefault="005634A1">
      <w:pPr>
        <w:spacing w:after="240"/>
        <w:jc w:val="both"/>
        <w:rPr>
          <w:rFonts w:ascii="Arial" w:hAnsi="Arial" w:cs="Arial"/>
        </w:rPr>
      </w:pPr>
      <w:r w:rsidRPr="00014883">
        <w:rPr>
          <w:rFonts w:ascii="Arial" w:hAnsi="Arial" w:cs="Arial"/>
        </w:rPr>
        <w:t xml:space="preserve">From our current result, Naphthalene and benzo (g h i) were below detectable levels at all sampled points in the Banegbe River. This was in line with the studies of Agbozu </w:t>
      </w:r>
      <w:r w:rsidRPr="00014883">
        <w:rPr>
          <w:rFonts w:ascii="Arial" w:hAnsi="Arial" w:cs="Arial"/>
          <w:i/>
        </w:rPr>
        <w:t>et al.,</w:t>
      </w:r>
      <w:r w:rsidRPr="00014883">
        <w:rPr>
          <w:rFonts w:ascii="Arial" w:hAnsi="Arial" w:cs="Arial"/>
        </w:rPr>
        <w:t xml:space="preserve"> 2020 in the Ethiope River. And   Ibigbami </w:t>
      </w:r>
      <w:r w:rsidRPr="00014883">
        <w:rPr>
          <w:rFonts w:ascii="Arial" w:hAnsi="Arial" w:cs="Arial"/>
          <w:i/>
        </w:rPr>
        <w:t>et al.,</w:t>
      </w:r>
      <w:r w:rsidRPr="00014883">
        <w:rPr>
          <w:rFonts w:ascii="Arial" w:hAnsi="Arial" w:cs="Arial"/>
        </w:rPr>
        <w:t xml:space="preserve"> 2020 in Egbe dam southwestern Nigeria with naphthalene not detected both studies.  Consequently, many common PAHs have short </w:t>
      </w:r>
      <w:r w:rsidRPr="00014883">
        <w:rPr>
          <w:rFonts w:ascii="Arial" w:hAnsi="Arial" w:cs="Arial"/>
        </w:rPr>
        <w:lastRenderedPageBreak/>
        <w:t xml:space="preserve">residence time in the water column due to volatilization, oxidation, and elimination from the system (Qiu </w:t>
      </w:r>
      <w:r w:rsidRPr="00014883">
        <w:rPr>
          <w:rFonts w:ascii="Arial" w:hAnsi="Arial" w:cs="Arial"/>
          <w:i/>
        </w:rPr>
        <w:t>et al</w:t>
      </w:r>
      <w:r w:rsidRPr="00014883">
        <w:rPr>
          <w:rFonts w:ascii="Arial" w:hAnsi="Arial" w:cs="Arial"/>
        </w:rPr>
        <w:t>., 2009). Their presence in water and other media connotes acute or chronic pollution and provides a link to possible human exposure and subsequent toxicity. The presence of these PAHs, especially Benzo(a) anthracene and benzo (a) pyrene at different points in the Banegbe river can pose a risk to the users of Banegbe river water as drinking and cooking water. The International Agencies for Research on Cancer (IARC) identified benzo (a) anthracene and benzo (a) pyrene as possible carcinogens to humans (IARC, 2002). The U.S Environmental Protection Agency has established drinking water criteria for benzo (a) pyrene, not to exceed 200ng/L (USEPA,1996).  The Banegbe River, used as a source of drinking water for most of the population of the communities around, has 1.062mg/l and 0.107mg/l of benzo (a) anthracene and benzo (a) pyrene, respectively, that make the user of Banegbe river water at risk to cancer. The aquatic life in the river is also exposed to these contaminants, especially fishes.</w:t>
      </w:r>
    </w:p>
    <w:p w:rsidR="0019273F" w:rsidRPr="00014883" w:rsidRDefault="005634A1">
      <w:pPr>
        <w:spacing w:after="240"/>
        <w:jc w:val="both"/>
        <w:rPr>
          <w:rFonts w:ascii="Arial" w:hAnsi="Arial" w:cs="Arial"/>
        </w:rPr>
      </w:pPr>
      <w:r w:rsidRPr="00014883">
        <w:rPr>
          <w:rFonts w:ascii="Arial" w:hAnsi="Arial" w:cs="Arial"/>
        </w:rPr>
        <w:t>PAHs in fish</w:t>
      </w:r>
    </w:p>
    <w:p w:rsidR="0019273F" w:rsidRPr="00014883" w:rsidRDefault="005634A1">
      <w:pPr>
        <w:spacing w:after="240"/>
        <w:jc w:val="both"/>
        <w:rPr>
          <w:rFonts w:ascii="Arial" w:hAnsi="Arial" w:cs="Arial"/>
        </w:rPr>
      </w:pPr>
      <w:r w:rsidRPr="00014883">
        <w:rPr>
          <w:rFonts w:ascii="Arial" w:hAnsi="Arial" w:cs="Arial"/>
        </w:rPr>
        <w:t>Fish is an important food source for the human body. Fish provide essential fatty acids like omega 3, proteins, vitamins, and minerals. Despite their nutritive value, fish are also vulnerable to contamination by toxic industrial pollutants, such as mercury, as well as PAHs, PCBs, dioxins, flame retardants, and other lipophilic chemicals that cause potential hazard concerns to human consumers (Gado and Midany, 2003). From our studies, the concentration of PAHs was higher in water samples compared to PAHs in fish samples as shown in table (2 and 3). The PAHs in the fish sample were also in the order in which PAHs were distributed in the river water samples (middle-stream &gt; down-stream &gt; up-stream). This confirmed that fish are migratory and seldom settle in one place.  Pollutant accumulation in fish organs (muscle)  provides evidence of exposure to the contaminated aquatic environment and could be used to assess the health condition of the area from which they were collected (Aqudir and Malik, 2011).</w:t>
      </w:r>
    </w:p>
    <w:p w:rsidR="0019273F" w:rsidRPr="00014883" w:rsidRDefault="005634A1">
      <w:pPr>
        <w:spacing w:after="240"/>
        <w:jc w:val="both"/>
        <w:rPr>
          <w:rFonts w:ascii="Arial" w:hAnsi="Arial" w:cs="Arial"/>
        </w:rPr>
      </w:pPr>
      <w:r w:rsidRPr="00014883">
        <w:rPr>
          <w:rFonts w:ascii="Arial" w:hAnsi="Arial" w:cs="Arial"/>
        </w:rPr>
        <w:t xml:space="preserve">The low concentration of PAHs in the fish samples when compared to the surrounding water environment may be due to the ability of different organisms to absorb PAHs, and this plays a major role in the potential for bioaccumulation and bioconcentration. Studies have shown that Crustaceans and fish metabolize PAH compounds more efficiently than do bivalve species such as mussels, clams, and oysters, which readily accumulate PAHs (Garrett, 2004). As such, they exhibit the highest BCFs, while fish and many crustaceans, which readily metabolize PAHs, generally obtain lower whole-body residues. And these can account for the lower residue of PAHs in the fish samples in this work when compared to the concentration in river water. PAHs are metabolized by liver mixed-function oxidases to epoxides, dihydrodiols, phenols, and quinones. The intermediate metabolites have been identified as mutagenic, carcinogenic, and teratogenic agents (Perra </w:t>
      </w:r>
      <w:r w:rsidRPr="00014883">
        <w:rPr>
          <w:rFonts w:ascii="Arial" w:hAnsi="Arial" w:cs="Arial"/>
          <w:i/>
        </w:rPr>
        <w:t>et al</w:t>
      </w:r>
      <w:r w:rsidRPr="00014883">
        <w:rPr>
          <w:rFonts w:ascii="Arial" w:hAnsi="Arial" w:cs="Arial"/>
        </w:rPr>
        <w:t>., 2011).</w:t>
      </w:r>
    </w:p>
    <w:p w:rsidR="0019273F" w:rsidRPr="00014883" w:rsidRDefault="005634A1">
      <w:pPr>
        <w:spacing w:after="240"/>
        <w:jc w:val="both"/>
        <w:rPr>
          <w:rFonts w:ascii="Arial" w:hAnsi="Arial" w:cs="Arial"/>
        </w:rPr>
      </w:pPr>
      <w:r w:rsidRPr="00014883">
        <w:rPr>
          <w:rFonts w:ascii="Arial" w:hAnsi="Arial" w:cs="Arial"/>
        </w:rPr>
        <w:t xml:space="preserve">Fish samples in the Banegbe River also accumulated higher concentrations of PAHs during the dry season than the rainy season, and could be as a result of dilution from rainwater or exposure to incineration from petroleum products during the dry season. Adekunle </w:t>
      </w:r>
      <w:r w:rsidRPr="00014883">
        <w:rPr>
          <w:rFonts w:ascii="Arial" w:hAnsi="Arial" w:cs="Arial"/>
          <w:i/>
        </w:rPr>
        <w:t>et al</w:t>
      </w:r>
      <w:r w:rsidRPr="00014883">
        <w:rPr>
          <w:rFonts w:ascii="Arial" w:hAnsi="Arial" w:cs="Arial"/>
        </w:rPr>
        <w:t xml:space="preserve">., 2020 reported a higher PAH concentration in surface water during the dry season than wet season in River sasa in Ife North LGA of Osun State, which was attributed to a pryrolytic source. Also, Tongo </w:t>
      </w:r>
      <w:r w:rsidRPr="00014883">
        <w:rPr>
          <w:rFonts w:ascii="Arial" w:hAnsi="Arial" w:cs="Arial"/>
          <w:i/>
        </w:rPr>
        <w:t>et al.,</w:t>
      </w:r>
      <w:r w:rsidRPr="00014883">
        <w:rPr>
          <w:rFonts w:ascii="Arial" w:hAnsi="Arial" w:cs="Arial"/>
        </w:rPr>
        <w:t xml:space="preserve"> (2018) reported a similar range of PAHs in fish from the Bonny River polluted with petroleum. </w:t>
      </w:r>
    </w:p>
    <w:p w:rsidR="0019273F" w:rsidRPr="00014883" w:rsidRDefault="005634A1">
      <w:pPr>
        <w:spacing w:after="240"/>
        <w:jc w:val="both"/>
        <w:rPr>
          <w:rFonts w:ascii="Arial" w:hAnsi="Arial" w:cs="Arial"/>
        </w:rPr>
      </w:pPr>
      <w:r w:rsidRPr="00014883">
        <w:rPr>
          <w:rFonts w:ascii="Arial" w:hAnsi="Arial" w:cs="Arial"/>
        </w:rPr>
        <w:t xml:space="preserve">The limit for PAHs in fatty-foods and smoked foods was set to protects humans, the (EU, 2011b) consider benzo (a)pyrene as an important marker for PAH in food and EU, (2011b) proposed a total concentration of 4 PAHs (benzo (a) pyrene, benzo (a) anthracene, benzo (b) fluoranthene and chrysene) as better benchmark of the presence of PAHs in food. The </w:t>
      </w:r>
      <w:r w:rsidRPr="00014883">
        <w:rPr>
          <w:rFonts w:ascii="Arial" w:hAnsi="Arial" w:cs="Arial"/>
        </w:rPr>
        <w:lastRenderedPageBreak/>
        <w:t xml:space="preserve">Maximum Recommended Limit (MRL) for PAHs was set to be 12µg/kg for 4 PAHs and 2µg/kg for benzo (a) pyrene.  Therefore, from our present results, the fish from the Banegbe River in both seasons were contaminated with PAHs. </w:t>
      </w:r>
    </w:p>
    <w:p w:rsidR="0019273F" w:rsidRPr="00014883" w:rsidRDefault="005634A1">
      <w:pPr>
        <w:spacing w:after="240"/>
        <w:jc w:val="both"/>
        <w:rPr>
          <w:rFonts w:ascii="Arial" w:hAnsi="Arial" w:cs="Arial"/>
        </w:rPr>
      </w:pPr>
      <w:r w:rsidRPr="00014883">
        <w:rPr>
          <w:rFonts w:ascii="Arial" w:hAnsi="Arial" w:cs="Arial"/>
        </w:rPr>
        <w:t>Risk Assessment</w:t>
      </w:r>
    </w:p>
    <w:p w:rsidR="0019273F" w:rsidRPr="00014883" w:rsidRDefault="005634A1">
      <w:pPr>
        <w:spacing w:after="240"/>
        <w:jc w:val="both"/>
        <w:rPr>
          <w:rFonts w:ascii="Arial" w:hAnsi="Arial" w:cs="Arial"/>
        </w:rPr>
      </w:pPr>
      <w:r w:rsidRPr="00014883">
        <w:rPr>
          <w:rFonts w:ascii="Arial" w:hAnsi="Arial" w:cs="Arial"/>
        </w:rPr>
        <w:t xml:space="preserve">Risk quotient is used to evaluate the potential risk of certain pollutant compounds on the aquatic organism in its environment.  From the present result, PAHs at all the sample points analyzed (middle-stream, downstream, upstream, and Ekpan pond fish) have the ability to cause harm to the fish. When RQ is less than one, the potential adverse effect caused by the contaminant exposure is minimal, but when greater than one, the potential adverse effect caused by the contaminant exposure may be severe (Jiang </w:t>
      </w:r>
      <w:r w:rsidRPr="00014883">
        <w:rPr>
          <w:rFonts w:ascii="Arial" w:hAnsi="Arial" w:cs="Arial"/>
          <w:i/>
        </w:rPr>
        <w:t>et al.</w:t>
      </w:r>
      <w:r w:rsidRPr="00014883">
        <w:rPr>
          <w:rFonts w:ascii="Arial" w:hAnsi="Arial" w:cs="Arial"/>
        </w:rPr>
        <w:t xml:space="preserve">, 2014). It has been known that pollutants like PAHs have a number of adverse effects on aquatic organisms, such as reproductive impairment and suppression of the immune system (Aguilar </w:t>
      </w:r>
      <w:r w:rsidRPr="00014883">
        <w:rPr>
          <w:rFonts w:ascii="Arial" w:hAnsi="Arial" w:cs="Arial"/>
          <w:i/>
        </w:rPr>
        <w:t>et al.,</w:t>
      </w:r>
      <w:r w:rsidRPr="00014883">
        <w:rPr>
          <w:rFonts w:ascii="Arial" w:hAnsi="Arial" w:cs="Arial"/>
        </w:rPr>
        <w:t xml:space="preserve"> 2002), which can have long-term consequences for population viability. </w:t>
      </w:r>
    </w:p>
    <w:p w:rsidR="0019273F" w:rsidRPr="00014883" w:rsidRDefault="005634A1">
      <w:pPr>
        <w:spacing w:after="240"/>
        <w:jc w:val="both"/>
        <w:rPr>
          <w:rFonts w:ascii="Arial" w:hAnsi="Arial" w:cs="Arial"/>
        </w:rPr>
      </w:pPr>
      <w:r w:rsidRPr="00014883">
        <w:rPr>
          <w:rFonts w:ascii="Arial" w:hAnsi="Arial" w:cs="Arial"/>
        </w:rPr>
        <w:t xml:space="preserve">The HQ was calculated based on the average daily dose and reference dose (RfD), and HI is the sum of Individual HQ for PAHs. From the result of the HQ and HI connected to the consumption PAHs contaminated fishes were found to be below unity (&lt; 1) for all the sampled points. When HQ and HI are less than one, it implies that little or no significant potential negative influences are exerted on human health, whereas potential negative influences on human health may be assumed if HQ &gt; 1 (Frederic and Yves, 2014). Comparing the standard unity with our result, it could be concluded that consumption of fish from all the sampled points for PAHs contamination has no effect on the 70kg adult average population of the fish consumption of 36.4g per capita per day for non-carcinogenic effect. </w:t>
      </w:r>
    </w:p>
    <w:p w:rsidR="0019273F" w:rsidRPr="00014883" w:rsidRDefault="005634A1">
      <w:pPr>
        <w:spacing w:after="240"/>
        <w:jc w:val="both"/>
        <w:rPr>
          <w:rFonts w:ascii="Arial" w:hAnsi="Arial" w:cs="Arial"/>
        </w:rPr>
      </w:pPr>
      <w:r w:rsidRPr="00014883">
        <w:rPr>
          <w:rFonts w:ascii="Arial" w:hAnsi="Arial" w:cs="Arial"/>
        </w:rPr>
        <w:t xml:space="preserve">Carcinogenic risks for PAHs were also assessed by evaluating the carcinogenic and mutagenic potencies of individual PAHs concentration, using toxic equivalence factor (TEFs) and mutagenic equivalence factor (MEF) to express their potency relative to benzo (a) pyrene. The carcinogenic toxicity equivalent is directly associated with carcinogenicity, but the mutagenic equivalent may not be directly associated with cancer (Zeiger, 2001) and may have implications for another non-cancerous adverse health effect like pulmonary diseases, birth defects, impotency, and low intelligence quotient (Essumang </w:t>
      </w:r>
      <w:r w:rsidRPr="00014883">
        <w:rPr>
          <w:rFonts w:ascii="Arial" w:hAnsi="Arial" w:cs="Arial"/>
          <w:i/>
          <w:iCs/>
        </w:rPr>
        <w:t>et al.,</w:t>
      </w:r>
      <w:r w:rsidRPr="00014883">
        <w:rPr>
          <w:rFonts w:ascii="Arial" w:hAnsi="Arial" w:cs="Arial"/>
        </w:rPr>
        <w:t xml:space="preserve"> 2013). The carcinogenic and mutagenic toxicities associated with benzo(a)pyrene were calculated using TEF and MEF values in Table 1 and used to calculate the corresponding carcinogenic toxicity equivalent daily dose, as shown in Tables 9, 10, and 11 for consumption of contaminated fish samples during the rainy and dry seasons. Carcinogenic and mutagenic risk for an adult involved in a time of 70 years for ingestion of </w:t>
      </w:r>
      <w:r w:rsidRPr="00014883">
        <w:rPr>
          <w:rFonts w:ascii="Arial" w:hAnsi="Arial" w:cs="Arial"/>
          <w:i/>
        </w:rPr>
        <w:t>Papyrocranus afer</w:t>
      </w:r>
      <w:r w:rsidRPr="00014883">
        <w:rPr>
          <w:rFonts w:ascii="Arial" w:hAnsi="Arial" w:cs="Arial"/>
        </w:rPr>
        <w:t xml:space="preserve"> in Banegbe river were all above the USEPA unity value of 10</w:t>
      </w:r>
      <w:r w:rsidRPr="00014883">
        <w:rPr>
          <w:rFonts w:ascii="Arial" w:hAnsi="Arial" w:cs="Arial"/>
          <w:vertAlign w:val="superscript"/>
        </w:rPr>
        <w:t xml:space="preserve">−6 </w:t>
      </w:r>
      <w:r w:rsidRPr="00014883">
        <w:rPr>
          <w:rFonts w:ascii="Arial" w:hAnsi="Arial" w:cs="Arial"/>
        </w:rPr>
        <w:t>during the two seasons. This means that the consumption of fish from all sources can pose a Carcinogenic and mutagenic risk to consumers of contaminated fish, compared to the USEPA limit of 10</w:t>
      </w:r>
      <w:r w:rsidRPr="00014883">
        <w:rPr>
          <w:rFonts w:ascii="Arial" w:hAnsi="Arial" w:cs="Arial"/>
          <w:vertAlign w:val="superscript"/>
        </w:rPr>
        <w:t>−6</w:t>
      </w:r>
      <w:r w:rsidRPr="00014883">
        <w:rPr>
          <w:rFonts w:ascii="Arial" w:hAnsi="Arial" w:cs="Arial"/>
        </w:rPr>
        <w:t xml:space="preserve"> (USEPA, 2010). Akpan </w:t>
      </w:r>
      <w:r w:rsidRPr="00014883">
        <w:rPr>
          <w:rFonts w:ascii="Arial" w:hAnsi="Arial" w:cs="Arial"/>
          <w:i/>
          <w:iCs/>
        </w:rPr>
        <w:t>et al</w:t>
      </w:r>
      <w:r w:rsidRPr="00014883">
        <w:rPr>
          <w:rFonts w:ascii="Arial" w:hAnsi="Arial" w:cs="Arial"/>
        </w:rPr>
        <w:t>., 2022 reported a similar higher cancer risk of 7.10 10</w:t>
      </w:r>
      <w:r w:rsidRPr="00014883">
        <w:rPr>
          <w:rFonts w:ascii="Arial" w:hAnsi="Arial" w:cs="Arial"/>
          <w:vertAlign w:val="superscript"/>
        </w:rPr>
        <w:t>−7</w:t>
      </w:r>
      <w:r w:rsidRPr="00014883">
        <w:rPr>
          <w:rFonts w:ascii="Arial" w:hAnsi="Arial" w:cs="Arial"/>
        </w:rPr>
        <w:t xml:space="preserve"> to 7.18 10</w:t>
      </w:r>
      <w:r w:rsidRPr="00014883">
        <w:rPr>
          <w:rFonts w:ascii="Arial" w:hAnsi="Arial" w:cs="Arial"/>
          <w:vertAlign w:val="superscript"/>
        </w:rPr>
        <w:t>−4</w:t>
      </w:r>
      <w:r w:rsidRPr="00014883">
        <w:rPr>
          <w:rFonts w:ascii="Arial" w:hAnsi="Arial" w:cs="Arial"/>
        </w:rPr>
        <w:t xml:space="preserve"> when compared to USEPA limit due to ingestion of PAHs from water in adult population</w:t>
      </w:r>
    </w:p>
    <w:p w:rsidR="0019273F" w:rsidRPr="00014883" w:rsidRDefault="005634A1">
      <w:pPr>
        <w:spacing w:after="240"/>
        <w:jc w:val="both"/>
        <w:rPr>
          <w:rFonts w:ascii="Arial" w:hAnsi="Arial" w:cs="Arial"/>
        </w:rPr>
      </w:pPr>
      <w:r w:rsidRPr="00014883">
        <w:rPr>
          <w:rFonts w:ascii="Arial" w:hAnsi="Arial" w:cs="Arial"/>
        </w:rPr>
        <w:t xml:space="preserve">From the results in Table 11, the value of LCR through ingestion of PAH-contaminated </w:t>
      </w:r>
      <w:r w:rsidRPr="00014883">
        <w:rPr>
          <w:rFonts w:ascii="Arial" w:hAnsi="Arial" w:cs="Arial"/>
          <w:i/>
          <w:iCs/>
        </w:rPr>
        <w:t>Papyrocranus afer</w:t>
      </w:r>
      <w:r w:rsidRPr="00014883">
        <w:rPr>
          <w:rFonts w:ascii="Arial" w:hAnsi="Arial" w:cs="Arial"/>
        </w:rPr>
        <w:t xml:space="preserve"> indicates that residents may face a potential carcinogenic risk due to exposure to PAHs in the consumption of </w:t>
      </w:r>
      <w:r w:rsidRPr="00014883">
        <w:rPr>
          <w:rFonts w:ascii="Arial" w:hAnsi="Arial" w:cs="Arial"/>
          <w:i/>
          <w:iCs/>
        </w:rPr>
        <w:t>Papyrocranus afer</w:t>
      </w:r>
      <w:r w:rsidRPr="00014883">
        <w:rPr>
          <w:rFonts w:ascii="Arial" w:hAnsi="Arial" w:cs="Arial"/>
        </w:rPr>
        <w:t xml:space="preserve"> at all sampled points during both rainy and dry seasons.  This is because they were all above the USEPA unity, which the acceptable values of lower than 10</w:t>
      </w:r>
      <w:r w:rsidRPr="00014883">
        <w:rPr>
          <w:rFonts w:ascii="Arial" w:hAnsi="Arial" w:cs="Arial"/>
          <w:vertAlign w:val="superscript"/>
        </w:rPr>
        <w:t>−6</w:t>
      </w:r>
      <w:r w:rsidRPr="00014883">
        <w:rPr>
          <w:rFonts w:ascii="Arial" w:hAnsi="Arial" w:cs="Arial"/>
        </w:rPr>
        <w:t xml:space="preserve"> are considered to be negligible for carcinogenic and above are considered unacceptable (USEPA, 2010). This means that consumption of fish from these points is un</w:t>
      </w:r>
      <w:r w:rsidRPr="00014883">
        <w:rPr>
          <w:rFonts w:ascii="Arial" w:eastAsia="MinionW08-Regular" w:hAnsi="Arial" w:cs="Arial"/>
        </w:rPr>
        <w:t>safe and may possess a carcinogenic risk in the lifetime of some of the consumers.</w:t>
      </w:r>
    </w:p>
    <w:p w:rsidR="0019273F" w:rsidRPr="00014883" w:rsidRDefault="0019273F">
      <w:pPr>
        <w:pStyle w:val="Body"/>
        <w:spacing w:after="0"/>
        <w:rPr>
          <w:rFonts w:ascii="Arial" w:hAnsi="Arial" w:cs="Arial"/>
        </w:rPr>
      </w:pPr>
    </w:p>
    <w:p w:rsidR="0019273F" w:rsidRPr="00014883" w:rsidRDefault="0019273F">
      <w:pPr>
        <w:pStyle w:val="Body"/>
        <w:spacing w:after="0"/>
        <w:rPr>
          <w:rFonts w:ascii="Arial" w:hAnsi="Arial" w:cs="Arial"/>
        </w:rPr>
      </w:pPr>
    </w:p>
    <w:p w:rsidR="0019273F" w:rsidRPr="00014883" w:rsidRDefault="005634A1" w:rsidP="00D377AF">
      <w:pPr>
        <w:pStyle w:val="ConcHead"/>
        <w:spacing w:after="0"/>
        <w:jc w:val="both"/>
        <w:rPr>
          <w:rFonts w:ascii="Arial" w:hAnsi="Arial" w:cs="Arial"/>
          <w:sz w:val="20"/>
        </w:rPr>
      </w:pPr>
      <w:r w:rsidRPr="00014883">
        <w:rPr>
          <w:rFonts w:ascii="Arial" w:hAnsi="Arial" w:cs="Arial"/>
          <w:sz w:val="20"/>
        </w:rPr>
        <w:t>4. Conclusion</w:t>
      </w:r>
    </w:p>
    <w:p w:rsidR="0019273F" w:rsidRPr="00014883" w:rsidRDefault="005634A1" w:rsidP="0046209B">
      <w:pPr>
        <w:autoSpaceDE w:val="0"/>
        <w:autoSpaceDN w:val="0"/>
        <w:adjustRightInd w:val="0"/>
        <w:jc w:val="both"/>
        <w:rPr>
          <w:rFonts w:ascii="Arial" w:hAnsi="Arial" w:cs="Arial"/>
        </w:rPr>
      </w:pPr>
      <w:r w:rsidRPr="00014883">
        <w:rPr>
          <w:rFonts w:ascii="Arial" w:eastAsia="sans-serif" w:hAnsi="Arial" w:cs="Arial"/>
          <w:shd w:val="clear" w:color="auto" w:fill="FFFFFF"/>
        </w:rPr>
        <w:t xml:space="preserve">The study depicts the presence of PAHs in water and fish samples of </w:t>
      </w:r>
      <w:r w:rsidR="002C5555" w:rsidRPr="00014883">
        <w:rPr>
          <w:rFonts w:ascii="Arial" w:eastAsia="sans-serif" w:hAnsi="Arial" w:cs="Arial"/>
          <w:shd w:val="clear" w:color="auto" w:fill="FFFFFF"/>
        </w:rPr>
        <w:t xml:space="preserve">the </w:t>
      </w:r>
      <w:r w:rsidRPr="00014883">
        <w:rPr>
          <w:rFonts w:ascii="Arial" w:eastAsia="sans-serif" w:hAnsi="Arial" w:cs="Arial"/>
          <w:shd w:val="clear" w:color="auto" w:fill="FFFFFF"/>
        </w:rPr>
        <w:t xml:space="preserve">Banegbe </w:t>
      </w:r>
      <w:r w:rsidR="002C5555" w:rsidRPr="00014883">
        <w:rPr>
          <w:rFonts w:ascii="Arial" w:eastAsia="sans-serif" w:hAnsi="Arial" w:cs="Arial"/>
          <w:shd w:val="clear" w:color="auto" w:fill="FFFFFF"/>
        </w:rPr>
        <w:t>R</w:t>
      </w:r>
      <w:r w:rsidRPr="00014883">
        <w:rPr>
          <w:rFonts w:ascii="Arial" w:eastAsia="sans-serif" w:hAnsi="Arial" w:cs="Arial"/>
          <w:shd w:val="clear" w:color="auto" w:fill="FFFFFF"/>
        </w:rPr>
        <w:t xml:space="preserve">iver. The results revealed that the high molecular weight PAHs composition were more predominant than the low molecular weight PAHs in both surface waters and fish. The PAHs composition in the samples shared similar pattern and was dominated by both low molecular weight (2-3 rings PAHs) and high molecular weight PAHs (4-6 rings PAHs), which suggest </w:t>
      </w:r>
      <w:r w:rsidRPr="00014883">
        <w:rPr>
          <w:rFonts w:ascii="Arial" w:hAnsi="Arial" w:cs="Arial"/>
          <w:bCs/>
          <w:lang w:val="en-GB"/>
        </w:rPr>
        <w:t xml:space="preserve">pyrolytic </w:t>
      </w:r>
      <w:r w:rsidRPr="00014883">
        <w:rPr>
          <w:rFonts w:ascii="Arial" w:hAnsi="Arial" w:cs="Arial"/>
          <w:bCs/>
        </w:rPr>
        <w:t>and.</w:t>
      </w:r>
      <w:r w:rsidRPr="00014883">
        <w:rPr>
          <w:rFonts w:ascii="Arial" w:hAnsi="Arial" w:cs="Arial"/>
          <w:bCs/>
          <w:lang w:val="en-GB"/>
        </w:rPr>
        <w:t xml:space="preserve"> petrogenic</w:t>
      </w:r>
      <w:r w:rsidRPr="00014883">
        <w:rPr>
          <w:rFonts w:ascii="Arial" w:hAnsi="Arial" w:cs="Arial"/>
          <w:bCs/>
        </w:rPr>
        <w:t xml:space="preserve"> sources. This could be attributed to industrial effluent channeled into the river and run off water from the surrounding. </w:t>
      </w:r>
      <w:r w:rsidRPr="00014883">
        <w:rPr>
          <w:rFonts w:ascii="Arial" w:eastAsia="sans-serif" w:hAnsi="Arial" w:cs="Arial"/>
          <w:shd w:val="clear" w:color="auto" w:fill="FFFFFF"/>
        </w:rPr>
        <w:t xml:space="preserve">Some of the water samples exceeded the compared international standard guidelines for groundwater and drinking water which necessitate regular and continuous monitoring of the river so as to ensure safety of the water before consumption. The study also indicates risk of cancer effect resulting from PAHs exposure through consumption of fish from </w:t>
      </w:r>
      <w:r w:rsidR="002C5555" w:rsidRPr="00014883">
        <w:rPr>
          <w:rFonts w:ascii="Arial" w:eastAsia="sans-serif" w:hAnsi="Arial" w:cs="Arial"/>
          <w:shd w:val="clear" w:color="auto" w:fill="FFFFFF"/>
        </w:rPr>
        <w:t xml:space="preserve">the </w:t>
      </w:r>
      <w:r w:rsidRPr="00014883">
        <w:rPr>
          <w:rFonts w:ascii="Arial" w:eastAsia="sans-serif" w:hAnsi="Arial" w:cs="Arial"/>
          <w:shd w:val="clear" w:color="auto" w:fill="FFFFFF"/>
        </w:rPr>
        <w:t xml:space="preserve">Banegbe </w:t>
      </w:r>
      <w:r w:rsidR="002C5555" w:rsidRPr="00014883">
        <w:rPr>
          <w:rFonts w:ascii="Arial" w:eastAsia="sans-serif" w:hAnsi="Arial" w:cs="Arial"/>
          <w:shd w:val="clear" w:color="auto" w:fill="FFFFFF"/>
        </w:rPr>
        <w:t>R</w:t>
      </w:r>
      <w:r w:rsidRPr="00014883">
        <w:rPr>
          <w:rFonts w:ascii="Arial" w:eastAsia="sans-serif" w:hAnsi="Arial" w:cs="Arial"/>
          <w:shd w:val="clear" w:color="auto" w:fill="FFFFFF"/>
        </w:rPr>
        <w:t>iver exceeded the acceptable thresholds in both seasons for the adult population.</w:t>
      </w:r>
      <w:r w:rsidRPr="00014883">
        <w:rPr>
          <w:rFonts w:ascii="Arial" w:eastAsia="AGaramondPro" w:hAnsi="Arial" w:cs="Arial"/>
          <w:lang w:eastAsia="zh-CN" w:bidi="ar"/>
        </w:rPr>
        <w:t xml:space="preserve"> Therefore, the fish in the river are unsuitable for human consumption and unfit for animal feed formulation. </w:t>
      </w:r>
      <w:r w:rsidRPr="00014883">
        <w:rPr>
          <w:rFonts w:ascii="Arial" w:eastAsia="Georgia" w:hAnsi="Arial" w:cs="Arial"/>
        </w:rPr>
        <w:t>These suggests that close attention should be given to the indiscriminate release of domestic, agricultural, and industrial micro-pollutants in the river.</w:t>
      </w:r>
      <w:bookmarkStart w:id="1" w:name="_Hlk193540946"/>
      <w:bookmarkStart w:id="2" w:name="_Hlk180402183"/>
      <w:bookmarkStart w:id="3" w:name="_Hlk183680988"/>
      <w:r w:rsidR="0046209B" w:rsidRPr="00014883">
        <w:rPr>
          <w:rFonts w:ascii="Arial" w:eastAsia="Georgia" w:hAnsi="Arial" w:cs="Arial"/>
        </w:rPr>
        <w:t xml:space="preserve"> </w:t>
      </w:r>
      <w:r w:rsidRPr="00014883">
        <w:rPr>
          <w:rFonts w:ascii="Arial" w:eastAsia="Georgia" w:hAnsi="Arial" w:cs="Arial"/>
        </w:rPr>
        <w:t>Also renewed call should be made to experts and policy makers to urgently develop a regulatory frame work for permissible levels of PAHs into rivers from emitting sources and the environment at large.</w:t>
      </w:r>
    </w:p>
    <w:p w:rsidR="0019273F" w:rsidRPr="00014883" w:rsidRDefault="0019273F">
      <w:pPr>
        <w:rPr>
          <w:rFonts w:ascii="Arial" w:eastAsia="Calibri" w:hAnsi="Arial" w:cs="Arial"/>
          <w:kern w:val="2"/>
          <w:highlight w:val="yellow"/>
        </w:rPr>
      </w:pPr>
    </w:p>
    <w:p w:rsidR="0019273F" w:rsidRPr="00014883" w:rsidRDefault="0019273F">
      <w:pPr>
        <w:rPr>
          <w:rFonts w:ascii="Calibri" w:eastAsia="Calibri" w:hAnsi="Calibri"/>
          <w:kern w:val="2"/>
          <w:highlight w:val="yellow"/>
        </w:rPr>
      </w:pPr>
    </w:p>
    <w:p w:rsidR="0019273F" w:rsidRPr="00014883" w:rsidRDefault="0019273F">
      <w:pPr>
        <w:rPr>
          <w:rFonts w:ascii="Calibri" w:eastAsia="Calibri" w:hAnsi="Calibri"/>
          <w:kern w:val="2"/>
          <w:highlight w:val="yellow"/>
        </w:rPr>
      </w:pPr>
    </w:p>
    <w:p w:rsidR="0019273F" w:rsidRPr="00014883" w:rsidRDefault="0019273F">
      <w:pPr>
        <w:rPr>
          <w:rFonts w:ascii="Calibri" w:eastAsia="Calibri" w:hAnsi="Calibri"/>
          <w:kern w:val="2"/>
          <w:highlight w:val="yellow"/>
        </w:rPr>
      </w:pPr>
    </w:p>
    <w:p w:rsidR="0019273F" w:rsidRPr="000B5382" w:rsidRDefault="0019273F">
      <w:pPr>
        <w:rPr>
          <w:rFonts w:ascii="Calibri" w:eastAsia="Calibri" w:hAnsi="Calibri"/>
          <w:b/>
          <w:kern w:val="2"/>
          <w:highlight w:val="yellow"/>
        </w:rPr>
      </w:pPr>
    </w:p>
    <w:p w:rsidR="0019273F" w:rsidRPr="000B5382" w:rsidRDefault="005634A1">
      <w:pPr>
        <w:rPr>
          <w:rFonts w:ascii="Calibri" w:eastAsia="Calibri" w:hAnsi="Calibri"/>
          <w:b/>
          <w:kern w:val="2"/>
          <w:highlight w:val="yellow"/>
        </w:rPr>
      </w:pPr>
      <w:r w:rsidRPr="000B5382">
        <w:rPr>
          <w:rFonts w:ascii="Calibri" w:eastAsia="Calibri" w:hAnsi="Calibri"/>
          <w:b/>
          <w:kern w:val="2"/>
          <w:highlight w:val="yellow"/>
        </w:rPr>
        <w:t>Disclaimer (Artificial intelligence)</w:t>
      </w:r>
    </w:p>
    <w:p w:rsidR="0019273F" w:rsidRPr="00014883" w:rsidRDefault="005634A1">
      <w:pPr>
        <w:rPr>
          <w:rFonts w:ascii="Calibri" w:eastAsia="Calibri" w:hAnsi="Calibri"/>
          <w:kern w:val="2"/>
          <w:highlight w:val="yellow"/>
        </w:rPr>
      </w:pPr>
      <w:r w:rsidRPr="00014883">
        <w:rPr>
          <w:rFonts w:ascii="Calibri" w:eastAsia="Calibri" w:hAnsi="Calibri"/>
          <w:kern w:val="2"/>
          <w:highlight w:val="yellow"/>
        </w:rPr>
        <w:t>Option 1:</w:t>
      </w:r>
    </w:p>
    <w:p w:rsidR="0019273F" w:rsidRPr="00014883" w:rsidRDefault="005634A1">
      <w:pPr>
        <w:rPr>
          <w:rFonts w:ascii="Calibri" w:eastAsia="Calibri" w:hAnsi="Calibri"/>
          <w:kern w:val="2"/>
          <w:highlight w:val="yellow"/>
        </w:rPr>
      </w:pPr>
      <w:r w:rsidRPr="00014883">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rsidR="0019273F" w:rsidRPr="00014883" w:rsidRDefault="005634A1">
      <w:pPr>
        <w:rPr>
          <w:rFonts w:ascii="Calibri" w:eastAsia="Calibri" w:hAnsi="Calibri"/>
          <w:kern w:val="2"/>
          <w:highlight w:val="yellow"/>
        </w:rPr>
      </w:pPr>
      <w:r w:rsidRPr="00014883">
        <w:rPr>
          <w:rFonts w:ascii="Calibri" w:eastAsia="Calibri" w:hAnsi="Calibri"/>
          <w:kern w:val="2"/>
          <w:highlight w:val="yellow"/>
        </w:rPr>
        <w:t xml:space="preserve">Option 2: </w:t>
      </w:r>
    </w:p>
    <w:p w:rsidR="0019273F" w:rsidRPr="00014883" w:rsidRDefault="005634A1">
      <w:pPr>
        <w:rPr>
          <w:rFonts w:ascii="Calibri" w:eastAsia="Calibri" w:hAnsi="Calibri"/>
          <w:kern w:val="2"/>
          <w:highlight w:val="yellow"/>
        </w:rPr>
      </w:pPr>
      <w:r w:rsidRPr="00014883">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9273F" w:rsidRPr="00014883" w:rsidRDefault="005634A1">
      <w:pPr>
        <w:rPr>
          <w:rFonts w:ascii="Calibri" w:eastAsia="Calibri" w:hAnsi="Calibri"/>
          <w:kern w:val="2"/>
          <w:highlight w:val="yellow"/>
        </w:rPr>
      </w:pPr>
      <w:r w:rsidRPr="00014883">
        <w:rPr>
          <w:rFonts w:ascii="Calibri" w:eastAsia="Calibri" w:hAnsi="Calibri"/>
          <w:kern w:val="2"/>
          <w:highlight w:val="yellow"/>
        </w:rPr>
        <w:t>Details of the AI usage are given below:</w:t>
      </w:r>
    </w:p>
    <w:p w:rsidR="0019273F" w:rsidRPr="00014883" w:rsidRDefault="005634A1">
      <w:pPr>
        <w:rPr>
          <w:rFonts w:ascii="Calibri" w:eastAsia="Calibri" w:hAnsi="Calibri"/>
          <w:kern w:val="2"/>
          <w:highlight w:val="yellow"/>
        </w:rPr>
      </w:pPr>
      <w:r w:rsidRPr="00014883">
        <w:rPr>
          <w:rFonts w:ascii="Calibri" w:eastAsia="Calibri" w:hAnsi="Calibri"/>
          <w:kern w:val="2"/>
          <w:highlight w:val="yellow"/>
        </w:rPr>
        <w:t>1.</w:t>
      </w:r>
    </w:p>
    <w:p w:rsidR="0019273F" w:rsidRPr="00014883" w:rsidRDefault="005634A1">
      <w:pPr>
        <w:rPr>
          <w:rFonts w:ascii="Calibri" w:eastAsia="Calibri" w:hAnsi="Calibri"/>
          <w:kern w:val="2"/>
          <w:highlight w:val="yellow"/>
        </w:rPr>
      </w:pPr>
      <w:r w:rsidRPr="00014883">
        <w:rPr>
          <w:rFonts w:ascii="Calibri" w:eastAsia="Calibri" w:hAnsi="Calibri"/>
          <w:kern w:val="2"/>
          <w:highlight w:val="yellow"/>
        </w:rPr>
        <w:t>2.</w:t>
      </w:r>
    </w:p>
    <w:p w:rsidR="0019273F" w:rsidRPr="00014883" w:rsidRDefault="005634A1">
      <w:pPr>
        <w:rPr>
          <w:rFonts w:ascii="Calibri" w:eastAsia="Calibri" w:hAnsi="Calibri"/>
          <w:kern w:val="2"/>
        </w:rPr>
      </w:pPr>
      <w:r w:rsidRPr="00014883">
        <w:rPr>
          <w:rFonts w:ascii="Calibri" w:eastAsia="Calibri" w:hAnsi="Calibri"/>
          <w:kern w:val="2"/>
          <w:highlight w:val="yellow"/>
        </w:rPr>
        <w:t>3.</w:t>
      </w:r>
      <w:bookmarkEnd w:id="1"/>
    </w:p>
    <w:bookmarkEnd w:id="2"/>
    <w:bookmarkEnd w:id="3"/>
    <w:p w:rsidR="0019273F" w:rsidRPr="00014883" w:rsidRDefault="0019273F">
      <w:pPr>
        <w:autoSpaceDE w:val="0"/>
        <w:autoSpaceDN w:val="0"/>
        <w:adjustRightInd w:val="0"/>
        <w:jc w:val="both"/>
        <w:rPr>
          <w:rFonts w:ascii="Arial" w:hAnsi="Arial" w:cs="Arial"/>
          <w:b/>
        </w:rPr>
      </w:pPr>
    </w:p>
    <w:p w:rsidR="0019273F" w:rsidRPr="00014883" w:rsidRDefault="0019273F">
      <w:pPr>
        <w:pStyle w:val="ReferHead"/>
        <w:spacing w:after="0"/>
        <w:jc w:val="both"/>
        <w:rPr>
          <w:rFonts w:ascii="Arial" w:hAnsi="Arial" w:cs="Arial"/>
        </w:rPr>
      </w:pPr>
    </w:p>
    <w:p w:rsidR="0019273F" w:rsidRPr="00014883" w:rsidRDefault="005634A1">
      <w:pPr>
        <w:pStyle w:val="ReferHead"/>
        <w:spacing w:after="0"/>
        <w:jc w:val="both"/>
        <w:rPr>
          <w:rFonts w:ascii="Arial" w:hAnsi="Arial" w:cs="Arial"/>
        </w:rPr>
      </w:pPr>
      <w:r w:rsidRPr="00014883">
        <w:rPr>
          <w:rFonts w:ascii="Arial" w:hAnsi="Arial" w:cs="Arial"/>
        </w:rPr>
        <w:t>References</w:t>
      </w:r>
    </w:p>
    <w:p w:rsidR="0019273F" w:rsidRPr="00014883" w:rsidRDefault="0019273F">
      <w:pPr>
        <w:pStyle w:val="ReferHead"/>
        <w:spacing w:after="0"/>
        <w:jc w:val="both"/>
        <w:rPr>
          <w:rFonts w:ascii="Arial" w:hAnsi="Arial" w:cs="Arial"/>
        </w:rPr>
      </w:pPr>
    </w:p>
    <w:p w:rsidR="0019273F" w:rsidRPr="00014883" w:rsidRDefault="0019273F">
      <w:pPr>
        <w:pStyle w:val="Body"/>
        <w:spacing w:after="0"/>
        <w:rPr>
          <w:lang w:val="en-GB"/>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Abolanle S. A., Oyekunle, J. A. O., Oladele, A. S., Ojo, O. S.  and Maxakato, N. W., (2020).  Evaluation of Polycyclic Aromatic Hydrocarbons (PAHs) and Health Risk Assessment of surface Water and Sediments of River Sasa, Ife North Local Government Area, Nigeria, Chemistry Africa, </w:t>
      </w:r>
    </w:p>
    <w:p w:rsidR="0019273F" w:rsidRPr="00014883" w:rsidRDefault="0019273F">
      <w:pPr>
        <w:autoSpaceDE w:val="0"/>
        <w:autoSpaceDN w:val="0"/>
        <w:adjustRightInd w:val="0"/>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Agbozu, I, Ejere, O., Asibor, G., Otolo, S. and Bassey, U. (2020). Source Predictions of Polycyclic Aromatic Hydrocarbon (PAHs)Concentration in Water, Sediment and Biota (Fishes) </w:t>
      </w:r>
      <w:r w:rsidRPr="00014883">
        <w:rPr>
          <w:rFonts w:ascii="Arial" w:hAnsi="Arial" w:cs="Arial"/>
        </w:rPr>
        <w:lastRenderedPageBreak/>
        <w:t>from Ethiope River, Delta State, Southern Nigeria. Journal of Ecology and the Natural Environment, 12 (4): 140-149.</w:t>
      </w:r>
    </w:p>
    <w:p w:rsidR="0019273F" w:rsidRPr="00014883" w:rsidRDefault="0019273F">
      <w:pPr>
        <w:ind w:left="567" w:hanging="567"/>
        <w:jc w:val="both"/>
        <w:rPr>
          <w:rFonts w:ascii="Arial" w:hAnsi="Arial" w:cs="Arial"/>
        </w:rPr>
      </w:pPr>
    </w:p>
    <w:p w:rsidR="0019273F" w:rsidRPr="00014883" w:rsidRDefault="005634A1">
      <w:pPr>
        <w:rPr>
          <w:lang w:val="en-GB"/>
        </w:rPr>
      </w:pPr>
      <w:r w:rsidRPr="00014883">
        <w:rPr>
          <w:lang w:val="en-GB"/>
        </w:rPr>
        <w:t>Akpan, A. D., Okori, B. S.-U., &amp; Ekpechi, D. C. (2022). Human Health Risk Assessment of Polycyclic Aromatic Hydrocarbons in Water Samples around Eket Metropolis, Akwa Ibom State, Nigeria.</w:t>
      </w:r>
      <w:r w:rsidRPr="00014883">
        <w:rPr>
          <w:i/>
          <w:iCs/>
          <w:lang w:val="en-GB"/>
        </w:rPr>
        <w:t xml:space="preserve"> Asian Journal of Environment </w:t>
      </w:r>
      <w:r w:rsidRPr="00014883">
        <w:rPr>
          <w:i/>
          <w:iCs/>
        </w:rPr>
        <w:t>and</w:t>
      </w:r>
      <w:r w:rsidRPr="00014883">
        <w:rPr>
          <w:i/>
          <w:iCs/>
          <w:lang w:val="en-GB"/>
        </w:rPr>
        <w:t xml:space="preserve"> Ecology</w:t>
      </w:r>
      <w:r w:rsidRPr="00014883">
        <w:rPr>
          <w:lang w:val="en-GB"/>
        </w:rPr>
        <w:t xml:space="preserve">, 19(4), 58–71. </w:t>
      </w:r>
    </w:p>
    <w:p w:rsidR="0019273F" w:rsidRPr="00014883" w:rsidRDefault="0019273F">
      <w:pPr>
        <w:ind w:left="567" w:hanging="567"/>
        <w:jc w:val="both"/>
        <w:rPr>
          <w:rFonts w:ascii="Arial" w:hAnsi="Arial" w:cs="Arial"/>
        </w:rPr>
      </w:pPr>
    </w:p>
    <w:p w:rsidR="0019273F" w:rsidRPr="00014883" w:rsidRDefault="005634A1">
      <w:pPr>
        <w:spacing w:after="240"/>
        <w:jc w:val="both"/>
        <w:rPr>
          <w:rFonts w:ascii="Arial" w:hAnsi="Arial" w:cs="Arial"/>
        </w:rPr>
      </w:pPr>
      <w:r w:rsidRPr="00014883">
        <w:rPr>
          <w:rFonts w:ascii="Arial" w:hAnsi="Arial" w:cs="Arial"/>
        </w:rPr>
        <w:t>Aqadir, R. N. and Malik, (2011). Heavy metals in eight edible fish in two polluted tributaries (Aik and Palklu) of the Rue Chenab, Pakistan.</w:t>
      </w:r>
      <w:r w:rsidRPr="00014883">
        <w:rPr>
          <w:rFonts w:ascii="Arial" w:hAnsi="Arial" w:cs="Arial"/>
          <w:i/>
        </w:rPr>
        <w:t>Biological Trace Element, Research,</w:t>
      </w:r>
      <w:r w:rsidRPr="00014883">
        <w:rPr>
          <w:rFonts w:ascii="Arial" w:hAnsi="Arial" w:cs="Arial"/>
          <w:b/>
        </w:rPr>
        <w:t>143</w:t>
      </w:r>
      <w:r w:rsidRPr="00014883">
        <w:rPr>
          <w:rFonts w:ascii="Arial" w:hAnsi="Arial" w:cs="Arial"/>
        </w:rPr>
        <w:t>: 1524-1540</w:t>
      </w:r>
    </w:p>
    <w:p w:rsidR="0019273F" w:rsidRPr="00014883" w:rsidRDefault="005634A1">
      <w:pPr>
        <w:autoSpaceDE w:val="0"/>
        <w:autoSpaceDN w:val="0"/>
        <w:adjustRightInd w:val="0"/>
        <w:spacing w:after="240"/>
        <w:jc w:val="both"/>
        <w:rPr>
          <w:rFonts w:ascii="Arial" w:hAnsi="Arial" w:cs="Arial"/>
        </w:rPr>
      </w:pPr>
      <w:r w:rsidRPr="00014883">
        <w:rPr>
          <w:rFonts w:ascii="Arial" w:hAnsi="Arial" w:cs="Arial"/>
        </w:rPr>
        <w:t xml:space="preserve">ANZECC, (Australian and New Zealand Environment and Conservation Council, Canberra) (2000). Australian and New Zealand guidelines for fresh and marine water quality, Australia Volume 2: Aquaticecosystems — Rationale and background information.National water quality management strategy, </w:t>
      </w:r>
      <w:r w:rsidRPr="00014883">
        <w:rPr>
          <w:rFonts w:ascii="Arial" w:hAnsi="Arial" w:cs="Arial"/>
          <w:b/>
        </w:rPr>
        <w:t>p</w:t>
      </w:r>
      <w:r w:rsidRPr="00014883">
        <w:rPr>
          <w:rFonts w:ascii="Arial" w:hAnsi="Arial" w:cs="Arial"/>
        </w:rPr>
        <w:t xml:space="preserve"> 4. </w:t>
      </w:r>
    </w:p>
    <w:p w:rsidR="0019273F" w:rsidRPr="00014883" w:rsidRDefault="005634A1">
      <w:pPr>
        <w:autoSpaceDE w:val="0"/>
        <w:autoSpaceDN w:val="0"/>
        <w:adjustRightInd w:val="0"/>
        <w:jc w:val="both"/>
        <w:rPr>
          <w:rFonts w:ascii="Arial" w:hAnsi="Arial" w:cs="Arial"/>
        </w:rPr>
      </w:pPr>
      <w:r w:rsidRPr="00014883">
        <w:rPr>
          <w:rFonts w:ascii="Arial" w:hAnsi="Arial" w:cs="Arial"/>
        </w:rPr>
        <w:t>Binet, S., Pfohl-Leszkowicz, A., Brandt, H., Lafontaine, M., and Castegnaro, M. (2002). Bitumen fumes: Review of work on the potential risk to workers and the present knowledge on its origin. The Science of the Total Environment, 300(1–3), 37–49.</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ind w:left="1701" w:hanging="1701"/>
        <w:jc w:val="both"/>
        <w:rPr>
          <w:rFonts w:ascii="Arial" w:eastAsia="PalatinoLinotype-Roman" w:hAnsi="Arial" w:cs="Arial"/>
        </w:rPr>
      </w:pPr>
      <w:r w:rsidRPr="00014883">
        <w:rPr>
          <w:rFonts w:ascii="Arial" w:eastAsia="PalatinoLinotype-Roman" w:hAnsi="Arial" w:cs="Arial"/>
        </w:rPr>
        <w:t>Eisler, R. (1987). Polycyclic aromatic hydrocarbon hazards to fish, wildlife, and invertebrates:</w:t>
      </w:r>
    </w:p>
    <w:p w:rsidR="0019273F" w:rsidRPr="00014883" w:rsidRDefault="005634A1">
      <w:pPr>
        <w:autoSpaceDE w:val="0"/>
        <w:autoSpaceDN w:val="0"/>
        <w:adjustRightInd w:val="0"/>
        <w:jc w:val="both"/>
        <w:rPr>
          <w:rFonts w:ascii="Arial" w:eastAsia="PalatinoLinotype-Roman" w:hAnsi="Arial" w:cs="Arial"/>
        </w:rPr>
      </w:pPr>
      <w:r w:rsidRPr="00014883">
        <w:rPr>
          <w:rFonts w:ascii="Arial" w:eastAsia="PalatinoLinotype-Roman" w:hAnsi="Arial" w:cs="Arial"/>
        </w:rPr>
        <w:t>a synoptic review. U.S. Fish and Wildlife Service Patuxent - Wildlife Research Center.</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eastAsia="KCGDEH+GulliverRM" w:hAnsi="Arial" w:cs="Arial"/>
        </w:rPr>
      </w:pPr>
      <w:r w:rsidRPr="00014883">
        <w:rPr>
          <w:rFonts w:ascii="Arial" w:eastAsia="KCGDEH+GulliverRM" w:hAnsi="Arial" w:cs="Arial"/>
        </w:rPr>
        <w:t>Essumang, D. K. Dodoo, D. K. and Adjei, J. K. (2013). Effect of smoke generation sources and smoke curing duration on the levels of polycyclic aromatic hydrocarbon (PAH) in different suites of fish,</w:t>
      </w:r>
      <w:r w:rsidRPr="00014883">
        <w:rPr>
          <w:rFonts w:ascii="Arial" w:eastAsia="KCGDEH+GulliverRM" w:hAnsi="Arial" w:cs="Arial"/>
          <w:i/>
        </w:rPr>
        <w:t xml:space="preserve"> Journal of Food Chemistry and Toxicology, </w:t>
      </w:r>
      <w:r w:rsidRPr="00014883">
        <w:rPr>
          <w:rFonts w:ascii="Arial" w:eastAsia="KCGDEH+GulliverRM" w:hAnsi="Arial" w:cs="Arial"/>
          <w:b/>
        </w:rPr>
        <w:t>58</w:t>
      </w:r>
      <w:r w:rsidRPr="00014883">
        <w:rPr>
          <w:rFonts w:ascii="Arial" w:eastAsia="KCGDEH+GulliverRM" w:hAnsi="Arial" w:cs="Arial"/>
        </w:rPr>
        <w:t>: 86–94.</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tabs>
          <w:tab w:val="left" w:pos="1260"/>
        </w:tabs>
        <w:autoSpaceDE w:val="0"/>
        <w:autoSpaceDN w:val="0"/>
        <w:adjustRightInd w:val="0"/>
        <w:jc w:val="both"/>
        <w:rPr>
          <w:rFonts w:ascii="Arial" w:hAnsi="Arial" w:cs="Arial"/>
        </w:rPr>
      </w:pPr>
      <w:r w:rsidRPr="00014883">
        <w:rPr>
          <w:rFonts w:ascii="Arial" w:hAnsi="Arial" w:cs="Arial"/>
        </w:rPr>
        <w:t>European Commission Regulation (EU), (2011b). No. 835/2011 of 19 August 2011 amending regulation (EC) no 1881/2006 as regards maximum level for polycyclic aromatic hydrocarbons in foodstuffs.</w:t>
      </w:r>
      <w:r w:rsidRPr="00014883">
        <w:rPr>
          <w:rFonts w:ascii="Arial" w:hAnsi="Arial" w:cs="Arial"/>
          <w:i/>
        </w:rPr>
        <w:t xml:space="preserve">  Journal of European Union</w:t>
      </w:r>
      <w:r w:rsidRPr="00014883">
        <w:rPr>
          <w:rFonts w:ascii="Arial" w:hAnsi="Arial" w:cs="Arial"/>
        </w:rPr>
        <w:t xml:space="preserve">, </w:t>
      </w:r>
      <w:r w:rsidRPr="00014883">
        <w:rPr>
          <w:rFonts w:ascii="Arial" w:hAnsi="Arial" w:cs="Arial"/>
          <w:b/>
        </w:rPr>
        <w:t>215</w:t>
      </w:r>
      <w:r w:rsidRPr="00014883">
        <w:rPr>
          <w:rFonts w:ascii="Arial" w:hAnsi="Arial" w:cs="Arial"/>
        </w:rPr>
        <w:t>:18-23.</w:t>
      </w:r>
    </w:p>
    <w:p w:rsidR="0019273F" w:rsidRPr="00014883" w:rsidRDefault="0019273F">
      <w:pPr>
        <w:tabs>
          <w:tab w:val="left" w:pos="450"/>
          <w:tab w:val="left" w:pos="1260"/>
        </w:tabs>
        <w:autoSpaceDE w:val="0"/>
        <w:autoSpaceDN w:val="0"/>
        <w:adjustRightInd w:val="0"/>
        <w:ind w:left="567" w:hanging="567"/>
        <w:jc w:val="both"/>
        <w:rPr>
          <w:rFonts w:ascii="Arial" w:hAnsi="Arial" w:cs="Arial"/>
        </w:rPr>
      </w:pPr>
    </w:p>
    <w:p w:rsidR="0019273F" w:rsidRPr="00014883" w:rsidRDefault="005634A1">
      <w:pPr>
        <w:tabs>
          <w:tab w:val="left" w:pos="284"/>
          <w:tab w:val="left" w:pos="1260"/>
        </w:tabs>
        <w:autoSpaceDE w:val="0"/>
        <w:autoSpaceDN w:val="0"/>
        <w:adjustRightInd w:val="0"/>
        <w:jc w:val="both"/>
        <w:rPr>
          <w:rFonts w:ascii="Arial" w:hAnsi="Arial" w:cs="Arial"/>
        </w:rPr>
      </w:pPr>
      <w:r w:rsidRPr="00014883">
        <w:rPr>
          <w:rFonts w:ascii="Arial" w:hAnsi="Arial" w:cs="Arial"/>
        </w:rPr>
        <w:t>Feng, C., Luo, Q., and Wang, Z. (2009). Concentration levels and potential ecological risks of polycyclic aromatic hydrocarbons in Chinese rivers. Water Quality, Exposure and Health, 1(2), 105–113.</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Food and Agriculture Organization (FAO), (2008). The State of World Fisheries and Aquaculture (SOFIA).  PART 1: World review of fisheries and aquaculture, fish consumption, p 58-65.</w:t>
      </w:r>
    </w:p>
    <w:p w:rsidR="0019273F" w:rsidRPr="00014883" w:rsidRDefault="0019273F">
      <w:pPr>
        <w:autoSpaceDE w:val="0"/>
        <w:autoSpaceDN w:val="0"/>
        <w:adjustRightInd w:val="0"/>
        <w:ind w:left="567" w:hanging="567"/>
        <w:jc w:val="both"/>
        <w:rPr>
          <w:rFonts w:ascii="Arial" w:hAnsi="Arial" w:cs="Arial"/>
          <w:bCs/>
        </w:rPr>
      </w:pPr>
    </w:p>
    <w:p w:rsidR="0019273F" w:rsidRPr="00014883" w:rsidRDefault="005634A1">
      <w:pPr>
        <w:autoSpaceDE w:val="0"/>
        <w:autoSpaceDN w:val="0"/>
        <w:adjustRightInd w:val="0"/>
        <w:jc w:val="both"/>
        <w:rPr>
          <w:rFonts w:ascii="Arial" w:hAnsi="Arial" w:cs="Arial"/>
          <w:bCs/>
        </w:rPr>
      </w:pPr>
      <w:r w:rsidRPr="00014883">
        <w:rPr>
          <w:rFonts w:ascii="Arial" w:hAnsi="Arial" w:cs="Arial"/>
          <w:bCs/>
        </w:rPr>
        <w:t xml:space="preserve">Forsbery, N. D., Stone, D., Hardingm, A., Harper, B., Harris, S. Matzke, M. M., cardenas, A., Waters, K. M. and Anderson, K. A. (2013). Effect of native American fish smoking methods on dietary exposure to polycyclic aromatic hydrocarbons and possible risk to human health. </w:t>
      </w:r>
      <w:r w:rsidRPr="00014883">
        <w:rPr>
          <w:rFonts w:ascii="Arial" w:hAnsi="Arial" w:cs="Arial"/>
          <w:bCs/>
          <w:i/>
        </w:rPr>
        <w:t>Journal of Agriculture and Food Chemistry</w:t>
      </w:r>
      <w:r w:rsidRPr="00014883">
        <w:rPr>
          <w:rFonts w:ascii="Arial" w:hAnsi="Arial" w:cs="Arial"/>
          <w:bCs/>
        </w:rPr>
        <w:t xml:space="preserve">, </w:t>
      </w:r>
      <w:r w:rsidRPr="00014883">
        <w:rPr>
          <w:rFonts w:ascii="Arial" w:hAnsi="Arial" w:cs="Arial"/>
          <w:b/>
          <w:bCs/>
        </w:rPr>
        <w:t>60</w:t>
      </w:r>
      <w:r w:rsidRPr="00014883">
        <w:rPr>
          <w:rFonts w:ascii="Arial" w:hAnsi="Arial" w:cs="Arial"/>
          <w:bCs/>
        </w:rPr>
        <w:t>: 6899-6906.</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pStyle w:val="Default"/>
        <w:jc w:val="both"/>
        <w:rPr>
          <w:rFonts w:ascii="Arial" w:hAnsi="Arial" w:cs="Arial"/>
          <w:color w:val="auto"/>
          <w:sz w:val="20"/>
          <w:szCs w:val="20"/>
        </w:rPr>
      </w:pPr>
      <w:r w:rsidRPr="00014883">
        <w:rPr>
          <w:rFonts w:ascii="Arial" w:hAnsi="Arial" w:cs="Arial"/>
          <w:color w:val="auto"/>
          <w:sz w:val="20"/>
          <w:szCs w:val="20"/>
        </w:rPr>
        <w:t xml:space="preserve">Frédéric, O. and Yves, P. (2014). Pharmaceuticals in hospital wastewater: Their ecotoxicity and contribution to the environmental hazard of the effluent. </w:t>
      </w:r>
      <w:r w:rsidRPr="00014883">
        <w:rPr>
          <w:rFonts w:ascii="Arial" w:hAnsi="Arial" w:cs="Arial"/>
          <w:i/>
          <w:iCs/>
          <w:color w:val="auto"/>
          <w:sz w:val="20"/>
          <w:szCs w:val="20"/>
        </w:rPr>
        <w:t xml:space="preserve">Chemosphere, </w:t>
      </w:r>
      <w:r w:rsidRPr="00014883">
        <w:rPr>
          <w:rFonts w:ascii="Arial" w:hAnsi="Arial" w:cs="Arial"/>
          <w:b/>
          <w:i/>
          <w:iCs/>
          <w:color w:val="auto"/>
          <w:sz w:val="20"/>
          <w:szCs w:val="20"/>
        </w:rPr>
        <w:t>115</w:t>
      </w:r>
      <w:r w:rsidRPr="00014883">
        <w:rPr>
          <w:rFonts w:ascii="Arial" w:hAnsi="Arial" w:cs="Arial"/>
          <w:color w:val="auto"/>
          <w:sz w:val="20"/>
          <w:szCs w:val="20"/>
        </w:rPr>
        <w:t>, 32–37.</w:t>
      </w:r>
    </w:p>
    <w:p w:rsidR="0019273F" w:rsidRPr="00014883" w:rsidRDefault="005634A1">
      <w:pPr>
        <w:pStyle w:val="Default"/>
        <w:spacing w:before="240"/>
        <w:jc w:val="both"/>
        <w:rPr>
          <w:rFonts w:ascii="Arial" w:hAnsi="Arial" w:cs="Arial"/>
          <w:color w:val="auto"/>
          <w:sz w:val="20"/>
          <w:szCs w:val="20"/>
        </w:rPr>
      </w:pPr>
      <w:r w:rsidRPr="00014883">
        <w:rPr>
          <w:rFonts w:ascii="Arial" w:eastAsia="Times New Roman" w:hAnsi="Arial" w:cs="Arial"/>
          <w:color w:val="auto"/>
          <w:sz w:val="20"/>
          <w:szCs w:val="20"/>
        </w:rPr>
        <w:t xml:space="preserve">Gado, M. S. and Midany, S. A. (2003). Studies on some heavy metal pollutants in cultured </w:t>
      </w:r>
      <w:r w:rsidRPr="00014883">
        <w:rPr>
          <w:rFonts w:ascii="Arial" w:eastAsia="Times New Roman" w:hAnsi="Arial" w:cs="Arial"/>
          <w:i/>
          <w:color w:val="auto"/>
          <w:sz w:val="20"/>
          <w:szCs w:val="20"/>
        </w:rPr>
        <w:t>Oreochromis niloticus</w:t>
      </w:r>
      <w:r w:rsidRPr="00014883">
        <w:rPr>
          <w:rFonts w:ascii="Arial" w:eastAsia="Times New Roman" w:hAnsi="Arial" w:cs="Arial"/>
          <w:color w:val="auto"/>
          <w:sz w:val="20"/>
          <w:szCs w:val="20"/>
        </w:rPr>
        <w:t xml:space="preserve"> fish at Kafer EI-Sheikh Governorate. Kafer EI-Sheikh. </w:t>
      </w:r>
      <w:r w:rsidRPr="00014883">
        <w:rPr>
          <w:rFonts w:ascii="Arial" w:eastAsia="Times New Roman" w:hAnsi="Arial" w:cs="Arial"/>
          <w:i/>
          <w:color w:val="auto"/>
          <w:sz w:val="20"/>
          <w:szCs w:val="20"/>
        </w:rPr>
        <w:t xml:space="preserve">Veterinary Medicine Journal, </w:t>
      </w:r>
      <w:r w:rsidRPr="00014883">
        <w:rPr>
          <w:rFonts w:ascii="Arial" w:eastAsia="Times New Roman" w:hAnsi="Arial" w:cs="Arial"/>
          <w:b/>
          <w:color w:val="auto"/>
          <w:sz w:val="20"/>
          <w:szCs w:val="20"/>
        </w:rPr>
        <w:t>1</w:t>
      </w:r>
      <w:r w:rsidRPr="00014883">
        <w:rPr>
          <w:rFonts w:ascii="Arial" w:eastAsia="Times New Roman" w:hAnsi="Arial" w:cs="Arial"/>
          <w:color w:val="auto"/>
          <w:sz w:val="20"/>
          <w:szCs w:val="20"/>
        </w:rPr>
        <w:t>: 83-95.</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Gao, Y. Z. and Zhu, L.  Z. (2004). Plant uptake, accumulation, and translocation of phenanthrene and pyrene in soils, </w:t>
      </w:r>
      <w:r w:rsidRPr="00014883">
        <w:rPr>
          <w:rFonts w:ascii="Arial" w:hAnsi="Arial" w:cs="Arial"/>
          <w:i/>
        </w:rPr>
        <w:t xml:space="preserve">Chemosphere, </w:t>
      </w:r>
      <w:r w:rsidRPr="00014883">
        <w:rPr>
          <w:rFonts w:ascii="Arial" w:hAnsi="Arial" w:cs="Arial"/>
          <w:b/>
        </w:rPr>
        <w:t>55</w:t>
      </w:r>
      <w:r w:rsidRPr="00014883">
        <w:rPr>
          <w:rFonts w:ascii="Arial" w:hAnsi="Arial" w:cs="Arial"/>
        </w:rPr>
        <w:t>: 1169–1178.</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Grimmer, G. (1983). Environmental Carcinogens: Polycyclic Aromatic Hydrocarbons. CRC Press, Boca Raton, FL</w:t>
      </w:r>
      <w:r w:rsidRPr="00014883">
        <w:rPr>
          <w:rFonts w:ascii="Arial" w:hAnsi="Arial" w:cs="Arial"/>
          <w:b/>
        </w:rPr>
        <w:t>, p</w:t>
      </w:r>
      <w:r w:rsidRPr="00014883">
        <w:rPr>
          <w:rFonts w:ascii="Arial" w:hAnsi="Arial" w:cs="Arial"/>
        </w:rPr>
        <w:t xml:space="preserve"> 42</w:t>
      </w:r>
    </w:p>
    <w:p w:rsidR="0019273F" w:rsidRPr="00014883" w:rsidRDefault="0019273F">
      <w:pPr>
        <w:autoSpaceDE w:val="0"/>
        <w:autoSpaceDN w:val="0"/>
        <w:adjustRightInd w:val="0"/>
        <w:jc w:val="both"/>
        <w:rPr>
          <w:rFonts w:ascii="Arial" w:hAnsi="Arial" w:cs="Arial"/>
        </w:rPr>
      </w:pPr>
    </w:p>
    <w:p w:rsidR="0019273F" w:rsidRPr="00014883" w:rsidRDefault="005634A1" w:rsidP="0046209B">
      <w:pPr>
        <w:jc w:val="both"/>
        <w:rPr>
          <w:rFonts w:ascii="Arial" w:eastAsia="Arial" w:hAnsi="Arial" w:cs="Arial"/>
        </w:rPr>
      </w:pPr>
      <w:r w:rsidRPr="00014883">
        <w:rPr>
          <w:rFonts w:ascii="Arial" w:eastAsia="Arial" w:hAnsi="Arial" w:cs="Arial"/>
          <w:lang w:eastAsia="zh-CN" w:bidi="ar"/>
        </w:rPr>
        <w:t xml:space="preserve">Ihunwo, O.C. Shahabinia, A.R. Udo, K. S. Bonnail, E. Onyema, M.O. Dibofori-Orji, A.N. and Mmom, P. C. (2019). </w:t>
      </w:r>
      <w:r w:rsidRPr="00014883">
        <w:rPr>
          <w:rFonts w:ascii="Arial" w:eastAsia="Georgia" w:hAnsi="Arial" w:cs="Arial"/>
          <w:lang w:eastAsia="zh-CN" w:bidi="ar"/>
        </w:rPr>
        <w:t xml:space="preserve">Distribution of polycyclic aromatic hydrocarbons in Woji Creek, in the Niger Delta, </w:t>
      </w:r>
      <w:r w:rsidRPr="00014883">
        <w:rPr>
          <w:rFonts w:ascii="Arial" w:eastAsia="Arial" w:hAnsi="Arial" w:cs="Arial"/>
          <w:i/>
          <w:iCs/>
          <w:lang w:eastAsia="zh-CN" w:bidi="ar"/>
        </w:rPr>
        <w:t>Environmental Research Communication</w:t>
      </w:r>
      <w:r w:rsidRPr="00014883">
        <w:rPr>
          <w:rFonts w:ascii="Arial" w:eastAsia="Arial" w:hAnsi="Arial" w:cs="Arial"/>
          <w:lang w:eastAsia="zh-CN" w:bidi="ar"/>
        </w:rPr>
        <w:t>, 1 (12) Article 125001, </w:t>
      </w:r>
      <w:hyperlink r:id="rId18" w:tgtFrame="https://www.sciencedirect.com/science/article/pii/_blank" w:history="1">
        <w:r w:rsidRPr="00014883">
          <w:rPr>
            <w:rStyle w:val="Hyperlink"/>
            <w:rFonts w:ascii="Arial" w:eastAsia="Arial" w:hAnsi="Arial" w:cs="Arial"/>
            <w:color w:val="auto"/>
            <w:u w:val="none"/>
          </w:rPr>
          <w:t>10.1088/2515-7620/ab50f2</w:t>
        </w:r>
      </w:hyperlink>
    </w:p>
    <w:p w:rsidR="0019273F" w:rsidRPr="00014883" w:rsidRDefault="0019273F" w:rsidP="0046209B">
      <w:pPr>
        <w:autoSpaceDE w:val="0"/>
        <w:autoSpaceDN w:val="0"/>
        <w:adjustRightInd w:val="0"/>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International Agency for Research on Cancer (IARC), (2002). Section 3. Carcinogenicity studies in experimental animals (IARC Monograph). Lyon, France p. 973-1003.</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Jiang, Y. H., Li, M. X., Guo, C. S., An, D., Xu, J., Zhang, Y., and Xi, B.D. (2014). Distribution and ecological risk of antibiotics in a typical effluent–receiving river (Wangyang river) I n north China. </w:t>
      </w:r>
      <w:r w:rsidRPr="00014883">
        <w:rPr>
          <w:rFonts w:ascii="Arial" w:hAnsi="Arial" w:cs="Arial"/>
          <w:i/>
          <w:iCs/>
        </w:rPr>
        <w:t>Chemosphere</w:t>
      </w:r>
      <w:r w:rsidRPr="00014883">
        <w:rPr>
          <w:rFonts w:ascii="Arial" w:hAnsi="Arial" w:cs="Arial"/>
        </w:rPr>
        <w:t xml:space="preserve">, </w:t>
      </w:r>
      <w:r w:rsidRPr="00014883">
        <w:rPr>
          <w:rFonts w:ascii="Arial" w:hAnsi="Arial" w:cs="Arial"/>
          <w:b/>
          <w:iCs/>
        </w:rPr>
        <w:t>12:</w:t>
      </w:r>
      <w:r w:rsidRPr="00014883">
        <w:rPr>
          <w:rFonts w:ascii="Arial" w:hAnsi="Arial" w:cs="Arial"/>
        </w:rPr>
        <w:t xml:space="preserve"> 268–273.</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pStyle w:val="Default"/>
        <w:jc w:val="both"/>
        <w:rPr>
          <w:rFonts w:ascii="Arial" w:hAnsi="Arial" w:cs="Arial"/>
          <w:color w:val="auto"/>
          <w:sz w:val="20"/>
          <w:szCs w:val="20"/>
        </w:rPr>
      </w:pPr>
      <w:r w:rsidRPr="00014883">
        <w:rPr>
          <w:rFonts w:ascii="Arial" w:hAnsi="Arial" w:cs="Arial"/>
          <w:color w:val="auto"/>
          <w:sz w:val="20"/>
          <w:szCs w:val="20"/>
        </w:rPr>
        <w:t xml:space="preserve">Nsikak U. B., Winifred U. A., Adebusayo E. A., Omowunmi H. F. and Kelechi, P. E. (2017).  Polycyclic aromatic hydrocarbons in imported Sardinops sagax: Levels and health risk assessments through dietary exposure in Nigeria. </w:t>
      </w:r>
      <w:r w:rsidRPr="00014883">
        <w:rPr>
          <w:rFonts w:ascii="Arial" w:hAnsi="Arial" w:cs="Arial"/>
          <w:i/>
          <w:color w:val="auto"/>
          <w:sz w:val="20"/>
          <w:szCs w:val="20"/>
        </w:rPr>
        <w:t xml:space="preserve">Journal of food composition and analysis, </w:t>
      </w:r>
      <w:r w:rsidRPr="00014883">
        <w:rPr>
          <w:rFonts w:ascii="Arial" w:hAnsi="Arial" w:cs="Arial"/>
          <w:b/>
          <w:color w:val="auto"/>
          <w:sz w:val="20"/>
          <w:szCs w:val="20"/>
        </w:rPr>
        <w:t>57:</w:t>
      </w:r>
      <w:r w:rsidRPr="00014883">
        <w:rPr>
          <w:rFonts w:ascii="Arial" w:hAnsi="Arial" w:cs="Arial"/>
          <w:color w:val="auto"/>
          <w:sz w:val="20"/>
          <w:szCs w:val="20"/>
        </w:rPr>
        <w:t xml:space="preserve"> 109-116.</w:t>
      </w:r>
    </w:p>
    <w:p w:rsidR="0019273F" w:rsidRPr="00014883" w:rsidRDefault="0019273F">
      <w:pPr>
        <w:pStyle w:val="Default"/>
        <w:ind w:left="567" w:hanging="567"/>
        <w:jc w:val="both"/>
        <w:rPr>
          <w:rFonts w:ascii="Arial" w:hAnsi="Arial" w:cs="Arial"/>
          <w:color w:val="auto"/>
          <w:sz w:val="20"/>
          <w:szCs w:val="20"/>
        </w:rPr>
      </w:pPr>
    </w:p>
    <w:p w:rsidR="0019273F" w:rsidRPr="00014883" w:rsidRDefault="005634A1">
      <w:pPr>
        <w:pStyle w:val="Default"/>
        <w:jc w:val="both"/>
        <w:rPr>
          <w:rFonts w:ascii="Arial" w:hAnsi="Arial" w:cs="Arial"/>
          <w:color w:val="auto"/>
          <w:sz w:val="20"/>
          <w:szCs w:val="20"/>
        </w:rPr>
      </w:pPr>
      <w:r w:rsidRPr="00014883">
        <w:rPr>
          <w:rFonts w:ascii="Arial" w:hAnsi="Arial" w:cs="Arial"/>
          <w:color w:val="auto"/>
          <w:sz w:val="20"/>
          <w:szCs w:val="20"/>
        </w:rPr>
        <w:t xml:space="preserve">Nwaichia, E.O. and Ntorgobo, S. A. (2016). Assessment of PAHs levels in some fish and seafood from different coastal waters in the Niger Delta. </w:t>
      </w:r>
      <w:r w:rsidRPr="00014883">
        <w:rPr>
          <w:rFonts w:ascii="Arial" w:hAnsi="Arial" w:cs="Arial"/>
          <w:i/>
          <w:color w:val="auto"/>
          <w:sz w:val="20"/>
          <w:szCs w:val="20"/>
        </w:rPr>
        <w:t>Toxicology Reports</w:t>
      </w:r>
      <w:r w:rsidRPr="00014883">
        <w:rPr>
          <w:rFonts w:ascii="Arial" w:hAnsi="Arial" w:cs="Arial"/>
          <w:color w:val="auto"/>
          <w:sz w:val="20"/>
          <w:szCs w:val="20"/>
        </w:rPr>
        <w:t>,</w:t>
      </w:r>
      <w:r w:rsidRPr="00014883">
        <w:rPr>
          <w:rFonts w:ascii="Arial" w:hAnsi="Arial" w:cs="Arial"/>
          <w:b/>
          <w:color w:val="auto"/>
          <w:sz w:val="20"/>
          <w:szCs w:val="20"/>
        </w:rPr>
        <w:t xml:space="preserve"> 3</w:t>
      </w:r>
      <w:r w:rsidRPr="00014883">
        <w:rPr>
          <w:rFonts w:ascii="Arial" w:hAnsi="Arial" w:cs="Arial"/>
          <w:color w:val="auto"/>
          <w:sz w:val="20"/>
          <w:szCs w:val="20"/>
        </w:rPr>
        <w:t>, 167–172.</w:t>
      </w:r>
    </w:p>
    <w:p w:rsidR="0019273F" w:rsidRPr="00014883" w:rsidRDefault="0019273F">
      <w:pPr>
        <w:autoSpaceDE w:val="0"/>
        <w:autoSpaceDN w:val="0"/>
        <w:adjustRightInd w:val="0"/>
        <w:ind w:left="567" w:hanging="567"/>
        <w:jc w:val="both"/>
        <w:rPr>
          <w:rFonts w:ascii="Arial" w:hAnsi="Arial" w:cs="Arial"/>
        </w:rPr>
      </w:pP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spacing w:after="240"/>
        <w:jc w:val="both"/>
        <w:rPr>
          <w:rFonts w:ascii="Arial" w:hAnsi="Arial" w:cs="Arial"/>
        </w:rPr>
      </w:pPr>
      <w:r w:rsidRPr="00014883">
        <w:rPr>
          <w:rFonts w:ascii="Arial" w:hAnsi="Arial" w:cs="Arial"/>
          <w:bCs/>
        </w:rPr>
        <w:t>Obiakor</w:t>
      </w:r>
      <w:r w:rsidRPr="00014883">
        <w:rPr>
          <w:rFonts w:ascii="Arial" w:hAnsi="Arial" w:cs="Arial"/>
        </w:rPr>
        <w:t xml:space="preserve">, </w:t>
      </w:r>
      <w:r w:rsidRPr="00014883">
        <w:rPr>
          <w:rFonts w:ascii="Arial" w:hAnsi="Arial" w:cs="Arial"/>
          <w:bCs/>
        </w:rPr>
        <w:t>M. O. Okonkwo</w:t>
      </w:r>
      <w:r w:rsidRPr="00014883">
        <w:rPr>
          <w:rFonts w:ascii="Arial" w:hAnsi="Arial" w:cs="Arial"/>
        </w:rPr>
        <w:t xml:space="preserve">, J. </w:t>
      </w:r>
      <w:r w:rsidRPr="00014883">
        <w:rPr>
          <w:rFonts w:ascii="Arial" w:hAnsi="Arial" w:cs="Arial"/>
          <w:bCs/>
        </w:rPr>
        <w:t>C.  Ezeonyejiaku</w:t>
      </w:r>
      <w:r w:rsidRPr="00014883">
        <w:rPr>
          <w:rFonts w:ascii="Arial" w:hAnsi="Arial" w:cs="Arial"/>
        </w:rPr>
        <w:t xml:space="preserve">, </w:t>
      </w:r>
      <w:r w:rsidRPr="00014883">
        <w:rPr>
          <w:rFonts w:ascii="Arial" w:hAnsi="Arial" w:cs="Arial"/>
          <w:bCs/>
        </w:rPr>
        <w:t xml:space="preserve">C. D., and Okonkwo, C.N. </w:t>
      </w:r>
      <w:r w:rsidRPr="00014883">
        <w:rPr>
          <w:rFonts w:ascii="Arial" w:hAnsi="Arial" w:cs="Arial"/>
        </w:rPr>
        <w:t xml:space="preserve">(2014). </w:t>
      </w:r>
      <w:r w:rsidRPr="00014883">
        <w:rPr>
          <w:rFonts w:ascii="Arial" w:hAnsi="Arial" w:cs="Arial"/>
          <w:bCs/>
        </w:rPr>
        <w:t>Polycyclic aromatic hydrocarbons (PAHs) in freshwater media, factorial effects and human dietary exposure.</w:t>
      </w:r>
      <w:r w:rsidRPr="00014883">
        <w:rPr>
          <w:rFonts w:ascii="Arial" w:hAnsi="Arial" w:cs="Arial"/>
          <w:bCs/>
          <w:i/>
        </w:rPr>
        <w:t xml:space="preserve"> Risk Assessment</w:t>
      </w:r>
      <w:r w:rsidRPr="00014883">
        <w:rPr>
          <w:rFonts w:ascii="Arial" w:hAnsi="Arial" w:cs="Arial"/>
          <w:i/>
        </w:rPr>
        <w:t xml:space="preserve"> Resources and Environment, </w:t>
      </w:r>
      <w:r w:rsidRPr="00014883">
        <w:rPr>
          <w:rFonts w:ascii="Arial" w:hAnsi="Arial" w:cs="Arial"/>
          <w:b/>
        </w:rPr>
        <w:t>4</w:t>
      </w:r>
      <w:r w:rsidRPr="00014883">
        <w:rPr>
          <w:rFonts w:ascii="Arial" w:hAnsi="Arial" w:cs="Arial"/>
        </w:rPr>
        <w:t>(6): 247-259.</w:t>
      </w:r>
    </w:p>
    <w:p w:rsidR="0019273F" w:rsidRPr="00014883" w:rsidRDefault="005634A1">
      <w:pPr>
        <w:autoSpaceDE w:val="0"/>
        <w:autoSpaceDN w:val="0"/>
        <w:adjustRightInd w:val="0"/>
        <w:spacing w:after="240"/>
        <w:jc w:val="both"/>
        <w:rPr>
          <w:rFonts w:ascii="Arial" w:hAnsi="Arial" w:cs="Arial"/>
        </w:rPr>
      </w:pPr>
      <w:r w:rsidRPr="00014883">
        <w:rPr>
          <w:rFonts w:ascii="Arial" w:hAnsi="Arial" w:cs="Arial"/>
        </w:rPr>
        <w:t xml:space="preserve">Ogana J., Orji E. C., Nworji O. F., and Okechukwu N. O. (2023). Human Health Risks Assessment of Some Heavy Metals in </w:t>
      </w:r>
      <w:r w:rsidRPr="00014883">
        <w:rPr>
          <w:rFonts w:ascii="Arial" w:hAnsi="Arial" w:cs="Arial"/>
          <w:i/>
          <w:iCs/>
        </w:rPr>
        <w:t xml:space="preserve">Papyrocranus Afer </w:t>
      </w:r>
      <w:r w:rsidRPr="00014883">
        <w:rPr>
          <w:rFonts w:ascii="Arial" w:hAnsi="Arial" w:cs="Arial"/>
        </w:rPr>
        <w:t xml:space="preserve">from the Banegbe River. </w:t>
      </w:r>
      <w:r w:rsidRPr="00014883">
        <w:rPr>
          <w:rFonts w:ascii="Arial" w:hAnsi="Arial" w:cs="Arial"/>
          <w:i/>
          <w:iCs/>
        </w:rPr>
        <w:t>Biomedical Journal of Scientific and Technical Research</w:t>
      </w:r>
      <w:r w:rsidRPr="00014883">
        <w:rPr>
          <w:rFonts w:ascii="Arial" w:hAnsi="Arial" w:cs="Arial"/>
        </w:rPr>
        <w:t xml:space="preserve"> 50(5)- 2023. DOI: 10.26717/BJSTR.2023.50.008021</w:t>
      </w:r>
    </w:p>
    <w:p w:rsidR="0019273F" w:rsidRPr="00014883" w:rsidRDefault="005634A1">
      <w:pPr>
        <w:autoSpaceDE w:val="0"/>
        <w:autoSpaceDN w:val="0"/>
        <w:adjustRightInd w:val="0"/>
        <w:jc w:val="both"/>
        <w:rPr>
          <w:rFonts w:ascii="Arial" w:hAnsi="Arial" w:cs="Arial"/>
        </w:rPr>
      </w:pPr>
      <w:r w:rsidRPr="00014883">
        <w:rPr>
          <w:rFonts w:ascii="Arial" w:hAnsi="Arial" w:cs="Arial"/>
        </w:rPr>
        <w:t>Orecchio, S., and Papuzza, V. (2009). Levels, fingerprint and daily intake of polycyclic aromatic hydrocarbons (PAHs) in bread baked using wood as fuel. Journal of Hazardous Materials, 164(2–3), 876–883.</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Perra, G., Pozo, K., Guerranti, C., Lazzeri, D., Volpi, V., Corsolini, S., and Focardi, S. (2011). Levels and spatial distribution of polycyclic aromatic hydrocarbons (PAHs) in superficial sediment from 15 Italian marine protected areas (MPA), </w:t>
      </w:r>
      <w:r w:rsidRPr="00014883">
        <w:rPr>
          <w:rFonts w:ascii="Arial" w:hAnsi="Arial" w:cs="Arial"/>
          <w:i/>
        </w:rPr>
        <w:t>Marine Pollution Bulletin</w:t>
      </w:r>
      <w:r w:rsidRPr="00014883">
        <w:rPr>
          <w:rFonts w:ascii="Arial" w:hAnsi="Arial" w:cs="Arial"/>
        </w:rPr>
        <w:t xml:space="preserve">, </w:t>
      </w:r>
      <w:r w:rsidRPr="00014883">
        <w:rPr>
          <w:rFonts w:ascii="Arial" w:hAnsi="Arial" w:cs="Arial"/>
          <w:b/>
        </w:rPr>
        <w:t>62</w:t>
      </w:r>
      <w:r w:rsidRPr="00014883">
        <w:rPr>
          <w:rFonts w:ascii="Arial" w:hAnsi="Arial" w:cs="Arial"/>
        </w:rPr>
        <w:t>(4):  874-877.</w:t>
      </w:r>
    </w:p>
    <w:p w:rsidR="0019273F" w:rsidRPr="00014883" w:rsidRDefault="0019273F">
      <w:pPr>
        <w:autoSpaceDE w:val="0"/>
        <w:autoSpaceDN w:val="0"/>
        <w:adjustRightInd w:val="0"/>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Qu, Y., Gong, Y., Ma, J., Wei, H., Liu, Q., Liu, L., Wu, H., Yang, S. and Chen, Y. (2022). Potential Sources Influencing factor, and Health Risk of Polycyclic Aromatic Hydrocarbons (PAHs) in the Surface Soil of Urban Parks in Beijing, China, </w:t>
      </w:r>
      <w:r w:rsidRPr="00014883">
        <w:rPr>
          <w:rFonts w:ascii="Arial" w:hAnsi="Arial" w:cs="Arial"/>
          <w:i/>
          <w:iCs/>
        </w:rPr>
        <w:t xml:space="preserve">Environmental Pollution, </w:t>
      </w:r>
      <w:r w:rsidRPr="00014883">
        <w:rPr>
          <w:rFonts w:ascii="Arial" w:hAnsi="Arial" w:cs="Arial"/>
        </w:rPr>
        <w:t>260, 114016</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Qui, Y. W., Zhang, G., Liu, G. O., Guo, L. L. and Li, X. D. (2009). Polycyclic Aromatic Hydrocarbons (PAHs) in water Column and Sediment core of Deep Bay, South China. </w:t>
      </w:r>
      <w:r w:rsidRPr="00014883">
        <w:rPr>
          <w:rFonts w:ascii="Arial" w:hAnsi="Arial" w:cs="Arial"/>
          <w:i/>
        </w:rPr>
        <w:t>Estuarine, Coastal and Shelf Science</w:t>
      </w:r>
      <w:r w:rsidRPr="00014883">
        <w:rPr>
          <w:rFonts w:ascii="Arial" w:hAnsi="Arial" w:cs="Arial"/>
        </w:rPr>
        <w:t>, 83(1): 60-66.</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lastRenderedPageBreak/>
        <w:t>Stuermer DH, Ng DJ, Morris CJ (1982) Organic contaminants in groundwater near underground coal gasification site in northeastern Wyoming. Environmental science and technology, 16:582-587.</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Sun, F., Littlejohn, D., and David Gibson, M. (1998). Ultrasonication extraction and solid phase extraction clean-up for determination of US EPA 16 priority pollutant polycyclic aromatic hydrocarbons in soils by reversed-phase liquid chromatography with ultraviolet absorption detection. Analytica Chimica Acta, 364(1–3), 1–11.</w:t>
      </w:r>
    </w:p>
    <w:p w:rsidR="0019273F" w:rsidRPr="00014883" w:rsidRDefault="0019273F">
      <w:pPr>
        <w:rPr>
          <w:rFonts w:ascii="Arial" w:eastAsia="AGaramondPro" w:hAnsi="Arial" w:cs="Arial"/>
          <w:lang w:eastAsia="zh-CN" w:bidi="ar"/>
        </w:rPr>
      </w:pPr>
    </w:p>
    <w:p w:rsidR="0019273F" w:rsidRPr="00014883" w:rsidRDefault="005634A1">
      <w:pPr>
        <w:rPr>
          <w:rFonts w:ascii="Arial" w:hAnsi="Arial" w:cs="Arial"/>
        </w:rPr>
      </w:pPr>
      <w:r w:rsidRPr="00014883">
        <w:rPr>
          <w:rFonts w:ascii="Arial" w:eastAsia="AGaramondPro" w:hAnsi="Arial" w:cs="Arial"/>
          <w:lang w:eastAsia="zh-CN" w:bidi="ar"/>
        </w:rPr>
        <w:t>Tongo, I., Ogbeide, O., Ezemonye, L., 2017. Human health risk assessment of polycyclic aromatic hydrocarbons (PAHs) in smoked fish species from markets in Southern Nigeria. Toxicology Reports. 4, 55–61. https://doi.org/10.1016/j.toxrep.2016.12.006</w:t>
      </w:r>
    </w:p>
    <w:p w:rsidR="0019273F" w:rsidRPr="00014883" w:rsidRDefault="0019273F">
      <w:pPr>
        <w:autoSpaceDE w:val="0"/>
        <w:autoSpaceDN w:val="0"/>
        <w:adjustRightInd w:val="0"/>
        <w:jc w:val="both"/>
        <w:rPr>
          <w:rFonts w:ascii="Arial" w:hAnsi="Arial" w:cs="Arial"/>
        </w:rPr>
      </w:pP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Tongo, I., Ettor, E. F. and Ezemonye, L. I. N. (2018). Human health risk assessment of PAHs in fish and shellfish from Amariaria community, Bonny River, Nigeria. </w:t>
      </w:r>
      <w:r w:rsidRPr="00014883">
        <w:rPr>
          <w:rFonts w:ascii="Arial" w:hAnsi="Arial" w:cs="Arial"/>
          <w:i/>
        </w:rPr>
        <w:t>Journal of applied Science and Environmental Management</w:t>
      </w:r>
      <w:r w:rsidRPr="00014883">
        <w:rPr>
          <w:rFonts w:ascii="Arial" w:hAnsi="Arial" w:cs="Arial"/>
        </w:rPr>
        <w:t xml:space="preserve">, </w:t>
      </w:r>
      <w:r w:rsidRPr="00014883">
        <w:rPr>
          <w:rFonts w:ascii="Arial" w:hAnsi="Arial" w:cs="Arial"/>
          <w:b/>
        </w:rPr>
        <w:t>22</w:t>
      </w:r>
      <w:r w:rsidRPr="00014883">
        <w:rPr>
          <w:rFonts w:ascii="Arial" w:hAnsi="Arial" w:cs="Arial"/>
        </w:rPr>
        <w:t xml:space="preserve"> (5): 731-736 </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autoSpaceDE w:val="0"/>
        <w:autoSpaceDN w:val="0"/>
        <w:adjustRightInd w:val="0"/>
        <w:jc w:val="both"/>
        <w:rPr>
          <w:rFonts w:ascii="Arial" w:hAnsi="Arial" w:cs="Arial"/>
        </w:rPr>
      </w:pPr>
      <w:r w:rsidRPr="00014883">
        <w:rPr>
          <w:rFonts w:ascii="Arial" w:hAnsi="Arial" w:cs="Arial"/>
        </w:rPr>
        <w:t>United States Environmental Protection Agency (USEPA). (1996). Soil Screening Guidance: Technical Background Document. EPA/540/R-95/128.</w:t>
      </w:r>
    </w:p>
    <w:p w:rsidR="0019273F" w:rsidRPr="00014883" w:rsidRDefault="0019273F">
      <w:pPr>
        <w:ind w:left="567" w:hanging="567"/>
        <w:jc w:val="both"/>
        <w:rPr>
          <w:rFonts w:ascii="Arial" w:hAnsi="Arial" w:cs="Arial"/>
        </w:rPr>
      </w:pPr>
    </w:p>
    <w:p w:rsidR="0019273F" w:rsidRPr="00014883" w:rsidRDefault="005634A1">
      <w:pPr>
        <w:jc w:val="both"/>
        <w:rPr>
          <w:rFonts w:ascii="Arial" w:hAnsi="Arial" w:cs="Arial"/>
        </w:rPr>
      </w:pPr>
      <w:r w:rsidRPr="00014883">
        <w:rPr>
          <w:rFonts w:ascii="Arial" w:hAnsi="Arial" w:cs="Arial"/>
        </w:rPr>
        <w:t>United States Environmental Protection Agency (USEPA), (2000). Guidance for Assessing Chemical Contaminant Date for Use in Fish Advisories. Risk Assessment and fish consumption limits, 3rd edition, volume 2 EPa 823-B-00-008.</w:t>
      </w:r>
    </w:p>
    <w:p w:rsidR="0019273F" w:rsidRPr="00014883" w:rsidRDefault="0019273F">
      <w:pPr>
        <w:ind w:left="567" w:hanging="567"/>
        <w:jc w:val="both"/>
        <w:rPr>
          <w:rFonts w:ascii="Arial" w:hAnsi="Arial" w:cs="Arial"/>
        </w:rPr>
      </w:pPr>
    </w:p>
    <w:p w:rsidR="0019273F" w:rsidRPr="00014883" w:rsidRDefault="005634A1">
      <w:pPr>
        <w:spacing w:after="240"/>
        <w:jc w:val="both"/>
        <w:rPr>
          <w:rFonts w:ascii="Arial" w:hAnsi="Arial" w:cs="Arial"/>
        </w:rPr>
      </w:pPr>
      <w:r w:rsidRPr="00014883">
        <w:rPr>
          <w:rFonts w:ascii="Arial" w:hAnsi="Arial" w:cs="Arial"/>
        </w:rPr>
        <w:t xml:space="preserve">United States Environmental Protection Agency (USEPA) 8015, (2004). Method 8015 Extraction and analysis for total recoverable hydrocarbons by gas chromatography Washington, DC. </w:t>
      </w:r>
    </w:p>
    <w:p w:rsidR="0019273F" w:rsidRPr="00014883" w:rsidRDefault="005634A1">
      <w:pPr>
        <w:spacing w:after="240"/>
        <w:jc w:val="both"/>
        <w:rPr>
          <w:rFonts w:ascii="Arial" w:hAnsi="Arial" w:cs="Arial"/>
        </w:rPr>
      </w:pPr>
      <w:r w:rsidRPr="00014883">
        <w:rPr>
          <w:rFonts w:ascii="Arial" w:hAnsi="Arial" w:cs="Arial"/>
        </w:rPr>
        <w:t>United States Environmental Protection Agency (USEPA) 8270, (2004). Method 8270 Extraction and analysis for polycyclic aromatic hydrocarbons by gas chromatography Washington, DC.</w:t>
      </w:r>
    </w:p>
    <w:p w:rsidR="0019273F" w:rsidRPr="00014883" w:rsidRDefault="005634A1">
      <w:pPr>
        <w:spacing w:after="240"/>
        <w:jc w:val="both"/>
        <w:rPr>
          <w:rFonts w:ascii="Arial" w:hAnsi="Arial" w:cs="Arial"/>
        </w:rPr>
      </w:pPr>
      <w:r w:rsidRPr="00014883">
        <w:rPr>
          <w:rFonts w:ascii="Arial" w:hAnsi="Arial" w:cs="Arial"/>
        </w:rPr>
        <w:t>United States Environmental Protection Agency (USEPA), (2008). Report on the Environment (ROE) (2008 Final Report)</w:t>
      </w:r>
    </w:p>
    <w:p w:rsidR="0019273F" w:rsidRPr="00014883" w:rsidRDefault="005634A1">
      <w:pPr>
        <w:tabs>
          <w:tab w:val="left" w:pos="90"/>
        </w:tabs>
        <w:autoSpaceDE w:val="0"/>
        <w:autoSpaceDN w:val="0"/>
        <w:adjustRightInd w:val="0"/>
        <w:spacing w:after="240"/>
        <w:jc w:val="both"/>
        <w:rPr>
          <w:rFonts w:ascii="Arial" w:hAnsi="Arial" w:cs="Arial"/>
        </w:rPr>
      </w:pPr>
      <w:r w:rsidRPr="00014883">
        <w:rPr>
          <w:rFonts w:ascii="Arial" w:hAnsi="Arial" w:cs="Arial"/>
        </w:rPr>
        <w:t>United States Environmental Protection Agency (USEPA), (2010). Development of a Relative Potency Factor (RPF) Approach for Polycyclic Aromatic Hydrocarbon (PAH) Mixtures: EPA/635/R-08/012A. US EPA; Washington, DC, USA.</w:t>
      </w:r>
    </w:p>
    <w:p w:rsidR="0019273F" w:rsidRPr="00014883" w:rsidRDefault="005634A1">
      <w:pPr>
        <w:autoSpaceDE w:val="0"/>
        <w:autoSpaceDN w:val="0"/>
        <w:adjustRightInd w:val="0"/>
        <w:jc w:val="both"/>
        <w:rPr>
          <w:rFonts w:ascii="Arial" w:hAnsi="Arial" w:cs="Arial"/>
        </w:rPr>
      </w:pPr>
      <w:r w:rsidRPr="00014883">
        <w:rPr>
          <w:rFonts w:ascii="Arial" w:hAnsi="Arial" w:cs="Arial"/>
        </w:rPr>
        <w:t>World Health Organization (WHO) (1998) International Programme on Chemical Safety. Environmental Health Criteria 202.</w:t>
      </w:r>
      <w:r w:rsidRPr="00014883">
        <w:rPr>
          <w:rFonts w:ascii="Arial" w:hAnsi="Arial" w:cs="Arial"/>
        </w:rPr>
        <w:tab/>
        <w:t>Selected non-heterocyclic polycyclic aromatic hydrocarbons.</w:t>
      </w:r>
    </w:p>
    <w:p w:rsidR="0019273F" w:rsidRPr="00014883" w:rsidRDefault="005634A1">
      <w:pPr>
        <w:autoSpaceDE w:val="0"/>
        <w:autoSpaceDN w:val="0"/>
        <w:adjustRightInd w:val="0"/>
        <w:jc w:val="both"/>
        <w:rPr>
          <w:rFonts w:ascii="Arial" w:hAnsi="Arial" w:cs="Arial"/>
        </w:rPr>
      </w:pPr>
      <w:r w:rsidRPr="00014883">
        <w:rPr>
          <w:rFonts w:ascii="Arial" w:hAnsi="Arial" w:cs="Arial"/>
        </w:rPr>
        <w:t xml:space="preserve"> </w:t>
      </w:r>
    </w:p>
    <w:p w:rsidR="0019273F" w:rsidRPr="00014883" w:rsidRDefault="0019273F">
      <w:pPr>
        <w:autoSpaceDE w:val="0"/>
        <w:autoSpaceDN w:val="0"/>
        <w:adjustRightInd w:val="0"/>
        <w:ind w:left="567" w:hanging="567"/>
        <w:jc w:val="both"/>
        <w:rPr>
          <w:rFonts w:ascii="Arial" w:hAnsi="Arial" w:cs="Arial"/>
        </w:rPr>
      </w:pPr>
    </w:p>
    <w:p w:rsidR="0019273F" w:rsidRPr="00014883" w:rsidRDefault="005634A1">
      <w:pPr>
        <w:jc w:val="both"/>
        <w:rPr>
          <w:rFonts w:ascii="Arial" w:hAnsi="Arial" w:cs="Arial"/>
        </w:rPr>
      </w:pPr>
      <w:r w:rsidRPr="00014883">
        <w:rPr>
          <w:rFonts w:ascii="Arial" w:hAnsi="Arial" w:cs="Arial"/>
        </w:rPr>
        <w:t xml:space="preserve">Yusuf, K., Ezechukwu, L., Fakoya, K., Akintola, S., Agboola, J. and Omoleye, T., (2015). Influence of fish smoking methods on polycyclic aromatic hydrocarbons content and possible risks to human health. </w:t>
      </w:r>
      <w:r w:rsidRPr="00014883">
        <w:rPr>
          <w:rFonts w:ascii="Arial" w:hAnsi="Arial" w:cs="Arial"/>
          <w:i/>
        </w:rPr>
        <w:t xml:space="preserve">African Journal of Food Science, </w:t>
      </w:r>
      <w:r w:rsidRPr="00014883">
        <w:rPr>
          <w:rFonts w:ascii="Arial" w:hAnsi="Arial" w:cs="Arial"/>
          <w:b/>
        </w:rPr>
        <w:t>9:</w:t>
      </w:r>
      <w:r w:rsidRPr="00014883">
        <w:rPr>
          <w:rFonts w:ascii="Arial" w:hAnsi="Arial" w:cs="Arial"/>
        </w:rPr>
        <w:t xml:space="preserve"> 126–135.</w:t>
      </w:r>
    </w:p>
    <w:p w:rsidR="0019273F" w:rsidRPr="00014883" w:rsidRDefault="0019273F">
      <w:pPr>
        <w:ind w:left="567" w:hanging="567"/>
        <w:jc w:val="both"/>
        <w:rPr>
          <w:rFonts w:ascii="Arial" w:hAnsi="Arial" w:cs="Arial"/>
        </w:rPr>
      </w:pPr>
    </w:p>
    <w:p w:rsidR="0019273F" w:rsidRPr="00014883" w:rsidRDefault="005634A1">
      <w:pPr>
        <w:autoSpaceDE w:val="0"/>
        <w:autoSpaceDN w:val="0"/>
        <w:adjustRightInd w:val="0"/>
        <w:ind w:left="567" w:hanging="567"/>
        <w:jc w:val="both"/>
        <w:rPr>
          <w:rFonts w:ascii="Arial" w:hAnsi="Arial" w:cs="Arial"/>
        </w:rPr>
      </w:pPr>
      <w:r w:rsidRPr="00014883">
        <w:rPr>
          <w:rFonts w:ascii="Arial" w:hAnsi="Arial" w:cs="Arial"/>
        </w:rPr>
        <w:t>Zeiger, E. (2001). Mutagens that are not carcinogens: faulty theory or faulty tests? Mutation.</w:t>
      </w:r>
    </w:p>
    <w:p w:rsidR="0019273F" w:rsidRPr="00014883" w:rsidRDefault="005634A1">
      <w:pPr>
        <w:pStyle w:val="Body"/>
        <w:spacing w:after="0"/>
        <w:rPr>
          <w:rFonts w:ascii="Arial" w:hAnsi="Arial" w:cs="Arial"/>
        </w:rPr>
      </w:pPr>
      <w:r w:rsidRPr="00014883">
        <w:rPr>
          <w:rFonts w:ascii="Arial" w:hAnsi="Arial" w:cs="Arial"/>
          <w:i/>
        </w:rPr>
        <w:t xml:space="preserve">Toxicology, </w:t>
      </w:r>
      <w:r w:rsidRPr="00014883">
        <w:rPr>
          <w:rFonts w:ascii="Arial" w:hAnsi="Arial" w:cs="Arial"/>
          <w:b/>
        </w:rPr>
        <w:t>492</w:t>
      </w:r>
      <w:r w:rsidRPr="00014883">
        <w:rPr>
          <w:rFonts w:ascii="Arial" w:hAnsi="Arial" w:cs="Arial"/>
        </w:rPr>
        <w:t>: 29–38.</w:t>
      </w:r>
    </w:p>
    <w:p w:rsidR="0019273F" w:rsidRDefault="0019273F">
      <w:pPr>
        <w:pStyle w:val="Appendix"/>
        <w:spacing w:after="0"/>
        <w:jc w:val="both"/>
        <w:rPr>
          <w:rFonts w:ascii="Arial" w:hAnsi="Arial" w:cs="Arial"/>
          <w:b w:val="0"/>
        </w:rPr>
      </w:pPr>
    </w:p>
    <w:p w:rsidR="00331F79" w:rsidRDefault="00331F79">
      <w:pPr>
        <w:pStyle w:val="Appendix"/>
        <w:spacing w:after="0"/>
        <w:jc w:val="both"/>
        <w:rPr>
          <w:rFonts w:ascii="Arial" w:hAnsi="Arial" w:cs="Arial"/>
          <w:b w:val="0"/>
        </w:rPr>
      </w:pPr>
    </w:p>
    <w:p w:rsidR="00331F79" w:rsidRPr="00014883" w:rsidRDefault="00331F79">
      <w:pPr>
        <w:pStyle w:val="Appendix"/>
        <w:spacing w:after="0"/>
        <w:jc w:val="both"/>
        <w:rPr>
          <w:rFonts w:ascii="Arial" w:hAnsi="Arial" w:cs="Arial"/>
          <w:b w:val="0"/>
        </w:rPr>
        <w:sectPr w:rsidR="00331F79" w:rsidRPr="00014883">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331F79">
        <w:rPr>
          <w:rFonts w:ascii="Arial" w:hAnsi="Arial" w:cs="Arial"/>
          <w:b w:val="0"/>
        </w:rPr>
        <w:t>Joy, O., Okpashi, V. E., Francis, N. O., Celestine, O. E., Oscar, E. S., &amp; Onwurah, I. N. (2024). Assessment of polycyclic aromatic hydrocarbons, polychlorinated biphenyl, in used electrical transformer oil, condensate, thermal power effluent soil and dump sites. Science World Journal, 19(3), 591-595.</w:t>
      </w:r>
    </w:p>
    <w:p w:rsidR="0019273F" w:rsidRPr="00014883" w:rsidRDefault="0019273F">
      <w:pPr>
        <w:pStyle w:val="Appendix"/>
        <w:spacing w:after="0"/>
        <w:jc w:val="both"/>
        <w:rPr>
          <w:rFonts w:ascii="Arial" w:hAnsi="Arial" w:cs="Arial"/>
          <w:b w:val="0"/>
        </w:rPr>
      </w:pPr>
    </w:p>
    <w:sectPr w:rsidR="0019273F" w:rsidRPr="0001488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196" w:rsidRDefault="008A2196">
      <w:r>
        <w:separator/>
      </w:r>
    </w:p>
  </w:endnote>
  <w:endnote w:type="continuationSeparator" w:id="0">
    <w:p w:rsidR="008A2196" w:rsidRDefault="008A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w:panose1 w:val="02070409020205020404"/>
    <w:charset w:val="00"/>
    <w:family w:val="moder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default"/>
    <w:sig w:usb0="00000000" w:usb1="00000000" w:usb2="00A0C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Droid Sans Fallback">
    <w:altName w:val="Yu Gothic"/>
    <w:charset w:val="80"/>
    <w:family w:val="auto"/>
    <w:pitch w:val="default"/>
    <w:sig w:usb0="00000000" w:usb1="00000000" w:usb2="00000010" w:usb3="00000000" w:csb0="00020000" w:csb1="00000000"/>
  </w:font>
  <w:font w:name="Sawasdee">
    <w:altName w:val="Yu Gothic"/>
    <w:charset w:val="80"/>
    <w:family w:val="auto"/>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 Lotus">
    <w:altName w:val="Courier New"/>
    <w:charset w:val="B2"/>
    <w:family w:val="auto"/>
    <w:pitch w:val="default"/>
    <w:sig w:usb0="00000000" w:usb1="0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Light">
    <w:altName w:val="Yu Gothic"/>
    <w:charset w:val="80"/>
    <w:family w:val="auto"/>
    <w:pitch w:val="default"/>
    <w:sig w:usb0="00000000" w:usb1="00000000" w:usb2="00000010" w:usb3="00000000" w:csb0="00020000" w:csb1="00000000"/>
  </w:font>
  <w:font w:name="MinionPro-Regular">
    <w:altName w:val="Yu Gothic"/>
    <w:charset w:val="80"/>
    <w:family w:val="roman"/>
    <w:pitch w:val="default"/>
    <w:sig w:usb0="00000000" w:usb1="00000000" w:usb2="00000010" w:usb3="00000000" w:csb0="00020009" w:csb1="00000000"/>
  </w:font>
  <w:font w:name="NEFAB M+ MTSY">
    <w:altName w:val="Malgun Gothic"/>
    <w:charset w:val="81"/>
    <w:family w:val="swiss"/>
    <w:pitch w:val="default"/>
    <w:sig w:usb0="00000000" w:usb1="00000000" w:usb2="00000010" w:usb3="00000000" w:csb0="00080000" w:csb1="00000000"/>
  </w:font>
  <w:font w:name="AGaramondPro">
    <w:altName w:val="Segoe Print"/>
    <w:charset w:val="00"/>
    <w:family w:val="auto"/>
    <w:pitch w:val="default"/>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MinionW08-Regular">
    <w:altName w:val="Yu Gothic"/>
    <w:charset w:val="80"/>
    <w:family w:val="auto"/>
    <w:pitch w:val="default"/>
    <w:sig w:usb0="00000000" w:usb1="00000000" w:usb2="00000010" w:usb3="00000000" w:csb0="00020001" w:csb1="00000000"/>
  </w:font>
  <w:font w:name="PalatinoLinotype-Roman">
    <w:altName w:val="Yu Gothic"/>
    <w:charset w:val="80"/>
    <w:family w:val="auto"/>
    <w:pitch w:val="default"/>
    <w:sig w:usb0="00000000" w:usb1="00000000" w:usb2="00000010" w:usb3="00000000" w:csb0="00020001" w:csb1="00000000"/>
  </w:font>
  <w:font w:name="KCGDEH+GulliverRM">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Footer"/>
      <w:rPr>
        <w:rFonts w:ascii="Arial" w:hAnsi="Arial" w:cs="Arial"/>
        <w:sz w:val="16"/>
      </w:rPr>
    </w:pPr>
  </w:p>
  <w:p w:rsidR="00331F79" w:rsidRDefault="00331F7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331F79" w:rsidRDefault="00331F79">
    <w:pPr>
      <w:pStyle w:val="Footer"/>
      <w:rPr>
        <w:rFonts w:ascii="Arial" w:hAnsi="Arial" w:cs="Arial"/>
        <w:sz w:val="16"/>
      </w:rPr>
    </w:pPr>
  </w:p>
  <w:p w:rsidR="00331F79" w:rsidRDefault="00331F7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196" w:rsidRDefault="008A2196">
      <w:r>
        <w:separator/>
      </w:r>
    </w:p>
  </w:footnote>
  <w:footnote w:type="continuationSeparator" w:id="0">
    <w:p w:rsidR="008A2196" w:rsidRDefault="008A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Header"/>
    </w:pPr>
    <w:r>
      <w:pict w14:anchorId="30D8A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6"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Header"/>
    </w:pPr>
    <w:r>
      <w:pict w14:anchorId="743D5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7"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ind w:left="2160"/>
      <w:jc w:val="center"/>
      <w:rPr>
        <w:rFonts w:ascii="Times New Roman" w:eastAsia="Calibri" w:hAnsi="Times New Roman"/>
        <w:i/>
        <w:sz w:val="18"/>
        <w:szCs w:val="22"/>
      </w:rPr>
    </w:pPr>
    <w:r>
      <w:pict w14:anchorId="3207C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5"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331F79" w:rsidRDefault="00331F79">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331F79" w:rsidRDefault="00331F79">
    <w:pPr>
      <w:jc w:val="center"/>
      <w:rPr>
        <w:rFonts w:ascii="Times New Roman" w:eastAsia="Calibri" w:hAnsi="Times New Roman"/>
        <w:i/>
        <w:sz w:val="18"/>
        <w:szCs w:val="22"/>
      </w:rPr>
    </w:pPr>
    <w:r>
      <w:rPr>
        <w:rFonts w:ascii="Times New Roman" w:eastAsia="Calibri" w:hAnsi="Times New Roman"/>
        <w:i/>
        <w:sz w:val="18"/>
        <w:szCs w:val="22"/>
      </w:rPr>
      <w:t>.</w:t>
    </w:r>
  </w:p>
  <w:p w:rsidR="00331F79" w:rsidRDefault="00331F7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331F79" w:rsidRDefault="00331F79">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331F79" w:rsidRDefault="00331F7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331F79" w:rsidRDefault="00331F7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9"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80"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79" w:rsidRDefault="00331F7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845878"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13C"/>
    <w:rsid w:val="00014883"/>
    <w:rsid w:val="00030174"/>
    <w:rsid w:val="0004579C"/>
    <w:rsid w:val="00051790"/>
    <w:rsid w:val="000A47FA"/>
    <w:rsid w:val="000A65D3"/>
    <w:rsid w:val="000A72A3"/>
    <w:rsid w:val="000B1E33"/>
    <w:rsid w:val="000B5382"/>
    <w:rsid w:val="000D5334"/>
    <w:rsid w:val="000D689F"/>
    <w:rsid w:val="000D7803"/>
    <w:rsid w:val="000E7B7B"/>
    <w:rsid w:val="000E7D62"/>
    <w:rsid w:val="00103357"/>
    <w:rsid w:val="00123C9F"/>
    <w:rsid w:val="00126190"/>
    <w:rsid w:val="00130F17"/>
    <w:rsid w:val="001320BF"/>
    <w:rsid w:val="00163BC4"/>
    <w:rsid w:val="00191062"/>
    <w:rsid w:val="00191485"/>
    <w:rsid w:val="0019273F"/>
    <w:rsid w:val="00192B72"/>
    <w:rsid w:val="0019613F"/>
    <w:rsid w:val="001A29D8"/>
    <w:rsid w:val="001A5CAA"/>
    <w:rsid w:val="001B0427"/>
    <w:rsid w:val="001B6850"/>
    <w:rsid w:val="001D3A51"/>
    <w:rsid w:val="001E10D2"/>
    <w:rsid w:val="001E25B4"/>
    <w:rsid w:val="001E44FE"/>
    <w:rsid w:val="001F3B33"/>
    <w:rsid w:val="00200595"/>
    <w:rsid w:val="00204835"/>
    <w:rsid w:val="00231920"/>
    <w:rsid w:val="0023195C"/>
    <w:rsid w:val="0024282C"/>
    <w:rsid w:val="002460DC"/>
    <w:rsid w:val="00250985"/>
    <w:rsid w:val="002556F6"/>
    <w:rsid w:val="00283105"/>
    <w:rsid w:val="00284C4C"/>
    <w:rsid w:val="00287E68"/>
    <w:rsid w:val="00296529"/>
    <w:rsid w:val="002A6254"/>
    <w:rsid w:val="002B27FB"/>
    <w:rsid w:val="002B685A"/>
    <w:rsid w:val="002C5555"/>
    <w:rsid w:val="002C57D2"/>
    <w:rsid w:val="002E0D56"/>
    <w:rsid w:val="00315186"/>
    <w:rsid w:val="00330EFA"/>
    <w:rsid w:val="00331F79"/>
    <w:rsid w:val="0033343E"/>
    <w:rsid w:val="003512C2"/>
    <w:rsid w:val="00371FB6"/>
    <w:rsid w:val="003763C1"/>
    <w:rsid w:val="00376BBE"/>
    <w:rsid w:val="00386260"/>
    <w:rsid w:val="00390537"/>
    <w:rsid w:val="0039224F"/>
    <w:rsid w:val="003A43A4"/>
    <w:rsid w:val="003A7E18"/>
    <w:rsid w:val="003C4C86"/>
    <w:rsid w:val="003C6258"/>
    <w:rsid w:val="003E2904"/>
    <w:rsid w:val="003E7969"/>
    <w:rsid w:val="00401927"/>
    <w:rsid w:val="0041027F"/>
    <w:rsid w:val="00412475"/>
    <w:rsid w:val="00423789"/>
    <w:rsid w:val="00440F43"/>
    <w:rsid w:val="00441B6F"/>
    <w:rsid w:val="00446221"/>
    <w:rsid w:val="00450E62"/>
    <w:rsid w:val="004539DB"/>
    <w:rsid w:val="0046209B"/>
    <w:rsid w:val="00471A80"/>
    <w:rsid w:val="004D305E"/>
    <w:rsid w:val="004D4277"/>
    <w:rsid w:val="004F20DC"/>
    <w:rsid w:val="00502516"/>
    <w:rsid w:val="00505F06"/>
    <w:rsid w:val="00506828"/>
    <w:rsid w:val="00527F7D"/>
    <w:rsid w:val="0053056E"/>
    <w:rsid w:val="00554FDA"/>
    <w:rsid w:val="005634A1"/>
    <w:rsid w:val="00581294"/>
    <w:rsid w:val="005A0D09"/>
    <w:rsid w:val="005A2BBB"/>
    <w:rsid w:val="005B44A6"/>
    <w:rsid w:val="005C784C"/>
    <w:rsid w:val="005D17F6"/>
    <w:rsid w:val="005E5539"/>
    <w:rsid w:val="00602BF5"/>
    <w:rsid w:val="00617FDD"/>
    <w:rsid w:val="00620C8A"/>
    <w:rsid w:val="00633614"/>
    <w:rsid w:val="00633F68"/>
    <w:rsid w:val="00636EB2"/>
    <w:rsid w:val="006375B8"/>
    <w:rsid w:val="00641BC9"/>
    <w:rsid w:val="00662177"/>
    <w:rsid w:val="0066510A"/>
    <w:rsid w:val="00673F9F"/>
    <w:rsid w:val="00686953"/>
    <w:rsid w:val="00687DEA"/>
    <w:rsid w:val="00687E67"/>
    <w:rsid w:val="00692E01"/>
    <w:rsid w:val="006938FB"/>
    <w:rsid w:val="006967F7"/>
    <w:rsid w:val="006A250C"/>
    <w:rsid w:val="006B1997"/>
    <w:rsid w:val="006B21D3"/>
    <w:rsid w:val="006B57D0"/>
    <w:rsid w:val="006C608E"/>
    <w:rsid w:val="006D30FF"/>
    <w:rsid w:val="006D6940"/>
    <w:rsid w:val="006F11EC"/>
    <w:rsid w:val="006F2050"/>
    <w:rsid w:val="0070082C"/>
    <w:rsid w:val="007065E7"/>
    <w:rsid w:val="00714409"/>
    <w:rsid w:val="007369E6"/>
    <w:rsid w:val="00746E59"/>
    <w:rsid w:val="00754C9A"/>
    <w:rsid w:val="0075599A"/>
    <w:rsid w:val="00761D52"/>
    <w:rsid w:val="0077749E"/>
    <w:rsid w:val="00780DDC"/>
    <w:rsid w:val="00790ADA"/>
    <w:rsid w:val="007D2288"/>
    <w:rsid w:val="007D5002"/>
    <w:rsid w:val="007E088F"/>
    <w:rsid w:val="007F7B32"/>
    <w:rsid w:val="00804BC2"/>
    <w:rsid w:val="0081431A"/>
    <w:rsid w:val="00820887"/>
    <w:rsid w:val="0083216F"/>
    <w:rsid w:val="00860000"/>
    <w:rsid w:val="00863BD3"/>
    <w:rsid w:val="008641ED"/>
    <w:rsid w:val="0086564F"/>
    <w:rsid w:val="00866D66"/>
    <w:rsid w:val="008671C6"/>
    <w:rsid w:val="00875803"/>
    <w:rsid w:val="008A2196"/>
    <w:rsid w:val="008B459E"/>
    <w:rsid w:val="008D3BA2"/>
    <w:rsid w:val="008D4608"/>
    <w:rsid w:val="008E13AE"/>
    <w:rsid w:val="008E1506"/>
    <w:rsid w:val="008E710C"/>
    <w:rsid w:val="008F129F"/>
    <w:rsid w:val="008F69D6"/>
    <w:rsid w:val="00902823"/>
    <w:rsid w:val="00914B7B"/>
    <w:rsid w:val="00915CA6"/>
    <w:rsid w:val="009234D1"/>
    <w:rsid w:val="009235FC"/>
    <w:rsid w:val="00927834"/>
    <w:rsid w:val="009500A6"/>
    <w:rsid w:val="00957C18"/>
    <w:rsid w:val="009658EB"/>
    <w:rsid w:val="009659BA"/>
    <w:rsid w:val="00983040"/>
    <w:rsid w:val="009B3FB9"/>
    <w:rsid w:val="009C2465"/>
    <w:rsid w:val="009D35A0"/>
    <w:rsid w:val="009D7EB7"/>
    <w:rsid w:val="009E048A"/>
    <w:rsid w:val="009E08E9"/>
    <w:rsid w:val="009E3DB9"/>
    <w:rsid w:val="009E5D15"/>
    <w:rsid w:val="009E6E35"/>
    <w:rsid w:val="009F0EDA"/>
    <w:rsid w:val="00A03B96"/>
    <w:rsid w:val="00A05B19"/>
    <w:rsid w:val="00A1134E"/>
    <w:rsid w:val="00A24E7E"/>
    <w:rsid w:val="00A25275"/>
    <w:rsid w:val="00A253AA"/>
    <w:rsid w:val="00A258C3"/>
    <w:rsid w:val="00A347C0"/>
    <w:rsid w:val="00A51431"/>
    <w:rsid w:val="00A539AD"/>
    <w:rsid w:val="00A77F6C"/>
    <w:rsid w:val="00A94063"/>
    <w:rsid w:val="00AA6219"/>
    <w:rsid w:val="00AA74E0"/>
    <w:rsid w:val="00AB703F"/>
    <w:rsid w:val="00AC6BB8"/>
    <w:rsid w:val="00AE008F"/>
    <w:rsid w:val="00B01FCD"/>
    <w:rsid w:val="00B1776C"/>
    <w:rsid w:val="00B46B6B"/>
    <w:rsid w:val="00B52583"/>
    <w:rsid w:val="00B52896"/>
    <w:rsid w:val="00B95236"/>
    <w:rsid w:val="00B96BD9"/>
    <w:rsid w:val="00BA1B01"/>
    <w:rsid w:val="00BA2641"/>
    <w:rsid w:val="00BB37AA"/>
    <w:rsid w:val="00BC53A0"/>
    <w:rsid w:val="00BD3726"/>
    <w:rsid w:val="00BE15C8"/>
    <w:rsid w:val="00BE62AD"/>
    <w:rsid w:val="00BF121F"/>
    <w:rsid w:val="00BF1F80"/>
    <w:rsid w:val="00C166EF"/>
    <w:rsid w:val="00C17EB0"/>
    <w:rsid w:val="00C27F5F"/>
    <w:rsid w:val="00C30A0F"/>
    <w:rsid w:val="00C37E61"/>
    <w:rsid w:val="00C57C77"/>
    <w:rsid w:val="00C70F1B"/>
    <w:rsid w:val="00C71A47"/>
    <w:rsid w:val="00C7464C"/>
    <w:rsid w:val="00C85588"/>
    <w:rsid w:val="00CC791C"/>
    <w:rsid w:val="00CD6755"/>
    <w:rsid w:val="00CD6856"/>
    <w:rsid w:val="00CE0089"/>
    <w:rsid w:val="00CE793C"/>
    <w:rsid w:val="00CF193C"/>
    <w:rsid w:val="00D173F1"/>
    <w:rsid w:val="00D262C6"/>
    <w:rsid w:val="00D377AF"/>
    <w:rsid w:val="00D62837"/>
    <w:rsid w:val="00D74CB0"/>
    <w:rsid w:val="00D8295D"/>
    <w:rsid w:val="00D86233"/>
    <w:rsid w:val="00D95C7A"/>
    <w:rsid w:val="00DA24BA"/>
    <w:rsid w:val="00DC2A65"/>
    <w:rsid w:val="00DE15F0"/>
    <w:rsid w:val="00DE5663"/>
    <w:rsid w:val="00DE78AA"/>
    <w:rsid w:val="00DF46DA"/>
    <w:rsid w:val="00E053D0"/>
    <w:rsid w:val="00E14651"/>
    <w:rsid w:val="00E15994"/>
    <w:rsid w:val="00E208CB"/>
    <w:rsid w:val="00E3114E"/>
    <w:rsid w:val="00E31A70"/>
    <w:rsid w:val="00E35B02"/>
    <w:rsid w:val="00E66496"/>
    <w:rsid w:val="00E66B35"/>
    <w:rsid w:val="00E66E10"/>
    <w:rsid w:val="00E769F6"/>
    <w:rsid w:val="00E8407C"/>
    <w:rsid w:val="00E84F3C"/>
    <w:rsid w:val="00EA012C"/>
    <w:rsid w:val="00EA76C1"/>
    <w:rsid w:val="00EC6A55"/>
    <w:rsid w:val="00ED0288"/>
    <w:rsid w:val="00ED18A6"/>
    <w:rsid w:val="00EE52CB"/>
    <w:rsid w:val="00EF581D"/>
    <w:rsid w:val="00EF7FD8"/>
    <w:rsid w:val="00F06F59"/>
    <w:rsid w:val="00F17988"/>
    <w:rsid w:val="00F43658"/>
    <w:rsid w:val="00F469F0"/>
    <w:rsid w:val="00F53273"/>
    <w:rsid w:val="00F631CB"/>
    <w:rsid w:val="00F755E4"/>
    <w:rsid w:val="00F77D02"/>
    <w:rsid w:val="00FB3A86"/>
    <w:rsid w:val="00FB5030"/>
    <w:rsid w:val="00FD36C8"/>
    <w:rsid w:val="02F56E02"/>
    <w:rsid w:val="22524C58"/>
    <w:rsid w:val="25801887"/>
    <w:rsid w:val="34812996"/>
    <w:rsid w:val="67996D88"/>
    <w:rsid w:val="7B85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0FA15883"/>
  <w15:docId w15:val="{8D500F9B-306F-4A83-9775-97030B94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unhideWhenUsed="1" w:qFormat="1"/>
    <w:lsdException w:name="heading 4" w:qFormat="1"/>
    <w:lsdException w:name="heading 5" w:qFormat="1"/>
    <w:lsdException w:name="heading 6" w:qFormat="1"/>
    <w:lsdException w:name="heading 7" w:uiPriority="99" w:qFormat="1"/>
    <w:lsdException w:name="heading 8" w:uiPriority="9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lsdException w:name="annotation text" w:uiPriority="99" w:unhideWhenUsed="1"/>
    <w:lsdException w:name="header" w:uiPriority="99"/>
    <w:lsdException w:name="footer" w:uiPriority="99"/>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annotation reference" w:uiPriority="99" w:unhideWhenUsed="1"/>
    <w:lsdException w:name="line number" w:uiPriority="99"/>
    <w:lsdException w:name="endnote reference" w:uiPriority="99"/>
    <w:lsdException w:name="endnote text" w:semiHidden="1" w:uiPriority="99"/>
    <w:lsdException w:name="table of authorities" w:semiHidden="1" w:unhideWhenUsed="1"/>
    <w:lsdException w:name="toa heading" w:semiHidden="1" w:unhideWhenUsed="1"/>
    <w:lsdException w:name="Lis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Default Paragraph Font" w:semiHidden="1" w:uiPriority="1" w:unhideWhenUsed="1" w:qFormat="1"/>
    <w:lsdException w:name="Body Text" w:uiPriority="99"/>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qFormat="1"/>
    <w:lsdException w:name="Emphasis"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tabs>
        <w:tab w:val="left" w:pos="15577"/>
        <w:tab w:val="left" w:pos="16143"/>
        <w:tab w:val="left" w:pos="16710"/>
        <w:tab w:val="left" w:pos="17276"/>
        <w:tab w:val="left" w:pos="17842"/>
        <w:tab w:val="left" w:pos="18409"/>
        <w:tab w:val="left" w:pos="18975"/>
        <w:tab w:val="left" w:pos="19542"/>
        <w:tab w:val="left" w:pos="20108"/>
        <w:tab w:val="left" w:pos="20674"/>
      </w:tabs>
      <w:suppressAutoHyphens/>
      <w:ind w:right="-1"/>
      <w:jc w:val="both"/>
      <w:outlineLvl w:val="1"/>
    </w:pPr>
    <w:rPr>
      <w:rFonts w:ascii="Times New Roman" w:eastAsiaTheme="minorEastAsia" w:hAnsi="Times New Roman" w:cs="Angsana New"/>
      <w:b/>
      <w:sz w:val="24"/>
      <w:lang w:val="nl-NL"/>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qFormat/>
    <w:pPr>
      <w:keepNext/>
      <w:jc w:val="both"/>
      <w:outlineLvl w:val="3"/>
    </w:pPr>
    <w:rPr>
      <w:rFonts w:ascii="Times New Roman" w:eastAsiaTheme="minorEastAsia" w:hAnsi="Times New Roman" w:cs="Angsana New"/>
      <w:i/>
      <w:lang w:val="en-GB"/>
    </w:rPr>
  </w:style>
  <w:style w:type="paragraph" w:styleId="Heading5">
    <w:name w:val="heading 5"/>
    <w:basedOn w:val="Normal"/>
    <w:next w:val="Normal"/>
    <w:link w:val="Heading5Char"/>
    <w:qFormat/>
    <w:pPr>
      <w:keepNext/>
      <w:jc w:val="both"/>
      <w:outlineLvl w:val="4"/>
    </w:pPr>
    <w:rPr>
      <w:rFonts w:ascii="Times New Roman" w:eastAsiaTheme="minorEastAsia" w:hAnsi="Times New Roman" w:cs="Angsana New"/>
      <w:b/>
      <w:bCs/>
      <w:lang w:val="en-GB"/>
    </w:rPr>
  </w:style>
  <w:style w:type="paragraph" w:styleId="Heading6">
    <w:name w:val="heading 6"/>
    <w:basedOn w:val="Normal"/>
    <w:next w:val="NormalIndent"/>
    <w:link w:val="Heading6Char"/>
    <w:qFormat/>
    <w:pPr>
      <w:keepNext/>
      <w:widowControl w:val="0"/>
      <w:tabs>
        <w:tab w:val="left" w:pos="-1440"/>
        <w:tab w:val="left" w:pos="-720"/>
        <w:tab w:val="left" w:pos="0"/>
        <w:tab w:val="left" w:pos="270"/>
        <w:tab w:val="left" w:pos="540"/>
        <w:tab w:val="left" w:pos="990"/>
        <w:tab w:val="left" w:pos="1260"/>
        <w:tab w:val="left" w:pos="3600"/>
        <w:tab w:val="left" w:pos="4320"/>
        <w:tab w:val="left" w:pos="5040"/>
        <w:tab w:val="left" w:pos="5760"/>
        <w:tab w:val="left" w:pos="6210"/>
        <w:tab w:val="left" w:pos="7200"/>
      </w:tabs>
      <w:jc w:val="both"/>
      <w:outlineLvl w:val="5"/>
    </w:pPr>
    <w:rPr>
      <w:rFonts w:ascii="Times New Roman" w:eastAsia="MingLiU" w:hAnsi="Times New Roman" w:cs="Angsana New"/>
      <w:b/>
      <w:sz w:val="24"/>
      <w:lang w:val="en-GB"/>
    </w:rPr>
  </w:style>
  <w:style w:type="paragraph" w:styleId="Heading7">
    <w:name w:val="heading 7"/>
    <w:basedOn w:val="Normal"/>
    <w:next w:val="NormalIndent"/>
    <w:link w:val="Heading7Char"/>
    <w:uiPriority w:val="99"/>
    <w:qFormat/>
    <w:pPr>
      <w:keepNext/>
      <w:widowControl w:val="0"/>
      <w:tabs>
        <w:tab w:val="left" w:pos="0"/>
      </w:tabs>
      <w:suppressAutoHyphens/>
      <w:jc w:val="both"/>
      <w:outlineLvl w:val="6"/>
    </w:pPr>
    <w:rPr>
      <w:rFonts w:ascii="Times New Roman" w:eastAsia="MingLiU" w:hAnsi="Times New Roman" w:cs="Angsana New"/>
      <w:i/>
      <w:spacing w:val="-3"/>
      <w:sz w:val="24"/>
      <w:lang w:val="en-GB"/>
    </w:rPr>
  </w:style>
  <w:style w:type="paragraph" w:styleId="Heading8">
    <w:name w:val="heading 8"/>
    <w:basedOn w:val="Normal"/>
    <w:next w:val="NormalIndent"/>
    <w:link w:val="Heading8Char"/>
    <w:uiPriority w:val="99"/>
    <w:qFormat/>
    <w:pPr>
      <w:keepNext/>
      <w:widowControl w:val="0"/>
      <w:tabs>
        <w:tab w:val="center" w:pos="4512"/>
      </w:tabs>
      <w:suppressAutoHyphens/>
      <w:jc w:val="both"/>
      <w:outlineLvl w:val="7"/>
    </w:pPr>
    <w:rPr>
      <w:rFonts w:ascii="Times New Roman" w:eastAsia="MingLiU" w:hAnsi="Times New Roman" w:cs="Angsana New"/>
      <w:b/>
      <w:spacing w:val="-6"/>
      <w:sz w:val="28"/>
      <w:lang w:val="en-GB"/>
    </w:rPr>
  </w:style>
  <w:style w:type="paragraph" w:styleId="Heading9">
    <w:name w:val="heading 9"/>
    <w:basedOn w:val="Normal"/>
    <w:next w:val="NormalIndent"/>
    <w:link w:val="Heading9Char"/>
    <w:qFormat/>
    <w:pPr>
      <w:keepNext/>
      <w:widowControl w:val="0"/>
      <w:tabs>
        <w:tab w:val="center" w:pos="4512"/>
      </w:tabs>
      <w:suppressAutoHyphens/>
      <w:jc w:val="center"/>
      <w:outlineLvl w:val="8"/>
    </w:pPr>
    <w:rPr>
      <w:rFonts w:ascii="Times New Roman" w:eastAsia="MingLiU" w:hAnsi="Times New Roman" w:cs="Angsana New"/>
      <w:b/>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ind w:left="480"/>
    </w:pPr>
    <w:rPr>
      <w:rFonts w:ascii="Courier" w:eastAsia="MingLiU" w:hAnsi="Courier" w:cs="Angsana New"/>
      <w:lang w:val="en-GB"/>
    </w:rPr>
  </w:style>
  <w:style w:type="paragraph" w:styleId="BalloonText">
    <w:name w:val="Balloon Text"/>
    <w:basedOn w:val="Normal"/>
    <w:link w:val="BalloonTextChar"/>
    <w:uiPriority w:val="99"/>
    <w:qFormat/>
    <w:rPr>
      <w:rFonts w:ascii="Tahoma" w:hAnsi="Tahoma" w:cs="Tahoma"/>
      <w:sz w:val="16"/>
      <w:szCs w:val="16"/>
    </w:rPr>
  </w:style>
  <w:style w:type="paragraph" w:styleId="BlockText">
    <w:name w:val="Block Text"/>
    <w:basedOn w:val="Normal"/>
    <w:uiPriority w:val="99"/>
    <w:pPr>
      <w:ind w:left="567" w:right="-1" w:hanging="567"/>
      <w:jc w:val="both"/>
    </w:pPr>
    <w:rPr>
      <w:rFonts w:ascii="Times New Roman" w:eastAsiaTheme="minorEastAsia" w:hAnsi="Times New Roman" w:cs="Angsana New"/>
      <w:lang w:val="nl-NL"/>
    </w:rPr>
  </w:style>
  <w:style w:type="paragraph" w:styleId="BodyText">
    <w:name w:val="Body Text"/>
    <w:basedOn w:val="Normal"/>
    <w:link w:val="BodyTextChar"/>
    <w:uiPriority w:val="99"/>
    <w:pPr>
      <w:spacing w:line="240" w:lineRule="atLeast"/>
      <w:ind w:right="1707"/>
      <w:jc w:val="both"/>
    </w:pPr>
    <w:rPr>
      <w:rFonts w:ascii="Times New Roman" w:eastAsiaTheme="minorEastAsia" w:hAnsi="Times New Roman" w:cs="Angsana New"/>
      <w:color w:val="000000"/>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Indent">
    <w:name w:val="Body Text Indent"/>
    <w:basedOn w:val="Normal"/>
    <w:link w:val="BodyTextIndentChar"/>
    <w:pPr>
      <w:ind w:right="-1" w:firstLine="567"/>
      <w:jc w:val="both"/>
    </w:pPr>
    <w:rPr>
      <w:rFonts w:ascii="Times New Roman" w:eastAsiaTheme="minorEastAsia" w:hAnsi="Times New Roman" w:cs="Angsana New"/>
      <w:lang w:val="nl-NL"/>
    </w:rPr>
  </w:style>
  <w:style w:type="paragraph" w:styleId="BodyTextIndent2">
    <w:name w:val="Body Text Indent 2"/>
    <w:basedOn w:val="Normal"/>
    <w:link w:val="BodyTextIndent2Char"/>
    <w:uiPriority w:val="99"/>
    <w:pPr>
      <w:ind w:right="-1" w:firstLine="567"/>
      <w:jc w:val="both"/>
    </w:pPr>
    <w:rPr>
      <w:rFonts w:ascii="Times New Roman" w:eastAsiaTheme="minorEastAsia" w:hAnsi="Times New Roman" w:cs="Angsana New"/>
      <w:sz w:val="24"/>
      <w:lang w:val="nl-NL"/>
    </w:rPr>
  </w:style>
  <w:style w:type="paragraph" w:styleId="BodyTextIndent3">
    <w:name w:val="Body Text Indent 3"/>
    <w:basedOn w:val="Normal"/>
    <w:link w:val="BodyTextIndent3Char"/>
    <w:uiPriority w:val="99"/>
    <w:pPr>
      <w:ind w:right="43" w:firstLine="567"/>
      <w:jc w:val="both"/>
    </w:pPr>
    <w:rPr>
      <w:rFonts w:ascii="Times New Roman" w:eastAsiaTheme="minorEastAsia" w:hAnsi="Times New Roman" w:cs="Angsana New"/>
      <w:lang w:val="en-GB"/>
    </w:rPr>
  </w:style>
  <w:style w:type="paragraph" w:styleId="Caption">
    <w:name w:val="caption"/>
    <w:basedOn w:val="Normal"/>
    <w:uiPriority w:val="99"/>
    <w:qFormat/>
    <w:pPr>
      <w:suppressLineNumbers/>
      <w:suppressAutoHyphens/>
      <w:spacing w:before="120" w:after="120"/>
    </w:pPr>
    <w:rPr>
      <w:rFonts w:ascii="Times New Roman" w:eastAsiaTheme="minorEastAsia" w:hAnsi="Times New Roman" w:cs="Tahoma"/>
      <w:i/>
      <w:iCs/>
      <w:sz w:val="24"/>
      <w:szCs w:val="24"/>
      <w:lang w:eastAsia="ar-S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CommentSubject">
    <w:name w:val="annotation subject"/>
    <w:basedOn w:val="CommentText"/>
    <w:next w:val="CommentText"/>
    <w:link w:val="CommentSubjectChar"/>
    <w:uiPriority w:val="99"/>
    <w:rPr>
      <w:rFonts w:cs="Angsana New"/>
      <w:b/>
      <w:bCs/>
      <w:lang w:val="en-GB" w:eastAsia="en-US"/>
    </w:rPr>
  </w:style>
  <w:style w:type="paragraph" w:styleId="DocumentMap">
    <w:name w:val="Document Map"/>
    <w:basedOn w:val="Normal"/>
    <w:link w:val="DocumentMapChar"/>
    <w:uiPriority w:val="99"/>
    <w:pPr>
      <w:shd w:val="clear" w:color="auto" w:fill="000080"/>
      <w:suppressAutoHyphens/>
    </w:pPr>
    <w:rPr>
      <w:rFonts w:ascii="Tahoma" w:eastAsiaTheme="minorEastAsia" w:hAnsi="Tahoma" w:cs="Tahoma"/>
      <w:lang w:eastAsia="ar-SA"/>
    </w:rPr>
  </w:style>
  <w:style w:type="character" w:styleId="Emphasis">
    <w:name w:val="Emphasis"/>
    <w:basedOn w:val="DefaultParagraphFont"/>
    <w:qFormat/>
    <w:rPr>
      <w:i/>
      <w:iCs/>
    </w:rPr>
  </w:style>
  <w:style w:type="character" w:styleId="EndnoteReference">
    <w:name w:val="endnote reference"/>
    <w:uiPriority w:val="99"/>
    <w:rPr>
      <w:sz w:val="32"/>
      <w:szCs w:val="32"/>
      <w:vertAlign w:val="superscript"/>
    </w:rPr>
  </w:style>
  <w:style w:type="paragraph" w:styleId="EndnoteText">
    <w:name w:val="endnote text"/>
    <w:basedOn w:val="Normal"/>
    <w:link w:val="EndnoteTextChar"/>
    <w:uiPriority w:val="99"/>
    <w:semiHidden/>
    <w:pPr>
      <w:widowControl w:val="0"/>
    </w:pPr>
    <w:rPr>
      <w:rFonts w:ascii="Courier" w:eastAsia="MingLiU" w:hAnsi="Courier" w:cs="Angsana New"/>
      <w:sz w:val="24"/>
      <w:lang w:val="en-GB"/>
    </w:rPr>
  </w:style>
  <w:style w:type="character" w:styleId="FollowedHyperlink">
    <w:name w:val="FollowedHyperlink"/>
    <w:basedOn w:val="DefaultParagraphFont"/>
    <w:uiPriority w:val="99"/>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pPr>
      <w:widowControl w:val="0"/>
      <w:snapToGrid w:val="0"/>
    </w:pPr>
    <w:rPr>
      <w:rFonts w:ascii="Times New Roman" w:eastAsia="SimSun" w:hAnsi="Times New Roman" w:cs="Angsana New"/>
      <w:kern w:val="2"/>
      <w:sz w:val="18"/>
      <w:lang w:eastAsia="zh-CN"/>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qFormat/>
    <w:rPr>
      <w:color w:val="FF0080"/>
      <w:u w:val="single"/>
    </w:rPr>
  </w:style>
  <w:style w:type="character" w:styleId="LineNumber">
    <w:name w:val="line number"/>
    <w:basedOn w:val="DefaultParagraphFont"/>
    <w:uiPriority w:val="99"/>
  </w:style>
  <w:style w:type="paragraph" w:styleId="List">
    <w:name w:val="List"/>
    <w:basedOn w:val="BodyText"/>
    <w:uiPriority w:val="99"/>
    <w:pPr>
      <w:widowControl w:val="0"/>
      <w:suppressAutoHyphens/>
      <w:spacing w:line="240" w:lineRule="auto"/>
      <w:ind w:right="0"/>
      <w:jc w:val="left"/>
    </w:pPr>
    <w:rPr>
      <w:rFonts w:cs="Tahoma"/>
      <w:color w:val="auto"/>
      <w:sz w:val="24"/>
      <w:szCs w:val="24"/>
      <w:lang w:eastAsia="ar-SA"/>
    </w:rPr>
  </w:style>
  <w:style w:type="paragraph" w:styleId="NormalWeb">
    <w:name w:val="Normal (Web)"/>
    <w:basedOn w:val="Normal"/>
    <w:uiPriority w:val="99"/>
    <w:qFormat/>
    <w:pPr>
      <w:spacing w:before="100" w:beforeAutospacing="1" w:after="100" w:afterAutospacing="1"/>
    </w:pPr>
    <w:rPr>
      <w:rFonts w:ascii="Times New Roman" w:eastAsiaTheme="minorEastAsia" w:hAnsi="Times New Roman" w:cs="Angsana New"/>
      <w:sz w:val="24"/>
      <w:szCs w:val="24"/>
    </w:rPr>
  </w:style>
  <w:style w:type="character" w:styleId="PageNumber">
    <w:name w:val="page number"/>
    <w:basedOn w:val="DefaultParagraphFont"/>
  </w:style>
  <w:style w:type="paragraph" w:styleId="PlainText">
    <w:name w:val="Plain Text"/>
    <w:basedOn w:val="Normal"/>
    <w:link w:val="PlainTextChar"/>
    <w:uiPriority w:val="99"/>
    <w:rPr>
      <w:rFonts w:ascii="Courier New" w:eastAsiaTheme="minorEastAsia" w:hAnsi="Courier New" w:cs="Courier New"/>
    </w:rPr>
  </w:style>
  <w:style w:type="paragraph" w:styleId="Signature">
    <w:name w:val="Signature"/>
    <w:basedOn w:val="Normal"/>
    <w:pPr>
      <w:ind w:left="4320"/>
    </w:pPr>
  </w:style>
  <w:style w:type="character" w:styleId="Strong">
    <w:name w:val="Strong"/>
    <w:qFormat/>
    <w:rPr>
      <w:b/>
      <w:bCs/>
    </w:rPr>
  </w:style>
  <w:style w:type="table" w:styleId="TableClassic1">
    <w:name w:val="Table Classic 1"/>
    <w:basedOn w:val="TableNormal"/>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BodyText3Char">
    <w:name w:val="Body Text 3 Char"/>
    <w:basedOn w:val="DefaultParagraphFont"/>
    <w:link w:val="BodyText3"/>
    <w:uiPriority w:val="99"/>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paragraph" w:styleId="NoSpacing">
    <w:name w:val="No Spacing"/>
    <w:link w:val="NoSpacingChar"/>
    <w:uiPriority w:val="1"/>
    <w:qFormat/>
    <w:rPr>
      <w:rFonts w:eastAsiaTheme="minorEastAsia" w:cs="Angsana New"/>
      <w:lang w:val="en-GB"/>
    </w:rPr>
  </w:style>
  <w:style w:type="character" w:customStyle="1" w:styleId="NoSpacingChar">
    <w:name w:val="No Spacing Char"/>
    <w:link w:val="NoSpacing"/>
    <w:uiPriority w:val="1"/>
    <w:qFormat/>
    <w:rPr>
      <w:rFonts w:eastAsiaTheme="minorEastAsia" w:cs="Angsana New"/>
      <w:lang w:val="en-GB"/>
    </w:rPr>
  </w:style>
  <w:style w:type="paragraph" w:customStyle="1" w:styleId="Default">
    <w:name w:val="Default"/>
    <w:qFormat/>
    <w:pPr>
      <w:autoSpaceDE w:val="0"/>
      <w:autoSpaceDN w:val="0"/>
      <w:adjustRightInd w:val="0"/>
    </w:pPr>
    <w:rPr>
      <w:color w:val="000000"/>
      <w:sz w:val="24"/>
      <w:szCs w:val="24"/>
      <w:lang w:eastAsia="zh-CN"/>
    </w:rPr>
  </w:style>
  <w:style w:type="table" w:customStyle="1" w:styleId="TableGridLight1">
    <w:name w:val="Table Grid Light1"/>
    <w:basedOn w:val="TableNormal"/>
    <w:uiPriority w:val="40"/>
    <w:qFormat/>
    <w:rPr>
      <w:rFonts w:eastAsiaTheme="minorEastAsia" w:cs="Angsana New"/>
      <w:lang w:bidi="th-T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qFormat/>
    <w:rPr>
      <w:rFonts w:eastAsiaTheme="minorEastAsia" w:cs="Angsana New"/>
      <w:b/>
      <w:sz w:val="24"/>
      <w:lang w:val="nl-NL"/>
    </w:rPr>
  </w:style>
  <w:style w:type="character" w:customStyle="1" w:styleId="Heading4Char">
    <w:name w:val="Heading 4 Char"/>
    <w:basedOn w:val="DefaultParagraphFont"/>
    <w:link w:val="Heading4"/>
    <w:rPr>
      <w:rFonts w:eastAsiaTheme="minorEastAsia" w:cs="Angsana New"/>
      <w:i/>
      <w:lang w:val="en-GB"/>
    </w:rPr>
  </w:style>
  <w:style w:type="character" w:customStyle="1" w:styleId="Heading5Char">
    <w:name w:val="Heading 5 Char"/>
    <w:basedOn w:val="DefaultParagraphFont"/>
    <w:link w:val="Heading5"/>
    <w:rPr>
      <w:rFonts w:eastAsiaTheme="minorEastAsia" w:cs="Angsana New"/>
      <w:b/>
      <w:bCs/>
      <w:lang w:val="en-GB"/>
    </w:rPr>
  </w:style>
  <w:style w:type="character" w:customStyle="1" w:styleId="Heading6Char">
    <w:name w:val="Heading 6 Char"/>
    <w:basedOn w:val="DefaultParagraphFont"/>
    <w:link w:val="Heading6"/>
    <w:rPr>
      <w:rFonts w:eastAsia="MingLiU" w:cs="Angsana New"/>
      <w:b/>
      <w:sz w:val="24"/>
      <w:lang w:val="en-GB"/>
    </w:rPr>
  </w:style>
  <w:style w:type="character" w:customStyle="1" w:styleId="Heading7Char">
    <w:name w:val="Heading 7 Char"/>
    <w:basedOn w:val="DefaultParagraphFont"/>
    <w:link w:val="Heading7"/>
    <w:uiPriority w:val="99"/>
    <w:rPr>
      <w:rFonts w:eastAsia="MingLiU" w:cs="Angsana New"/>
      <w:i/>
      <w:spacing w:val="-3"/>
      <w:sz w:val="24"/>
      <w:lang w:val="en-GB"/>
    </w:rPr>
  </w:style>
  <w:style w:type="character" w:customStyle="1" w:styleId="Heading8Char">
    <w:name w:val="Heading 8 Char"/>
    <w:basedOn w:val="DefaultParagraphFont"/>
    <w:link w:val="Heading8"/>
    <w:uiPriority w:val="99"/>
    <w:rPr>
      <w:rFonts w:eastAsia="MingLiU" w:cs="Angsana New"/>
      <w:b/>
      <w:spacing w:val="-6"/>
      <w:sz w:val="28"/>
      <w:lang w:val="en-GB"/>
    </w:rPr>
  </w:style>
  <w:style w:type="character" w:customStyle="1" w:styleId="Heading9Char">
    <w:name w:val="Heading 9 Char"/>
    <w:basedOn w:val="DefaultParagraphFont"/>
    <w:link w:val="Heading9"/>
    <w:rPr>
      <w:rFonts w:eastAsia="MingLiU" w:cs="Angsana New"/>
      <w:b/>
      <w:spacing w:val="-3"/>
      <w:sz w:val="24"/>
      <w:lang w:val="en-GB"/>
    </w:rPr>
  </w:style>
  <w:style w:type="character" w:customStyle="1" w:styleId="Heading1Char">
    <w:name w:val="Heading 1 Char"/>
    <w:link w:val="Heading1"/>
    <w:rPr>
      <w:rFonts w:ascii="Arial" w:hAnsi="Arial"/>
      <w:b/>
      <w:kern w:val="28"/>
      <w:sz w:val="28"/>
    </w:rPr>
  </w:style>
  <w:style w:type="character" w:customStyle="1" w:styleId="BodyTextIndentChar">
    <w:name w:val="Body Text Indent Char"/>
    <w:basedOn w:val="DefaultParagraphFont"/>
    <w:link w:val="BodyTextIndent"/>
    <w:rPr>
      <w:rFonts w:eastAsiaTheme="minorEastAsia" w:cs="Angsana New"/>
      <w:lang w:val="nl-NL"/>
    </w:rPr>
  </w:style>
  <w:style w:type="character" w:customStyle="1" w:styleId="BodyTextIndent2Char">
    <w:name w:val="Body Text Indent 2 Char"/>
    <w:basedOn w:val="DefaultParagraphFont"/>
    <w:link w:val="BodyTextIndent2"/>
    <w:uiPriority w:val="99"/>
    <w:rPr>
      <w:rFonts w:eastAsiaTheme="minorEastAsia" w:cs="Angsana New"/>
      <w:sz w:val="24"/>
      <w:lang w:val="nl-NL"/>
    </w:rPr>
  </w:style>
  <w:style w:type="paragraph" w:customStyle="1" w:styleId="WPDefaults">
    <w:name w:val="WP Defaults"/>
    <w:uiPriority w:val="9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eastAsiaTheme="minorEastAsia" w:hAnsi="Geneva" w:cs="Angsana New"/>
      <w:color w:val="000000"/>
      <w:sz w:val="24"/>
    </w:rPr>
  </w:style>
  <w:style w:type="character" w:customStyle="1" w:styleId="BodyTextChar">
    <w:name w:val="Body Text Char"/>
    <w:basedOn w:val="DefaultParagraphFont"/>
    <w:link w:val="BodyText"/>
    <w:uiPriority w:val="99"/>
    <w:rPr>
      <w:rFonts w:eastAsiaTheme="minorEastAsia" w:cs="Angsana New"/>
      <w:color w:val="000000"/>
    </w:rPr>
  </w:style>
  <w:style w:type="character" w:customStyle="1" w:styleId="FooterChar">
    <w:name w:val="Footer Char"/>
    <w:link w:val="Footer"/>
    <w:uiPriority w:val="99"/>
    <w:locked/>
    <w:rPr>
      <w:rFonts w:ascii="Helvetica" w:hAnsi="Helvetica"/>
    </w:rPr>
  </w:style>
  <w:style w:type="character" w:customStyle="1" w:styleId="BodyTextIndent3Char">
    <w:name w:val="Body Text Indent 3 Char"/>
    <w:basedOn w:val="DefaultParagraphFont"/>
    <w:link w:val="BodyTextIndent3"/>
    <w:uiPriority w:val="99"/>
    <w:rPr>
      <w:rFonts w:eastAsiaTheme="minorEastAsia" w:cs="Angsana New"/>
      <w:lang w:val="en-GB"/>
    </w:rPr>
  </w:style>
  <w:style w:type="paragraph" w:customStyle="1" w:styleId="Technisch5">
    <w:name w:val="Technisch 5"/>
    <w:uiPriority w:val="99"/>
    <w:pPr>
      <w:widowControl w:val="0"/>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s>
      <w:suppressAutoHyphens/>
    </w:pPr>
    <w:rPr>
      <w:rFonts w:ascii="Courier New" w:eastAsiaTheme="minorEastAsia" w:hAnsi="Courier New" w:cs="Angsana New"/>
      <w:b/>
      <w:snapToGrid w:val="0"/>
      <w:sz w:val="24"/>
    </w:rPr>
  </w:style>
  <w:style w:type="character" w:customStyle="1" w:styleId="HeaderChar">
    <w:name w:val="Header Char"/>
    <w:link w:val="Header"/>
    <w:uiPriority w:val="99"/>
    <w:rPr>
      <w:rFonts w:ascii="Helvetica" w:hAnsi="Helvetica"/>
    </w:rPr>
  </w:style>
  <w:style w:type="character" w:customStyle="1" w:styleId="EndnoteTextChar">
    <w:name w:val="Endnote Text Char"/>
    <w:basedOn w:val="DefaultParagraphFont"/>
    <w:link w:val="EndnoteText"/>
    <w:uiPriority w:val="99"/>
    <w:semiHidden/>
    <w:rPr>
      <w:rFonts w:ascii="Courier" w:eastAsia="MingLiU" w:hAnsi="Courier" w:cs="Angsana New"/>
      <w:sz w:val="24"/>
      <w:lang w:val="en-GB"/>
    </w:rPr>
  </w:style>
  <w:style w:type="character" w:customStyle="1" w:styleId="FootnoteTextChar">
    <w:name w:val="Footnote Text Char"/>
    <w:basedOn w:val="DefaultParagraphFont"/>
    <w:link w:val="FootnoteText"/>
    <w:rPr>
      <w:rFonts w:eastAsia="SimSun" w:cs="Angsana New"/>
      <w:kern w:val="2"/>
      <w:sz w:val="18"/>
      <w:lang w:eastAsia="zh-CN"/>
    </w:rPr>
  </w:style>
  <w:style w:type="character" w:customStyle="1" w:styleId="PlainTextChar">
    <w:name w:val="Plain Text Char"/>
    <w:basedOn w:val="DefaultParagraphFont"/>
    <w:link w:val="PlainText"/>
    <w:uiPriority w:val="99"/>
    <w:rPr>
      <w:rFonts w:ascii="Courier New" w:eastAsiaTheme="minorEastAsia" w:hAnsi="Courier New" w:cs="Courier New"/>
    </w:rPr>
  </w:style>
  <w:style w:type="character" w:customStyle="1" w:styleId="eudoraheader">
    <w:name w:val="eudoraheader"/>
    <w:basedOn w:val="DefaultParagraphFont"/>
    <w:uiPriority w:val="99"/>
  </w:style>
  <w:style w:type="paragraph" w:customStyle="1" w:styleId="BalloonText1">
    <w:name w:val="Balloon Text1"/>
    <w:basedOn w:val="Normal"/>
    <w:uiPriority w:val="99"/>
    <w:semiHidden/>
    <w:rPr>
      <w:rFonts w:ascii="Tahoma" w:eastAsiaTheme="minorEastAsia" w:hAnsi="Tahoma" w:cs="Tahoma"/>
      <w:sz w:val="16"/>
      <w:szCs w:val="16"/>
      <w:lang w:val="en-GB"/>
    </w:rPr>
  </w:style>
  <w:style w:type="character" w:customStyle="1" w:styleId="CommentSubjectChar">
    <w:name w:val="Comment Subject Char"/>
    <w:basedOn w:val="CommentTextChar"/>
    <w:link w:val="CommentSubject"/>
    <w:uiPriority w:val="99"/>
    <w:rPr>
      <w:rFonts w:cs="Angsana New"/>
      <w:b/>
      <w:bCs/>
      <w:lang w:val="en-GB" w:eastAsia="nb-NO"/>
    </w:rPr>
  </w:style>
  <w:style w:type="character" w:customStyle="1" w:styleId="textsmall">
    <w:name w:val="textsmall"/>
    <w:basedOn w:val="DefaultParagraphFont"/>
    <w:uiPriority w:val="99"/>
  </w:style>
  <w:style w:type="character" w:customStyle="1" w:styleId="ti">
    <w:name w:val="ti"/>
    <w:basedOn w:val="DefaultParagraphFont"/>
    <w:uiPriority w:val="99"/>
  </w:style>
  <w:style w:type="paragraph" w:styleId="ListParagraph">
    <w:name w:val="List Paragraph"/>
    <w:basedOn w:val="Normal"/>
    <w:uiPriority w:val="34"/>
    <w:qFormat/>
    <w:pPr>
      <w:ind w:left="720"/>
      <w:contextualSpacing/>
    </w:pPr>
    <w:rPr>
      <w:rFonts w:ascii="Times New Roman" w:eastAsiaTheme="minorEastAsia" w:hAnsi="Times New Roman"/>
      <w:sz w:val="24"/>
      <w:szCs w:val="24"/>
    </w:rPr>
  </w:style>
  <w:style w:type="character" w:customStyle="1" w:styleId="WW8Num1z0">
    <w:name w:val="WW8Num1z0"/>
    <w:uiPriority w:val="99"/>
    <w:rPr>
      <w:sz w:val="24"/>
      <w:szCs w:val="24"/>
    </w:rPr>
  </w:style>
  <w:style w:type="paragraph" w:customStyle="1" w:styleId="Heading">
    <w:name w:val="Heading"/>
    <w:basedOn w:val="Normal"/>
    <w:next w:val="BodyText"/>
    <w:uiPriority w:val="99"/>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uiPriority w:val="99"/>
    <w:pPr>
      <w:suppressLineNumbers/>
      <w:suppressAutoHyphens/>
    </w:pPr>
    <w:rPr>
      <w:rFonts w:ascii="Times New Roman" w:eastAsiaTheme="minorEastAsia" w:hAnsi="Times New Roman" w:cs="Tahoma"/>
      <w:sz w:val="24"/>
      <w:szCs w:val="24"/>
      <w:lang w:eastAsia="ar-SA"/>
    </w:rPr>
  </w:style>
  <w:style w:type="paragraph" w:customStyle="1" w:styleId="Normal0">
    <w:name w:val="[Normal]"/>
    <w:uiPriority w:val="99"/>
    <w:pPr>
      <w:suppressAutoHyphens/>
      <w:autoSpaceDE w:val="0"/>
      <w:spacing w:line="360" w:lineRule="auto"/>
      <w:jc w:val="both"/>
    </w:pPr>
    <w:rPr>
      <w:rFonts w:eastAsiaTheme="minorEastAsia"/>
      <w:sz w:val="24"/>
      <w:szCs w:val="24"/>
      <w:lang w:eastAsia="ar-SA"/>
    </w:rPr>
  </w:style>
  <w:style w:type="character" w:customStyle="1" w:styleId="DocumentMapChar">
    <w:name w:val="Document Map Char"/>
    <w:basedOn w:val="DefaultParagraphFont"/>
    <w:link w:val="DocumentMap"/>
    <w:uiPriority w:val="99"/>
    <w:rPr>
      <w:rFonts w:ascii="Tahoma" w:eastAsiaTheme="minorEastAsia" w:hAnsi="Tahoma" w:cs="Tahoma"/>
      <w:shd w:val="clear" w:color="auto" w:fill="000080"/>
      <w:lang w:eastAsia="ar-SA"/>
    </w:rPr>
  </w:style>
  <w:style w:type="paragraph" w:customStyle="1" w:styleId="TableContents">
    <w:name w:val="Table Contents"/>
    <w:basedOn w:val="Normal"/>
    <w:uiPriority w:val="99"/>
    <w:pPr>
      <w:suppressLineNumbers/>
      <w:suppressAutoHyphens/>
    </w:pPr>
    <w:rPr>
      <w:rFonts w:ascii="Times New Roman" w:eastAsiaTheme="minorEastAsia" w:hAnsi="Times New Roman"/>
      <w:sz w:val="24"/>
      <w:szCs w:val="24"/>
      <w:lang w:eastAsia="ar-SA"/>
    </w:rPr>
  </w:style>
  <w:style w:type="paragraph" w:customStyle="1" w:styleId="TableHeading">
    <w:name w:val="Table Heading"/>
    <w:basedOn w:val="TableContents"/>
    <w:uiPriority w:val="99"/>
    <w:pPr>
      <w:jc w:val="center"/>
    </w:pPr>
    <w:rPr>
      <w:b/>
      <w:bCs/>
    </w:rPr>
  </w:style>
  <w:style w:type="table" w:customStyle="1" w:styleId="LightShading1">
    <w:name w:val="Light Shading1"/>
    <w:basedOn w:val="TableNormal"/>
    <w:uiPriority w:val="60"/>
    <w:qFormat/>
    <w:rPr>
      <w:rFonts w:ascii="Calibri" w:eastAsia="Calibri" w:hAnsi="Calibri" w:cs="Arial"/>
      <w:color w:val="000000"/>
      <w:lang w:bidi="th-TH"/>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ticle-heading">
    <w:name w:val="article-heading"/>
    <w:basedOn w:val="Normal"/>
    <w:uiPriority w:val="99"/>
    <w:qFormat/>
    <w:pPr>
      <w:spacing w:after="100" w:afterAutospacing="1"/>
    </w:pPr>
    <w:rPr>
      <w:rFonts w:ascii="Angsana New" w:eastAsiaTheme="minorEastAsia" w:hAnsi="Angsana New" w:cs="Angsana New"/>
      <w:sz w:val="28"/>
      <w:szCs w:val="28"/>
      <w:lang w:bidi="th-TH"/>
    </w:rPr>
  </w:style>
  <w:style w:type="character" w:customStyle="1" w:styleId="verdana11blue1">
    <w:name w:val="verdana11blue1"/>
    <w:qFormat/>
    <w:rPr>
      <w:rFonts w:ascii="Verdana" w:hAnsi="Verdana" w:hint="default"/>
      <w:color w:val="34587F"/>
      <w:sz w:val="17"/>
      <w:szCs w:val="17"/>
    </w:rPr>
  </w:style>
  <w:style w:type="character" w:customStyle="1" w:styleId="longtext">
    <w:name w:val="long_text"/>
    <w:basedOn w:val="DefaultParagraphFont"/>
    <w:qFormat/>
  </w:style>
  <w:style w:type="character" w:customStyle="1" w:styleId="mediumtext">
    <w:name w:val="medium_text"/>
    <w:basedOn w:val="DefaultParagraphFont"/>
    <w:qFormat/>
  </w:style>
  <w:style w:type="character" w:customStyle="1" w:styleId="shorttext">
    <w:name w:val="short_text"/>
    <w:basedOn w:val="DefaultParagraphFont"/>
    <w:qFormat/>
  </w:style>
  <w:style w:type="character" w:customStyle="1" w:styleId="CharChar1">
    <w:name w:val="Char Char1"/>
    <w:qFormat/>
    <w:rPr>
      <w:sz w:val="24"/>
      <w:szCs w:val="24"/>
    </w:rPr>
  </w:style>
  <w:style w:type="character" w:customStyle="1" w:styleId="apple-style-span">
    <w:name w:val="apple-style-span"/>
    <w:basedOn w:val="DefaultParagraphFont"/>
    <w:qFormat/>
  </w:style>
  <w:style w:type="paragraph" w:customStyle="1" w:styleId="articletitle">
    <w:name w:val="articletitle"/>
    <w:basedOn w:val="Normal"/>
    <w:qFormat/>
    <w:pPr>
      <w:spacing w:before="100" w:beforeAutospacing="1" w:after="100" w:afterAutospacing="1"/>
    </w:pPr>
    <w:rPr>
      <w:rFonts w:ascii="Arial Unicode MS" w:eastAsia="Arial Unicode MS" w:hAnsi="Arial Unicode MS" w:cs="Arial Unicode MS"/>
      <w:b/>
      <w:bCs/>
      <w:color w:val="000000"/>
      <w:sz w:val="36"/>
      <w:szCs w:val="36"/>
    </w:rPr>
  </w:style>
  <w:style w:type="character" w:customStyle="1" w:styleId="ilad1">
    <w:name w:val="il_ad1"/>
    <w:basedOn w:val="DefaultParagraphFont"/>
    <w:qFormat/>
    <w:rPr>
      <w:color w:val="660000"/>
      <w:u w:val="single"/>
    </w:rPr>
  </w:style>
  <w:style w:type="character" w:customStyle="1" w:styleId="google-src-text1">
    <w:name w:val="google-src-text1"/>
    <w:basedOn w:val="DefaultParagraphFont"/>
    <w:qFormat/>
    <w:rPr>
      <w:vanish/>
    </w:rPr>
  </w:style>
  <w:style w:type="character" w:customStyle="1" w:styleId="TitleChar">
    <w:name w:val="Title Char"/>
    <w:basedOn w:val="DefaultParagraphFont"/>
    <w:link w:val="Title"/>
    <w:uiPriority w:val="99"/>
    <w:qFormat/>
    <w:rPr>
      <w:rFonts w:ascii="Helvetica" w:hAnsi="Helvetica"/>
      <w:b/>
      <w:kern w:val="28"/>
      <w:sz w:val="36"/>
    </w:rPr>
  </w:style>
  <w:style w:type="paragraph" w:customStyle="1" w:styleId="CharChar">
    <w:name w:val="Char Char"/>
    <w:basedOn w:val="Normal"/>
    <w:autoRedefine/>
    <w:uiPriority w:val="99"/>
    <w:qFormat/>
    <w:pPr>
      <w:spacing w:after="160" w:line="240" w:lineRule="exact"/>
    </w:pPr>
    <w:rPr>
      <w:rFonts w:ascii="Times New Roman" w:eastAsia="SimSun" w:hAnsi="Times New Roman"/>
      <w:b/>
      <w:sz w:val="28"/>
      <w:szCs w:val="24"/>
    </w:rPr>
  </w:style>
  <w:style w:type="character" w:styleId="PlaceholderText">
    <w:name w:val="Placeholder Text"/>
    <w:uiPriority w:val="99"/>
    <w:semiHidden/>
    <w:qFormat/>
    <w:rPr>
      <w:rFonts w:cs="Times New Roman"/>
      <w:color w:val="808080"/>
    </w:rPr>
  </w:style>
  <w:style w:type="paragraph" w:customStyle="1" w:styleId="ListParagraph1">
    <w:name w:val="List Paragraph1"/>
    <w:basedOn w:val="Normal"/>
    <w:uiPriority w:val="99"/>
    <w:qFormat/>
    <w:pPr>
      <w:ind w:left="720"/>
      <w:contextualSpacing/>
    </w:pPr>
    <w:rPr>
      <w:rFonts w:ascii="Times New Roman" w:eastAsiaTheme="minorEastAsia" w:hAnsi="Times New Roman" w:cs="Angsana New"/>
      <w:sz w:val="24"/>
      <w:szCs w:val="28"/>
      <w:lang w:bidi="th-TH"/>
    </w:rPr>
  </w:style>
  <w:style w:type="character" w:customStyle="1" w:styleId="Absatz-Standardschriftart">
    <w:name w:val="Absatz-Standardschriftart"/>
    <w:uiPriority w:val="99"/>
    <w:qFormat/>
  </w:style>
  <w:style w:type="character" w:customStyle="1" w:styleId="WW-Absatz-Standardschriftart">
    <w:name w:val="WW-Absatz-Standardschriftart"/>
    <w:uiPriority w:val="99"/>
    <w:qFormat/>
  </w:style>
  <w:style w:type="character" w:customStyle="1" w:styleId="WW8Num3z0">
    <w:name w:val="WW8Num3z0"/>
    <w:uiPriority w:val="99"/>
    <w:qFormat/>
    <w:rPr>
      <w:sz w:val="21"/>
    </w:rPr>
  </w:style>
  <w:style w:type="character" w:customStyle="1" w:styleId="WW8Num6z0">
    <w:name w:val="WW8Num6z0"/>
    <w:uiPriority w:val="99"/>
    <w:qFormat/>
    <w:rPr>
      <w:sz w:val="21"/>
    </w:rPr>
  </w:style>
  <w:style w:type="paragraph" w:customStyle="1" w:styleId="berschrift">
    <w:name w:val="Überschrift"/>
    <w:basedOn w:val="Normal"/>
    <w:next w:val="BodyText"/>
    <w:uiPriority w:val="99"/>
    <w:qFormat/>
    <w:pPr>
      <w:keepNext/>
      <w:suppressAutoHyphens/>
      <w:spacing w:before="240" w:after="120" w:line="340" w:lineRule="atLeast"/>
      <w:jc w:val="both"/>
    </w:pPr>
    <w:rPr>
      <w:rFonts w:ascii="Arial" w:eastAsia="Droid Sans Fallback" w:hAnsi="Arial" w:cs="Sawasdee"/>
      <w:color w:val="000000"/>
      <w:sz w:val="28"/>
      <w:szCs w:val="37"/>
      <w:lang w:eastAsia="ar-SA"/>
    </w:rPr>
  </w:style>
  <w:style w:type="paragraph" w:customStyle="1" w:styleId="Beschriftung">
    <w:name w:val="Beschriftung"/>
    <w:basedOn w:val="Normal"/>
    <w:uiPriority w:val="99"/>
    <w:qFormat/>
    <w:pPr>
      <w:suppressLineNumbers/>
      <w:suppressAutoHyphens/>
      <w:spacing w:before="120" w:after="120" w:line="340" w:lineRule="atLeast"/>
      <w:jc w:val="both"/>
    </w:pPr>
    <w:rPr>
      <w:rFonts w:ascii="Times" w:eastAsia="SimSun" w:hAnsi="Times" w:cs="Sawasdee"/>
      <w:i/>
      <w:iCs/>
      <w:color w:val="000000"/>
      <w:sz w:val="24"/>
      <w:szCs w:val="32"/>
      <w:lang w:eastAsia="ar-SA"/>
    </w:rPr>
  </w:style>
  <w:style w:type="paragraph" w:customStyle="1" w:styleId="Verzeichnis">
    <w:name w:val="Verzeichnis"/>
    <w:basedOn w:val="Normal"/>
    <w:uiPriority w:val="99"/>
    <w:qFormat/>
    <w:pPr>
      <w:suppressLineNumbers/>
      <w:suppressAutoHyphens/>
      <w:spacing w:line="340" w:lineRule="atLeast"/>
      <w:jc w:val="both"/>
    </w:pPr>
    <w:rPr>
      <w:rFonts w:ascii="Times" w:eastAsia="SimSun" w:hAnsi="Times" w:cs="Sawasdee"/>
      <w:color w:val="000000"/>
      <w:sz w:val="24"/>
      <w:lang w:eastAsia="ar-SA"/>
    </w:rPr>
  </w:style>
  <w:style w:type="paragraph" w:customStyle="1" w:styleId="MHeading1">
    <w:name w:val="M_Heading1"/>
    <w:basedOn w:val="Normal"/>
    <w:uiPriority w:val="99"/>
    <w:qFormat/>
    <w:pPr>
      <w:suppressAutoHyphens/>
      <w:spacing w:after="240" w:line="340" w:lineRule="atLeast"/>
      <w:jc w:val="both"/>
    </w:pPr>
    <w:rPr>
      <w:rFonts w:ascii="Times" w:eastAsia="SimSun" w:hAnsi="Times" w:cs="Times"/>
      <w:b/>
      <w:color w:val="000000"/>
      <w:sz w:val="24"/>
      <w:lang w:eastAsia="ar-SA"/>
    </w:rPr>
  </w:style>
  <w:style w:type="paragraph" w:customStyle="1" w:styleId="MText">
    <w:name w:val="M_Text"/>
    <w:basedOn w:val="Normal"/>
    <w:uiPriority w:val="99"/>
    <w:qFormat/>
    <w:pPr>
      <w:suppressAutoHyphens/>
      <w:spacing w:line="340" w:lineRule="atLeast"/>
      <w:ind w:firstLine="284"/>
      <w:jc w:val="both"/>
    </w:pPr>
    <w:rPr>
      <w:rFonts w:ascii="Times" w:eastAsia="SimSun" w:hAnsi="Times" w:cs="Times"/>
      <w:color w:val="000000"/>
      <w:sz w:val="24"/>
      <w:lang w:eastAsia="ar-SA"/>
    </w:rPr>
  </w:style>
  <w:style w:type="paragraph" w:customStyle="1" w:styleId="Mabstract">
    <w:name w:val="M_abstract"/>
    <w:basedOn w:val="Normal"/>
    <w:uiPriority w:val="99"/>
    <w:qFormat/>
    <w:pPr>
      <w:suppressAutoHyphens/>
      <w:spacing w:before="240" w:line="340" w:lineRule="atLeast"/>
      <w:ind w:left="510" w:right="510"/>
      <w:jc w:val="both"/>
    </w:pPr>
    <w:rPr>
      <w:rFonts w:ascii="Times" w:eastAsia="SimSun" w:hAnsi="Times" w:cs="Times"/>
      <w:color w:val="000000"/>
      <w:sz w:val="24"/>
      <w:lang w:eastAsia="ar-SA"/>
    </w:rPr>
  </w:style>
  <w:style w:type="paragraph" w:customStyle="1" w:styleId="Mauthor">
    <w:name w:val="M_author"/>
    <w:basedOn w:val="Normal"/>
    <w:uiPriority w:val="99"/>
    <w:qFormat/>
    <w:pPr>
      <w:suppressAutoHyphens/>
      <w:spacing w:before="240" w:line="340" w:lineRule="atLeast"/>
    </w:pPr>
    <w:rPr>
      <w:rFonts w:ascii="Times" w:eastAsia="SimSun" w:hAnsi="Times" w:cs="Times"/>
      <w:b/>
      <w:color w:val="000000"/>
      <w:sz w:val="24"/>
      <w:lang w:eastAsia="ar-SA"/>
    </w:rPr>
  </w:style>
  <w:style w:type="paragraph" w:customStyle="1" w:styleId="Mline2">
    <w:name w:val="M_line2"/>
    <w:basedOn w:val="Normal"/>
    <w:uiPriority w:val="99"/>
    <w:qFormat/>
    <w:pPr>
      <w:suppressAutoHyphens/>
      <w:spacing w:after="480" w:line="340" w:lineRule="atLeast"/>
      <w:jc w:val="both"/>
    </w:pPr>
    <w:rPr>
      <w:rFonts w:ascii="Times" w:eastAsia="SimSun" w:hAnsi="Times" w:cs="Times"/>
      <w:color w:val="000000"/>
      <w:sz w:val="24"/>
      <w:lang w:eastAsia="ar-SA"/>
    </w:rPr>
  </w:style>
  <w:style w:type="paragraph" w:customStyle="1" w:styleId="Mline1">
    <w:name w:val="M_line1"/>
    <w:basedOn w:val="Mline2"/>
    <w:uiPriority w:val="99"/>
    <w:qFormat/>
    <w:pPr>
      <w:spacing w:after="0"/>
    </w:pPr>
  </w:style>
  <w:style w:type="paragraph" w:customStyle="1" w:styleId="MHeading2">
    <w:name w:val="M_Heading2"/>
    <w:basedOn w:val="Normal"/>
    <w:uiPriority w:val="99"/>
    <w:qFormat/>
    <w:pPr>
      <w:suppressAutoHyphens/>
      <w:spacing w:after="240" w:line="340" w:lineRule="atLeast"/>
      <w:jc w:val="both"/>
    </w:pPr>
    <w:rPr>
      <w:rFonts w:ascii="Times" w:eastAsia="SimSun" w:hAnsi="Times" w:cs="Times"/>
      <w:i/>
      <w:color w:val="000000"/>
      <w:sz w:val="24"/>
      <w:lang w:eastAsia="ar-SA"/>
    </w:rPr>
  </w:style>
  <w:style w:type="paragraph" w:customStyle="1" w:styleId="MTablecaption">
    <w:name w:val="M_Tablecaption"/>
    <w:basedOn w:val="Normal"/>
    <w:uiPriority w:val="99"/>
    <w:qFormat/>
    <w:pPr>
      <w:suppressAutoHyphens/>
      <w:spacing w:before="240" w:line="340" w:lineRule="atLeast"/>
      <w:jc w:val="center"/>
    </w:pPr>
    <w:rPr>
      <w:rFonts w:ascii="Times" w:eastAsia="SimSun" w:hAnsi="Times" w:cs="Times"/>
      <w:color w:val="000000"/>
      <w:sz w:val="24"/>
      <w:lang w:eastAsia="ar-SA"/>
    </w:rPr>
  </w:style>
  <w:style w:type="paragraph" w:customStyle="1" w:styleId="TabellenInhalt">
    <w:name w:val="Tabellen Inhalt"/>
    <w:basedOn w:val="Normal"/>
    <w:uiPriority w:val="99"/>
    <w:qFormat/>
    <w:pPr>
      <w:suppressLineNumbers/>
      <w:suppressAutoHyphens/>
      <w:spacing w:line="340" w:lineRule="atLeast"/>
      <w:jc w:val="both"/>
    </w:pPr>
    <w:rPr>
      <w:rFonts w:ascii="Times" w:eastAsia="SimSun" w:hAnsi="Times" w:cs="Times"/>
      <w:color w:val="000000"/>
      <w:sz w:val="24"/>
      <w:lang w:eastAsia="ar-SA"/>
    </w:rPr>
  </w:style>
  <w:style w:type="paragraph" w:customStyle="1" w:styleId="Tabellenberschrift">
    <w:name w:val="Tabellen Überschrift"/>
    <w:basedOn w:val="TabellenInhalt"/>
    <w:uiPriority w:val="99"/>
    <w:qFormat/>
    <w:pPr>
      <w:jc w:val="center"/>
    </w:pPr>
    <w:rPr>
      <w:b/>
      <w:bCs/>
    </w:rPr>
  </w:style>
  <w:style w:type="paragraph" w:customStyle="1" w:styleId="Rahmeninhalt">
    <w:name w:val="Rahmeninhalt"/>
    <w:basedOn w:val="BodyText"/>
    <w:uiPriority w:val="99"/>
    <w:qFormat/>
    <w:pPr>
      <w:suppressAutoHyphens/>
      <w:spacing w:line="240" w:lineRule="auto"/>
      <w:ind w:right="0"/>
    </w:pPr>
    <w:rPr>
      <w:rFonts w:ascii="Angsana New" w:eastAsia="SimSun" w:hAnsi="Angsana New"/>
      <w:color w:val="auto"/>
      <w:sz w:val="36"/>
      <w:szCs w:val="36"/>
      <w:lang w:eastAsia="th-TH" w:bidi="th-TH"/>
    </w:rPr>
  </w:style>
  <w:style w:type="paragraph" w:customStyle="1" w:styleId="1">
    <w:name w:val="Знак Знак Знак1 Знак"/>
    <w:basedOn w:val="Normal"/>
    <w:autoRedefine/>
    <w:qFormat/>
    <w:pPr>
      <w:spacing w:after="160" w:line="240" w:lineRule="exact"/>
    </w:pPr>
    <w:rPr>
      <w:rFonts w:ascii="Times New Roman" w:eastAsia="SimSun" w:hAnsi="Times New Roman"/>
      <w:b/>
      <w:sz w:val="28"/>
      <w:szCs w:val="24"/>
      <w:lang w:bidi="lo-LA"/>
    </w:rPr>
  </w:style>
  <w:style w:type="paragraph" w:customStyle="1" w:styleId="Style2">
    <w:name w:val="Style2"/>
    <w:basedOn w:val="Normal"/>
    <w:autoRedefine/>
    <w:qFormat/>
    <w:pPr>
      <w:bidi/>
      <w:spacing w:line="18" w:lineRule="atLeast"/>
      <w:jc w:val="center"/>
    </w:pPr>
    <w:rPr>
      <w:rFonts w:ascii="B Lotus" w:eastAsia="Calibri" w:hAnsi="B Lotus" w:cs="B Lotus"/>
      <w:bCs/>
      <w:sz w:val="24"/>
      <w:szCs w:val="24"/>
      <w:lang w:bidi="fa-IR"/>
    </w:rPr>
  </w:style>
  <w:style w:type="character" w:customStyle="1" w:styleId="CharChar8">
    <w:name w:val="Char Char8"/>
    <w:qFormat/>
    <w:rPr>
      <w:rFonts w:ascii="Cambria" w:eastAsia="MS Gothic" w:hAnsi="Cambria"/>
      <w:b/>
      <w:bCs/>
      <w:color w:val="365F91"/>
      <w:sz w:val="28"/>
      <w:szCs w:val="28"/>
      <w:lang w:eastAsia="ja-JP" w:bidi="ar-SA"/>
    </w:rPr>
  </w:style>
  <w:style w:type="paragraph" w:customStyle="1" w:styleId="author-2">
    <w:name w:val="author-2"/>
    <w:basedOn w:val="Normal"/>
    <w:qFormat/>
    <w:pPr>
      <w:spacing w:before="100" w:beforeAutospacing="1" w:after="100" w:afterAutospacing="1"/>
    </w:pPr>
    <w:rPr>
      <w:rFonts w:ascii="Times New Roman" w:eastAsiaTheme="minorEastAsia" w:hAnsi="Times New Roman"/>
      <w:color w:val="000000"/>
      <w:sz w:val="24"/>
      <w:szCs w:val="24"/>
      <w:lang w:bidi="lo-LA"/>
    </w:rPr>
  </w:style>
  <w:style w:type="character" w:customStyle="1" w:styleId="yshortcuts">
    <w:name w:val="yshortcuts"/>
    <w:basedOn w:val="DefaultParagraphFont"/>
    <w:qFormat/>
  </w:style>
  <w:style w:type="paragraph" w:customStyle="1" w:styleId="authors">
    <w:name w:val="authors"/>
    <w:basedOn w:val="Normal"/>
    <w:qFormat/>
    <w:pPr>
      <w:spacing w:before="100" w:beforeAutospacing="1" w:after="100" w:afterAutospacing="1"/>
    </w:pPr>
    <w:rPr>
      <w:rFonts w:ascii="Times New Roman" w:eastAsiaTheme="minorEastAsia" w:hAnsi="Times New Roman"/>
      <w:sz w:val="24"/>
      <w:szCs w:val="24"/>
      <w:lang w:bidi="lo-LA"/>
    </w:rPr>
  </w:style>
  <w:style w:type="character" w:customStyle="1" w:styleId="ti2">
    <w:name w:val="ti2"/>
    <w:basedOn w:val="DefaultParagraphFont"/>
    <w:qFormat/>
    <w:rPr>
      <w:sz w:val="22"/>
      <w:szCs w:val="22"/>
    </w:rPr>
  </w:style>
  <w:style w:type="character" w:customStyle="1" w:styleId="apple-converted-space">
    <w:name w:val="apple-converted-space"/>
    <w:basedOn w:val="DefaultParagraphFont"/>
    <w:qFormat/>
  </w:style>
  <w:style w:type="character" w:customStyle="1" w:styleId="citation">
    <w:name w:val="citation"/>
    <w:basedOn w:val="DefaultParagraphFont"/>
    <w:qFormat/>
  </w:style>
  <w:style w:type="table" w:customStyle="1" w:styleId="LightShading-Accent11">
    <w:name w:val="Light Shading - Accent 11"/>
    <w:basedOn w:val="TableNormal"/>
    <w:uiPriority w:val="60"/>
    <w:qFormat/>
    <w:rPr>
      <w:rFonts w:asciiTheme="minorHAnsi" w:eastAsiaTheme="minorHAnsi" w:hAnsiTheme="minorHAnsi" w:cstheme="minorBidi"/>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88/2515-7620/ab50f2"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JOY%20OGANA\Desktop\PHD\Heavy%20metals%20in%20fish%20and%20earthworm\JOY12.ht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17D01-7FBD-4B84-9D1A-FF1B20FB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93</TotalTime>
  <Pages>19</Pages>
  <Words>7395</Words>
  <Characters>42156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10</cp:revision>
  <cp:lastPrinted>1999-07-06T11:00:00Z</cp:lastPrinted>
  <dcterms:created xsi:type="dcterms:W3CDTF">2025-06-05T11:39:00Z</dcterms:created>
  <dcterms:modified xsi:type="dcterms:W3CDTF">2025-06-07T08:30:00Z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8fa1b020-2a01-4106-9515-6650edeed39c</vt:lpwstr>
  </property>
  <property fmtid="{D5CDD505-2E9C-101B-9397-08002B2CF9AE}" pid="3" name="KSOProductBuildVer">
    <vt:lpwstr>1033-12.2.0.21179</vt:lpwstr>
  </property>
  <property fmtid="{D5CDD505-2E9C-101B-9397-08002B2CF9AE}" pid="4" name="ICV">
    <vt:lpwstr>667D665B43AB42C6ADC8A7BD45B75244_12</vt:lpwstr>
  </property>
</Properties>
</file>