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BC03E" w14:textId="77777777" w:rsidR="00411D13" w:rsidRPr="00411D13" w:rsidRDefault="00411D13" w:rsidP="00411D13">
      <w:pPr>
        <w:spacing w:line="276" w:lineRule="auto"/>
        <w:jc w:val="center"/>
        <w:rPr>
          <w:rFonts w:ascii="Times New Roman" w:hAnsi="Times New Roman" w:cs="Times New Roman"/>
          <w:b/>
          <w:bCs/>
          <w:i/>
          <w:iCs/>
          <w:color w:val="000000" w:themeColor="text1"/>
          <w:u w:val="single"/>
          <w:lang w:val="en-US"/>
        </w:rPr>
      </w:pPr>
      <w:r w:rsidRPr="00411D13">
        <w:rPr>
          <w:rFonts w:ascii="Times New Roman" w:hAnsi="Times New Roman" w:cs="Times New Roman"/>
          <w:b/>
          <w:bCs/>
          <w:i/>
          <w:iCs/>
          <w:color w:val="000000" w:themeColor="text1"/>
          <w:u w:val="single"/>
          <w:lang w:val="en-US"/>
        </w:rPr>
        <w:t>Original Research Article</w:t>
      </w:r>
    </w:p>
    <w:p w14:paraId="35ECFDCA" w14:textId="17DD1F64" w:rsidR="00B77311" w:rsidRPr="00642F59" w:rsidRDefault="00B77311" w:rsidP="00B77311">
      <w:pPr>
        <w:spacing w:line="276" w:lineRule="auto"/>
        <w:jc w:val="center"/>
        <w:rPr>
          <w:rFonts w:ascii="Times New Roman" w:hAnsi="Times New Roman" w:cs="Times New Roman"/>
          <w:b/>
          <w:bCs/>
          <w:color w:val="000000" w:themeColor="text1"/>
          <w:u w:val="single"/>
        </w:rPr>
      </w:pPr>
      <w:r w:rsidRPr="00642F59">
        <w:rPr>
          <w:rFonts w:ascii="Times New Roman" w:hAnsi="Times New Roman" w:cs="Times New Roman"/>
          <w:b/>
          <w:bCs/>
          <w:color w:val="000000" w:themeColor="text1"/>
          <w:u w:val="single"/>
        </w:rPr>
        <w:t>INSTANT IDLI</w:t>
      </w:r>
      <w:r w:rsidR="008C6D42">
        <w:rPr>
          <w:rFonts w:ascii="Times New Roman" w:hAnsi="Times New Roman" w:cs="Times New Roman"/>
          <w:b/>
          <w:bCs/>
          <w:color w:val="000000" w:themeColor="text1"/>
          <w:u w:val="single"/>
        </w:rPr>
        <w:t xml:space="preserve"> PRE MIX</w:t>
      </w:r>
      <w:r w:rsidRPr="00642F59">
        <w:rPr>
          <w:rFonts w:ascii="Times New Roman" w:hAnsi="Times New Roman" w:cs="Times New Roman"/>
          <w:b/>
          <w:bCs/>
          <w:color w:val="000000" w:themeColor="text1"/>
          <w:u w:val="single"/>
        </w:rPr>
        <w:t xml:space="preserve"> FORTIFIED WITH FINGER MILLET: DEVELOPMENT, NUTRITIONAL PROFILE, AND FUNCTIONAL PROPERTIES</w:t>
      </w:r>
    </w:p>
    <w:p w14:paraId="043538A3" w14:textId="450C774B" w:rsidR="000B3E1F" w:rsidRPr="00642F59" w:rsidRDefault="000B3E1F" w:rsidP="00B77311">
      <w:pPr>
        <w:spacing w:after="0" w:line="240" w:lineRule="auto"/>
        <w:rPr>
          <w:rFonts w:ascii="Times New Roman" w:eastAsia="Arial" w:hAnsi="Times New Roman" w:cs="Times New Roman"/>
          <w:b/>
          <w:i/>
          <w:iCs/>
          <w:color w:val="000000"/>
          <w:lang w:eastAsia="en-IN"/>
        </w:rPr>
      </w:pPr>
      <w:r>
        <w:rPr>
          <w:rFonts w:ascii="Times New Roman" w:eastAsia="Arial" w:hAnsi="Times New Roman" w:cs="Times New Roman"/>
          <w:b/>
          <w:i/>
          <w:iCs/>
          <w:color w:val="000000"/>
          <w:lang w:eastAsia="en-IN"/>
        </w:rPr>
        <w:t xml:space="preserve"> </w:t>
      </w:r>
    </w:p>
    <w:p w14:paraId="521F0657" w14:textId="77777777" w:rsidR="0089351A" w:rsidRDefault="0089351A" w:rsidP="00A46A21">
      <w:pPr>
        <w:pStyle w:val="NormalWeb"/>
        <w:spacing w:line="276" w:lineRule="auto"/>
        <w:jc w:val="both"/>
      </w:pPr>
      <w:r>
        <w:rPr>
          <w:rStyle w:val="Strong"/>
          <w:rFonts w:eastAsiaTheme="majorEastAsia"/>
        </w:rPr>
        <w:t>Abstract</w:t>
      </w:r>
    </w:p>
    <w:p w14:paraId="1AAA921D" w14:textId="1CB412DE" w:rsidR="0098701D" w:rsidRDefault="0098701D" w:rsidP="0098701D">
      <w:pPr>
        <w:pStyle w:val="NormalWeb"/>
        <w:spacing w:line="276" w:lineRule="auto"/>
        <w:ind w:firstLine="360"/>
        <w:jc w:val="both"/>
      </w:pPr>
      <w:r>
        <w:t>The growing demand for nutrient-dense, ready-to-cook food products has driven interest in millet-based fortification of traditional staples. This study focused on developing an instant idli premix enriched with finger millet (</w:t>
      </w:r>
      <w:r>
        <w:rPr>
          <w:rStyle w:val="Emphasis"/>
          <w:rFonts w:eastAsiaTheme="majorEastAsia"/>
        </w:rPr>
        <w:t>Eleusine coracana</w:t>
      </w:r>
      <w:r>
        <w:t xml:space="preserve">) to improve nutritional quality without compromising sensory attributes. Six formulations were prepared—five with varying levels of finger millet (30% to 70%) and one control without millet. Among these, the T3 formulation, comprising 50% finger millet, 30% rice, and 20% black gram, demonstrated a superior balance of nutrition and acceptability. T3 recorded significantly higher protein (24.06 g/100 g) and crude fiber (10.12 g/100 g) compared to the control. The moisture content ranged from 7.11% to 8.92%, with T3 showing 8.26%, supporting shelf stability. Fermentation quality was confirmed by pH (4.60) and titratable acidity (0.64%). Functional parameters including water absorption capacity (145.3%), wettability (10.7 g/min), and reconstitution time (41 s) indicated </w:t>
      </w:r>
      <w:proofErr w:type="spellStart"/>
      <w:r>
        <w:t>favorable</w:t>
      </w:r>
      <w:proofErr w:type="spellEnd"/>
      <w:r>
        <w:t xml:space="preserve"> rehydration properties. Sensory evaluation revealed that T3 outperformed the control (T6) in all major parameters: colour and appearance (8.83 vs. 8.70), texture (8.60 vs. 8.43), flavour (8.40 vs. 8.30), taste (8.50 vs. 8.40), and overall acceptability (8.60 vs. 8.40). These findings demonstrate that finger millet fortification at optimized levels can enhance the nutritional profile of instant idli premix while maintaining consumer-preferred sensory characteristics, offering a promising approach to functional food product development.</w:t>
      </w:r>
    </w:p>
    <w:p w14:paraId="70B06465" w14:textId="54D7D924" w:rsidR="0089351A" w:rsidRPr="00642F59" w:rsidRDefault="0089351A" w:rsidP="00642F59">
      <w:pPr>
        <w:pStyle w:val="NormalWeb"/>
        <w:spacing w:line="276" w:lineRule="auto"/>
        <w:ind w:firstLine="360"/>
        <w:jc w:val="both"/>
      </w:pPr>
      <w:r w:rsidRPr="0089351A">
        <w:rPr>
          <w:b/>
        </w:rPr>
        <w:t>Keywords</w:t>
      </w:r>
      <w:r>
        <w:t xml:space="preserve"> :-Finger millet, Instant idli premix, Nutritional fortification, Functional properties, Protein enhancement, Shelf stability, Water absorption capacity, Ready-to-cook mix, Fermentation, Food innovation</w:t>
      </w:r>
      <w:r w:rsidR="0098701D">
        <w:t>.</w:t>
      </w:r>
    </w:p>
    <w:p w14:paraId="3EEAB7D6" w14:textId="0333261A" w:rsidR="00E47F1C" w:rsidRPr="006A7223" w:rsidRDefault="00E47F1C" w:rsidP="00A46A21">
      <w:pPr>
        <w:pStyle w:val="ListParagraph"/>
        <w:numPr>
          <w:ilvl w:val="0"/>
          <w:numId w:val="1"/>
        </w:numPr>
        <w:spacing w:line="276" w:lineRule="auto"/>
        <w:jc w:val="both"/>
        <w:rPr>
          <w:rFonts w:ascii="Times New Roman" w:hAnsi="Times New Roman" w:cs="Times New Roman"/>
          <w:b/>
          <w:bCs/>
          <w:color w:val="000000" w:themeColor="text1"/>
        </w:rPr>
      </w:pPr>
      <w:r w:rsidRPr="006A7223">
        <w:rPr>
          <w:rFonts w:ascii="Times New Roman" w:hAnsi="Times New Roman" w:cs="Times New Roman"/>
          <w:b/>
          <w:bCs/>
          <w:color w:val="000000" w:themeColor="text1"/>
        </w:rPr>
        <w:t>INTRODUCTION</w:t>
      </w:r>
    </w:p>
    <w:p w14:paraId="7A4C65FD" w14:textId="381C6164" w:rsidR="00AE421D" w:rsidRDefault="00AE421D" w:rsidP="00A46A21">
      <w:pPr>
        <w:spacing w:line="276" w:lineRule="auto"/>
        <w:ind w:firstLine="720"/>
        <w:jc w:val="both"/>
        <w:rPr>
          <w:rFonts w:ascii="Times New Roman" w:eastAsia="Times New Roman" w:hAnsi="Times New Roman" w:cs="Times New Roman"/>
        </w:rPr>
      </w:pPr>
      <w:r w:rsidRPr="006A7223">
        <w:rPr>
          <w:rFonts w:ascii="Times New Roman" w:eastAsia="Times New Roman" w:hAnsi="Times New Roman" w:cs="Times New Roman"/>
        </w:rPr>
        <w:t xml:space="preserve">Instant foods have become an integral part of modern lifestyles, especially for urban populations, working professionals, and students, </w:t>
      </w:r>
      <w:r w:rsidR="00F90DD0" w:rsidRPr="006A7223">
        <w:rPr>
          <w:rFonts w:ascii="Times New Roman" w:eastAsia="Times New Roman" w:hAnsi="Times New Roman" w:cs="Times New Roman"/>
        </w:rPr>
        <w:t>because</w:t>
      </w:r>
      <w:r w:rsidRPr="006A7223">
        <w:rPr>
          <w:rFonts w:ascii="Times New Roman" w:eastAsia="Times New Roman" w:hAnsi="Times New Roman" w:cs="Times New Roman"/>
        </w:rPr>
        <w:t xml:space="preserve"> </w:t>
      </w:r>
      <w:r w:rsidR="00F90DD0" w:rsidRPr="006A7223">
        <w:rPr>
          <w:rFonts w:ascii="Times New Roman" w:eastAsia="Times New Roman" w:hAnsi="Times New Roman" w:cs="Times New Roman"/>
        </w:rPr>
        <w:t>of</w:t>
      </w:r>
      <w:r w:rsidRPr="006A7223">
        <w:rPr>
          <w:rFonts w:ascii="Times New Roman" w:eastAsia="Times New Roman" w:hAnsi="Times New Roman" w:cs="Times New Roman"/>
        </w:rPr>
        <w:t xml:space="preserve"> their convenience and minimal preparation time. The shift from traditional home-cooked meals to instant options is </w:t>
      </w:r>
      <w:r w:rsidR="00F90DD0" w:rsidRPr="006A7223">
        <w:rPr>
          <w:rFonts w:ascii="Times New Roman" w:eastAsia="Times New Roman" w:hAnsi="Times New Roman" w:cs="Times New Roman"/>
        </w:rPr>
        <w:t xml:space="preserve">due </w:t>
      </w:r>
      <w:proofErr w:type="gramStart"/>
      <w:r w:rsidR="00F90DD0" w:rsidRPr="006A7223">
        <w:rPr>
          <w:rFonts w:ascii="Times New Roman" w:eastAsia="Times New Roman" w:hAnsi="Times New Roman" w:cs="Times New Roman"/>
        </w:rPr>
        <w:t>to</w:t>
      </w:r>
      <w:r w:rsidRPr="006A7223">
        <w:rPr>
          <w:rFonts w:ascii="Times New Roman" w:eastAsia="Times New Roman" w:hAnsi="Times New Roman" w:cs="Times New Roman"/>
        </w:rPr>
        <w:t xml:space="preserve">  factors</w:t>
      </w:r>
      <w:proofErr w:type="gramEnd"/>
      <w:r w:rsidRPr="006A7223">
        <w:rPr>
          <w:rFonts w:ascii="Times New Roman" w:eastAsia="Times New Roman" w:hAnsi="Times New Roman" w:cs="Times New Roman"/>
        </w:rPr>
        <w:t xml:space="preserve"> like urbanization, </w:t>
      </w:r>
      <w:r w:rsidR="00F90DD0" w:rsidRPr="006A7223">
        <w:rPr>
          <w:rFonts w:ascii="Times New Roman" w:eastAsia="Times New Roman" w:hAnsi="Times New Roman" w:cs="Times New Roman"/>
        </w:rPr>
        <w:t>busy</w:t>
      </w:r>
      <w:r w:rsidRPr="006A7223">
        <w:rPr>
          <w:rFonts w:ascii="Times New Roman" w:eastAsia="Times New Roman" w:hAnsi="Times New Roman" w:cs="Times New Roman"/>
        </w:rPr>
        <w:t xml:space="preserve"> work schedules, and evolving consumer preferences</w:t>
      </w:r>
      <w:r w:rsidR="00991F03" w:rsidRPr="006A7223">
        <w:rPr>
          <w:rFonts w:ascii="Times New Roman" w:eastAsia="Times New Roman" w:hAnsi="Times New Roman" w:cs="Times New Roman"/>
        </w:rPr>
        <w:t xml:space="preserve"> (</w:t>
      </w:r>
      <w:r w:rsidR="00991F03" w:rsidRPr="006A7223">
        <w:rPr>
          <w:rFonts w:ascii="Times New Roman" w:eastAsia="Times New Roman" w:hAnsi="Times New Roman" w:cs="Times New Roman"/>
          <w:color w:val="000000" w:themeColor="text1"/>
          <w:shd w:val="clear" w:color="auto" w:fill="FFFFFF"/>
        </w:rPr>
        <w:t>Khurana &amp; Goyal</w:t>
      </w:r>
      <w:r w:rsidR="00ED6EFB" w:rsidRPr="006A7223">
        <w:rPr>
          <w:rFonts w:ascii="Times New Roman" w:eastAsia="Times New Roman" w:hAnsi="Times New Roman" w:cs="Times New Roman"/>
          <w:color w:val="000000" w:themeColor="text1"/>
          <w:shd w:val="clear" w:color="auto" w:fill="FFFFFF"/>
        </w:rPr>
        <w:t xml:space="preserve">, </w:t>
      </w:r>
      <w:r w:rsidR="00991F03" w:rsidRPr="006A7223">
        <w:rPr>
          <w:rFonts w:ascii="Times New Roman" w:eastAsia="Times New Roman" w:hAnsi="Times New Roman" w:cs="Times New Roman"/>
          <w:color w:val="000000" w:themeColor="text1"/>
          <w:shd w:val="clear" w:color="auto" w:fill="FFFFFF"/>
        </w:rPr>
        <w:t>2021)</w:t>
      </w:r>
      <w:r w:rsidRPr="006A7223">
        <w:rPr>
          <w:rFonts w:ascii="Times New Roman" w:eastAsia="Times New Roman" w:hAnsi="Times New Roman" w:cs="Times New Roman"/>
        </w:rPr>
        <w:t xml:space="preserve">. Studies highlight that taste, branding, and social recommendations significantly influence </w:t>
      </w:r>
      <w:r w:rsidR="00C661F9" w:rsidRPr="006A7223">
        <w:rPr>
          <w:rFonts w:ascii="Times New Roman" w:eastAsia="Times New Roman" w:hAnsi="Times New Roman" w:cs="Times New Roman"/>
        </w:rPr>
        <w:t>market for these product</w:t>
      </w:r>
      <w:r w:rsidRPr="006A7223">
        <w:rPr>
          <w:rFonts w:ascii="Times New Roman" w:eastAsia="Times New Roman" w:hAnsi="Times New Roman" w:cs="Times New Roman"/>
        </w:rPr>
        <w:t>, while a growing awareness of health risks associated with processed foods is pushing consumers toward healthier alternatives. As a result, food manufacturers are focusing on innovation to enhance the nutritional quality of instant meals, aligning them with both convenience and well-being</w:t>
      </w:r>
      <w:r w:rsidR="00963467" w:rsidRPr="006A7223">
        <w:rPr>
          <w:rFonts w:ascii="Times New Roman" w:eastAsia="Times New Roman" w:hAnsi="Times New Roman" w:cs="Times New Roman"/>
        </w:rPr>
        <w:t xml:space="preserve"> (</w:t>
      </w:r>
      <w:r w:rsidR="00963467" w:rsidRPr="006A7223">
        <w:rPr>
          <w:rFonts w:ascii="Times New Roman" w:eastAsia="Times New Roman" w:hAnsi="Times New Roman" w:cs="Times New Roman"/>
          <w:color w:val="222222"/>
          <w:shd w:val="clear" w:color="auto" w:fill="FFFFFF"/>
        </w:rPr>
        <w:t xml:space="preserve">Mathew </w:t>
      </w:r>
      <w:r w:rsidR="00245E42" w:rsidRPr="006A7223">
        <w:rPr>
          <w:rFonts w:ascii="Times New Roman" w:eastAsia="Times New Roman" w:hAnsi="Times New Roman" w:cs="Times New Roman"/>
          <w:color w:val="222222"/>
          <w:shd w:val="clear" w:color="auto" w:fill="FFFFFF"/>
        </w:rPr>
        <w:t xml:space="preserve">&amp; Mathew, </w:t>
      </w:r>
      <w:r w:rsidR="00D2787D" w:rsidRPr="006A7223">
        <w:rPr>
          <w:rFonts w:ascii="Times New Roman" w:eastAsia="Times New Roman" w:hAnsi="Times New Roman" w:cs="Times New Roman"/>
          <w:color w:val="222222"/>
          <w:shd w:val="clear" w:color="auto" w:fill="FFFFFF"/>
        </w:rPr>
        <w:t>2024)</w:t>
      </w:r>
      <w:r w:rsidR="00C661F9" w:rsidRPr="006A7223">
        <w:rPr>
          <w:rFonts w:ascii="Times New Roman" w:eastAsia="Times New Roman" w:hAnsi="Times New Roman" w:cs="Times New Roman"/>
        </w:rPr>
        <w:t xml:space="preserve">. </w:t>
      </w:r>
      <w:r w:rsidR="00155FBF" w:rsidRPr="006A7223">
        <w:rPr>
          <w:rFonts w:ascii="Times New Roman" w:eastAsia="Times New Roman" w:hAnsi="Times New Roman" w:cs="Times New Roman"/>
        </w:rPr>
        <w:t xml:space="preserve">Commercial premixes used in nutritional products and complementary foods often have limited nutritional value due to inconsistencies in </w:t>
      </w:r>
      <w:r w:rsidR="00155FBF" w:rsidRPr="006A7223">
        <w:rPr>
          <w:rFonts w:ascii="Times New Roman" w:eastAsia="Times New Roman" w:hAnsi="Times New Roman" w:cs="Times New Roman"/>
        </w:rPr>
        <w:lastRenderedPageBreak/>
        <w:t>ingredient ratios, inefficient production methods, and weak compliance with fortification guidelines. A global review of 108 premixed complementary foods across 22 low- and middle-income countries found considerable variation in nutrient composition, with only a small percentage meeting essential benchmarks for fat, protein, iron, or zinc (Masters et al. 2017).</w:t>
      </w:r>
      <w:r w:rsidR="00AA6885" w:rsidRPr="006A7223">
        <w:rPr>
          <w:rFonts w:ascii="Times New Roman" w:eastAsia="Times New Roman" w:hAnsi="Times New Roman" w:cs="Times New Roman"/>
        </w:rPr>
        <w:t xml:space="preserve">The objective </w:t>
      </w:r>
      <w:r w:rsidR="00597139" w:rsidRPr="006A7223">
        <w:rPr>
          <w:rFonts w:ascii="Times New Roman" w:eastAsia="Times New Roman" w:hAnsi="Times New Roman" w:cs="Times New Roman"/>
        </w:rPr>
        <w:t xml:space="preserve">of this study </w:t>
      </w:r>
      <w:r w:rsidR="00AA6885" w:rsidRPr="006A7223">
        <w:rPr>
          <w:rFonts w:ascii="Times New Roman" w:eastAsia="Times New Roman" w:hAnsi="Times New Roman" w:cs="Times New Roman"/>
        </w:rPr>
        <w:t xml:space="preserve">is to develop and assess a fortified instant idli mix with finger millet, enhancing its nutritional value while maintaining taste and texture. Key evaluations include </w:t>
      </w:r>
      <w:r w:rsidR="00023DBE" w:rsidRPr="006A7223">
        <w:rPr>
          <w:rFonts w:ascii="Times New Roman" w:eastAsia="Times New Roman" w:hAnsi="Times New Roman" w:cs="Times New Roman"/>
        </w:rPr>
        <w:t>nutritional profile, functional properties</w:t>
      </w:r>
      <w:r w:rsidR="00DB4E86" w:rsidRPr="006A7223">
        <w:rPr>
          <w:rFonts w:ascii="Times New Roman" w:eastAsia="Times New Roman" w:hAnsi="Times New Roman" w:cs="Times New Roman"/>
        </w:rPr>
        <w:t xml:space="preserve"> and </w:t>
      </w:r>
      <w:r w:rsidR="00023DBE" w:rsidRPr="006A7223">
        <w:rPr>
          <w:rFonts w:ascii="Times New Roman" w:eastAsia="Times New Roman" w:hAnsi="Times New Roman" w:cs="Times New Roman"/>
        </w:rPr>
        <w:t xml:space="preserve">shelf </w:t>
      </w:r>
      <w:r w:rsidR="00E96BFD" w:rsidRPr="006A7223">
        <w:rPr>
          <w:rFonts w:ascii="Times New Roman" w:eastAsia="Times New Roman" w:hAnsi="Times New Roman" w:cs="Times New Roman"/>
        </w:rPr>
        <w:t>stability for</w:t>
      </w:r>
      <w:r w:rsidR="00AA6885" w:rsidRPr="006A7223">
        <w:rPr>
          <w:rFonts w:ascii="Times New Roman" w:eastAsia="Times New Roman" w:hAnsi="Times New Roman" w:cs="Times New Roman"/>
        </w:rPr>
        <w:t xml:space="preserve"> a convenient, health-focused alternative.</w:t>
      </w:r>
    </w:p>
    <w:p w14:paraId="68C53674" w14:textId="1DAC9C1C" w:rsidR="00084052" w:rsidRPr="006A7223" w:rsidRDefault="00084052" w:rsidP="00A46A21">
      <w:pPr>
        <w:spacing w:line="276" w:lineRule="auto"/>
        <w:ind w:firstLine="720"/>
        <w:jc w:val="both"/>
        <w:rPr>
          <w:rFonts w:ascii="Times New Roman" w:eastAsia="Times New Roman" w:hAnsi="Times New Roman" w:cs="Times New Roman"/>
        </w:rPr>
      </w:pPr>
      <w:r w:rsidRPr="00084052">
        <w:rPr>
          <w:rFonts w:ascii="Times New Roman" w:eastAsia="Times New Roman" w:hAnsi="Times New Roman" w:cs="Times New Roman"/>
        </w:rPr>
        <w:t xml:space="preserve">The formulation and evaluation of a finger millet-based instant idli premix are well supported by a series of earlier studies conducted by the authors across various areas of food and agricultural engineering. The analysis of jowar production trends using pivot tables offered insights into millet cultivation patterns, which are valuable when selecting nutrient-rich grains like finger millet for functional food </w:t>
      </w:r>
      <w:r w:rsidR="00E96BFD">
        <w:rPr>
          <w:rFonts w:ascii="Times New Roman" w:eastAsia="Times New Roman" w:hAnsi="Times New Roman" w:cs="Times New Roman"/>
        </w:rPr>
        <w:t>development (Kahar et al., 2024a</w:t>
      </w:r>
      <w:r w:rsidRPr="00084052">
        <w:rPr>
          <w:rFonts w:ascii="Times New Roman" w:eastAsia="Times New Roman" w:hAnsi="Times New Roman" w:cs="Times New Roman"/>
        </w:rPr>
        <w:t>). The exploration of ethylene inhibitors and edible coatings in guava preservation provides a scientific foundation for extending the shelf life of premix products using similar preservation strategies (Kahar et al., 2024b). Research on fish-based extruded snacks demonstrated successful product formulation and packaging for protein-enriched ready-to-eat foods, closely aligning with the goals of enhancing the nutritional profile of idli premix without compromising sensory quality (Kahar et al., 2024c). Complementary to this, the review on smart packaging solutions in seafood preservation highlights the importance of intelligent and protective packaging, reinforcing the selection of HDPE pouches to maintain the premix’s stability over time (Manaswini et al., 2025). Moreover, the application of plant extract-based active packaging in strawberries supports the integration of natural additives and barrier materials for product safety and longevity (Ganesh Santosh, 2022). Techniques like pulsed electric field processing (</w:t>
      </w:r>
      <w:proofErr w:type="spellStart"/>
      <w:r w:rsidRPr="00084052">
        <w:rPr>
          <w:rFonts w:ascii="Times New Roman" w:eastAsia="Times New Roman" w:hAnsi="Times New Roman" w:cs="Times New Roman"/>
        </w:rPr>
        <w:t>Khatal</w:t>
      </w:r>
      <w:proofErr w:type="spellEnd"/>
      <w:r w:rsidRPr="00084052">
        <w:rPr>
          <w:rFonts w:ascii="Times New Roman" w:eastAsia="Times New Roman" w:hAnsi="Times New Roman" w:cs="Times New Roman"/>
        </w:rPr>
        <w:t xml:space="preserve"> et al., 2024) and the implementation of AI and IoT in agricultural engineering (Kahar et al., 2024d) further underline the potential for adopting modern, sustainable, and automated technologies in the production and monitoring of such ready-to-cook formulations.</w:t>
      </w:r>
    </w:p>
    <w:p w14:paraId="1700D673" w14:textId="500DD6D9" w:rsidR="00CD341F" w:rsidRPr="006A7223" w:rsidRDefault="00423A85" w:rsidP="00A46A21">
      <w:pPr>
        <w:spacing w:line="276" w:lineRule="auto"/>
        <w:ind w:firstLine="720"/>
        <w:jc w:val="both"/>
        <w:rPr>
          <w:rFonts w:ascii="Times New Roman" w:eastAsia="Times New Roman" w:hAnsi="Times New Roman" w:cs="Times New Roman"/>
          <w:color w:val="000000" w:themeColor="text1"/>
        </w:rPr>
      </w:pPr>
      <w:r w:rsidRPr="006A7223">
        <w:rPr>
          <w:rFonts w:ascii="Times New Roman" w:eastAsia="Times New Roman" w:hAnsi="Times New Roman" w:cs="Times New Roman"/>
          <w:color w:val="000000" w:themeColor="text1"/>
          <w:shd w:val="clear" w:color="auto" w:fill="FFFFFF"/>
        </w:rPr>
        <w:t xml:space="preserve">Idli is a soft, fermented, spongy cake enjoyed as breakfast or a snack in South east Asian countries Particularly in </w:t>
      </w:r>
      <w:proofErr w:type="spellStart"/>
      <w:r w:rsidRPr="006A7223">
        <w:rPr>
          <w:rFonts w:ascii="Times New Roman" w:eastAsia="Times New Roman" w:hAnsi="Times New Roman" w:cs="Times New Roman"/>
          <w:color w:val="000000" w:themeColor="text1"/>
          <w:shd w:val="clear" w:color="auto" w:fill="FFFFFF"/>
        </w:rPr>
        <w:t>Insia</w:t>
      </w:r>
      <w:proofErr w:type="spellEnd"/>
      <w:r w:rsidRPr="006A7223">
        <w:rPr>
          <w:rFonts w:ascii="Times New Roman" w:eastAsia="Times New Roman" w:hAnsi="Times New Roman" w:cs="Times New Roman"/>
          <w:color w:val="000000" w:themeColor="text1"/>
          <w:shd w:val="clear" w:color="auto" w:fill="FFFFFF"/>
        </w:rPr>
        <w:t xml:space="preserve"> and Sri </w:t>
      </w:r>
      <w:proofErr w:type="spellStart"/>
      <w:r w:rsidRPr="006A7223">
        <w:rPr>
          <w:rFonts w:ascii="Times New Roman" w:eastAsia="Times New Roman" w:hAnsi="Times New Roman" w:cs="Times New Roman"/>
          <w:color w:val="000000" w:themeColor="text1"/>
          <w:shd w:val="clear" w:color="auto" w:fill="FFFFFF"/>
        </w:rPr>
        <w:t>lanka</w:t>
      </w:r>
      <w:proofErr w:type="spellEnd"/>
      <w:r w:rsidRPr="006A7223">
        <w:rPr>
          <w:rFonts w:ascii="Times New Roman" w:eastAsia="Times New Roman" w:hAnsi="Times New Roman" w:cs="Times New Roman"/>
          <w:color w:val="000000" w:themeColor="text1"/>
          <w:shd w:val="clear" w:color="auto" w:fill="FFFFFF"/>
        </w:rPr>
        <w:t>, made from parboiled rice and black gram (</w:t>
      </w:r>
      <w:proofErr w:type="spellStart"/>
      <w:r w:rsidRPr="006A7223">
        <w:rPr>
          <w:rFonts w:ascii="Times New Roman" w:eastAsia="Times New Roman" w:hAnsi="Times New Roman" w:cs="Times New Roman"/>
          <w:color w:val="000000" w:themeColor="text1"/>
          <w:shd w:val="clear" w:color="auto" w:fill="FFFFFF"/>
        </w:rPr>
        <w:t>i.e</w:t>
      </w:r>
      <w:proofErr w:type="spellEnd"/>
      <w:r w:rsidRPr="006A7223">
        <w:rPr>
          <w:rFonts w:ascii="Times New Roman" w:eastAsia="Times New Roman" w:hAnsi="Times New Roman" w:cs="Times New Roman"/>
          <w:color w:val="000000" w:themeColor="text1"/>
          <w:shd w:val="clear" w:color="auto" w:fill="FFFFFF"/>
        </w:rPr>
        <w:t xml:space="preserve"> </w:t>
      </w:r>
      <w:proofErr w:type="spellStart"/>
      <w:r w:rsidRPr="006A7223">
        <w:rPr>
          <w:rFonts w:ascii="Times New Roman" w:eastAsia="Times New Roman" w:hAnsi="Times New Roman" w:cs="Times New Roman"/>
          <w:color w:val="000000" w:themeColor="text1"/>
          <w:shd w:val="clear" w:color="auto" w:fill="FFFFFF"/>
        </w:rPr>
        <w:t>cerials</w:t>
      </w:r>
      <w:proofErr w:type="spellEnd"/>
      <w:r w:rsidRPr="006A7223">
        <w:rPr>
          <w:rFonts w:ascii="Times New Roman" w:eastAsia="Times New Roman" w:hAnsi="Times New Roman" w:cs="Times New Roman"/>
          <w:color w:val="000000" w:themeColor="text1"/>
          <w:shd w:val="clear" w:color="auto" w:fill="FFFFFF"/>
        </w:rPr>
        <w:t xml:space="preserve"> and legumes). Fermentation enriches its nutritional profile by adding probiotics, vitamins, and amino acids while improving texture and digestibility by increasing beneficial enzymes, acids, and essential nutrients </w:t>
      </w:r>
      <w:proofErr w:type="gramStart"/>
      <w:r w:rsidRPr="006A7223">
        <w:rPr>
          <w:rFonts w:ascii="Times New Roman" w:eastAsia="Times New Roman" w:hAnsi="Times New Roman" w:cs="Times New Roman"/>
          <w:color w:val="000000" w:themeColor="text1"/>
          <w:shd w:val="clear" w:color="auto" w:fill="FFFFFF"/>
        </w:rPr>
        <w:t>and  reducing</w:t>
      </w:r>
      <w:proofErr w:type="gramEnd"/>
      <w:r w:rsidRPr="006A7223">
        <w:rPr>
          <w:rFonts w:ascii="Times New Roman" w:eastAsia="Times New Roman" w:hAnsi="Times New Roman" w:cs="Times New Roman"/>
          <w:color w:val="000000" w:themeColor="text1"/>
          <w:shd w:val="clear" w:color="auto" w:fill="FFFFFF"/>
        </w:rPr>
        <w:t xml:space="preserve"> antinutrients. The microflora from black gram plays a key role in this process, improving digestibility and mineral bioavailability (Kumari et al. 2010). Lactic acid bacteria contribute to leavening, increasing batter volume, which ensures light, fluffy idlis (</w:t>
      </w:r>
      <w:proofErr w:type="spellStart"/>
      <w:r w:rsidRPr="006A7223">
        <w:rPr>
          <w:rFonts w:ascii="Times New Roman" w:eastAsia="Times New Roman" w:hAnsi="Times New Roman" w:cs="Times New Roman"/>
          <w:color w:val="000000" w:themeColor="text1"/>
          <w:shd w:val="clear" w:color="auto" w:fill="FFFFFF"/>
        </w:rPr>
        <w:t>Ravindran</w:t>
      </w:r>
      <w:proofErr w:type="spellEnd"/>
      <w:r w:rsidRPr="006A7223">
        <w:rPr>
          <w:rFonts w:ascii="Times New Roman" w:eastAsia="Times New Roman" w:hAnsi="Times New Roman" w:cs="Times New Roman"/>
          <w:color w:val="000000" w:themeColor="text1"/>
          <w:shd w:val="clear" w:color="auto" w:fill="FFFFFF"/>
        </w:rPr>
        <w:t xml:space="preserve"> et al. 2021).</w:t>
      </w:r>
      <w:r w:rsidR="00DD64CA" w:rsidRPr="006A7223">
        <w:rPr>
          <w:rFonts w:ascii="Times New Roman" w:eastAsia="Times New Roman" w:hAnsi="Times New Roman" w:cs="Times New Roman"/>
          <w:color w:val="000000" w:themeColor="text1"/>
          <w:shd w:val="clear" w:color="auto" w:fill="FFFFFF"/>
        </w:rPr>
        <w:t>Fortified fermented batters could also serve as probiotic carriers, enhancing gut microbiota diversity and immune function</w:t>
      </w:r>
      <w:r w:rsidR="0053415A" w:rsidRPr="006A7223">
        <w:rPr>
          <w:rFonts w:ascii="Times New Roman" w:eastAsia="Times New Roman" w:hAnsi="Times New Roman" w:cs="Times New Roman"/>
          <w:color w:val="000000" w:themeColor="text1"/>
          <w:shd w:val="clear" w:color="auto" w:fill="FFFFFF"/>
        </w:rPr>
        <w:t xml:space="preserve"> </w:t>
      </w:r>
      <w:r w:rsidR="00247F5E" w:rsidRPr="006A7223">
        <w:rPr>
          <w:rFonts w:ascii="Times New Roman" w:eastAsia="Times New Roman" w:hAnsi="Times New Roman" w:cs="Times New Roman"/>
          <w:color w:val="000000" w:themeColor="text1"/>
          <w:shd w:val="clear" w:color="auto" w:fill="FFFFFF"/>
        </w:rPr>
        <w:t>(Tsafrakidou et al. 2020).</w:t>
      </w:r>
      <w:r w:rsidR="00927C94" w:rsidRPr="006A7223">
        <w:rPr>
          <w:rFonts w:ascii="Times New Roman" w:eastAsia="Times New Roman" w:hAnsi="Times New Roman" w:cs="Times New Roman"/>
          <w:color w:val="000000" w:themeColor="text1"/>
          <w:shd w:val="clear" w:color="auto" w:fill="FFFFFF"/>
        </w:rPr>
        <w:t>Fortification involves adding essential nutrients (e.g., vitamins, minerals) to foods to address deficiencies and improve public health. </w:t>
      </w:r>
      <w:r w:rsidR="009B6043" w:rsidRPr="006A7223">
        <w:rPr>
          <w:rFonts w:ascii="Times New Roman" w:eastAsia="Times New Roman" w:hAnsi="Times New Roman" w:cs="Times New Roman"/>
          <w:color w:val="000000" w:themeColor="text1"/>
          <w:shd w:val="clear" w:color="auto" w:fill="FFFFFF"/>
        </w:rPr>
        <w:t xml:space="preserve">Cereals (e.g., rice) are rich in </w:t>
      </w:r>
      <w:proofErr w:type="spellStart"/>
      <w:r w:rsidR="009B6043" w:rsidRPr="006A7223">
        <w:rPr>
          <w:rFonts w:ascii="Times New Roman" w:eastAsia="Times New Roman" w:hAnsi="Times New Roman" w:cs="Times New Roman"/>
          <w:color w:val="000000" w:themeColor="text1"/>
          <w:shd w:val="clear" w:color="auto" w:fill="FFFFFF"/>
        </w:rPr>
        <w:t>sulfur</w:t>
      </w:r>
      <w:proofErr w:type="spellEnd"/>
      <w:r w:rsidR="009B6043" w:rsidRPr="006A7223">
        <w:rPr>
          <w:rFonts w:ascii="Times New Roman" w:eastAsia="Times New Roman" w:hAnsi="Times New Roman" w:cs="Times New Roman"/>
          <w:color w:val="000000" w:themeColor="text1"/>
          <w:shd w:val="clear" w:color="auto" w:fill="FFFFFF"/>
        </w:rPr>
        <w:t xml:space="preserve">-containing amino acids but lack lysine, while legumes (e.g., black gram) are lysine-rich but low in methionine and cysteine. Rice, a gluten-free, </w:t>
      </w:r>
      <w:r w:rsidR="009B6043" w:rsidRPr="006A7223">
        <w:rPr>
          <w:rFonts w:ascii="Times New Roman" w:eastAsia="Times New Roman" w:hAnsi="Times New Roman" w:cs="Times New Roman"/>
          <w:color w:val="000000" w:themeColor="text1"/>
          <w:shd w:val="clear" w:color="auto" w:fill="FFFFFF"/>
        </w:rPr>
        <w:lastRenderedPageBreak/>
        <w:t>easily digestible staple crop with high glycemic index (GI), provides quick energy, making it ideal for athletes</w:t>
      </w:r>
      <w:r w:rsidR="00707189" w:rsidRPr="006A7223">
        <w:rPr>
          <w:rFonts w:ascii="Times New Roman" w:eastAsia="Times New Roman" w:hAnsi="Times New Roman" w:cs="Times New Roman"/>
          <w:color w:val="000000" w:themeColor="text1"/>
          <w:shd w:val="clear" w:color="auto" w:fill="FFFFFF"/>
        </w:rPr>
        <w:t xml:space="preserve"> (</w:t>
      </w:r>
      <w:r w:rsidR="00B337BD" w:rsidRPr="006A7223">
        <w:rPr>
          <w:rFonts w:ascii="Times New Roman" w:eastAsia="Times New Roman" w:hAnsi="Times New Roman" w:cs="Times New Roman"/>
          <w:color w:val="000000" w:themeColor="text1"/>
          <w:shd w:val="clear" w:color="auto" w:fill="FFFFFF"/>
        </w:rPr>
        <w:t>Dubey et al.</w:t>
      </w:r>
      <w:r w:rsidR="00B337BD" w:rsidRPr="006A7223">
        <w:rPr>
          <w:rFonts w:ascii="Times New Roman" w:eastAsia="Times New Roman" w:hAnsi="Times New Roman" w:cs="Times New Roman"/>
          <w:i/>
          <w:iCs/>
          <w:color w:val="000000" w:themeColor="text1"/>
          <w:shd w:val="clear" w:color="auto" w:fill="FFFFFF"/>
        </w:rPr>
        <w:t xml:space="preserve"> </w:t>
      </w:r>
      <w:r w:rsidR="00B337BD" w:rsidRPr="006A7223">
        <w:rPr>
          <w:rFonts w:ascii="Times New Roman" w:eastAsia="Times New Roman" w:hAnsi="Times New Roman" w:cs="Times New Roman"/>
          <w:color w:val="000000" w:themeColor="text1"/>
          <w:shd w:val="clear" w:color="auto" w:fill="FFFFFF"/>
        </w:rPr>
        <w:t>2023</w:t>
      </w:r>
      <w:r w:rsidR="00707189" w:rsidRPr="006A7223">
        <w:rPr>
          <w:rFonts w:ascii="Times New Roman" w:eastAsia="Times New Roman" w:hAnsi="Times New Roman" w:cs="Times New Roman"/>
          <w:color w:val="000000" w:themeColor="text1"/>
          <w:shd w:val="clear" w:color="auto" w:fill="FFFFFF"/>
        </w:rPr>
        <w:t>)</w:t>
      </w:r>
      <w:r w:rsidR="009B6043" w:rsidRPr="006A7223">
        <w:rPr>
          <w:rFonts w:ascii="Times New Roman" w:eastAsia="Times New Roman" w:hAnsi="Times New Roman" w:cs="Times New Roman"/>
          <w:color w:val="000000" w:themeColor="text1"/>
          <w:shd w:val="clear" w:color="auto" w:fill="FFFFFF"/>
        </w:rPr>
        <w:t>.</w:t>
      </w:r>
      <w:r w:rsidR="007715DB" w:rsidRPr="006A7223">
        <w:rPr>
          <w:rFonts w:ascii="Times New Roman" w:eastAsia="Times New Roman" w:hAnsi="Times New Roman" w:cs="Times New Roman"/>
          <w:color w:val="000000" w:themeColor="text1"/>
          <w:shd w:val="clear" w:color="auto" w:fill="FFFFFF"/>
        </w:rPr>
        <w:t xml:space="preserve"> </w:t>
      </w:r>
      <w:r w:rsidR="000E311E" w:rsidRPr="006A7223">
        <w:rPr>
          <w:rFonts w:ascii="Times New Roman" w:eastAsia="Times New Roman" w:hAnsi="Times New Roman" w:cs="Times New Roman"/>
          <w:color w:val="000000" w:themeColor="text1"/>
          <w:shd w:val="clear" w:color="auto" w:fill="FFFFFF"/>
        </w:rPr>
        <w:t>While coming to fortification</w:t>
      </w:r>
      <w:r w:rsidR="009E6589" w:rsidRPr="006A7223">
        <w:rPr>
          <w:rFonts w:ascii="Times New Roman" w:eastAsia="Times New Roman" w:hAnsi="Times New Roman" w:cs="Times New Roman"/>
          <w:color w:val="000000" w:themeColor="text1"/>
          <w:shd w:val="clear" w:color="auto" w:fill="FFFFFF"/>
        </w:rPr>
        <w:t xml:space="preserve"> ingredients</w:t>
      </w:r>
      <w:r w:rsidR="007715DB" w:rsidRPr="006A7223">
        <w:rPr>
          <w:rFonts w:ascii="Times New Roman" w:eastAsia="Times New Roman" w:hAnsi="Times New Roman" w:cs="Times New Roman"/>
          <w:color w:val="000000" w:themeColor="text1"/>
          <w:shd w:val="clear" w:color="auto" w:fill="FFFFFF"/>
        </w:rPr>
        <w:t xml:space="preserve">, </w:t>
      </w:r>
      <w:r w:rsidR="007715DB" w:rsidRPr="006A7223">
        <w:rPr>
          <w:rFonts w:ascii="Times New Roman" w:eastAsia="Times New Roman" w:hAnsi="Times New Roman" w:cs="Times New Roman"/>
          <w:color w:val="000000" w:themeColor="text1"/>
        </w:rPr>
        <w:t>m</w:t>
      </w:r>
      <w:r w:rsidR="009E6589" w:rsidRPr="006A7223">
        <w:rPr>
          <w:rFonts w:ascii="Times New Roman" w:eastAsia="Times New Roman" w:hAnsi="Times New Roman" w:cs="Times New Roman"/>
          <w:color w:val="000000" w:themeColor="text1"/>
        </w:rPr>
        <w:t>illets are ancient grains widely cultivated in the Eastern hemisphere, particularly in Africa and India, where they serve as a staple food in hot, dry regions. India is the largest producer, contributing 36% of global millet production</w:t>
      </w:r>
      <w:r w:rsidR="00FF4915" w:rsidRPr="006A7223">
        <w:rPr>
          <w:rFonts w:ascii="Times New Roman" w:eastAsia="Times New Roman" w:hAnsi="Times New Roman" w:cs="Times New Roman"/>
          <w:color w:val="000000" w:themeColor="text1"/>
        </w:rPr>
        <w:t xml:space="preserve"> (FAO, 2017)</w:t>
      </w:r>
      <w:r w:rsidR="009E6589" w:rsidRPr="006A7223">
        <w:rPr>
          <w:rFonts w:ascii="Times New Roman" w:eastAsia="Times New Roman" w:hAnsi="Times New Roman" w:cs="Times New Roman"/>
          <w:color w:val="000000" w:themeColor="text1"/>
        </w:rPr>
        <w:t>. These nutrient-rich cereals are packed with protein, fiber, and essential minerals, offering health benefits such as blood sugar regulation, heart health, and improved digestion</w:t>
      </w:r>
      <w:r w:rsidR="00FF4915" w:rsidRPr="006A7223">
        <w:rPr>
          <w:rFonts w:ascii="Times New Roman" w:eastAsia="Times New Roman" w:hAnsi="Times New Roman" w:cs="Times New Roman"/>
          <w:color w:val="000000" w:themeColor="text1"/>
        </w:rPr>
        <w:t xml:space="preserve"> (</w:t>
      </w:r>
      <w:r w:rsidR="00881EAA" w:rsidRPr="006A7223">
        <w:rPr>
          <w:rFonts w:ascii="Times New Roman" w:eastAsia="Times New Roman" w:hAnsi="Times New Roman" w:cs="Times New Roman"/>
          <w:color w:val="000000" w:themeColor="text1"/>
        </w:rPr>
        <w:t>Khatoniar et al. 2022</w:t>
      </w:r>
      <w:r w:rsidR="00FF4915" w:rsidRPr="006A7223">
        <w:rPr>
          <w:rFonts w:ascii="Times New Roman" w:eastAsia="Times New Roman" w:hAnsi="Times New Roman" w:cs="Times New Roman"/>
          <w:color w:val="000000" w:themeColor="text1"/>
        </w:rPr>
        <w:t>)</w:t>
      </w:r>
      <w:r w:rsidR="009E6589" w:rsidRPr="006A7223">
        <w:rPr>
          <w:rFonts w:ascii="Times New Roman" w:eastAsia="Times New Roman" w:hAnsi="Times New Roman" w:cs="Times New Roman"/>
          <w:color w:val="000000" w:themeColor="text1"/>
        </w:rPr>
        <w:t>.</w:t>
      </w:r>
      <w:r w:rsidR="00ED09DE" w:rsidRPr="006A7223">
        <w:rPr>
          <w:rFonts w:ascii="Times New Roman" w:eastAsia="Times New Roman" w:hAnsi="Times New Roman" w:cs="Times New Roman"/>
          <w:color w:val="000000" w:themeColor="text1"/>
        </w:rPr>
        <w:t xml:space="preserve">Foxtail millet is a nutrient-rich grain that supports food fortification with its high protein content, </w:t>
      </w:r>
      <w:r w:rsidR="00DD1303" w:rsidRPr="006A7223">
        <w:rPr>
          <w:rFonts w:ascii="Times New Roman" w:eastAsia="Times New Roman" w:hAnsi="Times New Roman" w:cs="Times New Roman"/>
          <w:color w:val="000000" w:themeColor="text1"/>
        </w:rPr>
        <w:t>helps</w:t>
      </w:r>
      <w:r w:rsidR="00ED09DE" w:rsidRPr="006A7223">
        <w:rPr>
          <w:rFonts w:ascii="Times New Roman" w:eastAsia="Times New Roman" w:hAnsi="Times New Roman" w:cs="Times New Roman"/>
          <w:color w:val="000000" w:themeColor="text1"/>
        </w:rPr>
        <w:t xml:space="preserve"> in </w:t>
      </w:r>
      <w:proofErr w:type="gramStart"/>
      <w:r w:rsidR="00DD1303" w:rsidRPr="006A7223">
        <w:rPr>
          <w:rFonts w:ascii="Times New Roman" w:eastAsia="Times New Roman" w:hAnsi="Times New Roman" w:cs="Times New Roman"/>
          <w:color w:val="000000" w:themeColor="text1"/>
        </w:rPr>
        <w:t>prevention  of</w:t>
      </w:r>
      <w:proofErr w:type="gramEnd"/>
      <w:r w:rsidR="00DD1303" w:rsidRPr="006A7223">
        <w:rPr>
          <w:rFonts w:ascii="Times New Roman" w:eastAsia="Times New Roman" w:hAnsi="Times New Roman" w:cs="Times New Roman"/>
          <w:color w:val="000000" w:themeColor="text1"/>
        </w:rPr>
        <w:t xml:space="preserve"> </w:t>
      </w:r>
      <w:r w:rsidR="00ED09DE" w:rsidRPr="006A7223">
        <w:rPr>
          <w:rFonts w:ascii="Times New Roman" w:eastAsia="Times New Roman" w:hAnsi="Times New Roman" w:cs="Times New Roman"/>
          <w:color w:val="000000" w:themeColor="text1"/>
        </w:rPr>
        <w:t>malnutrition . It is packed with dietary fiber, promoting digestion and heart health, while also offering essential micronutrients like iron and B vitamins</w:t>
      </w:r>
      <w:r w:rsidR="009C77EB" w:rsidRPr="006A7223">
        <w:rPr>
          <w:rFonts w:ascii="Times New Roman" w:eastAsia="Times New Roman" w:hAnsi="Times New Roman" w:cs="Times New Roman"/>
          <w:color w:val="000000" w:themeColor="text1"/>
        </w:rPr>
        <w:t xml:space="preserve"> making it a </w:t>
      </w:r>
      <w:proofErr w:type="spellStart"/>
      <w:r w:rsidR="009C77EB" w:rsidRPr="006A7223">
        <w:rPr>
          <w:rFonts w:ascii="Times New Roman" w:eastAsia="Times New Roman" w:hAnsi="Times New Roman" w:cs="Times New Roman"/>
          <w:color w:val="000000" w:themeColor="text1"/>
        </w:rPr>
        <w:t>prominsing</w:t>
      </w:r>
      <w:proofErr w:type="spellEnd"/>
      <w:r w:rsidR="009C77EB" w:rsidRPr="006A7223">
        <w:rPr>
          <w:rFonts w:ascii="Times New Roman" w:eastAsia="Times New Roman" w:hAnsi="Times New Roman" w:cs="Times New Roman"/>
          <w:color w:val="000000" w:themeColor="text1"/>
        </w:rPr>
        <w:t xml:space="preserve"> ingredient for fortification</w:t>
      </w:r>
      <w:r w:rsidR="001378F0" w:rsidRPr="006A7223">
        <w:rPr>
          <w:rFonts w:ascii="Times New Roman" w:eastAsia="Times New Roman" w:hAnsi="Times New Roman" w:cs="Times New Roman"/>
          <w:color w:val="000000" w:themeColor="text1"/>
        </w:rPr>
        <w:t xml:space="preserve"> (</w:t>
      </w:r>
      <w:r w:rsidR="00F15195" w:rsidRPr="006A7223">
        <w:rPr>
          <w:rFonts w:ascii="Times New Roman" w:eastAsia="Times New Roman" w:hAnsi="Times New Roman" w:cs="Times New Roman"/>
          <w:color w:val="000000" w:themeColor="text1"/>
        </w:rPr>
        <w:t>Thara et al. 2021;</w:t>
      </w:r>
      <w:r w:rsidR="00291B43" w:rsidRPr="006A7223">
        <w:rPr>
          <w:rFonts w:ascii="Times New Roman" w:eastAsia="Times New Roman" w:hAnsi="Times New Roman" w:cs="Times New Roman"/>
          <w:color w:val="000000" w:themeColor="text1"/>
        </w:rPr>
        <w:t xml:space="preserve"> </w:t>
      </w:r>
      <w:proofErr w:type="spellStart"/>
      <w:r w:rsidR="000210B1" w:rsidRPr="006A7223">
        <w:rPr>
          <w:rFonts w:ascii="Times New Roman" w:eastAsia="Times New Roman" w:hAnsi="Times New Roman" w:cs="Times New Roman"/>
          <w:color w:val="000000" w:themeColor="text1"/>
        </w:rPr>
        <w:t>Tsafrakidou</w:t>
      </w:r>
      <w:proofErr w:type="spellEnd"/>
      <w:r w:rsidR="000210B1" w:rsidRPr="006A7223">
        <w:rPr>
          <w:rFonts w:ascii="Times New Roman" w:eastAsia="Times New Roman" w:hAnsi="Times New Roman" w:cs="Times New Roman"/>
          <w:color w:val="000000" w:themeColor="text1"/>
        </w:rPr>
        <w:t xml:space="preserve"> et al. 2020</w:t>
      </w:r>
      <w:r w:rsidR="001378F0" w:rsidRPr="006A7223">
        <w:rPr>
          <w:rFonts w:ascii="Times New Roman" w:eastAsia="Times New Roman" w:hAnsi="Times New Roman" w:cs="Times New Roman"/>
          <w:color w:val="000000" w:themeColor="text1"/>
        </w:rPr>
        <w:t>).</w:t>
      </w:r>
    </w:p>
    <w:p w14:paraId="20311364" w14:textId="7EB28B59" w:rsidR="00E037A4" w:rsidRPr="006A7223" w:rsidRDefault="007839AB" w:rsidP="00A46A21">
      <w:pPr>
        <w:spacing w:line="276" w:lineRule="auto"/>
        <w:ind w:firstLine="720"/>
        <w:jc w:val="both"/>
        <w:rPr>
          <w:rFonts w:ascii="Times New Roman" w:eastAsia="Times New Roman" w:hAnsi="Times New Roman" w:cs="Times New Roman"/>
        </w:rPr>
      </w:pPr>
      <w:r w:rsidRPr="006A7223">
        <w:rPr>
          <w:rFonts w:ascii="Times New Roman" w:eastAsia="Times New Roman" w:hAnsi="Times New Roman" w:cs="Times New Roman"/>
        </w:rPr>
        <w:t xml:space="preserve">Fortifying </w:t>
      </w:r>
      <w:r w:rsidR="00CA6FD6" w:rsidRPr="006A7223">
        <w:rPr>
          <w:rFonts w:ascii="Times New Roman" w:eastAsia="Times New Roman" w:hAnsi="Times New Roman" w:cs="Times New Roman"/>
        </w:rPr>
        <w:t>I</w:t>
      </w:r>
      <w:r w:rsidRPr="006A7223">
        <w:rPr>
          <w:rFonts w:ascii="Times New Roman" w:eastAsia="Times New Roman" w:hAnsi="Times New Roman" w:cs="Times New Roman"/>
        </w:rPr>
        <w:t xml:space="preserve">dli batter tackles issues like microbial </w:t>
      </w:r>
      <w:r w:rsidR="0003134C" w:rsidRPr="006A7223">
        <w:rPr>
          <w:rFonts w:ascii="Times New Roman" w:eastAsia="Times New Roman" w:hAnsi="Times New Roman" w:cs="Times New Roman"/>
        </w:rPr>
        <w:t>inconsistency</w:t>
      </w:r>
      <w:r w:rsidRPr="006A7223">
        <w:rPr>
          <w:rFonts w:ascii="Times New Roman" w:eastAsia="Times New Roman" w:hAnsi="Times New Roman" w:cs="Times New Roman"/>
        </w:rPr>
        <w:t>, short shelf life, and nutrient deficiencies while enhancing texture and consumer appeal. Adding fortified ingredients boosts essential micronutrients, prolongs freshness, and supports controlled fermentation</w:t>
      </w:r>
      <w:r w:rsidR="005D538C" w:rsidRPr="006A7223">
        <w:rPr>
          <w:rFonts w:ascii="Times New Roman" w:eastAsia="Times New Roman" w:hAnsi="Times New Roman" w:cs="Times New Roman"/>
        </w:rPr>
        <w:t xml:space="preserve"> (</w:t>
      </w:r>
      <w:r w:rsidR="005D538C" w:rsidRPr="006A7223">
        <w:rPr>
          <w:rFonts w:ascii="Times New Roman" w:eastAsia="Times New Roman" w:hAnsi="Times New Roman" w:cs="Times New Roman"/>
          <w:color w:val="222222"/>
          <w:shd w:val="clear" w:color="auto" w:fill="FFFFFF"/>
        </w:rPr>
        <w:t>Mandhania et al. 201</w:t>
      </w:r>
      <w:r w:rsidR="004E007F" w:rsidRPr="006A7223">
        <w:rPr>
          <w:rFonts w:ascii="Times New Roman" w:eastAsia="Times New Roman" w:hAnsi="Times New Roman" w:cs="Times New Roman"/>
          <w:color w:val="222222"/>
          <w:shd w:val="clear" w:color="auto" w:fill="FFFFFF"/>
        </w:rPr>
        <w:t>9</w:t>
      </w:r>
      <w:r w:rsidR="00E05EFE" w:rsidRPr="006A7223">
        <w:rPr>
          <w:rFonts w:ascii="Times New Roman" w:eastAsia="Times New Roman" w:hAnsi="Times New Roman" w:cs="Times New Roman"/>
          <w:color w:val="222222"/>
          <w:shd w:val="clear" w:color="auto" w:fill="FFFFFF"/>
        </w:rPr>
        <w:t xml:space="preserve">; </w:t>
      </w:r>
      <w:proofErr w:type="spellStart"/>
      <w:r w:rsidR="00E05EFE" w:rsidRPr="006A7223">
        <w:rPr>
          <w:rFonts w:ascii="Times New Roman" w:eastAsia="Times New Roman" w:hAnsi="Times New Roman" w:cs="Times New Roman"/>
          <w:color w:val="222222"/>
          <w:shd w:val="clear" w:color="auto" w:fill="FFFFFF"/>
        </w:rPr>
        <w:t>Regubalan</w:t>
      </w:r>
      <w:proofErr w:type="spellEnd"/>
      <w:r w:rsidR="00E05EFE" w:rsidRPr="006A7223">
        <w:rPr>
          <w:rFonts w:ascii="Times New Roman" w:eastAsia="Times New Roman" w:hAnsi="Times New Roman" w:cs="Times New Roman"/>
          <w:color w:val="222222"/>
          <w:shd w:val="clear" w:color="auto" w:fill="FFFFFF"/>
        </w:rPr>
        <w:t xml:space="preserve"> &amp; </w:t>
      </w:r>
      <w:proofErr w:type="spellStart"/>
      <w:r w:rsidR="00E05EFE" w:rsidRPr="006A7223">
        <w:rPr>
          <w:rFonts w:ascii="Times New Roman" w:eastAsia="Times New Roman" w:hAnsi="Times New Roman" w:cs="Times New Roman"/>
          <w:color w:val="222222"/>
          <w:shd w:val="clear" w:color="auto" w:fill="FFFFFF"/>
        </w:rPr>
        <w:t>Ananthanarayan</w:t>
      </w:r>
      <w:proofErr w:type="spellEnd"/>
      <w:r w:rsidR="00E05EFE" w:rsidRPr="006A7223">
        <w:rPr>
          <w:rFonts w:ascii="Times New Roman" w:eastAsia="Times New Roman" w:hAnsi="Times New Roman" w:cs="Times New Roman"/>
          <w:color w:val="222222"/>
          <w:shd w:val="clear" w:color="auto" w:fill="FFFFFF"/>
        </w:rPr>
        <w:t>, 2018</w:t>
      </w:r>
      <w:r w:rsidR="005D538C" w:rsidRPr="006A7223">
        <w:rPr>
          <w:rFonts w:ascii="Times New Roman" w:eastAsia="Times New Roman" w:hAnsi="Times New Roman" w:cs="Times New Roman"/>
        </w:rPr>
        <w:t>)</w:t>
      </w:r>
      <w:r w:rsidRPr="006A7223">
        <w:rPr>
          <w:rFonts w:ascii="Times New Roman" w:eastAsia="Times New Roman" w:hAnsi="Times New Roman" w:cs="Times New Roman"/>
        </w:rPr>
        <w:t>.</w:t>
      </w:r>
      <w:r w:rsidR="0003134C" w:rsidRPr="006A7223">
        <w:rPr>
          <w:rFonts w:ascii="Times New Roman" w:eastAsia="Times New Roman" w:hAnsi="Times New Roman" w:cs="Times New Roman"/>
        </w:rPr>
        <w:t xml:space="preserve"> </w:t>
      </w:r>
      <w:r w:rsidRPr="006A7223">
        <w:rPr>
          <w:rFonts w:ascii="Times New Roman" w:eastAsia="Times New Roman" w:hAnsi="Times New Roman" w:cs="Times New Roman"/>
        </w:rPr>
        <w:t>Large-scale implementation aligns with nutrition goals but faces hurdles such as nutrient degradation, regulatory limitations, and cost concerns</w:t>
      </w:r>
      <w:r w:rsidR="00F3368B" w:rsidRPr="006A7223">
        <w:rPr>
          <w:rFonts w:ascii="Times New Roman" w:eastAsia="Times New Roman" w:hAnsi="Times New Roman" w:cs="Times New Roman"/>
        </w:rPr>
        <w:t xml:space="preserve"> (</w:t>
      </w:r>
      <w:r w:rsidR="00F3368B" w:rsidRPr="006A7223">
        <w:rPr>
          <w:rFonts w:ascii="Times New Roman" w:eastAsia="Times New Roman" w:hAnsi="Times New Roman" w:cs="Times New Roman"/>
          <w:color w:val="222222"/>
          <w:shd w:val="clear" w:color="auto" w:fill="FFFFFF"/>
        </w:rPr>
        <w:t>Olson et al. 2021</w:t>
      </w:r>
      <w:r w:rsidR="00F3368B" w:rsidRPr="006A7223">
        <w:rPr>
          <w:rFonts w:ascii="Times New Roman" w:eastAsia="Times New Roman" w:hAnsi="Times New Roman" w:cs="Times New Roman"/>
        </w:rPr>
        <w:t>)</w:t>
      </w:r>
      <w:r w:rsidRPr="006A7223">
        <w:rPr>
          <w:rFonts w:ascii="Times New Roman" w:eastAsia="Times New Roman" w:hAnsi="Times New Roman" w:cs="Times New Roman"/>
        </w:rPr>
        <w:t>. Integrating traditional preparation with modern fortification methods can establish idli as a sustainable, health-enriching staple in South Asia and beyond</w:t>
      </w:r>
      <w:r w:rsidR="00F3368B" w:rsidRPr="006A7223">
        <w:rPr>
          <w:rFonts w:ascii="Times New Roman" w:eastAsia="Times New Roman" w:hAnsi="Times New Roman" w:cs="Times New Roman"/>
        </w:rPr>
        <w:t>.</w:t>
      </w:r>
    </w:p>
    <w:p w14:paraId="5C54F7FB" w14:textId="7B6A72A4" w:rsidR="00CA6FD6" w:rsidRPr="006A7223" w:rsidRDefault="00CA6FD6" w:rsidP="00A46A21">
      <w:pPr>
        <w:spacing w:line="276" w:lineRule="auto"/>
        <w:ind w:firstLine="720"/>
        <w:jc w:val="both"/>
        <w:rPr>
          <w:rFonts w:ascii="Times New Roman" w:hAnsi="Times New Roman" w:cs="Times New Roman"/>
        </w:rPr>
      </w:pPr>
      <w:r w:rsidRPr="006A7223">
        <w:rPr>
          <w:rFonts w:ascii="Times New Roman" w:hAnsi="Times New Roman" w:cs="Times New Roman"/>
        </w:rPr>
        <w:t>By addressing this demand, the objective of the research work is to develop an idli premix fortified with finger millet, aiming to enhance its nutritional value and promote the use of underutilized millets in daily diets. The study focuses on analyzing the nutritional profile of the developed premix, including key macro- and micronutrients, and evaluating its functional properties such as water absorption, bulk density, and swelling capacity, which are essential for ensuring product quality, texture, and consumer acceptability.</w:t>
      </w:r>
    </w:p>
    <w:p w14:paraId="151272DE" w14:textId="65F7CA9F" w:rsidR="00CA6FD6" w:rsidRPr="0089351A" w:rsidRDefault="001849AC" w:rsidP="00A46A21">
      <w:pPr>
        <w:pStyle w:val="Heading1"/>
        <w:numPr>
          <w:ilvl w:val="0"/>
          <w:numId w:val="1"/>
        </w:numPr>
        <w:spacing w:line="276" w:lineRule="auto"/>
        <w:rPr>
          <w:rFonts w:ascii="Times New Roman" w:hAnsi="Times New Roman" w:cs="Times New Roman"/>
          <w:b/>
          <w:color w:val="auto"/>
          <w:sz w:val="24"/>
          <w:szCs w:val="24"/>
        </w:rPr>
      </w:pPr>
      <w:r w:rsidRPr="0089351A">
        <w:rPr>
          <w:rFonts w:ascii="Times New Roman" w:hAnsi="Times New Roman" w:cs="Times New Roman"/>
          <w:b/>
          <w:color w:val="auto"/>
          <w:sz w:val="24"/>
          <w:szCs w:val="24"/>
        </w:rPr>
        <w:t xml:space="preserve">Material and </w:t>
      </w:r>
      <w:r w:rsidR="00CA6FD6" w:rsidRPr="0089351A">
        <w:rPr>
          <w:rFonts w:ascii="Times New Roman" w:hAnsi="Times New Roman" w:cs="Times New Roman"/>
          <w:b/>
          <w:color w:val="auto"/>
          <w:sz w:val="24"/>
          <w:szCs w:val="24"/>
        </w:rPr>
        <w:t>Methodology</w:t>
      </w:r>
    </w:p>
    <w:p w14:paraId="179FC520" w14:textId="01F39FAA" w:rsidR="001849AC" w:rsidRPr="003B430C" w:rsidRDefault="001849AC" w:rsidP="003B430C">
      <w:pPr>
        <w:spacing w:after="120" w:line="276" w:lineRule="auto"/>
        <w:jc w:val="both"/>
        <w:rPr>
          <w:rFonts w:ascii="Times New Roman" w:hAnsi="Times New Roman" w:cs="Times New Roman"/>
          <w:b/>
        </w:rPr>
      </w:pPr>
      <w:r w:rsidRPr="003B430C">
        <w:rPr>
          <w:rFonts w:ascii="Times New Roman" w:hAnsi="Times New Roman" w:cs="Times New Roman"/>
          <w:b/>
        </w:rPr>
        <w:t>2.1 Location of the experiment</w:t>
      </w:r>
    </w:p>
    <w:p w14:paraId="675A2082" w14:textId="416FC0C6" w:rsidR="001849AC" w:rsidRPr="006A7223" w:rsidRDefault="001849AC" w:rsidP="00A46A21">
      <w:pPr>
        <w:spacing w:after="120" w:line="276" w:lineRule="auto"/>
        <w:ind w:firstLine="720"/>
        <w:jc w:val="both"/>
        <w:rPr>
          <w:rFonts w:ascii="Times New Roman" w:hAnsi="Times New Roman" w:cs="Times New Roman"/>
          <w:b/>
        </w:rPr>
      </w:pPr>
      <w:r w:rsidRPr="006A7223">
        <w:rPr>
          <w:rFonts w:ascii="Times New Roman" w:hAnsi="Times New Roman" w:cs="Times New Roman"/>
        </w:rPr>
        <w:t xml:space="preserve">The experiment was conducted at the Bakery Unit of Department of Processing and Food Engineering, College of Agricultural Engineering and Technology, Dr. </w:t>
      </w:r>
      <w:proofErr w:type="spellStart"/>
      <w:r w:rsidRPr="006A7223">
        <w:rPr>
          <w:rFonts w:ascii="Times New Roman" w:hAnsi="Times New Roman" w:cs="Times New Roman"/>
        </w:rPr>
        <w:t>Balasaheb</w:t>
      </w:r>
      <w:proofErr w:type="spellEnd"/>
      <w:r w:rsidRPr="006A7223">
        <w:rPr>
          <w:rFonts w:ascii="Times New Roman" w:hAnsi="Times New Roman" w:cs="Times New Roman"/>
        </w:rPr>
        <w:t xml:space="preserve"> Sawant Konkan </w:t>
      </w:r>
      <w:proofErr w:type="spellStart"/>
      <w:r w:rsidRPr="006A7223">
        <w:rPr>
          <w:rFonts w:ascii="Times New Roman" w:hAnsi="Times New Roman" w:cs="Times New Roman"/>
        </w:rPr>
        <w:t>Krishi</w:t>
      </w:r>
      <w:proofErr w:type="spellEnd"/>
      <w:r w:rsidRPr="006A7223">
        <w:rPr>
          <w:rFonts w:ascii="Times New Roman" w:hAnsi="Times New Roman" w:cs="Times New Roman"/>
        </w:rPr>
        <w:t xml:space="preserve"> </w:t>
      </w:r>
      <w:proofErr w:type="spellStart"/>
      <w:r w:rsidRPr="006A7223">
        <w:rPr>
          <w:rFonts w:ascii="Times New Roman" w:hAnsi="Times New Roman" w:cs="Times New Roman"/>
        </w:rPr>
        <w:t>Vidyapeeth</w:t>
      </w:r>
      <w:proofErr w:type="spellEnd"/>
      <w:r w:rsidRPr="006A7223">
        <w:rPr>
          <w:rFonts w:ascii="Times New Roman" w:hAnsi="Times New Roman" w:cs="Times New Roman"/>
        </w:rPr>
        <w:t>, Dapoli, Dist. Ratnagiri (M.S</w:t>
      </w:r>
      <w:r w:rsidR="00F76443" w:rsidRPr="006A7223">
        <w:rPr>
          <w:rFonts w:ascii="Times New Roman" w:hAnsi="Times New Roman" w:cs="Times New Roman"/>
        </w:rPr>
        <w:t>)</w:t>
      </w:r>
    </w:p>
    <w:p w14:paraId="079E0ACC" w14:textId="27CE852A" w:rsidR="001849AC" w:rsidRPr="006A7223" w:rsidRDefault="001849AC" w:rsidP="00A46A21">
      <w:pPr>
        <w:spacing w:after="120" w:line="276" w:lineRule="auto"/>
        <w:jc w:val="both"/>
        <w:rPr>
          <w:rFonts w:ascii="Times New Roman" w:hAnsi="Times New Roman" w:cs="Times New Roman"/>
          <w:b/>
          <w:bCs/>
        </w:rPr>
      </w:pPr>
      <w:r w:rsidRPr="006A7223">
        <w:rPr>
          <w:rFonts w:ascii="Times New Roman" w:hAnsi="Times New Roman" w:cs="Times New Roman"/>
          <w:b/>
          <w:bCs/>
        </w:rPr>
        <w:t>2.2 Procurement of raw materials</w:t>
      </w:r>
    </w:p>
    <w:p w14:paraId="5510F958" w14:textId="1B4E2909" w:rsidR="001849AC" w:rsidRPr="006A7223" w:rsidRDefault="001849AC" w:rsidP="00A46A21">
      <w:pPr>
        <w:spacing w:after="120" w:line="276" w:lineRule="auto"/>
        <w:jc w:val="both"/>
        <w:rPr>
          <w:rFonts w:ascii="Times New Roman" w:hAnsi="Times New Roman" w:cs="Times New Roman"/>
        </w:rPr>
      </w:pPr>
      <w:r w:rsidRPr="006A7223">
        <w:rPr>
          <w:rFonts w:ascii="Times New Roman" w:hAnsi="Times New Roman" w:cs="Times New Roman"/>
        </w:rPr>
        <w:t xml:space="preserve">            For this research study, Rice (Oryza sativa), Black Gram (Vigna mungo) and millets like finger millet (Ragi- Eleusine Coracana), leavening agent (sodium bicarbonate) and Citric acid were procured from the local market of Dapoli.</w:t>
      </w:r>
    </w:p>
    <w:p w14:paraId="1B84B003" w14:textId="21A8AF09" w:rsidR="001849AC" w:rsidRPr="0089351A" w:rsidRDefault="001849AC" w:rsidP="00A46A21">
      <w:pPr>
        <w:spacing w:after="120" w:line="276" w:lineRule="auto"/>
        <w:jc w:val="both"/>
        <w:rPr>
          <w:rStyle w:val="Strong"/>
          <w:rFonts w:ascii="Times New Roman" w:hAnsi="Times New Roman" w:cs="Times New Roman"/>
        </w:rPr>
      </w:pPr>
      <w:r w:rsidRPr="0089351A">
        <w:rPr>
          <w:rFonts w:ascii="Times New Roman" w:hAnsi="Times New Roman" w:cs="Times New Roman"/>
          <w:b/>
        </w:rPr>
        <w:t>2.3</w:t>
      </w:r>
      <w:r w:rsidR="0089351A" w:rsidRPr="0089351A">
        <w:rPr>
          <w:rFonts w:ascii="Times New Roman" w:hAnsi="Times New Roman" w:cs="Times New Roman"/>
        </w:rPr>
        <w:t xml:space="preserve"> </w:t>
      </w:r>
      <w:r w:rsidRPr="0089351A">
        <w:rPr>
          <w:rStyle w:val="Strong"/>
          <w:rFonts w:ascii="Times New Roman" w:hAnsi="Times New Roman" w:cs="Times New Roman"/>
        </w:rPr>
        <w:t>Equipment and Instruments</w:t>
      </w:r>
    </w:p>
    <w:p w14:paraId="42877389" w14:textId="77777777" w:rsidR="002A794E" w:rsidRDefault="001849AC" w:rsidP="002A794E">
      <w:pPr>
        <w:spacing w:after="120" w:line="276" w:lineRule="auto"/>
        <w:jc w:val="both"/>
        <w:rPr>
          <w:rFonts w:ascii="Times New Roman" w:hAnsi="Times New Roman" w:cs="Times New Roman"/>
        </w:rPr>
      </w:pPr>
      <w:r w:rsidRPr="002A794E">
        <w:rPr>
          <w:rFonts w:ascii="Times New Roman" w:hAnsi="Times New Roman" w:cs="Times New Roman"/>
        </w:rPr>
        <w:t xml:space="preserve">    </w:t>
      </w:r>
      <w:r w:rsidR="002A794E" w:rsidRPr="002A794E">
        <w:rPr>
          <w:rFonts w:ascii="Times New Roman" w:hAnsi="Times New Roman" w:cs="Times New Roman"/>
        </w:rPr>
        <w:t xml:space="preserve">The equipment used in this research included a Vernier caliper, weighing balance, grinder, tray dryer, sieve shaker, hot air oven, Soxhlet apparatus, Kjeldahl unit, muffle furnace, and pH meter, </w:t>
      </w:r>
      <w:r w:rsidR="002A794E" w:rsidRPr="002A794E">
        <w:rPr>
          <w:rFonts w:ascii="Times New Roman" w:hAnsi="Times New Roman" w:cs="Times New Roman"/>
        </w:rPr>
        <w:lastRenderedPageBreak/>
        <w:t xml:space="preserve">sourced from the Departments of Processing and Food Engineering, APE, and Food Science &amp; Technology at MPKV, </w:t>
      </w:r>
      <w:proofErr w:type="spellStart"/>
      <w:r w:rsidR="002A794E" w:rsidRPr="002A794E">
        <w:rPr>
          <w:rFonts w:ascii="Times New Roman" w:hAnsi="Times New Roman" w:cs="Times New Roman"/>
        </w:rPr>
        <w:t>Rahuri</w:t>
      </w:r>
      <w:proofErr w:type="spellEnd"/>
      <w:r w:rsidR="002A794E" w:rsidRPr="002A794E">
        <w:rPr>
          <w:rFonts w:ascii="Times New Roman" w:hAnsi="Times New Roman" w:cs="Times New Roman"/>
        </w:rPr>
        <w:t xml:space="preserve">. Packaging materials used were HDPE standing pouches, HDPE </w:t>
      </w:r>
      <w:proofErr w:type="spellStart"/>
      <w:r w:rsidR="002A794E" w:rsidRPr="002A794E">
        <w:rPr>
          <w:rFonts w:ascii="Times New Roman" w:hAnsi="Times New Roman" w:cs="Times New Roman"/>
        </w:rPr>
        <w:t>aluminum</w:t>
      </w:r>
      <w:proofErr w:type="spellEnd"/>
      <w:r w:rsidR="002A794E" w:rsidRPr="002A794E">
        <w:rPr>
          <w:rFonts w:ascii="Times New Roman" w:hAnsi="Times New Roman" w:cs="Times New Roman"/>
        </w:rPr>
        <w:t>-laminated pouches, and polypropylene packs</w:t>
      </w:r>
    </w:p>
    <w:p w14:paraId="1C186C04" w14:textId="77777777" w:rsidR="00D67892" w:rsidRPr="00D67892" w:rsidRDefault="00D67892" w:rsidP="00D67892">
      <w:pPr>
        <w:pStyle w:val="Heading4"/>
        <w:spacing w:line="276" w:lineRule="auto"/>
        <w:jc w:val="both"/>
        <w:rPr>
          <w:rFonts w:ascii="Times New Roman" w:hAnsi="Times New Roman" w:cs="Times New Roman"/>
          <w:b/>
          <w:color w:val="auto"/>
        </w:rPr>
      </w:pPr>
      <w:r w:rsidRPr="00D67892">
        <w:rPr>
          <w:rFonts w:ascii="Times New Roman" w:hAnsi="Times New Roman" w:cs="Times New Roman"/>
          <w:b/>
          <w:color w:val="auto"/>
        </w:rPr>
        <w:t>2.4 Optimization, Standardization, and Characterization of Instant Idli Premix</w:t>
      </w:r>
    </w:p>
    <w:p w14:paraId="0CBE93BF" w14:textId="678931C4" w:rsidR="00D67892" w:rsidRPr="002A794E" w:rsidRDefault="00D67892" w:rsidP="00D67892">
      <w:pPr>
        <w:pStyle w:val="NormalWeb"/>
        <w:spacing w:line="276" w:lineRule="auto"/>
        <w:ind w:firstLine="720"/>
        <w:jc w:val="both"/>
      </w:pPr>
      <w:r w:rsidRPr="00D67892">
        <w:t xml:space="preserve">The formulation of the instant idli premix was optimized by varying the proportions of finger millet, rice, and black gram to achieve an optimal balance between enhanced nutritional content and acceptable sensory qualities. Six different formulations were prepared, with finger millet levels ranging from 30% to 70%, alongside a control sample without millet. Through preliminary trials, the formulation containing 50% finger millet, 30% rice, and 20% black gram (designated as T3) was identified as the most balanced in terms of nutritional enhancement and sensory acceptance. The standardization process involved maintaining consistent preparation and processing conditions to ensure reproducibility. Characterization of the optimized premix included measurement of moisture content to ensure shelf stability, assessment of fermentation quality via pH and titratable acidity, and evaluation of key functional properties such as water absorption capacity, wettability, and reconstitution time. These analyses confirmed that the optimized and standardized premix exhibited </w:t>
      </w:r>
      <w:proofErr w:type="spellStart"/>
      <w:r w:rsidRPr="00D67892">
        <w:t>favorable</w:t>
      </w:r>
      <w:proofErr w:type="spellEnd"/>
      <w:r w:rsidRPr="00D67892">
        <w:t xml:space="preserve"> nutritional, functional, and sensory attributes suitable for the preparation of gluten-free instant idli.</w:t>
      </w:r>
    </w:p>
    <w:p w14:paraId="41CFA64E" w14:textId="2C81BBB9" w:rsidR="001849AC" w:rsidRPr="006A7223" w:rsidRDefault="00D67892" w:rsidP="002A794E">
      <w:pPr>
        <w:spacing w:after="120" w:line="276" w:lineRule="auto"/>
        <w:jc w:val="both"/>
        <w:rPr>
          <w:rFonts w:ascii="Times New Roman" w:hAnsi="Times New Roman" w:cs="Times New Roman"/>
          <w:b/>
        </w:rPr>
      </w:pPr>
      <w:r>
        <w:rPr>
          <w:rFonts w:ascii="Times New Roman" w:hAnsi="Times New Roman" w:cs="Times New Roman"/>
          <w:b/>
        </w:rPr>
        <w:t xml:space="preserve">2.5 </w:t>
      </w:r>
      <w:r w:rsidR="001849AC" w:rsidRPr="006A7223">
        <w:rPr>
          <w:rFonts w:ascii="Times New Roman" w:hAnsi="Times New Roman" w:cs="Times New Roman"/>
          <w:b/>
        </w:rPr>
        <w:t xml:space="preserve">Idli Pre mix </w:t>
      </w:r>
      <w:r w:rsidR="001849AC" w:rsidRPr="006A7223">
        <w:rPr>
          <w:rFonts w:ascii="Times New Roman" w:hAnsi="Times New Roman" w:cs="Times New Roman"/>
          <w:b/>
          <w:spacing w:val="-2"/>
        </w:rPr>
        <w:t>Formulation</w:t>
      </w:r>
    </w:p>
    <w:p w14:paraId="562BE36A" w14:textId="77777777" w:rsidR="001849AC" w:rsidRPr="006A7223" w:rsidRDefault="001849AC" w:rsidP="00A46A21">
      <w:pPr>
        <w:pStyle w:val="BodyText"/>
        <w:spacing w:before="103" w:line="276" w:lineRule="auto"/>
        <w:rPr>
          <w:b/>
        </w:rPr>
      </w:pPr>
    </w:p>
    <w:p w14:paraId="338E44CE" w14:textId="1197F631" w:rsidR="009E75DB" w:rsidRPr="008D0F57" w:rsidRDefault="001849AC" w:rsidP="008D0F57">
      <w:pPr>
        <w:pStyle w:val="BodyText"/>
        <w:spacing w:line="276" w:lineRule="auto"/>
      </w:pPr>
      <w:r w:rsidRPr="006A7223">
        <w:t>The</w:t>
      </w:r>
      <w:r w:rsidRPr="006A7223">
        <w:rPr>
          <w:spacing w:val="-5"/>
        </w:rPr>
        <w:t xml:space="preserve"> </w:t>
      </w:r>
      <w:r w:rsidRPr="006A7223">
        <w:t>ingredients used</w:t>
      </w:r>
      <w:r w:rsidRPr="006A7223">
        <w:rPr>
          <w:spacing w:val="-1"/>
        </w:rPr>
        <w:t xml:space="preserve"> </w:t>
      </w:r>
      <w:r w:rsidRPr="006A7223">
        <w:t>for</w:t>
      </w:r>
      <w:r w:rsidRPr="006A7223">
        <w:rPr>
          <w:spacing w:val="-2"/>
        </w:rPr>
        <w:t xml:space="preserve"> </w:t>
      </w:r>
      <w:r w:rsidRPr="006A7223">
        <w:t>the preparation</w:t>
      </w:r>
      <w:r w:rsidRPr="006A7223">
        <w:rPr>
          <w:spacing w:val="-1"/>
        </w:rPr>
        <w:t xml:space="preserve"> </w:t>
      </w:r>
      <w:r w:rsidRPr="006A7223">
        <w:t>of</w:t>
      </w:r>
      <w:r w:rsidRPr="006A7223">
        <w:rPr>
          <w:spacing w:val="-1"/>
        </w:rPr>
        <w:t xml:space="preserve"> </w:t>
      </w:r>
      <w:r w:rsidRPr="006A7223">
        <w:t>Idli pre mix -were</w:t>
      </w:r>
      <w:r w:rsidRPr="006A7223">
        <w:rPr>
          <w:spacing w:val="-2"/>
        </w:rPr>
        <w:t xml:space="preserve"> </w:t>
      </w:r>
      <w:r w:rsidRPr="006A7223">
        <w:t>shown</w:t>
      </w:r>
      <w:r w:rsidRPr="006A7223">
        <w:rPr>
          <w:spacing w:val="-1"/>
        </w:rPr>
        <w:t xml:space="preserve"> </w:t>
      </w:r>
      <w:r w:rsidRPr="006A7223">
        <w:t xml:space="preserve">in </w:t>
      </w:r>
      <w:proofErr w:type="gramStart"/>
      <w:r w:rsidR="00A80F8F">
        <w:t>Below</w:t>
      </w:r>
      <w:proofErr w:type="gramEnd"/>
      <w:r w:rsidRPr="006A7223">
        <w:rPr>
          <w:spacing w:val="-5"/>
        </w:rPr>
        <w:t>.</w:t>
      </w:r>
    </w:p>
    <w:p w14:paraId="009CCDB8" w14:textId="21280CC9"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T1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50 : 30 : 20</w:t>
      </w:r>
    </w:p>
    <w:p w14:paraId="1A8CCC49" w14:textId="0EAC159D"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T2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40 : 40 : 20</w:t>
      </w:r>
    </w:p>
    <w:p w14:paraId="2685C817" w14:textId="7A1BCE14"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T3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30 : 50 : 20</w:t>
      </w:r>
    </w:p>
    <w:p w14:paraId="7559E8D7" w14:textId="3910636A"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T4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20 : 60 : 20</w:t>
      </w:r>
    </w:p>
    <w:p w14:paraId="1546776F" w14:textId="22C029C8"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T5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10 : 70 : 20</w:t>
      </w:r>
    </w:p>
    <w:p w14:paraId="4B6087CF" w14:textId="5770F65F" w:rsidR="00675F2E" w:rsidRPr="00675F2E" w:rsidRDefault="00675F2E" w:rsidP="00675F2E">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675F2E">
        <w:rPr>
          <w:rFonts w:ascii="Times New Roman" w:eastAsia="Times New Roman" w:hAnsi="Times New Roman" w:cs="Times New Roman"/>
          <w:b/>
          <w:bCs/>
          <w:kern w:val="0"/>
          <w:lang w:eastAsia="en-IN"/>
          <w14:ligatures w14:val="none"/>
        </w:rPr>
        <w:t xml:space="preserve">T6 (Control) = </w:t>
      </w:r>
      <w:proofErr w:type="gramStart"/>
      <w:r w:rsidRPr="00675F2E">
        <w:rPr>
          <w:rFonts w:ascii="Times New Roman" w:eastAsia="Times New Roman" w:hAnsi="Times New Roman" w:cs="Times New Roman"/>
          <w:b/>
          <w:bCs/>
          <w:kern w:val="0"/>
          <w:lang w:eastAsia="en-IN"/>
          <w14:ligatures w14:val="none"/>
        </w:rPr>
        <w:t>Rice :</w:t>
      </w:r>
      <w:proofErr w:type="gramEnd"/>
      <w:r w:rsidRPr="00675F2E">
        <w:rPr>
          <w:rFonts w:ascii="Times New Roman" w:eastAsia="Times New Roman" w:hAnsi="Times New Roman" w:cs="Times New Roman"/>
          <w:b/>
          <w:bCs/>
          <w:kern w:val="0"/>
          <w:lang w:eastAsia="en-IN"/>
          <w14:ligatures w14:val="none"/>
        </w:rPr>
        <w:t xml:space="preserve"> Finger Millet : Black gram = 80 : 00 : 20</w:t>
      </w:r>
    </w:p>
    <w:p w14:paraId="03F3483E" w14:textId="77777777" w:rsidR="00D219ED" w:rsidRDefault="00D219ED" w:rsidP="00A46A21">
      <w:pPr>
        <w:spacing w:line="276" w:lineRule="auto"/>
        <w:jc w:val="both"/>
        <w:rPr>
          <w:rFonts w:ascii="Times New Roman" w:eastAsia="Calibri" w:hAnsi="Times New Roman" w:cs="Times New Roman"/>
          <w:bCs/>
          <w:lang w:eastAsia="en-IN"/>
        </w:rPr>
      </w:pPr>
    </w:p>
    <w:p w14:paraId="59840D91" w14:textId="77777777" w:rsidR="00B028DC" w:rsidRDefault="00B028DC" w:rsidP="00A46A21">
      <w:pPr>
        <w:spacing w:line="276" w:lineRule="auto"/>
        <w:jc w:val="both"/>
        <w:rPr>
          <w:rFonts w:ascii="Times New Roman" w:eastAsia="Calibri" w:hAnsi="Times New Roman" w:cs="Times New Roman"/>
          <w:bCs/>
          <w:lang w:eastAsia="en-IN"/>
        </w:rPr>
      </w:pPr>
    </w:p>
    <w:p w14:paraId="3A096A83" w14:textId="77777777" w:rsidR="00B028DC" w:rsidRDefault="00B028DC" w:rsidP="00A46A21">
      <w:pPr>
        <w:spacing w:line="276" w:lineRule="auto"/>
        <w:jc w:val="both"/>
        <w:rPr>
          <w:rFonts w:ascii="Times New Roman" w:eastAsia="Calibri" w:hAnsi="Times New Roman" w:cs="Times New Roman"/>
          <w:bCs/>
          <w:lang w:eastAsia="en-IN"/>
        </w:rPr>
      </w:pPr>
    </w:p>
    <w:p w14:paraId="16480094" w14:textId="77777777" w:rsidR="00B028DC" w:rsidRDefault="00B028DC" w:rsidP="00A46A21">
      <w:pPr>
        <w:spacing w:line="276" w:lineRule="auto"/>
        <w:jc w:val="both"/>
        <w:rPr>
          <w:rFonts w:ascii="Times New Roman" w:eastAsia="Calibri" w:hAnsi="Times New Roman" w:cs="Times New Roman"/>
          <w:bCs/>
          <w:lang w:eastAsia="en-IN"/>
        </w:rPr>
      </w:pPr>
    </w:p>
    <w:p w14:paraId="2E851F80" w14:textId="77777777" w:rsidR="001849AC" w:rsidRPr="006A7223" w:rsidRDefault="001849AC" w:rsidP="00B028DC">
      <w:pPr>
        <w:pStyle w:val="NoSpacing"/>
        <w:spacing w:line="276" w:lineRule="auto"/>
        <w:jc w:val="both"/>
        <w:rPr>
          <w:sz w:val="24"/>
          <w:szCs w:val="24"/>
        </w:rPr>
      </w:pPr>
    </w:p>
    <w:p w14:paraId="44164A97" w14:textId="77777777" w:rsidR="001849AC" w:rsidRPr="006A7223" w:rsidRDefault="001849AC" w:rsidP="00A46A21">
      <w:pPr>
        <w:pStyle w:val="NoSpacing"/>
        <w:spacing w:line="276" w:lineRule="auto"/>
        <w:ind w:left="720"/>
        <w:rPr>
          <w:sz w:val="24"/>
          <w:szCs w:val="24"/>
        </w:rPr>
      </w:pPr>
      <w:r w:rsidRPr="006A7223">
        <w:rPr>
          <w:sz w:val="24"/>
          <w:szCs w:val="24"/>
        </w:rPr>
        <w:lastRenderedPageBreak/>
        <w:t xml:space="preserve">                                                               </w:t>
      </w:r>
    </w:p>
    <w:p w14:paraId="26385B93" w14:textId="5971CB59" w:rsidR="001849AC" w:rsidRDefault="00B028DC" w:rsidP="00B028DC">
      <w:pPr>
        <w:spacing w:line="276" w:lineRule="auto"/>
        <w:rPr>
          <w:rFonts w:ascii="Times New Roman" w:hAnsi="Times New Roman" w:cs="Times New Roman"/>
          <w:b/>
          <w:color w:val="000000"/>
          <w:spacing w:val="-3"/>
          <w:w w:val="99"/>
        </w:rPr>
      </w:pPr>
      <w:r>
        <w:rPr>
          <w:rFonts w:ascii="Times New Roman" w:hAnsi="Times New Roman" w:cs="Times New Roman"/>
          <w:b/>
          <w:bCs/>
        </w:rPr>
        <w:t xml:space="preserve">2.5.1 </w:t>
      </w:r>
      <w:r w:rsidR="001849AC" w:rsidRPr="006A7223">
        <w:rPr>
          <w:rFonts w:ascii="Times New Roman" w:hAnsi="Times New Roman" w:cs="Times New Roman"/>
          <w:b/>
          <w:bCs/>
        </w:rPr>
        <w:t xml:space="preserve">Process for </w:t>
      </w:r>
      <w:r w:rsidR="001849AC" w:rsidRPr="006A7223">
        <w:rPr>
          <w:rFonts w:ascii="Times New Roman" w:hAnsi="Times New Roman" w:cs="Times New Roman"/>
          <w:b/>
          <w:color w:val="000000"/>
          <w:spacing w:val="-3"/>
          <w:w w:val="99"/>
        </w:rPr>
        <w:t>preparation of instant Idli-Premix</w:t>
      </w:r>
    </w:p>
    <w:p w14:paraId="4D141DA6" w14:textId="436FAA04" w:rsidR="00B028DC" w:rsidRPr="00B028DC" w:rsidRDefault="00B028DC" w:rsidP="00B028DC">
      <w:pPr>
        <w:spacing w:line="360" w:lineRule="auto"/>
        <w:ind w:firstLine="720"/>
        <w:jc w:val="both"/>
        <w:rPr>
          <w:rFonts w:ascii="Times New Roman" w:hAnsi="Times New Roman" w:cs="Times New Roman"/>
          <w:bCs/>
        </w:rPr>
      </w:pPr>
      <w:r w:rsidRPr="00B028DC">
        <w:rPr>
          <w:rFonts w:ascii="Times New Roman" w:hAnsi="Times New Roman" w:cs="Times New Roman"/>
          <w:bCs/>
        </w:rPr>
        <w:t xml:space="preserve">The preparation of instant idli premix begins with the selection of rice, black gram, and finger millet of good quality. These ingredients are then soaked in water for 8 hours to soften them for </w:t>
      </w:r>
      <w:proofErr w:type="spellStart"/>
      <w:r w:rsidRPr="00B028DC">
        <w:rPr>
          <w:rFonts w:ascii="Times New Roman" w:hAnsi="Times New Roman" w:cs="Times New Roman"/>
          <w:bCs/>
        </w:rPr>
        <w:t>grinding.After</w:t>
      </w:r>
      <w:proofErr w:type="spellEnd"/>
      <w:r w:rsidRPr="00B028DC">
        <w:rPr>
          <w:rFonts w:ascii="Times New Roman" w:hAnsi="Times New Roman" w:cs="Times New Roman"/>
          <w:bCs/>
        </w:rPr>
        <w:t xml:space="preserve"> soaking, the ingredients are individually ground and then uniformly mixed to form a homogenous batter. The batter is allowed to ferment for 8–10 hours, enabling the dev</w:t>
      </w:r>
      <w:r w:rsidRPr="00B028DC">
        <w:rPr>
          <w:rFonts w:ascii="Times New Roman" w:hAnsi="Times New Roman" w:cs="Times New Roman"/>
          <w:bCs/>
        </w:rPr>
        <w:t xml:space="preserve">elopment of flavor and </w:t>
      </w:r>
      <w:proofErr w:type="spellStart"/>
      <w:r w:rsidRPr="00B028DC">
        <w:rPr>
          <w:rFonts w:ascii="Times New Roman" w:hAnsi="Times New Roman" w:cs="Times New Roman"/>
          <w:bCs/>
        </w:rPr>
        <w:t>texture.</w:t>
      </w:r>
      <w:r w:rsidRPr="00B028DC">
        <w:rPr>
          <w:rFonts w:ascii="Times New Roman" w:hAnsi="Times New Roman" w:cs="Times New Roman"/>
          <w:bCs/>
        </w:rPr>
        <w:t>Post</w:t>
      </w:r>
      <w:proofErr w:type="spellEnd"/>
      <w:r w:rsidRPr="00B028DC">
        <w:rPr>
          <w:rFonts w:ascii="Times New Roman" w:hAnsi="Times New Roman" w:cs="Times New Roman"/>
          <w:bCs/>
        </w:rPr>
        <w:t xml:space="preserve">-fermentation, the batter is dried in a tray dryer at 60 °C for 6 hours to reduce moisture content. The dried material is then coarsely ground, followed by fine grinding using a pulverizer with a 150-micron sieve (0.15 mm) to </w:t>
      </w:r>
      <w:r w:rsidRPr="00B028DC">
        <w:rPr>
          <w:rFonts w:ascii="Times New Roman" w:hAnsi="Times New Roman" w:cs="Times New Roman"/>
          <w:bCs/>
        </w:rPr>
        <w:t xml:space="preserve">obtain a uniform premix </w:t>
      </w:r>
      <w:proofErr w:type="spellStart"/>
      <w:r w:rsidRPr="00B028DC">
        <w:rPr>
          <w:rFonts w:ascii="Times New Roman" w:hAnsi="Times New Roman" w:cs="Times New Roman"/>
          <w:bCs/>
        </w:rPr>
        <w:t>powder.</w:t>
      </w:r>
      <w:r w:rsidRPr="00B028DC">
        <w:rPr>
          <w:rFonts w:ascii="Times New Roman" w:hAnsi="Times New Roman" w:cs="Times New Roman"/>
          <w:bCs/>
        </w:rPr>
        <w:t>Finally</w:t>
      </w:r>
      <w:proofErr w:type="spellEnd"/>
      <w:r w:rsidRPr="00B028DC">
        <w:rPr>
          <w:rFonts w:ascii="Times New Roman" w:hAnsi="Times New Roman" w:cs="Times New Roman"/>
          <w:bCs/>
        </w:rPr>
        <w:t>, the prepared premix is weighed and packed for storage at room temperature, making it ready for instant idli preparation whenever required.</w:t>
      </w:r>
    </w:p>
    <w:p w14:paraId="6B7E43B1" w14:textId="77777777" w:rsidR="001849AC" w:rsidRPr="004317FC" w:rsidRDefault="001849AC" w:rsidP="00A46A21">
      <w:pPr>
        <w:pStyle w:val="ListParagraph"/>
        <w:spacing w:line="276" w:lineRule="auto"/>
        <w:rPr>
          <w:rFonts w:ascii="Times New Roman" w:hAnsi="Times New Roman" w:cs="Times New Roman"/>
          <w:b/>
        </w:rPr>
      </w:pPr>
    </w:p>
    <w:p w14:paraId="7FCD7740" w14:textId="1B77D0E4"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1849AC" w:rsidRPr="004317FC">
        <w:rPr>
          <w:rFonts w:ascii="Times New Roman" w:hAnsi="Times New Roman" w:cs="Times New Roman"/>
          <w:b/>
          <w:color w:val="auto"/>
          <w:sz w:val="24"/>
          <w:szCs w:val="24"/>
        </w:rPr>
        <w:t xml:space="preserve"> </w:t>
      </w:r>
      <w:r w:rsidR="00CA6FD6" w:rsidRPr="004317FC">
        <w:rPr>
          <w:rFonts w:ascii="Times New Roman" w:hAnsi="Times New Roman" w:cs="Times New Roman"/>
          <w:b/>
          <w:color w:val="auto"/>
          <w:sz w:val="24"/>
          <w:szCs w:val="24"/>
        </w:rPr>
        <w:t>Proximate and Nutritional Composition of Idli Pre-Mix</w:t>
      </w:r>
    </w:p>
    <w:p w14:paraId="0864D2D5" w14:textId="022DA0F6"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.1 Moisture Content</w:t>
      </w:r>
    </w:p>
    <w:p w14:paraId="1EF8DD2B" w14:textId="5D47D603"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Moisture content was estimated following the method described by Ranganna (1995).</w:t>
      </w:r>
      <w:r w:rsidRPr="006A7223">
        <w:rPr>
          <w:rFonts w:ascii="Times New Roman" w:hAnsi="Times New Roman" w:cs="Times New Roman"/>
        </w:rPr>
        <w:br/>
        <w:t>Formula</w:t>
      </w:r>
      <w:proofErr w:type="gramStart"/>
      <w:r w:rsidRPr="006A7223">
        <w:rPr>
          <w:rFonts w:ascii="Times New Roman" w:hAnsi="Times New Roman" w:cs="Times New Roman"/>
        </w:rPr>
        <w:t>:</w:t>
      </w:r>
      <w:proofErr w:type="gramEnd"/>
      <w:r w:rsidRPr="006A7223">
        <w:rPr>
          <w:rFonts w:ascii="Times New Roman" w:hAnsi="Times New Roman" w:cs="Times New Roman"/>
        </w:rPr>
        <w:br/>
        <w:t>Moisture Content (%) = ((W₂</w:t>
      </w:r>
      <w:r w:rsidR="00B77311">
        <w:rPr>
          <w:rFonts w:ascii="Times New Roman" w:hAnsi="Times New Roman" w:cs="Times New Roman"/>
        </w:rPr>
        <w:t xml:space="preserve"> - W₃) / (W₂ - W₁)) × 100  …(</w:t>
      </w:r>
      <w:r w:rsidRPr="006A7223">
        <w:rPr>
          <w:rFonts w:ascii="Times New Roman" w:hAnsi="Times New Roman" w:cs="Times New Roman"/>
        </w:rPr>
        <w:t>.1)</w:t>
      </w:r>
      <w:r w:rsidRPr="006A7223">
        <w:rPr>
          <w:rFonts w:ascii="Times New Roman" w:hAnsi="Times New Roman" w:cs="Times New Roman"/>
        </w:rPr>
        <w:br/>
        <w:t>Where:</w:t>
      </w:r>
      <w:r w:rsidRPr="006A7223">
        <w:rPr>
          <w:rFonts w:ascii="Times New Roman" w:hAnsi="Times New Roman" w:cs="Times New Roman"/>
        </w:rPr>
        <w:br/>
        <w:t>W₁ = Weight of empty sample box (g)</w:t>
      </w:r>
      <w:r w:rsidRPr="006A7223">
        <w:rPr>
          <w:rFonts w:ascii="Times New Roman" w:hAnsi="Times New Roman" w:cs="Times New Roman"/>
        </w:rPr>
        <w:br/>
        <w:t>W₂ = Weight of box + sample before drying (g)</w:t>
      </w:r>
      <w:r w:rsidRPr="006A7223">
        <w:rPr>
          <w:rFonts w:ascii="Times New Roman" w:hAnsi="Times New Roman" w:cs="Times New Roman"/>
        </w:rPr>
        <w:br/>
        <w:t>W₃ = Weight of box + sample after drying (g)</w:t>
      </w:r>
    </w:p>
    <w:p w14:paraId="4C497F68" w14:textId="0B90EE8F"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.2 Ash Content</w:t>
      </w:r>
    </w:p>
    <w:p w14:paraId="3AA988E1" w14:textId="588F9FAF"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Ash content was determined as per the procedure outlined by Ranganna (1995).</w:t>
      </w:r>
      <w:r w:rsidRPr="006A7223">
        <w:rPr>
          <w:rFonts w:ascii="Times New Roman" w:hAnsi="Times New Roman" w:cs="Times New Roman"/>
        </w:rPr>
        <w:br/>
        <w:t>Formula</w:t>
      </w:r>
      <w:proofErr w:type="gramStart"/>
      <w:r w:rsidRPr="006A7223">
        <w:rPr>
          <w:rFonts w:ascii="Times New Roman" w:hAnsi="Times New Roman" w:cs="Times New Roman"/>
        </w:rPr>
        <w:t>:</w:t>
      </w:r>
      <w:proofErr w:type="gramEnd"/>
      <w:r w:rsidRPr="006A7223">
        <w:rPr>
          <w:rFonts w:ascii="Times New Roman" w:hAnsi="Times New Roman" w:cs="Times New Roman"/>
        </w:rPr>
        <w:br/>
        <w:t xml:space="preserve">Ash Content (%) = </w:t>
      </w:r>
      <w:r w:rsidR="00B77311">
        <w:rPr>
          <w:rFonts w:ascii="Times New Roman" w:hAnsi="Times New Roman" w:cs="Times New Roman"/>
        </w:rPr>
        <w:t>((W₂ - W) / (W₁ - W)) × 100  …(</w:t>
      </w:r>
      <w:r w:rsidRPr="006A7223">
        <w:rPr>
          <w:rFonts w:ascii="Times New Roman" w:hAnsi="Times New Roman" w:cs="Times New Roman"/>
        </w:rPr>
        <w:t>.2)</w:t>
      </w:r>
      <w:r w:rsidRPr="006A7223">
        <w:rPr>
          <w:rFonts w:ascii="Times New Roman" w:hAnsi="Times New Roman" w:cs="Times New Roman"/>
        </w:rPr>
        <w:br/>
        <w:t>Where:</w:t>
      </w:r>
      <w:r w:rsidRPr="006A7223">
        <w:rPr>
          <w:rFonts w:ascii="Times New Roman" w:hAnsi="Times New Roman" w:cs="Times New Roman"/>
        </w:rPr>
        <w:br/>
        <w:t>W = Weight of crucible (g)</w:t>
      </w:r>
      <w:r w:rsidRPr="006A7223">
        <w:rPr>
          <w:rFonts w:ascii="Times New Roman" w:hAnsi="Times New Roman" w:cs="Times New Roman"/>
        </w:rPr>
        <w:br/>
        <w:t>W₁ = Weight of crucible and flour (g)</w:t>
      </w:r>
      <w:r w:rsidRPr="006A7223">
        <w:rPr>
          <w:rFonts w:ascii="Times New Roman" w:hAnsi="Times New Roman" w:cs="Times New Roman"/>
        </w:rPr>
        <w:br/>
        <w:t>W₂ = Weight of crucible with ash (g)</w:t>
      </w:r>
    </w:p>
    <w:p w14:paraId="14F50040" w14:textId="5E24F61C"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.3 Crude Fat</w:t>
      </w:r>
    </w:p>
    <w:p w14:paraId="161748EE" w14:textId="2807B88A"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Crude fat content was determined using the Soxhlet extraction method as described by AOAC (2000).</w:t>
      </w:r>
      <w:r w:rsidRPr="006A7223">
        <w:rPr>
          <w:rFonts w:ascii="Times New Roman" w:hAnsi="Times New Roman" w:cs="Times New Roman"/>
        </w:rPr>
        <w:br/>
        <w:t>Formula</w:t>
      </w:r>
      <w:proofErr w:type="gramStart"/>
      <w:r w:rsidRPr="006A7223">
        <w:rPr>
          <w:rFonts w:ascii="Times New Roman" w:hAnsi="Times New Roman" w:cs="Times New Roman"/>
        </w:rPr>
        <w:t>:</w:t>
      </w:r>
      <w:proofErr w:type="gramEnd"/>
      <w:r w:rsidRPr="006A7223">
        <w:rPr>
          <w:rFonts w:ascii="Times New Roman" w:hAnsi="Times New Roman" w:cs="Times New Roman"/>
        </w:rPr>
        <w:br/>
        <w:t>Fat (</w:t>
      </w:r>
      <w:r w:rsidR="00B77311">
        <w:rPr>
          <w:rFonts w:ascii="Times New Roman" w:hAnsi="Times New Roman" w:cs="Times New Roman"/>
        </w:rPr>
        <w:t>%) = ((W₁ - W₂) / W) × 100  …(</w:t>
      </w:r>
      <w:r w:rsidRPr="006A7223">
        <w:rPr>
          <w:rFonts w:ascii="Times New Roman" w:hAnsi="Times New Roman" w:cs="Times New Roman"/>
        </w:rPr>
        <w:t>3)</w:t>
      </w:r>
      <w:r w:rsidRPr="006A7223">
        <w:rPr>
          <w:rFonts w:ascii="Times New Roman" w:hAnsi="Times New Roman" w:cs="Times New Roman"/>
        </w:rPr>
        <w:br/>
      </w:r>
      <w:r w:rsidRPr="006A7223">
        <w:rPr>
          <w:rFonts w:ascii="Times New Roman" w:hAnsi="Times New Roman" w:cs="Times New Roman"/>
        </w:rPr>
        <w:lastRenderedPageBreak/>
        <w:t>Where:</w:t>
      </w:r>
      <w:r w:rsidRPr="006A7223">
        <w:rPr>
          <w:rFonts w:ascii="Times New Roman" w:hAnsi="Times New Roman" w:cs="Times New Roman"/>
        </w:rPr>
        <w:br/>
        <w:t>W = Weight of sample (g)</w:t>
      </w:r>
      <w:r w:rsidRPr="006A7223">
        <w:rPr>
          <w:rFonts w:ascii="Times New Roman" w:hAnsi="Times New Roman" w:cs="Times New Roman"/>
        </w:rPr>
        <w:br/>
        <w:t>W₁ = Initial weight of sample with flask (g)</w:t>
      </w:r>
      <w:r w:rsidRPr="006A7223">
        <w:rPr>
          <w:rFonts w:ascii="Times New Roman" w:hAnsi="Times New Roman" w:cs="Times New Roman"/>
        </w:rPr>
        <w:br/>
        <w:t>W₂ = Final weight of sample with flask (g)</w:t>
      </w:r>
    </w:p>
    <w:p w14:paraId="16559659" w14:textId="2E27E577"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.4 Crude Fibre</w:t>
      </w:r>
    </w:p>
    <w:p w14:paraId="6C759D89" w14:textId="580CD3BE"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Crude fibre content was estimated following the method given by AOAC (2000).</w:t>
      </w:r>
      <w:r w:rsidRPr="006A7223">
        <w:rPr>
          <w:rFonts w:ascii="Times New Roman" w:hAnsi="Times New Roman" w:cs="Times New Roman"/>
        </w:rPr>
        <w:br/>
        <w:t>Formula</w:t>
      </w:r>
      <w:proofErr w:type="gramStart"/>
      <w:r w:rsidRPr="006A7223">
        <w:rPr>
          <w:rFonts w:ascii="Times New Roman" w:hAnsi="Times New Roman" w:cs="Times New Roman"/>
        </w:rPr>
        <w:t>:</w:t>
      </w:r>
      <w:proofErr w:type="gramEnd"/>
      <w:r w:rsidRPr="006A7223">
        <w:rPr>
          <w:rFonts w:ascii="Times New Roman" w:hAnsi="Times New Roman" w:cs="Times New Roman"/>
        </w:rPr>
        <w:br/>
        <w:t>Crude Fibre (</w:t>
      </w:r>
      <w:r w:rsidR="00B77311">
        <w:rPr>
          <w:rFonts w:ascii="Times New Roman" w:hAnsi="Times New Roman" w:cs="Times New Roman"/>
        </w:rPr>
        <w:t>%) = ((W₂ - W₃) / W₁) × 100  …(</w:t>
      </w:r>
      <w:r w:rsidRPr="006A7223">
        <w:rPr>
          <w:rFonts w:ascii="Times New Roman" w:hAnsi="Times New Roman" w:cs="Times New Roman"/>
        </w:rPr>
        <w:t>.4)</w:t>
      </w:r>
      <w:r w:rsidRPr="006A7223">
        <w:rPr>
          <w:rFonts w:ascii="Times New Roman" w:hAnsi="Times New Roman" w:cs="Times New Roman"/>
        </w:rPr>
        <w:br/>
        <w:t>Where:</w:t>
      </w:r>
      <w:r w:rsidRPr="006A7223">
        <w:rPr>
          <w:rFonts w:ascii="Times New Roman" w:hAnsi="Times New Roman" w:cs="Times New Roman"/>
        </w:rPr>
        <w:br/>
        <w:t>W₁ = Weight of the sample (g)</w:t>
      </w:r>
      <w:r w:rsidRPr="006A7223">
        <w:rPr>
          <w:rFonts w:ascii="Times New Roman" w:hAnsi="Times New Roman" w:cs="Times New Roman"/>
        </w:rPr>
        <w:br/>
        <w:t>W₂ = Weight of insoluble matter (g)</w:t>
      </w:r>
      <w:r w:rsidRPr="006A7223">
        <w:rPr>
          <w:rFonts w:ascii="Times New Roman" w:hAnsi="Times New Roman" w:cs="Times New Roman"/>
        </w:rPr>
        <w:br/>
        <w:t>W₃ = Weight of ash (g)</w:t>
      </w:r>
    </w:p>
    <w:p w14:paraId="77297C5D" w14:textId="60482220"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.5 Protein</w:t>
      </w:r>
    </w:p>
    <w:p w14:paraId="0D94F5B2" w14:textId="10A001F8"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Protein content was determined using the Kjeldahl method as described by AOAC (2000), applying a nitrogen-to-protein conversion factor of 6.25.</w:t>
      </w:r>
      <w:r w:rsidRPr="006A7223">
        <w:rPr>
          <w:rFonts w:ascii="Times New Roman" w:hAnsi="Times New Roman" w:cs="Times New Roman"/>
        </w:rPr>
        <w:br/>
        <w:t>Formula:</w:t>
      </w:r>
      <w:r w:rsidRPr="006A7223">
        <w:rPr>
          <w:rFonts w:ascii="Times New Roman" w:hAnsi="Times New Roman" w:cs="Times New Roman"/>
        </w:rPr>
        <w:br/>
        <w:t xml:space="preserve">Protein (%) = ((S - B) × N × 14.01 </w:t>
      </w:r>
      <w:r w:rsidR="00B77311">
        <w:rPr>
          <w:rFonts w:ascii="Times New Roman" w:hAnsi="Times New Roman" w:cs="Times New Roman"/>
        </w:rPr>
        <w:t>× 100 × 6.25) / (W × 1000)  …(</w:t>
      </w:r>
      <w:r w:rsidRPr="006A7223">
        <w:rPr>
          <w:rFonts w:ascii="Times New Roman" w:hAnsi="Times New Roman" w:cs="Times New Roman"/>
        </w:rPr>
        <w:t>5)</w:t>
      </w:r>
      <w:r w:rsidRPr="006A7223">
        <w:rPr>
          <w:rFonts w:ascii="Times New Roman" w:hAnsi="Times New Roman" w:cs="Times New Roman"/>
        </w:rPr>
        <w:br/>
        <w:t>Where:</w:t>
      </w:r>
      <w:r w:rsidRPr="006A7223">
        <w:rPr>
          <w:rFonts w:ascii="Times New Roman" w:hAnsi="Times New Roman" w:cs="Times New Roman"/>
        </w:rPr>
        <w:br/>
        <w:t>S = Volume of standard acid (0.1 N HCl) used for titration (ml)</w:t>
      </w:r>
      <w:r w:rsidRPr="006A7223">
        <w:rPr>
          <w:rFonts w:ascii="Times New Roman" w:hAnsi="Times New Roman" w:cs="Times New Roman"/>
        </w:rPr>
        <w:br/>
        <w:t>B = Volume of 0.1 N HCl used for blank (ml)</w:t>
      </w:r>
      <w:r w:rsidRPr="006A7223">
        <w:rPr>
          <w:rFonts w:ascii="Times New Roman" w:hAnsi="Times New Roman" w:cs="Times New Roman"/>
        </w:rPr>
        <w:br/>
        <w:t>N = Normality of acid (0.1 N HCl)</w:t>
      </w:r>
      <w:r w:rsidRPr="006A7223">
        <w:rPr>
          <w:rFonts w:ascii="Times New Roman" w:hAnsi="Times New Roman" w:cs="Times New Roman"/>
        </w:rPr>
        <w:br/>
        <w:t>W = Weight of sample (g)</w:t>
      </w:r>
    </w:p>
    <w:p w14:paraId="26A27586" w14:textId="069740E6"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89351A">
        <w:rPr>
          <w:rFonts w:ascii="Times New Roman" w:hAnsi="Times New Roman" w:cs="Times New Roman"/>
          <w:b/>
          <w:color w:val="auto"/>
          <w:sz w:val="24"/>
          <w:szCs w:val="24"/>
        </w:rPr>
        <w:t>.6 Carbohydrates</w:t>
      </w:r>
    </w:p>
    <w:p w14:paraId="41835093" w14:textId="53A79F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Carbohydrate content was calculated by difference, subtracting the sum of moisture, protein, fat, fibre, and ash from 100, as per AOAC (2000).</w:t>
      </w:r>
      <w:r w:rsidRPr="006A7223">
        <w:rPr>
          <w:rFonts w:ascii="Times New Roman" w:hAnsi="Times New Roman" w:cs="Times New Roman"/>
        </w:rPr>
        <w:br/>
        <w:t>Formula</w:t>
      </w:r>
      <w:proofErr w:type="gramStart"/>
      <w:r w:rsidRPr="006A7223">
        <w:rPr>
          <w:rFonts w:ascii="Times New Roman" w:hAnsi="Times New Roman" w:cs="Times New Roman"/>
        </w:rPr>
        <w:t>:</w:t>
      </w:r>
      <w:proofErr w:type="gramEnd"/>
      <w:r w:rsidRPr="006A7223">
        <w:rPr>
          <w:rFonts w:ascii="Times New Roman" w:hAnsi="Times New Roman" w:cs="Times New Roman"/>
        </w:rPr>
        <w:br/>
        <w:t>Carbohydrates (%) = 100 - (Moisture % + Protein %</w:t>
      </w:r>
      <w:r w:rsidR="00B77311">
        <w:rPr>
          <w:rFonts w:ascii="Times New Roman" w:hAnsi="Times New Roman" w:cs="Times New Roman"/>
        </w:rPr>
        <w:t xml:space="preserve"> + Fat % + Fibre % + Ash %)  …(</w:t>
      </w:r>
      <w:r w:rsidRPr="006A7223">
        <w:rPr>
          <w:rFonts w:ascii="Times New Roman" w:hAnsi="Times New Roman" w:cs="Times New Roman"/>
        </w:rPr>
        <w:t>.6)</w:t>
      </w:r>
    </w:p>
    <w:p w14:paraId="65B6E866" w14:textId="50372801"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.7 Energy</w:t>
      </w:r>
    </w:p>
    <w:p w14:paraId="34FE7875" w14:textId="1378AADA"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Energy value (kcal) was calculated using the Atwater factors (AOAC, 2000).</w:t>
      </w:r>
      <w:r w:rsidRPr="006A7223">
        <w:rPr>
          <w:rFonts w:ascii="Times New Roman" w:hAnsi="Times New Roman" w:cs="Times New Roman"/>
        </w:rPr>
        <w:br/>
        <w:t>Formula</w:t>
      </w:r>
      <w:proofErr w:type="gramStart"/>
      <w:r w:rsidRPr="006A7223">
        <w:rPr>
          <w:rFonts w:ascii="Times New Roman" w:hAnsi="Times New Roman" w:cs="Times New Roman"/>
        </w:rPr>
        <w:t>:</w:t>
      </w:r>
      <w:proofErr w:type="gramEnd"/>
      <w:r w:rsidRPr="006A7223">
        <w:rPr>
          <w:rFonts w:ascii="Times New Roman" w:hAnsi="Times New Roman" w:cs="Times New Roman"/>
        </w:rPr>
        <w:br/>
        <w:t>Energy = (4 × Protein %) + (9 × Fat %) + (4 × Carbohydrate %</w:t>
      </w:r>
      <w:r w:rsidR="00B77311">
        <w:rPr>
          <w:rFonts w:ascii="Times New Roman" w:hAnsi="Times New Roman" w:cs="Times New Roman"/>
        </w:rPr>
        <w:t>)  …(</w:t>
      </w:r>
      <w:r w:rsidRPr="006A7223">
        <w:rPr>
          <w:rFonts w:ascii="Times New Roman" w:hAnsi="Times New Roman" w:cs="Times New Roman"/>
        </w:rPr>
        <w:t>.7)</w:t>
      </w:r>
    </w:p>
    <w:p w14:paraId="215FED75" w14:textId="2E254DF5"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CA6FD6" w:rsidRPr="004317FC">
        <w:rPr>
          <w:rFonts w:ascii="Times New Roman" w:hAnsi="Times New Roman" w:cs="Times New Roman"/>
          <w:b/>
          <w:color w:val="auto"/>
          <w:sz w:val="24"/>
          <w:szCs w:val="24"/>
        </w:rPr>
        <w:t>.8 Mineral Analysis</w:t>
      </w:r>
    </w:p>
    <w:p w14:paraId="782569E2"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Mineral content was estimated from the ash solution as per the procedure given by Ranganna (1986).</w:t>
      </w:r>
    </w:p>
    <w:p w14:paraId="4E5BEEC6" w14:textId="562F2719" w:rsidR="00CA6FD6" w:rsidRPr="004317FC" w:rsidRDefault="00D67892" w:rsidP="00A46A21">
      <w:pPr>
        <w:pStyle w:val="Heading4"/>
        <w:spacing w:line="276" w:lineRule="auto"/>
        <w:rPr>
          <w:rFonts w:ascii="Times New Roman" w:hAnsi="Times New Roman" w:cs="Times New Roman"/>
          <w:b/>
          <w:color w:val="auto"/>
        </w:rPr>
      </w:pPr>
      <w:r>
        <w:rPr>
          <w:rFonts w:ascii="Times New Roman" w:hAnsi="Times New Roman" w:cs="Times New Roman"/>
          <w:b/>
          <w:color w:val="auto"/>
        </w:rPr>
        <w:lastRenderedPageBreak/>
        <w:t>2.6</w:t>
      </w:r>
      <w:r w:rsidR="00CA6FD6" w:rsidRPr="004317FC">
        <w:rPr>
          <w:rFonts w:ascii="Times New Roman" w:hAnsi="Times New Roman" w:cs="Times New Roman"/>
          <w:b/>
          <w:color w:val="auto"/>
        </w:rPr>
        <w:t>.8.1 Calcium, Magnesium, and Phosphorus</w:t>
      </w:r>
    </w:p>
    <w:p w14:paraId="37E3FC85"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These minerals were determined using titrimetric and spectrophotometric methods as outlined by Ranganna (1986) and AOAC (2000).</w:t>
      </w:r>
    </w:p>
    <w:p w14:paraId="405B44F2" w14:textId="3E62DC19" w:rsidR="00CA6FD6" w:rsidRPr="004317FC" w:rsidRDefault="00D67892" w:rsidP="00A46A21">
      <w:pPr>
        <w:pStyle w:val="Heading4"/>
        <w:spacing w:line="276" w:lineRule="auto"/>
        <w:rPr>
          <w:rFonts w:ascii="Times New Roman" w:hAnsi="Times New Roman" w:cs="Times New Roman"/>
          <w:b/>
          <w:color w:val="auto"/>
        </w:rPr>
      </w:pPr>
      <w:r>
        <w:rPr>
          <w:rFonts w:ascii="Times New Roman" w:hAnsi="Times New Roman" w:cs="Times New Roman"/>
          <w:b/>
          <w:color w:val="auto"/>
        </w:rPr>
        <w:t>2.6.</w:t>
      </w:r>
      <w:r w:rsidR="00CA6FD6" w:rsidRPr="004317FC">
        <w:rPr>
          <w:rFonts w:ascii="Times New Roman" w:hAnsi="Times New Roman" w:cs="Times New Roman"/>
          <w:b/>
          <w:color w:val="auto"/>
        </w:rPr>
        <w:t>8.2 Zinc, Iron, and Copper</w:t>
      </w:r>
    </w:p>
    <w:p w14:paraId="0870CE76"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These were analyzed using atomic absorption spectrometry as described by AOAC (2000).</w:t>
      </w:r>
    </w:p>
    <w:p w14:paraId="6AAD3079" w14:textId="7C2A55F9" w:rsidR="00CA6FD6" w:rsidRPr="0089351A"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 Reconstitutional</w:t>
      </w:r>
      <w:r w:rsidR="00CA6FD6" w:rsidRPr="0089351A">
        <w:rPr>
          <w:rFonts w:ascii="Times New Roman" w:hAnsi="Times New Roman" w:cs="Times New Roman"/>
          <w:b/>
          <w:color w:val="auto"/>
          <w:sz w:val="24"/>
          <w:szCs w:val="24"/>
        </w:rPr>
        <w:t xml:space="preserve"> Properties of Idli Mix Powder</w:t>
      </w:r>
    </w:p>
    <w:p w14:paraId="11298739" w14:textId="0A0AB944"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w:t>
      </w:r>
      <w:r w:rsidR="00CA6FD6" w:rsidRPr="0089351A">
        <w:rPr>
          <w:rFonts w:ascii="Times New Roman" w:hAnsi="Times New Roman" w:cs="Times New Roman"/>
          <w:b/>
          <w:color w:val="auto"/>
          <w:sz w:val="24"/>
          <w:szCs w:val="24"/>
        </w:rPr>
        <w:t>.1 Water Absorption Capacity (WAC)</w:t>
      </w:r>
    </w:p>
    <w:p w14:paraId="01355374"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 xml:space="preserve">WAC was determined using the method described by </w:t>
      </w:r>
      <w:proofErr w:type="spellStart"/>
      <w:r w:rsidRPr="006A7223">
        <w:rPr>
          <w:rFonts w:ascii="Times New Roman" w:hAnsi="Times New Roman" w:cs="Times New Roman"/>
        </w:rPr>
        <w:t>Sosulski</w:t>
      </w:r>
      <w:proofErr w:type="spellEnd"/>
      <w:r w:rsidRPr="006A7223">
        <w:rPr>
          <w:rFonts w:ascii="Times New Roman" w:hAnsi="Times New Roman" w:cs="Times New Roman"/>
        </w:rPr>
        <w:t xml:space="preserve"> et al. (1976).</w:t>
      </w:r>
      <w:r w:rsidRPr="006A7223">
        <w:rPr>
          <w:rFonts w:ascii="Times New Roman" w:hAnsi="Times New Roman" w:cs="Times New Roman"/>
        </w:rPr>
        <w:br/>
        <w:t>Formula:</w:t>
      </w:r>
      <w:r w:rsidRPr="006A7223">
        <w:rPr>
          <w:rFonts w:ascii="Times New Roman" w:hAnsi="Times New Roman" w:cs="Times New Roman"/>
        </w:rPr>
        <w:br/>
        <w:t>WAC (%) = (Weight of water absorbed × Density of water) / Weight of Sample × 100</w:t>
      </w:r>
    </w:p>
    <w:p w14:paraId="75CF3007" w14:textId="7F69CFBA" w:rsidR="00CA6FD6" w:rsidRPr="0089351A" w:rsidRDefault="005D72D6" w:rsidP="00A46A21">
      <w:pPr>
        <w:pStyle w:val="Heading3"/>
        <w:spacing w:line="276" w:lineRule="auto"/>
        <w:rPr>
          <w:rFonts w:ascii="Times New Roman" w:hAnsi="Times New Roman" w:cs="Times New Roman"/>
          <w:color w:val="auto"/>
          <w:sz w:val="24"/>
          <w:szCs w:val="24"/>
        </w:rPr>
      </w:pPr>
      <w:r w:rsidRPr="0089351A">
        <w:rPr>
          <w:rFonts w:ascii="Times New Roman" w:hAnsi="Times New Roman" w:cs="Times New Roman"/>
          <w:color w:val="auto"/>
          <w:sz w:val="24"/>
          <w:szCs w:val="24"/>
        </w:rPr>
        <w:t>2.5.9</w:t>
      </w:r>
      <w:r w:rsidR="00CA6FD6" w:rsidRPr="0089351A">
        <w:rPr>
          <w:rFonts w:ascii="Times New Roman" w:hAnsi="Times New Roman" w:cs="Times New Roman"/>
          <w:color w:val="auto"/>
          <w:sz w:val="24"/>
          <w:szCs w:val="24"/>
        </w:rPr>
        <w:t>.2 Rehydration Ratio</w:t>
      </w:r>
    </w:p>
    <w:p w14:paraId="287260CD"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 rehydration ratio of the idli premix was determined using the method outlined by Mridula et al. (2015).</w:t>
      </w:r>
      <w:r w:rsidRPr="006A7223">
        <w:rPr>
          <w:rFonts w:ascii="Times New Roman" w:hAnsi="Times New Roman" w:cs="Times New Roman"/>
        </w:rPr>
        <w:br/>
        <w:t>Formula:</w:t>
      </w:r>
      <w:r w:rsidRPr="006A7223">
        <w:rPr>
          <w:rFonts w:ascii="Times New Roman" w:hAnsi="Times New Roman" w:cs="Times New Roman"/>
        </w:rPr>
        <w:br/>
        <w:t>Rehydration Ratio = Weight of rehydrated mix (</w:t>
      </w:r>
      <w:proofErr w:type="spellStart"/>
      <w:r w:rsidRPr="006A7223">
        <w:rPr>
          <w:rFonts w:ascii="Times New Roman" w:hAnsi="Times New Roman" w:cs="Times New Roman"/>
        </w:rPr>
        <w:t>Wr</w:t>
      </w:r>
      <w:proofErr w:type="spellEnd"/>
      <w:r w:rsidRPr="006A7223">
        <w:rPr>
          <w:rFonts w:ascii="Times New Roman" w:hAnsi="Times New Roman" w:cs="Times New Roman"/>
        </w:rPr>
        <w:t>) / Weight of dry mix (</w:t>
      </w:r>
      <w:proofErr w:type="spellStart"/>
      <w:r w:rsidRPr="006A7223">
        <w:rPr>
          <w:rFonts w:ascii="Times New Roman" w:hAnsi="Times New Roman" w:cs="Times New Roman"/>
        </w:rPr>
        <w:t>Wd</w:t>
      </w:r>
      <w:proofErr w:type="spellEnd"/>
      <w:r w:rsidRPr="006A7223">
        <w:rPr>
          <w:rFonts w:ascii="Times New Roman" w:hAnsi="Times New Roman" w:cs="Times New Roman"/>
        </w:rPr>
        <w:t>)</w:t>
      </w:r>
    </w:p>
    <w:p w14:paraId="46F858D6" w14:textId="4F0BC6D9" w:rsidR="00CA6FD6" w:rsidRPr="0089351A"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89351A">
        <w:rPr>
          <w:rFonts w:ascii="Times New Roman" w:hAnsi="Times New Roman" w:cs="Times New Roman"/>
          <w:b/>
          <w:color w:val="auto"/>
          <w:sz w:val="24"/>
          <w:szCs w:val="24"/>
        </w:rPr>
        <w:t>.9</w:t>
      </w:r>
      <w:r w:rsidR="00CA6FD6" w:rsidRPr="0089351A">
        <w:rPr>
          <w:rFonts w:ascii="Times New Roman" w:hAnsi="Times New Roman" w:cs="Times New Roman"/>
          <w:b/>
          <w:color w:val="auto"/>
          <w:sz w:val="24"/>
          <w:szCs w:val="24"/>
        </w:rPr>
        <w:t>.3 Wettability</w:t>
      </w:r>
    </w:p>
    <w:p w14:paraId="4074E4B5"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Wettability, defined as the time required for complete submersion of powder particles in water, was measured using the protocol by Kumar et al. (2017).</w:t>
      </w:r>
    </w:p>
    <w:p w14:paraId="5F76BADC" w14:textId="6C63E12B" w:rsidR="00CA6FD6" w:rsidRPr="004317FC" w:rsidRDefault="00D67892" w:rsidP="00A46A21">
      <w:pPr>
        <w:pStyle w:val="Heading3"/>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4317FC">
        <w:rPr>
          <w:rFonts w:ascii="Times New Roman" w:hAnsi="Times New Roman" w:cs="Times New Roman"/>
          <w:b/>
          <w:color w:val="auto"/>
          <w:sz w:val="24"/>
          <w:szCs w:val="24"/>
        </w:rPr>
        <w:t>.9</w:t>
      </w:r>
      <w:r w:rsidR="00CA6FD6" w:rsidRPr="004317FC">
        <w:rPr>
          <w:rFonts w:ascii="Times New Roman" w:hAnsi="Times New Roman" w:cs="Times New Roman"/>
          <w:b/>
          <w:color w:val="auto"/>
          <w:sz w:val="24"/>
          <w:szCs w:val="24"/>
        </w:rPr>
        <w:t>.4 Reconstitution Time</w:t>
      </w:r>
    </w:p>
    <w:p w14:paraId="68EB7238"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Reconstitution time was determined by measuring the time required to achieve the desired idli batter consistency.</w:t>
      </w:r>
    </w:p>
    <w:p w14:paraId="2B89C88E" w14:textId="70A4B4BA" w:rsidR="00CA6FD6" w:rsidRPr="004317FC" w:rsidRDefault="00D67892" w:rsidP="00A46A21">
      <w:pPr>
        <w:pStyle w:val="Heading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2.6</w:t>
      </w:r>
      <w:r w:rsidR="005D72D6" w:rsidRPr="004317FC">
        <w:rPr>
          <w:rFonts w:ascii="Times New Roman" w:hAnsi="Times New Roman" w:cs="Times New Roman"/>
          <w:b/>
          <w:color w:val="auto"/>
          <w:sz w:val="24"/>
          <w:szCs w:val="24"/>
        </w:rPr>
        <w:t>.9.5</w:t>
      </w:r>
      <w:r w:rsidR="00CA6FD6" w:rsidRPr="004317FC">
        <w:rPr>
          <w:rFonts w:ascii="Times New Roman" w:hAnsi="Times New Roman" w:cs="Times New Roman"/>
          <w:b/>
          <w:color w:val="auto"/>
          <w:sz w:val="24"/>
          <w:szCs w:val="24"/>
        </w:rPr>
        <w:t xml:space="preserve"> Measurement of Expansion Ratio of Batter</w:t>
      </w:r>
    </w:p>
    <w:p w14:paraId="5FDFACE0" w14:textId="77777777" w:rsidR="00CA6FD6" w:rsidRPr="006A7223" w:rsidRDefault="00CA6FD6" w:rsidP="00A46A21">
      <w:pPr>
        <w:spacing w:line="276" w:lineRule="auto"/>
        <w:rPr>
          <w:rFonts w:ascii="Times New Roman" w:hAnsi="Times New Roman" w:cs="Times New Roman"/>
        </w:rPr>
      </w:pPr>
      <w:r w:rsidRPr="006A7223">
        <w:rPr>
          <w:rFonts w:ascii="Times New Roman" w:hAnsi="Times New Roman" w:cs="Times New Roman"/>
        </w:rPr>
        <w:t>The expansion ratio of the batter was determined using a graduated transparent measuring cylinder.</w:t>
      </w:r>
      <w:r w:rsidRPr="006A7223">
        <w:rPr>
          <w:rFonts w:ascii="Times New Roman" w:hAnsi="Times New Roman" w:cs="Times New Roman"/>
        </w:rPr>
        <w:br/>
        <w:t>Formula:</w:t>
      </w:r>
      <w:r w:rsidRPr="006A7223">
        <w:rPr>
          <w:rFonts w:ascii="Times New Roman" w:hAnsi="Times New Roman" w:cs="Times New Roman"/>
        </w:rPr>
        <w:br/>
        <w:t>Expansion Ratio = Initial Volume / Final Volume</w:t>
      </w:r>
    </w:p>
    <w:p w14:paraId="22F7FD8B" w14:textId="1227E640" w:rsidR="00CA6FD6" w:rsidRPr="004317FC" w:rsidRDefault="00D67892" w:rsidP="00A46A21">
      <w:pPr>
        <w:pStyle w:val="Heading2"/>
        <w:spacing w:line="276" w:lineRule="auto"/>
        <w:rPr>
          <w:rFonts w:ascii="Times New Roman" w:hAnsi="Times New Roman" w:cs="Times New Roman"/>
          <w:color w:val="auto"/>
          <w:sz w:val="24"/>
          <w:szCs w:val="24"/>
        </w:rPr>
      </w:pPr>
      <w:r>
        <w:rPr>
          <w:rFonts w:ascii="Times New Roman" w:hAnsi="Times New Roman" w:cs="Times New Roman"/>
          <w:b/>
          <w:color w:val="auto"/>
          <w:sz w:val="24"/>
          <w:szCs w:val="24"/>
        </w:rPr>
        <w:t>2.6</w:t>
      </w:r>
      <w:r w:rsidR="005D72D6" w:rsidRPr="009E75DB">
        <w:rPr>
          <w:rFonts w:ascii="Times New Roman" w:hAnsi="Times New Roman" w:cs="Times New Roman"/>
          <w:b/>
          <w:color w:val="auto"/>
          <w:sz w:val="24"/>
          <w:szCs w:val="24"/>
        </w:rPr>
        <w:t>.9.6</w:t>
      </w:r>
      <w:r w:rsidR="00CA6FD6" w:rsidRPr="004317FC">
        <w:rPr>
          <w:rFonts w:ascii="Times New Roman" w:hAnsi="Times New Roman" w:cs="Times New Roman"/>
          <w:color w:val="auto"/>
          <w:sz w:val="24"/>
          <w:szCs w:val="24"/>
        </w:rPr>
        <w:t xml:space="preserve"> </w:t>
      </w:r>
      <w:r w:rsidR="00CA6FD6" w:rsidRPr="004317FC">
        <w:rPr>
          <w:rFonts w:ascii="Times New Roman" w:hAnsi="Times New Roman" w:cs="Times New Roman"/>
          <w:b/>
          <w:color w:val="auto"/>
          <w:sz w:val="24"/>
          <w:szCs w:val="24"/>
        </w:rPr>
        <w:t>Sensory Evaluation</w:t>
      </w:r>
    </w:p>
    <w:p w14:paraId="1EC6941E" w14:textId="77777777" w:rsidR="00CA6FD6" w:rsidRDefault="00CA6FD6" w:rsidP="00A46A21">
      <w:pPr>
        <w:spacing w:line="276" w:lineRule="auto"/>
        <w:rPr>
          <w:rFonts w:ascii="Times New Roman" w:hAnsi="Times New Roman" w:cs="Times New Roman"/>
        </w:rPr>
      </w:pPr>
      <w:r w:rsidRPr="006A7223">
        <w:rPr>
          <w:rFonts w:ascii="Times New Roman" w:hAnsi="Times New Roman" w:cs="Times New Roman"/>
        </w:rPr>
        <w:t>Sensory evaluation of the reconstituted idlis was conducted by a semi-trained panel of 10 members using a 9-point Hedonic scale as per Ranganna (1986). Parameters such as appearance, color, flavor, texture, taste, and overall acceptability were rated. The mean scores were used to assess consumer acceptability.</w:t>
      </w:r>
    </w:p>
    <w:p w14:paraId="765F5BA4" w14:textId="149DD48E" w:rsidR="00FF6671" w:rsidRDefault="00D67892" w:rsidP="00A46A21">
      <w:pPr>
        <w:spacing w:line="276" w:lineRule="auto"/>
        <w:rPr>
          <w:rFonts w:ascii="Times New Roman" w:hAnsi="Times New Roman" w:cs="Times New Roman"/>
        </w:rPr>
      </w:pPr>
      <w:r>
        <w:rPr>
          <w:rFonts w:ascii="Times New Roman" w:hAnsi="Times New Roman" w:cs="Times New Roman"/>
          <w:b/>
        </w:rPr>
        <w:t>2.6</w:t>
      </w:r>
      <w:r w:rsidR="00FF6671" w:rsidRPr="009E75DB">
        <w:rPr>
          <w:rFonts w:ascii="Times New Roman" w:hAnsi="Times New Roman" w:cs="Times New Roman"/>
          <w:b/>
        </w:rPr>
        <w:t>.9.7</w:t>
      </w:r>
      <w:r w:rsidR="00FF6671">
        <w:rPr>
          <w:rFonts w:ascii="Times New Roman" w:hAnsi="Times New Roman" w:cs="Times New Roman"/>
        </w:rPr>
        <w:t xml:space="preserve"> </w:t>
      </w:r>
      <w:r w:rsidR="00FF6671" w:rsidRPr="004317FC">
        <w:rPr>
          <w:rFonts w:ascii="Times New Roman" w:hAnsi="Times New Roman" w:cs="Times New Roman"/>
          <w:b/>
        </w:rPr>
        <w:t xml:space="preserve">Storage </w:t>
      </w:r>
    </w:p>
    <w:p w14:paraId="60B8FC0A" w14:textId="50692110" w:rsidR="004317FC" w:rsidRPr="004317FC" w:rsidRDefault="004317FC" w:rsidP="00A46A21">
      <w:pPr>
        <w:spacing w:line="276" w:lineRule="auto"/>
        <w:ind w:firstLine="720"/>
        <w:jc w:val="both"/>
        <w:rPr>
          <w:rFonts w:ascii="Times New Roman" w:hAnsi="Times New Roman" w:cs="Times New Roman"/>
        </w:rPr>
      </w:pPr>
      <w:r w:rsidRPr="004317FC">
        <w:rPr>
          <w:rFonts w:ascii="Times New Roman" w:hAnsi="Times New Roman" w:cs="Times New Roman"/>
        </w:rPr>
        <w:lastRenderedPageBreak/>
        <w:t>Idli pre-mix samples were stored in different packaging materials including PP, HDPE standing pouch, LDPE standing pouch, and LDPE bag. The samples packed in LDPE bags were evaluated for a storage period of up to 3 months to assess shelf life and quality stability."</w:t>
      </w:r>
    </w:p>
    <w:p w14:paraId="373BAC56" w14:textId="2D9A8609" w:rsidR="004317FC" w:rsidRPr="00FF1845" w:rsidRDefault="0061400F" w:rsidP="00A46A21">
      <w:pPr>
        <w:pStyle w:val="Default"/>
        <w:spacing w:line="276" w:lineRule="auto"/>
        <w:jc w:val="both"/>
        <w:rPr>
          <w:b/>
        </w:rPr>
      </w:pPr>
      <w:r>
        <w:rPr>
          <w:b/>
        </w:rPr>
        <w:t>2.6</w:t>
      </w:r>
      <w:r w:rsidR="004317FC">
        <w:rPr>
          <w:b/>
        </w:rPr>
        <w:t xml:space="preserve">.9.8 </w:t>
      </w:r>
      <w:r w:rsidR="004317FC" w:rsidRPr="00FF1845">
        <w:rPr>
          <w:b/>
        </w:rPr>
        <w:t>Statistical analysis</w:t>
      </w:r>
    </w:p>
    <w:p w14:paraId="6ECFDC19" w14:textId="1C14D07A" w:rsidR="004317FC" w:rsidRPr="0061400F" w:rsidRDefault="004317FC" w:rsidP="0061400F">
      <w:pPr>
        <w:pStyle w:val="Default"/>
        <w:spacing w:line="276" w:lineRule="auto"/>
        <w:ind w:firstLine="720"/>
        <w:jc w:val="both"/>
        <w:rPr>
          <w:color w:val="auto"/>
        </w:rPr>
      </w:pPr>
      <w:r w:rsidRPr="00FF1845">
        <w:t>The analysis of variance of the data obtained was done by using Completely Randomized Design (CRD) for different treatments as per the method given by (</w:t>
      </w:r>
      <w:proofErr w:type="spellStart"/>
      <w:r w:rsidRPr="00FF1845">
        <w:t>Panse</w:t>
      </w:r>
      <w:proofErr w:type="spellEnd"/>
      <w:r w:rsidRPr="00FF1845">
        <w:t xml:space="preserve"> &amp; </w:t>
      </w:r>
      <w:proofErr w:type="spellStart"/>
      <w:r w:rsidRPr="00FF1845">
        <w:t>Sukhatme</w:t>
      </w:r>
      <w:proofErr w:type="spellEnd"/>
      <w:r w:rsidRPr="00FF1845">
        <w:t xml:space="preserve">, 1985). The analysis of </w:t>
      </w:r>
      <w:proofErr w:type="spellStart"/>
      <w:r w:rsidRPr="00FF1845">
        <w:t>varience</w:t>
      </w:r>
      <w:proofErr w:type="spellEnd"/>
      <w:r w:rsidRPr="00FF1845">
        <w:t xml:space="preserve"> revealed at significance of P ≤0.05 level, S.E. and C.D. at 5 % level is mentioned wherever required.</w:t>
      </w:r>
    </w:p>
    <w:p w14:paraId="361613F7" w14:textId="565F50B9" w:rsidR="001849AC" w:rsidRPr="00483970" w:rsidRDefault="0089351A" w:rsidP="00A46A21">
      <w:pPr>
        <w:spacing w:line="276" w:lineRule="auto"/>
        <w:rPr>
          <w:rFonts w:ascii="Times New Roman" w:hAnsi="Times New Roman" w:cs="Times New Roman"/>
          <w:b/>
        </w:rPr>
      </w:pPr>
      <w:r w:rsidRPr="00483970">
        <w:rPr>
          <w:rFonts w:ascii="Times New Roman" w:hAnsi="Times New Roman" w:cs="Times New Roman"/>
          <w:b/>
        </w:rPr>
        <w:t>3. Result</w:t>
      </w:r>
      <w:r w:rsidR="001849AC" w:rsidRPr="00483970">
        <w:rPr>
          <w:rFonts w:ascii="Times New Roman" w:hAnsi="Times New Roman" w:cs="Times New Roman"/>
          <w:b/>
        </w:rPr>
        <w:t xml:space="preserve"> and Discussion </w:t>
      </w:r>
    </w:p>
    <w:p w14:paraId="75E6D4BB" w14:textId="4DB4BEC3" w:rsidR="00FF6671" w:rsidRPr="00FF6671" w:rsidRDefault="00483970" w:rsidP="00A46A21">
      <w:pPr>
        <w:spacing w:line="276" w:lineRule="auto"/>
        <w:jc w:val="both"/>
        <w:rPr>
          <w:rFonts w:ascii="Times New Roman" w:eastAsiaTheme="minorHAnsi" w:hAnsi="Times New Roman" w:cs="Times New Roman"/>
          <w:b/>
        </w:rPr>
      </w:pPr>
      <w:r>
        <w:rPr>
          <w:rFonts w:ascii="Times New Roman" w:eastAsiaTheme="minorHAnsi" w:hAnsi="Times New Roman" w:cs="Times New Roman"/>
          <w:b/>
        </w:rPr>
        <w:t xml:space="preserve">3.1 </w:t>
      </w:r>
      <w:r w:rsidR="00FF6671" w:rsidRPr="00FF6671">
        <w:rPr>
          <w:rFonts w:ascii="Times New Roman" w:eastAsiaTheme="minorHAnsi" w:hAnsi="Times New Roman" w:cs="Times New Roman"/>
          <w:b/>
        </w:rPr>
        <w:t>Nutritional Composition of Instant Idli Mix Powder</w:t>
      </w:r>
    </w:p>
    <w:p w14:paraId="337C03C5" w14:textId="2EB91364" w:rsidR="00FF6671" w:rsidRPr="009E75DB" w:rsidRDefault="00AF7F14" w:rsidP="00A46A21">
      <w:pPr>
        <w:spacing w:line="276" w:lineRule="auto"/>
        <w:jc w:val="both"/>
        <w:rPr>
          <w:rFonts w:ascii="Times New Roman" w:hAnsi="Times New Roman" w:cs="Times New Roman"/>
          <w:b/>
        </w:rPr>
      </w:pPr>
      <w:r>
        <w:rPr>
          <w:rFonts w:ascii="Times New Roman" w:hAnsi="Times New Roman" w:cs="Times New Roman"/>
        </w:rPr>
        <w:t xml:space="preserve">3.1.1 </w:t>
      </w:r>
      <w:r w:rsidRPr="009E75DB">
        <w:rPr>
          <w:rFonts w:ascii="Times New Roman" w:hAnsi="Times New Roman" w:cs="Times New Roman"/>
          <w:b/>
        </w:rPr>
        <w:t>Moisture</w:t>
      </w:r>
      <w:r w:rsidR="00FF6671" w:rsidRPr="009E75DB">
        <w:rPr>
          <w:rFonts w:ascii="Times New Roman" w:hAnsi="Times New Roman" w:cs="Times New Roman"/>
          <w:b/>
        </w:rPr>
        <w:t xml:space="preserve"> Content</w:t>
      </w:r>
    </w:p>
    <w:p w14:paraId="0383F588" w14:textId="6FDA4505" w:rsidR="002A00E3" w:rsidRPr="002A00E3" w:rsidRDefault="002A00E3" w:rsidP="009E75DB">
      <w:pPr>
        <w:spacing w:line="276" w:lineRule="auto"/>
        <w:ind w:firstLine="720"/>
        <w:jc w:val="both"/>
        <w:rPr>
          <w:rFonts w:ascii="Times New Roman" w:hAnsi="Times New Roman" w:cs="Times New Roman"/>
        </w:rPr>
      </w:pPr>
      <w:r w:rsidRPr="002A00E3">
        <w:rPr>
          <w:rFonts w:ascii="Times New Roman" w:hAnsi="Times New Roman" w:cs="Times New Roman"/>
        </w:rPr>
        <w:t>Moisture content of all idli premix flour samples was calcula</w:t>
      </w:r>
      <w:r w:rsidR="00325F4C">
        <w:rPr>
          <w:rFonts w:ascii="Times New Roman" w:hAnsi="Times New Roman" w:cs="Times New Roman"/>
        </w:rPr>
        <w:t>ted and is presented in Figure 1</w:t>
      </w:r>
      <w:r w:rsidRPr="002A00E3">
        <w:rPr>
          <w:rFonts w:ascii="Times New Roman" w:hAnsi="Times New Roman" w:cs="Times New Roman"/>
        </w:rPr>
        <w:t>. Moisture ranged from 7.11% to 8.92% (g/100 g), with the lowest value observed in treatment T1 (7.11%) and the highest in the control treatment T6 (8.92%). Among the treated samples, T5 showed the highest moisture content (8.87%), which increased with higher levels of finger millet and lower levels of rice. ANOVA revealed significant differences (p &lt; 0.05) among the treatments. The coefficient of variation (C.V.) was 0.017%, and the critical difference (C.D.) was 0.014%.</w:t>
      </w:r>
    </w:p>
    <w:p w14:paraId="68BD62F8" w14:textId="1D97EA14"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3.1.2 </w:t>
      </w:r>
      <w:r w:rsidR="00FF6671" w:rsidRPr="00FF6671">
        <w:rPr>
          <w:rFonts w:ascii="Times New Roman" w:hAnsi="Times New Roman" w:cs="Times New Roman"/>
          <w:b/>
        </w:rPr>
        <w:t>Protein Content</w:t>
      </w:r>
    </w:p>
    <w:p w14:paraId="395A24F4" w14:textId="5AA633B3" w:rsidR="002A00E3" w:rsidRPr="002A00E3" w:rsidRDefault="002A00E3" w:rsidP="002A00E3">
      <w:pPr>
        <w:spacing w:line="276" w:lineRule="auto"/>
        <w:ind w:firstLine="720"/>
        <w:jc w:val="both"/>
        <w:rPr>
          <w:rFonts w:ascii="Times New Roman" w:hAnsi="Times New Roman" w:cs="Times New Roman"/>
        </w:rPr>
      </w:pPr>
      <w:r w:rsidRPr="002A00E3">
        <w:rPr>
          <w:rFonts w:ascii="Times New Roman" w:hAnsi="Times New Roman" w:cs="Times New Roman"/>
        </w:rPr>
        <w:t xml:space="preserve">Protein content of the developed idli premix flour samples was recorded. Protein content ranged from 11.38 to 29.75 g/100 g, with the highest value observed in treatment T5 (29.75 g/100 g) and the lowest in the control treatment T6 (11.38 g/100 g). Protein content progressively increased with higher levels of finger millet and lower levels of rice from T1 to T5. ANOVA showed significant differences (p &lt; 0.05) among the treatments. The coefficient of variation (C.V.) was 0.008%, and the critical difference (C.D.) </w:t>
      </w:r>
      <w:r w:rsidR="00325F4C">
        <w:rPr>
          <w:rFonts w:ascii="Times New Roman" w:hAnsi="Times New Roman" w:cs="Times New Roman"/>
        </w:rPr>
        <w:t>was 0.019%, as shown in Figure 2</w:t>
      </w:r>
      <w:r w:rsidRPr="002A00E3">
        <w:rPr>
          <w:rFonts w:ascii="Times New Roman" w:hAnsi="Times New Roman" w:cs="Times New Roman"/>
        </w:rPr>
        <w:t>.</w:t>
      </w:r>
    </w:p>
    <w:p w14:paraId="13A261F7" w14:textId="52CFC51E"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3.1.3 </w:t>
      </w:r>
      <w:r w:rsidR="00FF6671" w:rsidRPr="00FF6671">
        <w:rPr>
          <w:rFonts w:ascii="Times New Roman" w:hAnsi="Times New Roman" w:cs="Times New Roman"/>
          <w:b/>
        </w:rPr>
        <w:t>Fat Content</w:t>
      </w:r>
    </w:p>
    <w:p w14:paraId="28300FB0" w14:textId="6C21F44E" w:rsidR="002D3F18" w:rsidRPr="002D3F18" w:rsidRDefault="002D3F18" w:rsidP="002A00E3">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fat content of the idli premix flour was determined and ranged from 0.88 g/100 g to 1.22 g/100 g. Treatment T5 had the highest fat content (1.22 g/100 g), while the control treatment (T6) had the lowest value (0.88 g/100 g). A gradual increase in fat content was observed as the proportion of finger millet increased and the rice content </w:t>
      </w:r>
      <w:proofErr w:type="spellStart"/>
      <w:r w:rsidRPr="002D3F18">
        <w:rPr>
          <w:rFonts w:ascii="Times New Roman" w:eastAsia="Times New Roman" w:hAnsi="Times New Roman" w:cs="Times New Roman"/>
          <w:kern w:val="0"/>
          <w:lang w:eastAsia="en-IN"/>
          <w14:ligatures w14:val="none"/>
        </w:rPr>
        <w:t>decreased.From</w:t>
      </w:r>
      <w:proofErr w:type="spellEnd"/>
      <w:r w:rsidRPr="002D3F18">
        <w:rPr>
          <w:rFonts w:ascii="Times New Roman" w:eastAsia="Times New Roman" w:hAnsi="Times New Roman" w:cs="Times New Roman"/>
          <w:kern w:val="0"/>
          <w:lang w:eastAsia="en-IN"/>
          <w14:ligatures w14:val="none"/>
        </w:rPr>
        <w:t xml:space="preserve"> the ANOVA analysis, the differences in fat content across treatments were statistically significant at the 5% level. The coefficient of variation was 0.128%, indicating minor variability. The critical difference was calculated</w:t>
      </w:r>
      <w:r w:rsidR="00325F4C">
        <w:rPr>
          <w:rFonts w:ascii="Times New Roman" w:eastAsia="Times New Roman" w:hAnsi="Times New Roman" w:cs="Times New Roman"/>
          <w:kern w:val="0"/>
          <w:lang w:eastAsia="en-IN"/>
          <w14:ligatures w14:val="none"/>
        </w:rPr>
        <w:t xml:space="preserve"> as 0.014%, as shown in Figure 3</w:t>
      </w:r>
      <w:r w:rsidRPr="002D3F18">
        <w:rPr>
          <w:rFonts w:ascii="Times New Roman" w:eastAsia="Times New Roman" w:hAnsi="Times New Roman" w:cs="Times New Roman"/>
          <w:kern w:val="0"/>
          <w:lang w:eastAsia="en-IN"/>
          <w14:ligatures w14:val="none"/>
        </w:rPr>
        <w:t>.</w:t>
      </w:r>
    </w:p>
    <w:p w14:paraId="2361C756" w14:textId="4DDE9B9E"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3.1.4 </w:t>
      </w:r>
      <w:r w:rsidR="00FF6671" w:rsidRPr="00FF6671">
        <w:rPr>
          <w:rFonts w:ascii="Times New Roman" w:hAnsi="Times New Roman" w:cs="Times New Roman"/>
          <w:b/>
        </w:rPr>
        <w:t>Carbohydrate Content</w:t>
      </w:r>
    </w:p>
    <w:p w14:paraId="30511675" w14:textId="405BD2DE" w:rsidR="002D3F18" w:rsidRPr="002D3F18" w:rsidRDefault="002D3F18" w:rsidP="002D3F18">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carbohydrate content of the idli premix flour samples ranged from 45.96 g/100 g to 73.62 g/100 g. The highest value was recorded for the control treatment T6 (73.62 g/100 g), while </w:t>
      </w:r>
      <w:r w:rsidRPr="002D3F18">
        <w:rPr>
          <w:rFonts w:ascii="Times New Roman" w:eastAsia="Times New Roman" w:hAnsi="Times New Roman" w:cs="Times New Roman"/>
          <w:kern w:val="0"/>
          <w:lang w:eastAsia="en-IN"/>
          <w14:ligatures w14:val="none"/>
        </w:rPr>
        <w:lastRenderedPageBreak/>
        <w:t xml:space="preserve">the lowest was found in treatment T5 (45.96 g/100 g). A gradual decline in carbohydrate content was observed from T1 to T5, corresponding to the increasing substitution of finger millet for </w:t>
      </w:r>
      <w:proofErr w:type="spellStart"/>
      <w:r w:rsidRPr="002D3F18">
        <w:rPr>
          <w:rFonts w:ascii="Times New Roman" w:eastAsia="Times New Roman" w:hAnsi="Times New Roman" w:cs="Times New Roman"/>
          <w:kern w:val="0"/>
          <w:lang w:eastAsia="en-IN"/>
          <w14:ligatures w14:val="none"/>
        </w:rPr>
        <w:t>rice.According</w:t>
      </w:r>
      <w:proofErr w:type="spellEnd"/>
      <w:r w:rsidRPr="002D3F18">
        <w:rPr>
          <w:rFonts w:ascii="Times New Roman" w:eastAsia="Times New Roman" w:hAnsi="Times New Roman" w:cs="Times New Roman"/>
          <w:kern w:val="0"/>
          <w:lang w:eastAsia="en-IN"/>
          <w14:ligatures w14:val="none"/>
        </w:rPr>
        <w:t xml:space="preserve"> to the ANOVA, carbohydrate content was significantly affected by treatment at the 5% significance level. The coefficient of variation was 0.005%, indicating very low variation. The critical difference was calculated as 0.030%, as present</w:t>
      </w:r>
      <w:r w:rsidR="00325F4C">
        <w:rPr>
          <w:rFonts w:ascii="Times New Roman" w:eastAsia="Times New Roman" w:hAnsi="Times New Roman" w:cs="Times New Roman"/>
          <w:kern w:val="0"/>
          <w:lang w:eastAsia="en-IN"/>
          <w14:ligatures w14:val="none"/>
        </w:rPr>
        <w:t>ed in Figure 4</w:t>
      </w:r>
      <w:r w:rsidRPr="002D3F18">
        <w:rPr>
          <w:rFonts w:ascii="Times New Roman" w:eastAsia="Times New Roman" w:hAnsi="Times New Roman" w:cs="Times New Roman"/>
          <w:kern w:val="0"/>
          <w:lang w:eastAsia="en-IN"/>
          <w14:ligatures w14:val="none"/>
        </w:rPr>
        <w:t>.</w:t>
      </w:r>
    </w:p>
    <w:p w14:paraId="3BD62A62" w14:textId="06F7CDB3"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3.1.5 </w:t>
      </w:r>
      <w:r w:rsidR="00FF6671" w:rsidRPr="00FF6671">
        <w:rPr>
          <w:rFonts w:ascii="Times New Roman" w:hAnsi="Times New Roman" w:cs="Times New Roman"/>
          <w:b/>
        </w:rPr>
        <w:t>Crude Fibre Content</w:t>
      </w:r>
    </w:p>
    <w:p w14:paraId="0120C77B" w14:textId="36E3A4B0" w:rsidR="002D3F18" w:rsidRPr="002D3F18" w:rsidRDefault="002D3F18" w:rsidP="00B028DC">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crude fibre ranged from 4.70 g/100 g to 12.48 g/100 g. The highest value was found in treatment T5 (12.48 g/100 g), while the lowest was observed in the control treatment T6 (4.70 g/100 g). The fibre content increased with the rising percentage of finger millet, which is known to be rich in dietary </w:t>
      </w:r>
      <w:proofErr w:type="spellStart"/>
      <w:r w:rsidRPr="002D3F18">
        <w:rPr>
          <w:rFonts w:ascii="Times New Roman" w:eastAsia="Times New Roman" w:hAnsi="Times New Roman" w:cs="Times New Roman"/>
          <w:kern w:val="0"/>
          <w:lang w:eastAsia="en-IN"/>
          <w14:ligatures w14:val="none"/>
        </w:rPr>
        <w:t>fibre.From</w:t>
      </w:r>
      <w:proofErr w:type="spellEnd"/>
      <w:r w:rsidRPr="002D3F18">
        <w:rPr>
          <w:rFonts w:ascii="Times New Roman" w:eastAsia="Times New Roman" w:hAnsi="Times New Roman" w:cs="Times New Roman"/>
          <w:kern w:val="0"/>
          <w:lang w:eastAsia="en-IN"/>
          <w14:ligatures w14:val="none"/>
        </w:rPr>
        <w:t xml:space="preserve"> the ANOVA, it was observed that the effect of treatments on crude fibre content was significant at the 5% level. The coefficient of variation was 0.017%, indicating consistent results. The critical difference was recorded</w:t>
      </w:r>
      <w:r w:rsidR="00325F4C">
        <w:rPr>
          <w:rFonts w:ascii="Times New Roman" w:eastAsia="Times New Roman" w:hAnsi="Times New Roman" w:cs="Times New Roman"/>
          <w:kern w:val="0"/>
          <w:lang w:eastAsia="en-IN"/>
          <w14:ligatures w14:val="none"/>
        </w:rPr>
        <w:t xml:space="preserve"> as 0.016%, as shown in Figure 5</w:t>
      </w:r>
      <w:r w:rsidRPr="002D3F18">
        <w:rPr>
          <w:rFonts w:ascii="Times New Roman" w:eastAsia="Times New Roman" w:hAnsi="Times New Roman" w:cs="Times New Roman"/>
          <w:kern w:val="0"/>
          <w:lang w:eastAsia="en-IN"/>
          <w14:ligatures w14:val="none"/>
        </w:rPr>
        <w:t>.</w:t>
      </w:r>
    </w:p>
    <w:p w14:paraId="71DC6D73" w14:textId="78A55B40" w:rsidR="00FF6671" w:rsidRPr="00FF6671" w:rsidRDefault="00437188" w:rsidP="00A46A21">
      <w:pPr>
        <w:spacing w:line="276" w:lineRule="auto"/>
        <w:jc w:val="both"/>
        <w:rPr>
          <w:rFonts w:ascii="Times New Roman" w:hAnsi="Times New Roman" w:cs="Times New Roman"/>
          <w:b/>
        </w:rPr>
      </w:pPr>
      <w:r>
        <w:rPr>
          <w:rFonts w:ascii="Times New Roman" w:hAnsi="Times New Roman" w:cs="Times New Roman"/>
          <w:b/>
        </w:rPr>
        <w:t xml:space="preserve">3.1.6 </w:t>
      </w:r>
      <w:r w:rsidR="00FF6671" w:rsidRPr="00FF6671">
        <w:rPr>
          <w:rFonts w:ascii="Times New Roman" w:hAnsi="Times New Roman" w:cs="Times New Roman"/>
          <w:b/>
        </w:rPr>
        <w:t>Ash Content</w:t>
      </w:r>
    </w:p>
    <w:p w14:paraId="3F4B18E1" w14:textId="72CBC1A4" w:rsidR="002D3F18" w:rsidRPr="002D3F18" w:rsidRDefault="002D3F18" w:rsidP="002D3F18">
      <w:pPr>
        <w:spacing w:before="100" w:beforeAutospacing="1" w:after="100" w:afterAutospacing="1" w:line="240"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Ash content in the idli premix flour samples was determined.</w:t>
      </w:r>
      <w:r w:rsidR="00B028DC">
        <w:rPr>
          <w:rFonts w:ascii="Times New Roman" w:eastAsia="Times New Roman" w:hAnsi="Times New Roman" w:cs="Times New Roman"/>
          <w:kern w:val="0"/>
          <w:lang w:eastAsia="en-IN"/>
          <w14:ligatures w14:val="none"/>
        </w:rPr>
        <w:t xml:space="preserve"> </w:t>
      </w:r>
      <w:proofErr w:type="gramStart"/>
      <w:r w:rsidR="00B028DC">
        <w:rPr>
          <w:rFonts w:ascii="Times New Roman" w:eastAsia="Times New Roman" w:hAnsi="Times New Roman" w:cs="Times New Roman"/>
          <w:kern w:val="0"/>
          <w:lang w:eastAsia="en-IN"/>
          <w14:ligatures w14:val="none"/>
        </w:rPr>
        <w:t>the</w:t>
      </w:r>
      <w:proofErr w:type="gramEnd"/>
      <w:r w:rsidR="00B028DC">
        <w:rPr>
          <w:rFonts w:ascii="Times New Roman" w:eastAsia="Times New Roman" w:hAnsi="Times New Roman" w:cs="Times New Roman"/>
          <w:kern w:val="0"/>
          <w:lang w:eastAsia="en-IN"/>
          <w14:ligatures w14:val="none"/>
        </w:rPr>
        <w:t xml:space="preserve"> A</w:t>
      </w:r>
      <w:r w:rsidRPr="002D3F18">
        <w:rPr>
          <w:rFonts w:ascii="Times New Roman" w:eastAsia="Times New Roman" w:hAnsi="Times New Roman" w:cs="Times New Roman"/>
          <w:kern w:val="0"/>
          <w:lang w:eastAsia="en-IN"/>
          <w14:ligatures w14:val="none"/>
        </w:rPr>
        <w:t>sh content ranged from 0.40 g/100 g to 1.72 g/100 g. The highest ash content was recorded in T5 (1.72 g/100 g), while the lowest was in T1 (0.40 g/100 g). The control treatment, T6, had a moderate ash content of 0.50 g/100 g. Ash content showed an increasing trend with higher levels of finger millet substitution.</w:t>
      </w:r>
    </w:p>
    <w:p w14:paraId="3F064382" w14:textId="18A18B70" w:rsidR="002D3F18" w:rsidRPr="002D3F18" w:rsidRDefault="002D3F18" w:rsidP="002D3F18">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As per the analysis, the ash content was significantly affected by treatment differences at the 5% level of significance. The coefficient of variation was 0.169%, and the critical difference was observed to</w:t>
      </w:r>
      <w:r w:rsidR="00325F4C">
        <w:rPr>
          <w:rFonts w:ascii="Times New Roman" w:eastAsia="Times New Roman" w:hAnsi="Times New Roman" w:cs="Times New Roman"/>
          <w:kern w:val="0"/>
          <w:lang w:eastAsia="en-IN"/>
          <w14:ligatures w14:val="none"/>
        </w:rPr>
        <w:t xml:space="preserve"> be 0.014%, as shown in Figure 6</w:t>
      </w:r>
      <w:r w:rsidRPr="002D3F18">
        <w:rPr>
          <w:rFonts w:ascii="Times New Roman" w:eastAsia="Times New Roman" w:hAnsi="Times New Roman" w:cs="Times New Roman"/>
          <w:kern w:val="0"/>
          <w:lang w:eastAsia="en-IN"/>
          <w14:ligatures w14:val="none"/>
        </w:rPr>
        <w:t>.</w:t>
      </w:r>
    </w:p>
    <w:p w14:paraId="30EEA504" w14:textId="6687DA07" w:rsidR="00FF6671" w:rsidRPr="00FF6671" w:rsidRDefault="00437188" w:rsidP="00A46A21">
      <w:pPr>
        <w:spacing w:before="100" w:beforeAutospacing="1" w:after="100" w:afterAutospacing="1" w:line="276" w:lineRule="auto"/>
        <w:jc w:val="both"/>
        <w:rPr>
          <w:rFonts w:ascii="Times New Roman" w:hAnsi="Times New Roman" w:cs="Times New Roman"/>
          <w:b/>
          <w:bCs/>
        </w:rPr>
      </w:pPr>
      <w:r>
        <w:rPr>
          <w:rFonts w:ascii="Times New Roman" w:hAnsi="Times New Roman" w:cs="Times New Roman"/>
          <w:b/>
          <w:bCs/>
        </w:rPr>
        <w:t xml:space="preserve">3.1.7 </w:t>
      </w:r>
      <w:proofErr w:type="spellStart"/>
      <w:r w:rsidR="00FF6671" w:rsidRPr="00FF6671">
        <w:rPr>
          <w:rFonts w:ascii="Times New Roman" w:hAnsi="Times New Roman" w:cs="Times New Roman"/>
          <w:b/>
          <w:bCs/>
        </w:rPr>
        <w:t>Engergy</w:t>
      </w:r>
      <w:proofErr w:type="spellEnd"/>
      <w:r w:rsidR="00FF6671" w:rsidRPr="00FF6671">
        <w:rPr>
          <w:rFonts w:ascii="Times New Roman" w:hAnsi="Times New Roman" w:cs="Times New Roman"/>
          <w:b/>
          <w:bCs/>
        </w:rPr>
        <w:t xml:space="preserve"> Content </w:t>
      </w:r>
    </w:p>
    <w:p w14:paraId="22E0BACE" w14:textId="17437B33" w:rsidR="002D3F18" w:rsidRPr="002D3F18" w:rsidRDefault="002D3F18" w:rsidP="002D3F18">
      <w:pPr>
        <w:spacing w:line="276" w:lineRule="auto"/>
        <w:ind w:firstLine="720"/>
        <w:jc w:val="both"/>
        <w:rPr>
          <w:rFonts w:ascii="Times New Roman" w:hAnsi="Times New Roman" w:cs="Times New Roman"/>
        </w:rPr>
      </w:pPr>
      <w:r w:rsidRPr="002D3F18">
        <w:rPr>
          <w:rFonts w:ascii="Times New Roman" w:hAnsi="Times New Roman" w:cs="Times New Roman"/>
        </w:rPr>
        <w:t>The energy content of the developed idli premix treatments was calculated using the formula described in the previous section. It was observed that the energy content of the premix samples ranged from 313.82 to 347.92 kcal/100 g. Treatment T6 (Control) exhibited the highest energy value of 347.92 kcal/100 g, followed by T1 with 344.22 kcal/100 g. The lowest energy content was recorded for treatment T5 (313.82 kcal/100 g). The decrease in energy content from T1 to T5 can be attributed to the gradual reduction in carbohydrate and fat contents, along with an increase in crude fiber, corresponding to the increasing levels of finger millet substitution</w:t>
      </w:r>
    </w:p>
    <w:p w14:paraId="2EC664C6" w14:textId="226B2357" w:rsidR="00B77311" w:rsidRPr="00FF6671" w:rsidRDefault="00B77311" w:rsidP="00B77311">
      <w:pPr>
        <w:spacing w:line="276" w:lineRule="auto"/>
        <w:jc w:val="both"/>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02F10615" wp14:editId="738300BC">
            <wp:extent cx="5181600" cy="3489960"/>
            <wp:effectExtent l="0" t="0" r="0" b="1524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54665-CECA-434F-8D57-32FDB49C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14DD12" w14:textId="53306258"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1</w:t>
      </w:r>
      <w:r w:rsidR="00B77311" w:rsidRPr="00FF6671">
        <w:rPr>
          <w:rFonts w:ascii="Times New Roman" w:hAnsi="Times New Roman" w:cs="Times New Roman"/>
          <w:b/>
          <w:bCs/>
        </w:rPr>
        <w:t xml:space="preserve"> Moisture content values of developed Idli pre mix</w:t>
      </w:r>
    </w:p>
    <w:p w14:paraId="1771A68D" w14:textId="77777777" w:rsidR="00B77311" w:rsidRDefault="00B77311" w:rsidP="00B77311">
      <w:r w:rsidRPr="00FF6671">
        <w:rPr>
          <w:rFonts w:ascii="Times New Roman" w:hAnsi="Times New Roman" w:cs="Times New Roman"/>
          <w:noProof/>
          <w:lang w:eastAsia="en-IN"/>
        </w:rPr>
        <w:drawing>
          <wp:inline distT="0" distB="0" distL="0" distR="0" wp14:anchorId="03C0137B" wp14:editId="20A2164B">
            <wp:extent cx="5181600" cy="3489960"/>
            <wp:effectExtent l="0" t="0" r="0" b="1524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54665-CECA-434F-8D57-32FDB49C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0F2CBC" w14:textId="1C4C6996"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2</w:t>
      </w:r>
      <w:r w:rsidR="00B77311" w:rsidRPr="00FF6671">
        <w:rPr>
          <w:rFonts w:ascii="Times New Roman" w:hAnsi="Times New Roman" w:cs="Times New Roman"/>
          <w:b/>
          <w:bCs/>
        </w:rPr>
        <w:t xml:space="preserve"> Protein content values of developed Idli pre mix</w:t>
      </w:r>
    </w:p>
    <w:p w14:paraId="27342D5F"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7FA64E30" wp14:editId="2A1272F6">
            <wp:extent cx="5076825" cy="2937510"/>
            <wp:effectExtent l="0" t="0" r="9525" b="15240"/>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DE79AD-7478-4E4C-A3FE-A5671D262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BD5FC5" w14:textId="6C8A9FB7"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3</w:t>
      </w:r>
      <w:r w:rsidR="000009A3">
        <w:rPr>
          <w:rFonts w:ascii="Times New Roman" w:hAnsi="Times New Roman" w:cs="Times New Roman"/>
          <w:b/>
          <w:bCs/>
        </w:rPr>
        <w:t xml:space="preserve"> </w:t>
      </w:r>
      <w:r w:rsidR="00B77311" w:rsidRPr="00FF6671">
        <w:rPr>
          <w:rFonts w:ascii="Times New Roman" w:hAnsi="Times New Roman" w:cs="Times New Roman"/>
          <w:b/>
          <w:bCs/>
        </w:rPr>
        <w:t>Fat content values of developed Idli pre mix</w:t>
      </w:r>
    </w:p>
    <w:p w14:paraId="570FBC44"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drawing>
          <wp:inline distT="0" distB="0" distL="0" distR="0" wp14:anchorId="20D11405" wp14:editId="0FF9D6B1">
            <wp:extent cx="5334000" cy="2910840"/>
            <wp:effectExtent l="0" t="0" r="0" b="381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A5135-9396-476E-872B-2A2BA1B19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B66348" w14:textId="18A741D7"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4</w:t>
      </w:r>
      <w:r w:rsidR="00B77311" w:rsidRPr="00FF6671">
        <w:rPr>
          <w:rFonts w:ascii="Times New Roman" w:hAnsi="Times New Roman" w:cs="Times New Roman"/>
          <w:b/>
          <w:bCs/>
        </w:rPr>
        <w:t xml:space="preserve"> Carbohydrate content values of developed Idli pre mix</w:t>
      </w:r>
    </w:p>
    <w:p w14:paraId="1D0B8E2F" w14:textId="77777777" w:rsidR="00B77311" w:rsidRPr="00FF6671" w:rsidRDefault="00B77311" w:rsidP="00B77311">
      <w:pPr>
        <w:spacing w:line="276" w:lineRule="auto"/>
        <w:jc w:val="center"/>
        <w:rPr>
          <w:rFonts w:ascii="Times New Roman" w:hAnsi="Times New Roman" w:cs="Times New Roman"/>
        </w:rPr>
      </w:pPr>
      <w:r w:rsidRPr="00FF6671">
        <w:rPr>
          <w:rFonts w:ascii="Times New Roman" w:hAnsi="Times New Roman" w:cs="Times New Roman"/>
          <w:noProof/>
          <w:lang w:eastAsia="en-IN"/>
        </w:rPr>
        <w:lastRenderedPageBreak/>
        <w:drawing>
          <wp:inline distT="0" distB="0" distL="0" distR="0" wp14:anchorId="7EADF3BA" wp14:editId="726C25F2">
            <wp:extent cx="5295900" cy="3013710"/>
            <wp:effectExtent l="0" t="0" r="0" b="15240"/>
            <wp:docPr id="17" name="Chart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3A9B04-FEDC-45B3-A068-A0A3EE7A6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5A706C" w14:textId="4F80EDB7"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Fig. 5</w:t>
      </w:r>
      <w:r w:rsidR="00B77311" w:rsidRPr="00FF6671">
        <w:rPr>
          <w:rFonts w:ascii="Times New Roman" w:hAnsi="Times New Roman" w:cs="Times New Roman"/>
          <w:b/>
          <w:bCs/>
        </w:rPr>
        <w:t xml:space="preserve"> Crude Fiber content values of developed Idli pre mix</w:t>
      </w:r>
    </w:p>
    <w:p w14:paraId="78B1E7E8" w14:textId="0C2A8EE8" w:rsidR="00B77311" w:rsidRPr="00FF6671" w:rsidRDefault="00B77311" w:rsidP="00AD579C">
      <w:pPr>
        <w:spacing w:line="276" w:lineRule="auto"/>
        <w:jc w:val="center"/>
        <w:rPr>
          <w:rFonts w:ascii="Times New Roman" w:hAnsi="Times New Roman" w:cs="Times New Roman"/>
        </w:rPr>
      </w:pPr>
      <w:r w:rsidRPr="00FF6671">
        <w:rPr>
          <w:rFonts w:ascii="Times New Roman" w:hAnsi="Times New Roman" w:cs="Times New Roman"/>
          <w:noProof/>
          <w:lang w:eastAsia="en-IN"/>
        </w:rPr>
        <w:drawing>
          <wp:inline distT="0" distB="0" distL="0" distR="0" wp14:anchorId="39F8AD06" wp14:editId="14129F9E">
            <wp:extent cx="5505450" cy="2960370"/>
            <wp:effectExtent l="0" t="0" r="0" b="11430"/>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95D757-F399-46F6-8F49-83F2E2C3B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1A95C8" w14:textId="03855952" w:rsidR="00B77311" w:rsidRPr="00FF6671" w:rsidRDefault="00325F4C" w:rsidP="00B77311">
      <w:pPr>
        <w:spacing w:line="276" w:lineRule="auto"/>
        <w:jc w:val="center"/>
        <w:rPr>
          <w:rFonts w:ascii="Times New Roman" w:hAnsi="Times New Roman" w:cs="Times New Roman"/>
        </w:rPr>
      </w:pPr>
      <w:r>
        <w:rPr>
          <w:rFonts w:ascii="Times New Roman" w:hAnsi="Times New Roman" w:cs="Times New Roman"/>
          <w:b/>
          <w:bCs/>
        </w:rPr>
        <w:t xml:space="preserve">Fig. </w:t>
      </w:r>
      <w:proofErr w:type="gramStart"/>
      <w:r>
        <w:rPr>
          <w:rFonts w:ascii="Times New Roman" w:hAnsi="Times New Roman" w:cs="Times New Roman"/>
          <w:b/>
          <w:bCs/>
        </w:rPr>
        <w:t>6</w:t>
      </w:r>
      <w:r w:rsidR="00B77311" w:rsidRPr="00FF6671">
        <w:rPr>
          <w:rFonts w:ascii="Times New Roman" w:hAnsi="Times New Roman" w:cs="Times New Roman"/>
          <w:b/>
          <w:bCs/>
        </w:rPr>
        <w:t xml:space="preserve">  Ash</w:t>
      </w:r>
      <w:proofErr w:type="gramEnd"/>
      <w:r w:rsidR="00B77311" w:rsidRPr="00FF6671">
        <w:rPr>
          <w:rFonts w:ascii="Times New Roman" w:hAnsi="Times New Roman" w:cs="Times New Roman"/>
          <w:b/>
          <w:bCs/>
        </w:rPr>
        <w:t xml:space="preserve">  content values of developed Idli pre mix</w:t>
      </w:r>
    </w:p>
    <w:p w14:paraId="7D2E5950" w14:textId="5309DF54" w:rsidR="00CA6FD6" w:rsidRPr="00483970" w:rsidRDefault="00483970" w:rsidP="00A46A21">
      <w:pPr>
        <w:spacing w:line="276" w:lineRule="auto"/>
        <w:rPr>
          <w:rFonts w:ascii="Times New Roman" w:eastAsiaTheme="minorHAnsi" w:hAnsi="Times New Roman" w:cs="Times New Roman"/>
          <w:b/>
        </w:rPr>
      </w:pPr>
      <w:r>
        <w:rPr>
          <w:rFonts w:ascii="Times New Roman" w:eastAsiaTheme="minorHAnsi" w:hAnsi="Times New Roman" w:cs="Times New Roman"/>
          <w:b/>
        </w:rPr>
        <w:t xml:space="preserve">3.2 </w:t>
      </w:r>
      <w:r w:rsidR="00CA6FD6" w:rsidRPr="00483970">
        <w:rPr>
          <w:rFonts w:ascii="Times New Roman" w:eastAsiaTheme="minorHAnsi" w:hAnsi="Times New Roman" w:cs="Times New Roman"/>
          <w:b/>
        </w:rPr>
        <w:t>Physical, Chemical, and Functional Characteristics of Idli Powder and Batter</w:t>
      </w:r>
    </w:p>
    <w:p w14:paraId="7625576F" w14:textId="2A9DE617" w:rsidR="00CA6FD6" w:rsidRPr="006A7223" w:rsidRDefault="00437188" w:rsidP="00A46A21">
      <w:pPr>
        <w:spacing w:line="276" w:lineRule="auto"/>
        <w:jc w:val="both"/>
        <w:rPr>
          <w:rFonts w:ascii="Times New Roman" w:hAnsi="Times New Roman" w:cs="Times New Roman"/>
          <w:b/>
        </w:rPr>
      </w:pPr>
      <w:r>
        <w:rPr>
          <w:rFonts w:ascii="Times New Roman" w:hAnsi="Times New Roman" w:cs="Times New Roman"/>
          <w:b/>
        </w:rPr>
        <w:t>3.2</w:t>
      </w:r>
      <w:r w:rsidR="00CA6FD6" w:rsidRPr="006A7223">
        <w:rPr>
          <w:rFonts w:ascii="Times New Roman" w:hAnsi="Times New Roman" w:cs="Times New Roman"/>
          <w:b/>
        </w:rPr>
        <w:t>.1 pH</w:t>
      </w:r>
    </w:p>
    <w:p w14:paraId="469BAD2D" w14:textId="77777777" w:rsidR="002D3F18"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The pH of the idli premix samples showed a decreasing trend with increasing levels of finger millet incorporation, ranging from 5.1 in the control sample (T6) to 4.4 in treatment T5. This suggests that the addition of finger millet slightly increased the acidity of the premix. </w:t>
      </w:r>
    </w:p>
    <w:p w14:paraId="30446483" w14:textId="5D4F80D8" w:rsidR="002D3F18" w:rsidRPr="002D3F18"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lastRenderedPageBreak/>
        <w:t>Titratable acidity (%) followed an opposite trend, with the highest value observed in T1 (1.60%) and the lowest in T5 (0.25%), reflecting the typical inverse relationship between pH and acidity. The control sample showed moderate acidity at 0.76%.</w:t>
      </w:r>
    </w:p>
    <w:p w14:paraId="3B070D91" w14:textId="79969BAE" w:rsidR="00AD579C" w:rsidRPr="00AD579C" w:rsidRDefault="002D3F18" w:rsidP="0098701D">
      <w:pPr>
        <w:spacing w:before="100" w:beforeAutospacing="1" w:after="100" w:afterAutospacing="1" w:line="276" w:lineRule="auto"/>
        <w:ind w:firstLine="720"/>
        <w:jc w:val="both"/>
        <w:rPr>
          <w:rFonts w:ascii="Times New Roman" w:eastAsia="Times New Roman" w:hAnsi="Times New Roman" w:cs="Times New Roman"/>
          <w:kern w:val="0"/>
          <w:lang w:eastAsia="en-IN"/>
          <w14:ligatures w14:val="none"/>
        </w:rPr>
      </w:pPr>
      <w:r w:rsidRPr="002D3F18">
        <w:rPr>
          <w:rFonts w:ascii="Times New Roman" w:eastAsia="Times New Roman" w:hAnsi="Times New Roman" w:cs="Times New Roman"/>
          <w:kern w:val="0"/>
          <w:lang w:eastAsia="en-IN"/>
          <w14:ligatures w14:val="none"/>
        </w:rPr>
        <w:t xml:space="preserve">Total Soluble Solids (TSS) also exhibited a decreasing pattern, starting from 6.13°Brix in T1 to 5.10°Brix in T5, while the control sample (T6) recorded the highest TSS value of 6.50°Brix. These changes in pH, acidity, and TSS across the different treatments proved statistically significant, as confirmed by the values of Standard Error (S.E), Critical Difference (C.D), and Coefficient of Variation (C.V). This outcome clearly indicates that incorporating finger millet significantly influenced the chemical characteristics of the idli premix, as illustrated in </w:t>
      </w:r>
      <w:r w:rsidR="00AD579C">
        <w:rPr>
          <w:rFonts w:ascii="Times New Roman" w:eastAsia="Times New Roman" w:hAnsi="Times New Roman" w:cs="Times New Roman"/>
          <w:kern w:val="0"/>
          <w:lang w:eastAsia="en-IN"/>
          <w14:ligatures w14:val="none"/>
        </w:rPr>
        <w:t xml:space="preserve">Table </w:t>
      </w:r>
      <w:r w:rsidR="00325F4C">
        <w:rPr>
          <w:rFonts w:ascii="Times New Roman" w:eastAsia="Times New Roman" w:hAnsi="Times New Roman" w:cs="Times New Roman"/>
          <w:kern w:val="0"/>
          <w:lang w:eastAsia="en-IN"/>
          <w14:ligatures w14:val="none"/>
        </w:rPr>
        <w:t>1</w:t>
      </w:r>
      <w:r w:rsidRPr="002D3F18">
        <w:rPr>
          <w:rFonts w:ascii="Times New Roman" w:eastAsia="Times New Roman" w:hAnsi="Times New Roman" w:cs="Times New Roman"/>
          <w:kern w:val="0"/>
          <w:lang w:eastAsia="en-IN"/>
          <w14:ligatures w14:val="none"/>
        </w:rPr>
        <w:t>.</w:t>
      </w:r>
    </w:p>
    <w:p w14:paraId="7FFF9BAC" w14:textId="65D8192B" w:rsidR="00CA6FD6" w:rsidRPr="00AD579C" w:rsidRDefault="00A80F8F" w:rsidP="00AD579C">
      <w:pPr>
        <w:spacing w:line="276" w:lineRule="auto"/>
        <w:jc w:val="center"/>
        <w:rPr>
          <w:rFonts w:ascii="Times New Roman" w:hAnsi="Times New Roman" w:cs="Times New Roman"/>
          <w:b/>
        </w:rPr>
      </w:pPr>
      <w:r>
        <w:rPr>
          <w:rFonts w:ascii="Times New Roman" w:hAnsi="Times New Roman" w:cs="Times New Roman"/>
          <w:b/>
        </w:rPr>
        <w:t xml:space="preserve">Table </w:t>
      </w:r>
      <w:r w:rsidR="00325F4C">
        <w:rPr>
          <w:rFonts w:ascii="Times New Roman" w:hAnsi="Times New Roman" w:cs="Times New Roman"/>
          <w:b/>
        </w:rPr>
        <w:t>1</w:t>
      </w:r>
      <w:r w:rsidR="00AD579C">
        <w:rPr>
          <w:rFonts w:ascii="Times New Roman" w:hAnsi="Times New Roman" w:cs="Times New Roman"/>
          <w:b/>
        </w:rPr>
        <w:t xml:space="preserve"> </w:t>
      </w:r>
      <w:r w:rsidR="00AD579C" w:rsidRPr="006A7223">
        <w:rPr>
          <w:rFonts w:ascii="Times New Roman" w:hAnsi="Times New Roman" w:cs="Times New Roman"/>
          <w:b/>
        </w:rPr>
        <w:t>Effect of Treatment</w:t>
      </w:r>
      <w:r w:rsidR="00AD579C">
        <w:rPr>
          <w:rFonts w:ascii="Times New Roman" w:hAnsi="Times New Roman" w:cs="Times New Roman"/>
          <w:b/>
        </w:rPr>
        <w:t xml:space="preserve"> on </w:t>
      </w:r>
      <w:proofErr w:type="spellStart"/>
      <w:r w:rsidR="00AD579C">
        <w:rPr>
          <w:rFonts w:ascii="Times New Roman" w:hAnsi="Times New Roman" w:cs="Times New Roman"/>
          <w:b/>
        </w:rPr>
        <w:t>pH</w:t>
      </w:r>
      <w:proofErr w:type="gramStart"/>
      <w:r w:rsidR="00AD579C">
        <w:rPr>
          <w:rFonts w:ascii="Times New Roman" w:hAnsi="Times New Roman" w:cs="Times New Roman"/>
          <w:b/>
        </w:rPr>
        <w:t>,Titrable</w:t>
      </w:r>
      <w:proofErr w:type="spellEnd"/>
      <w:proofErr w:type="gramEnd"/>
      <w:r w:rsidR="00AD579C">
        <w:rPr>
          <w:rFonts w:ascii="Times New Roman" w:hAnsi="Times New Roman" w:cs="Times New Roman"/>
          <w:b/>
        </w:rPr>
        <w:t xml:space="preserve"> acidity and TSS</w:t>
      </w:r>
    </w:p>
    <w:tbl>
      <w:tblPr>
        <w:tblStyle w:val="TableGrid1"/>
        <w:tblW w:w="0" w:type="auto"/>
        <w:tblLook w:val="04A0" w:firstRow="1" w:lastRow="0" w:firstColumn="1" w:lastColumn="0" w:noHBand="0" w:noVBand="1"/>
      </w:tblPr>
      <w:tblGrid>
        <w:gridCol w:w="1436"/>
        <w:gridCol w:w="1308"/>
        <w:gridCol w:w="2523"/>
        <w:gridCol w:w="1428"/>
      </w:tblGrid>
      <w:tr w:rsidR="00AD579C" w:rsidRPr="00AD579C" w14:paraId="228E2F60" w14:textId="77777777" w:rsidTr="00AD579C">
        <w:tc>
          <w:tcPr>
            <w:tcW w:w="0" w:type="auto"/>
            <w:hideMark/>
          </w:tcPr>
          <w:p w14:paraId="67EC235C" w14:textId="77777777" w:rsidR="00AD579C" w:rsidRPr="00AD579C" w:rsidRDefault="00AD579C" w:rsidP="00AD579C">
            <w:pPr>
              <w:jc w:val="center"/>
              <w:rPr>
                <w:rFonts w:eastAsia="Times New Roman"/>
                <w:b/>
                <w:bCs/>
                <w:lang w:eastAsia="en-IN"/>
              </w:rPr>
            </w:pPr>
            <w:r w:rsidRPr="00AD579C">
              <w:rPr>
                <w:rFonts w:eastAsia="Times New Roman"/>
                <w:b/>
                <w:bCs/>
                <w:lang w:eastAsia="en-IN"/>
              </w:rPr>
              <w:t>Treatment</w:t>
            </w:r>
          </w:p>
        </w:tc>
        <w:tc>
          <w:tcPr>
            <w:tcW w:w="0" w:type="auto"/>
            <w:hideMark/>
          </w:tcPr>
          <w:p w14:paraId="69155D55" w14:textId="77777777" w:rsidR="00AD579C" w:rsidRPr="00AD579C" w:rsidRDefault="00AD579C" w:rsidP="00AD579C">
            <w:pPr>
              <w:jc w:val="center"/>
              <w:rPr>
                <w:rFonts w:eastAsia="Times New Roman"/>
                <w:b/>
                <w:bCs/>
                <w:lang w:eastAsia="en-IN"/>
              </w:rPr>
            </w:pPr>
            <w:r w:rsidRPr="00AD579C">
              <w:rPr>
                <w:rFonts w:eastAsia="Times New Roman"/>
                <w:b/>
                <w:bCs/>
                <w:lang w:eastAsia="en-IN"/>
              </w:rPr>
              <w:t>pH</w:t>
            </w:r>
          </w:p>
        </w:tc>
        <w:tc>
          <w:tcPr>
            <w:tcW w:w="0" w:type="auto"/>
            <w:hideMark/>
          </w:tcPr>
          <w:p w14:paraId="73AA68B5" w14:textId="77777777" w:rsidR="00AD579C" w:rsidRPr="00AD579C" w:rsidRDefault="00AD579C" w:rsidP="00AD579C">
            <w:pPr>
              <w:jc w:val="center"/>
              <w:rPr>
                <w:rFonts w:eastAsia="Times New Roman"/>
                <w:b/>
                <w:bCs/>
                <w:lang w:eastAsia="en-IN"/>
              </w:rPr>
            </w:pPr>
            <w:r w:rsidRPr="00AD579C">
              <w:rPr>
                <w:rFonts w:eastAsia="Times New Roman"/>
                <w:b/>
                <w:bCs/>
                <w:lang w:eastAsia="en-IN"/>
              </w:rPr>
              <w:t>Titratable Acidity (%)</w:t>
            </w:r>
          </w:p>
        </w:tc>
        <w:tc>
          <w:tcPr>
            <w:tcW w:w="0" w:type="auto"/>
            <w:hideMark/>
          </w:tcPr>
          <w:p w14:paraId="6B7FD7FF" w14:textId="77777777" w:rsidR="00AD579C" w:rsidRPr="00AD579C" w:rsidRDefault="00AD579C" w:rsidP="00AD579C">
            <w:pPr>
              <w:jc w:val="center"/>
              <w:rPr>
                <w:rFonts w:eastAsia="Times New Roman"/>
                <w:b/>
                <w:bCs/>
                <w:lang w:eastAsia="en-IN"/>
              </w:rPr>
            </w:pPr>
            <w:r w:rsidRPr="00AD579C">
              <w:rPr>
                <w:rFonts w:eastAsia="Times New Roman"/>
                <w:b/>
                <w:bCs/>
                <w:lang w:eastAsia="en-IN"/>
              </w:rPr>
              <w:t>TSS (°Brix)</w:t>
            </w:r>
          </w:p>
        </w:tc>
      </w:tr>
      <w:tr w:rsidR="00AD579C" w:rsidRPr="00AD579C" w14:paraId="053A3B75" w14:textId="77777777" w:rsidTr="00AD579C">
        <w:tc>
          <w:tcPr>
            <w:tcW w:w="0" w:type="auto"/>
            <w:hideMark/>
          </w:tcPr>
          <w:p w14:paraId="43BC3258" w14:textId="77777777" w:rsidR="00AD579C" w:rsidRPr="00AD579C" w:rsidRDefault="00AD579C" w:rsidP="00AD579C">
            <w:pPr>
              <w:rPr>
                <w:rFonts w:eastAsia="Times New Roman"/>
                <w:lang w:eastAsia="en-IN"/>
              </w:rPr>
            </w:pPr>
            <w:r w:rsidRPr="00AD579C">
              <w:rPr>
                <w:rFonts w:eastAsia="Times New Roman"/>
                <w:lang w:eastAsia="en-IN"/>
              </w:rPr>
              <w:t>T1</w:t>
            </w:r>
          </w:p>
        </w:tc>
        <w:tc>
          <w:tcPr>
            <w:tcW w:w="0" w:type="auto"/>
            <w:hideMark/>
          </w:tcPr>
          <w:p w14:paraId="25E423DA" w14:textId="77777777" w:rsidR="00AD579C" w:rsidRPr="00AD579C" w:rsidRDefault="00AD579C" w:rsidP="00AD579C">
            <w:pPr>
              <w:rPr>
                <w:rFonts w:eastAsia="Times New Roman"/>
                <w:lang w:eastAsia="en-IN"/>
              </w:rPr>
            </w:pPr>
            <w:r w:rsidRPr="00AD579C">
              <w:rPr>
                <w:rFonts w:eastAsia="Times New Roman"/>
                <w:lang w:eastAsia="en-IN"/>
              </w:rPr>
              <w:t>4.8 ± 0.07</w:t>
            </w:r>
          </w:p>
        </w:tc>
        <w:tc>
          <w:tcPr>
            <w:tcW w:w="0" w:type="auto"/>
            <w:hideMark/>
          </w:tcPr>
          <w:p w14:paraId="3C40196B" w14:textId="77777777" w:rsidR="00AD579C" w:rsidRPr="00AD579C" w:rsidRDefault="00AD579C" w:rsidP="00AD579C">
            <w:pPr>
              <w:rPr>
                <w:rFonts w:eastAsia="Times New Roman"/>
                <w:lang w:eastAsia="en-IN"/>
              </w:rPr>
            </w:pPr>
            <w:r w:rsidRPr="00AD579C">
              <w:rPr>
                <w:rFonts w:eastAsia="Times New Roman"/>
                <w:lang w:eastAsia="en-IN"/>
              </w:rPr>
              <w:t>1.60 ± 0.0045</w:t>
            </w:r>
          </w:p>
        </w:tc>
        <w:tc>
          <w:tcPr>
            <w:tcW w:w="0" w:type="auto"/>
            <w:hideMark/>
          </w:tcPr>
          <w:p w14:paraId="021BF2B2" w14:textId="77777777" w:rsidR="00AD579C" w:rsidRPr="00AD579C" w:rsidRDefault="00AD579C" w:rsidP="00AD579C">
            <w:pPr>
              <w:rPr>
                <w:rFonts w:eastAsia="Times New Roman"/>
                <w:lang w:eastAsia="en-IN"/>
              </w:rPr>
            </w:pPr>
            <w:r w:rsidRPr="00AD579C">
              <w:rPr>
                <w:rFonts w:eastAsia="Times New Roman"/>
                <w:lang w:eastAsia="en-IN"/>
              </w:rPr>
              <w:t>6.13 ± 0.08</w:t>
            </w:r>
          </w:p>
        </w:tc>
      </w:tr>
      <w:tr w:rsidR="00AD579C" w:rsidRPr="00AD579C" w14:paraId="4ED5402B" w14:textId="77777777" w:rsidTr="00AD579C">
        <w:tc>
          <w:tcPr>
            <w:tcW w:w="0" w:type="auto"/>
            <w:hideMark/>
          </w:tcPr>
          <w:p w14:paraId="2607B21A" w14:textId="77777777" w:rsidR="00AD579C" w:rsidRPr="00AD579C" w:rsidRDefault="00AD579C" w:rsidP="00AD579C">
            <w:pPr>
              <w:rPr>
                <w:rFonts w:eastAsia="Times New Roman"/>
                <w:lang w:eastAsia="en-IN"/>
              </w:rPr>
            </w:pPr>
            <w:r w:rsidRPr="00AD579C">
              <w:rPr>
                <w:rFonts w:eastAsia="Times New Roman"/>
                <w:lang w:eastAsia="en-IN"/>
              </w:rPr>
              <w:t>T2</w:t>
            </w:r>
          </w:p>
        </w:tc>
        <w:tc>
          <w:tcPr>
            <w:tcW w:w="0" w:type="auto"/>
            <w:hideMark/>
          </w:tcPr>
          <w:p w14:paraId="10485B91" w14:textId="77777777" w:rsidR="00AD579C" w:rsidRPr="00AD579C" w:rsidRDefault="00AD579C" w:rsidP="00AD579C">
            <w:pPr>
              <w:rPr>
                <w:rFonts w:eastAsia="Times New Roman"/>
                <w:lang w:eastAsia="en-IN"/>
              </w:rPr>
            </w:pPr>
            <w:r w:rsidRPr="00AD579C">
              <w:rPr>
                <w:rFonts w:eastAsia="Times New Roman"/>
                <w:lang w:eastAsia="en-IN"/>
              </w:rPr>
              <w:t>4.7 ± 0.065</w:t>
            </w:r>
          </w:p>
        </w:tc>
        <w:tc>
          <w:tcPr>
            <w:tcW w:w="0" w:type="auto"/>
            <w:hideMark/>
          </w:tcPr>
          <w:p w14:paraId="42ED82E2" w14:textId="77777777" w:rsidR="00AD579C" w:rsidRPr="00AD579C" w:rsidRDefault="00AD579C" w:rsidP="00AD579C">
            <w:pPr>
              <w:rPr>
                <w:rFonts w:eastAsia="Times New Roman"/>
                <w:lang w:eastAsia="en-IN"/>
              </w:rPr>
            </w:pPr>
            <w:r w:rsidRPr="00AD579C">
              <w:rPr>
                <w:rFonts w:eastAsia="Times New Roman"/>
                <w:lang w:eastAsia="en-IN"/>
              </w:rPr>
              <w:t>0.99 ± 0.0038</w:t>
            </w:r>
          </w:p>
        </w:tc>
        <w:tc>
          <w:tcPr>
            <w:tcW w:w="0" w:type="auto"/>
            <w:hideMark/>
          </w:tcPr>
          <w:p w14:paraId="2CC2F8F3" w14:textId="77777777" w:rsidR="00AD579C" w:rsidRPr="00AD579C" w:rsidRDefault="00AD579C" w:rsidP="00AD579C">
            <w:pPr>
              <w:rPr>
                <w:rFonts w:eastAsia="Times New Roman"/>
                <w:lang w:eastAsia="en-IN"/>
              </w:rPr>
            </w:pPr>
            <w:r w:rsidRPr="00AD579C">
              <w:rPr>
                <w:rFonts w:eastAsia="Times New Roman"/>
                <w:lang w:eastAsia="en-IN"/>
              </w:rPr>
              <w:t>5.80 ± 0.07</w:t>
            </w:r>
          </w:p>
        </w:tc>
      </w:tr>
      <w:tr w:rsidR="00AD579C" w:rsidRPr="00AD579C" w14:paraId="45ECC8AD" w14:textId="77777777" w:rsidTr="00AD579C">
        <w:tc>
          <w:tcPr>
            <w:tcW w:w="0" w:type="auto"/>
            <w:hideMark/>
          </w:tcPr>
          <w:p w14:paraId="660B8CCF" w14:textId="77777777" w:rsidR="00AD579C" w:rsidRPr="00AD579C" w:rsidRDefault="00AD579C" w:rsidP="00AD579C">
            <w:pPr>
              <w:rPr>
                <w:rFonts w:eastAsia="Times New Roman"/>
                <w:lang w:eastAsia="en-IN"/>
              </w:rPr>
            </w:pPr>
            <w:r w:rsidRPr="00AD579C">
              <w:rPr>
                <w:rFonts w:eastAsia="Times New Roman"/>
                <w:lang w:eastAsia="en-IN"/>
              </w:rPr>
              <w:t>T3</w:t>
            </w:r>
          </w:p>
        </w:tc>
        <w:tc>
          <w:tcPr>
            <w:tcW w:w="0" w:type="auto"/>
            <w:hideMark/>
          </w:tcPr>
          <w:p w14:paraId="6425BD36" w14:textId="77777777" w:rsidR="00AD579C" w:rsidRPr="00AD579C" w:rsidRDefault="00AD579C" w:rsidP="00AD579C">
            <w:pPr>
              <w:rPr>
                <w:rFonts w:eastAsia="Times New Roman"/>
                <w:lang w:eastAsia="en-IN"/>
              </w:rPr>
            </w:pPr>
            <w:r w:rsidRPr="00AD579C">
              <w:rPr>
                <w:rFonts w:eastAsia="Times New Roman"/>
                <w:lang w:eastAsia="en-IN"/>
              </w:rPr>
              <w:t>4.6 ± 0.072</w:t>
            </w:r>
          </w:p>
        </w:tc>
        <w:tc>
          <w:tcPr>
            <w:tcW w:w="0" w:type="auto"/>
            <w:hideMark/>
          </w:tcPr>
          <w:p w14:paraId="16D89C8F" w14:textId="77777777" w:rsidR="00AD579C" w:rsidRPr="00AD579C" w:rsidRDefault="00AD579C" w:rsidP="00AD579C">
            <w:pPr>
              <w:rPr>
                <w:rFonts w:eastAsia="Times New Roman"/>
                <w:lang w:eastAsia="en-IN"/>
              </w:rPr>
            </w:pPr>
            <w:r w:rsidRPr="00AD579C">
              <w:rPr>
                <w:rFonts w:eastAsia="Times New Roman"/>
                <w:lang w:eastAsia="en-IN"/>
              </w:rPr>
              <w:t>0.64 ± 0.0042</w:t>
            </w:r>
          </w:p>
        </w:tc>
        <w:tc>
          <w:tcPr>
            <w:tcW w:w="0" w:type="auto"/>
            <w:hideMark/>
          </w:tcPr>
          <w:p w14:paraId="0EFAC88F" w14:textId="77777777" w:rsidR="00AD579C" w:rsidRPr="00AD579C" w:rsidRDefault="00AD579C" w:rsidP="00AD579C">
            <w:pPr>
              <w:rPr>
                <w:rFonts w:eastAsia="Times New Roman"/>
                <w:lang w:eastAsia="en-IN"/>
              </w:rPr>
            </w:pPr>
            <w:r w:rsidRPr="00AD579C">
              <w:rPr>
                <w:rFonts w:eastAsia="Times New Roman"/>
                <w:lang w:eastAsia="en-IN"/>
              </w:rPr>
              <w:t>5.60 ± 0.075</w:t>
            </w:r>
          </w:p>
        </w:tc>
      </w:tr>
      <w:tr w:rsidR="00AD579C" w:rsidRPr="00AD579C" w14:paraId="3E95DDDA" w14:textId="77777777" w:rsidTr="00AD579C">
        <w:tc>
          <w:tcPr>
            <w:tcW w:w="0" w:type="auto"/>
            <w:hideMark/>
          </w:tcPr>
          <w:p w14:paraId="27DB6D91" w14:textId="77777777" w:rsidR="00AD579C" w:rsidRPr="00AD579C" w:rsidRDefault="00AD579C" w:rsidP="00AD579C">
            <w:pPr>
              <w:rPr>
                <w:rFonts w:eastAsia="Times New Roman"/>
                <w:lang w:eastAsia="en-IN"/>
              </w:rPr>
            </w:pPr>
            <w:r w:rsidRPr="00AD579C">
              <w:rPr>
                <w:rFonts w:eastAsia="Times New Roman"/>
                <w:lang w:eastAsia="en-IN"/>
              </w:rPr>
              <w:t>T4</w:t>
            </w:r>
          </w:p>
        </w:tc>
        <w:tc>
          <w:tcPr>
            <w:tcW w:w="0" w:type="auto"/>
            <w:hideMark/>
          </w:tcPr>
          <w:p w14:paraId="2807098D" w14:textId="77777777" w:rsidR="00AD579C" w:rsidRPr="00AD579C" w:rsidRDefault="00AD579C" w:rsidP="00AD579C">
            <w:pPr>
              <w:rPr>
                <w:rFonts w:eastAsia="Times New Roman"/>
                <w:lang w:eastAsia="en-IN"/>
              </w:rPr>
            </w:pPr>
            <w:r w:rsidRPr="00AD579C">
              <w:rPr>
                <w:rFonts w:eastAsia="Times New Roman"/>
                <w:lang w:eastAsia="en-IN"/>
              </w:rPr>
              <w:t>4.5 ± 0.068</w:t>
            </w:r>
          </w:p>
        </w:tc>
        <w:tc>
          <w:tcPr>
            <w:tcW w:w="0" w:type="auto"/>
            <w:hideMark/>
          </w:tcPr>
          <w:p w14:paraId="310630B4" w14:textId="77777777" w:rsidR="00AD579C" w:rsidRPr="00AD579C" w:rsidRDefault="00AD579C" w:rsidP="00AD579C">
            <w:pPr>
              <w:rPr>
                <w:rFonts w:eastAsia="Times New Roman"/>
                <w:lang w:eastAsia="en-IN"/>
              </w:rPr>
            </w:pPr>
            <w:r w:rsidRPr="00AD579C">
              <w:rPr>
                <w:rFonts w:eastAsia="Times New Roman"/>
                <w:lang w:eastAsia="en-IN"/>
              </w:rPr>
              <w:t>0.52 ± 0.0041</w:t>
            </w:r>
          </w:p>
        </w:tc>
        <w:tc>
          <w:tcPr>
            <w:tcW w:w="0" w:type="auto"/>
            <w:hideMark/>
          </w:tcPr>
          <w:p w14:paraId="558731FF" w14:textId="77777777" w:rsidR="00AD579C" w:rsidRPr="00AD579C" w:rsidRDefault="00AD579C" w:rsidP="00AD579C">
            <w:pPr>
              <w:rPr>
                <w:rFonts w:eastAsia="Times New Roman"/>
                <w:lang w:eastAsia="en-IN"/>
              </w:rPr>
            </w:pPr>
            <w:r w:rsidRPr="00AD579C">
              <w:rPr>
                <w:rFonts w:eastAsia="Times New Roman"/>
                <w:lang w:eastAsia="en-IN"/>
              </w:rPr>
              <w:t>5.40 ± 0.078</w:t>
            </w:r>
          </w:p>
        </w:tc>
      </w:tr>
      <w:tr w:rsidR="00AD579C" w:rsidRPr="00AD579C" w14:paraId="49AAE57B" w14:textId="77777777" w:rsidTr="00AD579C">
        <w:tc>
          <w:tcPr>
            <w:tcW w:w="0" w:type="auto"/>
            <w:hideMark/>
          </w:tcPr>
          <w:p w14:paraId="166CC259" w14:textId="77777777" w:rsidR="00AD579C" w:rsidRPr="00AD579C" w:rsidRDefault="00AD579C" w:rsidP="00AD579C">
            <w:pPr>
              <w:rPr>
                <w:rFonts w:eastAsia="Times New Roman"/>
                <w:lang w:eastAsia="en-IN"/>
              </w:rPr>
            </w:pPr>
            <w:r w:rsidRPr="00AD579C">
              <w:rPr>
                <w:rFonts w:eastAsia="Times New Roman"/>
                <w:lang w:eastAsia="en-IN"/>
              </w:rPr>
              <w:t>T5</w:t>
            </w:r>
          </w:p>
        </w:tc>
        <w:tc>
          <w:tcPr>
            <w:tcW w:w="0" w:type="auto"/>
            <w:hideMark/>
          </w:tcPr>
          <w:p w14:paraId="6568951D" w14:textId="77777777" w:rsidR="00AD579C" w:rsidRPr="00AD579C" w:rsidRDefault="00AD579C" w:rsidP="00AD579C">
            <w:pPr>
              <w:rPr>
                <w:rFonts w:eastAsia="Times New Roman"/>
                <w:lang w:eastAsia="en-IN"/>
              </w:rPr>
            </w:pPr>
            <w:r w:rsidRPr="00AD579C">
              <w:rPr>
                <w:rFonts w:eastAsia="Times New Roman"/>
                <w:lang w:eastAsia="en-IN"/>
              </w:rPr>
              <w:t>4.4 ± 0.066</w:t>
            </w:r>
          </w:p>
        </w:tc>
        <w:tc>
          <w:tcPr>
            <w:tcW w:w="0" w:type="auto"/>
            <w:hideMark/>
          </w:tcPr>
          <w:p w14:paraId="782D6FFE" w14:textId="77777777" w:rsidR="00AD579C" w:rsidRPr="00AD579C" w:rsidRDefault="00AD579C" w:rsidP="00AD579C">
            <w:pPr>
              <w:rPr>
                <w:rFonts w:eastAsia="Times New Roman"/>
                <w:lang w:eastAsia="en-IN"/>
              </w:rPr>
            </w:pPr>
            <w:r w:rsidRPr="00AD579C">
              <w:rPr>
                <w:rFonts w:eastAsia="Times New Roman"/>
                <w:lang w:eastAsia="en-IN"/>
              </w:rPr>
              <w:t>0.25 ± 0.0039</w:t>
            </w:r>
          </w:p>
        </w:tc>
        <w:tc>
          <w:tcPr>
            <w:tcW w:w="0" w:type="auto"/>
            <w:hideMark/>
          </w:tcPr>
          <w:p w14:paraId="022E6A26" w14:textId="77777777" w:rsidR="00AD579C" w:rsidRPr="00AD579C" w:rsidRDefault="00AD579C" w:rsidP="00AD579C">
            <w:pPr>
              <w:rPr>
                <w:rFonts w:eastAsia="Times New Roman"/>
                <w:lang w:eastAsia="en-IN"/>
              </w:rPr>
            </w:pPr>
            <w:r w:rsidRPr="00AD579C">
              <w:rPr>
                <w:rFonts w:eastAsia="Times New Roman"/>
                <w:lang w:eastAsia="en-IN"/>
              </w:rPr>
              <w:t>5.10 ± 0.074</w:t>
            </w:r>
          </w:p>
        </w:tc>
      </w:tr>
      <w:tr w:rsidR="00AD579C" w:rsidRPr="00AD579C" w14:paraId="384DBB1A" w14:textId="77777777" w:rsidTr="00AD579C">
        <w:tc>
          <w:tcPr>
            <w:tcW w:w="0" w:type="auto"/>
            <w:hideMark/>
          </w:tcPr>
          <w:p w14:paraId="3C3289EF" w14:textId="77777777" w:rsidR="00AD579C" w:rsidRPr="00AD579C" w:rsidRDefault="00AD579C" w:rsidP="00AD579C">
            <w:pPr>
              <w:rPr>
                <w:rFonts w:eastAsia="Times New Roman"/>
                <w:lang w:eastAsia="en-IN"/>
              </w:rPr>
            </w:pPr>
            <w:r w:rsidRPr="00AD579C">
              <w:rPr>
                <w:rFonts w:eastAsia="Times New Roman"/>
                <w:lang w:eastAsia="en-IN"/>
              </w:rPr>
              <w:t>T6 (Control)</w:t>
            </w:r>
          </w:p>
        </w:tc>
        <w:tc>
          <w:tcPr>
            <w:tcW w:w="0" w:type="auto"/>
            <w:hideMark/>
          </w:tcPr>
          <w:p w14:paraId="79E27607" w14:textId="77777777" w:rsidR="00AD579C" w:rsidRPr="00AD579C" w:rsidRDefault="00AD579C" w:rsidP="00AD579C">
            <w:pPr>
              <w:rPr>
                <w:rFonts w:eastAsia="Times New Roman"/>
                <w:lang w:eastAsia="en-IN"/>
              </w:rPr>
            </w:pPr>
            <w:r w:rsidRPr="00AD579C">
              <w:rPr>
                <w:rFonts w:eastAsia="Times New Roman"/>
                <w:lang w:eastAsia="en-IN"/>
              </w:rPr>
              <w:t>5.1 ± 0.071</w:t>
            </w:r>
          </w:p>
        </w:tc>
        <w:tc>
          <w:tcPr>
            <w:tcW w:w="0" w:type="auto"/>
            <w:hideMark/>
          </w:tcPr>
          <w:p w14:paraId="7FD6F36F" w14:textId="77777777" w:rsidR="00AD579C" w:rsidRPr="00AD579C" w:rsidRDefault="00AD579C" w:rsidP="00AD579C">
            <w:pPr>
              <w:rPr>
                <w:rFonts w:eastAsia="Times New Roman"/>
                <w:lang w:eastAsia="en-IN"/>
              </w:rPr>
            </w:pPr>
            <w:r w:rsidRPr="00AD579C">
              <w:rPr>
                <w:rFonts w:eastAsia="Times New Roman"/>
                <w:lang w:eastAsia="en-IN"/>
              </w:rPr>
              <w:t>0.76 ± 0.0040</w:t>
            </w:r>
          </w:p>
        </w:tc>
        <w:tc>
          <w:tcPr>
            <w:tcW w:w="0" w:type="auto"/>
            <w:hideMark/>
          </w:tcPr>
          <w:p w14:paraId="7445E421" w14:textId="77777777" w:rsidR="00AD579C" w:rsidRPr="00AD579C" w:rsidRDefault="00AD579C" w:rsidP="00AD579C">
            <w:pPr>
              <w:rPr>
                <w:rFonts w:eastAsia="Times New Roman"/>
                <w:lang w:eastAsia="en-IN"/>
              </w:rPr>
            </w:pPr>
            <w:r w:rsidRPr="00AD579C">
              <w:rPr>
                <w:rFonts w:eastAsia="Times New Roman"/>
                <w:lang w:eastAsia="en-IN"/>
              </w:rPr>
              <w:t>6.50 ± 0.079</w:t>
            </w:r>
          </w:p>
        </w:tc>
      </w:tr>
    </w:tbl>
    <w:p w14:paraId="4B8150D6" w14:textId="77777777" w:rsidR="00AD579C" w:rsidRDefault="00AD579C" w:rsidP="00A46A21">
      <w:pPr>
        <w:spacing w:line="276" w:lineRule="auto"/>
        <w:jc w:val="both"/>
        <w:rPr>
          <w:rFonts w:ascii="Times New Roman" w:eastAsiaTheme="minorHAnsi" w:hAnsi="Times New Roman" w:cs="Times New Roman"/>
          <w:b/>
        </w:rPr>
      </w:pPr>
    </w:p>
    <w:p w14:paraId="06E42E45" w14:textId="47FD68CC" w:rsidR="00CA6FD6" w:rsidRPr="006A7223" w:rsidRDefault="00437188" w:rsidP="00A46A21">
      <w:pPr>
        <w:spacing w:line="276" w:lineRule="auto"/>
        <w:jc w:val="both"/>
        <w:rPr>
          <w:rFonts w:ascii="Times New Roman" w:hAnsi="Times New Roman" w:cs="Times New Roman"/>
          <w:b/>
        </w:rPr>
      </w:pPr>
      <w:r>
        <w:rPr>
          <w:rFonts w:ascii="Times New Roman" w:eastAsiaTheme="minorHAnsi" w:hAnsi="Times New Roman" w:cs="Times New Roman"/>
          <w:b/>
        </w:rPr>
        <w:t>3.2.2</w:t>
      </w:r>
      <w:r w:rsidR="00CA6FD6" w:rsidRPr="006A7223">
        <w:rPr>
          <w:rFonts w:ascii="Times New Roman" w:eastAsiaTheme="minorHAnsi" w:hAnsi="Times New Roman" w:cs="Times New Roman"/>
          <w:b/>
        </w:rPr>
        <w:t xml:space="preserve"> </w:t>
      </w:r>
      <w:r w:rsidR="00CA6FD6" w:rsidRPr="006A7223">
        <w:rPr>
          <w:rFonts w:ascii="Times New Roman" w:hAnsi="Times New Roman" w:cs="Times New Roman"/>
          <w:b/>
        </w:rPr>
        <w:t>Expansion Ratio of Batter</w:t>
      </w:r>
    </w:p>
    <w:p w14:paraId="66C81394" w14:textId="5409124A" w:rsidR="00CB5D04" w:rsidRPr="002D3F18" w:rsidRDefault="00CA6FD6" w:rsidP="002D3F18">
      <w:pPr>
        <w:spacing w:line="276" w:lineRule="auto"/>
        <w:ind w:firstLine="720"/>
        <w:jc w:val="both"/>
        <w:rPr>
          <w:rFonts w:ascii="Times New Roman" w:hAnsi="Times New Roman" w:cs="Times New Roman"/>
        </w:rPr>
      </w:pPr>
      <w:r w:rsidRPr="006A7223">
        <w:rPr>
          <w:rFonts w:ascii="Times New Roman" w:hAnsi="Times New Roman" w:cs="Times New Roman"/>
        </w:rPr>
        <w:t>The expansion ratio of idli batter prepared from different treatments of pre-mix ranged from 1.50 to 2.10. The highest expansion ratio (2.10) was observed in the control (T6) sample, indicating superior fermentation and gas retention capacity. Among the treated samples, T1 showed the highest expansion ratio (1.90), followed by T2 (1.80) and T3 (1.70). A gradual decline in expansion ratio was noted from T1 to T5, suggesting that the treatments influenced the fermentability and aeration potential of the batter. Lower expansion in T5 (1.50) indicates reduced leavening or gas-holding capacity.</w:t>
      </w:r>
    </w:p>
    <w:p w14:paraId="5E90A630" w14:textId="441ACD9E" w:rsidR="00CA6FD6" w:rsidRPr="006A7223" w:rsidRDefault="0098701D" w:rsidP="00A46A21">
      <w:pPr>
        <w:spacing w:line="276" w:lineRule="auto"/>
        <w:rPr>
          <w:rFonts w:ascii="Times New Roman" w:hAnsi="Times New Roman" w:cs="Times New Roman"/>
        </w:rPr>
      </w:pPr>
      <w:r>
        <w:rPr>
          <w:rFonts w:ascii="Times New Roman" w:hAnsi="Times New Roman" w:cs="Times New Roman"/>
          <w:b/>
        </w:rPr>
        <w:t xml:space="preserve">3.3 </w:t>
      </w:r>
      <w:r w:rsidRPr="006A7223">
        <w:rPr>
          <w:rFonts w:ascii="Times New Roman" w:hAnsi="Times New Roman" w:cs="Times New Roman"/>
          <w:b/>
        </w:rPr>
        <w:t>Reconstitutional</w:t>
      </w:r>
      <w:r w:rsidR="00CA6FD6" w:rsidRPr="006A7223">
        <w:rPr>
          <w:rFonts w:ascii="Times New Roman" w:hAnsi="Times New Roman" w:cs="Times New Roman"/>
          <w:b/>
        </w:rPr>
        <w:t xml:space="preserve"> properties of </w:t>
      </w:r>
      <w:proofErr w:type="gramStart"/>
      <w:r w:rsidR="00CA6FD6" w:rsidRPr="006A7223">
        <w:rPr>
          <w:rFonts w:ascii="Times New Roman" w:hAnsi="Times New Roman" w:cs="Times New Roman"/>
          <w:b/>
        </w:rPr>
        <w:t>Idli  mix</w:t>
      </w:r>
      <w:proofErr w:type="gramEnd"/>
      <w:r w:rsidR="00CA6FD6" w:rsidRPr="006A7223">
        <w:rPr>
          <w:rFonts w:ascii="Times New Roman" w:hAnsi="Times New Roman" w:cs="Times New Roman"/>
          <w:b/>
        </w:rPr>
        <w:t xml:space="preserve"> powder</w:t>
      </w:r>
      <w:r w:rsidR="00CA6FD6" w:rsidRPr="006A7223">
        <w:rPr>
          <w:rFonts w:ascii="Times New Roman" w:hAnsi="Times New Roman" w:cs="Times New Roman"/>
        </w:rPr>
        <w:t xml:space="preserve"> </w:t>
      </w:r>
    </w:p>
    <w:p w14:paraId="62E90624" w14:textId="6BF7EADF" w:rsidR="002D3F18" w:rsidRPr="002D3F18" w:rsidRDefault="002D3F18" w:rsidP="002D3F18">
      <w:pPr>
        <w:pStyle w:val="ListParagraph"/>
        <w:spacing w:line="276" w:lineRule="auto"/>
        <w:ind w:left="-181" w:firstLine="541"/>
        <w:jc w:val="both"/>
        <w:rPr>
          <w:rFonts w:ascii="Times New Roman" w:hAnsi="Times New Roman" w:cs="Times New Roman"/>
        </w:rPr>
      </w:pPr>
      <w:r w:rsidRPr="002D3F18">
        <w:rPr>
          <w:rFonts w:ascii="Times New Roman" w:hAnsi="Times New Roman" w:cs="Times New Roman"/>
        </w:rPr>
        <w:t xml:space="preserve">The functional properties of the optimized idli premix (T3: 50% finger millet, 20% </w:t>
      </w:r>
      <w:proofErr w:type="spellStart"/>
      <w:r w:rsidRPr="002D3F18">
        <w:rPr>
          <w:rFonts w:ascii="Times New Roman" w:hAnsi="Times New Roman" w:cs="Times New Roman"/>
        </w:rPr>
        <w:t>blackgram</w:t>
      </w:r>
      <w:proofErr w:type="spellEnd"/>
      <w:r w:rsidRPr="002D3F18">
        <w:rPr>
          <w:rFonts w:ascii="Times New Roman" w:hAnsi="Times New Roman" w:cs="Times New Roman"/>
        </w:rPr>
        <w:t xml:space="preserve">, 30% rice) showed notable differences compared to the control. T3 had a lower water absorption capacity (145.3%) than the control (170.5%), likely due to its higher protein and fiber content. However, wettability was better in T3 (10.7 g/min), suggesting quicker water penetration. As shown in Fig </w:t>
      </w:r>
      <w:r w:rsidR="00325F4C">
        <w:rPr>
          <w:rFonts w:ascii="Times New Roman" w:hAnsi="Times New Roman" w:cs="Times New Roman"/>
        </w:rPr>
        <w:t>3</w:t>
      </w:r>
      <w:r w:rsidRPr="002D3F18">
        <w:rPr>
          <w:rFonts w:ascii="Times New Roman" w:hAnsi="Times New Roman" w:cs="Times New Roman"/>
        </w:rPr>
        <w:t xml:space="preserve">, </w:t>
      </w:r>
      <w:r w:rsidR="00325F4C">
        <w:rPr>
          <w:rFonts w:ascii="Times New Roman" w:hAnsi="Times New Roman" w:cs="Times New Roman"/>
        </w:rPr>
        <w:t>10</w:t>
      </w:r>
      <w:r w:rsidRPr="002D3F18">
        <w:rPr>
          <w:rFonts w:ascii="Times New Roman" w:hAnsi="Times New Roman" w:cs="Times New Roman"/>
        </w:rPr>
        <w:t xml:space="preserve">, </w:t>
      </w:r>
      <w:r w:rsidR="00325F4C">
        <w:rPr>
          <w:rFonts w:ascii="Times New Roman" w:hAnsi="Times New Roman" w:cs="Times New Roman"/>
        </w:rPr>
        <w:t>11</w:t>
      </w:r>
      <w:r w:rsidRPr="002D3F18">
        <w:rPr>
          <w:rFonts w:ascii="Times New Roman" w:hAnsi="Times New Roman" w:cs="Times New Roman"/>
        </w:rPr>
        <w:t xml:space="preserve">, </w:t>
      </w:r>
      <w:r w:rsidR="0015653A">
        <w:rPr>
          <w:rFonts w:ascii="Times New Roman" w:hAnsi="Times New Roman" w:cs="Times New Roman"/>
        </w:rPr>
        <w:t>1</w:t>
      </w:r>
      <w:r w:rsidR="00325F4C">
        <w:rPr>
          <w:rFonts w:ascii="Times New Roman" w:hAnsi="Times New Roman" w:cs="Times New Roman"/>
        </w:rPr>
        <w:t>2</w:t>
      </w:r>
      <w:r w:rsidRPr="002D3F18">
        <w:rPr>
          <w:rFonts w:ascii="Times New Roman" w:hAnsi="Times New Roman" w:cs="Times New Roman"/>
        </w:rPr>
        <w:t>, the rehydration ratio was lower in T3 (2.0) compared to the control (2.9), indicating less water uptake during cooking but still acceptable results. The mix-to-water ratio for T3 was slightly reduced (1:1.8 vs. 1:2), aligning with its water absorption behavior. Notably, T3 reconstituted faster (41 seconds) than the control (52 seconds), offering improved preparation convenience. Overall, T3 enhanced wettability and reduced reconstitution time, with a slight compromise in water absorption and rehydration</w:t>
      </w:r>
      <w:r w:rsidR="0098701D">
        <w:rPr>
          <w:rFonts w:ascii="Times New Roman" w:hAnsi="Times New Roman" w:cs="Times New Roman"/>
        </w:rPr>
        <w:t>.</w:t>
      </w:r>
    </w:p>
    <w:p w14:paraId="3E8FB935" w14:textId="77777777" w:rsidR="00CA6FD6" w:rsidRPr="006A7223" w:rsidRDefault="00CA6FD6" w:rsidP="00A46A21">
      <w:pPr>
        <w:spacing w:line="276" w:lineRule="auto"/>
        <w:rPr>
          <w:rFonts w:ascii="Times New Roman" w:eastAsiaTheme="minorHAnsi" w:hAnsi="Times New Roman" w:cs="Times New Roman"/>
          <w:b/>
        </w:rPr>
      </w:pPr>
    </w:p>
    <w:p w14:paraId="517B3EA8" w14:textId="77777777" w:rsidR="00EA09D3" w:rsidRPr="006A7223" w:rsidRDefault="00EA09D3" w:rsidP="00EA09D3">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0EFB170C" wp14:editId="06021D1B">
            <wp:extent cx="4762500" cy="2922270"/>
            <wp:effectExtent l="0" t="0" r="0" b="1143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E8551F-1C72-4AA6-B3EC-0C595A511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1F8D07" w14:textId="77777777" w:rsidR="00EA09D3" w:rsidRPr="006A7223" w:rsidRDefault="00EA09D3" w:rsidP="00EA09D3">
      <w:pPr>
        <w:pStyle w:val="ListParagraph"/>
        <w:spacing w:line="276" w:lineRule="auto"/>
        <w:ind w:left="360"/>
        <w:jc w:val="center"/>
        <w:rPr>
          <w:rFonts w:ascii="Times New Roman" w:eastAsiaTheme="minorHAnsi" w:hAnsi="Times New Roman" w:cs="Times New Roman"/>
          <w:b/>
        </w:rPr>
      </w:pPr>
    </w:p>
    <w:p w14:paraId="5571EF6D" w14:textId="48909050" w:rsidR="00EA09D3" w:rsidRPr="006A7223" w:rsidRDefault="000009A3" w:rsidP="00EA09D3">
      <w:pPr>
        <w:pStyle w:val="ListParagraph"/>
        <w:spacing w:line="276" w:lineRule="auto"/>
        <w:ind w:left="360"/>
        <w:jc w:val="center"/>
        <w:rPr>
          <w:rFonts w:ascii="Times New Roman" w:eastAsiaTheme="minorHAnsi" w:hAnsi="Times New Roman" w:cs="Times New Roman"/>
          <w:b/>
        </w:rPr>
      </w:pPr>
      <w:r>
        <w:rPr>
          <w:rFonts w:ascii="Times New Roman" w:eastAsiaTheme="minorHAnsi" w:hAnsi="Times New Roman" w:cs="Times New Roman"/>
          <w:b/>
        </w:rPr>
        <w:t xml:space="preserve">Fig </w:t>
      </w:r>
      <w:r w:rsidR="00325F4C">
        <w:rPr>
          <w:rFonts w:ascii="Times New Roman" w:eastAsiaTheme="minorHAnsi" w:hAnsi="Times New Roman" w:cs="Times New Roman"/>
          <w:b/>
        </w:rPr>
        <w:t>7</w:t>
      </w:r>
      <w:r w:rsidR="00EA09D3" w:rsidRPr="006A7223">
        <w:rPr>
          <w:rFonts w:ascii="Times New Roman" w:eastAsiaTheme="minorHAnsi" w:hAnsi="Times New Roman" w:cs="Times New Roman"/>
          <w:b/>
        </w:rPr>
        <w:t xml:space="preserve"> "Effect of Treatment on Water Absorption Capacity (%) of Idli Powder"</w:t>
      </w:r>
    </w:p>
    <w:p w14:paraId="2AC0FA8D" w14:textId="77777777" w:rsidR="00CA6FD6" w:rsidRPr="006A7223" w:rsidRDefault="00CA6FD6" w:rsidP="00A46A21">
      <w:pPr>
        <w:pStyle w:val="ListParagraph"/>
        <w:spacing w:line="276" w:lineRule="auto"/>
        <w:ind w:left="360"/>
        <w:rPr>
          <w:rFonts w:ascii="Times New Roman" w:eastAsiaTheme="minorHAnsi" w:hAnsi="Times New Roman" w:cs="Times New Roman"/>
          <w:b/>
        </w:rPr>
      </w:pPr>
    </w:p>
    <w:p w14:paraId="4858B3F6" w14:textId="77777777" w:rsidR="00CA6FD6" w:rsidRPr="006A7223" w:rsidRDefault="00CA6FD6" w:rsidP="00A46A21">
      <w:pPr>
        <w:pStyle w:val="ListParagraph"/>
        <w:spacing w:line="276" w:lineRule="auto"/>
        <w:ind w:left="360"/>
        <w:rPr>
          <w:rFonts w:ascii="Times New Roman" w:eastAsiaTheme="minorHAnsi" w:hAnsi="Times New Roman" w:cs="Times New Roman"/>
          <w:b/>
        </w:rPr>
      </w:pPr>
    </w:p>
    <w:p w14:paraId="68DB5425"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drawing>
          <wp:inline distT="0" distB="0" distL="0" distR="0" wp14:anchorId="22003248" wp14:editId="6302A3C4">
            <wp:extent cx="4699000" cy="27432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37FF29"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1C449B11" w14:textId="44EFF2EE" w:rsidR="00CA6FD6" w:rsidRPr="006A7223" w:rsidRDefault="00483970" w:rsidP="00A46A21">
      <w:pPr>
        <w:pStyle w:val="ListParagraph"/>
        <w:spacing w:line="276" w:lineRule="auto"/>
        <w:ind w:left="360"/>
        <w:jc w:val="center"/>
        <w:rPr>
          <w:rFonts w:ascii="Times New Roman" w:eastAsiaTheme="minorHAnsi" w:hAnsi="Times New Roman" w:cs="Times New Roman"/>
          <w:b/>
        </w:rPr>
      </w:pPr>
      <w:r>
        <w:rPr>
          <w:rFonts w:ascii="Times New Roman" w:eastAsiaTheme="minorHAnsi" w:hAnsi="Times New Roman" w:cs="Times New Roman"/>
          <w:b/>
        </w:rPr>
        <w:t xml:space="preserve">Fig </w:t>
      </w:r>
      <w:r w:rsidR="00325F4C">
        <w:rPr>
          <w:rFonts w:ascii="Times New Roman" w:eastAsiaTheme="minorHAnsi" w:hAnsi="Times New Roman" w:cs="Times New Roman"/>
          <w:b/>
        </w:rPr>
        <w:t>8</w:t>
      </w:r>
      <w:r>
        <w:rPr>
          <w:rFonts w:ascii="Times New Roman" w:eastAsiaTheme="minorHAnsi" w:hAnsi="Times New Roman" w:cs="Times New Roman"/>
          <w:b/>
        </w:rPr>
        <w:t xml:space="preserve"> I</w:t>
      </w:r>
      <w:r w:rsidR="00CA6FD6" w:rsidRPr="006A7223">
        <w:rPr>
          <w:rFonts w:ascii="Times New Roman" w:eastAsiaTheme="minorHAnsi" w:hAnsi="Times New Roman" w:cs="Times New Roman"/>
          <w:b/>
        </w:rPr>
        <w:t>mpact of Treatments on Wettability (g/min) of Instant Idli Mix"</w:t>
      </w:r>
    </w:p>
    <w:p w14:paraId="0EFDA67B"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hAnsi="Times New Roman" w:cs="Times New Roman"/>
          <w:noProof/>
          <w:lang w:eastAsia="en-IN"/>
        </w:rPr>
        <w:lastRenderedPageBreak/>
        <w:drawing>
          <wp:inline distT="0" distB="0" distL="0" distR="0" wp14:anchorId="16CDC6B0" wp14:editId="486B9A13">
            <wp:extent cx="4572000" cy="2766060"/>
            <wp:effectExtent l="0" t="0" r="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E88537"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7A4B6239" w14:textId="1DAFCD81"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eastAsiaTheme="minorHAnsi" w:hAnsi="Times New Roman" w:cs="Times New Roman"/>
          <w:b/>
        </w:rPr>
        <w:t xml:space="preserve">Fig </w:t>
      </w:r>
      <w:r w:rsidR="00325F4C">
        <w:rPr>
          <w:rFonts w:ascii="Times New Roman" w:eastAsiaTheme="minorHAnsi" w:hAnsi="Times New Roman" w:cs="Times New Roman"/>
          <w:b/>
        </w:rPr>
        <w:t>9</w:t>
      </w:r>
      <w:r w:rsidRPr="006A7223">
        <w:rPr>
          <w:rFonts w:ascii="Times New Roman" w:eastAsiaTheme="minorHAnsi" w:hAnsi="Times New Roman" w:cs="Times New Roman"/>
          <w:b/>
        </w:rPr>
        <w:t xml:space="preserve"> Comparison of Rehydration Ratio between Treated and Control Instant Idli Mix"</w:t>
      </w:r>
    </w:p>
    <w:p w14:paraId="39041D58"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bookmarkStart w:id="0" w:name="_GoBack"/>
      <w:bookmarkEnd w:id="0"/>
      <w:r w:rsidRPr="006A7223">
        <w:rPr>
          <w:rFonts w:ascii="Times New Roman" w:hAnsi="Times New Roman" w:cs="Times New Roman"/>
          <w:noProof/>
          <w:lang w:eastAsia="en-IN"/>
        </w:rPr>
        <w:drawing>
          <wp:inline distT="0" distB="0" distL="0" distR="0" wp14:anchorId="5212CEDA" wp14:editId="6CF6B8B0">
            <wp:extent cx="4743450" cy="4038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E67D87" w14:textId="77777777" w:rsidR="00CA6FD6" w:rsidRPr="006A7223" w:rsidRDefault="00CA6FD6" w:rsidP="00A46A21">
      <w:pPr>
        <w:pStyle w:val="ListParagraph"/>
        <w:spacing w:line="276" w:lineRule="auto"/>
        <w:ind w:left="360"/>
        <w:jc w:val="center"/>
        <w:rPr>
          <w:rFonts w:ascii="Times New Roman" w:eastAsiaTheme="minorHAnsi" w:hAnsi="Times New Roman" w:cs="Times New Roman"/>
          <w:b/>
        </w:rPr>
      </w:pPr>
    </w:p>
    <w:p w14:paraId="3E6A859A" w14:textId="1707C3BA" w:rsidR="00CA6FD6" w:rsidRPr="006A7223" w:rsidRDefault="00CA6FD6" w:rsidP="00A46A21">
      <w:pPr>
        <w:pStyle w:val="ListParagraph"/>
        <w:spacing w:line="276" w:lineRule="auto"/>
        <w:ind w:left="360"/>
        <w:jc w:val="center"/>
        <w:rPr>
          <w:rFonts w:ascii="Times New Roman" w:eastAsiaTheme="minorHAnsi" w:hAnsi="Times New Roman" w:cs="Times New Roman"/>
          <w:b/>
        </w:rPr>
      </w:pPr>
      <w:r w:rsidRPr="006A7223">
        <w:rPr>
          <w:rFonts w:ascii="Times New Roman" w:eastAsiaTheme="minorHAnsi" w:hAnsi="Times New Roman" w:cs="Times New Roman"/>
          <w:b/>
        </w:rPr>
        <w:t xml:space="preserve">Fig </w:t>
      </w:r>
      <w:r w:rsidR="00325F4C">
        <w:rPr>
          <w:rFonts w:ascii="Times New Roman" w:eastAsiaTheme="minorHAnsi" w:hAnsi="Times New Roman" w:cs="Times New Roman"/>
          <w:b/>
        </w:rPr>
        <w:t>10</w:t>
      </w:r>
      <w:r w:rsidRPr="006A7223">
        <w:rPr>
          <w:rFonts w:ascii="Times New Roman" w:eastAsiaTheme="minorHAnsi" w:hAnsi="Times New Roman" w:cs="Times New Roman"/>
          <w:b/>
        </w:rPr>
        <w:t xml:space="preserve"> Influence of Treatment on Reconstitution Time (s) of Instant Idli Mix"</w:t>
      </w:r>
    </w:p>
    <w:p w14:paraId="5BFBEC66" w14:textId="3E30B3FE" w:rsidR="006A7223" w:rsidRDefault="00483970" w:rsidP="00A46A21">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Pr>
          <w:rFonts w:ascii="Times New Roman" w:hAnsi="Times New Roman" w:cs="Times New Roman"/>
          <w:b/>
        </w:rPr>
        <w:t xml:space="preserve">3.4 </w:t>
      </w:r>
      <w:r w:rsidR="006A7223" w:rsidRPr="006A7223">
        <w:rPr>
          <w:rFonts w:ascii="Times New Roman" w:hAnsi="Times New Roman" w:cs="Times New Roman"/>
          <w:b/>
        </w:rPr>
        <w:t>Sensory Evaluation</w:t>
      </w:r>
      <w:r w:rsidR="006A7223" w:rsidRPr="006A7223">
        <w:rPr>
          <w:rFonts w:ascii="Times New Roman" w:eastAsia="Times New Roman" w:hAnsi="Times New Roman" w:cs="Times New Roman"/>
          <w:b/>
          <w:kern w:val="0"/>
          <w:lang w:eastAsia="en-IN"/>
          <w14:ligatures w14:val="none"/>
        </w:rPr>
        <w:t xml:space="preserve"> </w:t>
      </w:r>
      <w:r w:rsidR="00FF6671">
        <w:rPr>
          <w:rFonts w:ascii="Times New Roman" w:eastAsia="Times New Roman" w:hAnsi="Times New Roman" w:cs="Times New Roman"/>
          <w:b/>
          <w:kern w:val="0"/>
          <w:lang w:eastAsia="en-IN"/>
          <w14:ligatures w14:val="none"/>
        </w:rPr>
        <w:t xml:space="preserve">of Idli </w:t>
      </w:r>
      <w:proofErr w:type="spellStart"/>
      <w:r w:rsidR="00FF6671">
        <w:rPr>
          <w:rFonts w:ascii="Times New Roman" w:eastAsia="Times New Roman" w:hAnsi="Times New Roman" w:cs="Times New Roman"/>
          <w:b/>
          <w:kern w:val="0"/>
          <w:lang w:eastAsia="en-IN"/>
          <w14:ligatures w14:val="none"/>
        </w:rPr>
        <w:t>Prepred</w:t>
      </w:r>
      <w:proofErr w:type="spellEnd"/>
      <w:r w:rsidR="00FF6671">
        <w:rPr>
          <w:rFonts w:ascii="Times New Roman" w:eastAsia="Times New Roman" w:hAnsi="Times New Roman" w:cs="Times New Roman"/>
          <w:b/>
          <w:kern w:val="0"/>
          <w:lang w:eastAsia="en-IN"/>
          <w14:ligatures w14:val="none"/>
        </w:rPr>
        <w:t xml:space="preserve"> from Idli pre mix</w:t>
      </w:r>
    </w:p>
    <w:p w14:paraId="35F50284" w14:textId="285983B0" w:rsidR="00AD579C" w:rsidRPr="00AD579C" w:rsidRDefault="00AD579C" w:rsidP="00AD579C">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lastRenderedPageBreak/>
        <w:t xml:space="preserve">Treatment T3 received the highest score for </w:t>
      </w:r>
      <w:r w:rsidRPr="00AD579C">
        <w:rPr>
          <w:rFonts w:ascii="Times New Roman" w:eastAsia="Times New Roman" w:hAnsi="Times New Roman" w:cs="Times New Roman"/>
          <w:bCs/>
          <w:kern w:val="0"/>
          <w:lang w:eastAsia="en-IN"/>
          <w14:ligatures w14:val="none"/>
        </w:rPr>
        <w:t>colour and appearance</w:t>
      </w:r>
      <w:r w:rsidRPr="00AD579C">
        <w:rPr>
          <w:rFonts w:ascii="Times New Roman" w:eastAsia="Times New Roman" w:hAnsi="Times New Roman" w:cs="Times New Roman"/>
          <w:kern w:val="0"/>
          <w:lang w:eastAsia="en-IN"/>
          <w14:ligatures w14:val="none"/>
        </w:rPr>
        <w:t xml:space="preserve"> (8.83), making it the most visually appealing sample. The control sample T6 followed closely with a score of </w:t>
      </w:r>
      <w:r w:rsidRPr="00AD579C">
        <w:rPr>
          <w:rFonts w:ascii="Times New Roman" w:eastAsia="Times New Roman" w:hAnsi="Times New Roman" w:cs="Times New Roman"/>
          <w:bCs/>
          <w:kern w:val="0"/>
          <w:lang w:eastAsia="en-IN"/>
          <w14:ligatures w14:val="none"/>
        </w:rPr>
        <w:t>8.70</w:t>
      </w:r>
      <w:r w:rsidRPr="00AD579C">
        <w:rPr>
          <w:rFonts w:ascii="Times New Roman" w:eastAsia="Times New Roman" w:hAnsi="Times New Roman" w:cs="Times New Roman"/>
          <w:kern w:val="0"/>
          <w:lang w:eastAsia="en-IN"/>
          <w14:ligatures w14:val="none"/>
        </w:rPr>
        <w:t xml:space="preserve">. Treatments T2 and T4 also showed good acceptance, scoring </w:t>
      </w:r>
      <w:r w:rsidRPr="00AD579C">
        <w:rPr>
          <w:rFonts w:ascii="Times New Roman" w:eastAsia="Times New Roman" w:hAnsi="Times New Roman" w:cs="Times New Roman"/>
          <w:bCs/>
          <w:kern w:val="0"/>
          <w:lang w:eastAsia="en-IN"/>
          <w14:ligatures w14:val="none"/>
        </w:rPr>
        <w:t>8.13</w:t>
      </w:r>
      <w:r w:rsidRPr="00AD579C">
        <w:rPr>
          <w:rFonts w:ascii="Times New Roman" w:eastAsia="Times New Roman" w:hAnsi="Times New Roman" w:cs="Times New Roman"/>
          <w:kern w:val="0"/>
          <w:lang w:eastAsia="en-IN"/>
          <w14:ligatures w14:val="none"/>
        </w:rPr>
        <w:t xml:space="preserve"> and </w:t>
      </w:r>
      <w:r w:rsidRPr="00AD579C">
        <w:rPr>
          <w:rFonts w:ascii="Times New Roman" w:eastAsia="Times New Roman" w:hAnsi="Times New Roman" w:cs="Times New Roman"/>
          <w:bCs/>
          <w:kern w:val="0"/>
          <w:lang w:eastAsia="en-IN"/>
          <w14:ligatures w14:val="none"/>
        </w:rPr>
        <w:t>8.03</w:t>
      </w:r>
      <w:r w:rsidRPr="00AD579C">
        <w:rPr>
          <w:rFonts w:ascii="Times New Roman" w:eastAsia="Times New Roman" w:hAnsi="Times New Roman" w:cs="Times New Roman"/>
          <w:kern w:val="0"/>
          <w:lang w:eastAsia="en-IN"/>
          <w14:ligatures w14:val="none"/>
        </w:rPr>
        <w:t xml:space="preserve">, respectively. In contrast, T1 (7.43) and T5 (7.30) received lower scores, likely due to the darker shade caused by higher finger millet </w:t>
      </w:r>
      <w:proofErr w:type="spellStart"/>
      <w:r w:rsidRPr="00AD579C">
        <w:rPr>
          <w:rFonts w:ascii="Times New Roman" w:eastAsia="Times New Roman" w:hAnsi="Times New Roman" w:cs="Times New Roman"/>
          <w:kern w:val="0"/>
          <w:lang w:eastAsia="en-IN"/>
          <w14:ligatures w14:val="none"/>
        </w:rPr>
        <w:t>content.For</w:t>
      </w:r>
      <w:proofErr w:type="spellEnd"/>
      <w:r w:rsidRPr="00AD579C">
        <w:rPr>
          <w:rFonts w:ascii="Times New Roman" w:eastAsia="Times New Roman" w:hAnsi="Times New Roman" w:cs="Times New Roman"/>
          <w:kern w:val="0"/>
          <w:lang w:eastAsia="en-IN"/>
          <w14:ligatures w14:val="none"/>
        </w:rPr>
        <w:t xml:space="preserve"> </w:t>
      </w:r>
      <w:r w:rsidRPr="00AD579C">
        <w:rPr>
          <w:rFonts w:ascii="Times New Roman" w:eastAsia="Times New Roman" w:hAnsi="Times New Roman" w:cs="Times New Roman"/>
          <w:bCs/>
          <w:kern w:val="0"/>
          <w:lang w:eastAsia="en-IN"/>
          <w14:ligatures w14:val="none"/>
        </w:rPr>
        <w:t>texture</w:t>
      </w:r>
      <w:r w:rsidRPr="00AD579C">
        <w:rPr>
          <w:rFonts w:ascii="Times New Roman" w:eastAsia="Times New Roman" w:hAnsi="Times New Roman" w:cs="Times New Roman"/>
          <w:kern w:val="0"/>
          <w:lang w:eastAsia="en-IN"/>
          <w14:ligatures w14:val="none"/>
        </w:rPr>
        <w:t>, T3 again achieved the top rating (</w:t>
      </w:r>
      <w:r w:rsidRPr="00AD579C">
        <w:rPr>
          <w:rFonts w:ascii="Times New Roman" w:eastAsia="Times New Roman" w:hAnsi="Times New Roman" w:cs="Times New Roman"/>
          <w:bCs/>
          <w:kern w:val="0"/>
          <w:lang w:eastAsia="en-IN"/>
          <w14:ligatures w14:val="none"/>
        </w:rPr>
        <w:t>8.60</w:t>
      </w:r>
      <w:r w:rsidRPr="00AD579C">
        <w:rPr>
          <w:rFonts w:ascii="Times New Roman" w:eastAsia="Times New Roman" w:hAnsi="Times New Roman" w:cs="Times New Roman"/>
          <w:kern w:val="0"/>
          <w:lang w:eastAsia="en-IN"/>
          <w14:ligatures w14:val="none"/>
        </w:rPr>
        <w:t xml:space="preserve">), indicating a soft and pleasant mouthfeel. The control sample T6 scored well at </w:t>
      </w:r>
      <w:r w:rsidRPr="00AD579C">
        <w:rPr>
          <w:rFonts w:ascii="Times New Roman" w:eastAsia="Times New Roman" w:hAnsi="Times New Roman" w:cs="Times New Roman"/>
          <w:bCs/>
          <w:kern w:val="0"/>
          <w:lang w:eastAsia="en-IN"/>
          <w14:ligatures w14:val="none"/>
        </w:rPr>
        <w:t>8.43</w:t>
      </w:r>
      <w:r w:rsidRPr="00AD579C">
        <w:rPr>
          <w:rFonts w:ascii="Times New Roman" w:eastAsia="Times New Roman" w:hAnsi="Times New Roman" w:cs="Times New Roman"/>
          <w:kern w:val="0"/>
          <w:lang w:eastAsia="en-IN"/>
          <w14:ligatures w14:val="none"/>
        </w:rPr>
        <w:t xml:space="preserve">, while T1 and T5 had lower scores of </w:t>
      </w:r>
      <w:r w:rsidRPr="00AD579C">
        <w:rPr>
          <w:rFonts w:ascii="Times New Roman" w:eastAsia="Times New Roman" w:hAnsi="Times New Roman" w:cs="Times New Roman"/>
          <w:bCs/>
          <w:kern w:val="0"/>
          <w:lang w:eastAsia="en-IN"/>
          <w14:ligatures w14:val="none"/>
        </w:rPr>
        <w:t>7.26</w:t>
      </w:r>
      <w:r w:rsidRPr="00AD579C">
        <w:rPr>
          <w:rFonts w:ascii="Times New Roman" w:eastAsia="Times New Roman" w:hAnsi="Times New Roman" w:cs="Times New Roman"/>
          <w:kern w:val="0"/>
          <w:lang w:eastAsia="en-IN"/>
          <w14:ligatures w14:val="none"/>
        </w:rPr>
        <w:t xml:space="preserve"> and </w:t>
      </w:r>
      <w:r w:rsidRPr="00AD579C">
        <w:rPr>
          <w:rFonts w:ascii="Times New Roman" w:eastAsia="Times New Roman" w:hAnsi="Times New Roman" w:cs="Times New Roman"/>
          <w:bCs/>
          <w:kern w:val="0"/>
          <w:lang w:eastAsia="en-IN"/>
          <w14:ligatures w14:val="none"/>
        </w:rPr>
        <w:t>7.23</w:t>
      </w:r>
      <w:r w:rsidRPr="00AD579C">
        <w:rPr>
          <w:rFonts w:ascii="Times New Roman" w:eastAsia="Times New Roman" w:hAnsi="Times New Roman" w:cs="Times New Roman"/>
          <w:kern w:val="0"/>
          <w:lang w:eastAsia="en-IN"/>
          <w14:ligatures w14:val="none"/>
        </w:rPr>
        <w:t>, respectively—possibly due to a firmer texture resulting from the formulation.</w:t>
      </w:r>
    </w:p>
    <w:p w14:paraId="340D774B" w14:textId="3CFBF101" w:rsidR="00AD579C" w:rsidRPr="00AD579C" w:rsidRDefault="00AD579C" w:rsidP="00AD579C">
      <w:pPr>
        <w:spacing w:before="100" w:beforeAutospacing="1" w:after="100" w:afterAutospacing="1" w:line="276" w:lineRule="auto"/>
        <w:ind w:firstLine="360"/>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In terms of </w:t>
      </w:r>
      <w:r w:rsidRPr="00AD579C">
        <w:rPr>
          <w:rFonts w:ascii="Times New Roman" w:eastAsia="Times New Roman" w:hAnsi="Times New Roman" w:cs="Times New Roman"/>
          <w:bCs/>
          <w:kern w:val="0"/>
          <w:lang w:eastAsia="en-IN"/>
          <w14:ligatures w14:val="none"/>
        </w:rPr>
        <w:t>flavour</w:t>
      </w:r>
      <w:r w:rsidRPr="00AD579C">
        <w:rPr>
          <w:rFonts w:ascii="Times New Roman" w:eastAsia="Times New Roman" w:hAnsi="Times New Roman" w:cs="Times New Roman"/>
          <w:kern w:val="0"/>
          <w:lang w:eastAsia="en-IN"/>
          <w14:ligatures w14:val="none"/>
        </w:rPr>
        <w:t>, T3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and T6 (</w:t>
      </w:r>
      <w:r w:rsidRPr="00AD579C">
        <w:rPr>
          <w:rFonts w:ascii="Times New Roman" w:eastAsia="Times New Roman" w:hAnsi="Times New Roman" w:cs="Times New Roman"/>
          <w:bCs/>
          <w:kern w:val="0"/>
          <w:lang w:eastAsia="en-IN"/>
          <w14:ligatures w14:val="none"/>
        </w:rPr>
        <w:t>8.30</w:t>
      </w:r>
      <w:r w:rsidRPr="00AD579C">
        <w:rPr>
          <w:rFonts w:ascii="Times New Roman" w:eastAsia="Times New Roman" w:hAnsi="Times New Roman" w:cs="Times New Roman"/>
          <w:kern w:val="0"/>
          <w:lang w:eastAsia="en-IN"/>
          <w14:ligatures w14:val="none"/>
        </w:rPr>
        <w:t xml:space="preserve">) were most </w:t>
      </w:r>
      <w:proofErr w:type="spellStart"/>
      <w:r w:rsidRPr="00AD579C">
        <w:rPr>
          <w:rFonts w:ascii="Times New Roman" w:eastAsia="Times New Roman" w:hAnsi="Times New Roman" w:cs="Times New Roman"/>
          <w:kern w:val="0"/>
          <w:lang w:eastAsia="en-IN"/>
          <w14:ligatures w14:val="none"/>
        </w:rPr>
        <w:t>favored</w:t>
      </w:r>
      <w:proofErr w:type="spellEnd"/>
      <w:r w:rsidRPr="00AD579C">
        <w:rPr>
          <w:rFonts w:ascii="Times New Roman" w:eastAsia="Times New Roman" w:hAnsi="Times New Roman" w:cs="Times New Roman"/>
          <w:kern w:val="0"/>
          <w:lang w:eastAsia="en-IN"/>
          <w14:ligatures w14:val="none"/>
        </w:rPr>
        <w:t xml:space="preserve"> by the </w:t>
      </w:r>
      <w:proofErr w:type="spellStart"/>
      <w:r w:rsidRPr="00AD579C">
        <w:rPr>
          <w:rFonts w:ascii="Times New Roman" w:eastAsia="Times New Roman" w:hAnsi="Times New Roman" w:cs="Times New Roman"/>
          <w:kern w:val="0"/>
          <w:lang w:eastAsia="en-IN"/>
          <w14:ligatures w14:val="none"/>
        </w:rPr>
        <w:t>panelists</w:t>
      </w:r>
      <w:proofErr w:type="spellEnd"/>
      <w:r w:rsidRPr="00AD579C">
        <w:rPr>
          <w:rFonts w:ascii="Times New Roman" w:eastAsia="Times New Roman" w:hAnsi="Times New Roman" w:cs="Times New Roman"/>
          <w:kern w:val="0"/>
          <w:lang w:eastAsia="en-IN"/>
          <w14:ligatures w14:val="none"/>
        </w:rPr>
        <w:t>. On the other hand, T5 received the lowest score (</w:t>
      </w:r>
      <w:r w:rsidRPr="00AD579C">
        <w:rPr>
          <w:rFonts w:ascii="Times New Roman" w:eastAsia="Times New Roman" w:hAnsi="Times New Roman" w:cs="Times New Roman"/>
          <w:bCs/>
          <w:kern w:val="0"/>
          <w:lang w:eastAsia="en-IN"/>
          <w14:ligatures w14:val="none"/>
        </w:rPr>
        <w:t>6.96</w:t>
      </w:r>
      <w:r w:rsidRPr="00AD579C">
        <w:rPr>
          <w:rFonts w:ascii="Times New Roman" w:eastAsia="Times New Roman" w:hAnsi="Times New Roman" w:cs="Times New Roman"/>
          <w:kern w:val="0"/>
          <w:lang w:eastAsia="en-IN"/>
          <w14:ligatures w14:val="none"/>
        </w:rPr>
        <w:t xml:space="preserve">), suggesting that excessive finger millet content may have negatively influenced flavour </w:t>
      </w:r>
      <w:proofErr w:type="spellStart"/>
      <w:r w:rsidRPr="00AD579C">
        <w:rPr>
          <w:rFonts w:ascii="Times New Roman" w:eastAsia="Times New Roman" w:hAnsi="Times New Roman" w:cs="Times New Roman"/>
          <w:kern w:val="0"/>
          <w:lang w:eastAsia="en-IN"/>
          <w14:ligatures w14:val="none"/>
        </w:rPr>
        <w:t>acceptability.</w:t>
      </w:r>
      <w:r w:rsidRPr="00AD579C">
        <w:rPr>
          <w:rFonts w:ascii="Times New Roman" w:eastAsia="Times New Roman" w:hAnsi="Times New Roman" w:cs="Times New Roman"/>
          <w:bCs/>
          <w:kern w:val="0"/>
          <w:lang w:eastAsia="en-IN"/>
          <w14:ligatures w14:val="none"/>
        </w:rPr>
        <w:t>Taste</w:t>
      </w:r>
      <w:proofErr w:type="spellEnd"/>
      <w:r w:rsidRPr="00AD579C">
        <w:rPr>
          <w:rFonts w:ascii="Times New Roman" w:eastAsia="Times New Roman" w:hAnsi="Times New Roman" w:cs="Times New Roman"/>
          <w:kern w:val="0"/>
          <w:lang w:eastAsia="en-IN"/>
          <w14:ligatures w14:val="none"/>
        </w:rPr>
        <w:t xml:space="preserve"> ratings followed a similar trend: T3 led with </w:t>
      </w:r>
      <w:r w:rsidRPr="00AD579C">
        <w:rPr>
          <w:rFonts w:ascii="Times New Roman" w:eastAsia="Times New Roman" w:hAnsi="Times New Roman" w:cs="Times New Roman"/>
          <w:bCs/>
          <w:kern w:val="0"/>
          <w:lang w:eastAsia="en-IN"/>
          <w14:ligatures w14:val="none"/>
        </w:rPr>
        <w:t>8.50</w:t>
      </w:r>
      <w:r w:rsidRPr="00AD579C">
        <w:rPr>
          <w:rFonts w:ascii="Times New Roman" w:eastAsia="Times New Roman" w:hAnsi="Times New Roman" w:cs="Times New Roman"/>
          <w:kern w:val="0"/>
          <w:lang w:eastAsia="en-IN"/>
          <w14:ligatures w14:val="none"/>
        </w:rPr>
        <w:t xml:space="preserve">, followed by T6 at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xml:space="preserve"> and T2 at </w:t>
      </w:r>
      <w:r w:rsidRPr="00AD579C">
        <w:rPr>
          <w:rFonts w:ascii="Times New Roman" w:eastAsia="Times New Roman" w:hAnsi="Times New Roman" w:cs="Times New Roman"/>
          <w:bCs/>
          <w:kern w:val="0"/>
          <w:lang w:eastAsia="en-IN"/>
          <w14:ligatures w14:val="none"/>
        </w:rPr>
        <w:t>8.03</w:t>
      </w:r>
      <w:r w:rsidRPr="00AD579C">
        <w:rPr>
          <w:rFonts w:ascii="Times New Roman" w:eastAsia="Times New Roman" w:hAnsi="Times New Roman" w:cs="Times New Roman"/>
          <w:kern w:val="0"/>
          <w:lang w:eastAsia="en-IN"/>
          <w14:ligatures w14:val="none"/>
        </w:rPr>
        <w:t>. Again, T5 scored the lowest (</w:t>
      </w:r>
      <w:r w:rsidRPr="00AD579C">
        <w:rPr>
          <w:rFonts w:ascii="Times New Roman" w:eastAsia="Times New Roman" w:hAnsi="Times New Roman" w:cs="Times New Roman"/>
          <w:bCs/>
          <w:kern w:val="0"/>
          <w:lang w:eastAsia="en-IN"/>
          <w14:ligatures w14:val="none"/>
        </w:rPr>
        <w:t>7.03</w:t>
      </w:r>
      <w:r w:rsidRPr="00AD579C">
        <w:rPr>
          <w:rFonts w:ascii="Times New Roman" w:eastAsia="Times New Roman" w:hAnsi="Times New Roman" w:cs="Times New Roman"/>
          <w:kern w:val="0"/>
          <w:lang w:eastAsia="en-IN"/>
          <w14:ligatures w14:val="none"/>
        </w:rPr>
        <w:t xml:space="preserve">), which may be attributed to the stronger and possibly overpowering flavour of finger </w:t>
      </w:r>
      <w:proofErr w:type="spellStart"/>
      <w:r w:rsidRPr="00AD579C">
        <w:rPr>
          <w:rFonts w:ascii="Times New Roman" w:eastAsia="Times New Roman" w:hAnsi="Times New Roman" w:cs="Times New Roman"/>
          <w:kern w:val="0"/>
          <w:lang w:eastAsia="en-IN"/>
          <w14:ligatures w14:val="none"/>
        </w:rPr>
        <w:t>millet.</w:t>
      </w:r>
      <w:r w:rsidRPr="00AD579C">
        <w:rPr>
          <w:rFonts w:ascii="Times New Roman" w:eastAsia="Times New Roman" w:hAnsi="Times New Roman" w:cs="Times New Roman"/>
          <w:bCs/>
          <w:kern w:val="0"/>
          <w:lang w:eastAsia="en-IN"/>
          <w14:ligatures w14:val="none"/>
        </w:rPr>
        <w:t>Overall</w:t>
      </w:r>
      <w:proofErr w:type="spellEnd"/>
      <w:r w:rsidRPr="00AD579C">
        <w:rPr>
          <w:rFonts w:ascii="Times New Roman" w:eastAsia="Times New Roman" w:hAnsi="Times New Roman" w:cs="Times New Roman"/>
          <w:bCs/>
          <w:kern w:val="0"/>
          <w:lang w:eastAsia="en-IN"/>
          <w14:ligatures w14:val="none"/>
        </w:rPr>
        <w:t xml:space="preserve"> acceptability</w:t>
      </w:r>
      <w:r w:rsidRPr="00AD579C">
        <w:rPr>
          <w:rFonts w:ascii="Times New Roman" w:eastAsia="Times New Roman" w:hAnsi="Times New Roman" w:cs="Times New Roman"/>
          <w:kern w:val="0"/>
          <w:lang w:eastAsia="en-IN"/>
          <w14:ligatures w14:val="none"/>
        </w:rPr>
        <w:t xml:space="preserve"> was highest for T2 (</w:t>
      </w:r>
      <w:r w:rsidRPr="00AD579C">
        <w:rPr>
          <w:rFonts w:ascii="Times New Roman" w:eastAsia="Times New Roman" w:hAnsi="Times New Roman" w:cs="Times New Roman"/>
          <w:bCs/>
          <w:kern w:val="0"/>
          <w:lang w:eastAsia="en-IN"/>
          <w14:ligatures w14:val="none"/>
        </w:rPr>
        <w:t>8.70</w:t>
      </w:r>
      <w:r w:rsidRPr="00AD579C">
        <w:rPr>
          <w:rFonts w:ascii="Times New Roman" w:eastAsia="Times New Roman" w:hAnsi="Times New Roman" w:cs="Times New Roman"/>
          <w:kern w:val="0"/>
          <w:lang w:eastAsia="en-IN"/>
          <w14:ligatures w14:val="none"/>
        </w:rPr>
        <w:t>), slightly higher than T3 (</w:t>
      </w:r>
      <w:r w:rsidRPr="00AD579C">
        <w:rPr>
          <w:rFonts w:ascii="Times New Roman" w:eastAsia="Times New Roman" w:hAnsi="Times New Roman" w:cs="Times New Roman"/>
          <w:bCs/>
          <w:kern w:val="0"/>
          <w:lang w:eastAsia="en-IN"/>
          <w14:ligatures w14:val="none"/>
        </w:rPr>
        <w:t>8.60</w:t>
      </w:r>
      <w:r w:rsidRPr="00AD579C">
        <w:rPr>
          <w:rFonts w:ascii="Times New Roman" w:eastAsia="Times New Roman" w:hAnsi="Times New Roman" w:cs="Times New Roman"/>
          <w:kern w:val="0"/>
          <w:lang w:eastAsia="en-IN"/>
          <w14:ligatures w14:val="none"/>
        </w:rPr>
        <w:t>) and the control T6 (</w:t>
      </w:r>
      <w:r w:rsidRPr="00AD579C">
        <w:rPr>
          <w:rFonts w:ascii="Times New Roman" w:eastAsia="Times New Roman" w:hAnsi="Times New Roman" w:cs="Times New Roman"/>
          <w:bCs/>
          <w:kern w:val="0"/>
          <w:lang w:eastAsia="en-IN"/>
          <w14:ligatures w14:val="none"/>
        </w:rPr>
        <w:t>8.40</w:t>
      </w:r>
      <w:r w:rsidRPr="00AD579C">
        <w:rPr>
          <w:rFonts w:ascii="Times New Roman" w:eastAsia="Times New Roman" w:hAnsi="Times New Roman" w:cs="Times New Roman"/>
          <w:kern w:val="0"/>
          <w:lang w:eastAsia="en-IN"/>
          <w14:ligatures w14:val="none"/>
        </w:rPr>
        <w:t xml:space="preserve">), indicating that the </w:t>
      </w:r>
      <w:proofErr w:type="spellStart"/>
      <w:r w:rsidRPr="00AD579C">
        <w:rPr>
          <w:rFonts w:ascii="Times New Roman" w:eastAsia="Times New Roman" w:hAnsi="Times New Roman" w:cs="Times New Roman"/>
          <w:kern w:val="0"/>
          <w:lang w:eastAsia="en-IN"/>
          <w14:ligatures w14:val="none"/>
        </w:rPr>
        <w:t>panelists</w:t>
      </w:r>
      <w:proofErr w:type="spellEnd"/>
      <w:r w:rsidRPr="00AD579C">
        <w:rPr>
          <w:rFonts w:ascii="Times New Roman" w:eastAsia="Times New Roman" w:hAnsi="Times New Roman" w:cs="Times New Roman"/>
          <w:kern w:val="0"/>
          <w:lang w:eastAsia="en-IN"/>
          <w14:ligatures w14:val="none"/>
        </w:rPr>
        <w:t xml:space="preserve"> found these formulations most acceptable. T4 had the lowest overall acceptability (</w:t>
      </w:r>
      <w:r w:rsidRPr="00AD579C">
        <w:rPr>
          <w:rFonts w:ascii="Times New Roman" w:eastAsia="Times New Roman" w:hAnsi="Times New Roman" w:cs="Times New Roman"/>
          <w:bCs/>
          <w:kern w:val="0"/>
          <w:lang w:eastAsia="en-IN"/>
          <w14:ligatures w14:val="none"/>
        </w:rPr>
        <w:t>7.01</w:t>
      </w:r>
      <w:r w:rsidRPr="00AD579C">
        <w:rPr>
          <w:rFonts w:ascii="Times New Roman" w:eastAsia="Times New Roman" w:hAnsi="Times New Roman" w:cs="Times New Roman"/>
          <w:kern w:val="0"/>
          <w:lang w:eastAsia="en-IN"/>
          <w14:ligatures w14:val="none"/>
        </w:rPr>
        <w:t>), making it the least preferred sample.</w:t>
      </w:r>
    </w:p>
    <w:p w14:paraId="03A6353E" w14:textId="09EFC071" w:rsidR="00AD579C" w:rsidRPr="00AD579C" w:rsidRDefault="00AD579C" w:rsidP="00AD579C">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AD579C">
        <w:rPr>
          <w:rFonts w:ascii="Times New Roman" w:eastAsia="Times New Roman" w:hAnsi="Times New Roman" w:cs="Times New Roman"/>
          <w:kern w:val="0"/>
          <w:lang w:eastAsia="en-IN"/>
          <w14:ligatures w14:val="none"/>
        </w:rPr>
        <w:t xml:space="preserve">These findings are summarized in </w:t>
      </w:r>
      <w:r w:rsidRPr="00AD579C">
        <w:rPr>
          <w:rFonts w:ascii="Times New Roman" w:eastAsia="Times New Roman" w:hAnsi="Times New Roman" w:cs="Times New Roman"/>
          <w:bCs/>
          <w:kern w:val="0"/>
          <w:lang w:eastAsia="en-IN"/>
          <w14:ligatures w14:val="none"/>
        </w:rPr>
        <w:t xml:space="preserve">Table </w:t>
      </w:r>
      <w:r w:rsidR="00325F4C">
        <w:rPr>
          <w:rFonts w:ascii="Times New Roman" w:eastAsia="Times New Roman" w:hAnsi="Times New Roman" w:cs="Times New Roman"/>
          <w:bCs/>
          <w:kern w:val="0"/>
          <w:lang w:eastAsia="en-IN"/>
          <w14:ligatures w14:val="none"/>
        </w:rPr>
        <w:t>2</w:t>
      </w:r>
      <w:r w:rsidRPr="00AD579C">
        <w:rPr>
          <w:rFonts w:ascii="Times New Roman" w:eastAsia="Times New Roman" w:hAnsi="Times New Roman" w:cs="Times New Roman"/>
          <w:kern w:val="0"/>
          <w:lang w:eastAsia="en-IN"/>
          <w14:ligatures w14:val="none"/>
        </w:rPr>
        <w:t xml:space="preserve"> and visually presented in </w:t>
      </w:r>
      <w:r w:rsidRPr="00AD579C">
        <w:rPr>
          <w:rFonts w:ascii="Times New Roman" w:eastAsia="Times New Roman" w:hAnsi="Times New Roman" w:cs="Times New Roman"/>
          <w:bCs/>
          <w:kern w:val="0"/>
          <w:lang w:eastAsia="en-IN"/>
          <w14:ligatures w14:val="none"/>
        </w:rPr>
        <w:t xml:space="preserve">Figure </w:t>
      </w:r>
      <w:r w:rsidR="00325F4C">
        <w:rPr>
          <w:rFonts w:ascii="Times New Roman" w:eastAsia="Times New Roman" w:hAnsi="Times New Roman" w:cs="Times New Roman"/>
          <w:bCs/>
          <w:kern w:val="0"/>
          <w:lang w:eastAsia="en-IN"/>
          <w14:ligatures w14:val="none"/>
        </w:rPr>
        <w:t>11</w:t>
      </w:r>
      <w:proofErr w:type="gramStart"/>
      <w:r w:rsidR="00A80F8F">
        <w:rPr>
          <w:rFonts w:ascii="Times New Roman" w:eastAsia="Times New Roman" w:hAnsi="Times New Roman" w:cs="Times New Roman"/>
          <w:bCs/>
          <w:kern w:val="0"/>
          <w:lang w:eastAsia="en-IN"/>
          <w14:ligatures w14:val="none"/>
        </w:rPr>
        <w:t>,</w:t>
      </w:r>
      <w:r w:rsidR="00325F4C">
        <w:rPr>
          <w:rFonts w:ascii="Times New Roman" w:eastAsia="Times New Roman" w:hAnsi="Times New Roman" w:cs="Times New Roman"/>
          <w:bCs/>
          <w:kern w:val="0"/>
          <w:lang w:eastAsia="en-IN"/>
          <w14:ligatures w14:val="none"/>
        </w:rPr>
        <w:t>12</w:t>
      </w:r>
      <w:proofErr w:type="gramEnd"/>
      <w:r w:rsidRPr="00AD579C">
        <w:rPr>
          <w:rFonts w:ascii="Times New Roman" w:eastAsia="Times New Roman" w:hAnsi="Times New Roman" w:cs="Times New Roman"/>
          <w:kern w:val="0"/>
          <w:lang w:eastAsia="en-IN"/>
          <w14:ligatures w14:val="none"/>
        </w:rPr>
        <w:t>.</w:t>
      </w:r>
    </w:p>
    <w:p w14:paraId="6DBFBBCD" w14:textId="5176E032" w:rsidR="00AD579C" w:rsidRPr="00AD579C" w:rsidRDefault="00AD579C" w:rsidP="0098701D">
      <w:pPr>
        <w:spacing w:before="240" w:line="240" w:lineRule="auto"/>
        <w:jc w:val="center"/>
        <w:rPr>
          <w:rFonts w:ascii="Times New Roman" w:hAnsi="Times New Roman" w:cs="Times New Roman"/>
          <w:b/>
          <w:bCs/>
        </w:rPr>
      </w:pPr>
      <w:r w:rsidRPr="00AD579C">
        <w:rPr>
          <w:rFonts w:ascii="Times New Roman" w:hAnsi="Times New Roman" w:cs="Times New Roman"/>
          <w:b/>
          <w:bCs/>
        </w:rPr>
        <w:t xml:space="preserve">Table </w:t>
      </w:r>
      <w:r w:rsidR="00325F4C">
        <w:rPr>
          <w:rFonts w:ascii="Times New Roman" w:hAnsi="Times New Roman" w:cs="Times New Roman"/>
          <w:b/>
          <w:bCs/>
        </w:rPr>
        <w:t xml:space="preserve">2 </w:t>
      </w:r>
      <w:r w:rsidRPr="00AD579C">
        <w:rPr>
          <w:rFonts w:ascii="Times New Roman" w:hAnsi="Times New Roman" w:cs="Times New Roman"/>
          <w:b/>
          <w:bCs/>
        </w:rPr>
        <w:t xml:space="preserve">Average sensory score values of Prepared Idli </w:t>
      </w:r>
      <w:proofErr w:type="gramStart"/>
      <w:r w:rsidRPr="00AD579C">
        <w:rPr>
          <w:rFonts w:ascii="Times New Roman" w:hAnsi="Times New Roman" w:cs="Times New Roman"/>
          <w:b/>
          <w:bCs/>
        </w:rPr>
        <w:t>From</w:t>
      </w:r>
      <w:proofErr w:type="gramEnd"/>
      <w:r w:rsidRPr="00AD579C">
        <w:rPr>
          <w:rFonts w:ascii="Times New Roman" w:hAnsi="Times New Roman" w:cs="Times New Roman"/>
          <w:b/>
          <w:bCs/>
        </w:rPr>
        <w:t xml:space="preserve"> Pre mix</w:t>
      </w:r>
    </w:p>
    <w:tbl>
      <w:tblPr>
        <w:tblW w:w="8687" w:type="dxa"/>
        <w:tblInd w:w="-10" w:type="dxa"/>
        <w:tblCellMar>
          <w:top w:w="15" w:type="dxa"/>
        </w:tblCellMar>
        <w:tblLook w:val="04A0" w:firstRow="1" w:lastRow="0" w:firstColumn="1" w:lastColumn="0" w:noHBand="0" w:noVBand="1"/>
      </w:tblPr>
      <w:tblGrid>
        <w:gridCol w:w="1511"/>
        <w:gridCol w:w="1766"/>
        <w:gridCol w:w="1215"/>
        <w:gridCol w:w="1355"/>
        <w:gridCol w:w="1095"/>
        <w:gridCol w:w="1745"/>
      </w:tblGrid>
      <w:tr w:rsidR="00AD579C" w:rsidRPr="00AD579C" w14:paraId="42CAE02B" w14:textId="77777777" w:rsidTr="00AD579C">
        <w:trPr>
          <w:trHeight w:val="652"/>
        </w:trPr>
        <w:tc>
          <w:tcPr>
            <w:tcW w:w="1511" w:type="dxa"/>
            <w:tcBorders>
              <w:top w:val="single" w:sz="8" w:space="0" w:color="000000"/>
              <w:left w:val="single" w:sz="8" w:space="0" w:color="000000"/>
              <w:bottom w:val="nil"/>
              <w:right w:val="single" w:sz="8" w:space="0" w:color="000000"/>
            </w:tcBorders>
            <w:shd w:val="clear" w:color="auto" w:fill="auto"/>
            <w:vAlign w:val="center"/>
            <w:hideMark/>
          </w:tcPr>
          <w:p w14:paraId="6F94A4AD"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bCs/>
                <w:color w:val="000000"/>
              </w:rPr>
              <w:t>Treatment</w:t>
            </w:r>
          </w:p>
        </w:tc>
        <w:tc>
          <w:tcPr>
            <w:tcW w:w="1766" w:type="dxa"/>
            <w:tcBorders>
              <w:top w:val="single" w:sz="8" w:space="0" w:color="000000"/>
              <w:left w:val="nil"/>
              <w:bottom w:val="nil"/>
              <w:right w:val="single" w:sz="8" w:space="0" w:color="000000"/>
            </w:tcBorders>
            <w:shd w:val="clear" w:color="auto" w:fill="auto"/>
            <w:hideMark/>
          </w:tcPr>
          <w:p w14:paraId="347E6EC5"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 xml:space="preserve">Colour &amp;Appearance </w:t>
            </w:r>
          </w:p>
        </w:tc>
        <w:tc>
          <w:tcPr>
            <w:tcW w:w="1215" w:type="dxa"/>
            <w:tcBorders>
              <w:top w:val="single" w:sz="8" w:space="0" w:color="000000"/>
              <w:left w:val="nil"/>
              <w:bottom w:val="nil"/>
              <w:right w:val="single" w:sz="8" w:space="0" w:color="000000"/>
            </w:tcBorders>
            <w:shd w:val="clear" w:color="auto" w:fill="auto"/>
            <w:hideMark/>
          </w:tcPr>
          <w:p w14:paraId="716C4106"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Texture</w:t>
            </w:r>
          </w:p>
        </w:tc>
        <w:tc>
          <w:tcPr>
            <w:tcW w:w="1355" w:type="dxa"/>
            <w:tcBorders>
              <w:top w:val="single" w:sz="8" w:space="0" w:color="000000"/>
              <w:left w:val="nil"/>
              <w:bottom w:val="nil"/>
              <w:right w:val="single" w:sz="8" w:space="0" w:color="000000"/>
            </w:tcBorders>
            <w:shd w:val="clear" w:color="auto" w:fill="auto"/>
            <w:hideMark/>
          </w:tcPr>
          <w:p w14:paraId="61076BA1"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Flavour</w:t>
            </w:r>
          </w:p>
        </w:tc>
        <w:tc>
          <w:tcPr>
            <w:tcW w:w="1095" w:type="dxa"/>
            <w:tcBorders>
              <w:top w:val="single" w:sz="8" w:space="0" w:color="000000"/>
              <w:left w:val="nil"/>
              <w:bottom w:val="nil"/>
              <w:right w:val="single" w:sz="8" w:space="0" w:color="000000"/>
            </w:tcBorders>
            <w:shd w:val="clear" w:color="auto" w:fill="auto"/>
            <w:hideMark/>
          </w:tcPr>
          <w:p w14:paraId="74B8E16B"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Taste</w:t>
            </w:r>
          </w:p>
        </w:tc>
        <w:tc>
          <w:tcPr>
            <w:tcW w:w="1745" w:type="dxa"/>
            <w:tcBorders>
              <w:top w:val="single" w:sz="8" w:space="0" w:color="000000"/>
              <w:left w:val="nil"/>
              <w:bottom w:val="nil"/>
              <w:right w:val="single" w:sz="8" w:space="0" w:color="000000"/>
            </w:tcBorders>
            <w:shd w:val="clear" w:color="auto" w:fill="auto"/>
            <w:hideMark/>
          </w:tcPr>
          <w:p w14:paraId="73ACAF38" w14:textId="77777777" w:rsidR="00AD579C" w:rsidRPr="00AD579C" w:rsidRDefault="00AD579C" w:rsidP="0098701D">
            <w:pPr>
              <w:spacing w:line="240" w:lineRule="auto"/>
              <w:jc w:val="center"/>
              <w:rPr>
                <w:rFonts w:ascii="Times New Roman" w:hAnsi="Times New Roman" w:cs="Times New Roman"/>
                <w:b/>
                <w:bCs/>
                <w:color w:val="000000"/>
              </w:rPr>
            </w:pPr>
            <w:r w:rsidRPr="00AD579C">
              <w:rPr>
                <w:rFonts w:ascii="Times New Roman" w:hAnsi="Times New Roman" w:cs="Times New Roman"/>
                <w:b/>
              </w:rPr>
              <w:t>Overall Acceptability</w:t>
            </w:r>
          </w:p>
        </w:tc>
      </w:tr>
      <w:tr w:rsidR="00AD579C" w:rsidRPr="00AD579C" w14:paraId="36365EC6" w14:textId="77777777" w:rsidTr="00AD579C">
        <w:trPr>
          <w:trHeight w:val="517"/>
        </w:trPr>
        <w:tc>
          <w:tcPr>
            <w:tcW w:w="151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06AFF4"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T1</w:t>
            </w:r>
          </w:p>
        </w:tc>
        <w:tc>
          <w:tcPr>
            <w:tcW w:w="1766" w:type="dxa"/>
            <w:tcBorders>
              <w:top w:val="single" w:sz="8" w:space="0" w:color="000000"/>
              <w:left w:val="nil"/>
              <w:bottom w:val="single" w:sz="8" w:space="0" w:color="000000"/>
              <w:right w:val="single" w:sz="8" w:space="0" w:color="000000"/>
            </w:tcBorders>
            <w:shd w:val="clear" w:color="auto" w:fill="auto"/>
            <w:vAlign w:val="center"/>
          </w:tcPr>
          <w:p w14:paraId="279917C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7.43</w:t>
            </w:r>
          </w:p>
        </w:tc>
        <w:tc>
          <w:tcPr>
            <w:tcW w:w="1215" w:type="dxa"/>
            <w:tcBorders>
              <w:top w:val="single" w:sz="8" w:space="0" w:color="000000"/>
              <w:left w:val="nil"/>
              <w:bottom w:val="single" w:sz="8" w:space="0" w:color="000000"/>
              <w:right w:val="single" w:sz="8" w:space="0" w:color="000000"/>
            </w:tcBorders>
            <w:shd w:val="clear" w:color="auto" w:fill="auto"/>
            <w:vAlign w:val="center"/>
          </w:tcPr>
          <w:p w14:paraId="37321C1D"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7.26</w:t>
            </w:r>
          </w:p>
        </w:tc>
        <w:tc>
          <w:tcPr>
            <w:tcW w:w="1355" w:type="dxa"/>
            <w:tcBorders>
              <w:top w:val="single" w:sz="8" w:space="0" w:color="000000"/>
              <w:left w:val="nil"/>
              <w:bottom w:val="single" w:sz="8" w:space="0" w:color="000000"/>
              <w:right w:val="single" w:sz="8" w:space="0" w:color="000000"/>
            </w:tcBorders>
            <w:shd w:val="clear" w:color="auto" w:fill="auto"/>
            <w:vAlign w:val="center"/>
          </w:tcPr>
          <w:p w14:paraId="186D50D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7.36</w:t>
            </w:r>
          </w:p>
        </w:tc>
        <w:tc>
          <w:tcPr>
            <w:tcW w:w="1095" w:type="dxa"/>
            <w:tcBorders>
              <w:top w:val="single" w:sz="8" w:space="0" w:color="000000"/>
              <w:left w:val="nil"/>
              <w:bottom w:val="single" w:sz="8" w:space="0" w:color="000000"/>
              <w:right w:val="single" w:sz="8" w:space="0" w:color="000000"/>
            </w:tcBorders>
            <w:shd w:val="clear" w:color="auto" w:fill="auto"/>
            <w:vAlign w:val="center"/>
          </w:tcPr>
          <w:p w14:paraId="34C211F5"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7.16</w:t>
            </w:r>
          </w:p>
        </w:tc>
        <w:tc>
          <w:tcPr>
            <w:tcW w:w="1745" w:type="dxa"/>
            <w:tcBorders>
              <w:top w:val="single" w:sz="8" w:space="0" w:color="000000"/>
              <w:left w:val="nil"/>
              <w:bottom w:val="single" w:sz="8" w:space="0" w:color="000000"/>
              <w:right w:val="single" w:sz="8" w:space="0" w:color="000000"/>
            </w:tcBorders>
            <w:shd w:val="clear" w:color="auto" w:fill="auto"/>
            <w:vAlign w:val="center"/>
          </w:tcPr>
          <w:p w14:paraId="1437A80B"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7.30</w:t>
            </w:r>
          </w:p>
        </w:tc>
      </w:tr>
      <w:tr w:rsidR="00AD579C" w:rsidRPr="00AD579C" w14:paraId="120C9BFE" w14:textId="77777777" w:rsidTr="00AD579C">
        <w:trPr>
          <w:trHeight w:val="541"/>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5EDEB548"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T2</w:t>
            </w:r>
          </w:p>
        </w:tc>
        <w:tc>
          <w:tcPr>
            <w:tcW w:w="1766" w:type="dxa"/>
            <w:tcBorders>
              <w:top w:val="nil"/>
              <w:left w:val="nil"/>
              <w:bottom w:val="single" w:sz="8" w:space="0" w:color="000000"/>
              <w:right w:val="single" w:sz="8" w:space="0" w:color="000000"/>
            </w:tcBorders>
            <w:shd w:val="clear" w:color="auto" w:fill="auto"/>
            <w:vAlign w:val="center"/>
          </w:tcPr>
          <w:p w14:paraId="20DD85D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8.13</w:t>
            </w:r>
          </w:p>
        </w:tc>
        <w:tc>
          <w:tcPr>
            <w:tcW w:w="1215" w:type="dxa"/>
            <w:tcBorders>
              <w:top w:val="nil"/>
              <w:left w:val="nil"/>
              <w:bottom w:val="single" w:sz="8" w:space="0" w:color="000000"/>
              <w:right w:val="single" w:sz="8" w:space="0" w:color="000000"/>
            </w:tcBorders>
            <w:shd w:val="clear" w:color="auto" w:fill="auto"/>
            <w:vAlign w:val="center"/>
          </w:tcPr>
          <w:p w14:paraId="6D6363A9"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8.16</w:t>
            </w:r>
          </w:p>
        </w:tc>
        <w:tc>
          <w:tcPr>
            <w:tcW w:w="1355" w:type="dxa"/>
            <w:tcBorders>
              <w:top w:val="nil"/>
              <w:left w:val="nil"/>
              <w:bottom w:val="single" w:sz="8" w:space="0" w:color="000000"/>
              <w:right w:val="single" w:sz="8" w:space="0" w:color="000000"/>
            </w:tcBorders>
            <w:shd w:val="clear" w:color="auto" w:fill="auto"/>
            <w:vAlign w:val="center"/>
          </w:tcPr>
          <w:p w14:paraId="18F34834"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7.13</w:t>
            </w:r>
          </w:p>
        </w:tc>
        <w:tc>
          <w:tcPr>
            <w:tcW w:w="1095" w:type="dxa"/>
            <w:tcBorders>
              <w:top w:val="nil"/>
              <w:left w:val="nil"/>
              <w:bottom w:val="single" w:sz="8" w:space="0" w:color="000000"/>
              <w:right w:val="single" w:sz="8" w:space="0" w:color="000000"/>
            </w:tcBorders>
            <w:shd w:val="clear" w:color="auto" w:fill="auto"/>
            <w:vAlign w:val="center"/>
          </w:tcPr>
          <w:p w14:paraId="4825A57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8.03</w:t>
            </w:r>
          </w:p>
        </w:tc>
        <w:tc>
          <w:tcPr>
            <w:tcW w:w="1745" w:type="dxa"/>
            <w:tcBorders>
              <w:top w:val="nil"/>
              <w:left w:val="nil"/>
              <w:bottom w:val="single" w:sz="8" w:space="0" w:color="000000"/>
              <w:right w:val="single" w:sz="8" w:space="0" w:color="000000"/>
            </w:tcBorders>
            <w:shd w:val="clear" w:color="auto" w:fill="auto"/>
            <w:vAlign w:val="center"/>
          </w:tcPr>
          <w:p w14:paraId="6749B75F"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8.70</w:t>
            </w:r>
          </w:p>
        </w:tc>
      </w:tr>
      <w:tr w:rsidR="00AD579C" w:rsidRPr="00AD579C" w14:paraId="6F84CADE" w14:textId="77777777" w:rsidTr="00AD579C">
        <w:trPr>
          <w:trHeight w:val="566"/>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08C92902"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T3</w:t>
            </w:r>
          </w:p>
        </w:tc>
        <w:tc>
          <w:tcPr>
            <w:tcW w:w="1766" w:type="dxa"/>
            <w:tcBorders>
              <w:top w:val="nil"/>
              <w:left w:val="nil"/>
              <w:bottom w:val="single" w:sz="8" w:space="0" w:color="000000"/>
              <w:right w:val="single" w:sz="8" w:space="0" w:color="000000"/>
            </w:tcBorders>
            <w:shd w:val="clear" w:color="auto" w:fill="auto"/>
            <w:vAlign w:val="center"/>
          </w:tcPr>
          <w:p w14:paraId="2836DB04"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8.83</w:t>
            </w:r>
          </w:p>
        </w:tc>
        <w:tc>
          <w:tcPr>
            <w:tcW w:w="1215" w:type="dxa"/>
            <w:tcBorders>
              <w:top w:val="nil"/>
              <w:left w:val="nil"/>
              <w:bottom w:val="single" w:sz="8" w:space="0" w:color="000000"/>
              <w:right w:val="single" w:sz="8" w:space="0" w:color="000000"/>
            </w:tcBorders>
            <w:shd w:val="clear" w:color="auto" w:fill="auto"/>
            <w:vAlign w:val="center"/>
          </w:tcPr>
          <w:p w14:paraId="5B7CDF26"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8.60</w:t>
            </w:r>
          </w:p>
        </w:tc>
        <w:tc>
          <w:tcPr>
            <w:tcW w:w="1355" w:type="dxa"/>
            <w:tcBorders>
              <w:top w:val="nil"/>
              <w:left w:val="nil"/>
              <w:bottom w:val="single" w:sz="8" w:space="0" w:color="000000"/>
              <w:right w:val="single" w:sz="8" w:space="0" w:color="000000"/>
            </w:tcBorders>
            <w:shd w:val="clear" w:color="auto" w:fill="auto"/>
            <w:vAlign w:val="center"/>
          </w:tcPr>
          <w:p w14:paraId="6089A592"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8.40</w:t>
            </w:r>
          </w:p>
        </w:tc>
        <w:tc>
          <w:tcPr>
            <w:tcW w:w="1095" w:type="dxa"/>
            <w:tcBorders>
              <w:top w:val="nil"/>
              <w:left w:val="nil"/>
              <w:bottom w:val="single" w:sz="8" w:space="0" w:color="000000"/>
              <w:right w:val="single" w:sz="8" w:space="0" w:color="000000"/>
            </w:tcBorders>
            <w:shd w:val="clear" w:color="auto" w:fill="auto"/>
            <w:vAlign w:val="center"/>
          </w:tcPr>
          <w:p w14:paraId="1BA1BA0B"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8.50</w:t>
            </w:r>
          </w:p>
        </w:tc>
        <w:tc>
          <w:tcPr>
            <w:tcW w:w="1745" w:type="dxa"/>
            <w:tcBorders>
              <w:top w:val="nil"/>
              <w:left w:val="nil"/>
              <w:bottom w:val="single" w:sz="8" w:space="0" w:color="000000"/>
              <w:right w:val="single" w:sz="8" w:space="0" w:color="000000"/>
            </w:tcBorders>
            <w:shd w:val="clear" w:color="auto" w:fill="auto"/>
            <w:vAlign w:val="center"/>
          </w:tcPr>
          <w:p w14:paraId="266AEFF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bCs/>
                <w:lang w:eastAsia="en-IN"/>
              </w:rPr>
              <w:t>8.60</w:t>
            </w:r>
          </w:p>
        </w:tc>
      </w:tr>
      <w:tr w:rsidR="00AD579C" w:rsidRPr="00AD579C" w14:paraId="5034124C" w14:textId="77777777" w:rsidTr="00AD579C">
        <w:trPr>
          <w:trHeight w:val="504"/>
        </w:trPr>
        <w:tc>
          <w:tcPr>
            <w:tcW w:w="1511" w:type="dxa"/>
            <w:tcBorders>
              <w:top w:val="nil"/>
              <w:left w:val="single" w:sz="8" w:space="0" w:color="000000"/>
              <w:bottom w:val="single" w:sz="8" w:space="0" w:color="000000"/>
              <w:right w:val="single" w:sz="8" w:space="0" w:color="000000"/>
            </w:tcBorders>
            <w:shd w:val="clear" w:color="auto" w:fill="auto"/>
            <w:vAlign w:val="center"/>
            <w:hideMark/>
          </w:tcPr>
          <w:p w14:paraId="54679551"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T4</w:t>
            </w:r>
          </w:p>
        </w:tc>
        <w:tc>
          <w:tcPr>
            <w:tcW w:w="1766" w:type="dxa"/>
            <w:tcBorders>
              <w:top w:val="nil"/>
              <w:left w:val="nil"/>
              <w:bottom w:val="single" w:sz="8" w:space="0" w:color="000000"/>
              <w:right w:val="single" w:sz="8" w:space="0" w:color="000000"/>
            </w:tcBorders>
            <w:shd w:val="clear" w:color="auto" w:fill="auto"/>
            <w:vAlign w:val="center"/>
          </w:tcPr>
          <w:p w14:paraId="24D82935"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8.03</w:t>
            </w:r>
          </w:p>
        </w:tc>
        <w:tc>
          <w:tcPr>
            <w:tcW w:w="1215" w:type="dxa"/>
            <w:tcBorders>
              <w:top w:val="nil"/>
              <w:left w:val="nil"/>
              <w:bottom w:val="single" w:sz="8" w:space="0" w:color="000000"/>
              <w:right w:val="single" w:sz="8" w:space="0" w:color="000000"/>
            </w:tcBorders>
            <w:shd w:val="clear" w:color="auto" w:fill="auto"/>
            <w:vAlign w:val="center"/>
          </w:tcPr>
          <w:p w14:paraId="13B1957F"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7.63</w:t>
            </w:r>
          </w:p>
        </w:tc>
        <w:tc>
          <w:tcPr>
            <w:tcW w:w="1355" w:type="dxa"/>
            <w:tcBorders>
              <w:top w:val="nil"/>
              <w:left w:val="nil"/>
              <w:bottom w:val="single" w:sz="8" w:space="0" w:color="000000"/>
              <w:right w:val="single" w:sz="8" w:space="0" w:color="000000"/>
            </w:tcBorders>
            <w:shd w:val="clear" w:color="auto" w:fill="auto"/>
            <w:vAlign w:val="center"/>
          </w:tcPr>
          <w:p w14:paraId="1EC0E84E"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7.63</w:t>
            </w:r>
          </w:p>
        </w:tc>
        <w:tc>
          <w:tcPr>
            <w:tcW w:w="1095" w:type="dxa"/>
            <w:tcBorders>
              <w:top w:val="nil"/>
              <w:left w:val="nil"/>
              <w:bottom w:val="single" w:sz="8" w:space="0" w:color="000000"/>
              <w:right w:val="single" w:sz="8" w:space="0" w:color="000000"/>
            </w:tcBorders>
            <w:shd w:val="clear" w:color="auto" w:fill="auto"/>
            <w:vAlign w:val="center"/>
          </w:tcPr>
          <w:p w14:paraId="699CB08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7.83</w:t>
            </w:r>
          </w:p>
        </w:tc>
        <w:tc>
          <w:tcPr>
            <w:tcW w:w="1745" w:type="dxa"/>
            <w:tcBorders>
              <w:top w:val="nil"/>
              <w:left w:val="nil"/>
              <w:bottom w:val="single" w:sz="8" w:space="0" w:color="000000"/>
              <w:right w:val="single" w:sz="8" w:space="0" w:color="000000"/>
            </w:tcBorders>
            <w:shd w:val="clear" w:color="auto" w:fill="auto"/>
            <w:vAlign w:val="center"/>
          </w:tcPr>
          <w:p w14:paraId="3B2D3416"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7.01</w:t>
            </w:r>
          </w:p>
        </w:tc>
      </w:tr>
      <w:tr w:rsidR="00AD579C" w:rsidRPr="00AD579C" w14:paraId="33EAB9EE" w14:textId="77777777" w:rsidTr="00AD579C">
        <w:trPr>
          <w:trHeight w:val="504"/>
        </w:trPr>
        <w:tc>
          <w:tcPr>
            <w:tcW w:w="1511" w:type="dxa"/>
            <w:tcBorders>
              <w:top w:val="nil"/>
              <w:left w:val="single" w:sz="8" w:space="0" w:color="000000"/>
              <w:bottom w:val="nil"/>
              <w:right w:val="single" w:sz="8" w:space="0" w:color="000000"/>
            </w:tcBorders>
            <w:shd w:val="clear" w:color="auto" w:fill="auto"/>
            <w:vAlign w:val="center"/>
            <w:hideMark/>
          </w:tcPr>
          <w:p w14:paraId="78AED36F"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T5</w:t>
            </w:r>
          </w:p>
        </w:tc>
        <w:tc>
          <w:tcPr>
            <w:tcW w:w="1766" w:type="dxa"/>
            <w:tcBorders>
              <w:top w:val="nil"/>
              <w:left w:val="nil"/>
              <w:bottom w:val="nil"/>
              <w:right w:val="single" w:sz="8" w:space="0" w:color="000000"/>
            </w:tcBorders>
            <w:shd w:val="clear" w:color="auto" w:fill="auto"/>
            <w:vAlign w:val="center"/>
          </w:tcPr>
          <w:p w14:paraId="65F243C1"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7.30</w:t>
            </w:r>
          </w:p>
        </w:tc>
        <w:tc>
          <w:tcPr>
            <w:tcW w:w="1215" w:type="dxa"/>
            <w:tcBorders>
              <w:top w:val="nil"/>
              <w:left w:val="nil"/>
              <w:bottom w:val="nil"/>
              <w:right w:val="single" w:sz="8" w:space="0" w:color="000000"/>
            </w:tcBorders>
            <w:shd w:val="clear" w:color="auto" w:fill="auto"/>
            <w:vAlign w:val="center"/>
          </w:tcPr>
          <w:p w14:paraId="1A1E3BD3"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7.23</w:t>
            </w:r>
          </w:p>
        </w:tc>
        <w:tc>
          <w:tcPr>
            <w:tcW w:w="1355" w:type="dxa"/>
            <w:tcBorders>
              <w:top w:val="nil"/>
              <w:left w:val="nil"/>
              <w:bottom w:val="nil"/>
              <w:right w:val="single" w:sz="8" w:space="0" w:color="000000"/>
            </w:tcBorders>
            <w:shd w:val="clear" w:color="auto" w:fill="auto"/>
            <w:vAlign w:val="center"/>
          </w:tcPr>
          <w:p w14:paraId="14E9D908"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6.96</w:t>
            </w:r>
          </w:p>
        </w:tc>
        <w:tc>
          <w:tcPr>
            <w:tcW w:w="1095" w:type="dxa"/>
            <w:tcBorders>
              <w:top w:val="nil"/>
              <w:left w:val="nil"/>
              <w:bottom w:val="nil"/>
              <w:right w:val="single" w:sz="8" w:space="0" w:color="000000"/>
            </w:tcBorders>
            <w:shd w:val="clear" w:color="auto" w:fill="auto"/>
            <w:vAlign w:val="center"/>
          </w:tcPr>
          <w:p w14:paraId="6A37D767"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7.03</w:t>
            </w:r>
          </w:p>
        </w:tc>
        <w:tc>
          <w:tcPr>
            <w:tcW w:w="1745" w:type="dxa"/>
            <w:tcBorders>
              <w:top w:val="nil"/>
              <w:left w:val="nil"/>
              <w:bottom w:val="nil"/>
              <w:right w:val="single" w:sz="8" w:space="0" w:color="000000"/>
            </w:tcBorders>
            <w:shd w:val="clear" w:color="auto" w:fill="auto"/>
            <w:vAlign w:val="center"/>
          </w:tcPr>
          <w:p w14:paraId="7B4F7FE7"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7.08</w:t>
            </w:r>
          </w:p>
        </w:tc>
      </w:tr>
      <w:tr w:rsidR="00AD579C" w:rsidRPr="00AD579C" w14:paraId="34A0E141" w14:textId="77777777" w:rsidTr="00AD579C">
        <w:trPr>
          <w:trHeight w:val="574"/>
        </w:trPr>
        <w:tc>
          <w:tcPr>
            <w:tcW w:w="1511"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EEBA06C"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T6</w:t>
            </w:r>
          </w:p>
          <w:p w14:paraId="40763B95" w14:textId="77777777"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hAnsi="Times New Roman" w:cs="Times New Roman"/>
                <w:bCs/>
                <w:color w:val="000000"/>
              </w:rPr>
              <w:t>(Control)</w:t>
            </w:r>
          </w:p>
        </w:tc>
        <w:tc>
          <w:tcPr>
            <w:tcW w:w="1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D88FA2"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8.70</w:t>
            </w:r>
          </w:p>
        </w:tc>
        <w:tc>
          <w:tcPr>
            <w:tcW w:w="12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0AFECA"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8.43</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DD430E"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8.30</w:t>
            </w:r>
          </w:p>
        </w:tc>
        <w:tc>
          <w:tcPr>
            <w:tcW w:w="1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62485A"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8.40</w:t>
            </w:r>
          </w:p>
        </w:tc>
        <w:tc>
          <w:tcPr>
            <w:tcW w:w="1745"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697E7D7C" w14:textId="7777777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hAnsi="Times New Roman" w:cs="Times New Roman"/>
                <w:lang w:eastAsia="en-IN"/>
              </w:rPr>
              <w:t>8.40</w:t>
            </w:r>
          </w:p>
        </w:tc>
      </w:tr>
      <w:tr w:rsidR="00AD579C" w:rsidRPr="00AD579C" w14:paraId="3428DC69" w14:textId="77777777" w:rsidTr="00675F2E">
        <w:trPr>
          <w:trHeight w:val="574"/>
        </w:trPr>
        <w:tc>
          <w:tcPr>
            <w:tcW w:w="1511" w:type="dxa"/>
            <w:tcBorders>
              <w:top w:val="single" w:sz="4" w:space="0" w:color="000000"/>
              <w:left w:val="single" w:sz="8" w:space="0" w:color="000000"/>
              <w:bottom w:val="single" w:sz="4" w:space="0" w:color="000000"/>
              <w:right w:val="single" w:sz="4" w:space="0" w:color="000000"/>
            </w:tcBorders>
            <w:shd w:val="clear" w:color="auto" w:fill="auto"/>
          </w:tcPr>
          <w:p w14:paraId="40E85F91" w14:textId="788571FD"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eastAsia="Times New Roman" w:hAnsi="Times New Roman" w:cs="Times New Roman"/>
                <w:lang w:eastAsia="en-IN"/>
              </w:rPr>
              <w:t>SE(d)</w:t>
            </w:r>
          </w:p>
        </w:tc>
        <w:tc>
          <w:tcPr>
            <w:tcW w:w="1766" w:type="dxa"/>
            <w:tcBorders>
              <w:top w:val="single" w:sz="4" w:space="0" w:color="000000"/>
              <w:left w:val="single" w:sz="4" w:space="0" w:color="000000"/>
              <w:bottom w:val="single" w:sz="4" w:space="0" w:color="000000"/>
              <w:right w:val="single" w:sz="4" w:space="0" w:color="000000"/>
            </w:tcBorders>
            <w:shd w:val="clear" w:color="auto" w:fill="auto"/>
          </w:tcPr>
          <w:p w14:paraId="2DA706A8" w14:textId="38BD8B88"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14:paraId="7BB731B8" w14:textId="5A9EB2AD"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0.486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14:paraId="3DFB661E" w14:textId="153981A0"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0.492</w:t>
            </w:r>
          </w:p>
        </w:tc>
        <w:tc>
          <w:tcPr>
            <w:tcW w:w="1095" w:type="dxa"/>
            <w:tcBorders>
              <w:top w:val="single" w:sz="4" w:space="0" w:color="000000"/>
              <w:left w:val="single" w:sz="4" w:space="0" w:color="000000"/>
              <w:bottom w:val="single" w:sz="4" w:space="0" w:color="000000"/>
              <w:right w:val="single" w:sz="4" w:space="0" w:color="000000"/>
            </w:tcBorders>
            <w:shd w:val="clear" w:color="auto" w:fill="auto"/>
          </w:tcPr>
          <w:p w14:paraId="7089538E" w14:textId="5A2E8461"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0.504</w:t>
            </w:r>
          </w:p>
        </w:tc>
        <w:tc>
          <w:tcPr>
            <w:tcW w:w="1745" w:type="dxa"/>
            <w:tcBorders>
              <w:top w:val="single" w:sz="4" w:space="0" w:color="000000"/>
              <w:left w:val="single" w:sz="4" w:space="0" w:color="000000"/>
              <w:bottom w:val="single" w:sz="4" w:space="0" w:color="000000"/>
              <w:right w:val="single" w:sz="8" w:space="0" w:color="000000"/>
            </w:tcBorders>
            <w:shd w:val="clear" w:color="auto" w:fill="auto"/>
          </w:tcPr>
          <w:p w14:paraId="5F575370" w14:textId="4599725A"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0.565</w:t>
            </w:r>
          </w:p>
        </w:tc>
      </w:tr>
      <w:tr w:rsidR="00AD579C" w:rsidRPr="00AD579C" w14:paraId="638D0397" w14:textId="77777777" w:rsidTr="00675F2E">
        <w:trPr>
          <w:trHeight w:val="574"/>
        </w:trPr>
        <w:tc>
          <w:tcPr>
            <w:tcW w:w="1511" w:type="dxa"/>
            <w:tcBorders>
              <w:top w:val="single" w:sz="4" w:space="0" w:color="000000"/>
              <w:left w:val="single" w:sz="8" w:space="0" w:color="000000"/>
              <w:bottom w:val="single" w:sz="8" w:space="0" w:color="000000"/>
              <w:right w:val="single" w:sz="4" w:space="0" w:color="000000"/>
            </w:tcBorders>
            <w:shd w:val="clear" w:color="auto" w:fill="auto"/>
          </w:tcPr>
          <w:p w14:paraId="7D679719" w14:textId="3272EFEC" w:rsidR="00AD579C" w:rsidRPr="00AD579C" w:rsidRDefault="00AD579C" w:rsidP="0098701D">
            <w:pPr>
              <w:spacing w:line="240" w:lineRule="auto"/>
              <w:jc w:val="center"/>
              <w:rPr>
                <w:rFonts w:ascii="Times New Roman" w:hAnsi="Times New Roman" w:cs="Times New Roman"/>
                <w:bCs/>
                <w:color w:val="000000"/>
              </w:rPr>
            </w:pPr>
            <w:r w:rsidRPr="00AD579C">
              <w:rPr>
                <w:rFonts w:ascii="Times New Roman" w:eastAsia="Times New Roman" w:hAnsi="Times New Roman" w:cs="Times New Roman"/>
                <w:lang w:eastAsia="en-IN"/>
              </w:rPr>
              <w:t>CD (5%)</w:t>
            </w:r>
          </w:p>
        </w:tc>
        <w:tc>
          <w:tcPr>
            <w:tcW w:w="1766" w:type="dxa"/>
            <w:tcBorders>
              <w:top w:val="single" w:sz="4" w:space="0" w:color="000000"/>
              <w:left w:val="single" w:sz="4" w:space="0" w:color="000000"/>
              <w:bottom w:val="single" w:sz="8" w:space="0" w:color="000000"/>
              <w:right w:val="single" w:sz="4" w:space="0" w:color="000000"/>
            </w:tcBorders>
            <w:shd w:val="clear" w:color="auto" w:fill="auto"/>
          </w:tcPr>
          <w:p w14:paraId="0A1C9F62" w14:textId="2AC4BCDD"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1.145</w:t>
            </w:r>
          </w:p>
        </w:tc>
        <w:tc>
          <w:tcPr>
            <w:tcW w:w="1215" w:type="dxa"/>
            <w:tcBorders>
              <w:top w:val="single" w:sz="4" w:space="0" w:color="000000"/>
              <w:left w:val="single" w:sz="4" w:space="0" w:color="000000"/>
              <w:bottom w:val="single" w:sz="8" w:space="0" w:color="000000"/>
              <w:right w:val="single" w:sz="4" w:space="0" w:color="000000"/>
            </w:tcBorders>
            <w:shd w:val="clear" w:color="auto" w:fill="auto"/>
          </w:tcPr>
          <w:p w14:paraId="071B2B7A" w14:textId="588E3FC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1.082</w:t>
            </w:r>
          </w:p>
        </w:tc>
        <w:tc>
          <w:tcPr>
            <w:tcW w:w="1355" w:type="dxa"/>
            <w:tcBorders>
              <w:top w:val="single" w:sz="4" w:space="0" w:color="000000"/>
              <w:left w:val="single" w:sz="4" w:space="0" w:color="000000"/>
              <w:bottom w:val="single" w:sz="8" w:space="0" w:color="000000"/>
              <w:right w:val="single" w:sz="4" w:space="0" w:color="000000"/>
            </w:tcBorders>
            <w:shd w:val="clear" w:color="auto" w:fill="auto"/>
          </w:tcPr>
          <w:p w14:paraId="385F95A0" w14:textId="643198CC"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1.096</w:t>
            </w:r>
          </w:p>
        </w:tc>
        <w:tc>
          <w:tcPr>
            <w:tcW w:w="1095" w:type="dxa"/>
            <w:tcBorders>
              <w:top w:val="single" w:sz="4" w:space="0" w:color="000000"/>
              <w:left w:val="single" w:sz="4" w:space="0" w:color="000000"/>
              <w:bottom w:val="single" w:sz="8" w:space="0" w:color="000000"/>
              <w:right w:val="single" w:sz="4" w:space="0" w:color="000000"/>
            </w:tcBorders>
            <w:shd w:val="clear" w:color="auto" w:fill="auto"/>
          </w:tcPr>
          <w:p w14:paraId="45FBFEB4" w14:textId="5DBFAC57"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1.122</w:t>
            </w:r>
          </w:p>
        </w:tc>
        <w:tc>
          <w:tcPr>
            <w:tcW w:w="1745" w:type="dxa"/>
            <w:tcBorders>
              <w:top w:val="single" w:sz="4" w:space="0" w:color="000000"/>
              <w:left w:val="single" w:sz="4" w:space="0" w:color="000000"/>
              <w:bottom w:val="single" w:sz="8" w:space="0" w:color="000000"/>
              <w:right w:val="single" w:sz="8" w:space="0" w:color="000000"/>
            </w:tcBorders>
            <w:shd w:val="clear" w:color="auto" w:fill="auto"/>
          </w:tcPr>
          <w:p w14:paraId="6F672896" w14:textId="1D436478" w:rsidR="00AD579C" w:rsidRPr="00AD579C" w:rsidRDefault="00AD579C" w:rsidP="0098701D">
            <w:pPr>
              <w:spacing w:line="240" w:lineRule="auto"/>
              <w:jc w:val="center"/>
              <w:rPr>
                <w:rFonts w:ascii="Times New Roman" w:hAnsi="Times New Roman" w:cs="Times New Roman"/>
                <w:lang w:eastAsia="en-IN"/>
              </w:rPr>
            </w:pPr>
            <w:r w:rsidRPr="00AD579C">
              <w:rPr>
                <w:rFonts w:ascii="Times New Roman" w:eastAsia="Times New Roman" w:hAnsi="Times New Roman" w:cs="Times New Roman"/>
                <w:lang w:eastAsia="en-IN"/>
              </w:rPr>
              <w:t>1.260</w:t>
            </w:r>
          </w:p>
        </w:tc>
      </w:tr>
    </w:tbl>
    <w:p w14:paraId="6413FC48" w14:textId="16E97A69" w:rsidR="006A7223" w:rsidRPr="006A7223" w:rsidRDefault="006A7223" w:rsidP="0098701D">
      <w:pPr>
        <w:spacing w:before="240" w:line="276" w:lineRule="auto"/>
        <w:rPr>
          <w:rFonts w:ascii="Times New Roman" w:hAnsi="Times New Roman" w:cs="Times New Roman"/>
          <w:b/>
          <w:bCs/>
        </w:rPr>
      </w:pPr>
      <w:r w:rsidRPr="006A7223">
        <w:rPr>
          <w:rFonts w:ascii="Times New Roman" w:eastAsia="Times New Roman" w:hAnsi="Times New Roman" w:cs="Times New Roman"/>
          <w:vanish/>
          <w:kern w:val="0"/>
          <w:lang w:eastAsia="en-IN"/>
          <w14:ligatures w14:val="none"/>
        </w:rPr>
        <w:t>Bottom of Form</w:t>
      </w:r>
    </w:p>
    <w:p w14:paraId="607DFCEB" w14:textId="753A870A" w:rsidR="006A7223" w:rsidRDefault="0098701D" w:rsidP="009E75DB">
      <w:pPr>
        <w:spacing w:before="100" w:beforeAutospacing="1" w:after="100" w:afterAutospacing="1" w:line="276" w:lineRule="auto"/>
        <w:ind w:firstLine="720"/>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14:ligatures w14:val="none"/>
        </w:rPr>
        <w:lastRenderedPageBreak/>
        <w:drawing>
          <wp:inline distT="0" distB="0" distL="0" distR="0" wp14:anchorId="4ED5B0AF" wp14:editId="5B4C41BD">
            <wp:extent cx="5755172" cy="3459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313" cy="3469784"/>
                    </a:xfrm>
                    <a:prstGeom prst="rect">
                      <a:avLst/>
                    </a:prstGeom>
                    <a:noFill/>
                  </pic:spPr>
                </pic:pic>
              </a:graphicData>
            </a:graphic>
          </wp:inline>
        </w:drawing>
      </w:r>
    </w:p>
    <w:p w14:paraId="27DCA9A1" w14:textId="6D1FD757" w:rsidR="006A7223" w:rsidRPr="006A7223" w:rsidRDefault="006A7223" w:rsidP="00A46A21">
      <w:pPr>
        <w:spacing w:line="276" w:lineRule="auto"/>
        <w:jc w:val="center"/>
        <w:rPr>
          <w:rFonts w:ascii="Times New Roman" w:hAnsi="Times New Roman" w:cs="Times New Roman"/>
          <w:b/>
        </w:rPr>
      </w:pPr>
      <w:r w:rsidRPr="006A7223">
        <w:rPr>
          <w:rFonts w:ascii="Times New Roman" w:hAnsi="Times New Roman" w:cs="Times New Roman"/>
          <w:b/>
        </w:rPr>
        <w:t xml:space="preserve">Fig </w:t>
      </w:r>
      <w:r w:rsidR="00325F4C">
        <w:rPr>
          <w:rFonts w:ascii="Times New Roman" w:hAnsi="Times New Roman" w:cs="Times New Roman"/>
          <w:b/>
        </w:rPr>
        <w:t>11</w:t>
      </w:r>
      <w:r w:rsidRPr="006A7223">
        <w:rPr>
          <w:rFonts w:ascii="Times New Roman" w:hAnsi="Times New Roman" w:cs="Times New Roman"/>
          <w:b/>
        </w:rPr>
        <w:t xml:space="preserve"> Sensory Analysis of Treatment T1 to T6</w:t>
      </w:r>
    </w:p>
    <w:p w14:paraId="4DD5156E" w14:textId="77777777" w:rsidR="00F76443" w:rsidRPr="006A7223" w:rsidRDefault="00F76443" w:rsidP="00A46A21">
      <w:pPr>
        <w:spacing w:line="276" w:lineRule="auto"/>
        <w:rPr>
          <w:rFonts w:ascii="Times New Roman" w:hAnsi="Times New Roman" w:cs="Times New Roman"/>
        </w:rPr>
      </w:pPr>
    </w:p>
    <w:tbl>
      <w:tblPr>
        <w:tblStyle w:val="PlainTable3"/>
        <w:tblW w:w="0" w:type="auto"/>
        <w:tblLook w:val="04A0" w:firstRow="1" w:lastRow="0" w:firstColumn="1" w:lastColumn="0" w:noHBand="0" w:noVBand="1"/>
      </w:tblPr>
      <w:tblGrid>
        <w:gridCol w:w="4731"/>
        <w:gridCol w:w="4629"/>
      </w:tblGrid>
      <w:tr w:rsidR="00F76443" w:rsidRPr="006A7223" w14:paraId="5C30B334" w14:textId="77777777" w:rsidTr="00F76443">
        <w:trPr>
          <w:cnfStyle w:val="100000000000" w:firstRow="1" w:lastRow="0" w:firstColumn="0" w:lastColumn="0" w:oddVBand="0" w:evenVBand="0" w:oddHBand="0" w:evenHBand="0" w:firstRowFirstColumn="0" w:firstRowLastColumn="0" w:lastRowFirstColumn="0" w:lastRowLastColumn="0"/>
          <w:trHeight w:val="5624"/>
        </w:trPr>
        <w:tc>
          <w:tcPr>
            <w:cnfStyle w:val="001000000100" w:firstRow="0" w:lastRow="0" w:firstColumn="1" w:lastColumn="0" w:oddVBand="0" w:evenVBand="0" w:oddHBand="0" w:evenHBand="0" w:firstRowFirstColumn="1" w:firstRowLastColumn="0" w:lastRowFirstColumn="0" w:lastRowLastColumn="0"/>
            <w:tcW w:w="4674" w:type="dxa"/>
            <w:tcBorders>
              <w:bottom w:val="none" w:sz="0" w:space="0" w:color="auto"/>
              <w:right w:val="none" w:sz="0" w:space="0" w:color="auto"/>
            </w:tcBorders>
          </w:tcPr>
          <w:p w14:paraId="02A3FFDF"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478D3EFD" wp14:editId="10B65691">
                  <wp:extent cx="2904304" cy="290507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bce5cbd-74b1I47fb-8048-5cb8856f0483.jfif"/>
                          <pic:cNvPicPr/>
                        </pic:nvPicPr>
                        <pic:blipFill rotWithShape="1">
                          <a:blip r:embed="rId19" cstate="print">
                            <a:extLst>
                              <a:ext uri="{28A0092B-C50C-407E-A947-70E740481C1C}">
                                <a14:useLocalDpi xmlns:a14="http://schemas.microsoft.com/office/drawing/2010/main" val="0"/>
                              </a:ext>
                            </a:extLst>
                          </a:blip>
                          <a:srcRect l="5497" t="5636" r="13163" b="33341"/>
                          <a:stretch/>
                        </pic:blipFill>
                        <pic:spPr bwMode="auto">
                          <a:xfrm>
                            <a:off x="0" y="0"/>
                            <a:ext cx="2915219" cy="2915995"/>
                          </a:xfrm>
                          <a:prstGeom prst="rect">
                            <a:avLst/>
                          </a:prstGeom>
                          <a:ln>
                            <a:noFill/>
                          </a:ln>
                          <a:extLst>
                            <a:ext uri="{53640926-AAD7-44D8-BBD7-CCE9431645EC}">
                              <a14:shadowObscured xmlns:a14="http://schemas.microsoft.com/office/drawing/2010/main"/>
                            </a:ext>
                          </a:extLst>
                        </pic:spPr>
                      </pic:pic>
                    </a:graphicData>
                  </a:graphic>
                </wp:inline>
              </w:drawing>
            </w:r>
          </w:p>
          <w:p w14:paraId="689BB87E"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5648" behindDoc="0" locked="0" layoutInCell="1" allowOverlap="1" wp14:anchorId="3E23A64F" wp14:editId="03FC9C73">
                      <wp:simplePos x="0" y="0"/>
                      <wp:positionH relativeFrom="column">
                        <wp:posOffset>463047</wp:posOffset>
                      </wp:positionH>
                      <wp:positionV relativeFrom="paragraph">
                        <wp:posOffset>27201</wp:posOffset>
                      </wp:positionV>
                      <wp:extent cx="1881963" cy="871869"/>
                      <wp:effectExtent l="0" t="0" r="23495" b="2349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963" cy="8718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0F6665"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T1</w:t>
                                  </w:r>
                                </w:p>
                                <w:p w14:paraId="70D80F40" w14:textId="77777777" w:rsidR="00675F2E" w:rsidRPr="00FF6671" w:rsidRDefault="00675F2E" w:rsidP="00F76443">
                                  <w:pPr>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23A64F" id="_x0000_t202" coordsize="21600,21600" o:spt="202" path="m,l,21600r21600,l21600,xe">
                      <v:stroke joinstyle="miter"/>
                      <v:path gradientshapeok="t" o:connecttype="rect"/>
                    </v:shapetype>
                    <v:shape id="Text Box 2" o:spid="_x0000_s1034" type="#_x0000_t202" style="position:absolute;margin-left:36.45pt;margin-top:2.15pt;width:148.2pt;height:68.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" fillcolor="white [3201]" strokecolor="black [3200]" strokeweight="1.5pt">
                      <v:textbox>
                        <w:txbxContent>
                          <w:p w14:paraId="330F6665"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T1</w:t>
                            </w:r>
                          </w:p>
                          <w:p w14:paraId="70D80F40" w14:textId="77777777" w:rsidR="00675F2E" w:rsidRPr="00FF6671" w:rsidRDefault="00675F2E" w:rsidP="00F76443">
                            <w:pPr>
                              <w:jc w:val="center"/>
                              <w:rPr>
                                <w:rFonts w:ascii="Times New Roman" w:hAnsi="Times New Roman" w:cs="Times New Roman"/>
                                <w:b/>
                                <w:bCs/>
                                <w:sz w:val="28"/>
                                <w:szCs w:val="28"/>
                              </w:rPr>
                            </w:pPr>
                          </w:p>
                        </w:txbxContent>
                      </v:textbox>
                    </v:shape>
                  </w:pict>
                </mc:Fallback>
              </mc:AlternateContent>
            </w:r>
          </w:p>
          <w:p w14:paraId="3901B99B" w14:textId="77777777" w:rsidR="00F76443" w:rsidRPr="006A7223" w:rsidRDefault="00F76443" w:rsidP="00A46A21">
            <w:pPr>
              <w:tabs>
                <w:tab w:val="left" w:pos="1485"/>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Borders>
              <w:bottom w:val="none" w:sz="0" w:space="0" w:color="auto"/>
            </w:tcBorders>
          </w:tcPr>
          <w:p w14:paraId="123A3525"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10943F07" wp14:editId="2242A0A0">
                  <wp:extent cx="2832281" cy="2873165"/>
                  <wp:effectExtent l="0" t="0" r="635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9d16d18-3f87-4d01-8c6a-cb2239787ecdff.jfif"/>
                          <pic:cNvPicPr/>
                        </pic:nvPicPr>
                        <pic:blipFill rotWithShape="1">
                          <a:blip r:embed="rId20" cstate="print">
                            <a:extLst>
                              <a:ext uri="{28A0092B-C50C-407E-A947-70E740481C1C}">
                                <a14:useLocalDpi xmlns:a14="http://schemas.microsoft.com/office/drawing/2010/main" val="0"/>
                              </a:ext>
                            </a:extLst>
                          </a:blip>
                          <a:srcRect l="3298" t="4258" r="8213" b="28414"/>
                          <a:stretch/>
                        </pic:blipFill>
                        <pic:spPr bwMode="auto">
                          <a:xfrm>
                            <a:off x="0" y="0"/>
                            <a:ext cx="2848429" cy="2889546"/>
                          </a:xfrm>
                          <a:prstGeom prst="rect">
                            <a:avLst/>
                          </a:prstGeom>
                          <a:ln>
                            <a:noFill/>
                          </a:ln>
                          <a:extLst>
                            <a:ext uri="{53640926-AAD7-44D8-BBD7-CCE9431645EC}">
                              <a14:shadowObscured xmlns:a14="http://schemas.microsoft.com/office/drawing/2010/main"/>
                            </a:ext>
                          </a:extLst>
                        </pic:spPr>
                      </pic:pic>
                    </a:graphicData>
                  </a:graphic>
                </wp:inline>
              </w:drawing>
            </w:r>
          </w:p>
          <w:p w14:paraId="5E158B01"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6672" behindDoc="0" locked="0" layoutInCell="1" allowOverlap="1" wp14:anchorId="7118CCA0" wp14:editId="49B61E2E">
                      <wp:simplePos x="0" y="0"/>
                      <wp:positionH relativeFrom="column">
                        <wp:posOffset>292735</wp:posOffset>
                      </wp:positionH>
                      <wp:positionV relativeFrom="paragraph">
                        <wp:posOffset>58420</wp:posOffset>
                      </wp:positionV>
                      <wp:extent cx="1840557" cy="812800"/>
                      <wp:effectExtent l="0" t="0" r="26670" b="2540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812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CDECEF"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T2</w:t>
                                  </w:r>
                                </w:p>
                                <w:p w14:paraId="160748D8" w14:textId="77777777" w:rsidR="00675F2E" w:rsidRPr="00FF6671" w:rsidRDefault="00675F2E" w:rsidP="00F76443">
                                  <w:pPr>
                                    <w:jc w:val="center"/>
                                    <w:rPr>
                                      <w:rFonts w:ascii="Times New Roman" w:hAnsi="Times New Roman" w:cs="Times New Roman"/>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8CCA0" id="_x0000_s1035" type="#_x0000_t202" style="position:absolute;margin-left:23.05pt;margin-top:4.6pt;width:144.95pt;height:6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" fillcolor="white [3201]" strokecolor="black [3200]" strokeweight="1.5pt">
                      <v:textbox>
                        <w:txbxContent>
                          <w:p w14:paraId="2BCDECEF" w14:textId="77777777" w:rsidR="00675F2E" w:rsidRPr="00FF6671" w:rsidRDefault="00675F2E" w:rsidP="00F76443">
                            <w:pPr>
                              <w:jc w:val="center"/>
                              <w:rPr>
                                <w:rFonts w:ascii="Times New Roman" w:hAnsi="Times New Roman" w:cs="Times New Roman"/>
                                <w:b/>
                                <w:bCs/>
                                <w:sz w:val="28"/>
                                <w:szCs w:val="28"/>
                              </w:rPr>
                            </w:pPr>
                            <w:r w:rsidRPr="00FF6671">
                              <w:rPr>
                                <w:rFonts w:ascii="Times New Roman" w:hAnsi="Times New Roman" w:cs="Times New Roman"/>
                                <w:b/>
                                <w:bCs/>
                                <w:sz w:val="28"/>
                                <w:szCs w:val="28"/>
                              </w:rPr>
                              <w:t>Developed Idli From Pre Mix Treatment T2</w:t>
                            </w:r>
                          </w:p>
                          <w:p w14:paraId="160748D8" w14:textId="77777777" w:rsidR="00675F2E" w:rsidRPr="00FF6671" w:rsidRDefault="00675F2E" w:rsidP="00F76443">
                            <w:pPr>
                              <w:jc w:val="center"/>
                              <w:rPr>
                                <w:rFonts w:ascii="Times New Roman" w:hAnsi="Times New Roman" w:cs="Times New Roman"/>
                                <w:b/>
                                <w:bCs/>
                                <w:sz w:val="28"/>
                                <w:szCs w:val="28"/>
                              </w:rPr>
                            </w:pPr>
                          </w:p>
                        </w:txbxContent>
                      </v:textbox>
                    </v:shape>
                  </w:pict>
                </mc:Fallback>
              </mc:AlternateContent>
            </w:r>
          </w:p>
          <w:p w14:paraId="7B8298E6" w14:textId="77777777" w:rsidR="00F76443" w:rsidRPr="006A7223" w:rsidRDefault="00F76443" w:rsidP="00A46A21">
            <w:pPr>
              <w:tabs>
                <w:tab w:val="left" w:pos="132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bl>
    <w:p w14:paraId="6638AD09" w14:textId="77777777" w:rsidR="00F76443" w:rsidRPr="006A7223" w:rsidRDefault="00F76443" w:rsidP="00A46A21">
      <w:pPr>
        <w:spacing w:line="276" w:lineRule="auto"/>
        <w:jc w:val="both"/>
        <w:rPr>
          <w:rFonts w:ascii="Times New Roman" w:hAnsi="Times New Roman" w:cs="Times New Roman"/>
        </w:rPr>
      </w:pPr>
    </w:p>
    <w:p w14:paraId="27530D9C" w14:textId="77777777" w:rsidR="00F76443" w:rsidRPr="006A7223" w:rsidRDefault="00F76443" w:rsidP="00A46A21">
      <w:pPr>
        <w:spacing w:line="276" w:lineRule="auto"/>
        <w:ind w:firstLine="720"/>
        <w:jc w:val="both"/>
        <w:rPr>
          <w:rFonts w:ascii="Times New Roman" w:hAnsi="Times New Roman" w:cs="Times New Roman"/>
        </w:rPr>
      </w:pPr>
    </w:p>
    <w:tbl>
      <w:tblPr>
        <w:tblStyle w:val="PlainTable3"/>
        <w:tblW w:w="0" w:type="auto"/>
        <w:tblLook w:val="04A0" w:firstRow="1" w:lastRow="0" w:firstColumn="1" w:lastColumn="0" w:noHBand="0" w:noVBand="1"/>
      </w:tblPr>
      <w:tblGrid>
        <w:gridCol w:w="4643"/>
        <w:gridCol w:w="4717"/>
      </w:tblGrid>
      <w:tr w:rsidR="00F76443" w:rsidRPr="006A7223" w14:paraId="34F0FA12" w14:textId="77777777" w:rsidTr="00F76443">
        <w:trPr>
          <w:cnfStyle w:val="100000000000" w:firstRow="1" w:lastRow="0" w:firstColumn="0" w:lastColumn="0" w:oddVBand="0" w:evenVBand="0" w:oddHBand="0" w:evenHBand="0" w:firstRowFirstColumn="0" w:firstRowLastColumn="0" w:lastRowFirstColumn="0" w:lastRowLastColumn="0"/>
          <w:trHeight w:val="5377"/>
        </w:trPr>
        <w:tc>
          <w:tcPr>
            <w:cnfStyle w:val="001000000100" w:firstRow="0" w:lastRow="0" w:firstColumn="1" w:lastColumn="0" w:oddVBand="0" w:evenVBand="0" w:oddHBand="0" w:evenHBand="0" w:firstRowFirstColumn="1" w:firstRowLastColumn="0" w:lastRowFirstColumn="0" w:lastRowLastColumn="0"/>
            <w:tcW w:w="4674" w:type="dxa"/>
          </w:tcPr>
          <w:p w14:paraId="383DDD42" w14:textId="77777777" w:rsidR="00F76443" w:rsidRPr="006A7223" w:rsidRDefault="00F76443" w:rsidP="00A46A21">
            <w:pPr>
              <w:spacing w:line="276" w:lineRule="auto"/>
              <w:jc w:val="both"/>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7696" behindDoc="0" locked="0" layoutInCell="1" allowOverlap="1" wp14:anchorId="406B4C49" wp14:editId="6F5A5CD7">
                      <wp:simplePos x="0" y="0"/>
                      <wp:positionH relativeFrom="column">
                        <wp:posOffset>346075</wp:posOffset>
                      </wp:positionH>
                      <wp:positionV relativeFrom="paragraph">
                        <wp:posOffset>2903220</wp:posOffset>
                      </wp:positionV>
                      <wp:extent cx="1840557" cy="468086"/>
                      <wp:effectExtent l="0" t="0" r="26670" b="2730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824CE7"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T3</w:t>
                                  </w:r>
                                </w:p>
                                <w:p w14:paraId="11CD09DF" w14:textId="77777777" w:rsidR="00675F2E" w:rsidRPr="00FF6671" w:rsidRDefault="00675F2E" w:rsidP="00F76443">
                                  <w:pPr>
                                    <w:jc w:val="center"/>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B4C49" id="_x0000_s1036" type="#_x0000_t202" style="position:absolute;left:0;text-align:left;margin-left:27.25pt;margin-top:228.6pt;width:144.95pt;height:36.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" fillcolor="white [3201]" strokecolor="black [3200]" strokeweight="1.5pt">
                      <v:textbox>
                        <w:txbxContent>
                          <w:p w14:paraId="30824CE7"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T3</w:t>
                            </w:r>
                          </w:p>
                          <w:p w14:paraId="11CD09DF" w14:textId="77777777" w:rsidR="00675F2E" w:rsidRPr="00FF6671" w:rsidRDefault="00675F2E" w:rsidP="00F76443">
                            <w:pPr>
                              <w:jc w:val="center"/>
                              <w:rPr>
                                <w:rFonts w:ascii="Times New Roman" w:hAnsi="Times New Roman" w:cs="Times New Roman"/>
                                <w:b/>
                                <w:bCs/>
                              </w:rPr>
                            </w:pPr>
                          </w:p>
                        </w:txbxContent>
                      </v:textbox>
                    </v:shape>
                  </w:pict>
                </mc:Fallback>
              </mc:AlternateContent>
            </w:r>
            <w:r w:rsidRPr="006A7223">
              <w:rPr>
                <w:rFonts w:ascii="Times New Roman" w:hAnsi="Times New Roman" w:cs="Times New Roman"/>
                <w:noProof/>
                <w:lang w:eastAsia="en-IN"/>
              </w:rPr>
              <w:drawing>
                <wp:inline distT="0" distB="0" distL="0" distR="0" wp14:anchorId="78A89984" wp14:editId="77164F11">
                  <wp:extent cx="2810933" cy="2838014"/>
                  <wp:effectExtent l="0" t="0" r="889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3 Final.jpg"/>
                          <pic:cNvPicPr/>
                        </pic:nvPicPr>
                        <pic:blipFill rotWithShape="1">
                          <a:blip r:embed="rId21" cstate="print">
                            <a:extLst>
                              <a:ext uri="{28A0092B-C50C-407E-A947-70E740481C1C}">
                                <a14:useLocalDpi xmlns:a14="http://schemas.microsoft.com/office/drawing/2010/main" val="0"/>
                              </a:ext>
                            </a:extLst>
                          </a:blip>
                          <a:srcRect l="6269" t="2749" r="14508" b="30157"/>
                          <a:stretch/>
                        </pic:blipFill>
                        <pic:spPr bwMode="auto">
                          <a:xfrm>
                            <a:off x="0" y="0"/>
                            <a:ext cx="2818391" cy="2845544"/>
                          </a:xfrm>
                          <a:prstGeom prst="rect">
                            <a:avLst/>
                          </a:prstGeom>
                          <a:ln>
                            <a:noFill/>
                          </a:ln>
                          <a:extLst>
                            <a:ext uri="{53640926-AAD7-44D8-BBD7-CCE9431645EC}">
                              <a14:shadowObscured xmlns:a14="http://schemas.microsoft.com/office/drawing/2010/main"/>
                            </a:ext>
                          </a:extLst>
                        </pic:spPr>
                      </pic:pic>
                    </a:graphicData>
                  </a:graphic>
                </wp:inline>
              </w:drawing>
            </w:r>
          </w:p>
          <w:p w14:paraId="385E00AC" w14:textId="77777777" w:rsidR="00F76443" w:rsidRPr="006A7223" w:rsidRDefault="00F76443" w:rsidP="00A46A21">
            <w:pPr>
              <w:tabs>
                <w:tab w:val="left" w:pos="1350"/>
              </w:tabs>
              <w:spacing w:line="276" w:lineRule="auto"/>
              <w:rPr>
                <w:rFonts w:ascii="Times New Roman" w:hAnsi="Times New Roman" w:cs="Times New Roman"/>
                <w:sz w:val="24"/>
                <w:szCs w:val="24"/>
              </w:rPr>
            </w:pPr>
            <w:r w:rsidRPr="006A7223">
              <w:rPr>
                <w:rFonts w:ascii="Times New Roman" w:hAnsi="Times New Roman" w:cs="Times New Roman"/>
                <w:sz w:val="24"/>
                <w:szCs w:val="24"/>
              </w:rPr>
              <w:tab/>
            </w:r>
          </w:p>
        </w:tc>
        <w:tc>
          <w:tcPr>
            <w:tcW w:w="4674" w:type="dxa"/>
          </w:tcPr>
          <w:p w14:paraId="094C9C35" w14:textId="77777777" w:rsidR="00F76443" w:rsidRPr="006A7223" w:rsidRDefault="00F76443" w:rsidP="00A46A2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8720" behindDoc="0" locked="0" layoutInCell="1" allowOverlap="1" wp14:anchorId="2DE43198" wp14:editId="264F55C8">
                      <wp:simplePos x="0" y="0"/>
                      <wp:positionH relativeFrom="column">
                        <wp:posOffset>424180</wp:posOffset>
                      </wp:positionH>
                      <wp:positionV relativeFrom="paragraph">
                        <wp:posOffset>2897505</wp:posOffset>
                      </wp:positionV>
                      <wp:extent cx="1840557" cy="468086"/>
                      <wp:effectExtent l="0" t="0" r="26670" b="2730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2005C39"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T4</w:t>
                                  </w:r>
                                </w:p>
                                <w:p w14:paraId="62DEB0A0" w14:textId="77777777" w:rsidR="00675F2E" w:rsidRPr="00883B50" w:rsidRDefault="00675F2E" w:rsidP="00F7644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43198" id="_x0000_s1037" type="#_x0000_t202" style="position:absolute;left:0;text-align:left;margin-left:33.4pt;margin-top:228.15pt;width:144.95pt;height:36.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" fillcolor="white [3201]" strokecolor="black [3200]" strokeweight="1.5pt">
                      <v:textbox>
                        <w:txbxContent>
                          <w:p w14:paraId="02005C39"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T4</w:t>
                            </w:r>
                          </w:p>
                          <w:p w14:paraId="62DEB0A0" w14:textId="77777777" w:rsidR="00675F2E" w:rsidRPr="00883B50" w:rsidRDefault="00675F2E" w:rsidP="00F76443">
                            <w:pPr>
                              <w:jc w:val="center"/>
                              <w:rPr>
                                <w:b/>
                                <w:bCs/>
                              </w:rPr>
                            </w:pPr>
                          </w:p>
                        </w:txbxContent>
                      </v:textbox>
                    </v:shape>
                  </w:pict>
                </mc:Fallback>
              </mc:AlternateContent>
            </w:r>
            <w:r w:rsidRPr="006A7223">
              <w:rPr>
                <w:rFonts w:ascii="Times New Roman" w:hAnsi="Times New Roman" w:cs="Times New Roman"/>
                <w:noProof/>
                <w:lang w:eastAsia="en-IN"/>
              </w:rPr>
              <w:drawing>
                <wp:inline distT="0" distB="0" distL="0" distR="0" wp14:anchorId="4C9AB106" wp14:editId="65860513">
                  <wp:extent cx="2835178" cy="2817223"/>
                  <wp:effectExtent l="0" t="0" r="3810" b="25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4 Final.jpg"/>
                          <pic:cNvPicPr/>
                        </pic:nvPicPr>
                        <pic:blipFill rotWithShape="1">
                          <a:blip r:embed="rId22" cstate="print">
                            <a:extLst>
                              <a:ext uri="{28A0092B-C50C-407E-A947-70E740481C1C}">
                                <a14:useLocalDpi xmlns:a14="http://schemas.microsoft.com/office/drawing/2010/main" val="0"/>
                              </a:ext>
                            </a:extLst>
                          </a:blip>
                          <a:srcRect l="2198" t="3298" r="9496" b="30889"/>
                          <a:stretch/>
                        </pic:blipFill>
                        <pic:spPr bwMode="auto">
                          <a:xfrm>
                            <a:off x="0" y="0"/>
                            <a:ext cx="2845663" cy="2827642"/>
                          </a:xfrm>
                          <a:prstGeom prst="rect">
                            <a:avLst/>
                          </a:prstGeom>
                          <a:ln>
                            <a:noFill/>
                          </a:ln>
                          <a:extLst>
                            <a:ext uri="{53640926-AAD7-44D8-BBD7-CCE9431645EC}">
                              <a14:shadowObscured xmlns:a14="http://schemas.microsoft.com/office/drawing/2010/main"/>
                            </a:ext>
                          </a:extLst>
                        </pic:spPr>
                      </pic:pic>
                    </a:graphicData>
                  </a:graphic>
                </wp:inline>
              </w:drawing>
            </w:r>
          </w:p>
          <w:p w14:paraId="5B1148F0" w14:textId="77777777" w:rsidR="00F76443" w:rsidRPr="006A7223" w:rsidRDefault="00F76443" w:rsidP="00A46A21">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27F50E" w14:textId="77777777" w:rsidR="00F76443" w:rsidRPr="006A7223" w:rsidRDefault="00F76443" w:rsidP="00A46A21">
            <w:pPr>
              <w:tabs>
                <w:tab w:val="left" w:pos="1335"/>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sz w:val="24"/>
                <w:szCs w:val="24"/>
              </w:rPr>
              <w:tab/>
            </w:r>
          </w:p>
        </w:tc>
      </w:tr>
      <w:tr w:rsidR="00F76443" w:rsidRPr="006A7223" w14:paraId="7C6741BD" w14:textId="77777777" w:rsidTr="00F76443">
        <w:trPr>
          <w:cnfStyle w:val="000000100000" w:firstRow="0" w:lastRow="0" w:firstColumn="0" w:lastColumn="0" w:oddVBand="0" w:evenVBand="0" w:oddHBand="1" w:evenHBand="0" w:firstRowFirstColumn="0" w:firstRowLastColumn="0" w:lastRowFirstColumn="0" w:lastRowLastColumn="0"/>
          <w:trHeight w:val="5658"/>
        </w:trPr>
        <w:tc>
          <w:tcPr>
            <w:cnfStyle w:val="001000000000" w:firstRow="0" w:lastRow="0" w:firstColumn="1" w:lastColumn="0" w:oddVBand="0" w:evenVBand="0" w:oddHBand="0" w:evenHBand="0" w:firstRowFirstColumn="0" w:firstRowLastColumn="0" w:lastRowFirstColumn="0" w:lastRowLastColumn="0"/>
            <w:tcW w:w="4674" w:type="dxa"/>
          </w:tcPr>
          <w:p w14:paraId="1BB6522B" w14:textId="77777777" w:rsidR="00F76443" w:rsidRPr="006A7223" w:rsidRDefault="00F76443" w:rsidP="00A46A21">
            <w:pPr>
              <w:spacing w:line="276" w:lineRule="auto"/>
              <w:jc w:val="both"/>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617D9832" wp14:editId="2A449E64">
                  <wp:extent cx="2923200" cy="2872800"/>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5 vv Final.jpg"/>
                          <pic:cNvPicPr/>
                        </pic:nvPicPr>
                        <pic:blipFill rotWithShape="1">
                          <a:blip r:embed="rId23" cstate="print">
                            <a:extLst>
                              <a:ext uri="{28A0092B-C50C-407E-A947-70E740481C1C}">
                                <a14:useLocalDpi xmlns:a14="http://schemas.microsoft.com/office/drawing/2010/main" val="0"/>
                              </a:ext>
                            </a:extLst>
                          </a:blip>
                          <a:srcRect l="3481" t="3849" r="11520" b="33498"/>
                          <a:stretch/>
                        </pic:blipFill>
                        <pic:spPr bwMode="auto">
                          <a:xfrm>
                            <a:off x="0" y="0"/>
                            <a:ext cx="2923200" cy="2872800"/>
                          </a:xfrm>
                          <a:prstGeom prst="rect">
                            <a:avLst/>
                          </a:prstGeom>
                          <a:ln>
                            <a:noFill/>
                          </a:ln>
                          <a:extLst>
                            <a:ext uri="{53640926-AAD7-44D8-BBD7-CCE9431645EC}">
                              <a14:shadowObscured xmlns:a14="http://schemas.microsoft.com/office/drawing/2010/main"/>
                            </a:ext>
                          </a:extLst>
                        </pic:spPr>
                      </pic:pic>
                    </a:graphicData>
                  </a:graphic>
                </wp:inline>
              </w:drawing>
            </w:r>
          </w:p>
          <w:p w14:paraId="3C7AF5FE" w14:textId="77777777" w:rsidR="00F76443" w:rsidRPr="006A7223" w:rsidRDefault="00F76443" w:rsidP="00A46A21">
            <w:pPr>
              <w:spacing w:line="276" w:lineRule="auto"/>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79744" behindDoc="0" locked="0" layoutInCell="1" allowOverlap="1" wp14:anchorId="257D2F35" wp14:editId="4E88C5AA">
                      <wp:simplePos x="0" y="0"/>
                      <wp:positionH relativeFrom="column">
                        <wp:posOffset>346075</wp:posOffset>
                      </wp:positionH>
                      <wp:positionV relativeFrom="paragraph">
                        <wp:posOffset>33020</wp:posOffset>
                      </wp:positionV>
                      <wp:extent cx="1840557" cy="468086"/>
                      <wp:effectExtent l="0" t="0" r="26670" b="2730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557"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2AD3A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T5</w:t>
                                  </w:r>
                                </w:p>
                                <w:p w14:paraId="4A058860" w14:textId="77777777" w:rsidR="00675F2E" w:rsidRPr="00FF6671" w:rsidRDefault="00675F2E" w:rsidP="00F76443">
                                  <w:pPr>
                                    <w:jc w:val="center"/>
                                    <w:rPr>
                                      <w:rFonts w:ascii="Times New Roman" w:hAnsi="Times New Roman" w:cs="Times New Roman"/>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D2F35" id="_x0000_s1038" type="#_x0000_t202" style="position:absolute;margin-left:27.25pt;margin-top:2.6pt;width:144.95pt;height:36.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" fillcolor="white [3201]" strokecolor="black [3200]" strokeweight="1.5pt">
                      <v:textbox>
                        <w:txbxContent>
                          <w:p w14:paraId="142AD3A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Developed Idli From Pre Mix Treatment T5</w:t>
                            </w:r>
                          </w:p>
                          <w:p w14:paraId="4A058860" w14:textId="77777777" w:rsidR="00675F2E" w:rsidRPr="00FF6671" w:rsidRDefault="00675F2E" w:rsidP="00F76443">
                            <w:pPr>
                              <w:jc w:val="center"/>
                              <w:rPr>
                                <w:rFonts w:ascii="Times New Roman" w:hAnsi="Times New Roman" w:cs="Times New Roman"/>
                                <w:b/>
                                <w:bCs/>
                              </w:rPr>
                            </w:pPr>
                          </w:p>
                        </w:txbxContent>
                      </v:textbox>
                    </v:shape>
                  </w:pict>
                </mc:Fallback>
              </mc:AlternateContent>
            </w:r>
          </w:p>
        </w:tc>
        <w:tc>
          <w:tcPr>
            <w:tcW w:w="4674" w:type="dxa"/>
          </w:tcPr>
          <w:p w14:paraId="543BD7DB" w14:textId="77777777" w:rsidR="00F76443" w:rsidRPr="006A7223" w:rsidRDefault="00F76443" w:rsidP="00A46A2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w:drawing>
                <wp:inline distT="0" distB="0" distL="0" distR="0" wp14:anchorId="7013FA8C" wp14:editId="497FCD5C">
                  <wp:extent cx="2962275" cy="2872105"/>
                  <wp:effectExtent l="0" t="0" r="9525"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troliipp.jfif"/>
                          <pic:cNvPicPr/>
                        </pic:nvPicPr>
                        <pic:blipFill rotWithShape="1">
                          <a:blip r:embed="rId24" cstate="print">
                            <a:extLst>
                              <a:ext uri="{28A0092B-C50C-407E-A947-70E740481C1C}">
                                <a14:useLocalDpi xmlns:a14="http://schemas.microsoft.com/office/drawing/2010/main" val="0"/>
                              </a:ext>
                            </a:extLst>
                          </a:blip>
                          <a:srcRect l="7324" t="1222" r="9143" b="36340"/>
                          <a:stretch/>
                        </pic:blipFill>
                        <pic:spPr bwMode="auto">
                          <a:xfrm>
                            <a:off x="0" y="0"/>
                            <a:ext cx="2973542" cy="2883029"/>
                          </a:xfrm>
                          <a:prstGeom prst="rect">
                            <a:avLst/>
                          </a:prstGeom>
                          <a:ln>
                            <a:noFill/>
                          </a:ln>
                          <a:extLst>
                            <a:ext uri="{53640926-AAD7-44D8-BBD7-CCE9431645EC}">
                              <a14:shadowObscured xmlns:a14="http://schemas.microsoft.com/office/drawing/2010/main"/>
                            </a:ext>
                          </a:extLst>
                        </pic:spPr>
                      </pic:pic>
                    </a:graphicData>
                  </a:graphic>
                </wp:inline>
              </w:drawing>
            </w:r>
          </w:p>
          <w:p w14:paraId="16D4CA72" w14:textId="77777777" w:rsidR="00F76443" w:rsidRPr="006A7223" w:rsidRDefault="00F76443" w:rsidP="00A46A21">
            <w:pPr>
              <w:spacing w:line="276" w:lineRule="auto"/>
              <w:ind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7223">
              <w:rPr>
                <w:rFonts w:ascii="Times New Roman" w:hAnsi="Times New Roman" w:cs="Times New Roman"/>
                <w:noProof/>
                <w:lang w:eastAsia="en-IN"/>
              </w:rPr>
              <mc:AlternateContent>
                <mc:Choice Requires="wps">
                  <w:drawing>
                    <wp:anchor distT="45720" distB="45720" distL="114300" distR="114300" simplePos="0" relativeHeight="251680768" behindDoc="0" locked="0" layoutInCell="1" allowOverlap="1" wp14:anchorId="46F6300B" wp14:editId="6D9DE5DE">
                      <wp:simplePos x="0" y="0"/>
                      <wp:positionH relativeFrom="column">
                        <wp:posOffset>-3810</wp:posOffset>
                      </wp:positionH>
                      <wp:positionV relativeFrom="paragraph">
                        <wp:posOffset>49530</wp:posOffset>
                      </wp:positionV>
                      <wp:extent cx="2381250" cy="468086"/>
                      <wp:effectExtent l="0" t="0" r="19050" b="2730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808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4DB04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Treatment T6 Control</w:t>
                                  </w:r>
                                </w:p>
                                <w:p w14:paraId="2C6F7E3D" w14:textId="77777777" w:rsidR="00675F2E" w:rsidRPr="00883B50" w:rsidRDefault="00675F2E" w:rsidP="00F7644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6300B" id="_x0000_s1039" type="#_x0000_t202" style="position:absolute;left:0;text-align:left;margin-left:-.3pt;margin-top:3.9pt;width:187.5pt;height:36.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" fillcolor="white [3201]" strokecolor="black [3200]" strokeweight="1.5pt">
                      <v:textbox>
                        <w:txbxContent>
                          <w:p w14:paraId="514DB041" w14:textId="77777777" w:rsidR="00675F2E" w:rsidRPr="00FF6671" w:rsidRDefault="00675F2E" w:rsidP="00F76443">
                            <w:pPr>
                              <w:jc w:val="center"/>
                              <w:rPr>
                                <w:rFonts w:ascii="Times New Roman" w:hAnsi="Times New Roman" w:cs="Times New Roman"/>
                                <w:b/>
                                <w:bCs/>
                              </w:rPr>
                            </w:pPr>
                            <w:r w:rsidRPr="00FF6671">
                              <w:rPr>
                                <w:rFonts w:ascii="Times New Roman" w:hAnsi="Times New Roman" w:cs="Times New Roman"/>
                                <w:b/>
                                <w:bCs/>
                              </w:rPr>
                              <w:t>Treatment T6 Control</w:t>
                            </w:r>
                          </w:p>
                          <w:p w14:paraId="2C6F7E3D" w14:textId="77777777" w:rsidR="00675F2E" w:rsidRPr="00883B50" w:rsidRDefault="00675F2E" w:rsidP="00F76443">
                            <w:pPr>
                              <w:jc w:val="center"/>
                              <w:rPr>
                                <w:b/>
                                <w:bCs/>
                              </w:rPr>
                            </w:pPr>
                          </w:p>
                        </w:txbxContent>
                      </v:textbox>
                    </v:shape>
                  </w:pict>
                </mc:Fallback>
              </mc:AlternateContent>
            </w:r>
          </w:p>
        </w:tc>
      </w:tr>
    </w:tbl>
    <w:p w14:paraId="35371046" w14:textId="2631D325" w:rsidR="00F76443" w:rsidRPr="006A7223" w:rsidRDefault="00F76443" w:rsidP="00437188">
      <w:pPr>
        <w:spacing w:line="276" w:lineRule="auto"/>
        <w:jc w:val="both"/>
        <w:rPr>
          <w:rFonts w:ascii="Times New Roman" w:hAnsi="Times New Roman" w:cs="Times New Roman"/>
        </w:rPr>
      </w:pPr>
    </w:p>
    <w:p w14:paraId="03E9D2F4" w14:textId="4C0EE088" w:rsidR="00437188" w:rsidRDefault="000009A3" w:rsidP="00437188">
      <w:pPr>
        <w:spacing w:line="276" w:lineRule="auto"/>
        <w:jc w:val="center"/>
        <w:rPr>
          <w:rFonts w:ascii="Times New Roman" w:hAnsi="Times New Roman" w:cs="Times New Roman"/>
          <w:b/>
        </w:rPr>
      </w:pPr>
      <w:r>
        <w:rPr>
          <w:rFonts w:ascii="Times New Roman" w:hAnsi="Times New Roman" w:cs="Times New Roman"/>
          <w:b/>
        </w:rPr>
        <w:t xml:space="preserve">Fig </w:t>
      </w:r>
      <w:r w:rsidR="00325F4C">
        <w:rPr>
          <w:rFonts w:ascii="Times New Roman" w:hAnsi="Times New Roman" w:cs="Times New Roman"/>
          <w:b/>
        </w:rPr>
        <w:t>12</w:t>
      </w:r>
      <w:r w:rsidR="00F76443" w:rsidRPr="000009A3">
        <w:rPr>
          <w:rFonts w:ascii="Times New Roman" w:hAnsi="Times New Roman" w:cs="Times New Roman"/>
          <w:b/>
        </w:rPr>
        <w:t xml:space="preserve"> </w:t>
      </w:r>
      <w:r w:rsidRPr="000009A3">
        <w:rPr>
          <w:rFonts w:ascii="Times New Roman" w:hAnsi="Times New Roman" w:cs="Times New Roman"/>
        </w:rPr>
        <w:t xml:space="preserve">Nutritionally Health-Enhanced Premix Idli </w:t>
      </w:r>
      <w:r w:rsidRPr="000009A3">
        <w:rPr>
          <w:rFonts w:ascii="Times New Roman" w:hAnsi="Times New Roman" w:cs="Times New Roman"/>
          <w:b/>
        </w:rPr>
        <w:t>T1</w:t>
      </w:r>
      <w:r w:rsidR="00F76443" w:rsidRPr="000009A3">
        <w:rPr>
          <w:rFonts w:ascii="Times New Roman" w:hAnsi="Times New Roman" w:cs="Times New Roman"/>
          <w:b/>
        </w:rPr>
        <w:t xml:space="preserve"> to T6</w:t>
      </w:r>
    </w:p>
    <w:p w14:paraId="5047A4A1" w14:textId="3C4E9D8D" w:rsidR="004317FC" w:rsidRPr="00437188" w:rsidRDefault="00483970" w:rsidP="00437188">
      <w:pPr>
        <w:spacing w:line="276" w:lineRule="auto"/>
        <w:rPr>
          <w:rFonts w:ascii="Times New Roman" w:hAnsi="Times New Roman" w:cs="Times New Roman"/>
          <w:b/>
        </w:rPr>
      </w:pPr>
      <w:r w:rsidRPr="00437188">
        <w:rPr>
          <w:rFonts w:ascii="Times New Roman" w:hAnsi="Times New Roman" w:cs="Times New Roman"/>
          <w:b/>
        </w:rPr>
        <w:t xml:space="preserve">3.5 </w:t>
      </w:r>
      <w:r w:rsidR="004317FC" w:rsidRPr="00437188">
        <w:rPr>
          <w:rFonts w:ascii="Times New Roman" w:hAnsi="Times New Roman" w:cs="Times New Roman"/>
          <w:b/>
        </w:rPr>
        <w:t xml:space="preserve">Storage </w:t>
      </w:r>
    </w:p>
    <w:p w14:paraId="2EFF0BEE" w14:textId="7B0B5C01" w:rsidR="00437188" w:rsidRDefault="002A794E" w:rsidP="00437188">
      <w:pPr>
        <w:spacing w:line="276" w:lineRule="auto"/>
        <w:ind w:firstLine="720"/>
        <w:jc w:val="both"/>
        <w:rPr>
          <w:rFonts w:ascii="Times New Roman" w:hAnsi="Times New Roman" w:cs="Times New Roman"/>
        </w:rPr>
      </w:pPr>
      <w:r w:rsidRPr="002A794E">
        <w:rPr>
          <w:rFonts w:ascii="Times New Roman" w:hAnsi="Times New Roman" w:cs="Times New Roman"/>
        </w:rPr>
        <w:lastRenderedPageBreak/>
        <w:t xml:space="preserve">The </w:t>
      </w:r>
      <w:r w:rsidR="00AF7F14">
        <w:rPr>
          <w:rStyle w:val="Strong"/>
          <w:rFonts w:ascii="Times New Roman" w:hAnsi="Times New Roman" w:cs="Times New Roman"/>
          <w:b w:val="0"/>
        </w:rPr>
        <w:t>I</w:t>
      </w:r>
      <w:r w:rsidRPr="002A794E">
        <w:rPr>
          <w:rStyle w:val="Strong"/>
          <w:rFonts w:ascii="Times New Roman" w:hAnsi="Times New Roman" w:cs="Times New Roman"/>
          <w:b w:val="0"/>
        </w:rPr>
        <w:t>dli premix samples stored in HDPE standing pouch packaging maintained stable quality throughout the three-month storage period</w:t>
      </w:r>
      <w:r w:rsidRPr="002A794E">
        <w:rPr>
          <w:rFonts w:ascii="Times New Roman" w:hAnsi="Times New Roman" w:cs="Times New Roman"/>
        </w:rPr>
        <w:t xml:space="preserve">. Key physicochemical parameters such as </w:t>
      </w:r>
      <w:r w:rsidRPr="002A794E">
        <w:rPr>
          <w:rStyle w:val="Strong"/>
          <w:rFonts w:ascii="Times New Roman" w:hAnsi="Times New Roman" w:cs="Times New Roman"/>
          <w:b w:val="0"/>
        </w:rPr>
        <w:t>pH, total soluble solids (TSS), acidity, moisture content (MC), and water activity (WAC</w:t>
      </w:r>
      <w:r w:rsidRPr="002A794E">
        <w:rPr>
          <w:rStyle w:val="Strong"/>
          <w:rFonts w:ascii="Times New Roman" w:hAnsi="Times New Roman" w:cs="Times New Roman"/>
        </w:rPr>
        <w:t>)</w:t>
      </w:r>
      <w:r w:rsidRPr="002A794E">
        <w:rPr>
          <w:rFonts w:ascii="Times New Roman" w:hAnsi="Times New Roman" w:cs="Times New Roman"/>
        </w:rPr>
        <w:t xml:space="preserve"> exhibited </w:t>
      </w:r>
      <w:r w:rsidRPr="00AF7F14">
        <w:rPr>
          <w:rStyle w:val="Strong"/>
          <w:rFonts w:ascii="Times New Roman" w:hAnsi="Times New Roman" w:cs="Times New Roman"/>
          <w:b w:val="0"/>
        </w:rPr>
        <w:t>minimal variation</w:t>
      </w:r>
      <w:r w:rsidRPr="002A794E">
        <w:rPr>
          <w:rFonts w:ascii="Times New Roman" w:hAnsi="Times New Roman" w:cs="Times New Roman"/>
        </w:rPr>
        <w:t xml:space="preserve">, indicating effective preservation of the product. The </w:t>
      </w:r>
      <w:r w:rsidRPr="002A794E">
        <w:rPr>
          <w:rStyle w:val="Strong"/>
          <w:rFonts w:ascii="Times New Roman" w:hAnsi="Times New Roman" w:cs="Times New Roman"/>
          <w:b w:val="0"/>
        </w:rPr>
        <w:t>pH levels remained largely unchanged</w:t>
      </w:r>
      <w:r w:rsidRPr="002A794E">
        <w:rPr>
          <w:rFonts w:ascii="Times New Roman" w:hAnsi="Times New Roman" w:cs="Times New Roman"/>
        </w:rPr>
        <w:t xml:space="preserve">, suggesting limited microbial activity and chemical degradation. Similarly, </w:t>
      </w:r>
      <w:r w:rsidRPr="00AF7F14">
        <w:rPr>
          <w:rStyle w:val="Strong"/>
          <w:rFonts w:ascii="Times New Roman" w:hAnsi="Times New Roman" w:cs="Times New Roman"/>
          <w:b w:val="0"/>
        </w:rPr>
        <w:t>TSS and acidity values showed no significant fluctuations</w:t>
      </w:r>
      <w:r w:rsidRPr="002A794E">
        <w:rPr>
          <w:rFonts w:ascii="Times New Roman" w:hAnsi="Times New Roman" w:cs="Times New Roman"/>
        </w:rPr>
        <w:t xml:space="preserve">, reflecting the retention of freshness and flavor. </w:t>
      </w:r>
      <w:r w:rsidRPr="00AF7F14">
        <w:rPr>
          <w:rStyle w:val="Strong"/>
          <w:rFonts w:ascii="Times New Roman" w:hAnsi="Times New Roman" w:cs="Times New Roman"/>
          <w:b w:val="0"/>
        </w:rPr>
        <w:t>Moisture content and water activity were effectively controlled</w:t>
      </w:r>
      <w:r w:rsidRPr="002A794E">
        <w:rPr>
          <w:rFonts w:ascii="Times New Roman" w:hAnsi="Times New Roman" w:cs="Times New Roman"/>
        </w:rPr>
        <w:t xml:space="preserve">, which is essential for inhibiting microbial growth and ensuring shelf stability. Overall, the </w:t>
      </w:r>
      <w:r w:rsidRPr="00AF7F14">
        <w:rPr>
          <w:rStyle w:val="Strong"/>
          <w:rFonts w:ascii="Times New Roman" w:hAnsi="Times New Roman" w:cs="Times New Roman"/>
          <w:b w:val="0"/>
        </w:rPr>
        <w:t>HDPE standing pouch demonstrated excellent barrier properties</w:t>
      </w:r>
      <w:r w:rsidRPr="002A794E">
        <w:rPr>
          <w:rFonts w:ascii="Times New Roman" w:hAnsi="Times New Roman" w:cs="Times New Roman"/>
        </w:rPr>
        <w:t xml:space="preserve">, making it highly suitable for preserving the </w:t>
      </w:r>
      <w:r w:rsidRPr="00AF7F14">
        <w:rPr>
          <w:rStyle w:val="Strong"/>
          <w:rFonts w:ascii="Times New Roman" w:hAnsi="Times New Roman" w:cs="Times New Roman"/>
          <w:b w:val="0"/>
        </w:rPr>
        <w:t>quality and safety of idli premix</w:t>
      </w:r>
      <w:r w:rsidRPr="002A794E">
        <w:rPr>
          <w:rFonts w:ascii="Times New Roman" w:hAnsi="Times New Roman" w:cs="Times New Roman"/>
        </w:rPr>
        <w:t xml:space="preserve"> during storage, as illustrated in </w:t>
      </w:r>
      <w:r w:rsidRPr="00AF7F14">
        <w:rPr>
          <w:rStyle w:val="Strong"/>
          <w:rFonts w:ascii="Times New Roman" w:hAnsi="Times New Roman" w:cs="Times New Roman"/>
          <w:b w:val="0"/>
        </w:rPr>
        <w:t xml:space="preserve">Figure </w:t>
      </w:r>
      <w:r w:rsidR="00325F4C">
        <w:rPr>
          <w:rStyle w:val="Strong"/>
          <w:rFonts w:ascii="Times New Roman" w:hAnsi="Times New Roman" w:cs="Times New Roman"/>
          <w:b w:val="0"/>
        </w:rPr>
        <w:t>13</w:t>
      </w:r>
      <w:proofErr w:type="gramStart"/>
      <w:r w:rsidRPr="002A794E">
        <w:rPr>
          <w:rFonts w:ascii="Times New Roman" w:hAnsi="Times New Roman" w:cs="Times New Roman"/>
        </w:rPr>
        <w:t>.</w:t>
      </w:r>
      <w:r w:rsidR="00483970" w:rsidRPr="002A794E">
        <w:rPr>
          <w:rFonts w:ascii="Times New Roman" w:hAnsi="Times New Roman" w:cs="Times New Roman"/>
        </w:rPr>
        <w:t>.</w:t>
      </w:r>
      <w:proofErr w:type="gramEnd"/>
    </w:p>
    <w:p w14:paraId="607ED7EC" w14:textId="09797DE9" w:rsidR="00CA6FD6" w:rsidRDefault="00771E86" w:rsidP="00437188">
      <w:pPr>
        <w:spacing w:line="276" w:lineRule="auto"/>
        <w:jc w:val="both"/>
        <w:rPr>
          <w:rFonts w:ascii="Times New Roman" w:hAnsi="Times New Roman" w:cs="Times New Roman"/>
        </w:rPr>
      </w:pPr>
      <w:r w:rsidRPr="002A794E">
        <w:rPr>
          <w:rFonts w:ascii="Times New Roman" w:hAnsi="Times New Roman" w:cs="Times New Roman"/>
          <w:noProof/>
          <w:lang w:eastAsia="en-IN"/>
        </w:rPr>
        <w:drawing>
          <wp:inline distT="0" distB="0" distL="0" distR="0" wp14:anchorId="78455970" wp14:editId="17852217">
            <wp:extent cx="3961130" cy="2708910"/>
            <wp:effectExtent l="0" t="254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98.JPG"/>
                    <pic:cNvPicPr/>
                  </pic:nvPicPr>
                  <pic:blipFill rotWithShape="1">
                    <a:blip r:embed="rId25" cstate="print">
                      <a:extLst>
                        <a:ext uri="{28A0092B-C50C-407E-A947-70E740481C1C}">
                          <a14:useLocalDpi xmlns:a14="http://schemas.microsoft.com/office/drawing/2010/main" val="0"/>
                        </a:ext>
                      </a:extLst>
                    </a:blip>
                    <a:srcRect l="23638" t="19726" r="23923" b="22634"/>
                    <a:stretch/>
                  </pic:blipFill>
                  <pic:spPr bwMode="auto">
                    <a:xfrm rot="16200000">
                      <a:off x="0" y="0"/>
                      <a:ext cx="3969853" cy="27148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en-IN"/>
        </w:rPr>
        <w:drawing>
          <wp:inline distT="0" distB="0" distL="0" distR="0" wp14:anchorId="0EF5098C" wp14:editId="697C06AA">
            <wp:extent cx="4012006" cy="2812877"/>
            <wp:effectExtent l="9207"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00.JPG"/>
                    <pic:cNvPicPr/>
                  </pic:nvPicPr>
                  <pic:blipFill rotWithShape="1">
                    <a:blip r:embed="rId26" cstate="print">
                      <a:extLst>
                        <a:ext uri="{28A0092B-C50C-407E-A947-70E740481C1C}">
                          <a14:useLocalDpi xmlns:a14="http://schemas.microsoft.com/office/drawing/2010/main" val="0"/>
                        </a:ext>
                      </a:extLst>
                    </a:blip>
                    <a:srcRect l="22680" t="25171" r="22281" b="24615"/>
                    <a:stretch/>
                  </pic:blipFill>
                  <pic:spPr bwMode="auto">
                    <a:xfrm rot="16200000">
                      <a:off x="0" y="0"/>
                      <a:ext cx="4042598" cy="2834326"/>
                    </a:xfrm>
                    <a:prstGeom prst="rect">
                      <a:avLst/>
                    </a:prstGeom>
                    <a:ln>
                      <a:noFill/>
                    </a:ln>
                    <a:extLst>
                      <a:ext uri="{53640926-AAD7-44D8-BBD7-CCE9431645EC}">
                        <a14:shadowObscured xmlns:a14="http://schemas.microsoft.com/office/drawing/2010/main"/>
                      </a:ext>
                    </a:extLst>
                  </pic:spPr>
                </pic:pic>
              </a:graphicData>
            </a:graphic>
          </wp:inline>
        </w:drawing>
      </w:r>
    </w:p>
    <w:p w14:paraId="71469F1B" w14:textId="6918FA28" w:rsidR="00771E86" w:rsidRDefault="00771E86" w:rsidP="00A46A21">
      <w:pPr>
        <w:spacing w:before="100" w:beforeAutospacing="1" w:after="100" w:afterAutospacing="1" w:line="276" w:lineRule="auto"/>
        <w:jc w:val="center"/>
        <w:rPr>
          <w:rFonts w:ascii="Times New Roman" w:hAnsi="Times New Roman" w:cs="Times New Roman"/>
          <w:b/>
        </w:rPr>
      </w:pPr>
      <w:r w:rsidRPr="00771E86">
        <w:rPr>
          <w:rFonts w:ascii="Times New Roman" w:hAnsi="Times New Roman" w:cs="Times New Roman"/>
          <w:b/>
        </w:rPr>
        <w:t xml:space="preserve">Fig </w:t>
      </w:r>
      <w:r w:rsidR="00325F4C">
        <w:rPr>
          <w:rFonts w:ascii="Times New Roman" w:hAnsi="Times New Roman" w:cs="Times New Roman"/>
          <w:b/>
        </w:rPr>
        <w:t>13</w:t>
      </w:r>
      <w:r w:rsidRPr="00771E86">
        <w:rPr>
          <w:rFonts w:ascii="Times New Roman" w:hAnsi="Times New Roman" w:cs="Times New Roman"/>
          <w:b/>
        </w:rPr>
        <w:t xml:space="preserve"> Packaging Materials of selected</w:t>
      </w:r>
      <w:r w:rsidR="00675F2E">
        <w:rPr>
          <w:rFonts w:ascii="Times New Roman" w:hAnsi="Times New Roman" w:cs="Times New Roman"/>
          <w:b/>
        </w:rPr>
        <w:t xml:space="preserve"> HDPE standing Pouches</w:t>
      </w:r>
      <w:r w:rsidRPr="00771E86">
        <w:rPr>
          <w:rFonts w:ascii="Times New Roman" w:hAnsi="Times New Roman" w:cs="Times New Roman"/>
          <w:b/>
        </w:rPr>
        <w:t xml:space="preserve"> T3</w:t>
      </w:r>
    </w:p>
    <w:p w14:paraId="0C6F477F" w14:textId="77777777" w:rsidR="0089351A" w:rsidRDefault="0089351A" w:rsidP="00A46A21">
      <w:pPr>
        <w:spacing w:before="100" w:beforeAutospacing="1" w:after="100" w:afterAutospacing="1" w:line="276" w:lineRule="auto"/>
        <w:jc w:val="both"/>
        <w:rPr>
          <w:rStyle w:val="Strong"/>
          <w:rFonts w:ascii="Times New Roman" w:hAnsi="Times New Roman" w:cs="Times New Roman"/>
        </w:rPr>
      </w:pPr>
      <w:r w:rsidRPr="0089351A">
        <w:rPr>
          <w:rStyle w:val="Strong"/>
          <w:rFonts w:ascii="Times New Roman" w:hAnsi="Times New Roman" w:cs="Times New Roman"/>
        </w:rPr>
        <w:t>Conclusion:</w:t>
      </w:r>
    </w:p>
    <w:p w14:paraId="50CBCCF6" w14:textId="77777777" w:rsidR="0061400F" w:rsidRP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 xml:space="preserve">Finger millet </w:t>
      </w:r>
      <w:r w:rsidRPr="0061400F">
        <w:rPr>
          <w:rFonts w:ascii="Times New Roman" w:hAnsi="Times New Roman" w:cs="Times New Roman"/>
          <w:i/>
        </w:rPr>
        <w:t>(Eleusine coracana L.)</w:t>
      </w:r>
      <w:r w:rsidRPr="0061400F">
        <w:rPr>
          <w:rFonts w:ascii="Times New Roman" w:hAnsi="Times New Roman" w:cs="Times New Roman"/>
        </w:rPr>
        <w:t xml:space="preserve"> is a highly nutritious, gluten-free cereal commonly grown across Asia and Africa. Known for its robustness and rich content of dietary fiber, calcium, and protein, this grain has traditionally been underexploited in mainstream food products. Incorporating finger millet into staple foods presents an opportunity to combat malnutrition while meeting the growing consumer demand for functional, ready-to-cook options. This study, </w:t>
      </w:r>
      <w:r w:rsidRPr="0061400F">
        <w:rPr>
          <w:rFonts w:ascii="Times New Roman" w:hAnsi="Times New Roman" w:cs="Times New Roman"/>
        </w:rPr>
        <w:lastRenderedPageBreak/>
        <w:t>conducted at the Department of Process and Food Engineering, aimed to develop a finger millet-enriched instant idli premix that enhances nutritional quality without sacrificing sensory appeal.</w:t>
      </w:r>
    </w:p>
    <w:p w14:paraId="6AFCC5E7" w14:textId="77777777" w:rsid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 xml:space="preserve">The research successfully demonstrated the benefits of fortifying instant idli premix with finger millet. The optimal blend—comprising 50% finger millet, 30% rice, and 20% black gram—significantly increased essential nutrients such as protein, dietary fiber, and ash, while reducing carbohydrate content, thus promoting healthier dietary choices. Functional attributes and reconstitution behavior of the premix remained </w:t>
      </w:r>
      <w:proofErr w:type="spellStart"/>
      <w:r w:rsidRPr="0061400F">
        <w:rPr>
          <w:rFonts w:ascii="Times New Roman" w:hAnsi="Times New Roman" w:cs="Times New Roman"/>
        </w:rPr>
        <w:t>favorable</w:t>
      </w:r>
      <w:proofErr w:type="spellEnd"/>
      <w:r w:rsidRPr="0061400F">
        <w:rPr>
          <w:rFonts w:ascii="Times New Roman" w:hAnsi="Times New Roman" w:cs="Times New Roman"/>
        </w:rPr>
        <w:t>, ensuring easy preparation and maintaining sensory acceptance. Utilizing HDPE standing pouch packaging effectively preserved the physicochemical stability of the mix during three months of storage, indicating strong potential for commercial scalability. This fortified premix not only caters to health-conscious consumers but also provides a sustainable, convenient approach to improving the nutritional profile of traditional foods in a ready-to-cook format.</w:t>
      </w:r>
    </w:p>
    <w:p w14:paraId="030BCD07" w14:textId="6EBEC4A0" w:rsidR="0061400F" w:rsidRDefault="0061400F" w:rsidP="0061400F">
      <w:pPr>
        <w:spacing w:line="276" w:lineRule="auto"/>
        <w:ind w:firstLine="720"/>
        <w:jc w:val="both"/>
        <w:rPr>
          <w:rFonts w:ascii="Times New Roman" w:hAnsi="Times New Roman" w:cs="Times New Roman"/>
        </w:rPr>
      </w:pPr>
      <w:r w:rsidRPr="0061400F">
        <w:rPr>
          <w:rFonts w:ascii="Times New Roman" w:hAnsi="Times New Roman" w:cs="Times New Roman"/>
        </w:rPr>
        <w:t>The study achieved the successful development of a finger millet-based instant idli premix that enhances nutritional value while retaining desirable sensory and functional properties. The optimized formulation is rich in protein, fiber, and calcium and is gluten-free, making it an excellent functional food alternative. The use of low-temperature drying techniques preserved vital micronutrients, and the premix maintained quality over 90 days of storage. Overall, this research underscores the promising role of finger millet fortification in creating nutritious, convenient, and consumer-friendly ready-to-cook foods aligned with contemporary health trends and dietary requirements.</w:t>
      </w:r>
    </w:p>
    <w:p w14:paraId="278A1BF9" w14:textId="785FDE05" w:rsidR="00B35A6D" w:rsidRDefault="00B35A6D" w:rsidP="0061400F">
      <w:pPr>
        <w:spacing w:line="276" w:lineRule="auto"/>
        <w:ind w:firstLine="720"/>
        <w:jc w:val="both"/>
        <w:rPr>
          <w:rFonts w:ascii="Times New Roman" w:hAnsi="Times New Roman" w:cs="Times New Roman"/>
        </w:rPr>
      </w:pPr>
    </w:p>
    <w:p w14:paraId="63570336" w14:textId="77777777" w:rsidR="00B35A6D" w:rsidRPr="00FE7640" w:rsidRDefault="00B35A6D" w:rsidP="00B35A6D">
      <w:pPr>
        <w:rPr>
          <w:rFonts w:ascii="Calibri" w:eastAsia="Calibri" w:hAnsi="Calibri" w:cs="Times New Roman"/>
          <w:highlight w:val="yellow"/>
          <w:lang w:val="en-US"/>
        </w:rPr>
      </w:pPr>
      <w:bookmarkStart w:id="1" w:name="_Hlk193540946"/>
      <w:bookmarkStart w:id="2" w:name="_Hlk180402183"/>
      <w:bookmarkStart w:id="3" w:name="_Hlk183680988"/>
      <w:bookmarkStart w:id="4" w:name="_Hlk197173371"/>
      <w:r w:rsidRPr="00FE7640">
        <w:rPr>
          <w:rFonts w:ascii="Calibri" w:eastAsia="Calibri" w:hAnsi="Calibri" w:cs="Times New Roman"/>
          <w:highlight w:val="yellow"/>
          <w:lang w:val="en-US"/>
        </w:rPr>
        <w:t>Disclaimer (Artificial intelligence)</w:t>
      </w:r>
    </w:p>
    <w:p w14:paraId="1C230ED4"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7FC9730"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0040BA73"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4E3D6F1F"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DCCB96"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27AFAC2" w14:textId="4EBB96AB" w:rsidR="00B35A6D" w:rsidRDefault="00B35A6D" w:rsidP="00B35A6D">
      <w:pPr>
        <w:rPr>
          <w:rFonts w:ascii="Calibri" w:eastAsia="Calibri" w:hAnsi="Calibri" w:cs="Times New Roman"/>
          <w:highlight w:val="yellow"/>
          <w:lang w:val="en-US"/>
        </w:rPr>
      </w:pPr>
      <w:proofErr w:type="gramStart"/>
      <w:r w:rsidRPr="009C5487">
        <w:rPr>
          <w:rFonts w:ascii="Calibri" w:eastAsia="Calibri" w:hAnsi="Calibri" w:cs="Times New Roman"/>
          <w:highlight w:val="yellow"/>
          <w:lang w:val="en-US"/>
        </w:rPr>
        <w:t>1.</w:t>
      </w:r>
      <w:r w:rsidR="00B028DC">
        <w:rPr>
          <w:rFonts w:ascii="Calibri" w:eastAsia="Calibri" w:hAnsi="Calibri" w:cs="Times New Roman"/>
          <w:highlight w:val="yellow"/>
          <w:lang w:val="en-US"/>
        </w:rPr>
        <w:t>Refer</w:t>
      </w:r>
      <w:proofErr w:type="gramEnd"/>
      <w:r w:rsidR="00B028DC">
        <w:rPr>
          <w:rFonts w:ascii="Calibri" w:eastAsia="Calibri" w:hAnsi="Calibri" w:cs="Times New Roman"/>
          <w:highlight w:val="yellow"/>
          <w:lang w:val="en-US"/>
        </w:rPr>
        <w:t xml:space="preserve"> option First </w:t>
      </w:r>
      <w:r w:rsidR="00325F4C">
        <w:rPr>
          <w:rFonts w:ascii="Calibri" w:eastAsia="Calibri" w:hAnsi="Calibri" w:cs="Times New Roman"/>
          <w:highlight w:val="yellow"/>
          <w:lang w:val="en-US"/>
        </w:rPr>
        <w:t xml:space="preserve">only </w:t>
      </w:r>
      <w:proofErr w:type="spellStart"/>
      <w:r w:rsidR="00325F4C">
        <w:rPr>
          <w:rFonts w:ascii="Calibri" w:eastAsia="Calibri" w:hAnsi="Calibri" w:cs="Times New Roman"/>
          <w:highlight w:val="yellow"/>
          <w:lang w:val="en-US"/>
        </w:rPr>
        <w:t>Quliboat</w:t>
      </w:r>
      <w:proofErr w:type="spellEnd"/>
      <w:r w:rsidR="00325F4C">
        <w:rPr>
          <w:rFonts w:ascii="Calibri" w:eastAsia="Calibri" w:hAnsi="Calibri" w:cs="Times New Roman"/>
          <w:highlight w:val="yellow"/>
          <w:lang w:val="en-US"/>
        </w:rPr>
        <w:t xml:space="preserve"> premium used for Paraphsing </w:t>
      </w:r>
    </w:p>
    <w:p w14:paraId="5E1D6796" w14:textId="77777777" w:rsidR="00B028DC" w:rsidRPr="009C5487" w:rsidRDefault="00B028DC" w:rsidP="00B35A6D">
      <w:pPr>
        <w:rPr>
          <w:rFonts w:ascii="Calibri" w:eastAsia="Calibri" w:hAnsi="Calibri" w:cs="Times New Roman"/>
          <w:highlight w:val="yellow"/>
          <w:lang w:val="en-US"/>
        </w:rPr>
      </w:pPr>
    </w:p>
    <w:p w14:paraId="62F29FF8" w14:textId="77777777" w:rsidR="00B35A6D" w:rsidRPr="009C5487" w:rsidRDefault="00B35A6D" w:rsidP="00B35A6D">
      <w:pPr>
        <w:rPr>
          <w:rFonts w:ascii="Calibri" w:eastAsia="Calibri" w:hAnsi="Calibri" w:cs="Times New Roman"/>
          <w:highlight w:val="yellow"/>
          <w:lang w:val="en-US"/>
        </w:rPr>
      </w:pPr>
      <w:r w:rsidRPr="009C5487">
        <w:rPr>
          <w:rFonts w:ascii="Calibri" w:eastAsia="Calibri" w:hAnsi="Calibri" w:cs="Times New Roman"/>
          <w:highlight w:val="yellow"/>
          <w:lang w:val="en-US"/>
        </w:rPr>
        <w:lastRenderedPageBreak/>
        <w:t>2.</w:t>
      </w:r>
    </w:p>
    <w:p w14:paraId="10EFCF7A" w14:textId="77777777" w:rsidR="00B35A6D" w:rsidRPr="009C5487" w:rsidRDefault="00B35A6D" w:rsidP="00B35A6D">
      <w:pPr>
        <w:rPr>
          <w:rFonts w:ascii="Calibri" w:eastAsia="Calibri" w:hAnsi="Calibri" w:cs="Times New Roman"/>
          <w:lang w:val="en-US"/>
        </w:rPr>
      </w:pPr>
      <w:r w:rsidRPr="009C5487">
        <w:rPr>
          <w:rFonts w:ascii="Calibri" w:eastAsia="Calibri" w:hAnsi="Calibri" w:cs="Times New Roman"/>
          <w:highlight w:val="yellow"/>
          <w:lang w:val="en-US"/>
        </w:rPr>
        <w:t>3.</w:t>
      </w:r>
      <w:bookmarkEnd w:id="1"/>
    </w:p>
    <w:bookmarkEnd w:id="2"/>
    <w:bookmarkEnd w:id="3"/>
    <w:bookmarkEnd w:id="4"/>
    <w:p w14:paraId="10D5595C" w14:textId="03F83006" w:rsidR="00B35A6D" w:rsidRDefault="00B35A6D" w:rsidP="0061400F">
      <w:pPr>
        <w:spacing w:line="276" w:lineRule="auto"/>
        <w:ind w:firstLine="720"/>
        <w:jc w:val="both"/>
        <w:rPr>
          <w:rFonts w:ascii="Times New Roman" w:hAnsi="Times New Roman" w:cs="Times New Roman"/>
        </w:rPr>
      </w:pPr>
    </w:p>
    <w:p w14:paraId="1AABAA7C" w14:textId="7E412022" w:rsidR="00B337BD" w:rsidRPr="006A7223" w:rsidRDefault="00CD341F" w:rsidP="0061400F">
      <w:pPr>
        <w:spacing w:line="276" w:lineRule="auto"/>
        <w:jc w:val="both"/>
        <w:rPr>
          <w:rFonts w:ascii="Times New Roman" w:eastAsia="Times New Roman" w:hAnsi="Times New Roman" w:cs="Times New Roman"/>
          <w:b/>
          <w:bCs/>
          <w:color w:val="000000" w:themeColor="text1"/>
          <w:shd w:val="clear" w:color="auto" w:fill="FFFFFF"/>
        </w:rPr>
      </w:pPr>
      <w:r w:rsidRPr="006A7223">
        <w:rPr>
          <w:rFonts w:ascii="Times New Roman" w:eastAsia="Times New Roman" w:hAnsi="Times New Roman" w:cs="Times New Roman"/>
          <w:b/>
          <w:bCs/>
          <w:color w:val="000000" w:themeColor="text1"/>
          <w:shd w:val="clear" w:color="auto" w:fill="FFFFFF"/>
        </w:rPr>
        <w:t>REFERENCES</w:t>
      </w:r>
    </w:p>
    <w:p w14:paraId="5A2DC956" w14:textId="30DCF9E7"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AOAC INTERNATIONAL. (2023). Official methods of analysis of AOAC INTERNATIONAL (22nd ed.). Rockville, MD</w:t>
      </w:r>
      <w:r w:rsidR="008D12A9">
        <w:rPr>
          <w:rFonts w:ascii="Times New Roman" w:hAnsi="Times New Roman" w:cs="Times New Roman"/>
          <w:color w:val="000000" w:themeColor="text1"/>
        </w:rPr>
        <w:t>, USA: AOAC INTERNATIONAL.</w:t>
      </w:r>
    </w:p>
    <w:p w14:paraId="57D2512C" w14:textId="4DE85159"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Dubey, P. K., Kumar, K. S., Rawson, A., Anandakumar, S., Baskaran, N., &amp; </w:t>
      </w:r>
      <w:proofErr w:type="spellStart"/>
      <w:r w:rsidRPr="003315C8">
        <w:rPr>
          <w:rFonts w:ascii="Times New Roman" w:hAnsi="Times New Roman" w:cs="Times New Roman"/>
          <w:color w:val="000000" w:themeColor="text1"/>
        </w:rPr>
        <w:t>Thamburaj</w:t>
      </w:r>
      <w:proofErr w:type="spellEnd"/>
      <w:r w:rsidRPr="003315C8">
        <w:rPr>
          <w:rFonts w:ascii="Times New Roman" w:hAnsi="Times New Roman" w:cs="Times New Roman"/>
          <w:color w:val="000000" w:themeColor="text1"/>
        </w:rPr>
        <w:t>, S. (2023). Effect of pulsed electric field on physicochemical properties of rice and black gram fermented batter. Journal of Food Process Engineering, 46(9), e14411. htt</w:t>
      </w:r>
      <w:r w:rsidR="008D12A9">
        <w:rPr>
          <w:rFonts w:ascii="Times New Roman" w:hAnsi="Times New Roman" w:cs="Times New Roman"/>
          <w:color w:val="000000" w:themeColor="text1"/>
        </w:rPr>
        <w:t>ps://doi.org/10.1111/jfpe.14411</w:t>
      </w:r>
    </w:p>
    <w:p w14:paraId="7C41BE36" w14:textId="7680C06B"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Khatoniar</w:t>
      </w:r>
      <w:proofErr w:type="spellEnd"/>
      <w:r w:rsidRPr="003315C8">
        <w:rPr>
          <w:rFonts w:ascii="Times New Roman" w:hAnsi="Times New Roman" w:cs="Times New Roman"/>
          <w:color w:val="000000" w:themeColor="text1"/>
        </w:rPr>
        <w:t xml:space="preserve">, S., &amp; Das, P. (2022). Millet based multigrain mix: its </w:t>
      </w:r>
      <w:proofErr w:type="spellStart"/>
      <w:r w:rsidRPr="003315C8">
        <w:rPr>
          <w:rFonts w:ascii="Times New Roman" w:hAnsi="Times New Roman" w:cs="Times New Roman"/>
          <w:color w:val="000000" w:themeColor="text1"/>
        </w:rPr>
        <w:t>physico</w:t>
      </w:r>
      <w:proofErr w:type="spellEnd"/>
      <w:r w:rsidRPr="003315C8">
        <w:rPr>
          <w:rFonts w:ascii="Times New Roman" w:hAnsi="Times New Roman" w:cs="Times New Roman"/>
          <w:color w:val="000000" w:themeColor="text1"/>
        </w:rPr>
        <w:t>-chemical properties and value addition: a review. Journal of Postha</w:t>
      </w:r>
      <w:r w:rsidR="008D12A9">
        <w:rPr>
          <w:rFonts w:ascii="Times New Roman" w:hAnsi="Times New Roman" w:cs="Times New Roman"/>
          <w:color w:val="000000" w:themeColor="text1"/>
        </w:rPr>
        <w:t>rvest Technology, 10(3), 27–40.</w:t>
      </w:r>
    </w:p>
    <w:p w14:paraId="6B80515A" w14:textId="1BDFDA34"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Khurana, N., &amp; Goyal, P. (2021). Consumer perception towards instant food products—a study of youngsters in India. ICTACT Journal on Manag</w:t>
      </w:r>
      <w:r w:rsidR="008D12A9">
        <w:rPr>
          <w:rFonts w:ascii="Times New Roman" w:hAnsi="Times New Roman" w:cs="Times New Roman"/>
          <w:color w:val="000000" w:themeColor="text1"/>
        </w:rPr>
        <w:t>ement Studies, 7(4), 1483–1487.</w:t>
      </w:r>
    </w:p>
    <w:p w14:paraId="34BDCC74"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Kumari, S., Bhinder, S., Singh, B., Kaur, A., &amp; Singh, N. (2020). Effect of buckwheat incorporation on batter fermentation, rheology, phenolic, amino acid composition and textural properties of idli. LWT, 122, 109042. https://doi.org/10.1016/j.lwt.2020.109042</w:t>
      </w:r>
    </w:p>
    <w:p w14:paraId="70594C97"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p>
    <w:p w14:paraId="136510B8" w14:textId="49427454"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Mandhania</w:t>
      </w:r>
      <w:proofErr w:type="spellEnd"/>
      <w:r w:rsidRPr="003315C8">
        <w:rPr>
          <w:rFonts w:ascii="Times New Roman" w:hAnsi="Times New Roman" w:cs="Times New Roman"/>
          <w:color w:val="000000" w:themeColor="text1"/>
        </w:rPr>
        <w:t xml:space="preserve">, M. H., Paul, D., Suryavanshi, M. V., Sharma, L., Chowdhury, S., </w:t>
      </w:r>
      <w:proofErr w:type="spellStart"/>
      <w:r w:rsidRPr="003315C8">
        <w:rPr>
          <w:rFonts w:ascii="Times New Roman" w:hAnsi="Times New Roman" w:cs="Times New Roman"/>
          <w:color w:val="000000" w:themeColor="text1"/>
        </w:rPr>
        <w:t>Diwanay</w:t>
      </w:r>
      <w:proofErr w:type="spellEnd"/>
      <w:r w:rsidRPr="003315C8">
        <w:rPr>
          <w:rFonts w:ascii="Times New Roman" w:hAnsi="Times New Roman" w:cs="Times New Roman"/>
          <w:color w:val="000000" w:themeColor="text1"/>
        </w:rPr>
        <w:t>, S. S., ... &amp; Patole, M. S. (2019). Diversity and succession of microbiota during fermentation of the traditional Indian food idli. Applied and Environmental Microbiology, 85(13), e00368-19. https</w:t>
      </w:r>
      <w:r w:rsidR="008D12A9">
        <w:rPr>
          <w:rFonts w:ascii="Times New Roman" w:hAnsi="Times New Roman" w:cs="Times New Roman"/>
          <w:color w:val="000000" w:themeColor="text1"/>
        </w:rPr>
        <w:t>://doi.org/10.1128/AEM.00368-19</w:t>
      </w:r>
    </w:p>
    <w:p w14:paraId="3D98134F" w14:textId="5B4D72C8"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Masters, W. A., Nene, M. D., &amp; Bell, W. (2017). Nutrient composition of premixed and packaged complementary foods for sale in low‐ and middle‐income countries: Lack of standards threatens infant growth. Maternal &amp; Child Nutrition, 13(4), e12421. ht</w:t>
      </w:r>
      <w:r w:rsidR="008D12A9">
        <w:rPr>
          <w:rFonts w:ascii="Times New Roman" w:hAnsi="Times New Roman" w:cs="Times New Roman"/>
          <w:color w:val="000000" w:themeColor="text1"/>
        </w:rPr>
        <w:t>tps://doi.org/10.1111/mcn.12421</w:t>
      </w:r>
    </w:p>
    <w:p w14:paraId="6E5F2704" w14:textId="4017A2B4"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 S., Kolhe, P.,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M. M., Jadhav, V., Mishra, A. K., Dalvi, S. B., ... &amp; Khune, P. M. (2024). The production, yield, and area of the jowar (great millet) in the states of India using the pivot table. International Journal of Engineering and Computer Science, 6(1), </w:t>
      </w:r>
      <w:r w:rsidR="008D12A9">
        <w:rPr>
          <w:rFonts w:ascii="Times New Roman" w:hAnsi="Times New Roman" w:cs="Times New Roman"/>
          <w:color w:val="000000" w:themeColor="text1"/>
        </w:rPr>
        <w:t>56–60.</w:t>
      </w:r>
    </w:p>
    <w:p w14:paraId="72BAF077" w14:textId="77AF34A4"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Ganesh S Kahar, Pravin </w:t>
      </w:r>
      <w:proofErr w:type="spellStart"/>
      <w:r w:rsidRPr="003315C8">
        <w:rPr>
          <w:rFonts w:ascii="Times New Roman" w:hAnsi="Times New Roman" w:cs="Times New Roman"/>
          <w:color w:val="000000" w:themeColor="text1"/>
        </w:rPr>
        <w:t>Jawake</w:t>
      </w:r>
      <w:proofErr w:type="spellEnd"/>
      <w:r w:rsidRPr="003315C8">
        <w:rPr>
          <w:rFonts w:ascii="Times New Roman" w:hAnsi="Times New Roman" w:cs="Times New Roman"/>
          <w:color w:val="000000" w:themeColor="text1"/>
        </w:rPr>
        <w:t xml:space="preserve">, AA Sawant, PB Bansode, KS Langote and RA Gosavi. Shelf-life enhancement of guava by using ethylene inhibitor and different coating material. Int. J. Adv. </w:t>
      </w:r>
      <w:proofErr w:type="spellStart"/>
      <w:r w:rsidRPr="003315C8">
        <w:rPr>
          <w:rFonts w:ascii="Times New Roman" w:hAnsi="Times New Roman" w:cs="Times New Roman"/>
          <w:color w:val="000000" w:themeColor="text1"/>
        </w:rPr>
        <w:t>Biochem</w:t>
      </w:r>
      <w:proofErr w:type="spellEnd"/>
      <w:r w:rsidRPr="003315C8">
        <w:rPr>
          <w:rFonts w:ascii="Times New Roman" w:hAnsi="Times New Roman" w:cs="Times New Roman"/>
          <w:color w:val="000000" w:themeColor="text1"/>
        </w:rPr>
        <w:t>. Res. 2024;8(1S):460-469. DOI: 10.33545/26174693.2024.v8.i1Sg.369</w:t>
      </w:r>
    </w:p>
    <w:p w14:paraId="309D6861" w14:textId="56FB0CE4"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lastRenderedPageBreak/>
        <w:t xml:space="preserve">Kahar, Ganesh S., Rinkesh Gosavi, </w:t>
      </w:r>
      <w:proofErr w:type="spellStart"/>
      <w:r w:rsidRPr="003315C8">
        <w:rPr>
          <w:rFonts w:ascii="Times New Roman" w:hAnsi="Times New Roman" w:cs="Times New Roman"/>
          <w:color w:val="000000" w:themeColor="text1"/>
        </w:rPr>
        <w:t>Manjit</w:t>
      </w:r>
      <w:proofErr w:type="spellEnd"/>
      <w:r w:rsidRPr="003315C8">
        <w:rPr>
          <w:rFonts w:ascii="Times New Roman" w:hAnsi="Times New Roman" w:cs="Times New Roman"/>
          <w:color w:val="000000" w:themeColor="text1"/>
        </w:rPr>
        <w:t xml:space="preserve"> M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Pooja P </w:t>
      </w:r>
      <w:proofErr w:type="spellStart"/>
      <w:r w:rsidRPr="003315C8">
        <w:rPr>
          <w:rFonts w:ascii="Times New Roman" w:hAnsi="Times New Roman" w:cs="Times New Roman"/>
          <w:color w:val="000000" w:themeColor="text1"/>
        </w:rPr>
        <w:t>Thul</w:t>
      </w:r>
      <w:proofErr w:type="spellEnd"/>
      <w:r w:rsidRPr="003315C8">
        <w:rPr>
          <w:rFonts w:ascii="Times New Roman" w:hAnsi="Times New Roman" w:cs="Times New Roman"/>
          <w:color w:val="000000" w:themeColor="text1"/>
        </w:rPr>
        <w:t>, A.A. Sawant, and C Manaswini. 2024. “Development and Shelf-Life Study of Twin-Screw Extruded Fish Snacks Using Mackerel and Rohu Powder”. Journal of Biochemistry International 11 (1):72-82. https://doi.org/10.56557/jobi/2024/v11i19074.</w:t>
      </w:r>
    </w:p>
    <w:p w14:paraId="7E4A0D7A" w14:textId="7D5A54AB"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Manaswini, C., K. Dhanapal, K. Sravani, G. Praveen </w:t>
      </w:r>
      <w:proofErr w:type="spellStart"/>
      <w:r w:rsidRPr="003315C8">
        <w:rPr>
          <w:rFonts w:ascii="Times New Roman" w:hAnsi="Times New Roman" w:cs="Times New Roman"/>
          <w:color w:val="000000" w:themeColor="text1"/>
        </w:rPr>
        <w:t>kumar</w:t>
      </w:r>
      <w:proofErr w:type="spellEnd"/>
      <w:r w:rsidRPr="003315C8">
        <w:rPr>
          <w:rFonts w:ascii="Times New Roman" w:hAnsi="Times New Roman" w:cs="Times New Roman"/>
          <w:color w:val="000000" w:themeColor="text1"/>
        </w:rPr>
        <w:t>, and Ganesh S. Kahar. 2025. “Review on Innovative Smart Packaging Solutions for Seafood Preservation”. European Journal of Nutrition &amp; Food Safety 17 (4):167-82. https://doi.org/10.9734/ejnfs/2025/v17i41689.</w:t>
      </w:r>
    </w:p>
    <w:p w14:paraId="209DA6D8" w14:textId="65C9BCF6"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Ganesh Santosh, K. (2022). Plant extract based active packaging for extension of shelf life of strawberries. </w:t>
      </w:r>
    </w:p>
    <w:p w14:paraId="098A5D9E" w14:textId="522288FB" w:rsidR="003315C8" w:rsidRPr="003315C8" w:rsidRDefault="003315C8" w:rsidP="003315C8">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Manjit</w:t>
      </w:r>
      <w:proofErr w:type="spellEnd"/>
      <w:r w:rsidRPr="003315C8">
        <w:rPr>
          <w:rFonts w:ascii="Times New Roman" w:hAnsi="Times New Roman" w:cs="Times New Roman"/>
          <w:color w:val="000000" w:themeColor="text1"/>
        </w:rPr>
        <w:t xml:space="preserve"> M </w:t>
      </w:r>
      <w:proofErr w:type="spellStart"/>
      <w:r w:rsidRPr="003315C8">
        <w:rPr>
          <w:rFonts w:ascii="Times New Roman" w:hAnsi="Times New Roman" w:cs="Times New Roman"/>
          <w:color w:val="000000" w:themeColor="text1"/>
        </w:rPr>
        <w:t>Khatal</w:t>
      </w:r>
      <w:proofErr w:type="spellEnd"/>
      <w:r w:rsidRPr="003315C8">
        <w:rPr>
          <w:rFonts w:ascii="Times New Roman" w:hAnsi="Times New Roman" w:cs="Times New Roman"/>
          <w:color w:val="000000" w:themeColor="text1"/>
        </w:rPr>
        <w:t xml:space="preserve">, GS Kahar, RA Gosavi, Pooja P </w:t>
      </w:r>
      <w:proofErr w:type="spellStart"/>
      <w:r w:rsidRPr="003315C8">
        <w:rPr>
          <w:rFonts w:ascii="Times New Roman" w:hAnsi="Times New Roman" w:cs="Times New Roman"/>
          <w:color w:val="000000" w:themeColor="text1"/>
        </w:rPr>
        <w:t>Thul</w:t>
      </w:r>
      <w:proofErr w:type="spellEnd"/>
      <w:r w:rsidRPr="003315C8">
        <w:rPr>
          <w:rFonts w:ascii="Times New Roman" w:hAnsi="Times New Roman" w:cs="Times New Roman"/>
          <w:color w:val="000000" w:themeColor="text1"/>
        </w:rPr>
        <w:t xml:space="preserve">, AM </w:t>
      </w:r>
      <w:proofErr w:type="spellStart"/>
      <w:r w:rsidRPr="003315C8">
        <w:rPr>
          <w:rFonts w:ascii="Times New Roman" w:hAnsi="Times New Roman" w:cs="Times New Roman"/>
          <w:color w:val="000000" w:themeColor="text1"/>
        </w:rPr>
        <w:t>Kutwal</w:t>
      </w:r>
      <w:proofErr w:type="spellEnd"/>
      <w:r w:rsidRPr="003315C8">
        <w:rPr>
          <w:rFonts w:ascii="Times New Roman" w:hAnsi="Times New Roman" w:cs="Times New Roman"/>
          <w:color w:val="000000" w:themeColor="text1"/>
        </w:rPr>
        <w:t xml:space="preserve">, KK </w:t>
      </w:r>
      <w:proofErr w:type="spellStart"/>
      <w:r w:rsidRPr="003315C8">
        <w:rPr>
          <w:rFonts w:ascii="Times New Roman" w:hAnsi="Times New Roman" w:cs="Times New Roman"/>
          <w:color w:val="000000" w:themeColor="text1"/>
        </w:rPr>
        <w:t>Kashid</w:t>
      </w:r>
      <w:proofErr w:type="spellEnd"/>
      <w:r w:rsidRPr="003315C8">
        <w:rPr>
          <w:rFonts w:ascii="Times New Roman" w:hAnsi="Times New Roman" w:cs="Times New Roman"/>
          <w:color w:val="000000" w:themeColor="text1"/>
        </w:rPr>
        <w:t xml:space="preserve"> and </w:t>
      </w:r>
      <w:proofErr w:type="spellStart"/>
      <w:r w:rsidRPr="003315C8">
        <w:rPr>
          <w:rFonts w:ascii="Times New Roman" w:hAnsi="Times New Roman" w:cs="Times New Roman"/>
          <w:color w:val="000000" w:themeColor="text1"/>
        </w:rPr>
        <w:t>Anunay</w:t>
      </w:r>
      <w:proofErr w:type="spellEnd"/>
      <w:r w:rsidRPr="003315C8">
        <w:rPr>
          <w:rFonts w:ascii="Times New Roman" w:hAnsi="Times New Roman" w:cs="Times New Roman"/>
          <w:color w:val="000000" w:themeColor="text1"/>
        </w:rPr>
        <w:t xml:space="preserve"> Kumar. Pulsed electric field: A novel technique for sustainability in </w:t>
      </w:r>
      <w:r>
        <w:rPr>
          <w:rFonts w:ascii="Times New Roman" w:hAnsi="Times New Roman" w:cs="Times New Roman"/>
          <w:color w:val="000000" w:themeColor="text1"/>
        </w:rPr>
        <w:t xml:space="preserve">fruit and vegetable processing. International </w:t>
      </w:r>
      <w:r w:rsidRPr="003315C8">
        <w:rPr>
          <w:rFonts w:ascii="Times New Roman" w:hAnsi="Times New Roman" w:cs="Times New Roman"/>
          <w:color w:val="000000" w:themeColor="text1"/>
        </w:rPr>
        <w:t>J</w:t>
      </w:r>
      <w:r>
        <w:rPr>
          <w:rFonts w:ascii="Times New Roman" w:hAnsi="Times New Roman" w:cs="Times New Roman"/>
          <w:color w:val="000000" w:themeColor="text1"/>
        </w:rPr>
        <w:t xml:space="preserve">ournal </w:t>
      </w:r>
      <w:r w:rsidRPr="003315C8">
        <w:rPr>
          <w:rFonts w:ascii="Times New Roman" w:hAnsi="Times New Roman" w:cs="Times New Roman"/>
          <w:color w:val="000000" w:themeColor="text1"/>
        </w:rPr>
        <w:t>Agric</w:t>
      </w:r>
      <w:r>
        <w:rPr>
          <w:rFonts w:ascii="Times New Roman" w:hAnsi="Times New Roman" w:cs="Times New Roman"/>
          <w:color w:val="000000" w:themeColor="text1"/>
        </w:rPr>
        <w:t>ulture</w:t>
      </w:r>
      <w:r w:rsidRPr="003315C8">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And</w:t>
      </w:r>
      <w:proofErr w:type="gramEnd"/>
      <w:r>
        <w:rPr>
          <w:rFonts w:ascii="Times New Roman" w:hAnsi="Times New Roman" w:cs="Times New Roman"/>
          <w:color w:val="000000" w:themeColor="text1"/>
        </w:rPr>
        <w:t xml:space="preserve"> </w:t>
      </w:r>
      <w:r w:rsidRPr="003315C8">
        <w:rPr>
          <w:rFonts w:ascii="Times New Roman" w:hAnsi="Times New Roman" w:cs="Times New Roman"/>
          <w:color w:val="000000" w:themeColor="text1"/>
        </w:rPr>
        <w:t>Food Sci</w:t>
      </w:r>
      <w:r>
        <w:rPr>
          <w:rFonts w:ascii="Times New Roman" w:hAnsi="Times New Roman" w:cs="Times New Roman"/>
          <w:color w:val="000000" w:themeColor="text1"/>
        </w:rPr>
        <w:t>ence</w:t>
      </w:r>
      <w:r w:rsidRPr="003315C8">
        <w:rPr>
          <w:rFonts w:ascii="Times New Roman" w:hAnsi="Times New Roman" w:cs="Times New Roman"/>
          <w:color w:val="000000" w:themeColor="text1"/>
        </w:rPr>
        <w:t>. 2025;7(3):60-67. DOI: https://doi.org/10.33545/2664844X.2025.v7.i3a.315</w:t>
      </w:r>
    </w:p>
    <w:p w14:paraId="64F707C9" w14:textId="67C22477"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Kahar, G. S., Gosavi, R., Sawant, A. A., Kad, V. P., Kalse, S. B., &amp; </w:t>
      </w:r>
      <w:proofErr w:type="spellStart"/>
      <w:r w:rsidRPr="003315C8">
        <w:rPr>
          <w:rFonts w:ascii="Times New Roman" w:hAnsi="Times New Roman" w:cs="Times New Roman"/>
          <w:color w:val="000000" w:themeColor="text1"/>
        </w:rPr>
        <w:t>Rupanawar</w:t>
      </w:r>
      <w:proofErr w:type="spellEnd"/>
      <w:r w:rsidRPr="003315C8">
        <w:rPr>
          <w:rFonts w:ascii="Times New Roman" w:hAnsi="Times New Roman" w:cs="Times New Roman"/>
          <w:color w:val="000000" w:themeColor="text1"/>
        </w:rPr>
        <w:t>, H. D. (2024). Transforming agricultural process engineering: The convergence of IoT and AI. International Journal of Food Science and Nutrition</w:t>
      </w:r>
      <w:r w:rsidR="008D12A9">
        <w:rPr>
          <w:rFonts w:ascii="Times New Roman" w:hAnsi="Times New Roman" w:cs="Times New Roman"/>
          <w:color w:val="000000" w:themeColor="text1"/>
        </w:rPr>
        <w:t>,10(1</w:t>
      </w:r>
      <w:r w:rsidRPr="003315C8">
        <w:rPr>
          <w:rFonts w:ascii="Times New Roman" w:hAnsi="Times New Roman" w:cs="Times New Roman"/>
          <w:color w:val="000000" w:themeColor="text1"/>
        </w:rPr>
        <w:t xml:space="preserve">), </w:t>
      </w:r>
      <w:r w:rsidR="008D12A9">
        <w:rPr>
          <w:rFonts w:ascii="Times New Roman" w:hAnsi="Times New Roman" w:cs="Times New Roman"/>
          <w:color w:val="000000" w:themeColor="text1"/>
        </w:rPr>
        <w:t>42-52.</w:t>
      </w:r>
    </w:p>
    <w:p w14:paraId="73F2A187"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Mathew, A. P., &amp; Mathew, D. (2024). The instant food revolution: Exploring modern consumer buying patterns. International Socioeconomic Review, 2(1), 17–32.</w:t>
      </w:r>
    </w:p>
    <w:p w14:paraId="3E2BAD62" w14:textId="77777777" w:rsidR="003315C8" w:rsidRPr="003315C8" w:rsidRDefault="003315C8" w:rsidP="008D12A9">
      <w:pPr>
        <w:spacing w:line="276" w:lineRule="auto"/>
        <w:jc w:val="both"/>
        <w:rPr>
          <w:rFonts w:ascii="Times New Roman" w:hAnsi="Times New Roman" w:cs="Times New Roman"/>
          <w:color w:val="000000" w:themeColor="text1"/>
        </w:rPr>
      </w:pPr>
    </w:p>
    <w:p w14:paraId="29537EF0" w14:textId="01D9FC3E"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Olson, R., Gavin-Smith, B., </w:t>
      </w:r>
      <w:proofErr w:type="spellStart"/>
      <w:r w:rsidRPr="003315C8">
        <w:rPr>
          <w:rFonts w:ascii="Times New Roman" w:hAnsi="Times New Roman" w:cs="Times New Roman"/>
          <w:color w:val="000000" w:themeColor="text1"/>
        </w:rPr>
        <w:t>Ferraboschi</w:t>
      </w:r>
      <w:proofErr w:type="spellEnd"/>
      <w:r w:rsidRPr="003315C8">
        <w:rPr>
          <w:rFonts w:ascii="Times New Roman" w:hAnsi="Times New Roman" w:cs="Times New Roman"/>
          <w:color w:val="000000" w:themeColor="text1"/>
        </w:rPr>
        <w:t>, C., &amp; Kraemer, K. (2021). Food fortification: The advantages, disadvantages and lessons from sight and life programs. Nutrients, 13(4), 1118. htt</w:t>
      </w:r>
      <w:r w:rsidR="008D12A9">
        <w:rPr>
          <w:rFonts w:ascii="Times New Roman" w:hAnsi="Times New Roman" w:cs="Times New Roman"/>
          <w:color w:val="000000" w:themeColor="text1"/>
        </w:rPr>
        <w:t>ps://doi.org/10.3390/nu13041118</w:t>
      </w:r>
    </w:p>
    <w:p w14:paraId="4E05B708" w14:textId="1B7E245C"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Ranganna, S. (1986). Handbook of analysis and quality control for fruit and vegetable products (2nd ed.). New Delhi: Tata McGr</w:t>
      </w:r>
      <w:r w:rsidR="008D12A9">
        <w:rPr>
          <w:rFonts w:ascii="Times New Roman" w:hAnsi="Times New Roman" w:cs="Times New Roman"/>
          <w:color w:val="000000" w:themeColor="text1"/>
        </w:rPr>
        <w:t>aw-Hill Publishing Company Ltd.</w:t>
      </w:r>
    </w:p>
    <w:p w14:paraId="0A91FCD2" w14:textId="7763FBBD"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Ravindran, N., </w:t>
      </w:r>
      <w:proofErr w:type="spellStart"/>
      <w:r w:rsidRPr="003315C8">
        <w:rPr>
          <w:rFonts w:ascii="Times New Roman" w:hAnsi="Times New Roman" w:cs="Times New Roman"/>
          <w:color w:val="000000" w:themeColor="text1"/>
        </w:rPr>
        <w:t>Venkatachalapathy</w:t>
      </w:r>
      <w:proofErr w:type="spellEnd"/>
      <w:r w:rsidRPr="003315C8">
        <w:rPr>
          <w:rFonts w:ascii="Times New Roman" w:hAnsi="Times New Roman" w:cs="Times New Roman"/>
          <w:color w:val="000000" w:themeColor="text1"/>
        </w:rPr>
        <w:t xml:space="preserve">, N., Loganathan, M., &amp; </w:t>
      </w:r>
      <w:proofErr w:type="spellStart"/>
      <w:r w:rsidRPr="003315C8">
        <w:rPr>
          <w:rFonts w:ascii="Times New Roman" w:hAnsi="Times New Roman" w:cs="Times New Roman"/>
          <w:color w:val="000000" w:themeColor="text1"/>
        </w:rPr>
        <w:t>Eyarkai</w:t>
      </w:r>
      <w:proofErr w:type="spellEnd"/>
      <w:r w:rsidRPr="003315C8">
        <w:rPr>
          <w:rFonts w:ascii="Times New Roman" w:hAnsi="Times New Roman" w:cs="Times New Roman"/>
          <w:color w:val="000000" w:themeColor="text1"/>
        </w:rPr>
        <w:t>, V. (2021). Effect of stirring on the rheological, textural and structural characteristics of idli batter and steamed idli. The Pharma Innovat</w:t>
      </w:r>
      <w:r w:rsidR="008D12A9">
        <w:rPr>
          <w:rFonts w:ascii="Times New Roman" w:hAnsi="Times New Roman" w:cs="Times New Roman"/>
          <w:color w:val="000000" w:themeColor="text1"/>
        </w:rPr>
        <w:t>ion Journal, 10(10), 1252–1255.</w:t>
      </w:r>
    </w:p>
    <w:p w14:paraId="21D7F9A4" w14:textId="6B462E65" w:rsidR="003315C8" w:rsidRPr="003315C8" w:rsidRDefault="003315C8" w:rsidP="008D12A9">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t>Regubalan</w:t>
      </w:r>
      <w:proofErr w:type="spellEnd"/>
      <w:r w:rsidRPr="003315C8">
        <w:rPr>
          <w:rFonts w:ascii="Times New Roman" w:hAnsi="Times New Roman" w:cs="Times New Roman"/>
          <w:color w:val="000000" w:themeColor="text1"/>
        </w:rPr>
        <w:t xml:space="preserve">, B., &amp; </w:t>
      </w:r>
      <w:proofErr w:type="spellStart"/>
      <w:r w:rsidRPr="003315C8">
        <w:rPr>
          <w:rFonts w:ascii="Times New Roman" w:hAnsi="Times New Roman" w:cs="Times New Roman"/>
          <w:color w:val="000000" w:themeColor="text1"/>
        </w:rPr>
        <w:t>Ananthanarayan</w:t>
      </w:r>
      <w:proofErr w:type="spellEnd"/>
      <w:r w:rsidRPr="003315C8">
        <w:rPr>
          <w:rFonts w:ascii="Times New Roman" w:hAnsi="Times New Roman" w:cs="Times New Roman"/>
          <w:color w:val="000000" w:themeColor="text1"/>
        </w:rPr>
        <w:t>, L. (2018). Shelf life improvement of idli batter by addition of mustard essential oil as bio-preservative. Journal of Food Science and Technology, 55(9), 3417–3426. https://do</w:t>
      </w:r>
      <w:r w:rsidR="008D12A9">
        <w:rPr>
          <w:rFonts w:ascii="Times New Roman" w:hAnsi="Times New Roman" w:cs="Times New Roman"/>
          <w:color w:val="000000" w:themeColor="text1"/>
        </w:rPr>
        <w:t>i.org/10.1007/s13197-018-3242-6</w:t>
      </w:r>
    </w:p>
    <w:p w14:paraId="51621F05" w14:textId="7CDA027D" w:rsidR="003315C8" w:rsidRPr="003315C8" w:rsidRDefault="003315C8" w:rsidP="008D12A9">
      <w:pPr>
        <w:spacing w:line="276" w:lineRule="auto"/>
        <w:ind w:left="720" w:hanging="720"/>
        <w:jc w:val="both"/>
        <w:rPr>
          <w:rFonts w:ascii="Times New Roman" w:hAnsi="Times New Roman" w:cs="Times New Roman"/>
          <w:color w:val="000000" w:themeColor="text1"/>
        </w:rPr>
      </w:pPr>
      <w:r w:rsidRPr="003315C8">
        <w:rPr>
          <w:rFonts w:ascii="Times New Roman" w:hAnsi="Times New Roman" w:cs="Times New Roman"/>
          <w:color w:val="000000" w:themeColor="text1"/>
        </w:rPr>
        <w:t xml:space="preserve">Thara, K. D., &amp; </w:t>
      </w:r>
      <w:proofErr w:type="spellStart"/>
      <w:r w:rsidRPr="003315C8">
        <w:rPr>
          <w:rFonts w:ascii="Times New Roman" w:hAnsi="Times New Roman" w:cs="Times New Roman"/>
          <w:color w:val="000000" w:themeColor="text1"/>
        </w:rPr>
        <w:t>Nazni</w:t>
      </w:r>
      <w:proofErr w:type="spellEnd"/>
      <w:r w:rsidRPr="003315C8">
        <w:rPr>
          <w:rFonts w:ascii="Times New Roman" w:hAnsi="Times New Roman" w:cs="Times New Roman"/>
          <w:color w:val="000000" w:themeColor="text1"/>
        </w:rPr>
        <w:t>, P. (2021). Formulation and quality evaluation of foxtail millet and semolina incorporated ready-to-cook upma mix. Bioscience Biotechnology Research Co</w:t>
      </w:r>
      <w:r w:rsidR="008D12A9">
        <w:rPr>
          <w:rFonts w:ascii="Times New Roman" w:hAnsi="Times New Roman" w:cs="Times New Roman"/>
          <w:color w:val="000000" w:themeColor="text1"/>
        </w:rPr>
        <w:t>mmunications, 14(4), 1531–1537.</w:t>
      </w:r>
    </w:p>
    <w:p w14:paraId="3C4CD0D1" w14:textId="77777777" w:rsidR="003315C8" w:rsidRPr="003315C8" w:rsidRDefault="003315C8" w:rsidP="003315C8">
      <w:pPr>
        <w:spacing w:line="276" w:lineRule="auto"/>
        <w:ind w:left="720" w:hanging="720"/>
        <w:jc w:val="both"/>
        <w:rPr>
          <w:rFonts w:ascii="Times New Roman" w:hAnsi="Times New Roman" w:cs="Times New Roman"/>
          <w:color w:val="000000" w:themeColor="text1"/>
        </w:rPr>
      </w:pPr>
      <w:proofErr w:type="spellStart"/>
      <w:r w:rsidRPr="003315C8">
        <w:rPr>
          <w:rFonts w:ascii="Times New Roman" w:hAnsi="Times New Roman" w:cs="Times New Roman"/>
          <w:color w:val="000000" w:themeColor="text1"/>
        </w:rPr>
        <w:lastRenderedPageBreak/>
        <w:t>Tsafrakidou</w:t>
      </w:r>
      <w:proofErr w:type="spellEnd"/>
      <w:r w:rsidRPr="003315C8">
        <w:rPr>
          <w:rFonts w:ascii="Times New Roman" w:hAnsi="Times New Roman" w:cs="Times New Roman"/>
          <w:color w:val="000000" w:themeColor="text1"/>
        </w:rPr>
        <w:t xml:space="preserve">, P., </w:t>
      </w:r>
      <w:proofErr w:type="spellStart"/>
      <w:r w:rsidRPr="003315C8">
        <w:rPr>
          <w:rFonts w:ascii="Times New Roman" w:hAnsi="Times New Roman" w:cs="Times New Roman"/>
          <w:color w:val="000000" w:themeColor="text1"/>
        </w:rPr>
        <w:t>Michaelidou</w:t>
      </w:r>
      <w:proofErr w:type="spellEnd"/>
      <w:r w:rsidRPr="003315C8">
        <w:rPr>
          <w:rFonts w:ascii="Times New Roman" w:hAnsi="Times New Roman" w:cs="Times New Roman"/>
          <w:color w:val="000000" w:themeColor="text1"/>
        </w:rPr>
        <w:t xml:space="preserve">, A. M., &amp; </w:t>
      </w:r>
      <w:proofErr w:type="spellStart"/>
      <w:r w:rsidRPr="003315C8">
        <w:rPr>
          <w:rFonts w:ascii="Times New Roman" w:hAnsi="Times New Roman" w:cs="Times New Roman"/>
          <w:color w:val="000000" w:themeColor="text1"/>
        </w:rPr>
        <w:t>Biliaderis</w:t>
      </w:r>
      <w:proofErr w:type="spellEnd"/>
      <w:r w:rsidRPr="003315C8">
        <w:rPr>
          <w:rFonts w:ascii="Times New Roman" w:hAnsi="Times New Roman" w:cs="Times New Roman"/>
          <w:color w:val="000000" w:themeColor="text1"/>
        </w:rPr>
        <w:t>, C. G. (2020). Fermented cereal-based products: Nutritional aspects, possible impact on gut microbiota and health implications. Foods, 9(6), 734. https://doi.org/10.3390/foods9060734</w:t>
      </w:r>
    </w:p>
    <w:p w14:paraId="75D8B5ED" w14:textId="77777777" w:rsidR="00E7705A" w:rsidRPr="006A7223" w:rsidRDefault="00E7705A" w:rsidP="003315C8">
      <w:pPr>
        <w:spacing w:line="276" w:lineRule="auto"/>
        <w:ind w:left="720" w:hanging="720"/>
        <w:jc w:val="both"/>
        <w:rPr>
          <w:rFonts w:ascii="Times New Roman" w:eastAsia="Times New Roman" w:hAnsi="Times New Roman" w:cs="Times New Roman"/>
          <w:color w:val="000000" w:themeColor="text1"/>
          <w:shd w:val="clear" w:color="auto" w:fill="FFFFFF"/>
        </w:rPr>
      </w:pPr>
    </w:p>
    <w:sectPr w:rsidR="00E7705A" w:rsidRPr="006A722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D3BEF" w14:textId="77777777" w:rsidR="00CD162C" w:rsidRDefault="00CD162C" w:rsidP="003D5ABE">
      <w:pPr>
        <w:spacing w:after="0" w:line="240" w:lineRule="auto"/>
      </w:pPr>
      <w:r>
        <w:separator/>
      </w:r>
    </w:p>
  </w:endnote>
  <w:endnote w:type="continuationSeparator" w:id="0">
    <w:p w14:paraId="4C51A9E3" w14:textId="77777777" w:rsidR="00CD162C" w:rsidRDefault="00CD162C" w:rsidP="003D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66363" w14:textId="77777777" w:rsidR="003D5ABE" w:rsidRDefault="003D5A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D5DDC" w14:textId="77777777" w:rsidR="003D5ABE" w:rsidRDefault="003D5A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CC2D" w14:textId="77777777" w:rsidR="003D5ABE" w:rsidRDefault="003D5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665EF" w14:textId="77777777" w:rsidR="00CD162C" w:rsidRDefault="00CD162C" w:rsidP="003D5ABE">
      <w:pPr>
        <w:spacing w:after="0" w:line="240" w:lineRule="auto"/>
      </w:pPr>
      <w:r>
        <w:separator/>
      </w:r>
    </w:p>
  </w:footnote>
  <w:footnote w:type="continuationSeparator" w:id="0">
    <w:p w14:paraId="68003F6A" w14:textId="77777777" w:rsidR="00CD162C" w:rsidRDefault="00CD162C" w:rsidP="003D5A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1E0D2" w14:textId="07F4FDEC" w:rsidR="003D5ABE" w:rsidRDefault="00CD162C">
    <w:pPr>
      <w:pStyle w:val="Header"/>
    </w:pPr>
    <w:r>
      <w:rPr>
        <w:noProof/>
      </w:rPr>
      <w:pict w14:anchorId="1FE750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591D1" w14:textId="5EE2FCB4" w:rsidR="003D5ABE" w:rsidRDefault="00CD162C">
    <w:pPr>
      <w:pStyle w:val="Header"/>
    </w:pPr>
    <w:r>
      <w:rPr>
        <w:noProof/>
      </w:rPr>
      <w:pict w14:anchorId="428AB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3FEC9" w14:textId="3FA4186E" w:rsidR="003D5ABE" w:rsidRDefault="00CD162C">
    <w:pPr>
      <w:pStyle w:val="Header"/>
    </w:pPr>
    <w:r>
      <w:rPr>
        <w:noProof/>
      </w:rPr>
      <w:pict w14:anchorId="5BF42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94886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3A0DF1"/>
    <w:multiLevelType w:val="multilevel"/>
    <w:tmpl w:val="39EC6D66"/>
    <w:lvl w:ilvl="0">
      <w:start w:val="1"/>
      <w:numFmt w:val="decimal"/>
      <w:lvlText w:val="%1."/>
      <w:lvlJc w:val="left"/>
      <w:pPr>
        <w:ind w:left="360" w:hanging="360"/>
      </w:pPr>
      <w:rPr>
        <w:rFonts w:hint="default"/>
        <w:b/>
      </w:rPr>
    </w:lvl>
    <w:lvl w:ilvl="1">
      <w:start w:val="9"/>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C480620"/>
    <w:multiLevelType w:val="multilevel"/>
    <w:tmpl w:val="6BAAC37E"/>
    <w:lvl w:ilvl="0">
      <w:start w:val="1"/>
      <w:numFmt w:val="decimal"/>
      <w:lvlText w:val="%1."/>
      <w:lvlJc w:val="left"/>
      <w:pPr>
        <w:ind w:left="360" w:hanging="360"/>
      </w:pPr>
      <w:rPr>
        <w:rFonts w:hint="default"/>
      </w:rPr>
    </w:lvl>
    <w:lvl w:ilvl="1">
      <w:start w:val="4"/>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F7"/>
    <w:rsid w:val="000009A3"/>
    <w:rsid w:val="000013D9"/>
    <w:rsid w:val="00006FA8"/>
    <w:rsid w:val="000210B1"/>
    <w:rsid w:val="00023DBE"/>
    <w:rsid w:val="0003134C"/>
    <w:rsid w:val="00044491"/>
    <w:rsid w:val="0004640C"/>
    <w:rsid w:val="00084052"/>
    <w:rsid w:val="000B1A2A"/>
    <w:rsid w:val="000B3E1F"/>
    <w:rsid w:val="000B5C32"/>
    <w:rsid w:val="000C6D8F"/>
    <w:rsid w:val="000C6F3F"/>
    <w:rsid w:val="000E311E"/>
    <w:rsid w:val="00113C76"/>
    <w:rsid w:val="00116036"/>
    <w:rsid w:val="001271F7"/>
    <w:rsid w:val="001378F0"/>
    <w:rsid w:val="00154369"/>
    <w:rsid w:val="00155FBF"/>
    <w:rsid w:val="0015653A"/>
    <w:rsid w:val="001849AC"/>
    <w:rsid w:val="001B6CD4"/>
    <w:rsid w:val="0020183B"/>
    <w:rsid w:val="00214C75"/>
    <w:rsid w:val="00245E42"/>
    <w:rsid w:val="00247F5E"/>
    <w:rsid w:val="0027273D"/>
    <w:rsid w:val="00281345"/>
    <w:rsid w:val="00291B43"/>
    <w:rsid w:val="002A00E3"/>
    <w:rsid w:val="002A794E"/>
    <w:rsid w:val="002D3F18"/>
    <w:rsid w:val="00305164"/>
    <w:rsid w:val="00307AB2"/>
    <w:rsid w:val="00325F4C"/>
    <w:rsid w:val="003315C8"/>
    <w:rsid w:val="00344048"/>
    <w:rsid w:val="00385566"/>
    <w:rsid w:val="003B430C"/>
    <w:rsid w:val="003C4604"/>
    <w:rsid w:val="003D5ABE"/>
    <w:rsid w:val="00411D13"/>
    <w:rsid w:val="00423A85"/>
    <w:rsid w:val="004260E4"/>
    <w:rsid w:val="004317FC"/>
    <w:rsid w:val="00437188"/>
    <w:rsid w:val="00471D06"/>
    <w:rsid w:val="00483970"/>
    <w:rsid w:val="004A262D"/>
    <w:rsid w:val="004C7918"/>
    <w:rsid w:val="004D318A"/>
    <w:rsid w:val="004E007F"/>
    <w:rsid w:val="0053415A"/>
    <w:rsid w:val="0058349F"/>
    <w:rsid w:val="00597139"/>
    <w:rsid w:val="005A06E8"/>
    <w:rsid w:val="005B0A69"/>
    <w:rsid w:val="005B430F"/>
    <w:rsid w:val="005D538C"/>
    <w:rsid w:val="005D72D6"/>
    <w:rsid w:val="0061400F"/>
    <w:rsid w:val="00635356"/>
    <w:rsid w:val="00642F59"/>
    <w:rsid w:val="00666CB3"/>
    <w:rsid w:val="00675F2E"/>
    <w:rsid w:val="00677572"/>
    <w:rsid w:val="00694247"/>
    <w:rsid w:val="006A7223"/>
    <w:rsid w:val="006D3B99"/>
    <w:rsid w:val="006D7C26"/>
    <w:rsid w:val="006E35F0"/>
    <w:rsid w:val="006E4C5C"/>
    <w:rsid w:val="00701DC3"/>
    <w:rsid w:val="00707189"/>
    <w:rsid w:val="00720FBA"/>
    <w:rsid w:val="007715DB"/>
    <w:rsid w:val="00771E86"/>
    <w:rsid w:val="007839AB"/>
    <w:rsid w:val="007F4E92"/>
    <w:rsid w:val="00830E91"/>
    <w:rsid w:val="00881EAA"/>
    <w:rsid w:val="0089351A"/>
    <w:rsid w:val="008C6D42"/>
    <w:rsid w:val="008D0F57"/>
    <w:rsid w:val="008D12A9"/>
    <w:rsid w:val="008D239F"/>
    <w:rsid w:val="008E63A1"/>
    <w:rsid w:val="00927C94"/>
    <w:rsid w:val="00963467"/>
    <w:rsid w:val="0098701D"/>
    <w:rsid w:val="00991F03"/>
    <w:rsid w:val="009B2561"/>
    <w:rsid w:val="009B6043"/>
    <w:rsid w:val="009B6FB2"/>
    <w:rsid w:val="009C77EB"/>
    <w:rsid w:val="009E5933"/>
    <w:rsid w:val="009E6589"/>
    <w:rsid w:val="009E75DB"/>
    <w:rsid w:val="00A4477C"/>
    <w:rsid w:val="00A46A21"/>
    <w:rsid w:val="00A57016"/>
    <w:rsid w:val="00A610DC"/>
    <w:rsid w:val="00A80F8F"/>
    <w:rsid w:val="00AA6885"/>
    <w:rsid w:val="00AB73F5"/>
    <w:rsid w:val="00AD579C"/>
    <w:rsid w:val="00AE421D"/>
    <w:rsid w:val="00AF7F14"/>
    <w:rsid w:val="00B028DC"/>
    <w:rsid w:val="00B3280D"/>
    <w:rsid w:val="00B337BD"/>
    <w:rsid w:val="00B35A6D"/>
    <w:rsid w:val="00B515D3"/>
    <w:rsid w:val="00B77311"/>
    <w:rsid w:val="00B901FA"/>
    <w:rsid w:val="00BF5566"/>
    <w:rsid w:val="00C009EF"/>
    <w:rsid w:val="00C15305"/>
    <w:rsid w:val="00C22785"/>
    <w:rsid w:val="00C661F9"/>
    <w:rsid w:val="00CA3D75"/>
    <w:rsid w:val="00CA6FD6"/>
    <w:rsid w:val="00CB5D04"/>
    <w:rsid w:val="00CC43BF"/>
    <w:rsid w:val="00CD162C"/>
    <w:rsid w:val="00CD2FE9"/>
    <w:rsid w:val="00CD341F"/>
    <w:rsid w:val="00D219ED"/>
    <w:rsid w:val="00D2787D"/>
    <w:rsid w:val="00D422B8"/>
    <w:rsid w:val="00D4686D"/>
    <w:rsid w:val="00D515B0"/>
    <w:rsid w:val="00D67892"/>
    <w:rsid w:val="00DB4E86"/>
    <w:rsid w:val="00DD1303"/>
    <w:rsid w:val="00DD64CA"/>
    <w:rsid w:val="00DF72DB"/>
    <w:rsid w:val="00E037A4"/>
    <w:rsid w:val="00E05EFE"/>
    <w:rsid w:val="00E10A29"/>
    <w:rsid w:val="00E35650"/>
    <w:rsid w:val="00E47F1C"/>
    <w:rsid w:val="00E7705A"/>
    <w:rsid w:val="00E96BFD"/>
    <w:rsid w:val="00EA09D3"/>
    <w:rsid w:val="00ED09DE"/>
    <w:rsid w:val="00ED6EFB"/>
    <w:rsid w:val="00F02FB3"/>
    <w:rsid w:val="00F15195"/>
    <w:rsid w:val="00F213BD"/>
    <w:rsid w:val="00F3368B"/>
    <w:rsid w:val="00F76443"/>
    <w:rsid w:val="00F853A3"/>
    <w:rsid w:val="00F90DD0"/>
    <w:rsid w:val="00F94C77"/>
    <w:rsid w:val="00FF4915"/>
    <w:rsid w:val="00FF66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EE06A0"/>
  <w15:chartTrackingRefBased/>
  <w15:docId w15:val="{DB9FDD98-1863-6F45-9FAD-7659A340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71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1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1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1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1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1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1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1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1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1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1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1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1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1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1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1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1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1F7"/>
    <w:rPr>
      <w:rFonts w:eastAsiaTheme="majorEastAsia" w:cstheme="majorBidi"/>
      <w:color w:val="272727" w:themeColor="text1" w:themeTint="D8"/>
    </w:rPr>
  </w:style>
  <w:style w:type="paragraph" w:styleId="Title">
    <w:name w:val="Title"/>
    <w:basedOn w:val="Normal"/>
    <w:next w:val="Normal"/>
    <w:link w:val="TitleChar"/>
    <w:uiPriority w:val="10"/>
    <w:qFormat/>
    <w:rsid w:val="001271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1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1F7"/>
    <w:pPr>
      <w:spacing w:before="160"/>
      <w:jc w:val="center"/>
    </w:pPr>
    <w:rPr>
      <w:i/>
      <w:iCs/>
      <w:color w:val="404040" w:themeColor="text1" w:themeTint="BF"/>
    </w:rPr>
  </w:style>
  <w:style w:type="character" w:customStyle="1" w:styleId="QuoteChar">
    <w:name w:val="Quote Char"/>
    <w:basedOn w:val="DefaultParagraphFont"/>
    <w:link w:val="Quote"/>
    <w:uiPriority w:val="29"/>
    <w:rsid w:val="001271F7"/>
    <w:rPr>
      <w:i/>
      <w:iCs/>
      <w:color w:val="404040" w:themeColor="text1" w:themeTint="BF"/>
    </w:rPr>
  </w:style>
  <w:style w:type="paragraph" w:styleId="ListParagraph">
    <w:name w:val="List Paragraph"/>
    <w:basedOn w:val="Normal"/>
    <w:uiPriority w:val="1"/>
    <w:qFormat/>
    <w:rsid w:val="001271F7"/>
    <w:pPr>
      <w:ind w:left="720"/>
      <w:contextualSpacing/>
    </w:pPr>
  </w:style>
  <w:style w:type="character" w:styleId="IntenseEmphasis">
    <w:name w:val="Intense Emphasis"/>
    <w:basedOn w:val="DefaultParagraphFont"/>
    <w:uiPriority w:val="21"/>
    <w:qFormat/>
    <w:rsid w:val="001271F7"/>
    <w:rPr>
      <w:i/>
      <w:iCs/>
      <w:color w:val="0F4761" w:themeColor="accent1" w:themeShade="BF"/>
    </w:rPr>
  </w:style>
  <w:style w:type="paragraph" w:styleId="IntenseQuote">
    <w:name w:val="Intense Quote"/>
    <w:basedOn w:val="Normal"/>
    <w:next w:val="Normal"/>
    <w:link w:val="IntenseQuoteChar"/>
    <w:uiPriority w:val="30"/>
    <w:qFormat/>
    <w:rsid w:val="00127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1F7"/>
    <w:rPr>
      <w:i/>
      <w:iCs/>
      <w:color w:val="0F4761" w:themeColor="accent1" w:themeShade="BF"/>
    </w:rPr>
  </w:style>
  <w:style w:type="character" w:styleId="IntenseReference">
    <w:name w:val="Intense Reference"/>
    <w:basedOn w:val="DefaultParagraphFont"/>
    <w:uiPriority w:val="32"/>
    <w:qFormat/>
    <w:rsid w:val="001271F7"/>
    <w:rPr>
      <w:b/>
      <w:bCs/>
      <w:smallCaps/>
      <w:color w:val="0F4761" w:themeColor="accent1" w:themeShade="BF"/>
      <w:spacing w:val="5"/>
    </w:rPr>
  </w:style>
  <w:style w:type="table" w:styleId="TableGrid">
    <w:name w:val="Table Grid"/>
    <w:basedOn w:val="TableNormal"/>
    <w:uiPriority w:val="59"/>
    <w:rsid w:val="00CA6FD6"/>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6FD6"/>
    <w:pPr>
      <w:spacing w:after="0" w:line="240" w:lineRule="auto"/>
    </w:pPr>
    <w:rPr>
      <w:rFonts w:ascii="Times New Roman" w:eastAsiaTheme="minorHAnsi" w:hAnsi="Times New Roman" w:cs="Times New Roman"/>
      <w:color w:val="40404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AC"/>
    <w:rPr>
      <w:b/>
      <w:bCs/>
    </w:rPr>
  </w:style>
  <w:style w:type="paragraph" w:styleId="BodyText">
    <w:name w:val="Body Text"/>
    <w:basedOn w:val="Normal"/>
    <w:link w:val="BodyTextChar"/>
    <w:uiPriority w:val="1"/>
    <w:qFormat/>
    <w:rsid w:val="001849A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849AC"/>
    <w:rPr>
      <w:rFonts w:ascii="Times New Roman" w:eastAsia="Times New Roman" w:hAnsi="Times New Roman" w:cs="Times New Roman"/>
      <w:kern w:val="0"/>
      <w:lang w:val="en-US"/>
      <w14:ligatures w14:val="none"/>
    </w:rPr>
  </w:style>
  <w:style w:type="paragraph" w:styleId="NoSpacing">
    <w:name w:val="No Spacing"/>
    <w:uiPriority w:val="1"/>
    <w:qFormat/>
    <w:rsid w:val="001849A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table" w:styleId="PlainTable3">
    <w:name w:val="Plain Table 3"/>
    <w:basedOn w:val="TableNormal"/>
    <w:uiPriority w:val="43"/>
    <w:rsid w:val="00F76443"/>
    <w:pPr>
      <w:spacing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F7644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overflow-hidden">
    <w:name w:val="overflow-hidden"/>
    <w:basedOn w:val="DefaultParagraphFont"/>
    <w:rsid w:val="00F76443"/>
  </w:style>
  <w:style w:type="paragraph" w:styleId="z-TopofForm">
    <w:name w:val="HTML Top of Form"/>
    <w:basedOn w:val="Normal"/>
    <w:next w:val="Normal"/>
    <w:link w:val="z-TopofFormChar"/>
    <w:hidden/>
    <w:uiPriority w:val="99"/>
    <w:semiHidden/>
    <w:unhideWhenUsed/>
    <w:rsid w:val="00F76443"/>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F76443"/>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F76443"/>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F76443"/>
    <w:rPr>
      <w:rFonts w:ascii="Arial" w:eastAsia="Times New Roman" w:hAnsi="Arial" w:cs="Arial"/>
      <w:vanish/>
      <w:kern w:val="0"/>
      <w:sz w:val="16"/>
      <w:szCs w:val="16"/>
      <w:lang w:eastAsia="en-IN"/>
      <w14:ligatures w14:val="none"/>
    </w:rPr>
  </w:style>
  <w:style w:type="paragraph" w:customStyle="1" w:styleId="Default">
    <w:name w:val="Default"/>
    <w:rsid w:val="004317FC"/>
    <w:pPr>
      <w:autoSpaceDE w:val="0"/>
      <w:autoSpaceDN w:val="0"/>
      <w:adjustRightInd w:val="0"/>
      <w:spacing w:after="0" w:line="240" w:lineRule="auto"/>
    </w:pPr>
    <w:rPr>
      <w:rFonts w:ascii="Times New Roman" w:eastAsiaTheme="minorHAnsi" w:hAnsi="Times New Roman" w:cs="Times New Roman"/>
      <w:color w:val="000000"/>
      <w:kern w:val="0"/>
    </w:rPr>
  </w:style>
  <w:style w:type="character" w:styleId="Emphasis">
    <w:name w:val="Emphasis"/>
    <w:basedOn w:val="DefaultParagraphFont"/>
    <w:uiPriority w:val="20"/>
    <w:qFormat/>
    <w:rsid w:val="0098701D"/>
    <w:rPr>
      <w:i/>
      <w:iCs/>
    </w:rPr>
  </w:style>
  <w:style w:type="character" w:styleId="Hyperlink">
    <w:name w:val="Hyperlink"/>
    <w:basedOn w:val="DefaultParagraphFont"/>
    <w:uiPriority w:val="99"/>
    <w:unhideWhenUsed/>
    <w:rsid w:val="000B3E1F"/>
    <w:rPr>
      <w:color w:val="467886" w:themeColor="hyperlink"/>
      <w:u w:val="single"/>
    </w:rPr>
  </w:style>
  <w:style w:type="character" w:customStyle="1" w:styleId="UnresolvedMention">
    <w:name w:val="Unresolved Mention"/>
    <w:basedOn w:val="DefaultParagraphFont"/>
    <w:uiPriority w:val="99"/>
    <w:semiHidden/>
    <w:unhideWhenUsed/>
    <w:rsid w:val="000B3E1F"/>
    <w:rPr>
      <w:color w:val="605E5C"/>
      <w:shd w:val="clear" w:color="auto" w:fill="E1DFDD"/>
    </w:rPr>
  </w:style>
  <w:style w:type="paragraph" w:styleId="Header">
    <w:name w:val="header"/>
    <w:basedOn w:val="Normal"/>
    <w:link w:val="HeaderChar"/>
    <w:uiPriority w:val="99"/>
    <w:unhideWhenUsed/>
    <w:rsid w:val="003D5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ABE"/>
  </w:style>
  <w:style w:type="paragraph" w:styleId="Footer">
    <w:name w:val="footer"/>
    <w:basedOn w:val="Normal"/>
    <w:link w:val="FooterChar"/>
    <w:uiPriority w:val="99"/>
    <w:unhideWhenUsed/>
    <w:rsid w:val="003D5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824">
      <w:bodyDiv w:val="1"/>
      <w:marLeft w:val="0"/>
      <w:marRight w:val="0"/>
      <w:marTop w:val="0"/>
      <w:marBottom w:val="0"/>
      <w:divBdr>
        <w:top w:val="none" w:sz="0" w:space="0" w:color="auto"/>
        <w:left w:val="none" w:sz="0" w:space="0" w:color="auto"/>
        <w:bottom w:val="none" w:sz="0" w:space="0" w:color="auto"/>
        <w:right w:val="none" w:sz="0" w:space="0" w:color="auto"/>
      </w:divBdr>
    </w:div>
    <w:div w:id="41101196">
      <w:bodyDiv w:val="1"/>
      <w:marLeft w:val="0"/>
      <w:marRight w:val="0"/>
      <w:marTop w:val="0"/>
      <w:marBottom w:val="0"/>
      <w:divBdr>
        <w:top w:val="none" w:sz="0" w:space="0" w:color="auto"/>
        <w:left w:val="none" w:sz="0" w:space="0" w:color="auto"/>
        <w:bottom w:val="none" w:sz="0" w:space="0" w:color="auto"/>
        <w:right w:val="none" w:sz="0" w:space="0" w:color="auto"/>
      </w:divBdr>
    </w:div>
    <w:div w:id="118184129">
      <w:bodyDiv w:val="1"/>
      <w:marLeft w:val="0"/>
      <w:marRight w:val="0"/>
      <w:marTop w:val="0"/>
      <w:marBottom w:val="0"/>
      <w:divBdr>
        <w:top w:val="none" w:sz="0" w:space="0" w:color="auto"/>
        <w:left w:val="none" w:sz="0" w:space="0" w:color="auto"/>
        <w:bottom w:val="none" w:sz="0" w:space="0" w:color="auto"/>
        <w:right w:val="none" w:sz="0" w:space="0" w:color="auto"/>
      </w:divBdr>
    </w:div>
    <w:div w:id="144519823">
      <w:bodyDiv w:val="1"/>
      <w:marLeft w:val="0"/>
      <w:marRight w:val="0"/>
      <w:marTop w:val="0"/>
      <w:marBottom w:val="0"/>
      <w:divBdr>
        <w:top w:val="none" w:sz="0" w:space="0" w:color="auto"/>
        <w:left w:val="none" w:sz="0" w:space="0" w:color="auto"/>
        <w:bottom w:val="none" w:sz="0" w:space="0" w:color="auto"/>
        <w:right w:val="none" w:sz="0" w:space="0" w:color="auto"/>
      </w:divBdr>
    </w:div>
    <w:div w:id="603152355">
      <w:bodyDiv w:val="1"/>
      <w:marLeft w:val="0"/>
      <w:marRight w:val="0"/>
      <w:marTop w:val="0"/>
      <w:marBottom w:val="0"/>
      <w:divBdr>
        <w:top w:val="none" w:sz="0" w:space="0" w:color="auto"/>
        <w:left w:val="none" w:sz="0" w:space="0" w:color="auto"/>
        <w:bottom w:val="none" w:sz="0" w:space="0" w:color="auto"/>
        <w:right w:val="none" w:sz="0" w:space="0" w:color="auto"/>
      </w:divBdr>
    </w:div>
    <w:div w:id="954214527">
      <w:bodyDiv w:val="1"/>
      <w:marLeft w:val="0"/>
      <w:marRight w:val="0"/>
      <w:marTop w:val="0"/>
      <w:marBottom w:val="0"/>
      <w:divBdr>
        <w:top w:val="none" w:sz="0" w:space="0" w:color="auto"/>
        <w:left w:val="none" w:sz="0" w:space="0" w:color="auto"/>
        <w:bottom w:val="none" w:sz="0" w:space="0" w:color="auto"/>
        <w:right w:val="none" w:sz="0" w:space="0" w:color="auto"/>
      </w:divBdr>
    </w:div>
    <w:div w:id="1120758479">
      <w:bodyDiv w:val="1"/>
      <w:marLeft w:val="0"/>
      <w:marRight w:val="0"/>
      <w:marTop w:val="0"/>
      <w:marBottom w:val="0"/>
      <w:divBdr>
        <w:top w:val="none" w:sz="0" w:space="0" w:color="auto"/>
        <w:left w:val="none" w:sz="0" w:space="0" w:color="auto"/>
        <w:bottom w:val="none" w:sz="0" w:space="0" w:color="auto"/>
        <w:right w:val="none" w:sz="0" w:space="0" w:color="auto"/>
      </w:divBdr>
    </w:div>
    <w:div w:id="1184980794">
      <w:bodyDiv w:val="1"/>
      <w:marLeft w:val="0"/>
      <w:marRight w:val="0"/>
      <w:marTop w:val="0"/>
      <w:marBottom w:val="0"/>
      <w:divBdr>
        <w:top w:val="none" w:sz="0" w:space="0" w:color="auto"/>
        <w:left w:val="none" w:sz="0" w:space="0" w:color="auto"/>
        <w:bottom w:val="none" w:sz="0" w:space="0" w:color="auto"/>
        <w:right w:val="none" w:sz="0" w:space="0" w:color="auto"/>
      </w:divBdr>
    </w:div>
    <w:div w:id="1332299269">
      <w:bodyDiv w:val="1"/>
      <w:marLeft w:val="0"/>
      <w:marRight w:val="0"/>
      <w:marTop w:val="0"/>
      <w:marBottom w:val="0"/>
      <w:divBdr>
        <w:top w:val="none" w:sz="0" w:space="0" w:color="auto"/>
        <w:left w:val="none" w:sz="0" w:space="0" w:color="auto"/>
        <w:bottom w:val="none" w:sz="0" w:space="0" w:color="auto"/>
        <w:right w:val="none" w:sz="0" w:space="0" w:color="auto"/>
      </w:divBdr>
    </w:div>
    <w:div w:id="1487432134">
      <w:bodyDiv w:val="1"/>
      <w:marLeft w:val="0"/>
      <w:marRight w:val="0"/>
      <w:marTop w:val="0"/>
      <w:marBottom w:val="0"/>
      <w:divBdr>
        <w:top w:val="none" w:sz="0" w:space="0" w:color="auto"/>
        <w:left w:val="none" w:sz="0" w:space="0" w:color="auto"/>
        <w:bottom w:val="none" w:sz="0" w:space="0" w:color="auto"/>
        <w:right w:val="none" w:sz="0" w:space="0" w:color="auto"/>
      </w:divBdr>
    </w:div>
    <w:div w:id="1531453696">
      <w:bodyDiv w:val="1"/>
      <w:marLeft w:val="0"/>
      <w:marRight w:val="0"/>
      <w:marTop w:val="0"/>
      <w:marBottom w:val="0"/>
      <w:divBdr>
        <w:top w:val="none" w:sz="0" w:space="0" w:color="auto"/>
        <w:left w:val="none" w:sz="0" w:space="0" w:color="auto"/>
        <w:bottom w:val="none" w:sz="0" w:space="0" w:color="auto"/>
        <w:right w:val="none" w:sz="0" w:space="0" w:color="auto"/>
      </w:divBdr>
      <w:divsChild>
        <w:div w:id="1180315756">
          <w:marLeft w:val="0"/>
          <w:marRight w:val="0"/>
          <w:marTop w:val="0"/>
          <w:marBottom w:val="0"/>
          <w:divBdr>
            <w:top w:val="none" w:sz="0" w:space="0" w:color="auto"/>
            <w:left w:val="none" w:sz="0" w:space="0" w:color="auto"/>
            <w:bottom w:val="none" w:sz="0" w:space="0" w:color="auto"/>
            <w:right w:val="none" w:sz="0" w:space="0" w:color="auto"/>
          </w:divBdr>
          <w:divsChild>
            <w:div w:id="1630823283">
              <w:marLeft w:val="0"/>
              <w:marRight w:val="0"/>
              <w:marTop w:val="0"/>
              <w:marBottom w:val="0"/>
              <w:divBdr>
                <w:top w:val="none" w:sz="0" w:space="0" w:color="auto"/>
                <w:left w:val="none" w:sz="0" w:space="0" w:color="auto"/>
                <w:bottom w:val="none" w:sz="0" w:space="0" w:color="auto"/>
                <w:right w:val="none" w:sz="0" w:space="0" w:color="auto"/>
              </w:divBdr>
              <w:divsChild>
                <w:div w:id="991523537">
                  <w:marLeft w:val="0"/>
                  <w:marRight w:val="0"/>
                  <w:marTop w:val="0"/>
                  <w:marBottom w:val="0"/>
                  <w:divBdr>
                    <w:top w:val="none" w:sz="0" w:space="0" w:color="auto"/>
                    <w:left w:val="none" w:sz="0" w:space="0" w:color="auto"/>
                    <w:bottom w:val="none" w:sz="0" w:space="0" w:color="auto"/>
                    <w:right w:val="none" w:sz="0" w:space="0" w:color="auto"/>
                  </w:divBdr>
                  <w:divsChild>
                    <w:div w:id="1753045537">
                      <w:marLeft w:val="0"/>
                      <w:marRight w:val="0"/>
                      <w:marTop w:val="0"/>
                      <w:marBottom w:val="0"/>
                      <w:divBdr>
                        <w:top w:val="none" w:sz="0" w:space="0" w:color="auto"/>
                        <w:left w:val="none" w:sz="0" w:space="0" w:color="auto"/>
                        <w:bottom w:val="none" w:sz="0" w:space="0" w:color="auto"/>
                        <w:right w:val="none" w:sz="0" w:space="0" w:color="auto"/>
                      </w:divBdr>
                      <w:divsChild>
                        <w:div w:id="748309892">
                          <w:marLeft w:val="0"/>
                          <w:marRight w:val="0"/>
                          <w:marTop w:val="0"/>
                          <w:marBottom w:val="0"/>
                          <w:divBdr>
                            <w:top w:val="none" w:sz="0" w:space="0" w:color="auto"/>
                            <w:left w:val="none" w:sz="0" w:space="0" w:color="auto"/>
                            <w:bottom w:val="none" w:sz="0" w:space="0" w:color="auto"/>
                            <w:right w:val="none" w:sz="0" w:space="0" w:color="auto"/>
                          </w:divBdr>
                          <w:divsChild>
                            <w:div w:id="1980499469">
                              <w:marLeft w:val="0"/>
                              <w:marRight w:val="0"/>
                              <w:marTop w:val="0"/>
                              <w:marBottom w:val="0"/>
                              <w:divBdr>
                                <w:top w:val="none" w:sz="0" w:space="0" w:color="auto"/>
                                <w:left w:val="none" w:sz="0" w:space="0" w:color="auto"/>
                                <w:bottom w:val="none" w:sz="0" w:space="0" w:color="auto"/>
                                <w:right w:val="none" w:sz="0" w:space="0" w:color="auto"/>
                              </w:divBdr>
                              <w:divsChild>
                                <w:div w:id="1623002349">
                                  <w:marLeft w:val="0"/>
                                  <w:marRight w:val="0"/>
                                  <w:marTop w:val="0"/>
                                  <w:marBottom w:val="0"/>
                                  <w:divBdr>
                                    <w:top w:val="none" w:sz="0" w:space="0" w:color="auto"/>
                                    <w:left w:val="none" w:sz="0" w:space="0" w:color="auto"/>
                                    <w:bottom w:val="none" w:sz="0" w:space="0" w:color="auto"/>
                                    <w:right w:val="none" w:sz="0" w:space="0" w:color="auto"/>
                                  </w:divBdr>
                                  <w:divsChild>
                                    <w:div w:id="1313750363">
                                      <w:marLeft w:val="0"/>
                                      <w:marRight w:val="0"/>
                                      <w:marTop w:val="0"/>
                                      <w:marBottom w:val="0"/>
                                      <w:divBdr>
                                        <w:top w:val="none" w:sz="0" w:space="0" w:color="auto"/>
                                        <w:left w:val="none" w:sz="0" w:space="0" w:color="auto"/>
                                        <w:bottom w:val="none" w:sz="0" w:space="0" w:color="auto"/>
                                        <w:right w:val="none" w:sz="0" w:space="0" w:color="auto"/>
                                      </w:divBdr>
                                      <w:divsChild>
                                        <w:div w:id="653022618">
                                          <w:marLeft w:val="0"/>
                                          <w:marRight w:val="0"/>
                                          <w:marTop w:val="0"/>
                                          <w:marBottom w:val="0"/>
                                          <w:divBdr>
                                            <w:top w:val="none" w:sz="0" w:space="0" w:color="auto"/>
                                            <w:left w:val="none" w:sz="0" w:space="0" w:color="auto"/>
                                            <w:bottom w:val="none" w:sz="0" w:space="0" w:color="auto"/>
                                            <w:right w:val="none" w:sz="0" w:space="0" w:color="auto"/>
                                          </w:divBdr>
                                          <w:divsChild>
                                            <w:div w:id="774832139">
                                              <w:marLeft w:val="0"/>
                                              <w:marRight w:val="0"/>
                                              <w:marTop w:val="0"/>
                                              <w:marBottom w:val="0"/>
                                              <w:divBdr>
                                                <w:top w:val="none" w:sz="0" w:space="0" w:color="auto"/>
                                                <w:left w:val="none" w:sz="0" w:space="0" w:color="auto"/>
                                                <w:bottom w:val="none" w:sz="0" w:space="0" w:color="auto"/>
                                                <w:right w:val="none" w:sz="0" w:space="0" w:color="auto"/>
                                              </w:divBdr>
                                              <w:divsChild>
                                                <w:div w:id="480847342">
                                                  <w:marLeft w:val="0"/>
                                                  <w:marRight w:val="0"/>
                                                  <w:marTop w:val="0"/>
                                                  <w:marBottom w:val="0"/>
                                                  <w:divBdr>
                                                    <w:top w:val="none" w:sz="0" w:space="0" w:color="auto"/>
                                                    <w:left w:val="none" w:sz="0" w:space="0" w:color="auto"/>
                                                    <w:bottom w:val="none" w:sz="0" w:space="0" w:color="auto"/>
                                                    <w:right w:val="none" w:sz="0" w:space="0" w:color="auto"/>
                                                  </w:divBdr>
                                                  <w:divsChild>
                                                    <w:div w:id="20333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337">
                                          <w:marLeft w:val="0"/>
                                          <w:marRight w:val="0"/>
                                          <w:marTop w:val="0"/>
                                          <w:marBottom w:val="0"/>
                                          <w:divBdr>
                                            <w:top w:val="none" w:sz="0" w:space="0" w:color="auto"/>
                                            <w:left w:val="none" w:sz="0" w:space="0" w:color="auto"/>
                                            <w:bottom w:val="none" w:sz="0" w:space="0" w:color="auto"/>
                                            <w:right w:val="none" w:sz="0" w:space="0" w:color="auto"/>
                                          </w:divBdr>
                                          <w:divsChild>
                                            <w:div w:id="1943417223">
                                              <w:marLeft w:val="0"/>
                                              <w:marRight w:val="0"/>
                                              <w:marTop w:val="0"/>
                                              <w:marBottom w:val="0"/>
                                              <w:divBdr>
                                                <w:top w:val="none" w:sz="0" w:space="0" w:color="auto"/>
                                                <w:left w:val="none" w:sz="0" w:space="0" w:color="auto"/>
                                                <w:bottom w:val="none" w:sz="0" w:space="0" w:color="auto"/>
                                                <w:right w:val="none" w:sz="0" w:space="0" w:color="auto"/>
                                              </w:divBdr>
                                              <w:divsChild>
                                                <w:div w:id="6885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08192">
          <w:marLeft w:val="0"/>
          <w:marRight w:val="0"/>
          <w:marTop w:val="0"/>
          <w:marBottom w:val="0"/>
          <w:divBdr>
            <w:top w:val="none" w:sz="0" w:space="0" w:color="auto"/>
            <w:left w:val="none" w:sz="0" w:space="0" w:color="auto"/>
            <w:bottom w:val="none" w:sz="0" w:space="0" w:color="auto"/>
            <w:right w:val="none" w:sz="0" w:space="0" w:color="auto"/>
          </w:divBdr>
          <w:divsChild>
            <w:div w:id="2022510290">
              <w:marLeft w:val="0"/>
              <w:marRight w:val="0"/>
              <w:marTop w:val="0"/>
              <w:marBottom w:val="0"/>
              <w:divBdr>
                <w:top w:val="none" w:sz="0" w:space="0" w:color="auto"/>
                <w:left w:val="none" w:sz="0" w:space="0" w:color="auto"/>
                <w:bottom w:val="none" w:sz="0" w:space="0" w:color="auto"/>
                <w:right w:val="none" w:sz="0" w:space="0" w:color="auto"/>
              </w:divBdr>
              <w:divsChild>
                <w:div w:id="1232815879">
                  <w:marLeft w:val="0"/>
                  <w:marRight w:val="0"/>
                  <w:marTop w:val="0"/>
                  <w:marBottom w:val="0"/>
                  <w:divBdr>
                    <w:top w:val="none" w:sz="0" w:space="0" w:color="auto"/>
                    <w:left w:val="none" w:sz="0" w:space="0" w:color="auto"/>
                    <w:bottom w:val="none" w:sz="0" w:space="0" w:color="auto"/>
                    <w:right w:val="none" w:sz="0" w:space="0" w:color="auto"/>
                  </w:divBdr>
                  <w:divsChild>
                    <w:div w:id="1678733208">
                      <w:marLeft w:val="0"/>
                      <w:marRight w:val="0"/>
                      <w:marTop w:val="0"/>
                      <w:marBottom w:val="0"/>
                      <w:divBdr>
                        <w:top w:val="none" w:sz="0" w:space="0" w:color="auto"/>
                        <w:left w:val="none" w:sz="0" w:space="0" w:color="auto"/>
                        <w:bottom w:val="none" w:sz="0" w:space="0" w:color="auto"/>
                        <w:right w:val="none" w:sz="0" w:space="0" w:color="auto"/>
                      </w:divBdr>
                      <w:divsChild>
                        <w:div w:id="1464692733">
                          <w:marLeft w:val="0"/>
                          <w:marRight w:val="0"/>
                          <w:marTop w:val="0"/>
                          <w:marBottom w:val="0"/>
                          <w:divBdr>
                            <w:top w:val="none" w:sz="0" w:space="0" w:color="auto"/>
                            <w:left w:val="none" w:sz="0" w:space="0" w:color="auto"/>
                            <w:bottom w:val="none" w:sz="0" w:space="0" w:color="auto"/>
                            <w:right w:val="none" w:sz="0" w:space="0" w:color="auto"/>
                          </w:divBdr>
                          <w:divsChild>
                            <w:div w:id="272058892">
                              <w:marLeft w:val="0"/>
                              <w:marRight w:val="0"/>
                              <w:marTop w:val="0"/>
                              <w:marBottom w:val="0"/>
                              <w:divBdr>
                                <w:top w:val="none" w:sz="0" w:space="0" w:color="auto"/>
                                <w:left w:val="none" w:sz="0" w:space="0" w:color="auto"/>
                                <w:bottom w:val="none" w:sz="0" w:space="0" w:color="auto"/>
                                <w:right w:val="none" w:sz="0" w:space="0" w:color="auto"/>
                              </w:divBdr>
                              <w:divsChild>
                                <w:div w:id="2130977498">
                                  <w:marLeft w:val="0"/>
                                  <w:marRight w:val="0"/>
                                  <w:marTop w:val="0"/>
                                  <w:marBottom w:val="0"/>
                                  <w:divBdr>
                                    <w:top w:val="none" w:sz="0" w:space="0" w:color="auto"/>
                                    <w:left w:val="none" w:sz="0" w:space="0" w:color="auto"/>
                                    <w:bottom w:val="none" w:sz="0" w:space="0" w:color="auto"/>
                                    <w:right w:val="none" w:sz="0" w:space="0" w:color="auto"/>
                                  </w:divBdr>
                                  <w:divsChild>
                                    <w:div w:id="629045700">
                                      <w:marLeft w:val="0"/>
                                      <w:marRight w:val="0"/>
                                      <w:marTop w:val="0"/>
                                      <w:marBottom w:val="0"/>
                                      <w:divBdr>
                                        <w:top w:val="none" w:sz="0" w:space="0" w:color="auto"/>
                                        <w:left w:val="none" w:sz="0" w:space="0" w:color="auto"/>
                                        <w:bottom w:val="none" w:sz="0" w:space="0" w:color="auto"/>
                                        <w:right w:val="none" w:sz="0" w:space="0" w:color="auto"/>
                                      </w:divBdr>
                                      <w:divsChild>
                                        <w:div w:id="2130509831">
                                          <w:marLeft w:val="0"/>
                                          <w:marRight w:val="0"/>
                                          <w:marTop w:val="0"/>
                                          <w:marBottom w:val="0"/>
                                          <w:divBdr>
                                            <w:top w:val="none" w:sz="0" w:space="0" w:color="auto"/>
                                            <w:left w:val="none" w:sz="0" w:space="0" w:color="auto"/>
                                            <w:bottom w:val="none" w:sz="0" w:space="0" w:color="auto"/>
                                            <w:right w:val="none" w:sz="0" w:space="0" w:color="auto"/>
                                          </w:divBdr>
                                          <w:divsChild>
                                            <w:div w:id="805899628">
                                              <w:marLeft w:val="0"/>
                                              <w:marRight w:val="0"/>
                                              <w:marTop w:val="0"/>
                                              <w:marBottom w:val="0"/>
                                              <w:divBdr>
                                                <w:top w:val="none" w:sz="0" w:space="0" w:color="auto"/>
                                                <w:left w:val="none" w:sz="0" w:space="0" w:color="auto"/>
                                                <w:bottom w:val="none" w:sz="0" w:space="0" w:color="auto"/>
                                                <w:right w:val="none" w:sz="0" w:space="0" w:color="auto"/>
                                              </w:divBdr>
                                              <w:divsChild>
                                                <w:div w:id="1070274576">
                                                  <w:marLeft w:val="0"/>
                                                  <w:marRight w:val="0"/>
                                                  <w:marTop w:val="0"/>
                                                  <w:marBottom w:val="0"/>
                                                  <w:divBdr>
                                                    <w:top w:val="none" w:sz="0" w:space="0" w:color="auto"/>
                                                    <w:left w:val="none" w:sz="0" w:space="0" w:color="auto"/>
                                                    <w:bottom w:val="none" w:sz="0" w:space="0" w:color="auto"/>
                                                    <w:right w:val="none" w:sz="0" w:space="0" w:color="auto"/>
                                                  </w:divBdr>
                                                  <w:divsChild>
                                                    <w:div w:id="693116108">
                                                      <w:marLeft w:val="0"/>
                                                      <w:marRight w:val="0"/>
                                                      <w:marTop w:val="0"/>
                                                      <w:marBottom w:val="0"/>
                                                      <w:divBdr>
                                                        <w:top w:val="none" w:sz="0" w:space="0" w:color="auto"/>
                                                        <w:left w:val="none" w:sz="0" w:space="0" w:color="auto"/>
                                                        <w:bottom w:val="none" w:sz="0" w:space="0" w:color="auto"/>
                                                        <w:right w:val="none" w:sz="0" w:space="0" w:color="auto"/>
                                                      </w:divBdr>
                                                      <w:divsChild>
                                                        <w:div w:id="150173622">
                                                          <w:marLeft w:val="0"/>
                                                          <w:marRight w:val="0"/>
                                                          <w:marTop w:val="0"/>
                                                          <w:marBottom w:val="0"/>
                                                          <w:divBdr>
                                                            <w:top w:val="none" w:sz="0" w:space="0" w:color="auto"/>
                                                            <w:left w:val="none" w:sz="0" w:space="0" w:color="auto"/>
                                                            <w:bottom w:val="none" w:sz="0" w:space="0" w:color="auto"/>
                                                            <w:right w:val="none" w:sz="0" w:space="0" w:color="auto"/>
                                                          </w:divBdr>
                                                          <w:divsChild>
                                                            <w:div w:id="10569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8512459">
      <w:bodyDiv w:val="1"/>
      <w:marLeft w:val="0"/>
      <w:marRight w:val="0"/>
      <w:marTop w:val="0"/>
      <w:marBottom w:val="0"/>
      <w:divBdr>
        <w:top w:val="none" w:sz="0" w:space="0" w:color="auto"/>
        <w:left w:val="none" w:sz="0" w:space="0" w:color="auto"/>
        <w:bottom w:val="none" w:sz="0" w:space="0" w:color="auto"/>
        <w:right w:val="none" w:sz="0" w:space="0" w:color="auto"/>
      </w:divBdr>
    </w:div>
    <w:div w:id="1570308893">
      <w:bodyDiv w:val="1"/>
      <w:marLeft w:val="0"/>
      <w:marRight w:val="0"/>
      <w:marTop w:val="0"/>
      <w:marBottom w:val="0"/>
      <w:divBdr>
        <w:top w:val="none" w:sz="0" w:space="0" w:color="auto"/>
        <w:left w:val="none" w:sz="0" w:space="0" w:color="auto"/>
        <w:bottom w:val="none" w:sz="0" w:space="0" w:color="auto"/>
        <w:right w:val="none" w:sz="0" w:space="0" w:color="auto"/>
      </w:divBdr>
    </w:div>
    <w:div w:id="1643849939">
      <w:bodyDiv w:val="1"/>
      <w:marLeft w:val="0"/>
      <w:marRight w:val="0"/>
      <w:marTop w:val="0"/>
      <w:marBottom w:val="0"/>
      <w:divBdr>
        <w:top w:val="none" w:sz="0" w:space="0" w:color="auto"/>
        <w:left w:val="none" w:sz="0" w:space="0" w:color="auto"/>
        <w:bottom w:val="none" w:sz="0" w:space="0" w:color="auto"/>
        <w:right w:val="none" w:sz="0" w:space="0" w:color="auto"/>
      </w:divBdr>
    </w:div>
    <w:div w:id="1645961706">
      <w:bodyDiv w:val="1"/>
      <w:marLeft w:val="0"/>
      <w:marRight w:val="0"/>
      <w:marTop w:val="0"/>
      <w:marBottom w:val="0"/>
      <w:divBdr>
        <w:top w:val="none" w:sz="0" w:space="0" w:color="auto"/>
        <w:left w:val="none" w:sz="0" w:space="0" w:color="auto"/>
        <w:bottom w:val="none" w:sz="0" w:space="0" w:color="auto"/>
        <w:right w:val="none" w:sz="0" w:space="0" w:color="auto"/>
      </w:divBdr>
    </w:div>
    <w:div w:id="1744377512">
      <w:bodyDiv w:val="1"/>
      <w:marLeft w:val="0"/>
      <w:marRight w:val="0"/>
      <w:marTop w:val="0"/>
      <w:marBottom w:val="0"/>
      <w:divBdr>
        <w:top w:val="none" w:sz="0" w:space="0" w:color="auto"/>
        <w:left w:val="none" w:sz="0" w:space="0" w:color="auto"/>
        <w:bottom w:val="none" w:sz="0" w:space="0" w:color="auto"/>
        <w:right w:val="none" w:sz="0" w:space="0" w:color="auto"/>
      </w:divBdr>
    </w:div>
    <w:div w:id="1879583643">
      <w:bodyDiv w:val="1"/>
      <w:marLeft w:val="0"/>
      <w:marRight w:val="0"/>
      <w:marTop w:val="0"/>
      <w:marBottom w:val="0"/>
      <w:divBdr>
        <w:top w:val="none" w:sz="0" w:space="0" w:color="auto"/>
        <w:left w:val="none" w:sz="0" w:space="0" w:color="auto"/>
        <w:bottom w:val="none" w:sz="0" w:space="0" w:color="auto"/>
        <w:right w:val="none" w:sz="0" w:space="0" w:color="auto"/>
      </w:divBdr>
    </w:div>
    <w:div w:id="2049376940">
      <w:bodyDiv w:val="1"/>
      <w:marLeft w:val="0"/>
      <w:marRight w:val="0"/>
      <w:marTop w:val="0"/>
      <w:marBottom w:val="0"/>
      <w:divBdr>
        <w:top w:val="none" w:sz="0" w:space="0" w:color="auto"/>
        <w:left w:val="none" w:sz="0" w:space="0" w:color="auto"/>
        <w:bottom w:val="none" w:sz="0" w:space="0" w:color="auto"/>
        <w:right w:val="none" w:sz="0" w:space="0" w:color="auto"/>
      </w:divBdr>
    </w:div>
    <w:div w:id="2108302677">
      <w:bodyDiv w:val="1"/>
      <w:marLeft w:val="0"/>
      <w:marRight w:val="0"/>
      <w:marTop w:val="0"/>
      <w:marBottom w:val="0"/>
      <w:divBdr>
        <w:top w:val="none" w:sz="0" w:space="0" w:color="auto"/>
        <w:left w:val="none" w:sz="0" w:space="0" w:color="auto"/>
        <w:bottom w:val="none" w:sz="0" w:space="0" w:color="auto"/>
        <w:right w:val="none" w:sz="0" w:space="0" w:color="auto"/>
      </w:divBdr>
      <w:divsChild>
        <w:div w:id="1550679516">
          <w:marLeft w:val="0"/>
          <w:marRight w:val="0"/>
          <w:marTop w:val="0"/>
          <w:marBottom w:val="0"/>
          <w:divBdr>
            <w:top w:val="none" w:sz="0" w:space="0" w:color="auto"/>
            <w:left w:val="none" w:sz="0" w:space="0" w:color="auto"/>
            <w:bottom w:val="none" w:sz="0" w:space="0" w:color="auto"/>
            <w:right w:val="none" w:sz="0" w:space="0" w:color="auto"/>
          </w:divBdr>
          <w:divsChild>
            <w:div w:id="1795981250">
              <w:marLeft w:val="0"/>
              <w:marRight w:val="0"/>
              <w:marTop w:val="0"/>
              <w:marBottom w:val="0"/>
              <w:divBdr>
                <w:top w:val="none" w:sz="0" w:space="0" w:color="auto"/>
                <w:left w:val="none" w:sz="0" w:space="0" w:color="auto"/>
                <w:bottom w:val="none" w:sz="0" w:space="0" w:color="auto"/>
                <w:right w:val="none" w:sz="0" w:space="0" w:color="auto"/>
              </w:divBdr>
              <w:divsChild>
                <w:div w:id="1335646377">
                  <w:marLeft w:val="0"/>
                  <w:marRight w:val="0"/>
                  <w:marTop w:val="0"/>
                  <w:marBottom w:val="0"/>
                  <w:divBdr>
                    <w:top w:val="none" w:sz="0" w:space="0" w:color="auto"/>
                    <w:left w:val="none" w:sz="0" w:space="0" w:color="auto"/>
                    <w:bottom w:val="none" w:sz="0" w:space="0" w:color="auto"/>
                    <w:right w:val="none" w:sz="0" w:space="0" w:color="auto"/>
                  </w:divBdr>
                  <w:divsChild>
                    <w:div w:id="1695497779">
                      <w:marLeft w:val="0"/>
                      <w:marRight w:val="0"/>
                      <w:marTop w:val="0"/>
                      <w:marBottom w:val="0"/>
                      <w:divBdr>
                        <w:top w:val="none" w:sz="0" w:space="0" w:color="auto"/>
                        <w:left w:val="none" w:sz="0" w:space="0" w:color="auto"/>
                        <w:bottom w:val="none" w:sz="0" w:space="0" w:color="auto"/>
                        <w:right w:val="none" w:sz="0" w:space="0" w:color="auto"/>
                      </w:divBdr>
                      <w:divsChild>
                        <w:div w:id="1074595302">
                          <w:marLeft w:val="0"/>
                          <w:marRight w:val="0"/>
                          <w:marTop w:val="0"/>
                          <w:marBottom w:val="0"/>
                          <w:divBdr>
                            <w:top w:val="none" w:sz="0" w:space="0" w:color="auto"/>
                            <w:left w:val="none" w:sz="0" w:space="0" w:color="auto"/>
                            <w:bottom w:val="none" w:sz="0" w:space="0" w:color="auto"/>
                            <w:right w:val="none" w:sz="0" w:space="0" w:color="auto"/>
                          </w:divBdr>
                          <w:divsChild>
                            <w:div w:id="365257149">
                              <w:marLeft w:val="0"/>
                              <w:marRight w:val="0"/>
                              <w:marTop w:val="0"/>
                              <w:marBottom w:val="0"/>
                              <w:divBdr>
                                <w:top w:val="none" w:sz="0" w:space="0" w:color="auto"/>
                                <w:left w:val="none" w:sz="0" w:space="0" w:color="auto"/>
                                <w:bottom w:val="none" w:sz="0" w:space="0" w:color="auto"/>
                                <w:right w:val="none" w:sz="0" w:space="0" w:color="auto"/>
                              </w:divBdr>
                              <w:divsChild>
                                <w:div w:id="975569300">
                                  <w:marLeft w:val="0"/>
                                  <w:marRight w:val="0"/>
                                  <w:marTop w:val="0"/>
                                  <w:marBottom w:val="0"/>
                                  <w:divBdr>
                                    <w:top w:val="none" w:sz="0" w:space="0" w:color="auto"/>
                                    <w:left w:val="none" w:sz="0" w:space="0" w:color="auto"/>
                                    <w:bottom w:val="none" w:sz="0" w:space="0" w:color="auto"/>
                                    <w:right w:val="none" w:sz="0" w:space="0" w:color="auto"/>
                                  </w:divBdr>
                                  <w:divsChild>
                                    <w:div w:id="573661626">
                                      <w:marLeft w:val="0"/>
                                      <w:marRight w:val="0"/>
                                      <w:marTop w:val="0"/>
                                      <w:marBottom w:val="0"/>
                                      <w:divBdr>
                                        <w:top w:val="none" w:sz="0" w:space="0" w:color="auto"/>
                                        <w:left w:val="none" w:sz="0" w:space="0" w:color="auto"/>
                                        <w:bottom w:val="none" w:sz="0" w:space="0" w:color="auto"/>
                                        <w:right w:val="none" w:sz="0" w:space="0" w:color="auto"/>
                                      </w:divBdr>
                                      <w:divsChild>
                                        <w:div w:id="1258518703">
                                          <w:marLeft w:val="0"/>
                                          <w:marRight w:val="0"/>
                                          <w:marTop w:val="0"/>
                                          <w:marBottom w:val="0"/>
                                          <w:divBdr>
                                            <w:top w:val="none" w:sz="0" w:space="0" w:color="auto"/>
                                            <w:left w:val="none" w:sz="0" w:space="0" w:color="auto"/>
                                            <w:bottom w:val="none" w:sz="0" w:space="0" w:color="auto"/>
                                            <w:right w:val="none" w:sz="0" w:space="0" w:color="auto"/>
                                          </w:divBdr>
                                          <w:divsChild>
                                            <w:div w:id="876234085">
                                              <w:marLeft w:val="0"/>
                                              <w:marRight w:val="0"/>
                                              <w:marTop w:val="0"/>
                                              <w:marBottom w:val="0"/>
                                              <w:divBdr>
                                                <w:top w:val="none" w:sz="0" w:space="0" w:color="auto"/>
                                                <w:left w:val="none" w:sz="0" w:space="0" w:color="auto"/>
                                                <w:bottom w:val="none" w:sz="0" w:space="0" w:color="auto"/>
                                                <w:right w:val="none" w:sz="0" w:space="0" w:color="auto"/>
                                              </w:divBdr>
                                              <w:divsChild>
                                                <w:div w:id="2004894596">
                                                  <w:marLeft w:val="0"/>
                                                  <w:marRight w:val="0"/>
                                                  <w:marTop w:val="0"/>
                                                  <w:marBottom w:val="0"/>
                                                  <w:divBdr>
                                                    <w:top w:val="none" w:sz="0" w:space="0" w:color="auto"/>
                                                    <w:left w:val="none" w:sz="0" w:space="0" w:color="auto"/>
                                                    <w:bottom w:val="none" w:sz="0" w:space="0" w:color="auto"/>
                                                    <w:right w:val="none" w:sz="0" w:space="0" w:color="auto"/>
                                                  </w:divBdr>
                                                  <w:divsChild>
                                                    <w:div w:id="12761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9812">
                                          <w:marLeft w:val="0"/>
                                          <w:marRight w:val="0"/>
                                          <w:marTop w:val="0"/>
                                          <w:marBottom w:val="0"/>
                                          <w:divBdr>
                                            <w:top w:val="none" w:sz="0" w:space="0" w:color="auto"/>
                                            <w:left w:val="none" w:sz="0" w:space="0" w:color="auto"/>
                                            <w:bottom w:val="none" w:sz="0" w:space="0" w:color="auto"/>
                                            <w:right w:val="none" w:sz="0" w:space="0" w:color="auto"/>
                                          </w:divBdr>
                                          <w:divsChild>
                                            <w:div w:id="1021853405">
                                              <w:marLeft w:val="0"/>
                                              <w:marRight w:val="0"/>
                                              <w:marTop w:val="0"/>
                                              <w:marBottom w:val="0"/>
                                              <w:divBdr>
                                                <w:top w:val="none" w:sz="0" w:space="0" w:color="auto"/>
                                                <w:left w:val="none" w:sz="0" w:space="0" w:color="auto"/>
                                                <w:bottom w:val="none" w:sz="0" w:space="0" w:color="auto"/>
                                                <w:right w:val="none" w:sz="0" w:space="0" w:color="auto"/>
                                              </w:divBdr>
                                              <w:divsChild>
                                                <w:div w:id="19699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665303">
          <w:marLeft w:val="0"/>
          <w:marRight w:val="0"/>
          <w:marTop w:val="0"/>
          <w:marBottom w:val="0"/>
          <w:divBdr>
            <w:top w:val="none" w:sz="0" w:space="0" w:color="auto"/>
            <w:left w:val="none" w:sz="0" w:space="0" w:color="auto"/>
            <w:bottom w:val="none" w:sz="0" w:space="0" w:color="auto"/>
            <w:right w:val="none" w:sz="0" w:space="0" w:color="auto"/>
          </w:divBdr>
          <w:divsChild>
            <w:div w:id="1103840984">
              <w:marLeft w:val="0"/>
              <w:marRight w:val="0"/>
              <w:marTop w:val="0"/>
              <w:marBottom w:val="0"/>
              <w:divBdr>
                <w:top w:val="none" w:sz="0" w:space="0" w:color="auto"/>
                <w:left w:val="none" w:sz="0" w:space="0" w:color="auto"/>
                <w:bottom w:val="none" w:sz="0" w:space="0" w:color="auto"/>
                <w:right w:val="none" w:sz="0" w:space="0" w:color="auto"/>
              </w:divBdr>
              <w:divsChild>
                <w:div w:id="183447720">
                  <w:marLeft w:val="0"/>
                  <w:marRight w:val="0"/>
                  <w:marTop w:val="0"/>
                  <w:marBottom w:val="0"/>
                  <w:divBdr>
                    <w:top w:val="none" w:sz="0" w:space="0" w:color="auto"/>
                    <w:left w:val="none" w:sz="0" w:space="0" w:color="auto"/>
                    <w:bottom w:val="none" w:sz="0" w:space="0" w:color="auto"/>
                    <w:right w:val="none" w:sz="0" w:space="0" w:color="auto"/>
                  </w:divBdr>
                  <w:divsChild>
                    <w:div w:id="450514990">
                      <w:marLeft w:val="0"/>
                      <w:marRight w:val="0"/>
                      <w:marTop w:val="0"/>
                      <w:marBottom w:val="0"/>
                      <w:divBdr>
                        <w:top w:val="none" w:sz="0" w:space="0" w:color="auto"/>
                        <w:left w:val="none" w:sz="0" w:space="0" w:color="auto"/>
                        <w:bottom w:val="none" w:sz="0" w:space="0" w:color="auto"/>
                        <w:right w:val="none" w:sz="0" w:space="0" w:color="auto"/>
                      </w:divBdr>
                      <w:divsChild>
                        <w:div w:id="1089035705">
                          <w:marLeft w:val="0"/>
                          <w:marRight w:val="0"/>
                          <w:marTop w:val="0"/>
                          <w:marBottom w:val="0"/>
                          <w:divBdr>
                            <w:top w:val="none" w:sz="0" w:space="0" w:color="auto"/>
                            <w:left w:val="none" w:sz="0" w:space="0" w:color="auto"/>
                            <w:bottom w:val="none" w:sz="0" w:space="0" w:color="auto"/>
                            <w:right w:val="none" w:sz="0" w:space="0" w:color="auto"/>
                          </w:divBdr>
                          <w:divsChild>
                            <w:div w:id="86510698">
                              <w:marLeft w:val="0"/>
                              <w:marRight w:val="0"/>
                              <w:marTop w:val="0"/>
                              <w:marBottom w:val="0"/>
                              <w:divBdr>
                                <w:top w:val="none" w:sz="0" w:space="0" w:color="auto"/>
                                <w:left w:val="none" w:sz="0" w:space="0" w:color="auto"/>
                                <w:bottom w:val="none" w:sz="0" w:space="0" w:color="auto"/>
                                <w:right w:val="none" w:sz="0" w:space="0" w:color="auto"/>
                              </w:divBdr>
                              <w:divsChild>
                                <w:div w:id="1252936449">
                                  <w:marLeft w:val="0"/>
                                  <w:marRight w:val="0"/>
                                  <w:marTop w:val="0"/>
                                  <w:marBottom w:val="0"/>
                                  <w:divBdr>
                                    <w:top w:val="none" w:sz="0" w:space="0" w:color="auto"/>
                                    <w:left w:val="none" w:sz="0" w:space="0" w:color="auto"/>
                                    <w:bottom w:val="none" w:sz="0" w:space="0" w:color="auto"/>
                                    <w:right w:val="none" w:sz="0" w:space="0" w:color="auto"/>
                                  </w:divBdr>
                                  <w:divsChild>
                                    <w:div w:id="1328822842">
                                      <w:marLeft w:val="0"/>
                                      <w:marRight w:val="0"/>
                                      <w:marTop w:val="0"/>
                                      <w:marBottom w:val="0"/>
                                      <w:divBdr>
                                        <w:top w:val="none" w:sz="0" w:space="0" w:color="auto"/>
                                        <w:left w:val="none" w:sz="0" w:space="0" w:color="auto"/>
                                        <w:bottom w:val="none" w:sz="0" w:space="0" w:color="auto"/>
                                        <w:right w:val="none" w:sz="0" w:space="0" w:color="auto"/>
                                      </w:divBdr>
                                      <w:divsChild>
                                        <w:div w:id="359942001">
                                          <w:marLeft w:val="0"/>
                                          <w:marRight w:val="0"/>
                                          <w:marTop w:val="0"/>
                                          <w:marBottom w:val="0"/>
                                          <w:divBdr>
                                            <w:top w:val="none" w:sz="0" w:space="0" w:color="auto"/>
                                            <w:left w:val="none" w:sz="0" w:space="0" w:color="auto"/>
                                            <w:bottom w:val="none" w:sz="0" w:space="0" w:color="auto"/>
                                            <w:right w:val="none" w:sz="0" w:space="0" w:color="auto"/>
                                          </w:divBdr>
                                          <w:divsChild>
                                            <w:div w:id="337005974">
                                              <w:marLeft w:val="0"/>
                                              <w:marRight w:val="0"/>
                                              <w:marTop w:val="0"/>
                                              <w:marBottom w:val="0"/>
                                              <w:divBdr>
                                                <w:top w:val="none" w:sz="0" w:space="0" w:color="auto"/>
                                                <w:left w:val="none" w:sz="0" w:space="0" w:color="auto"/>
                                                <w:bottom w:val="none" w:sz="0" w:space="0" w:color="auto"/>
                                                <w:right w:val="none" w:sz="0" w:space="0" w:color="auto"/>
                                              </w:divBdr>
                                              <w:divsChild>
                                                <w:div w:id="1516188125">
                                                  <w:marLeft w:val="0"/>
                                                  <w:marRight w:val="0"/>
                                                  <w:marTop w:val="0"/>
                                                  <w:marBottom w:val="0"/>
                                                  <w:divBdr>
                                                    <w:top w:val="none" w:sz="0" w:space="0" w:color="auto"/>
                                                    <w:left w:val="none" w:sz="0" w:space="0" w:color="auto"/>
                                                    <w:bottom w:val="none" w:sz="0" w:space="0" w:color="auto"/>
                                                    <w:right w:val="none" w:sz="0" w:space="0" w:color="auto"/>
                                                  </w:divBdr>
                                                  <w:divsChild>
                                                    <w:div w:id="1754013901">
                                                      <w:marLeft w:val="0"/>
                                                      <w:marRight w:val="0"/>
                                                      <w:marTop w:val="0"/>
                                                      <w:marBottom w:val="0"/>
                                                      <w:divBdr>
                                                        <w:top w:val="none" w:sz="0" w:space="0" w:color="auto"/>
                                                        <w:left w:val="none" w:sz="0" w:space="0" w:color="auto"/>
                                                        <w:bottom w:val="none" w:sz="0" w:space="0" w:color="auto"/>
                                                        <w:right w:val="none" w:sz="0" w:space="0" w:color="auto"/>
                                                      </w:divBdr>
                                                      <w:divsChild>
                                                        <w:div w:id="759251742">
                                                          <w:marLeft w:val="0"/>
                                                          <w:marRight w:val="0"/>
                                                          <w:marTop w:val="0"/>
                                                          <w:marBottom w:val="0"/>
                                                          <w:divBdr>
                                                            <w:top w:val="none" w:sz="0" w:space="0" w:color="auto"/>
                                                            <w:left w:val="none" w:sz="0" w:space="0" w:color="auto"/>
                                                            <w:bottom w:val="none" w:sz="0" w:space="0" w:color="auto"/>
                                                            <w:right w:val="none" w:sz="0" w:space="0" w:color="auto"/>
                                                          </w:divBdr>
                                                          <w:divsChild>
                                                            <w:div w:id="4068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ANESH\Desktop\Graphs\Chemical%20Evalua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Moisture Content (</a:t>
            </a:r>
            <a:r>
              <a:rPr lang="en-US" sz="1200" b="0" i="0" baseline="0">
                <a:effectLst/>
              </a:rPr>
              <a:t>g/100g)</a:t>
            </a:r>
            <a:endParaRPr lang="en-IN"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021035973444496"/>
          <c:y val="0.11482825018051783"/>
          <c:w val="0.80341709124594707"/>
          <c:h val="0.71185543673852991"/>
        </c:manualLayout>
      </c:layout>
      <c:lineChart>
        <c:grouping val="stacked"/>
        <c:varyColors val="0"/>
        <c:ser>
          <c:idx val="0"/>
          <c:order val="0"/>
          <c:tx>
            <c:strRef>
              <c:f>'MC Graph'!$C$4</c:f>
              <c:strCache>
                <c:ptCount val="1"/>
                <c:pt idx="0">
                  <c:v>Moisture Content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'MC Graph'!$B$5:$B$10</c:f>
              <c:strCache>
                <c:ptCount val="6"/>
                <c:pt idx="0">
                  <c:v>T1</c:v>
                </c:pt>
                <c:pt idx="1">
                  <c:v>T2</c:v>
                </c:pt>
                <c:pt idx="2">
                  <c:v>T3</c:v>
                </c:pt>
                <c:pt idx="3">
                  <c:v>T4</c:v>
                </c:pt>
                <c:pt idx="4">
                  <c:v>T5</c:v>
                </c:pt>
                <c:pt idx="5">
                  <c:v>T6 Control         </c:v>
                </c:pt>
              </c:strCache>
            </c:strRef>
          </c:cat>
          <c:val>
            <c:numRef>
              <c:f>'MC Graph'!$C$5:$C$10</c:f>
              <c:numCache>
                <c:formatCode>General</c:formatCode>
                <c:ptCount val="6"/>
                <c:pt idx="0">
                  <c:v>7.11</c:v>
                </c:pt>
                <c:pt idx="1">
                  <c:v>7.82</c:v>
                </c:pt>
                <c:pt idx="2">
                  <c:v>8.26</c:v>
                </c:pt>
                <c:pt idx="3">
                  <c:v>8.4600000000000009</c:v>
                </c:pt>
                <c:pt idx="4">
                  <c:v>8.8699999999999992</c:v>
                </c:pt>
                <c:pt idx="5">
                  <c:v>8.92</c:v>
                </c:pt>
              </c:numCache>
            </c:numRef>
          </c:val>
          <c:smooth val="0"/>
          <c:extLst xmlns:c16r2="http://schemas.microsoft.com/office/drawing/2015/06/chart">
            <c:ext xmlns:c16="http://schemas.microsoft.com/office/drawing/2014/chart" uri="{C3380CC4-5D6E-409C-BE32-E72D297353CC}">
              <c16:uniqueId val="{00000000-5EE7-42DB-88C8-A43AE8819699}"/>
            </c:ext>
          </c:extLst>
        </c:ser>
        <c:dLbls>
          <c:dLblPos val="t"/>
          <c:showLegendKey val="0"/>
          <c:showVal val="1"/>
          <c:showCatName val="0"/>
          <c:showSerName val="0"/>
          <c:showPercent val="0"/>
          <c:showBubbleSize val="0"/>
        </c:dLbls>
        <c:marker val="1"/>
        <c:smooth val="0"/>
        <c:axId val="283130384"/>
        <c:axId val="283128032"/>
      </c:lineChart>
      <c:catAx>
        <c:axId val="2831303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layout>
            <c:manualLayout>
              <c:xMode val="edge"/>
              <c:yMode val="edge"/>
              <c:x val="0.44396634244248878"/>
              <c:y val="0.901505174844410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128032"/>
        <c:crosses val="autoZero"/>
        <c:auto val="1"/>
        <c:lblAlgn val="ctr"/>
        <c:lblOffset val="100"/>
        <c:noMultiLvlLbl val="0"/>
      </c:catAx>
      <c:valAx>
        <c:axId val="28312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Moisture content, (g/100g)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130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Reconstitution Time (seconds)</a:t>
            </a:r>
          </a:p>
        </c:rich>
      </c:tx>
      <c:layout>
        <c:manualLayout>
          <c:xMode val="edge"/>
          <c:yMode val="edge"/>
          <c:x val="0.21444444444444444"/>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'Protein Graph'!$D$62</c:f>
              <c:strCache>
                <c:ptCount val="1"/>
                <c:pt idx="0">
                  <c:v>Reconstitution Time (seconds)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 Graph'!$C$63:$C$64</c:f>
              <c:strCache>
                <c:ptCount val="2"/>
                <c:pt idx="0">
                  <c:v>T 3 Selected</c:v>
                </c:pt>
                <c:pt idx="1">
                  <c:v>T6 Control</c:v>
                </c:pt>
              </c:strCache>
            </c:strRef>
          </c:cat>
          <c:val>
            <c:numRef>
              <c:f>'Protein Graph'!$D$63:$D$64</c:f>
              <c:numCache>
                <c:formatCode>General</c:formatCode>
                <c:ptCount val="2"/>
                <c:pt idx="0">
                  <c:v>41</c:v>
                </c:pt>
                <c:pt idx="1">
                  <c:v>52</c:v>
                </c:pt>
              </c:numCache>
            </c:numRef>
          </c:val>
          <c:extLst xmlns:c16r2="http://schemas.microsoft.com/office/drawing/2015/06/chart">
            <c:ext xmlns:c16="http://schemas.microsoft.com/office/drawing/2014/chart" uri="{C3380CC4-5D6E-409C-BE32-E72D297353CC}">
              <c16:uniqueId val="{00000000-67B4-4394-B475-FF55F16388CE}"/>
            </c:ext>
          </c:extLst>
        </c:ser>
        <c:dLbls>
          <c:dLblPos val="outEnd"/>
          <c:showLegendKey val="0"/>
          <c:showVal val="1"/>
          <c:showCatName val="0"/>
          <c:showSerName val="0"/>
          <c:showPercent val="0"/>
          <c:showBubbleSize val="0"/>
        </c:dLbls>
        <c:gapWidth val="219"/>
        <c:overlap val="-27"/>
        <c:axId val="283671296"/>
        <c:axId val="283671688"/>
      </c:barChart>
      <c:catAx>
        <c:axId val="283671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671688"/>
        <c:crosses val="autoZero"/>
        <c:auto val="1"/>
        <c:lblAlgn val="ctr"/>
        <c:lblOffset val="100"/>
        <c:noMultiLvlLbl val="0"/>
      </c:catAx>
      <c:valAx>
        <c:axId val="283671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Reconstitution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67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4021035973444496"/>
          <c:y val="0.11482825018051783"/>
          <c:w val="0.80341709124594707"/>
          <c:h val="0.71185543673852991"/>
        </c:manualLayout>
      </c:layout>
      <c:lineChart>
        <c:grouping val="stacked"/>
        <c:varyColors val="0"/>
        <c:ser>
          <c:idx val="0"/>
          <c:order val="0"/>
          <c:tx>
            <c:strRef>
              <c:f>'Protein Idli Flour'!$C$4</c:f>
              <c:strCache>
                <c:ptCount val="1"/>
                <c:pt idx="0">
                  <c:v>Protein (g/100g)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'Protein Idli Flour'!$B$5:$B$10</c:f>
              <c:strCache>
                <c:ptCount val="6"/>
                <c:pt idx="0">
                  <c:v>T1</c:v>
                </c:pt>
                <c:pt idx="1">
                  <c:v>T2</c:v>
                </c:pt>
                <c:pt idx="2">
                  <c:v>T3</c:v>
                </c:pt>
                <c:pt idx="3">
                  <c:v>T4</c:v>
                </c:pt>
                <c:pt idx="4">
                  <c:v>T5</c:v>
                </c:pt>
                <c:pt idx="5">
                  <c:v>T6 Control         </c:v>
                </c:pt>
              </c:strCache>
            </c:strRef>
          </c:cat>
          <c:val>
            <c:numRef>
              <c:f>'Protein Idli Flour'!$C$5:$C$10</c:f>
              <c:numCache>
                <c:formatCode>General</c:formatCode>
                <c:ptCount val="6"/>
                <c:pt idx="0">
                  <c:v>17.5</c:v>
                </c:pt>
                <c:pt idx="1">
                  <c:v>21.44</c:v>
                </c:pt>
                <c:pt idx="2">
                  <c:v>24.06</c:v>
                </c:pt>
                <c:pt idx="3">
                  <c:v>27.13</c:v>
                </c:pt>
                <c:pt idx="4">
                  <c:v>29.75</c:v>
                </c:pt>
                <c:pt idx="5">
                  <c:v>11.38</c:v>
                </c:pt>
              </c:numCache>
            </c:numRef>
          </c:val>
          <c:smooth val="0"/>
          <c:extLst xmlns:c16r2="http://schemas.microsoft.com/office/drawing/2015/06/chart">
            <c:ext xmlns:c16="http://schemas.microsoft.com/office/drawing/2014/chart" uri="{C3380CC4-5D6E-409C-BE32-E72D297353CC}">
              <c16:uniqueId val="{00000000-5EE7-42DB-88C8-A43AE8819699}"/>
            </c:ext>
          </c:extLst>
        </c:ser>
        <c:dLbls>
          <c:dLblPos val="t"/>
          <c:showLegendKey val="0"/>
          <c:showVal val="1"/>
          <c:showCatName val="0"/>
          <c:showSerName val="0"/>
          <c:showPercent val="0"/>
          <c:showBubbleSize val="0"/>
        </c:dLbls>
        <c:marker val="1"/>
        <c:smooth val="0"/>
        <c:axId val="283126856"/>
        <c:axId val="495909960"/>
      </c:lineChart>
      <c:catAx>
        <c:axId val="28312685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layout>
            <c:manualLayout>
              <c:xMode val="edge"/>
              <c:yMode val="edge"/>
              <c:x val="0.44396634244248878"/>
              <c:y val="0.901505174844410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5909960"/>
        <c:crosses val="autoZero"/>
        <c:auto val="1"/>
        <c:lblAlgn val="ctr"/>
        <c:lblOffset val="100"/>
        <c:noMultiLvlLbl val="0"/>
      </c:catAx>
      <c:valAx>
        <c:axId val="495909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Protein (g/100g)</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3126856"/>
        <c:crosses val="autoZero"/>
        <c:crossBetween val="between"/>
      </c:valAx>
      <c:spPr>
        <a:noFill/>
        <a:ln>
          <a:noFill/>
        </a:ln>
        <a:effectLst/>
      </c:spPr>
    </c:plotArea>
    <c:legend>
      <c:legendPos val="r"/>
      <c:layout>
        <c:manualLayout>
          <c:xMode val="edge"/>
          <c:yMode val="edge"/>
          <c:x val="0.82355314960629922"/>
          <c:y val="0.64228157342777581"/>
          <c:w val="0.16419194843291646"/>
          <c:h val="0.167966108494080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1611548556429"/>
          <c:y val="9.7222222222222224E-2"/>
          <c:w val="0.76170603674540693"/>
          <c:h val="0.703954911502365"/>
        </c:manualLayout>
      </c:layout>
      <c:lineChart>
        <c:grouping val="stacked"/>
        <c:varyColors val="0"/>
        <c:ser>
          <c:idx val="0"/>
          <c:order val="0"/>
          <c:tx>
            <c:strRef>
              <c:f>'Fat Graph'!$C$4</c:f>
              <c:strCache>
                <c:ptCount val="1"/>
                <c:pt idx="0">
                  <c:v>Fat (g/100g)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 Graph'!$B$5:$B$10</c:f>
              <c:strCache>
                <c:ptCount val="6"/>
                <c:pt idx="0">
                  <c:v>T1</c:v>
                </c:pt>
                <c:pt idx="1">
                  <c:v>T2</c:v>
                </c:pt>
                <c:pt idx="2">
                  <c:v>T3</c:v>
                </c:pt>
                <c:pt idx="3">
                  <c:v>T4</c:v>
                </c:pt>
                <c:pt idx="4">
                  <c:v>T5</c:v>
                </c:pt>
                <c:pt idx="5">
                  <c:v>T6  </c:v>
                </c:pt>
              </c:strCache>
            </c:strRef>
          </c:cat>
          <c:val>
            <c:numRef>
              <c:f>'Fat Graph'!$C$5:$C$10</c:f>
              <c:numCache>
                <c:formatCode>General</c:formatCode>
                <c:ptCount val="6"/>
                <c:pt idx="0">
                  <c:v>1.06</c:v>
                </c:pt>
                <c:pt idx="1">
                  <c:v>1.1000000000000001</c:v>
                </c:pt>
                <c:pt idx="2">
                  <c:v>1.1399999999999999</c:v>
                </c:pt>
                <c:pt idx="3">
                  <c:v>1.18</c:v>
                </c:pt>
                <c:pt idx="4">
                  <c:v>1.22</c:v>
                </c:pt>
                <c:pt idx="5">
                  <c:v>0.88</c:v>
                </c:pt>
              </c:numCache>
            </c:numRef>
          </c:val>
          <c:smooth val="0"/>
          <c:extLst xmlns:c16r2="http://schemas.microsoft.com/office/drawing/2015/06/chart">
            <c:ext xmlns:c16="http://schemas.microsoft.com/office/drawing/2014/chart" uri="{C3380CC4-5D6E-409C-BE32-E72D297353CC}">
              <c16:uniqueId val="{00000000-49C8-45F8-A946-F0196143E08C}"/>
            </c:ext>
          </c:extLst>
        </c:ser>
        <c:dLbls>
          <c:dLblPos val="t"/>
          <c:showLegendKey val="0"/>
          <c:showVal val="1"/>
          <c:showCatName val="0"/>
          <c:showSerName val="0"/>
          <c:showPercent val="0"/>
          <c:showBubbleSize val="0"/>
        </c:dLbls>
        <c:marker val="1"/>
        <c:smooth val="0"/>
        <c:axId val="495909568"/>
        <c:axId val="488138240"/>
      </c:lineChart>
      <c:catAx>
        <c:axId val="49590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8240"/>
        <c:crosses val="autoZero"/>
        <c:auto val="1"/>
        <c:lblAlgn val="ctr"/>
        <c:lblOffset val="100"/>
        <c:noMultiLvlLbl val="0"/>
      </c:catAx>
      <c:valAx>
        <c:axId val="488138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Fat Content</a:t>
                </a:r>
                <a:r>
                  <a:rPr lang="en-US" sz="1200" baseline="0">
                    <a:solidFill>
                      <a:schemeClr val="tx1"/>
                    </a:solidFill>
                    <a:latin typeface="Times New Roman" panose="02020603050405020304" pitchFamily="18" charset="0"/>
                    <a:cs typeface="Times New Roman" panose="02020603050405020304" pitchFamily="18" charset="0"/>
                  </a:rPr>
                  <a:t>, %</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0555555555555555E-2"/>
              <c:y val="0.3060801254009915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5909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8752777777777777"/>
          <c:y val="5.8541848935549722E-2"/>
          <c:w val="0.78469444444444447"/>
          <c:h val="0.71590259550889468"/>
        </c:manualLayout>
      </c:layout>
      <c:lineChart>
        <c:grouping val="stacked"/>
        <c:varyColors val="0"/>
        <c:ser>
          <c:idx val="0"/>
          <c:order val="0"/>
          <c:tx>
            <c:strRef>
              <c:f>'Carbo Graph'!$C$4</c:f>
              <c:strCache>
                <c:ptCount val="1"/>
                <c:pt idx="0">
                  <c:v>Carbohydrate (g/100g)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'Carbo Graph'!$B$5:$B$10</c:f>
              <c:strCache>
                <c:ptCount val="6"/>
                <c:pt idx="0">
                  <c:v>T1</c:v>
                </c:pt>
                <c:pt idx="1">
                  <c:v>T2</c:v>
                </c:pt>
                <c:pt idx="2">
                  <c:v>T3</c:v>
                </c:pt>
                <c:pt idx="3">
                  <c:v>T4</c:v>
                </c:pt>
                <c:pt idx="4">
                  <c:v>T5</c:v>
                </c:pt>
                <c:pt idx="5">
                  <c:v> T6</c:v>
                </c:pt>
              </c:strCache>
            </c:strRef>
          </c:cat>
          <c:val>
            <c:numRef>
              <c:f>'Carbo Graph'!$C$5:$C$10</c:f>
              <c:numCache>
                <c:formatCode>General</c:formatCode>
                <c:ptCount val="6"/>
                <c:pt idx="0">
                  <c:v>66.17</c:v>
                </c:pt>
                <c:pt idx="1">
                  <c:v>60.13</c:v>
                </c:pt>
                <c:pt idx="2">
                  <c:v>55.27</c:v>
                </c:pt>
                <c:pt idx="3">
                  <c:v>50.52</c:v>
                </c:pt>
                <c:pt idx="4">
                  <c:v>45.96</c:v>
                </c:pt>
                <c:pt idx="5">
                  <c:v>73.62</c:v>
                </c:pt>
              </c:numCache>
            </c:numRef>
          </c:val>
          <c:smooth val="0"/>
          <c:extLst xmlns:c16r2="http://schemas.microsoft.com/office/drawing/2015/06/chart">
            <c:ext xmlns:c16="http://schemas.microsoft.com/office/drawing/2014/chart" uri="{C3380CC4-5D6E-409C-BE32-E72D297353CC}">
              <c16:uniqueId val="{00000000-DDDA-474A-BE77-ACA13CA61DC9}"/>
            </c:ext>
          </c:extLst>
        </c:ser>
        <c:dLbls>
          <c:showLegendKey val="0"/>
          <c:showVal val="0"/>
          <c:showCatName val="0"/>
          <c:showSerName val="0"/>
          <c:showPercent val="0"/>
          <c:showBubbleSize val="0"/>
        </c:dLbls>
        <c:marker val="1"/>
        <c:smooth val="0"/>
        <c:axId val="488138632"/>
        <c:axId val="488137456"/>
      </c:lineChart>
      <c:catAx>
        <c:axId val="4881386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solidFill>
                      <a:schemeClr val="tx1"/>
                    </a:solidFill>
                  </a:rPr>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7456"/>
        <c:crosses val="autoZero"/>
        <c:auto val="1"/>
        <c:lblAlgn val="ctr"/>
        <c:lblOffset val="100"/>
        <c:noMultiLvlLbl val="0"/>
      </c:catAx>
      <c:valAx>
        <c:axId val="48813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Carbohydrate Content,</a:t>
                </a:r>
                <a:r>
                  <a:rPr lang="en-US" baseline="0">
                    <a:solidFill>
                      <a:schemeClr val="tx1"/>
                    </a:solidFill>
                  </a:rPr>
                  <a:t> g/100g)</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8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9030555555555553"/>
          <c:y val="8.5148292206446097E-2"/>
          <c:w val="0.77080555555555563"/>
          <c:h val="0.67077759858330965"/>
        </c:manualLayout>
      </c:layout>
      <c:lineChart>
        <c:grouping val="stacked"/>
        <c:varyColors val="0"/>
        <c:ser>
          <c:idx val="0"/>
          <c:order val="0"/>
          <c:tx>
            <c:strRef>
              <c:f>'Fiber Graph'!$C$4</c:f>
              <c:strCache>
                <c:ptCount val="1"/>
                <c:pt idx="0">
                  <c:v>Crude Fibre (g/100g)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'Fiber Graph'!$B$5:$B$10</c:f>
              <c:strCache>
                <c:ptCount val="6"/>
                <c:pt idx="0">
                  <c:v>T1</c:v>
                </c:pt>
                <c:pt idx="1">
                  <c:v>T2</c:v>
                </c:pt>
                <c:pt idx="2">
                  <c:v>T3</c:v>
                </c:pt>
                <c:pt idx="3">
                  <c:v>T4</c:v>
                </c:pt>
                <c:pt idx="4">
                  <c:v>T5</c:v>
                </c:pt>
                <c:pt idx="5">
                  <c:v>T6 </c:v>
                </c:pt>
              </c:strCache>
            </c:strRef>
          </c:cat>
          <c:val>
            <c:numRef>
              <c:f>'Fiber Graph'!$C$5:$C$10</c:f>
              <c:numCache>
                <c:formatCode>General</c:formatCode>
                <c:ptCount val="6"/>
                <c:pt idx="0">
                  <c:v>7.76</c:v>
                </c:pt>
                <c:pt idx="1">
                  <c:v>8.94</c:v>
                </c:pt>
                <c:pt idx="2">
                  <c:v>10.119999999999999</c:v>
                </c:pt>
                <c:pt idx="3">
                  <c:v>11.3</c:v>
                </c:pt>
                <c:pt idx="4">
                  <c:v>12.48</c:v>
                </c:pt>
                <c:pt idx="5">
                  <c:v>4.7</c:v>
                </c:pt>
              </c:numCache>
            </c:numRef>
          </c:val>
          <c:smooth val="0"/>
          <c:extLst xmlns:c16r2="http://schemas.microsoft.com/office/drawing/2015/06/chart">
            <c:ext xmlns:c16="http://schemas.microsoft.com/office/drawing/2014/chart" uri="{C3380CC4-5D6E-409C-BE32-E72D297353CC}">
              <c16:uniqueId val="{00000000-D9A4-4AC4-A904-B8B026649D53}"/>
            </c:ext>
          </c:extLst>
        </c:ser>
        <c:dLbls>
          <c:dLblPos val="t"/>
          <c:showLegendKey val="0"/>
          <c:showVal val="1"/>
          <c:showCatName val="0"/>
          <c:showSerName val="0"/>
          <c:showPercent val="0"/>
          <c:showBubbleSize val="0"/>
        </c:dLbls>
        <c:marker val="1"/>
        <c:smooth val="0"/>
        <c:axId val="488135888"/>
        <c:axId val="488139416"/>
      </c:lineChart>
      <c:catAx>
        <c:axId val="488135888"/>
        <c:scaling>
          <c:orientation val="minMax"/>
        </c:scaling>
        <c:delete val="0"/>
        <c:axPos val="b"/>
        <c:title>
          <c:tx>
            <c:rich>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a:t>
                </a:r>
                <a:r>
                  <a:rPr lang="en-US" b="1"/>
                  <a:t>Treatments</a:t>
                </a:r>
              </a:p>
            </c:rich>
          </c:tx>
          <c:layout>
            <c:manualLayout>
              <c:xMode val="edge"/>
              <c:yMode val="edge"/>
              <c:x val="0.50529855643044619"/>
              <c:y val="0.88518518518518519"/>
            </c:manualLayout>
          </c:layout>
          <c:overlay val="0"/>
          <c:spPr>
            <a:noFill/>
            <a:ln>
              <a:noFill/>
            </a:ln>
            <a:effectLst/>
          </c:spPr>
          <c:txPr>
            <a:bodyPr rot="0" spcFirstLastPara="1" vertOverflow="ellipsis" vert="horz" wrap="square" anchor="ctr" anchorCtr="1"/>
            <a:lstStyle/>
            <a:p>
              <a:pPr algn="ct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9416"/>
        <c:crosses val="autoZero"/>
        <c:auto val="1"/>
        <c:lblAlgn val="ctr"/>
        <c:lblOffset val="100"/>
        <c:noMultiLvlLbl val="0"/>
      </c:catAx>
      <c:valAx>
        <c:axId val="488139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Crude Fibre (g/100g</a:t>
                </a:r>
                <a:r>
                  <a:rPr lang="en-US"/>
                  <a:t>)</a:t>
                </a:r>
              </a:p>
            </c:rich>
          </c:tx>
          <c:layout>
            <c:manualLayout>
              <c:xMode val="edge"/>
              <c:yMode val="edge"/>
              <c:x val="3.3333333333333333E-2"/>
              <c:y val="0.2921988918051909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5888"/>
        <c:crosses val="autoZero"/>
        <c:crossBetween val="between"/>
      </c:valAx>
      <c:spPr>
        <a:noFill/>
        <a:ln>
          <a:noFill/>
        </a:ln>
        <a:effectLst/>
      </c:spPr>
    </c:plotArea>
    <c:legend>
      <c:legendPos val="r"/>
      <c:layout>
        <c:manualLayout>
          <c:xMode val="edge"/>
          <c:yMode val="edge"/>
          <c:x val="0.74262423447069115"/>
          <c:y val="0.59110996081242051"/>
          <c:w val="0.24348687664041996"/>
          <c:h val="0.1361743498876799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34492563429572"/>
          <c:y val="0.11050252184612382"/>
          <c:w val="0.78609951881014872"/>
          <c:h val="0.68392676015099718"/>
        </c:manualLayout>
      </c:layout>
      <c:lineChart>
        <c:grouping val="stacked"/>
        <c:varyColors val="0"/>
        <c:ser>
          <c:idx val="0"/>
          <c:order val="0"/>
          <c:tx>
            <c:strRef>
              <c:f>'Ash Graph'!$C$4</c:f>
              <c:strCache>
                <c:ptCount val="1"/>
                <c:pt idx="0">
                  <c:v>Ash (g/100g)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'Ash Graph'!$B$5:$B$10</c:f>
              <c:strCache>
                <c:ptCount val="6"/>
                <c:pt idx="0">
                  <c:v>T1</c:v>
                </c:pt>
                <c:pt idx="1">
                  <c:v>T2</c:v>
                </c:pt>
                <c:pt idx="2">
                  <c:v>T3</c:v>
                </c:pt>
                <c:pt idx="3">
                  <c:v>T4</c:v>
                </c:pt>
                <c:pt idx="4">
                  <c:v>T5</c:v>
                </c:pt>
                <c:pt idx="5">
                  <c:v>T6 </c:v>
                </c:pt>
              </c:strCache>
            </c:strRef>
          </c:cat>
          <c:val>
            <c:numRef>
              <c:f>'Ash Graph'!$C$5:$C$10</c:f>
              <c:numCache>
                <c:formatCode>General</c:formatCode>
                <c:ptCount val="6"/>
                <c:pt idx="0">
                  <c:v>0.4</c:v>
                </c:pt>
                <c:pt idx="1">
                  <c:v>0.57999999999999996</c:v>
                </c:pt>
                <c:pt idx="2">
                  <c:v>1.1499999999999999</c:v>
                </c:pt>
                <c:pt idx="3">
                  <c:v>1.43</c:v>
                </c:pt>
                <c:pt idx="4">
                  <c:v>1.72</c:v>
                </c:pt>
                <c:pt idx="5">
                  <c:v>0.5</c:v>
                </c:pt>
              </c:numCache>
            </c:numRef>
          </c:val>
          <c:smooth val="0"/>
          <c:extLst xmlns:c16r2="http://schemas.microsoft.com/office/drawing/2015/06/chart">
            <c:ext xmlns:c16="http://schemas.microsoft.com/office/drawing/2014/chart" uri="{C3380CC4-5D6E-409C-BE32-E72D297353CC}">
              <c16:uniqueId val="{00000000-30E2-47DD-B95D-E7E214177BC6}"/>
            </c:ext>
          </c:extLst>
        </c:ser>
        <c:dLbls>
          <c:dLblPos val="t"/>
          <c:showLegendKey val="0"/>
          <c:showVal val="1"/>
          <c:showCatName val="0"/>
          <c:showSerName val="0"/>
          <c:showPercent val="0"/>
          <c:showBubbleSize val="0"/>
        </c:dLbls>
        <c:marker val="1"/>
        <c:smooth val="0"/>
        <c:axId val="488136280"/>
        <c:axId val="488137848"/>
      </c:lineChart>
      <c:catAx>
        <c:axId val="4881362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7848"/>
        <c:crosses val="autoZero"/>
        <c:auto val="1"/>
        <c:lblAlgn val="ctr"/>
        <c:lblOffset val="100"/>
        <c:noMultiLvlLbl val="0"/>
      </c:catAx>
      <c:valAx>
        <c:axId val="488137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Ash Content,( g/100g)</a:t>
                </a:r>
              </a:p>
            </c:rich>
          </c:tx>
          <c:layout>
            <c:manualLayout>
              <c:xMode val="edge"/>
              <c:yMode val="edge"/>
              <c:x val="3.3333333333333333E-2"/>
              <c:y val="0.2273764216972878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88136280"/>
        <c:crosses val="autoZero"/>
        <c:crossBetween val="between"/>
      </c:valAx>
      <c:spPr>
        <a:noFill/>
        <a:ln>
          <a:noFill/>
        </a:ln>
        <a:effectLst/>
      </c:spPr>
    </c:plotArea>
    <c:legend>
      <c:legendPos val="r"/>
      <c:layout>
        <c:manualLayout>
          <c:xMode val="edge"/>
          <c:yMode val="edge"/>
          <c:x val="0.74535030592627793"/>
          <c:y val="0.63384374250515985"/>
          <c:w val="0.25464969407372201"/>
          <c:h val="8.218398375878691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19656650918635174"/>
          <c:y val="2.607561929595828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12270341207349"/>
          <c:y val="0.1414420980949741"/>
          <c:w val="0.79365501312335962"/>
          <c:h val="0.65298689032840906"/>
        </c:manualLayout>
      </c:layout>
      <c:barChart>
        <c:barDir val="col"/>
        <c:grouping val="clustered"/>
        <c:varyColors val="0"/>
        <c:ser>
          <c:idx val="0"/>
          <c:order val="0"/>
          <c:tx>
            <c:strRef>
              <c:f>'Protein Graph'!$C$4</c:f>
              <c:strCache>
                <c:ptCount val="1"/>
                <c:pt idx="0">
                  <c:v>Water Absorption Capacity (%)</c:v>
                </c:pt>
              </c:strCache>
            </c:strRef>
          </c:tx>
          <c:spPr>
            <a:solidFill>
              <a:schemeClr val="accent2"/>
            </a:solidFill>
            <a:ln>
              <a:noFill/>
            </a:ln>
            <a:effectLst/>
          </c:spPr>
          <c:invertIfNegative val="0"/>
          <c:dLbls>
            <c:dLbl>
              <c:idx val="0"/>
              <c:layout>
                <c:manualLayout>
                  <c:x val="-4.6541776027996501E-2"/>
                  <c:y val="-7.87037037037037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91E-448D-B89D-44D68358D191}"/>
                </c:ext>
                <c:ext xmlns:c15="http://schemas.microsoft.com/office/drawing/2012/chart" uri="{CE6537A1-D6FC-4f65-9D91-7224C49458BB}"/>
              </c:extLst>
            </c:dLbl>
            <c:dLbl>
              <c:idx val="1"/>
              <c:layout>
                <c:manualLayout>
                  <c:x val="6.3470866141732279E-3"/>
                  <c:y val="-9.16855732016548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91E-448D-B89D-44D68358D1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'Protein Graph'!$B$5:$B$6</c:f>
              <c:strCache>
                <c:ptCount val="2"/>
                <c:pt idx="0">
                  <c:v>T3</c:v>
                </c:pt>
                <c:pt idx="1">
                  <c:v>T6 Control</c:v>
                </c:pt>
              </c:strCache>
            </c:strRef>
          </c:cat>
          <c:val>
            <c:numRef>
              <c:f>'Protein Graph'!$C$5:$C$6</c:f>
              <c:numCache>
                <c:formatCode>0.00</c:formatCode>
                <c:ptCount val="2"/>
                <c:pt idx="0">
                  <c:v>145.30000000000001</c:v>
                </c:pt>
                <c:pt idx="1">
                  <c:v>170.5</c:v>
                </c:pt>
              </c:numCache>
            </c:numRef>
          </c:val>
          <c:extLst xmlns:c16r2="http://schemas.microsoft.com/office/drawing/2015/06/chart">
            <c:ext xmlns:c16="http://schemas.microsoft.com/office/drawing/2014/chart" uri="{C3380CC4-5D6E-409C-BE32-E72D297353CC}">
              <c16:uniqueId val="{00000000-3437-4B35-953E-D6C41AFCEB7B}"/>
            </c:ext>
          </c:extLst>
        </c:ser>
        <c:dLbls>
          <c:dLblPos val="ctr"/>
          <c:showLegendKey val="0"/>
          <c:showVal val="1"/>
          <c:showCatName val="0"/>
          <c:showSerName val="0"/>
          <c:showPercent val="0"/>
          <c:showBubbleSize val="0"/>
        </c:dLbls>
        <c:gapWidth val="150"/>
        <c:axId val="422294616"/>
        <c:axId val="422295008"/>
      </c:barChart>
      <c:catAx>
        <c:axId val="4222946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Treatments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295008"/>
        <c:crosses val="autoZero"/>
        <c:auto val="1"/>
        <c:lblAlgn val="ctr"/>
        <c:lblOffset val="100"/>
        <c:noMultiLvlLbl val="0"/>
      </c:catAx>
      <c:valAx>
        <c:axId val="42229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WAC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22294616"/>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dbl"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Wettability (g/min)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'Protein Graph'!$D$27</c:f>
              <c:strCache>
                <c:ptCount val="1"/>
                <c:pt idx="0">
                  <c:v>Wettability (g/min)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'Protein Graph'!$C$28:$C$29</c:f>
              <c:strCache>
                <c:ptCount val="2"/>
                <c:pt idx="0">
                  <c:v>T 3 Selected</c:v>
                </c:pt>
                <c:pt idx="1">
                  <c:v>T6 Control</c:v>
                </c:pt>
              </c:strCache>
            </c:strRef>
          </c:cat>
          <c:val>
            <c:numRef>
              <c:f>'Protein Graph'!$D$28:$D$29</c:f>
              <c:numCache>
                <c:formatCode>General</c:formatCode>
                <c:ptCount val="2"/>
                <c:pt idx="0">
                  <c:v>10.7</c:v>
                </c:pt>
                <c:pt idx="1">
                  <c:v>9.5</c:v>
                </c:pt>
              </c:numCache>
            </c:numRef>
          </c:val>
          <c:extLst xmlns:c16r2="http://schemas.microsoft.com/office/drawing/2015/06/chart">
            <c:ext xmlns:c16="http://schemas.microsoft.com/office/drawing/2014/chart" uri="{C3380CC4-5D6E-409C-BE32-E72D297353CC}">
              <c16:uniqueId val="{00000000-2016-462C-B923-B40D87F1EFE5}"/>
            </c:ext>
          </c:extLst>
        </c:ser>
        <c:dLbls>
          <c:showLegendKey val="0"/>
          <c:showVal val="0"/>
          <c:showCatName val="0"/>
          <c:showSerName val="0"/>
          <c:showPercent val="0"/>
          <c:showBubbleSize val="0"/>
        </c:dLbls>
        <c:gapWidth val="100"/>
        <c:overlap val="-24"/>
        <c:axId val="422296184"/>
        <c:axId val="283669728"/>
      </c:barChart>
      <c:catAx>
        <c:axId val="4222961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Treatment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83669728"/>
        <c:crosses val="autoZero"/>
        <c:auto val="1"/>
        <c:lblAlgn val="ctr"/>
        <c:lblOffset val="100"/>
        <c:noMultiLvlLbl val="0"/>
      </c:catAx>
      <c:valAx>
        <c:axId val="2836697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Wettability (g/min)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22296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'Protein Graph'!$D$43</c:f>
              <c:strCache>
                <c:ptCount val="1"/>
                <c:pt idx="0">
                  <c:v>Rehydration Ratio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'Protein Graph'!$C$44:$C$45</c:f>
              <c:strCache>
                <c:ptCount val="2"/>
                <c:pt idx="0">
                  <c:v>T 3 Selected</c:v>
                </c:pt>
                <c:pt idx="1">
                  <c:v>T6 Control</c:v>
                </c:pt>
              </c:strCache>
            </c:strRef>
          </c:cat>
          <c:val>
            <c:numRef>
              <c:f>'Protein Graph'!$D$44:$D$45</c:f>
              <c:numCache>
                <c:formatCode>General</c:formatCode>
                <c:ptCount val="2"/>
                <c:pt idx="0">
                  <c:v>2</c:v>
                </c:pt>
                <c:pt idx="1">
                  <c:v>2.9</c:v>
                </c:pt>
              </c:numCache>
            </c:numRef>
          </c:val>
          <c:extLst xmlns:c16r2="http://schemas.microsoft.com/office/drawing/2015/06/chart">
            <c:ext xmlns:c16="http://schemas.microsoft.com/office/drawing/2014/chart" uri="{C3380CC4-5D6E-409C-BE32-E72D297353CC}">
              <c16:uniqueId val="{00000000-8563-47F0-8EFF-A8697AFECD38}"/>
            </c:ext>
          </c:extLst>
        </c:ser>
        <c:dLbls>
          <c:dLblPos val="outEnd"/>
          <c:showLegendKey val="0"/>
          <c:showVal val="1"/>
          <c:showCatName val="0"/>
          <c:showSerName val="0"/>
          <c:showPercent val="0"/>
          <c:showBubbleSize val="0"/>
        </c:dLbls>
        <c:gapWidth val="100"/>
        <c:overlap val="-24"/>
        <c:axId val="283672080"/>
        <c:axId val="283670512"/>
      </c:barChart>
      <c:catAx>
        <c:axId val="2836720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Treatments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83670512"/>
        <c:crosses val="autoZero"/>
        <c:auto val="1"/>
        <c:lblAlgn val="ctr"/>
        <c:lblOffset val="100"/>
        <c:noMultiLvlLbl val="0"/>
      </c:catAx>
      <c:valAx>
        <c:axId val="2836705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a:t>Rehydration ratio</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28367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B88EF-9A04-4D66-B676-F6F6C36D9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5357</Words>
  <Characters>30537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Manaswini Chiruvella</dc:creator>
  <cp:keywords/>
  <dc:description/>
  <cp:lastModifiedBy>GANESH</cp:lastModifiedBy>
  <cp:revision>2</cp:revision>
  <cp:lastPrinted>2025-05-24T17:41:00Z</cp:lastPrinted>
  <dcterms:created xsi:type="dcterms:W3CDTF">2025-06-09T13:25:00Z</dcterms:created>
  <dcterms:modified xsi:type="dcterms:W3CDTF">2025-06-09T13:25:00Z</dcterms:modified>
</cp:coreProperties>
</file>