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93A45" w14:textId="5FDF77CE" w:rsidR="007136C0" w:rsidRPr="001E48DA" w:rsidRDefault="007136C0" w:rsidP="007136C0">
      <w:pPr>
        <w:jc w:val="right"/>
        <w:rPr>
          <w:rFonts w:ascii="Arial" w:hAnsi="Arial" w:cs="Arial"/>
          <w:b/>
          <w:bCs/>
          <w:sz w:val="32"/>
          <w:szCs w:val="32"/>
          <w:lang w:val="en-US"/>
        </w:rPr>
      </w:pPr>
      <w:r w:rsidRPr="001E48DA">
        <w:rPr>
          <w:rFonts w:ascii="Arial" w:hAnsi="Arial" w:cs="Arial"/>
          <w:b/>
          <w:bCs/>
          <w:sz w:val="32"/>
          <w:szCs w:val="32"/>
          <w:lang w:val="en-US"/>
        </w:rPr>
        <w:t xml:space="preserve">Exploring the functional properties of organ powders from </w:t>
      </w:r>
      <w:r w:rsidRPr="001E48DA">
        <w:rPr>
          <w:rFonts w:ascii="Arial" w:hAnsi="Arial" w:cs="Arial"/>
          <w:b/>
          <w:bCs/>
          <w:i/>
          <w:iCs/>
          <w:sz w:val="32"/>
          <w:szCs w:val="32"/>
          <w:lang w:val="en-US"/>
        </w:rPr>
        <w:t>Corchorus olitorius</w:t>
      </w:r>
      <w:r w:rsidRPr="001E48DA">
        <w:rPr>
          <w:rFonts w:ascii="Arial" w:hAnsi="Arial" w:cs="Arial"/>
          <w:b/>
          <w:bCs/>
          <w:sz w:val="32"/>
          <w:szCs w:val="32"/>
          <w:lang w:val="en-US"/>
        </w:rPr>
        <w:t xml:space="preserve"> and </w:t>
      </w:r>
      <w:r w:rsidRPr="001E48DA">
        <w:rPr>
          <w:rFonts w:ascii="Arial" w:hAnsi="Arial" w:cs="Arial"/>
          <w:b/>
          <w:bCs/>
          <w:i/>
          <w:iCs/>
          <w:sz w:val="32"/>
          <w:szCs w:val="32"/>
          <w:lang w:val="en-US"/>
        </w:rPr>
        <w:t>Abelmoschus esculentus</w:t>
      </w:r>
      <w:r w:rsidRPr="001E48DA">
        <w:rPr>
          <w:rFonts w:ascii="Arial" w:hAnsi="Arial" w:cs="Arial"/>
          <w:b/>
          <w:bCs/>
          <w:sz w:val="32"/>
          <w:szCs w:val="32"/>
          <w:lang w:val="en-US"/>
        </w:rPr>
        <w:t xml:space="preserve"> in chronic disease management</w:t>
      </w:r>
    </w:p>
    <w:p w14:paraId="0083C5FE" w14:textId="77777777" w:rsidR="004E6A94" w:rsidRDefault="004E6A94" w:rsidP="008B0466">
      <w:pPr>
        <w:spacing w:after="0" w:line="240" w:lineRule="auto"/>
        <w:rPr>
          <w:lang w:val="en-US"/>
        </w:rPr>
      </w:pPr>
    </w:p>
    <w:p w14:paraId="5C7D2E49" w14:textId="45E52152" w:rsidR="007136C0" w:rsidRPr="006C42D3" w:rsidRDefault="006C42D3" w:rsidP="008B0466">
      <w:pPr>
        <w:rPr>
          <w:rFonts w:ascii="Arial" w:hAnsi="Arial" w:cs="Arial"/>
          <w:b/>
          <w:bCs/>
          <w:lang w:val="en-US"/>
        </w:rPr>
      </w:pPr>
      <w:r w:rsidRPr="006C42D3">
        <w:rPr>
          <w:rFonts w:ascii="Arial" w:hAnsi="Arial" w:cs="Arial"/>
          <w:b/>
          <w:bCs/>
          <w:lang w:val="en-US"/>
        </w:rPr>
        <w:t xml:space="preserve">ABSTRACT </w:t>
      </w:r>
    </w:p>
    <w:p w14:paraId="4483A778" w14:textId="15F43436" w:rsidR="008A6845" w:rsidRPr="007136C0" w:rsidRDefault="008B0466" w:rsidP="007136C0">
      <w:pPr>
        <w:rPr>
          <w:rFonts w:ascii="Arial" w:hAnsi="Arial" w:cs="Arial"/>
          <w:lang w:val="en-US"/>
        </w:rPr>
      </w:pPr>
      <w:r>
        <w:rPr>
          <w:rFonts w:ascii="Arial" w:hAnsi="Arial" w:cs="Arial"/>
          <w:noProof/>
          <w:lang w:eastAsia="fr-FR"/>
        </w:rPr>
        <mc:AlternateContent>
          <mc:Choice Requires="wps">
            <w:drawing>
              <wp:anchor distT="0" distB="0" distL="114300" distR="114300" simplePos="0" relativeHeight="251659264" behindDoc="0" locked="0" layoutInCell="1" allowOverlap="1" wp14:anchorId="6AEF70C3" wp14:editId="193923BF">
                <wp:simplePos x="0" y="0"/>
                <wp:positionH relativeFrom="margin">
                  <wp:align>right</wp:align>
                </wp:positionH>
                <wp:positionV relativeFrom="paragraph">
                  <wp:posOffset>106073</wp:posOffset>
                </wp:positionV>
                <wp:extent cx="5740841" cy="4524292"/>
                <wp:effectExtent l="0" t="0" r="12700" b="10160"/>
                <wp:wrapNone/>
                <wp:docPr id="2" name="Rectangle 2"/>
                <wp:cNvGraphicFramePr/>
                <a:graphic xmlns:a="http://schemas.openxmlformats.org/drawingml/2006/main">
                  <a:graphicData uri="http://schemas.microsoft.com/office/word/2010/wordprocessingShape">
                    <wps:wsp>
                      <wps:cNvSpPr/>
                      <wps:spPr>
                        <a:xfrm>
                          <a:off x="0" y="0"/>
                          <a:ext cx="5740841" cy="4524292"/>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925E46" w14:textId="77777777" w:rsidR="00BD5AB5" w:rsidRPr="005639A0" w:rsidRDefault="00BD5AB5"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Aims:</w:t>
                            </w:r>
                            <w:r w:rsidRPr="005639A0">
                              <w:rPr>
                                <w:rFonts w:ascii="Arial" w:eastAsia="Times New Roman" w:hAnsi="Arial" w:cs="Arial"/>
                                <w:color w:val="000000" w:themeColor="text1"/>
                                <w:kern w:val="0"/>
                                <w:sz w:val="20"/>
                                <w:szCs w:val="20"/>
                                <w:lang w:val="en-US" w:eastAsia="fr-CM"/>
                                <w14:ligatures w14:val="none"/>
                              </w:rPr>
                              <w:t xml:space="preserve"> To determine the functional properties of </w:t>
                            </w:r>
                            <w:r w:rsidRPr="005639A0">
                              <w:rPr>
                                <w:rFonts w:ascii="Arial" w:eastAsia="Times New Roman" w:hAnsi="Arial" w:cs="Arial"/>
                                <w:i/>
                                <w:iCs/>
                                <w:color w:val="000000" w:themeColor="text1"/>
                                <w:kern w:val="0"/>
                                <w:sz w:val="20"/>
                                <w:szCs w:val="20"/>
                                <w:lang w:val="en-US" w:eastAsia="fr-CM"/>
                                <w14:ligatures w14:val="none"/>
                              </w:rPr>
                              <w:t>Abelmoschus esculentus</w:t>
                            </w:r>
                            <w:r w:rsidRPr="005639A0">
                              <w:rPr>
                                <w:rFonts w:ascii="Arial" w:eastAsia="Times New Roman" w:hAnsi="Arial" w:cs="Arial"/>
                                <w:color w:val="000000" w:themeColor="text1"/>
                                <w:kern w:val="0"/>
                                <w:sz w:val="20"/>
                                <w:szCs w:val="20"/>
                                <w:lang w:val="en-US" w:eastAsia="fr-CM"/>
                                <w14:ligatures w14:val="none"/>
                              </w:rPr>
                              <w:t xml:space="preserve"> (AE) and </w:t>
                            </w:r>
                            <w:r w:rsidRPr="005639A0">
                              <w:rPr>
                                <w:rFonts w:ascii="Arial" w:eastAsia="Times New Roman" w:hAnsi="Arial" w:cs="Arial"/>
                                <w:i/>
                                <w:iCs/>
                                <w:color w:val="000000" w:themeColor="text1"/>
                                <w:kern w:val="0"/>
                                <w:sz w:val="20"/>
                                <w:szCs w:val="20"/>
                                <w:lang w:val="en-US" w:eastAsia="fr-CM"/>
                                <w14:ligatures w14:val="none"/>
                              </w:rPr>
                              <w:t>Corchorus olitorius</w:t>
                            </w:r>
                            <w:r w:rsidRPr="005639A0">
                              <w:rPr>
                                <w:rFonts w:ascii="Arial" w:eastAsia="Times New Roman" w:hAnsi="Arial" w:cs="Arial"/>
                                <w:color w:val="000000" w:themeColor="text1"/>
                                <w:kern w:val="0"/>
                                <w:sz w:val="20"/>
                                <w:szCs w:val="20"/>
                                <w:lang w:val="en-US" w:eastAsia="fr-CM"/>
                                <w14:ligatures w14:val="none"/>
                              </w:rPr>
                              <w:t xml:space="preserve"> (CO) leaf and fruit powders and their relationship with antioxidant activity and essential nutrients.</w:t>
                            </w:r>
                          </w:p>
                          <w:p w14:paraId="283764FE" w14:textId="4AA71B43" w:rsidR="00BD5AB5" w:rsidRPr="005639A0" w:rsidRDefault="00BD5AB5"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Methodology</w:t>
                            </w:r>
                            <w:r w:rsidRPr="005639A0">
                              <w:rPr>
                                <w:rFonts w:ascii="Arial" w:eastAsia="Times New Roman" w:hAnsi="Arial" w:cs="Arial"/>
                                <w:color w:val="000000" w:themeColor="text1"/>
                                <w:kern w:val="0"/>
                                <w:sz w:val="20"/>
                                <w:szCs w:val="20"/>
                                <w:lang w:val="en-US" w:eastAsia="fr-CM"/>
                                <w14:ligatures w14:val="none"/>
                              </w:rPr>
                              <w:t>: Fresh leaves and fruits of these plants</w:t>
                            </w:r>
                            <w:r w:rsidRPr="00A838CC">
                              <w:rPr>
                                <w:rFonts w:ascii="Arial" w:eastAsia="Times New Roman" w:hAnsi="Arial" w:cs="Arial"/>
                                <w:color w:val="000000" w:themeColor="text1"/>
                                <w:kern w:val="0"/>
                                <w:sz w:val="20"/>
                                <w:szCs w:val="20"/>
                                <w:lang w:val="en-US" w:eastAsia="fr-CM"/>
                                <w14:ligatures w14:val="none"/>
                              </w:rPr>
                              <w:t xml:space="preserve"> </w:t>
                            </w:r>
                            <w:r w:rsidRPr="005639A0">
                              <w:rPr>
                                <w:rFonts w:ascii="Arial" w:eastAsia="Times New Roman" w:hAnsi="Arial" w:cs="Arial"/>
                                <w:color w:val="000000" w:themeColor="text1"/>
                                <w:kern w:val="0"/>
                                <w:sz w:val="20"/>
                                <w:szCs w:val="20"/>
                                <w:lang w:val="en-US" w:eastAsia="fr-CM"/>
                                <w14:ligatures w14:val="none"/>
                              </w:rPr>
                              <w:t>were harvested and processed into powders. Functional properties such as oil absorption capacity (OAC), water absorption capacity (WAC), solubility index (WSI), and porosity were evaluated. Data on nutritional composition and antioxidant activities were obtained from previous studies.</w:t>
                            </w:r>
                          </w:p>
                          <w:p w14:paraId="702A3BA3" w14:textId="122A09EE" w:rsidR="00BD5AB5" w:rsidRPr="005639A0" w:rsidRDefault="00BD5AB5"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Results:</w:t>
                            </w:r>
                            <w:r w:rsidRPr="005639A0">
                              <w:rPr>
                                <w:rFonts w:ascii="Arial" w:eastAsia="Times New Roman" w:hAnsi="Arial" w:cs="Arial"/>
                                <w:color w:val="000000" w:themeColor="text1"/>
                                <w:kern w:val="0"/>
                                <w:sz w:val="20"/>
                                <w:szCs w:val="20"/>
                                <w:lang w:val="en-US" w:eastAsia="fr-CM"/>
                                <w14:ligatures w14:val="none"/>
                              </w:rPr>
                              <w:t xml:space="preserve"> It was found that the fruit powders of CO and the leaf powders of AE exhibited the highest mean OAC values of 413.42 ± 2.47 and 342.60 ± 3.04%, respectively. The fruit powders of CO and AE presented high true WAC values of 84.38 ± 0.25 and 81.87 ± 0.31%, high</w:t>
                            </w:r>
                            <w:r>
                              <w:rPr>
                                <w:rFonts w:ascii="Arial" w:eastAsia="Times New Roman" w:hAnsi="Arial" w:cs="Arial"/>
                                <w:color w:val="000000" w:themeColor="text1"/>
                                <w:kern w:val="0"/>
                                <w:sz w:val="20"/>
                                <w:szCs w:val="20"/>
                                <w:lang w:val="en-US" w:eastAsia="fr-CM"/>
                                <w14:ligatures w14:val="none"/>
                              </w:rPr>
                              <w:t xml:space="preserve"> water </w:t>
                            </w:r>
                            <w:r w:rsidRPr="005639A0">
                              <w:rPr>
                                <w:rFonts w:ascii="Arial" w:eastAsia="Times New Roman" w:hAnsi="Arial" w:cs="Arial"/>
                                <w:color w:val="000000" w:themeColor="text1"/>
                                <w:kern w:val="0"/>
                                <w:sz w:val="20"/>
                                <w:szCs w:val="20"/>
                                <w:lang w:val="en-US" w:eastAsia="fr-CM"/>
                                <w14:ligatures w14:val="none"/>
                              </w:rPr>
                              <w:t xml:space="preserve">solubility index </w:t>
                            </w:r>
                            <w:r>
                              <w:rPr>
                                <w:rFonts w:ascii="Arial" w:eastAsia="Times New Roman" w:hAnsi="Arial" w:cs="Arial"/>
                                <w:color w:val="000000" w:themeColor="text1"/>
                                <w:kern w:val="0"/>
                                <w:sz w:val="20"/>
                                <w:szCs w:val="20"/>
                                <w:lang w:val="en-US" w:eastAsia="fr-CM"/>
                                <w14:ligatures w14:val="none"/>
                              </w:rPr>
                              <w:t xml:space="preserve">(WSI) </w:t>
                            </w:r>
                            <w:r w:rsidRPr="005639A0">
                              <w:rPr>
                                <w:rFonts w:ascii="Arial" w:eastAsia="Times New Roman" w:hAnsi="Arial" w:cs="Arial"/>
                                <w:color w:val="000000" w:themeColor="text1"/>
                                <w:kern w:val="0"/>
                                <w:sz w:val="20"/>
                                <w:szCs w:val="20"/>
                                <w:lang w:val="en-US" w:eastAsia="fr-CM"/>
                                <w14:ligatures w14:val="none"/>
                              </w:rPr>
                              <w:t>values of 75.71 ± 1.04 and 66.23 ± 3.76%, and high porosity values of 0.33 ± 0.01 and 0.49 ± 0.01%, respectively. These functional properties of the powders were associated with their antioxidant activity and essential nutrient content. Three distinct powder groups emerged: fruit powders of CO and leaf powders of AE; leaf powders of CO; and fruit powders of AE. These powders exhibited low, moderate, and high antioxidant activity (DPPH, ABTS, FRAP), respectively. The powders in the first group, rich in energy and crude fiber but low in polyphenols, were associated with high OAC values. Those in the second group, rich in essential nutrients and polyphenols, were associated with high WAC and WSI values, while the powders in the third group, rich in minerals and flavonoids, were associated with high WAC, WSI, and porosity values.</w:t>
                            </w:r>
                          </w:p>
                          <w:p w14:paraId="06EDBF2E" w14:textId="031CC6FD" w:rsidR="00BD5AB5" w:rsidRPr="008B0466" w:rsidRDefault="00BD5AB5"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Conclusion:</w:t>
                            </w:r>
                            <w:r w:rsidRPr="005639A0">
                              <w:rPr>
                                <w:rFonts w:ascii="Arial" w:eastAsia="Times New Roman" w:hAnsi="Arial" w:cs="Arial"/>
                                <w:color w:val="000000" w:themeColor="text1"/>
                                <w:kern w:val="0"/>
                                <w:sz w:val="20"/>
                                <w:szCs w:val="20"/>
                                <w:lang w:val="en-US" w:eastAsia="fr-CM"/>
                                <w14:ligatures w14:val="none"/>
                              </w:rPr>
                              <w:t xml:space="preserve"> The fruit powder of AE, followed by the leaf powder of CO, with significant antioxidant activity, appears to be the most suitable for use as dietary supplement powders in the management of chronic diseases.</w:t>
                            </w:r>
                          </w:p>
                          <w:p w14:paraId="436354F0" w14:textId="33E46579" w:rsidR="00BD5AB5" w:rsidRPr="00A838CC" w:rsidRDefault="00BD5AB5" w:rsidP="00B17EC4">
                            <w:pPr>
                              <w:pStyle w:val="NormalWeb"/>
                              <w:rPr>
                                <w:rFonts w:ascii="Arial" w:hAnsi="Arial" w:cs="Arial"/>
                                <w:color w:val="000000" w:themeColor="text1"/>
                                <w:sz w:val="20"/>
                                <w:szCs w:val="20"/>
                                <w:lang w:val="en-US"/>
                              </w:rPr>
                            </w:pPr>
                          </w:p>
                          <w:p w14:paraId="5C15A1A1" w14:textId="793ED126" w:rsidR="00BD5AB5" w:rsidRPr="00A838CC" w:rsidRDefault="00BD5AB5" w:rsidP="00B17EC4">
                            <w:pPr>
                              <w:pStyle w:val="NormalWeb"/>
                              <w:rPr>
                                <w:rFonts w:ascii="Arial" w:hAnsi="Arial" w:cs="Arial"/>
                                <w:color w:val="000000" w:themeColor="text1"/>
                                <w:sz w:val="20"/>
                                <w:szCs w:val="20"/>
                                <w:lang w:val="en-US"/>
                              </w:rPr>
                            </w:pPr>
                          </w:p>
                          <w:p w14:paraId="79EAA898" w14:textId="425F5D7D" w:rsidR="00BD5AB5" w:rsidRPr="00A838CC" w:rsidRDefault="00BD5AB5" w:rsidP="00B17EC4">
                            <w:pPr>
                              <w:pStyle w:val="NormalWeb"/>
                              <w:rPr>
                                <w:rFonts w:ascii="Arial" w:hAnsi="Arial" w:cs="Arial"/>
                                <w:color w:val="000000" w:themeColor="text1"/>
                                <w:sz w:val="20"/>
                                <w:szCs w:val="20"/>
                                <w:lang w:val="en-US"/>
                              </w:rPr>
                            </w:pPr>
                          </w:p>
                          <w:p w14:paraId="5F924FC9" w14:textId="1A4D5EC3" w:rsidR="00BD5AB5" w:rsidRPr="00A838CC" w:rsidRDefault="00BD5AB5" w:rsidP="00B17EC4">
                            <w:pPr>
                              <w:pStyle w:val="NormalWeb"/>
                              <w:rPr>
                                <w:rFonts w:ascii="Arial" w:hAnsi="Arial" w:cs="Arial"/>
                                <w:color w:val="000000" w:themeColor="text1"/>
                                <w:sz w:val="20"/>
                                <w:szCs w:val="20"/>
                                <w:lang w:val="en-US"/>
                              </w:rPr>
                            </w:pPr>
                          </w:p>
                          <w:p w14:paraId="25392A5F" w14:textId="126193BD" w:rsidR="00BD5AB5" w:rsidRPr="00A838CC" w:rsidRDefault="00BD5AB5" w:rsidP="00B17EC4">
                            <w:pPr>
                              <w:pStyle w:val="NormalWeb"/>
                              <w:rPr>
                                <w:rFonts w:ascii="Arial" w:hAnsi="Arial" w:cs="Arial"/>
                                <w:color w:val="000000" w:themeColor="text1"/>
                                <w:sz w:val="20"/>
                                <w:szCs w:val="20"/>
                                <w:lang w:val="en-US"/>
                              </w:rPr>
                            </w:pPr>
                          </w:p>
                          <w:p w14:paraId="446D815E" w14:textId="2A40CA5F" w:rsidR="00BD5AB5" w:rsidRPr="00A838CC" w:rsidRDefault="00BD5AB5" w:rsidP="00B17EC4">
                            <w:pPr>
                              <w:pStyle w:val="NormalWeb"/>
                              <w:rPr>
                                <w:rFonts w:ascii="Arial" w:hAnsi="Arial" w:cs="Arial"/>
                                <w:color w:val="000000" w:themeColor="text1"/>
                                <w:sz w:val="20"/>
                                <w:szCs w:val="20"/>
                                <w:lang w:val="en-US"/>
                              </w:rPr>
                            </w:pPr>
                          </w:p>
                          <w:p w14:paraId="12A05D3B" w14:textId="12B23120" w:rsidR="00BD5AB5" w:rsidRPr="00A838CC" w:rsidRDefault="00BD5AB5" w:rsidP="00B17EC4">
                            <w:pPr>
                              <w:pStyle w:val="NormalWeb"/>
                              <w:rPr>
                                <w:rFonts w:ascii="Arial" w:hAnsi="Arial" w:cs="Arial"/>
                                <w:color w:val="000000" w:themeColor="text1"/>
                                <w:sz w:val="20"/>
                                <w:szCs w:val="20"/>
                                <w:lang w:val="en-US"/>
                              </w:rPr>
                            </w:pPr>
                          </w:p>
                          <w:p w14:paraId="59134CA0" w14:textId="2B9DD7DE" w:rsidR="00BD5AB5" w:rsidRPr="00A838CC" w:rsidRDefault="00BD5AB5" w:rsidP="00B17EC4">
                            <w:pPr>
                              <w:pStyle w:val="NormalWeb"/>
                              <w:rPr>
                                <w:rFonts w:ascii="Arial" w:hAnsi="Arial" w:cs="Arial"/>
                                <w:color w:val="000000" w:themeColor="text1"/>
                                <w:sz w:val="20"/>
                                <w:szCs w:val="20"/>
                                <w:lang w:val="en-US"/>
                              </w:rPr>
                            </w:pPr>
                          </w:p>
                          <w:p w14:paraId="616F2C00" w14:textId="77777777" w:rsidR="00BD5AB5" w:rsidRPr="00A838CC" w:rsidRDefault="00BD5AB5" w:rsidP="00B17EC4">
                            <w:pPr>
                              <w:pStyle w:val="NormalWeb"/>
                              <w:rPr>
                                <w:rFonts w:ascii="Arial" w:hAnsi="Arial" w:cs="Arial"/>
                                <w:color w:val="000000" w:themeColor="text1"/>
                                <w:sz w:val="20"/>
                                <w:szCs w:val="20"/>
                                <w:lang w:val="en-US"/>
                              </w:rPr>
                            </w:pPr>
                          </w:p>
                          <w:p w14:paraId="2A4E6C93" w14:textId="1A4D209F" w:rsidR="00BD5AB5" w:rsidRPr="00A838CC" w:rsidRDefault="00BD5AB5" w:rsidP="00B17EC4">
                            <w:pPr>
                              <w:spacing w:line="240" w:lineRule="auto"/>
                              <w:jc w:val="center"/>
                              <w:rPr>
                                <w:rFonts w:ascii="Arial" w:hAnsi="Arial" w:cs="Arial"/>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F70C3" id="Rectangle 2" o:spid="_x0000_s1026" style="position:absolute;margin-left:400.85pt;margin-top:8.35pt;width:452.05pt;height:35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aYjgIAAHgFAAAOAAAAZHJzL2Uyb0RvYy54bWysVE1v2zAMvQ/YfxB0X+0YztoGdYqgRYcB&#10;RVe0HXpWZCkWIIuapMTOfv0o2XGyrthhWA4KaZKPH3rU1XXfarITziswFZ2d5ZQIw6FWZlPR7y93&#10;ny4o8YGZmmkwoqJ74en18uOHq84uRAEN6Fo4giDGLzpb0SYEu8gyzxvRMn8GVhg0SnAtC6i6TVY7&#10;1iF6q7Mizz9nHbjaOuDCe/x6OxjpMuFLKXj4JqUXgeiKYm0hnS6d63hmyyu22DhmG8XHMtg/VNEy&#10;ZTDpBHXLAiNbp/6AahV34EGGMw5tBlIqLlIP2M0sf9PNc8OsSL3gcLydxuT/Hyx/2D06ouqKFpQY&#10;1uIVPeHQmNloQYo4ns76BXo920c3ah7F2GsvXRv/sQvSp5Hup5GKPhCOH+fnZX5RzijhaCvnRVlc&#10;JtTsGG6dD18EtCQKFXWYPo2S7e59wJToenCJ2TxoVd8prZMSeSJutCM7hje83hzAT7yy2MFQc5LC&#10;XosYq82TkNg6VlmkhIl0RzDGuTBhNpgaVoshxzzHXxwM1jVFJC0BRmSJ1U3YI8DvhR6wB5jRP4aK&#10;xNkpOP9bYUPwFJEygwlTcKsMuPcANHY1Zh78sfyT0UQx9OseXaK4hnqPHHEwLI+3/E7hTd0zHx6Z&#10;w23BvcIXIHzDQ2roKgqjREkD7ud736M/khitlHS4fRX1P7bMCUr0V4P0vpyVZVzXpJTz8wIVd2pZ&#10;n1rMtr0BvH6kGVaXxOgf9EGUDtpXfChWMSuamOGYu6I8uINyE4ZXAZ8aLlar5IYralm4N8+WR/A4&#10;4MjEl/6VOTvSNSDTH+CwqWzxhrWDb4w0sNoGkCpR+jjXcfS43olD41MU349TPXkdH8zlLwAAAP//&#10;AwBQSwMEFAAGAAgAAAAhADo/LobfAAAABwEAAA8AAABkcnMvZG93bnJldi54bWxMj8FOwzAQRO9I&#10;/IO1lbhRp6Fq0xCnqqhASOEApR/g2tskaryOYrcNfD3LCY47M5p5W6xH14kLDqH1pGA2TUAgGW9b&#10;qhXsP5/vMxAharK684QKvjDAury9KXRu/ZU+8LKLteASCrlW0MTY51IG06DTYep7JPaOfnA68jnU&#10;0g76yuWuk2mSLKTTLfFCo3t8atCcdmen4CV7MK/Vfjilb1X2bjfzram+t0rdTcbNI4iIY/wLwy8+&#10;o0PJTAd/JhtEp4AfiawuliDYXSXzGYiDgmW6SkGWhfzPX/4AAAD//wMAUEsBAi0AFAAGAAgAAAAh&#10;ALaDOJL+AAAA4QEAABMAAAAAAAAAAAAAAAAAAAAAAFtDb250ZW50X1R5cGVzXS54bWxQSwECLQAU&#10;AAYACAAAACEAOP0h/9YAAACUAQAACwAAAAAAAAAAAAAAAAAvAQAAX3JlbHMvLnJlbHNQSwECLQAU&#10;AAYACAAAACEA+dfGmI4CAAB4BQAADgAAAAAAAAAAAAAAAAAuAgAAZHJzL2Uyb0RvYy54bWxQSwEC&#10;LQAUAAYACAAAACEAOj8uht8AAAAHAQAADwAAAAAAAAAAAAAAAADoBAAAZHJzL2Rvd25yZXYueG1s&#10;UEsFBgAAAAAEAAQA8wAAAPQFAAAAAA==&#10;" fillcolor="#e7e6e6 [3214]" strokecolor="#1f3763 [1604]" strokeweight="1pt">
                <v:textbox>
                  <w:txbxContent>
                    <w:p w14:paraId="36925E46" w14:textId="77777777" w:rsidR="00BD5AB5" w:rsidRPr="005639A0" w:rsidRDefault="00BD5AB5"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Aims:</w:t>
                      </w:r>
                      <w:r w:rsidRPr="005639A0">
                        <w:rPr>
                          <w:rFonts w:ascii="Arial" w:eastAsia="Times New Roman" w:hAnsi="Arial" w:cs="Arial"/>
                          <w:color w:val="000000" w:themeColor="text1"/>
                          <w:kern w:val="0"/>
                          <w:sz w:val="20"/>
                          <w:szCs w:val="20"/>
                          <w:lang w:val="en-US" w:eastAsia="fr-CM"/>
                          <w14:ligatures w14:val="none"/>
                        </w:rPr>
                        <w:t xml:space="preserve"> To determine the functional properties of </w:t>
                      </w:r>
                      <w:r w:rsidRPr="005639A0">
                        <w:rPr>
                          <w:rFonts w:ascii="Arial" w:eastAsia="Times New Roman" w:hAnsi="Arial" w:cs="Arial"/>
                          <w:i/>
                          <w:iCs/>
                          <w:color w:val="000000" w:themeColor="text1"/>
                          <w:kern w:val="0"/>
                          <w:sz w:val="20"/>
                          <w:szCs w:val="20"/>
                          <w:lang w:val="en-US" w:eastAsia="fr-CM"/>
                          <w14:ligatures w14:val="none"/>
                        </w:rPr>
                        <w:t>Abelmoschus esculentus</w:t>
                      </w:r>
                      <w:r w:rsidRPr="005639A0">
                        <w:rPr>
                          <w:rFonts w:ascii="Arial" w:eastAsia="Times New Roman" w:hAnsi="Arial" w:cs="Arial"/>
                          <w:color w:val="000000" w:themeColor="text1"/>
                          <w:kern w:val="0"/>
                          <w:sz w:val="20"/>
                          <w:szCs w:val="20"/>
                          <w:lang w:val="en-US" w:eastAsia="fr-CM"/>
                          <w14:ligatures w14:val="none"/>
                        </w:rPr>
                        <w:t xml:space="preserve"> (AE) and </w:t>
                      </w:r>
                      <w:r w:rsidRPr="005639A0">
                        <w:rPr>
                          <w:rFonts w:ascii="Arial" w:eastAsia="Times New Roman" w:hAnsi="Arial" w:cs="Arial"/>
                          <w:i/>
                          <w:iCs/>
                          <w:color w:val="000000" w:themeColor="text1"/>
                          <w:kern w:val="0"/>
                          <w:sz w:val="20"/>
                          <w:szCs w:val="20"/>
                          <w:lang w:val="en-US" w:eastAsia="fr-CM"/>
                          <w14:ligatures w14:val="none"/>
                        </w:rPr>
                        <w:t>Corchorus olitorius</w:t>
                      </w:r>
                      <w:r w:rsidRPr="005639A0">
                        <w:rPr>
                          <w:rFonts w:ascii="Arial" w:eastAsia="Times New Roman" w:hAnsi="Arial" w:cs="Arial"/>
                          <w:color w:val="000000" w:themeColor="text1"/>
                          <w:kern w:val="0"/>
                          <w:sz w:val="20"/>
                          <w:szCs w:val="20"/>
                          <w:lang w:val="en-US" w:eastAsia="fr-CM"/>
                          <w14:ligatures w14:val="none"/>
                        </w:rPr>
                        <w:t xml:space="preserve"> (CO) leaf and fruit powders and their relationship with antioxidant activity and essential nutrients.</w:t>
                      </w:r>
                    </w:p>
                    <w:p w14:paraId="283764FE" w14:textId="4AA71B43" w:rsidR="00BD5AB5" w:rsidRPr="005639A0" w:rsidRDefault="00BD5AB5"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Methodology</w:t>
                      </w:r>
                      <w:r w:rsidRPr="005639A0">
                        <w:rPr>
                          <w:rFonts w:ascii="Arial" w:eastAsia="Times New Roman" w:hAnsi="Arial" w:cs="Arial"/>
                          <w:color w:val="000000" w:themeColor="text1"/>
                          <w:kern w:val="0"/>
                          <w:sz w:val="20"/>
                          <w:szCs w:val="20"/>
                          <w:lang w:val="en-US" w:eastAsia="fr-CM"/>
                          <w14:ligatures w14:val="none"/>
                        </w:rPr>
                        <w:t>: Fresh leaves and fruits of these plants</w:t>
                      </w:r>
                      <w:r w:rsidRPr="00A838CC">
                        <w:rPr>
                          <w:rFonts w:ascii="Arial" w:eastAsia="Times New Roman" w:hAnsi="Arial" w:cs="Arial"/>
                          <w:color w:val="000000" w:themeColor="text1"/>
                          <w:kern w:val="0"/>
                          <w:sz w:val="20"/>
                          <w:szCs w:val="20"/>
                          <w:lang w:val="en-US" w:eastAsia="fr-CM"/>
                          <w14:ligatures w14:val="none"/>
                        </w:rPr>
                        <w:t xml:space="preserve"> </w:t>
                      </w:r>
                      <w:r w:rsidRPr="005639A0">
                        <w:rPr>
                          <w:rFonts w:ascii="Arial" w:eastAsia="Times New Roman" w:hAnsi="Arial" w:cs="Arial"/>
                          <w:color w:val="000000" w:themeColor="text1"/>
                          <w:kern w:val="0"/>
                          <w:sz w:val="20"/>
                          <w:szCs w:val="20"/>
                          <w:lang w:val="en-US" w:eastAsia="fr-CM"/>
                          <w14:ligatures w14:val="none"/>
                        </w:rPr>
                        <w:t>were harvested and processed into powders. Functional properties such as oil absorption capacity (OAC), water absorption capacity (WAC), solubility index (WSI), and porosity were evaluated. Data on nutritional composition and antioxidant activities were obtained from previous studies.</w:t>
                      </w:r>
                    </w:p>
                    <w:p w14:paraId="702A3BA3" w14:textId="122A09EE" w:rsidR="00BD5AB5" w:rsidRPr="005639A0" w:rsidRDefault="00BD5AB5"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Results:</w:t>
                      </w:r>
                      <w:r w:rsidRPr="005639A0">
                        <w:rPr>
                          <w:rFonts w:ascii="Arial" w:eastAsia="Times New Roman" w:hAnsi="Arial" w:cs="Arial"/>
                          <w:color w:val="000000" w:themeColor="text1"/>
                          <w:kern w:val="0"/>
                          <w:sz w:val="20"/>
                          <w:szCs w:val="20"/>
                          <w:lang w:val="en-US" w:eastAsia="fr-CM"/>
                          <w14:ligatures w14:val="none"/>
                        </w:rPr>
                        <w:t xml:space="preserve"> It was found that the fruit powders of CO and the leaf powders of AE exhibited the highest mean OAC values of 413.42 ± 2.47 and 342.60 ± 3.04%, respectively. The fruit powders of CO and AE presented high true WAC values of 84.38 ± 0.25 and 81.87 ± 0.31%, high</w:t>
                      </w:r>
                      <w:r>
                        <w:rPr>
                          <w:rFonts w:ascii="Arial" w:eastAsia="Times New Roman" w:hAnsi="Arial" w:cs="Arial"/>
                          <w:color w:val="000000" w:themeColor="text1"/>
                          <w:kern w:val="0"/>
                          <w:sz w:val="20"/>
                          <w:szCs w:val="20"/>
                          <w:lang w:val="en-US" w:eastAsia="fr-CM"/>
                          <w14:ligatures w14:val="none"/>
                        </w:rPr>
                        <w:t xml:space="preserve"> water </w:t>
                      </w:r>
                      <w:r w:rsidRPr="005639A0">
                        <w:rPr>
                          <w:rFonts w:ascii="Arial" w:eastAsia="Times New Roman" w:hAnsi="Arial" w:cs="Arial"/>
                          <w:color w:val="000000" w:themeColor="text1"/>
                          <w:kern w:val="0"/>
                          <w:sz w:val="20"/>
                          <w:szCs w:val="20"/>
                          <w:lang w:val="en-US" w:eastAsia="fr-CM"/>
                          <w14:ligatures w14:val="none"/>
                        </w:rPr>
                        <w:t xml:space="preserve">solubility index </w:t>
                      </w:r>
                      <w:r>
                        <w:rPr>
                          <w:rFonts w:ascii="Arial" w:eastAsia="Times New Roman" w:hAnsi="Arial" w:cs="Arial"/>
                          <w:color w:val="000000" w:themeColor="text1"/>
                          <w:kern w:val="0"/>
                          <w:sz w:val="20"/>
                          <w:szCs w:val="20"/>
                          <w:lang w:val="en-US" w:eastAsia="fr-CM"/>
                          <w14:ligatures w14:val="none"/>
                        </w:rPr>
                        <w:t xml:space="preserve">(WSI) </w:t>
                      </w:r>
                      <w:r w:rsidRPr="005639A0">
                        <w:rPr>
                          <w:rFonts w:ascii="Arial" w:eastAsia="Times New Roman" w:hAnsi="Arial" w:cs="Arial"/>
                          <w:color w:val="000000" w:themeColor="text1"/>
                          <w:kern w:val="0"/>
                          <w:sz w:val="20"/>
                          <w:szCs w:val="20"/>
                          <w:lang w:val="en-US" w:eastAsia="fr-CM"/>
                          <w14:ligatures w14:val="none"/>
                        </w:rPr>
                        <w:t>values of 75.71 ± 1.04 and 66.23 ± 3.76%, and high porosity values of 0.33 ± 0.01 and 0.49 ± 0.01%, respectively. These functional properties of the powders were associated with their antioxidant activity and essential nutrient content. Three distinct powder groups emerged: fruit powders of CO and leaf powders of AE; leaf powders of CO; and fruit powders of AE. These powders exhibited low, moderate, and high antioxidant activity (DPPH, ABTS, FRAP), respectively. The powders in the first group, rich in energy and crude fiber but low in polyphenols, were associated with high OAC values. Those in the second group, rich in essential nutrients and polyphenols, were associated with high WAC and WSI values, while the powders in the third group, rich in minerals and flavonoids, were associated with high WAC, WSI, and porosity values.</w:t>
                      </w:r>
                    </w:p>
                    <w:p w14:paraId="06EDBF2E" w14:textId="031CC6FD" w:rsidR="00BD5AB5" w:rsidRPr="008B0466" w:rsidRDefault="00BD5AB5" w:rsidP="008B0466">
                      <w:pPr>
                        <w:spacing w:before="100" w:beforeAutospacing="1" w:after="100" w:afterAutospacing="1" w:line="276" w:lineRule="auto"/>
                        <w:jc w:val="both"/>
                        <w:rPr>
                          <w:rFonts w:ascii="Arial" w:eastAsia="Times New Roman" w:hAnsi="Arial" w:cs="Arial"/>
                          <w:color w:val="000000" w:themeColor="text1"/>
                          <w:kern w:val="0"/>
                          <w:sz w:val="20"/>
                          <w:szCs w:val="20"/>
                          <w:lang w:val="en-US" w:eastAsia="fr-CM"/>
                          <w14:ligatures w14:val="none"/>
                        </w:rPr>
                      </w:pPr>
                      <w:r w:rsidRPr="005639A0">
                        <w:rPr>
                          <w:rFonts w:ascii="Arial" w:eastAsia="Times New Roman" w:hAnsi="Arial" w:cs="Arial"/>
                          <w:b/>
                          <w:bCs/>
                          <w:color w:val="000000" w:themeColor="text1"/>
                          <w:kern w:val="0"/>
                          <w:sz w:val="20"/>
                          <w:szCs w:val="20"/>
                          <w:lang w:val="en-US" w:eastAsia="fr-CM"/>
                          <w14:ligatures w14:val="none"/>
                        </w:rPr>
                        <w:t>Conclusion:</w:t>
                      </w:r>
                      <w:r w:rsidRPr="005639A0">
                        <w:rPr>
                          <w:rFonts w:ascii="Arial" w:eastAsia="Times New Roman" w:hAnsi="Arial" w:cs="Arial"/>
                          <w:color w:val="000000" w:themeColor="text1"/>
                          <w:kern w:val="0"/>
                          <w:sz w:val="20"/>
                          <w:szCs w:val="20"/>
                          <w:lang w:val="en-US" w:eastAsia="fr-CM"/>
                          <w14:ligatures w14:val="none"/>
                        </w:rPr>
                        <w:t xml:space="preserve"> The fruit powder of AE, followed by the leaf powder of CO, with significant antioxidant activity, appears to be the most suitable for use as dietary supplement powders in the management of chronic diseases.</w:t>
                      </w:r>
                    </w:p>
                    <w:p w14:paraId="436354F0" w14:textId="33E46579" w:rsidR="00BD5AB5" w:rsidRPr="00A838CC" w:rsidRDefault="00BD5AB5" w:rsidP="00B17EC4">
                      <w:pPr>
                        <w:pStyle w:val="NormalWeb"/>
                        <w:rPr>
                          <w:rFonts w:ascii="Arial" w:hAnsi="Arial" w:cs="Arial"/>
                          <w:color w:val="000000" w:themeColor="text1"/>
                          <w:sz w:val="20"/>
                          <w:szCs w:val="20"/>
                          <w:lang w:val="en-US"/>
                        </w:rPr>
                      </w:pPr>
                    </w:p>
                    <w:p w14:paraId="5C15A1A1" w14:textId="793ED126" w:rsidR="00BD5AB5" w:rsidRPr="00A838CC" w:rsidRDefault="00BD5AB5" w:rsidP="00B17EC4">
                      <w:pPr>
                        <w:pStyle w:val="NormalWeb"/>
                        <w:rPr>
                          <w:rFonts w:ascii="Arial" w:hAnsi="Arial" w:cs="Arial"/>
                          <w:color w:val="000000" w:themeColor="text1"/>
                          <w:sz w:val="20"/>
                          <w:szCs w:val="20"/>
                          <w:lang w:val="en-US"/>
                        </w:rPr>
                      </w:pPr>
                    </w:p>
                    <w:p w14:paraId="79EAA898" w14:textId="425F5D7D" w:rsidR="00BD5AB5" w:rsidRPr="00A838CC" w:rsidRDefault="00BD5AB5" w:rsidP="00B17EC4">
                      <w:pPr>
                        <w:pStyle w:val="NormalWeb"/>
                        <w:rPr>
                          <w:rFonts w:ascii="Arial" w:hAnsi="Arial" w:cs="Arial"/>
                          <w:color w:val="000000" w:themeColor="text1"/>
                          <w:sz w:val="20"/>
                          <w:szCs w:val="20"/>
                          <w:lang w:val="en-US"/>
                        </w:rPr>
                      </w:pPr>
                    </w:p>
                    <w:p w14:paraId="5F924FC9" w14:textId="1A4D5EC3" w:rsidR="00BD5AB5" w:rsidRPr="00A838CC" w:rsidRDefault="00BD5AB5" w:rsidP="00B17EC4">
                      <w:pPr>
                        <w:pStyle w:val="NormalWeb"/>
                        <w:rPr>
                          <w:rFonts w:ascii="Arial" w:hAnsi="Arial" w:cs="Arial"/>
                          <w:color w:val="000000" w:themeColor="text1"/>
                          <w:sz w:val="20"/>
                          <w:szCs w:val="20"/>
                          <w:lang w:val="en-US"/>
                        </w:rPr>
                      </w:pPr>
                    </w:p>
                    <w:p w14:paraId="25392A5F" w14:textId="126193BD" w:rsidR="00BD5AB5" w:rsidRPr="00A838CC" w:rsidRDefault="00BD5AB5" w:rsidP="00B17EC4">
                      <w:pPr>
                        <w:pStyle w:val="NormalWeb"/>
                        <w:rPr>
                          <w:rFonts w:ascii="Arial" w:hAnsi="Arial" w:cs="Arial"/>
                          <w:color w:val="000000" w:themeColor="text1"/>
                          <w:sz w:val="20"/>
                          <w:szCs w:val="20"/>
                          <w:lang w:val="en-US"/>
                        </w:rPr>
                      </w:pPr>
                    </w:p>
                    <w:p w14:paraId="446D815E" w14:textId="2A40CA5F" w:rsidR="00BD5AB5" w:rsidRPr="00A838CC" w:rsidRDefault="00BD5AB5" w:rsidP="00B17EC4">
                      <w:pPr>
                        <w:pStyle w:val="NormalWeb"/>
                        <w:rPr>
                          <w:rFonts w:ascii="Arial" w:hAnsi="Arial" w:cs="Arial"/>
                          <w:color w:val="000000" w:themeColor="text1"/>
                          <w:sz w:val="20"/>
                          <w:szCs w:val="20"/>
                          <w:lang w:val="en-US"/>
                        </w:rPr>
                      </w:pPr>
                    </w:p>
                    <w:p w14:paraId="12A05D3B" w14:textId="12B23120" w:rsidR="00BD5AB5" w:rsidRPr="00A838CC" w:rsidRDefault="00BD5AB5" w:rsidP="00B17EC4">
                      <w:pPr>
                        <w:pStyle w:val="NormalWeb"/>
                        <w:rPr>
                          <w:rFonts w:ascii="Arial" w:hAnsi="Arial" w:cs="Arial"/>
                          <w:color w:val="000000" w:themeColor="text1"/>
                          <w:sz w:val="20"/>
                          <w:szCs w:val="20"/>
                          <w:lang w:val="en-US"/>
                        </w:rPr>
                      </w:pPr>
                    </w:p>
                    <w:p w14:paraId="59134CA0" w14:textId="2B9DD7DE" w:rsidR="00BD5AB5" w:rsidRPr="00A838CC" w:rsidRDefault="00BD5AB5" w:rsidP="00B17EC4">
                      <w:pPr>
                        <w:pStyle w:val="NormalWeb"/>
                        <w:rPr>
                          <w:rFonts w:ascii="Arial" w:hAnsi="Arial" w:cs="Arial"/>
                          <w:color w:val="000000" w:themeColor="text1"/>
                          <w:sz w:val="20"/>
                          <w:szCs w:val="20"/>
                          <w:lang w:val="en-US"/>
                        </w:rPr>
                      </w:pPr>
                    </w:p>
                    <w:p w14:paraId="616F2C00" w14:textId="77777777" w:rsidR="00BD5AB5" w:rsidRPr="00A838CC" w:rsidRDefault="00BD5AB5" w:rsidP="00B17EC4">
                      <w:pPr>
                        <w:pStyle w:val="NormalWeb"/>
                        <w:rPr>
                          <w:rFonts w:ascii="Arial" w:hAnsi="Arial" w:cs="Arial"/>
                          <w:color w:val="000000" w:themeColor="text1"/>
                          <w:sz w:val="20"/>
                          <w:szCs w:val="20"/>
                          <w:lang w:val="en-US"/>
                        </w:rPr>
                      </w:pPr>
                    </w:p>
                    <w:p w14:paraId="2A4E6C93" w14:textId="1A4D209F" w:rsidR="00BD5AB5" w:rsidRPr="00A838CC" w:rsidRDefault="00BD5AB5" w:rsidP="00B17EC4">
                      <w:pPr>
                        <w:spacing w:line="240" w:lineRule="auto"/>
                        <w:jc w:val="center"/>
                        <w:rPr>
                          <w:rFonts w:ascii="Arial" w:hAnsi="Arial" w:cs="Arial"/>
                          <w:color w:val="000000" w:themeColor="text1"/>
                          <w:sz w:val="20"/>
                          <w:szCs w:val="20"/>
                          <w:lang w:val="en-US"/>
                        </w:rPr>
                      </w:pPr>
                    </w:p>
                  </w:txbxContent>
                </v:textbox>
                <w10:wrap anchorx="margin"/>
              </v:rect>
            </w:pict>
          </mc:Fallback>
        </mc:AlternateContent>
      </w:r>
    </w:p>
    <w:p w14:paraId="5A5B28A8" w14:textId="77777777" w:rsidR="007136C0" w:rsidRPr="007136C0" w:rsidRDefault="007136C0" w:rsidP="007136C0">
      <w:pPr>
        <w:rPr>
          <w:rFonts w:ascii="Arial" w:hAnsi="Arial" w:cs="Arial"/>
          <w:lang w:val="en-US"/>
        </w:rPr>
      </w:pPr>
    </w:p>
    <w:p w14:paraId="20EB4B9D" w14:textId="4E58D586" w:rsidR="007136C0" w:rsidRDefault="007136C0" w:rsidP="007136C0">
      <w:pPr>
        <w:tabs>
          <w:tab w:val="left" w:pos="6882"/>
        </w:tabs>
        <w:rPr>
          <w:rFonts w:ascii="Arial" w:hAnsi="Arial" w:cs="Arial"/>
          <w:color w:val="000000" w:themeColor="text1"/>
          <w:lang w:val="en-US"/>
        </w:rPr>
      </w:pPr>
    </w:p>
    <w:p w14:paraId="46DF0E5F" w14:textId="124D59ED" w:rsidR="00675ED0" w:rsidRDefault="00675ED0" w:rsidP="007136C0">
      <w:pPr>
        <w:tabs>
          <w:tab w:val="left" w:pos="6882"/>
        </w:tabs>
        <w:rPr>
          <w:rFonts w:ascii="Arial" w:hAnsi="Arial" w:cs="Arial"/>
          <w:lang w:val="en-US"/>
        </w:rPr>
      </w:pPr>
    </w:p>
    <w:p w14:paraId="2FD4FA4A" w14:textId="77777777" w:rsidR="00675ED0" w:rsidRPr="00675ED0" w:rsidRDefault="00675ED0" w:rsidP="00675ED0">
      <w:pPr>
        <w:rPr>
          <w:rFonts w:ascii="Arial" w:hAnsi="Arial" w:cs="Arial"/>
          <w:lang w:val="en-US"/>
        </w:rPr>
      </w:pPr>
    </w:p>
    <w:p w14:paraId="51AF6018" w14:textId="77777777" w:rsidR="00675ED0" w:rsidRPr="00675ED0" w:rsidRDefault="00675ED0" w:rsidP="00675ED0">
      <w:pPr>
        <w:rPr>
          <w:rFonts w:ascii="Arial" w:hAnsi="Arial" w:cs="Arial"/>
          <w:lang w:val="en-US"/>
        </w:rPr>
      </w:pPr>
    </w:p>
    <w:p w14:paraId="1DAE28B8" w14:textId="77777777" w:rsidR="00675ED0" w:rsidRPr="00675ED0" w:rsidRDefault="00675ED0" w:rsidP="00675ED0">
      <w:pPr>
        <w:rPr>
          <w:rFonts w:ascii="Arial" w:hAnsi="Arial" w:cs="Arial"/>
          <w:lang w:val="en-US"/>
        </w:rPr>
      </w:pPr>
    </w:p>
    <w:p w14:paraId="2DBFC1D0" w14:textId="77777777" w:rsidR="00675ED0" w:rsidRPr="00675ED0" w:rsidRDefault="00675ED0" w:rsidP="00675ED0">
      <w:pPr>
        <w:rPr>
          <w:rFonts w:ascii="Arial" w:hAnsi="Arial" w:cs="Arial"/>
          <w:lang w:val="en-US"/>
        </w:rPr>
      </w:pPr>
    </w:p>
    <w:p w14:paraId="7ED53BBC" w14:textId="77777777" w:rsidR="00675ED0" w:rsidRPr="00675ED0" w:rsidRDefault="00675ED0" w:rsidP="00675ED0">
      <w:pPr>
        <w:rPr>
          <w:rFonts w:ascii="Arial" w:hAnsi="Arial" w:cs="Arial"/>
          <w:lang w:val="en-US"/>
        </w:rPr>
      </w:pPr>
    </w:p>
    <w:p w14:paraId="19DCCE9A" w14:textId="77777777" w:rsidR="00675ED0" w:rsidRPr="00675ED0" w:rsidRDefault="00675ED0" w:rsidP="00675ED0">
      <w:pPr>
        <w:rPr>
          <w:rFonts w:ascii="Arial" w:hAnsi="Arial" w:cs="Arial"/>
          <w:lang w:val="en-US"/>
        </w:rPr>
      </w:pPr>
    </w:p>
    <w:p w14:paraId="4BA123D4" w14:textId="77777777" w:rsidR="00675ED0" w:rsidRPr="00675ED0" w:rsidRDefault="00675ED0" w:rsidP="00675ED0">
      <w:pPr>
        <w:rPr>
          <w:rFonts w:ascii="Arial" w:hAnsi="Arial" w:cs="Arial"/>
          <w:lang w:val="en-US"/>
        </w:rPr>
      </w:pPr>
    </w:p>
    <w:p w14:paraId="0ED9683E" w14:textId="77777777" w:rsidR="00675ED0" w:rsidRPr="00675ED0" w:rsidRDefault="00675ED0" w:rsidP="00675ED0">
      <w:pPr>
        <w:rPr>
          <w:rFonts w:ascii="Arial" w:hAnsi="Arial" w:cs="Arial"/>
          <w:lang w:val="en-US"/>
        </w:rPr>
      </w:pPr>
    </w:p>
    <w:p w14:paraId="7A102A76" w14:textId="77777777" w:rsidR="00675ED0" w:rsidRPr="00675ED0" w:rsidRDefault="00675ED0" w:rsidP="00675ED0">
      <w:pPr>
        <w:rPr>
          <w:rFonts w:ascii="Arial" w:hAnsi="Arial" w:cs="Arial"/>
          <w:lang w:val="en-US"/>
        </w:rPr>
      </w:pPr>
    </w:p>
    <w:p w14:paraId="1B447AEE" w14:textId="77777777" w:rsidR="00675ED0" w:rsidRPr="00675ED0" w:rsidRDefault="00675ED0" w:rsidP="00675ED0">
      <w:pPr>
        <w:rPr>
          <w:rFonts w:ascii="Arial" w:hAnsi="Arial" w:cs="Arial"/>
          <w:lang w:val="en-US"/>
        </w:rPr>
      </w:pPr>
    </w:p>
    <w:p w14:paraId="2AC4898E" w14:textId="77777777" w:rsidR="00675ED0" w:rsidRPr="00675ED0" w:rsidRDefault="00675ED0" w:rsidP="00675ED0">
      <w:pPr>
        <w:rPr>
          <w:rFonts w:ascii="Arial" w:hAnsi="Arial" w:cs="Arial"/>
          <w:lang w:val="en-US"/>
        </w:rPr>
      </w:pPr>
    </w:p>
    <w:p w14:paraId="3C7F87C7" w14:textId="0500C42E" w:rsidR="00675ED0" w:rsidRDefault="00675ED0" w:rsidP="00675ED0">
      <w:pPr>
        <w:rPr>
          <w:rFonts w:ascii="Arial" w:hAnsi="Arial" w:cs="Arial"/>
          <w:lang w:val="en-US"/>
        </w:rPr>
      </w:pPr>
    </w:p>
    <w:p w14:paraId="10E6E780" w14:textId="77777777" w:rsidR="00675ED0" w:rsidRPr="008F24A9" w:rsidRDefault="00675ED0" w:rsidP="00675ED0">
      <w:pPr>
        <w:jc w:val="both"/>
        <w:rPr>
          <w:rFonts w:ascii="Arial" w:hAnsi="Arial" w:cs="Arial"/>
          <w:i/>
          <w:sz w:val="20"/>
          <w:lang w:val="en-US"/>
        </w:rPr>
      </w:pPr>
      <w:r w:rsidRPr="008F24A9">
        <w:rPr>
          <w:rFonts w:ascii="Arial" w:hAnsi="Arial" w:cs="Arial"/>
          <w:b/>
          <w:i/>
          <w:sz w:val="20"/>
          <w:lang w:val="en-US"/>
        </w:rPr>
        <w:t>Keywords:</w:t>
      </w:r>
      <w:r w:rsidRPr="008F24A9">
        <w:rPr>
          <w:rFonts w:ascii="Arial" w:hAnsi="Arial" w:cs="Arial"/>
          <w:i/>
          <w:sz w:val="20"/>
          <w:lang w:val="en-US"/>
        </w:rPr>
        <w:t xml:space="preserve"> Plant organ powders; functional properties; antioxidant activity; essential nutrients</w:t>
      </w:r>
    </w:p>
    <w:p w14:paraId="054BC44A" w14:textId="77777777" w:rsidR="00675ED0" w:rsidRPr="008F24A9" w:rsidRDefault="00675ED0" w:rsidP="00675ED0">
      <w:pPr>
        <w:rPr>
          <w:rFonts w:ascii="Arial" w:hAnsi="Arial" w:cs="Arial"/>
          <w:sz w:val="22"/>
          <w:lang w:val="en-US"/>
        </w:rPr>
      </w:pPr>
    </w:p>
    <w:p w14:paraId="0972C0CD" w14:textId="622D452C" w:rsidR="00675ED0" w:rsidRDefault="00675ED0" w:rsidP="00675ED0">
      <w:pPr>
        <w:tabs>
          <w:tab w:val="left" w:pos="2430"/>
        </w:tabs>
        <w:rPr>
          <w:rFonts w:ascii="Arial" w:hAnsi="Arial" w:cs="Arial"/>
          <w:lang w:val="en-US"/>
        </w:rPr>
      </w:pPr>
    </w:p>
    <w:p w14:paraId="1E8DE175" w14:textId="2F013A57" w:rsidR="007136C0" w:rsidRPr="00675ED0" w:rsidRDefault="00675ED0" w:rsidP="00675ED0">
      <w:pPr>
        <w:tabs>
          <w:tab w:val="left" w:pos="2430"/>
        </w:tabs>
        <w:rPr>
          <w:rFonts w:ascii="Arial" w:hAnsi="Arial" w:cs="Arial"/>
          <w:lang w:val="en-US"/>
        </w:rPr>
        <w:sectPr w:rsidR="007136C0" w:rsidRPr="00675ED0" w:rsidSect="004B1CFC">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417" w:right="1417" w:bottom="1417" w:left="1417" w:header="708" w:footer="708" w:gutter="0"/>
          <w:cols w:space="708"/>
          <w:docGrid w:linePitch="360"/>
        </w:sectPr>
      </w:pPr>
      <w:r>
        <w:rPr>
          <w:rFonts w:ascii="Arial" w:hAnsi="Arial" w:cs="Arial"/>
          <w:lang w:val="en-US"/>
        </w:rPr>
        <w:tab/>
      </w:r>
    </w:p>
    <w:p w14:paraId="78D20E2C" w14:textId="0762B982" w:rsidR="007136C0" w:rsidRPr="009900AB" w:rsidRDefault="007136C0" w:rsidP="009900AB">
      <w:pPr>
        <w:pStyle w:val="ListParagraph"/>
        <w:numPr>
          <w:ilvl w:val="0"/>
          <w:numId w:val="2"/>
        </w:numPr>
        <w:spacing w:line="259" w:lineRule="auto"/>
        <w:rPr>
          <w:rFonts w:ascii="Arial" w:hAnsi="Arial" w:cs="Arial"/>
          <w:b/>
          <w:color w:val="000000" w:themeColor="text1"/>
        </w:rPr>
      </w:pPr>
      <w:r w:rsidRPr="005250A4">
        <w:rPr>
          <w:rFonts w:ascii="Arial" w:hAnsi="Arial" w:cs="Arial"/>
          <w:b/>
          <w:color w:val="000000" w:themeColor="text1"/>
        </w:rPr>
        <w:lastRenderedPageBreak/>
        <w:t xml:space="preserve">INTRODUCTION </w:t>
      </w:r>
    </w:p>
    <w:p w14:paraId="7AE91E8A" w14:textId="5DAE84A1" w:rsidR="00E774C4" w:rsidRPr="00E774C4" w:rsidRDefault="00E774C4" w:rsidP="00E774C4">
      <w:pPr>
        <w:pStyle w:val="NormalWeb"/>
        <w:spacing w:line="360" w:lineRule="auto"/>
        <w:rPr>
          <w:rFonts w:ascii="Arial" w:hAnsi="Arial" w:cs="Arial"/>
          <w:sz w:val="20"/>
          <w:szCs w:val="20"/>
          <w:lang w:val="en-US"/>
        </w:rPr>
      </w:pPr>
      <w:r w:rsidRPr="00E774C4">
        <w:rPr>
          <w:rFonts w:ascii="Arial" w:hAnsi="Arial" w:cs="Arial"/>
          <w:sz w:val="20"/>
          <w:szCs w:val="20"/>
          <w:lang w:val="en-US"/>
        </w:rPr>
        <w:t xml:space="preserve">The consumption of </w:t>
      </w:r>
      <w:r w:rsidRPr="00E774C4">
        <w:rPr>
          <w:rStyle w:val="Strong"/>
          <w:rFonts w:ascii="Arial" w:eastAsiaTheme="majorEastAsia" w:hAnsi="Arial" w:cs="Arial"/>
          <w:b w:val="0"/>
          <w:bCs w:val="0"/>
          <w:sz w:val="20"/>
          <w:szCs w:val="20"/>
          <w:lang w:val="en-US"/>
        </w:rPr>
        <w:t>functional plant-based food powders</w:t>
      </w:r>
      <w:r w:rsidRPr="00E774C4">
        <w:rPr>
          <w:rFonts w:ascii="Arial" w:hAnsi="Arial" w:cs="Arial"/>
          <w:sz w:val="20"/>
          <w:szCs w:val="20"/>
          <w:lang w:val="en-US"/>
        </w:rPr>
        <w:t xml:space="preserve"> is particularly favored among populations that have preserved </w:t>
      </w:r>
      <w:r w:rsidRPr="00E774C4">
        <w:rPr>
          <w:rStyle w:val="Strong"/>
          <w:rFonts w:ascii="Arial" w:eastAsiaTheme="majorEastAsia" w:hAnsi="Arial" w:cs="Arial"/>
          <w:b w:val="0"/>
          <w:bCs w:val="0"/>
          <w:sz w:val="20"/>
          <w:szCs w:val="20"/>
          <w:lang w:val="en-US"/>
        </w:rPr>
        <w:t>traditional dietary habits</w:t>
      </w:r>
      <w:r w:rsidRPr="00E774C4">
        <w:rPr>
          <w:rFonts w:ascii="Arial" w:hAnsi="Arial" w:cs="Arial"/>
          <w:sz w:val="20"/>
          <w:szCs w:val="20"/>
          <w:lang w:val="en-US"/>
        </w:rPr>
        <w:t xml:space="preserve">. These powders serve as </w:t>
      </w:r>
      <w:r w:rsidRPr="00E774C4">
        <w:rPr>
          <w:rStyle w:val="Strong"/>
          <w:rFonts w:ascii="Arial" w:eastAsiaTheme="majorEastAsia" w:hAnsi="Arial" w:cs="Arial"/>
          <w:b w:val="0"/>
          <w:bCs w:val="0"/>
          <w:sz w:val="20"/>
          <w:szCs w:val="20"/>
          <w:lang w:val="en-US"/>
        </w:rPr>
        <w:t>raw materials</w:t>
      </w:r>
      <w:r w:rsidRPr="00E774C4">
        <w:rPr>
          <w:rFonts w:ascii="Arial" w:hAnsi="Arial" w:cs="Arial"/>
          <w:sz w:val="20"/>
          <w:szCs w:val="20"/>
          <w:lang w:val="en-US"/>
        </w:rPr>
        <w:t xml:space="preserve"> for preparing </w:t>
      </w:r>
      <w:r w:rsidRPr="00E774C4">
        <w:rPr>
          <w:rStyle w:val="Strong"/>
          <w:rFonts w:ascii="Arial" w:eastAsiaTheme="majorEastAsia" w:hAnsi="Arial" w:cs="Arial"/>
          <w:b w:val="0"/>
          <w:bCs w:val="0"/>
          <w:sz w:val="20"/>
          <w:szCs w:val="20"/>
          <w:lang w:val="en-US"/>
        </w:rPr>
        <w:t xml:space="preserve">decoctions and infusions </w:t>
      </w:r>
      <w:r w:rsidRPr="00E774C4">
        <w:rPr>
          <w:rFonts w:ascii="Arial" w:hAnsi="Arial" w:cs="Arial"/>
          <w:sz w:val="20"/>
          <w:szCs w:val="20"/>
          <w:lang w:val="en-US" w:eastAsia="fr-CM"/>
        </w:rPr>
        <w:fldChar w:fldCharType="begin" w:fldLock="1"/>
      </w:r>
      <w:r w:rsidRPr="00E774C4">
        <w:rPr>
          <w:rFonts w:ascii="Arial" w:hAnsi="Arial" w:cs="Arial"/>
          <w:sz w:val="20"/>
          <w:szCs w:val="20"/>
          <w:lang w:val="en-US" w:eastAsia="fr-CM"/>
        </w:rPr>
        <w:instrText>ADDIN CSL_CITATION {"citationItems":[{"id":"ITEM-1","itemData":{"DOI":"10.1016/j.afres.2024.100436","author":[{"dropping-particle":"","family":"Assiéné","given":"Agamou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Serge","non-dropping-particle":"","parse-names":false,"suffix":""},{"dropping-particle":"","family":"Mbida","given":"Mbida Yolande Isabelle","non-dropping-particle":"","parse-names":false,"suffix":""},{"dropping-particle":"","family":"Nyangono","given":"Biyegue Christine Fernande","non-dropping-particle":"","parse-names":false,"suffix":""}],"id":"ITEM-1","issue":"May","issued":{"date-parts":[["2024"]]},"title":"Nutritional and bioactive potentials of a powder and a decoction made from Ceylon cinnamon bark , Laurus nobilis leaves , and Curcuma longa Linn rhizome","type":"article-journal","volume":"4"},"uris":["http://www.mendeley.com/documents/?uuid=31c1ccd9-36bf-482f-b2b5-e07598d9ee77"]}],"mendeley":{"formattedCitation":"(Assiéné et al., 2024)","plainTextFormattedCitation":"(Assiéné et al., 2024)","previouslyFormattedCitation":"(Assiéné et al., 2024)"},"properties":{"noteIndex":0},"schema":"https://github.com/citation-style-language/schema/raw/master/csl-citation.json"}</w:instrText>
      </w:r>
      <w:r w:rsidRPr="00E774C4">
        <w:rPr>
          <w:rFonts w:ascii="Arial" w:hAnsi="Arial" w:cs="Arial"/>
          <w:sz w:val="20"/>
          <w:szCs w:val="20"/>
          <w:lang w:val="en-US" w:eastAsia="fr-CM"/>
        </w:rPr>
        <w:fldChar w:fldCharType="separate"/>
      </w:r>
      <w:r w:rsidRPr="00E774C4">
        <w:rPr>
          <w:rFonts w:ascii="Arial" w:hAnsi="Arial" w:cs="Arial"/>
          <w:noProof/>
          <w:sz w:val="20"/>
          <w:szCs w:val="20"/>
          <w:lang w:val="en-US" w:eastAsia="fr-CM"/>
        </w:rPr>
        <w:t>(Assiéné et al., 2024)</w:t>
      </w:r>
      <w:r w:rsidRPr="00E774C4">
        <w:rPr>
          <w:rFonts w:ascii="Arial" w:hAnsi="Arial" w:cs="Arial"/>
          <w:sz w:val="20"/>
          <w:szCs w:val="20"/>
          <w:lang w:val="en-US" w:eastAsia="fr-CM"/>
        </w:rPr>
        <w:fldChar w:fldCharType="end"/>
      </w:r>
      <w:r w:rsidRPr="00E774C4">
        <w:rPr>
          <w:rFonts w:ascii="Arial" w:hAnsi="Arial" w:cs="Arial"/>
          <w:sz w:val="20"/>
          <w:szCs w:val="20"/>
          <w:lang w:val="en-US" w:eastAsia="fr-CM"/>
        </w:rPr>
        <w:t>.</w:t>
      </w:r>
      <w:r w:rsidRPr="00E774C4">
        <w:rPr>
          <w:rFonts w:ascii="Arial" w:hAnsi="Arial" w:cs="Arial"/>
          <w:sz w:val="20"/>
          <w:szCs w:val="20"/>
          <w:lang w:val="en-US"/>
        </w:rPr>
        <w:t xml:space="preserve">. However, the most preferred or recommended form of consumption by many therapists is as a </w:t>
      </w:r>
      <w:r w:rsidRPr="00E774C4">
        <w:rPr>
          <w:rStyle w:val="Strong"/>
          <w:rFonts w:ascii="Arial" w:eastAsiaTheme="majorEastAsia" w:hAnsi="Arial" w:cs="Arial"/>
          <w:b w:val="0"/>
          <w:bCs w:val="0"/>
          <w:sz w:val="20"/>
          <w:szCs w:val="20"/>
          <w:lang w:val="en-US"/>
        </w:rPr>
        <w:t>dietary supplement</w:t>
      </w:r>
      <w:r w:rsidRPr="00E774C4">
        <w:rPr>
          <w:rFonts w:ascii="Arial" w:hAnsi="Arial" w:cs="Arial"/>
          <w:sz w:val="20"/>
          <w:szCs w:val="20"/>
          <w:lang w:val="en-US"/>
        </w:rPr>
        <w:t xml:space="preserve">, meaning that the powder is added to dishes to enhance </w:t>
      </w:r>
      <w:r w:rsidRPr="00E774C4">
        <w:rPr>
          <w:rStyle w:val="Strong"/>
          <w:rFonts w:ascii="Arial" w:eastAsiaTheme="majorEastAsia" w:hAnsi="Arial" w:cs="Arial"/>
          <w:b w:val="0"/>
          <w:bCs w:val="0"/>
          <w:sz w:val="20"/>
          <w:szCs w:val="20"/>
          <w:lang w:val="en-US"/>
        </w:rPr>
        <w:t>not only its nutritional value but also its bioactive potential</w:t>
      </w:r>
      <w:r>
        <w:rPr>
          <w:rStyle w:val="Strong"/>
          <w:rFonts w:ascii="Arial" w:eastAsiaTheme="majorEastAsia" w:hAnsi="Arial" w:cs="Arial"/>
          <w:b w:val="0"/>
          <w:bCs w:val="0"/>
          <w:sz w:val="20"/>
          <w:szCs w:val="20"/>
          <w:lang w:val="en-US"/>
        </w:rPr>
        <w:t xml:space="preserve"> </w:t>
      </w:r>
      <w:r>
        <w:rPr>
          <w:rFonts w:ascii="Arial" w:hAnsi="Arial" w:cs="Arial"/>
          <w:sz w:val="20"/>
          <w:szCs w:val="20"/>
          <w:lang w:val="en-US" w:eastAsia="fr-CM"/>
        </w:rPr>
        <w:fldChar w:fldCharType="begin" w:fldLock="1"/>
      </w:r>
      <w:r>
        <w:rPr>
          <w:rFonts w:ascii="Arial" w:hAnsi="Arial" w:cs="Arial"/>
          <w:sz w:val="20"/>
          <w:szCs w:val="20"/>
          <w:lang w:val="en-US" w:eastAsia="fr-CM"/>
        </w:rPr>
        <w:instrText>ADDIN CSL_CITATION {"citationItems":[{"id":"ITEM-1","itemData":{"abstract":"Chemical compositions of plants are influenced by the environmental conditions under which they are grown. In the present study, Moringa oleifera leaves were collected from eight localities of Cameroon, at two stages of maturity (young and mature). Chemical composition and nutritional benefits of collected plant leaves were studied. Macronutrients and mineral composition of leaves were significantly (p=0.0001) influenced by the locality from which they were harvested and the stage of maturity, with significant interactions between them. Principal component analysis was used to group leaves from different localities and at different stages of maturity. Results of the study revealed that mature leaves are richer in proteins, fiber, divalent cations (Ca, Mg, Fe, Mn, Cu) and bioactive compounds, and thus can be used to combat protein and mineral deficiencies, as well as stress related diseases; while the young leaves are more concentrated in available carbohydrates, total carotenoids, K, P, and Zn; and can be used to combat vitamin A and zinc deficiency, as well as for producing energetic foods. Levels of these components vary with the origin of leaves. Calcium, in particular, was three times higher in mature leaves (1.58%) compared to young leaves (0.59%), and mature leaves had one and a half times (20.7%) more iron than young leaves (12.5%). Leaves at different stages of maturity and from different localities are grouped according to their unique nutritional and antioxidant benefits based on their nutrients and bioactive compounds contents. *","author":[{"dropping-particle":"","family":"Assiéné","given":"Agamou Julien Armel","non-dropping-particle":"","parse-names":false,"suffix":""},{"dropping-particle":"","family":"Fombang","given":"Nig Edith","non-dropping-particle":"","parse-names":false,"suffix":""},{"dropping-particle":"","family":"Mbofung","given":"Carl Moses F.","non-dropping-particle":"","parse-names":false,"suffix":""}],"container-title":"Journal of Experimental Biology and Agricultural Sciences","id":"ITEM-1","issue":"2320","issued":{"date-parts":[["2015"]]},"page":"541-555","title":"Particular Benefits can be attributed to Moringa oleifera LAM leaves based on origin and stage of maturity","type":"article-journal","volume":"3"},"uris":["http://www.mendeley.com/documents/?uuid=b0071359-2a9e-45eb-9a22-47db8b5695e0"]}],"mendeley":{"formattedCitation":"(Assiéné et al., 2015)","plainTextFormattedCitation":"(Assiéné et al., 2015)","previouslyFormattedCitation":"(Assiéné et al., 2015)"},"properties":{"noteIndex":0},"schema":"https://github.com/citation-style-language/schema/raw/master/csl-citation.json"}</w:instrText>
      </w:r>
      <w:r>
        <w:rPr>
          <w:rFonts w:ascii="Arial" w:hAnsi="Arial" w:cs="Arial"/>
          <w:sz w:val="20"/>
          <w:szCs w:val="20"/>
          <w:lang w:val="en-US" w:eastAsia="fr-CM"/>
        </w:rPr>
        <w:fldChar w:fldCharType="separate"/>
      </w:r>
      <w:r w:rsidRPr="006F1DC7">
        <w:rPr>
          <w:rFonts w:ascii="Arial" w:hAnsi="Arial" w:cs="Arial"/>
          <w:noProof/>
          <w:sz w:val="20"/>
          <w:szCs w:val="20"/>
          <w:lang w:val="en-US" w:eastAsia="fr-CM"/>
        </w:rPr>
        <w:t>(Assiéné et al., 2015)</w:t>
      </w:r>
      <w:r>
        <w:rPr>
          <w:rFonts w:ascii="Arial" w:hAnsi="Arial" w:cs="Arial"/>
          <w:sz w:val="20"/>
          <w:szCs w:val="20"/>
          <w:lang w:val="en-US" w:eastAsia="fr-CM"/>
        </w:rPr>
        <w:fldChar w:fldCharType="end"/>
      </w:r>
      <w:r w:rsidRPr="00E774C4">
        <w:rPr>
          <w:rFonts w:ascii="Arial" w:hAnsi="Arial" w:cs="Arial"/>
          <w:sz w:val="20"/>
          <w:szCs w:val="20"/>
          <w:lang w:val="en-US"/>
        </w:rPr>
        <w:t xml:space="preserve">. In this form, the powders offer the advantage of being </w:t>
      </w:r>
      <w:r w:rsidRPr="00E774C4">
        <w:rPr>
          <w:rStyle w:val="Strong"/>
          <w:rFonts w:ascii="Arial" w:eastAsiaTheme="majorEastAsia" w:hAnsi="Arial" w:cs="Arial"/>
          <w:b w:val="0"/>
          <w:bCs w:val="0"/>
          <w:sz w:val="20"/>
          <w:szCs w:val="20"/>
          <w:lang w:val="en-US"/>
        </w:rPr>
        <w:t>fully consumed</w:t>
      </w:r>
      <w:r w:rsidRPr="00E774C4">
        <w:rPr>
          <w:rFonts w:ascii="Arial" w:hAnsi="Arial" w:cs="Arial"/>
          <w:sz w:val="20"/>
          <w:szCs w:val="20"/>
          <w:lang w:val="en-US"/>
        </w:rPr>
        <w:t xml:space="preserve">, leaving no residual waste. Nevertheless, additional components such as </w:t>
      </w:r>
      <w:r w:rsidRPr="00E774C4">
        <w:rPr>
          <w:rStyle w:val="Strong"/>
          <w:rFonts w:ascii="Arial" w:eastAsiaTheme="majorEastAsia" w:hAnsi="Arial" w:cs="Arial"/>
          <w:b w:val="0"/>
          <w:bCs w:val="0"/>
          <w:sz w:val="20"/>
          <w:szCs w:val="20"/>
          <w:lang w:val="en-US"/>
        </w:rPr>
        <w:t>vegetable oils, water for reconstitution, excipients, and additives</w:t>
      </w:r>
      <w:r w:rsidRPr="00E774C4">
        <w:rPr>
          <w:rFonts w:ascii="Arial" w:hAnsi="Arial" w:cs="Arial"/>
          <w:sz w:val="20"/>
          <w:szCs w:val="20"/>
          <w:lang w:val="en-US"/>
        </w:rPr>
        <w:t xml:space="preserve"> are often added to these powders, without considering the effects of these substances on the </w:t>
      </w:r>
      <w:r w:rsidRPr="00E774C4">
        <w:rPr>
          <w:rStyle w:val="Strong"/>
          <w:rFonts w:ascii="Arial" w:eastAsiaTheme="majorEastAsia" w:hAnsi="Arial" w:cs="Arial"/>
          <w:b w:val="0"/>
          <w:bCs w:val="0"/>
          <w:sz w:val="20"/>
          <w:szCs w:val="20"/>
          <w:lang w:val="en-US"/>
        </w:rPr>
        <w:t>stability, bioaccessibility, and biological activities</w:t>
      </w:r>
      <w:r w:rsidRPr="00E774C4">
        <w:rPr>
          <w:rFonts w:ascii="Arial" w:hAnsi="Arial" w:cs="Arial"/>
          <w:sz w:val="20"/>
          <w:szCs w:val="20"/>
          <w:lang w:val="en-US"/>
        </w:rPr>
        <w:t xml:space="preserve"> (antioxidant activity) of the powders. Yet, a </w:t>
      </w:r>
      <w:r w:rsidRPr="00E774C4">
        <w:rPr>
          <w:rStyle w:val="Strong"/>
          <w:rFonts w:ascii="Arial" w:eastAsiaTheme="majorEastAsia" w:hAnsi="Arial" w:cs="Arial"/>
          <w:b w:val="0"/>
          <w:bCs w:val="0"/>
          <w:sz w:val="20"/>
          <w:szCs w:val="20"/>
          <w:lang w:val="en-US"/>
        </w:rPr>
        <w:t>preliminary study of the functional properties</w:t>
      </w:r>
      <w:r w:rsidRPr="00E774C4">
        <w:rPr>
          <w:rFonts w:ascii="Arial" w:hAnsi="Arial" w:cs="Arial"/>
          <w:sz w:val="20"/>
          <w:szCs w:val="20"/>
          <w:lang w:val="en-US"/>
        </w:rPr>
        <w:t xml:space="preserve"> of these powders would help better understand their behavior. Failing to do so represents a </w:t>
      </w:r>
      <w:r w:rsidRPr="00E774C4">
        <w:rPr>
          <w:rStyle w:val="Strong"/>
          <w:rFonts w:ascii="Arial" w:eastAsiaTheme="majorEastAsia" w:hAnsi="Arial" w:cs="Arial"/>
          <w:b w:val="0"/>
          <w:bCs w:val="0"/>
          <w:sz w:val="20"/>
          <w:szCs w:val="20"/>
          <w:lang w:val="en-US"/>
        </w:rPr>
        <w:t>significant oversight</w:t>
      </w:r>
      <w:r w:rsidRPr="00E774C4">
        <w:rPr>
          <w:rFonts w:ascii="Arial" w:hAnsi="Arial" w:cs="Arial"/>
          <w:sz w:val="20"/>
          <w:szCs w:val="20"/>
          <w:lang w:val="en-US"/>
        </w:rPr>
        <w:t>.</w:t>
      </w:r>
    </w:p>
    <w:p w14:paraId="5C458520" w14:textId="4F216F18" w:rsidR="00E774C4" w:rsidRPr="00E774C4" w:rsidRDefault="00E774C4" w:rsidP="00E774C4">
      <w:pPr>
        <w:pStyle w:val="NormalWeb"/>
        <w:spacing w:line="360" w:lineRule="auto"/>
        <w:rPr>
          <w:rFonts w:ascii="Arial" w:hAnsi="Arial" w:cs="Arial"/>
          <w:sz w:val="20"/>
          <w:szCs w:val="20"/>
          <w:lang w:val="en-US"/>
        </w:rPr>
      </w:pPr>
      <w:r w:rsidRPr="00E774C4">
        <w:rPr>
          <w:rFonts w:ascii="Arial" w:hAnsi="Arial" w:cs="Arial"/>
          <w:sz w:val="20"/>
          <w:szCs w:val="20"/>
          <w:lang w:val="en-US"/>
        </w:rPr>
        <w:t xml:space="preserve">When a powder exhibits </w:t>
      </w:r>
      <w:r w:rsidRPr="00E774C4">
        <w:rPr>
          <w:rStyle w:val="Strong"/>
          <w:rFonts w:ascii="Arial" w:eastAsiaTheme="majorEastAsia" w:hAnsi="Arial" w:cs="Arial"/>
          <w:b w:val="0"/>
          <w:bCs w:val="0"/>
          <w:sz w:val="20"/>
          <w:szCs w:val="20"/>
          <w:lang w:val="en-US"/>
        </w:rPr>
        <w:t>antioxidant activity</w:t>
      </w:r>
      <w:r w:rsidRPr="00E774C4">
        <w:rPr>
          <w:rFonts w:ascii="Arial" w:hAnsi="Arial" w:cs="Arial"/>
          <w:sz w:val="20"/>
          <w:szCs w:val="20"/>
          <w:lang w:val="en-US"/>
        </w:rPr>
        <w:t xml:space="preserve"> and </w:t>
      </w:r>
      <w:r w:rsidRPr="00E774C4">
        <w:rPr>
          <w:rStyle w:val="Strong"/>
          <w:rFonts w:ascii="Arial" w:eastAsiaTheme="majorEastAsia" w:hAnsi="Arial" w:cs="Arial"/>
          <w:b w:val="0"/>
          <w:bCs w:val="0"/>
          <w:sz w:val="20"/>
          <w:szCs w:val="20"/>
          <w:lang w:val="en-US"/>
        </w:rPr>
        <w:t>nutritional potential</w:t>
      </w:r>
      <w:r w:rsidRPr="00E774C4">
        <w:rPr>
          <w:rFonts w:ascii="Arial" w:hAnsi="Arial" w:cs="Arial"/>
          <w:sz w:val="20"/>
          <w:szCs w:val="20"/>
          <w:lang w:val="en-US"/>
        </w:rPr>
        <w:t xml:space="preserve">, it is crucial to assess characteristics such as </w:t>
      </w:r>
      <w:r w:rsidRPr="00E774C4">
        <w:rPr>
          <w:rStyle w:val="Strong"/>
          <w:rFonts w:ascii="Arial" w:eastAsiaTheme="majorEastAsia" w:hAnsi="Arial" w:cs="Arial"/>
          <w:b w:val="0"/>
          <w:bCs w:val="0"/>
          <w:sz w:val="20"/>
          <w:szCs w:val="20"/>
          <w:lang w:val="en-US"/>
        </w:rPr>
        <w:t xml:space="preserve">water absorption capacity (WAC), </w:t>
      </w:r>
      <w:r w:rsidR="00920049">
        <w:rPr>
          <w:rStyle w:val="Strong"/>
          <w:rFonts w:ascii="Arial" w:eastAsiaTheme="majorEastAsia" w:hAnsi="Arial" w:cs="Arial"/>
          <w:b w:val="0"/>
          <w:bCs w:val="0"/>
          <w:sz w:val="20"/>
          <w:szCs w:val="20"/>
          <w:lang w:val="en-US"/>
        </w:rPr>
        <w:t xml:space="preserve">Water </w:t>
      </w:r>
      <w:r w:rsidRPr="00E774C4">
        <w:rPr>
          <w:rStyle w:val="Strong"/>
          <w:rFonts w:ascii="Arial" w:eastAsiaTheme="majorEastAsia" w:hAnsi="Arial" w:cs="Arial"/>
          <w:b w:val="0"/>
          <w:bCs w:val="0"/>
          <w:sz w:val="20"/>
          <w:szCs w:val="20"/>
          <w:lang w:val="en-US"/>
        </w:rPr>
        <w:t>solubility index (</w:t>
      </w:r>
      <w:r w:rsidR="00920049">
        <w:rPr>
          <w:rStyle w:val="Strong"/>
          <w:rFonts w:ascii="Arial" w:eastAsiaTheme="majorEastAsia" w:hAnsi="Arial" w:cs="Arial"/>
          <w:b w:val="0"/>
          <w:bCs w:val="0"/>
          <w:sz w:val="20"/>
          <w:szCs w:val="20"/>
          <w:lang w:val="en-US"/>
        </w:rPr>
        <w:t>W</w:t>
      </w:r>
      <w:r w:rsidRPr="00E774C4">
        <w:rPr>
          <w:rStyle w:val="Strong"/>
          <w:rFonts w:ascii="Arial" w:eastAsiaTheme="majorEastAsia" w:hAnsi="Arial" w:cs="Arial"/>
          <w:b w:val="0"/>
          <w:bCs w:val="0"/>
          <w:sz w:val="20"/>
          <w:szCs w:val="20"/>
          <w:lang w:val="en-US"/>
        </w:rPr>
        <w:t>SI), oil absorption capacity (OAC)</w:t>
      </w:r>
      <w:r w:rsidRPr="00E774C4">
        <w:rPr>
          <w:rFonts w:ascii="Arial" w:hAnsi="Arial" w:cs="Arial"/>
          <w:sz w:val="20"/>
          <w:szCs w:val="20"/>
          <w:lang w:val="en-US"/>
        </w:rPr>
        <w:t xml:space="preserve">, and other parameters that generally influence the </w:t>
      </w:r>
      <w:r w:rsidRPr="00E774C4">
        <w:rPr>
          <w:rStyle w:val="Strong"/>
          <w:rFonts w:ascii="Arial" w:eastAsiaTheme="majorEastAsia" w:hAnsi="Arial" w:cs="Arial"/>
          <w:b w:val="0"/>
          <w:bCs w:val="0"/>
          <w:sz w:val="20"/>
          <w:szCs w:val="20"/>
          <w:lang w:val="en-US"/>
        </w:rPr>
        <w:t>stability, bioaccessibility of antioxidants and nutrients, and technological performance</w:t>
      </w:r>
      <w:r w:rsidRPr="00E774C4">
        <w:rPr>
          <w:rFonts w:ascii="Arial" w:hAnsi="Arial" w:cs="Arial"/>
          <w:sz w:val="20"/>
          <w:szCs w:val="20"/>
          <w:lang w:val="en-US"/>
        </w:rPr>
        <w:t xml:space="preserve">. Indeed, the </w:t>
      </w:r>
      <w:r w:rsidRPr="00E774C4">
        <w:rPr>
          <w:rStyle w:val="Strong"/>
          <w:rFonts w:ascii="Arial" w:eastAsiaTheme="majorEastAsia" w:hAnsi="Arial" w:cs="Arial"/>
          <w:b w:val="0"/>
          <w:bCs w:val="0"/>
          <w:sz w:val="20"/>
          <w:szCs w:val="20"/>
          <w:lang w:val="en-US"/>
        </w:rPr>
        <w:t>bioaccessibility of antioxidants and nutrients</w:t>
      </w:r>
      <w:r w:rsidRPr="00E774C4">
        <w:rPr>
          <w:rFonts w:ascii="Arial" w:hAnsi="Arial" w:cs="Arial"/>
          <w:sz w:val="20"/>
          <w:szCs w:val="20"/>
          <w:lang w:val="en-US"/>
        </w:rPr>
        <w:t xml:space="preserve"> in a powder is highly dependent on its </w:t>
      </w:r>
      <w:r w:rsidRPr="00E774C4">
        <w:rPr>
          <w:rStyle w:val="Strong"/>
          <w:rFonts w:ascii="Arial" w:eastAsiaTheme="majorEastAsia" w:hAnsi="Arial" w:cs="Arial"/>
          <w:b w:val="0"/>
          <w:bCs w:val="0"/>
          <w:sz w:val="20"/>
          <w:szCs w:val="20"/>
          <w:lang w:val="en-US"/>
        </w:rPr>
        <w:t>functional properties</w:t>
      </w:r>
      <w:r>
        <w:rPr>
          <w:rStyle w:val="Strong"/>
          <w:rFonts w:ascii="Arial" w:eastAsiaTheme="majorEastAsia" w:hAnsi="Arial" w:cs="Arial"/>
          <w:b w:val="0"/>
          <w:bCs w:val="0"/>
          <w:sz w:val="20"/>
          <w:szCs w:val="20"/>
          <w:lang w:val="en-US"/>
        </w:rPr>
        <w:t xml:space="preserve"> </w:t>
      </w:r>
      <w:r w:rsidR="009A2113">
        <w:rPr>
          <w:rStyle w:val="Strong"/>
          <w:rFonts w:ascii="Arial" w:eastAsiaTheme="majorEastAsia" w:hAnsi="Arial" w:cs="Arial"/>
          <w:b w:val="0"/>
          <w:bCs w:val="0"/>
          <w:sz w:val="20"/>
          <w:szCs w:val="20"/>
          <w:lang w:val="en-US"/>
        </w:rPr>
        <w:fldChar w:fldCharType="begin" w:fldLock="1"/>
      </w:r>
      <w:r w:rsidR="009A2113">
        <w:rPr>
          <w:rStyle w:val="Strong"/>
          <w:rFonts w:ascii="Arial" w:eastAsiaTheme="majorEastAsia" w:hAnsi="Arial" w:cs="Arial"/>
          <w:b w:val="0"/>
          <w:bCs w:val="0"/>
          <w:sz w:val="20"/>
          <w:szCs w:val="20"/>
          <w:lang w:val="en-US"/>
        </w:rPr>
        <w:instrText>ADDIN CSL_CITATION {"citationItems":[{"id":"ITEM-1","itemData":{"DOI":"10.3390/app10113668","ISSN":"20763417","abstract":"This study evaluates nutrients and health-promoting compounds responsible for antioxidant capacity in eight novel formulations based on lyophilized fruit and vegetable powders. The composition contained lyophilized carrot, pumpkin, lentil sprouts, raspberry, strawberry, and apple. The effect of functional additives on the antioxidant, nutritional, and functional characteristics of powdered beverages was determined in the powders and after rehydration followed by in vitro digestion. The antioxidant activity, phenols, vitamin C, and reducing power were significantly higher in the powders enriched with additives having potential functional properties. Furthermore, the analyses indicated that all the powdered formulations may be potential sources of total starch (100-112 mg/100 mL) and proteins (125-139 mg/100 mL). The designed powdered beverages after reconstitution exhibited high antioxidant content, reasonable consumer acceptance, and good in vitro bioaccessibility. The best results of antioxidant capacity were obtained for beverages enriched with raspberry, i.e., 10.4 mg Trolox equivalent (TE)/100 mL and 12.1 mg TE/100 mL rehydrated at 20 °C and 80 °C, respectively. Additionally, color characteristics were used as indicators of the quality of the powdered beverages. This research promotes the reduction of food waste, since whole plant tissues are used, thus allowing maximum exploitation of food raw materials; moreover, drying provides stable shelf life.","author":[{"dropping-particle":"","family":"Bochnak-Niedźwiecka","given":"Justyna","non-dropping-particle":"","parse-names":false,"suffix":""},{"dropping-particle":"","family":"Świeca","given":"Michał","non-dropping-particle":"","parse-names":false,"suffix":""}],"container-title":"Applied Sciences (Switzerland)","id":"ITEM-1","issue":"11","issued":{"date-parts":[["2020"]]},"title":"Quality of new functional powdered beverages enriched with lyophilized fruits-potentially bioaccessible antioxidant properties, nutritional value, and consumer analysis","type":"article-journal","volume":"10"},"uris":["http://www.mendeley.com/documents/?uuid=122dd676-df69-490e-bb80-8f813db577b1"]}],"mendeley":{"formattedCitation":"(Bochnak-Niedźwiecka &amp; Świeca, 2020)","plainTextFormattedCitation":"(Bochnak-Niedźwiecka &amp; Świeca, 2020)","previouslyFormattedCitation":"(Bochnak-Niedźwiecka &amp; Świeca, 2020)"},"properties":{"noteIndex":0},"schema":"https://github.com/citation-style-language/schema/raw/master/csl-citation.json"}</w:instrText>
      </w:r>
      <w:r w:rsidR="009A2113">
        <w:rPr>
          <w:rStyle w:val="Strong"/>
          <w:rFonts w:ascii="Arial" w:eastAsiaTheme="majorEastAsia" w:hAnsi="Arial" w:cs="Arial"/>
          <w:b w:val="0"/>
          <w:bCs w:val="0"/>
          <w:sz w:val="20"/>
          <w:szCs w:val="20"/>
          <w:lang w:val="en-US"/>
        </w:rPr>
        <w:fldChar w:fldCharType="separate"/>
      </w:r>
      <w:r w:rsidR="009A2113" w:rsidRPr="009A2113">
        <w:rPr>
          <w:rStyle w:val="Strong"/>
          <w:rFonts w:ascii="Arial" w:eastAsiaTheme="majorEastAsia" w:hAnsi="Arial" w:cs="Arial"/>
          <w:b w:val="0"/>
          <w:bCs w:val="0"/>
          <w:noProof/>
          <w:sz w:val="20"/>
          <w:szCs w:val="20"/>
          <w:lang w:val="en-US"/>
        </w:rPr>
        <w:t>(Bochnak-Niedźwiecka &amp; Świeca, 2020)</w:t>
      </w:r>
      <w:r w:rsidR="009A2113">
        <w:rPr>
          <w:rStyle w:val="Strong"/>
          <w:rFonts w:ascii="Arial" w:eastAsiaTheme="majorEastAsia" w:hAnsi="Arial" w:cs="Arial"/>
          <w:b w:val="0"/>
          <w:bCs w:val="0"/>
          <w:sz w:val="20"/>
          <w:szCs w:val="20"/>
          <w:lang w:val="en-US"/>
        </w:rPr>
        <w:fldChar w:fldCharType="end"/>
      </w:r>
      <w:r w:rsidR="009A2113">
        <w:rPr>
          <w:rStyle w:val="Strong"/>
          <w:rFonts w:ascii="Arial" w:eastAsiaTheme="majorEastAsia" w:hAnsi="Arial" w:cs="Arial"/>
          <w:b w:val="0"/>
          <w:bCs w:val="0"/>
          <w:color w:val="FF0000"/>
          <w:sz w:val="20"/>
          <w:szCs w:val="20"/>
          <w:lang w:val="en-US"/>
        </w:rPr>
        <w:t>.</w:t>
      </w:r>
      <w:r w:rsidRPr="00E774C4">
        <w:rPr>
          <w:rFonts w:ascii="Arial" w:hAnsi="Arial" w:cs="Arial"/>
          <w:sz w:val="20"/>
          <w:szCs w:val="20"/>
          <w:lang w:val="en-US"/>
        </w:rPr>
        <w:t xml:space="preserve"> Adequate </w:t>
      </w:r>
      <w:r w:rsidRPr="00E774C4">
        <w:rPr>
          <w:rStyle w:val="Strong"/>
          <w:rFonts w:ascii="Arial" w:eastAsiaTheme="majorEastAsia" w:hAnsi="Arial" w:cs="Arial"/>
          <w:b w:val="0"/>
          <w:bCs w:val="0"/>
          <w:sz w:val="20"/>
          <w:szCs w:val="20"/>
          <w:lang w:val="en-US"/>
        </w:rPr>
        <w:t>solubility</w:t>
      </w:r>
      <w:r w:rsidRPr="00E774C4">
        <w:rPr>
          <w:rFonts w:ascii="Arial" w:hAnsi="Arial" w:cs="Arial"/>
          <w:sz w:val="20"/>
          <w:szCs w:val="20"/>
          <w:lang w:val="en-US"/>
        </w:rPr>
        <w:t xml:space="preserve"> ensures </w:t>
      </w:r>
      <w:r w:rsidRPr="00E774C4">
        <w:rPr>
          <w:rStyle w:val="Strong"/>
          <w:rFonts w:ascii="Arial" w:eastAsiaTheme="majorEastAsia" w:hAnsi="Arial" w:cs="Arial"/>
          <w:b w:val="0"/>
          <w:bCs w:val="0"/>
          <w:sz w:val="20"/>
          <w:szCs w:val="20"/>
          <w:lang w:val="en-US"/>
        </w:rPr>
        <w:t>homogeneous dispersion</w:t>
      </w:r>
      <w:r w:rsidRPr="00E774C4">
        <w:rPr>
          <w:rFonts w:ascii="Arial" w:hAnsi="Arial" w:cs="Arial"/>
          <w:sz w:val="20"/>
          <w:szCs w:val="20"/>
          <w:lang w:val="en-US"/>
        </w:rPr>
        <w:t xml:space="preserve">, facilitating the </w:t>
      </w:r>
      <w:r w:rsidRPr="00E774C4">
        <w:rPr>
          <w:rStyle w:val="Strong"/>
          <w:rFonts w:ascii="Arial" w:eastAsiaTheme="majorEastAsia" w:hAnsi="Arial" w:cs="Arial"/>
          <w:b w:val="0"/>
          <w:bCs w:val="0"/>
          <w:sz w:val="20"/>
          <w:szCs w:val="20"/>
          <w:lang w:val="en-US"/>
        </w:rPr>
        <w:t>absorption of antioxidants and certain nutrients</w:t>
      </w:r>
      <w:r>
        <w:rPr>
          <w:rStyle w:val="Strong"/>
          <w:rFonts w:ascii="Arial" w:eastAsiaTheme="majorEastAsia" w:hAnsi="Arial" w:cs="Arial"/>
          <w:b w:val="0"/>
          <w:bCs w:val="0"/>
          <w:sz w:val="20"/>
          <w:szCs w:val="20"/>
          <w:lang w:val="en-US"/>
        </w:rPr>
        <w:t xml:space="preserve"> </w:t>
      </w:r>
      <w:r>
        <w:rPr>
          <w:rFonts w:ascii="Arial" w:hAnsi="Arial" w:cs="Arial"/>
          <w:sz w:val="20"/>
          <w:szCs w:val="20"/>
          <w:lang w:val="en-US" w:eastAsia="fr-CM"/>
        </w:rPr>
        <w:fldChar w:fldCharType="begin" w:fldLock="1"/>
      </w:r>
      <w:r>
        <w:rPr>
          <w:rFonts w:ascii="Arial" w:hAnsi="Arial" w:cs="Arial"/>
          <w:sz w:val="20"/>
          <w:szCs w:val="20"/>
          <w:lang w:val="en-US" w:eastAsia="fr-CM"/>
        </w:rPr>
        <w:instrText>ADDIN CSL_CITATION {"citationItems":[{"id":"ITEM-1","itemData":{"DOI":"10.1002/fsn3.1409","ISSN":"20487177","abstract":"Soybean residue is an underutilized, nutrient-rich by-product of soybean processing. To enhance its value, we subjected soybean residue to superfine grinding and measured the resulting physiochemical properties and antioxidant activities. We prepared powders with particle sizes of 115.35, 77.93, 39.38, 25.01, and 20.44 μm. As particle size decreased, the surface area (from 96.46 to 198.32 m2/kg) and swelling capacity (from 2.05 to 10.62 ml/g) increased. Conversely, we observed decreases in the surface-number mean (from 23.07 to 11.20 μm), volume-surface mean (from 141.70 to 27.96 μm), angles of repose (from 48.30° to 31.46°), water holding capacity (from 7.86 to 4.39 g/g), and oil binding capacity (from 1.78 to 1.42 g/g). The water solubility index and antioxidant activity (reducing power and free radical scavenging activities of 2,2-diphenyl-1-picrylhydrazyl and 2,2′-azino-di-(3-ethylbenzthiazoline sulfonic acid)) improved as particle size decreased. In conclusion, superfine grinding improved some properties of soybean residue. Additionally, our findings provide theoretical support for using superfine grinding in industrial food applications.","author":[{"dropping-particle":"","family":"Li","given":"Guanghui","non-dropping-particle":"","parse-names":false,"suffix":""},{"dropping-particle":"","family":"Guo","given":"Weiyun","non-dropping-particle":"","parse-names":false,"suffix":""},{"dropping-particle":"","family":"Gao","given":"Xueli","non-dropping-particle":"","parse-names":false,"suffix":""},{"dropping-particle":"","family":"Wang","given":"Yonghui","non-dropping-particle":"","parse-names":false,"suffix":""},{"dropping-particle":"","family":"Sun","given":"Sisheng","non-dropping-particle":"","parse-names":false,"suffix":""}],"container-title":"Food Science and Nutrition","id":"ITEM-1","issue":"2","issued":{"date-parts":[["2020"]]},"page":"1208-1214","title":"Effect of superfine grinding on physicochemical and antioxidant properties of soybean residue powder","type":"article-journal","volume":"8"},"uris":["http://www.mendeley.com/documents/?uuid=3154cbf8-a7e0-4854-bae6-605f3bb74030"]}],"mendeley":{"formattedCitation":"(Li et al., 2020)","plainTextFormattedCitation":"(Li et al., 2020)","previouslyFormattedCitation":"(Li et al., 2020)"},"properties":{"noteIndex":0},"schema":"https://github.com/citation-style-language/schema/raw/master/csl-citation.json"}</w:instrText>
      </w:r>
      <w:r>
        <w:rPr>
          <w:rFonts w:ascii="Arial" w:hAnsi="Arial" w:cs="Arial"/>
          <w:sz w:val="20"/>
          <w:szCs w:val="20"/>
          <w:lang w:val="en-US" w:eastAsia="fr-CM"/>
        </w:rPr>
        <w:fldChar w:fldCharType="separate"/>
      </w:r>
      <w:r w:rsidRPr="000C4DA6">
        <w:rPr>
          <w:rFonts w:ascii="Arial" w:hAnsi="Arial" w:cs="Arial"/>
          <w:noProof/>
          <w:sz w:val="20"/>
          <w:szCs w:val="20"/>
          <w:lang w:val="en-US" w:eastAsia="fr-CM"/>
        </w:rPr>
        <w:t>(Li et al., 2020)</w:t>
      </w:r>
      <w:r>
        <w:rPr>
          <w:rFonts w:ascii="Arial" w:hAnsi="Arial" w:cs="Arial"/>
          <w:sz w:val="20"/>
          <w:szCs w:val="20"/>
          <w:lang w:val="en-US" w:eastAsia="fr-CM"/>
        </w:rPr>
        <w:fldChar w:fldCharType="end"/>
      </w:r>
      <w:r w:rsidRPr="00E774C4">
        <w:rPr>
          <w:rFonts w:ascii="Arial" w:hAnsi="Arial" w:cs="Arial"/>
          <w:sz w:val="20"/>
          <w:szCs w:val="20"/>
          <w:lang w:val="en-US"/>
        </w:rPr>
        <w:t xml:space="preserve">. Likewise, </w:t>
      </w:r>
      <w:r w:rsidRPr="00E774C4">
        <w:rPr>
          <w:rStyle w:val="Strong"/>
          <w:rFonts w:ascii="Arial" w:eastAsiaTheme="majorEastAsia" w:hAnsi="Arial" w:cs="Arial"/>
          <w:b w:val="0"/>
          <w:bCs w:val="0"/>
          <w:sz w:val="20"/>
          <w:szCs w:val="20"/>
          <w:lang w:val="en-US"/>
        </w:rPr>
        <w:t>WAC and OAC</w:t>
      </w:r>
      <w:r w:rsidRPr="00E774C4">
        <w:rPr>
          <w:rFonts w:ascii="Arial" w:hAnsi="Arial" w:cs="Arial"/>
          <w:sz w:val="20"/>
          <w:szCs w:val="20"/>
          <w:lang w:val="en-US"/>
        </w:rPr>
        <w:t xml:space="preserve"> influence the </w:t>
      </w:r>
      <w:r w:rsidRPr="00E774C4">
        <w:rPr>
          <w:rStyle w:val="Strong"/>
          <w:rFonts w:ascii="Arial" w:eastAsiaTheme="majorEastAsia" w:hAnsi="Arial" w:cs="Arial"/>
          <w:b w:val="0"/>
          <w:bCs w:val="0"/>
          <w:sz w:val="20"/>
          <w:szCs w:val="20"/>
          <w:lang w:val="en-US"/>
        </w:rPr>
        <w:t>texture and stability</w:t>
      </w:r>
      <w:r w:rsidRPr="00E774C4">
        <w:rPr>
          <w:rFonts w:ascii="Arial" w:hAnsi="Arial" w:cs="Arial"/>
          <w:sz w:val="20"/>
          <w:szCs w:val="20"/>
          <w:lang w:val="en-US"/>
        </w:rPr>
        <w:t xml:space="preserve"> of food formulations incorporating the powder</w:t>
      </w:r>
      <w:r>
        <w:rPr>
          <w:rFonts w:ascii="Arial" w:hAnsi="Arial" w:cs="Arial"/>
          <w:sz w:val="20"/>
          <w:szCs w:val="20"/>
          <w:lang w:val="en-US"/>
        </w:rPr>
        <w:t xml:space="preserve"> </w:t>
      </w:r>
      <w:r>
        <w:rPr>
          <w:rFonts w:ascii="Arial" w:hAnsi="Arial" w:cs="Arial"/>
          <w:sz w:val="20"/>
          <w:szCs w:val="20"/>
          <w:lang w:val="en-US" w:eastAsia="fr-CM"/>
        </w:rPr>
        <w:fldChar w:fldCharType="begin" w:fldLock="1"/>
      </w:r>
      <w:r w:rsidR="00B41611">
        <w:rPr>
          <w:rFonts w:ascii="Arial" w:hAnsi="Arial" w:cs="Arial"/>
          <w:sz w:val="20"/>
          <w:szCs w:val="20"/>
          <w:lang w:val="en-US" w:eastAsia="fr-CM"/>
        </w:rPr>
        <w:instrText>ADDIN CSL_CITATION {"citationItems":[{"id":"ITEM-1","itemData":{"DOI":"10.5251/abjna.2013.4.1.71.77","ISSN":"21517517","abstract":"The potentials of Moringa oleifera leaf meal (MLM) as an alternative protein source for livestock in the tropical rainforest of Nigeria was evaluated in comparison with Leucaena leucocephala and Gliricidia sepium leaf meals (LLM and GLM respectively). Proximate analysis, mineral constituents, antinutritional factors and some functional properties were considered in this concern. The three tested leaf meals contain comparable crude protein levels at 22.23+0.25g100g -1 DM, 27.31g100g -1 DM and 25.03g100g -1 DM for MLM, LLM and GLM respectively, which are higher than 20% quoted as being common for Multipurpose trees(MPTS). The tested leaf meals had similar ash contents and sufficient levels of Ca, Na,Fe, K and Mg while the high EE content shows that they can be classified as oil rich plants. Pb was absent in all the leaf under investigation. Tannin content was low (3.51mg g -1 in GLM to 3.79mg g -1 in LLM), however, Phytic acid was highest in GLM. Lignin, cellulose and hemicellulose were low. The capacities of water and oil absorption (WAC &amp; OAC), foaming and emulsion capacities (FC &amp; EC) and emulsion stability (ES) were similar in MLM and LLM while GLM recorded slightly higher values. The three tested leaf meals recorded 2% least gelation concentration while iso-electric points were at pH 4, 6 and 10 indicating solubility in acidic and basic regions.These leaf meals are sources of vegetable protein for all classes of livestock and can be presented in the form of multinutrient blocks, pelleted feeds and stabilizing agents on food","author":[{"dropping-particle":"","family":"Aye","given":"P.","non-dropping-particle":"","parse-names":false,"suffix":""},{"dropping-particle":"","family":"Adegun","given":"M.","non-dropping-particle":"","parse-names":false,"suffix":""}],"container-title":"Agriculture and Biology Journal of North America","id":"ITEM-1","issue":"1","issued":{"date-parts":[["2013"]]},"page":"71-77","title":"Chemical Composition and some functional properties of Moringa, Leucaena and Gliricidia leaf meals","type":"article-journal","volume":"4"},"uris":["http://www.mendeley.com/documents/?uuid=ff41a477-6445-4303-a097-1f5e267f7b8f"]}],"mendeley":{"formattedCitation":"(Aye &amp; Adegun, 2013)","plainTextFormattedCitation":"(Aye &amp; Adegun, 2013)","previouslyFormattedCitation":"(Aye &amp; Adegun, 2013)"},"properties":{"noteIndex":0},"schema":"https://github.com/citation-style-language/schema/raw/master/csl-citation.json"}</w:instrText>
      </w:r>
      <w:r>
        <w:rPr>
          <w:rFonts w:ascii="Arial" w:hAnsi="Arial" w:cs="Arial"/>
          <w:sz w:val="20"/>
          <w:szCs w:val="20"/>
          <w:lang w:val="en-US" w:eastAsia="fr-CM"/>
        </w:rPr>
        <w:fldChar w:fldCharType="separate"/>
      </w:r>
      <w:r w:rsidRPr="000C4DA6">
        <w:rPr>
          <w:rFonts w:ascii="Arial" w:hAnsi="Arial" w:cs="Arial"/>
          <w:noProof/>
          <w:sz w:val="20"/>
          <w:szCs w:val="20"/>
          <w:lang w:val="en-US" w:eastAsia="fr-CM"/>
        </w:rPr>
        <w:t>(Aye &amp; Adegun, 2013)</w:t>
      </w:r>
      <w:r>
        <w:rPr>
          <w:rFonts w:ascii="Arial" w:hAnsi="Arial" w:cs="Arial"/>
          <w:sz w:val="20"/>
          <w:szCs w:val="20"/>
          <w:lang w:val="en-US" w:eastAsia="fr-CM"/>
        </w:rPr>
        <w:fldChar w:fldCharType="end"/>
      </w:r>
      <w:r w:rsidRPr="002D7913">
        <w:rPr>
          <w:rFonts w:ascii="Arial" w:hAnsi="Arial" w:cs="Arial"/>
          <w:sz w:val="20"/>
          <w:szCs w:val="20"/>
          <w:lang w:val="en-US" w:eastAsia="fr-CM"/>
        </w:rPr>
        <w:t>.</w:t>
      </w:r>
      <w:r w:rsidRPr="00E774C4">
        <w:rPr>
          <w:rFonts w:ascii="Arial" w:hAnsi="Arial" w:cs="Arial"/>
          <w:sz w:val="20"/>
          <w:szCs w:val="20"/>
          <w:lang w:val="en-US"/>
        </w:rPr>
        <w:t xml:space="preserve">. A powder with </w:t>
      </w:r>
      <w:r w:rsidRPr="00E774C4">
        <w:rPr>
          <w:rStyle w:val="Strong"/>
          <w:rFonts w:ascii="Arial" w:eastAsiaTheme="majorEastAsia" w:hAnsi="Arial" w:cs="Arial"/>
          <w:b w:val="0"/>
          <w:bCs w:val="0"/>
          <w:sz w:val="20"/>
          <w:szCs w:val="20"/>
          <w:lang w:val="en-US"/>
        </w:rPr>
        <w:t>low WAC</w:t>
      </w:r>
      <w:r w:rsidRPr="00E774C4">
        <w:rPr>
          <w:rFonts w:ascii="Arial" w:hAnsi="Arial" w:cs="Arial"/>
          <w:sz w:val="20"/>
          <w:szCs w:val="20"/>
          <w:lang w:val="en-US"/>
        </w:rPr>
        <w:t xml:space="preserve"> may be </w:t>
      </w:r>
      <w:r w:rsidRPr="00E774C4">
        <w:rPr>
          <w:rStyle w:val="Strong"/>
          <w:rFonts w:ascii="Arial" w:eastAsiaTheme="majorEastAsia" w:hAnsi="Arial" w:cs="Arial"/>
          <w:b w:val="0"/>
          <w:bCs w:val="0"/>
          <w:sz w:val="20"/>
          <w:szCs w:val="20"/>
          <w:lang w:val="en-US"/>
        </w:rPr>
        <w:t>more susceptible to oxidation</w:t>
      </w:r>
      <w:r w:rsidRPr="00E774C4">
        <w:rPr>
          <w:rFonts w:ascii="Arial" w:hAnsi="Arial" w:cs="Arial"/>
          <w:sz w:val="20"/>
          <w:szCs w:val="20"/>
          <w:lang w:val="en-US"/>
        </w:rPr>
        <w:t>, thereby reducing the effectiveness of its antioxidants</w:t>
      </w:r>
      <w:r w:rsidR="00782374">
        <w:rPr>
          <w:rFonts w:ascii="Arial" w:hAnsi="Arial" w:cs="Arial"/>
          <w:sz w:val="20"/>
          <w:szCs w:val="20"/>
          <w:lang w:val="en-US"/>
        </w:rPr>
        <w:t xml:space="preserve"> </w:t>
      </w:r>
      <w:r w:rsidR="00782374">
        <w:rPr>
          <w:rFonts w:ascii="Arial" w:hAnsi="Arial" w:cs="Arial"/>
          <w:sz w:val="20"/>
          <w:szCs w:val="20"/>
          <w:lang w:val="en-US" w:eastAsia="fr-CM"/>
        </w:rPr>
        <w:fldChar w:fldCharType="begin" w:fldLock="1"/>
      </w:r>
      <w:r w:rsidR="00782374">
        <w:rPr>
          <w:rFonts w:ascii="Arial" w:hAnsi="Arial" w:cs="Arial"/>
          <w:sz w:val="20"/>
          <w:szCs w:val="20"/>
          <w:lang w:val="en-US" w:eastAsia="fr-CM"/>
        </w:rPr>
        <w:instrText>ADDIN CSL_CITATION {"citationItems":[{"id":"ITEM-1","itemData":{"DOI":"10.1002/fsn3.1409","ISSN":"20487177","abstract":"Soybean residue is an underutilized, nutrient-rich by-product of soybean processing. To enhance its value, we subjected soybean residue to superfine grinding and measured the resulting physiochemical properties and antioxidant activities. We prepared powders with particle sizes of 115.35, 77.93, 39.38, 25.01, and 20.44 μm. As particle size decreased, the surface area (from 96.46 to 198.32 m2/kg) and swelling capacity (from 2.05 to 10.62 ml/g) increased. Conversely, we observed decreases in the surface-number mean (from 23.07 to 11.20 μm), volume-surface mean (from 141.70 to 27.96 μm), angles of repose (from 48.30° to 31.46°), water holding capacity (from 7.86 to 4.39 g/g), and oil binding capacity (from 1.78 to 1.42 g/g). The water solubility index and antioxidant activity (reducing power and free radical scavenging activities of 2,2-diphenyl-1-picrylhydrazyl and 2,2′-azino-di-(3-eth</w:instrText>
      </w:r>
      <w:r w:rsidR="00782374" w:rsidRPr="00675ED0">
        <w:rPr>
          <w:rFonts w:ascii="Arial" w:hAnsi="Arial" w:cs="Arial"/>
          <w:sz w:val="20"/>
          <w:szCs w:val="20"/>
          <w:lang w:eastAsia="fr-CM"/>
        </w:rPr>
        <w:instrText>ylbenzthiazoline sulfonic acid)) improved as particle size decreased. In conclusion, superfine grinding improved some properties of soybean residue. Additionally, our findings provide theoretical support for using superfine grinding in industrial food applications.","author":[{"dropping-particle":"","family":"Li","given":"Guanghui","non-dropping-particle":"","parse-names":false,"suffix":""},{"dropping-particle":"","family":"Guo","given":"Weiyun","non-dropping-particle":"","parse-names":false,"suffix":""},{"dropping-particle":"","family":"Gao","given":"Xueli","non-dropping-particle":"","parse-names":false,"suffix":""},{"dropping-particle":"","family":"Wang","given":"Yonghui","non-dropping-particle":"","parse-names":false,"suffix":""},{"dropping-particle":"","family":"Sun","given":"Sisheng","non-dropping-particle":"","parse-names":false,"suffix":""}],"container-title":"Food Science and Nutrition","id":"ITEM-1","issue":"2","issued":{"date-parts":[["2020"]]},"page":"1208-1214","title":"Effect of superfine grinding on physicochemical and antioxidant properties of soybean residue powder","type":"article-journal","volume":"8"},"uris":["http://www.mendeley.com/documents/?uuid=3154cbf8-a7e0-4854-bae6-605f3bb74030"]}],"mendeley":{"formattedCitation":"(Li et al., 2020)","plainTextFormattedCitation":"(Li et al., 2020)","previouslyFormattedCitation":"(Li et al., 2020)"},"properties":{"noteIndex":0},"schema":"https://github.com/citation-style-language/schema/raw/master/csl-citation.json"}</w:instrText>
      </w:r>
      <w:r w:rsidR="00782374">
        <w:rPr>
          <w:rFonts w:ascii="Arial" w:hAnsi="Arial" w:cs="Arial"/>
          <w:sz w:val="20"/>
          <w:szCs w:val="20"/>
          <w:lang w:val="en-US" w:eastAsia="fr-CM"/>
        </w:rPr>
        <w:fldChar w:fldCharType="separate"/>
      </w:r>
      <w:r w:rsidR="00782374" w:rsidRPr="00675ED0">
        <w:rPr>
          <w:rFonts w:ascii="Arial" w:hAnsi="Arial" w:cs="Arial"/>
          <w:noProof/>
          <w:sz w:val="20"/>
          <w:szCs w:val="20"/>
          <w:lang w:eastAsia="fr-CM"/>
        </w:rPr>
        <w:t>(Li et al., 2020)</w:t>
      </w:r>
      <w:r w:rsidR="00782374">
        <w:rPr>
          <w:rFonts w:ascii="Arial" w:hAnsi="Arial" w:cs="Arial"/>
          <w:sz w:val="20"/>
          <w:szCs w:val="20"/>
          <w:lang w:val="en-US" w:eastAsia="fr-CM"/>
        </w:rPr>
        <w:fldChar w:fldCharType="end"/>
      </w:r>
      <w:r w:rsidR="009A2113" w:rsidRPr="00675ED0">
        <w:rPr>
          <w:rFonts w:ascii="Arial" w:hAnsi="Arial" w:cs="Arial"/>
          <w:sz w:val="20"/>
          <w:szCs w:val="20"/>
          <w:lang w:eastAsia="fr-CM"/>
        </w:rPr>
        <w:t xml:space="preserve"> </w:t>
      </w:r>
      <w:r w:rsidR="009A2113">
        <w:rPr>
          <w:rFonts w:ascii="Arial" w:hAnsi="Arial" w:cs="Arial"/>
          <w:sz w:val="20"/>
          <w:szCs w:val="20"/>
          <w:lang w:val="en-US" w:eastAsia="fr-CM"/>
        </w:rPr>
        <w:fldChar w:fldCharType="begin" w:fldLock="1"/>
      </w:r>
      <w:r w:rsidR="00DA65F2" w:rsidRPr="00675ED0">
        <w:rPr>
          <w:rFonts w:ascii="Arial" w:hAnsi="Arial" w:cs="Arial"/>
          <w:sz w:val="20"/>
          <w:szCs w:val="20"/>
          <w:lang w:eastAsia="fr-CM"/>
        </w:rPr>
        <w:instrText>ADDIN CSL_CITATION {"citationItems":[{"id":"ITEM-1","itemData":{"DOI":"10.3390/app10113668","ISSN":"20763417","abstract":"This study evaluates nutrients and health-promoting compounds responsible for antioxidant capacity in eight novel formulations based on lyophilized fruit and vegetable powders. The composition contained lyophilized carrot, pumpkin, lentil sprouts, raspberry, strawberry, and apple. The effect of functional additives on the antioxidant, nutritional, and functional characteristics of powdered beverages was determined in the powders and after rehydration followed by in vitro digestion. The antioxidant activity, phenols, vitamin C, and reducing power were significantly higher in the powders enriched with additives having potential functional properties. Furthermore, the analyses indicated that all the powdered formulations may be potential sources of total starch (100-112 mg/100 mL) and proteins (125-139 mg/100 mL). The designed powdered beverages after reconstitution exhibited high antioxidant content, reasonable consumer acceptance, and good in vitro bioaccessibility. The best results of antioxidant capacity were obtained for beverages enriched with raspberry, i.e., 10.4 mg Trolox equivalent (TE)/100 mL and 12.1 mg TE/100 mL rehydrated at 20 °C and 80 °C, respectively. Additionally, color characteristics were used as indicators of the quality of the powdered beverages. This research promotes the reduction of food waste, since whole plant tissues are used, thus allowing maximum exploitation of food raw materials; moreover, drying provides stable shelf life.","author":[{"dropping-particle":"","family":"Bochnak-Niedźwiecka","given":"Justyna","non-dropping-particle":"","parse-names":false,"suffix":""},{"dropping-particle":"","family":"Świeca","given":"Michał","non-dropping-particle":"","parse-names":false,"suffix":""}],"container-title":"Applied Sciences (Switzerland)","id":"ITEM-1","issue":"11","issued":{"date-parts":[["2020"]]},"title":"Quality of new functional powdered beverages enriched with lyophilized fruits-potentially bioaccessible antioxidant properties, nutritional value, and consumer analysis","type":"article-journal","volume":"10"},"uris":["http://www.mendeley.com/documents/?uuid=122dd676-df69-490e-bb80-8f813db577b1"]}],"mendeley":{"formattedCitation":"(Bochnak-Niedźwiecka &amp; Świeca, 2020)","plainTextFormattedCitation":"(Bochnak-Niedźwiecka &amp; Świeca, 2020)","previouslyFormattedCitation":"(Bochnak-Niedźwiecka &amp; Świeca, 2020)"},"properties":{"noteIndex":0},"schema":"https://github.com/citation-style-language/schema/raw/master/csl-citation.json"}</w:instrText>
      </w:r>
      <w:r w:rsidR="009A2113">
        <w:rPr>
          <w:rFonts w:ascii="Arial" w:hAnsi="Arial" w:cs="Arial"/>
          <w:sz w:val="20"/>
          <w:szCs w:val="20"/>
          <w:lang w:val="en-US" w:eastAsia="fr-CM"/>
        </w:rPr>
        <w:fldChar w:fldCharType="separate"/>
      </w:r>
      <w:r w:rsidR="009A2113" w:rsidRPr="00675ED0">
        <w:rPr>
          <w:rFonts w:ascii="Arial" w:hAnsi="Arial" w:cs="Arial"/>
          <w:noProof/>
          <w:sz w:val="20"/>
          <w:szCs w:val="20"/>
          <w:lang w:eastAsia="fr-CM"/>
        </w:rPr>
        <w:t>(Bochnak-Niedźwiecka &amp; Świeca, 2020)</w:t>
      </w:r>
      <w:r w:rsidR="009A2113">
        <w:rPr>
          <w:rFonts w:ascii="Arial" w:hAnsi="Arial" w:cs="Arial"/>
          <w:sz w:val="20"/>
          <w:szCs w:val="20"/>
          <w:lang w:val="en-US" w:eastAsia="fr-CM"/>
        </w:rPr>
        <w:fldChar w:fldCharType="end"/>
      </w:r>
      <w:r w:rsidRPr="00675ED0">
        <w:rPr>
          <w:rFonts w:ascii="Arial" w:hAnsi="Arial" w:cs="Arial"/>
          <w:sz w:val="20"/>
          <w:szCs w:val="20"/>
        </w:rPr>
        <w:t xml:space="preserve">. </w:t>
      </w:r>
      <w:proofErr w:type="spellStart"/>
      <w:r w:rsidRPr="00675ED0">
        <w:rPr>
          <w:rFonts w:ascii="Arial" w:hAnsi="Arial" w:cs="Arial"/>
          <w:sz w:val="20"/>
          <w:szCs w:val="20"/>
        </w:rPr>
        <w:t>Furthermore</w:t>
      </w:r>
      <w:proofErr w:type="spellEnd"/>
      <w:r w:rsidRPr="00675ED0">
        <w:rPr>
          <w:rFonts w:ascii="Arial" w:hAnsi="Arial" w:cs="Arial"/>
          <w:sz w:val="20"/>
          <w:szCs w:val="20"/>
        </w:rPr>
        <w:t xml:space="preserve">, </w:t>
      </w:r>
      <w:proofErr w:type="spellStart"/>
      <w:r w:rsidRPr="00675ED0">
        <w:rPr>
          <w:rStyle w:val="Strong"/>
          <w:rFonts w:ascii="Arial" w:eastAsiaTheme="majorEastAsia" w:hAnsi="Arial" w:cs="Arial"/>
          <w:b w:val="0"/>
          <w:bCs w:val="0"/>
          <w:sz w:val="20"/>
          <w:szCs w:val="20"/>
        </w:rPr>
        <w:t>lipid</w:t>
      </w:r>
      <w:proofErr w:type="spellEnd"/>
      <w:r w:rsidRPr="00675ED0">
        <w:rPr>
          <w:rStyle w:val="Strong"/>
          <w:rFonts w:ascii="Arial" w:eastAsiaTheme="majorEastAsia" w:hAnsi="Arial" w:cs="Arial"/>
          <w:b w:val="0"/>
          <w:bCs w:val="0"/>
          <w:sz w:val="20"/>
          <w:szCs w:val="20"/>
        </w:rPr>
        <w:t xml:space="preserve"> interactions</w:t>
      </w:r>
      <w:r w:rsidRPr="00675ED0">
        <w:rPr>
          <w:rFonts w:ascii="Arial" w:hAnsi="Arial" w:cs="Arial"/>
          <w:sz w:val="20"/>
          <w:szCs w:val="20"/>
        </w:rPr>
        <w:t xml:space="preserve"> </w:t>
      </w:r>
      <w:proofErr w:type="spellStart"/>
      <w:r w:rsidRPr="00675ED0">
        <w:rPr>
          <w:rFonts w:ascii="Arial" w:hAnsi="Arial" w:cs="Arial"/>
          <w:sz w:val="20"/>
          <w:szCs w:val="20"/>
        </w:rPr>
        <w:t>play</w:t>
      </w:r>
      <w:proofErr w:type="spellEnd"/>
      <w:r w:rsidRPr="00675ED0">
        <w:rPr>
          <w:rFonts w:ascii="Arial" w:hAnsi="Arial" w:cs="Arial"/>
          <w:sz w:val="20"/>
          <w:szCs w:val="20"/>
        </w:rPr>
        <w:t xml:space="preserve"> </w:t>
      </w:r>
      <w:proofErr w:type="spellStart"/>
      <w:r w:rsidRPr="00675ED0">
        <w:rPr>
          <w:rFonts w:ascii="Arial" w:hAnsi="Arial" w:cs="Arial"/>
          <w:sz w:val="20"/>
          <w:szCs w:val="20"/>
        </w:rPr>
        <w:t>a</w:t>
      </w:r>
      <w:proofErr w:type="spellEnd"/>
      <w:r w:rsidRPr="00675ED0">
        <w:rPr>
          <w:rFonts w:ascii="Arial" w:hAnsi="Arial" w:cs="Arial"/>
          <w:sz w:val="20"/>
          <w:szCs w:val="20"/>
        </w:rPr>
        <w:t xml:space="preserve"> key </w:t>
      </w:r>
      <w:proofErr w:type="spellStart"/>
      <w:r w:rsidRPr="00675ED0">
        <w:rPr>
          <w:rFonts w:ascii="Arial" w:hAnsi="Arial" w:cs="Arial"/>
          <w:sz w:val="20"/>
          <w:szCs w:val="20"/>
        </w:rPr>
        <w:t>role</w:t>
      </w:r>
      <w:proofErr w:type="spellEnd"/>
      <w:r w:rsidRPr="00675ED0">
        <w:rPr>
          <w:rFonts w:ascii="Arial" w:hAnsi="Arial" w:cs="Arial"/>
          <w:sz w:val="20"/>
          <w:szCs w:val="20"/>
        </w:rPr>
        <w:t xml:space="preserve"> in </w:t>
      </w:r>
      <w:proofErr w:type="spellStart"/>
      <w:r w:rsidRPr="00675ED0">
        <w:rPr>
          <w:rStyle w:val="Strong"/>
          <w:rFonts w:ascii="Arial" w:eastAsiaTheme="majorEastAsia" w:hAnsi="Arial" w:cs="Arial"/>
          <w:b w:val="0"/>
          <w:bCs w:val="0"/>
          <w:sz w:val="20"/>
          <w:szCs w:val="20"/>
        </w:rPr>
        <w:t>dietary</w:t>
      </w:r>
      <w:proofErr w:type="spellEnd"/>
      <w:r w:rsidRPr="00675ED0">
        <w:rPr>
          <w:rStyle w:val="Strong"/>
          <w:rFonts w:ascii="Arial" w:eastAsiaTheme="majorEastAsia" w:hAnsi="Arial" w:cs="Arial"/>
          <w:b w:val="0"/>
          <w:bCs w:val="0"/>
          <w:sz w:val="20"/>
          <w:szCs w:val="20"/>
        </w:rPr>
        <w:t xml:space="preserve"> </w:t>
      </w:r>
      <w:proofErr w:type="spellStart"/>
      <w:r w:rsidRPr="00675ED0">
        <w:rPr>
          <w:rStyle w:val="Strong"/>
          <w:rFonts w:ascii="Arial" w:eastAsiaTheme="majorEastAsia" w:hAnsi="Arial" w:cs="Arial"/>
          <w:b w:val="0"/>
          <w:bCs w:val="0"/>
          <w:sz w:val="20"/>
          <w:szCs w:val="20"/>
        </w:rPr>
        <w:t>supplement</w:t>
      </w:r>
      <w:proofErr w:type="spellEnd"/>
      <w:r w:rsidRPr="00675ED0">
        <w:rPr>
          <w:rStyle w:val="Strong"/>
          <w:rFonts w:ascii="Arial" w:eastAsiaTheme="majorEastAsia" w:hAnsi="Arial" w:cs="Arial"/>
          <w:b w:val="0"/>
          <w:bCs w:val="0"/>
          <w:sz w:val="20"/>
          <w:szCs w:val="20"/>
        </w:rPr>
        <w:t xml:space="preserve"> formulation</w:t>
      </w:r>
      <w:r w:rsidRPr="00675ED0">
        <w:rPr>
          <w:rFonts w:ascii="Arial" w:hAnsi="Arial" w:cs="Arial"/>
          <w:sz w:val="20"/>
          <w:szCs w:val="20"/>
        </w:rPr>
        <w:t xml:space="preserve">. </w:t>
      </w:r>
      <w:r w:rsidRPr="00E774C4">
        <w:rPr>
          <w:rFonts w:ascii="Arial" w:hAnsi="Arial" w:cs="Arial"/>
          <w:sz w:val="20"/>
          <w:szCs w:val="20"/>
          <w:lang w:val="en-US"/>
        </w:rPr>
        <w:t xml:space="preserve">A powder with </w:t>
      </w:r>
      <w:r w:rsidRPr="00E774C4">
        <w:rPr>
          <w:rStyle w:val="Strong"/>
          <w:rFonts w:ascii="Arial" w:eastAsiaTheme="majorEastAsia" w:hAnsi="Arial" w:cs="Arial"/>
          <w:b w:val="0"/>
          <w:bCs w:val="0"/>
          <w:sz w:val="20"/>
          <w:szCs w:val="20"/>
          <w:lang w:val="en-US"/>
        </w:rPr>
        <w:t>good oil absorption capacity</w:t>
      </w:r>
      <w:r w:rsidRPr="00E774C4">
        <w:rPr>
          <w:rFonts w:ascii="Arial" w:hAnsi="Arial" w:cs="Arial"/>
          <w:sz w:val="20"/>
          <w:szCs w:val="20"/>
          <w:lang w:val="en-US"/>
        </w:rPr>
        <w:t xml:space="preserve"> can enhance the protection of </w:t>
      </w:r>
      <w:r w:rsidRPr="00E774C4">
        <w:rPr>
          <w:rStyle w:val="Strong"/>
          <w:rFonts w:ascii="Arial" w:eastAsiaTheme="majorEastAsia" w:hAnsi="Arial" w:cs="Arial"/>
          <w:b w:val="0"/>
          <w:bCs w:val="0"/>
          <w:sz w:val="20"/>
          <w:szCs w:val="20"/>
          <w:lang w:val="en-US"/>
        </w:rPr>
        <w:t>liposoluble antioxidants</w:t>
      </w:r>
      <w:r w:rsidRPr="00E774C4">
        <w:rPr>
          <w:rFonts w:ascii="Arial" w:hAnsi="Arial" w:cs="Arial"/>
          <w:sz w:val="20"/>
          <w:szCs w:val="20"/>
          <w:lang w:val="en-US"/>
        </w:rPr>
        <w:t xml:space="preserve">, such as </w:t>
      </w:r>
      <w:r w:rsidRPr="00E774C4">
        <w:rPr>
          <w:rStyle w:val="Strong"/>
          <w:rFonts w:ascii="Arial" w:eastAsiaTheme="majorEastAsia" w:hAnsi="Arial" w:cs="Arial"/>
          <w:b w:val="0"/>
          <w:bCs w:val="0"/>
          <w:sz w:val="20"/>
          <w:szCs w:val="20"/>
          <w:lang w:val="en-US"/>
        </w:rPr>
        <w:t>carotenoids (provitamin A) and vitamin E</w:t>
      </w:r>
      <w:r w:rsidRPr="00E774C4">
        <w:rPr>
          <w:rFonts w:ascii="Arial" w:hAnsi="Arial" w:cs="Arial"/>
          <w:sz w:val="20"/>
          <w:szCs w:val="20"/>
          <w:lang w:val="en-US"/>
        </w:rPr>
        <w:t>, against degradation</w:t>
      </w:r>
      <w:r w:rsidR="00782374">
        <w:rPr>
          <w:rFonts w:ascii="Arial" w:hAnsi="Arial" w:cs="Arial"/>
          <w:sz w:val="20"/>
          <w:szCs w:val="20"/>
          <w:lang w:val="en-US"/>
        </w:rPr>
        <w:t xml:space="preserve"> </w:t>
      </w:r>
      <w:r w:rsidR="006A54DD">
        <w:rPr>
          <w:rFonts w:ascii="Arial" w:hAnsi="Arial" w:cs="Arial"/>
          <w:sz w:val="20"/>
          <w:szCs w:val="20"/>
          <w:lang w:val="en-US"/>
        </w:rPr>
        <w:fldChar w:fldCharType="begin" w:fldLock="1"/>
      </w:r>
      <w:r w:rsidR="00DB449D">
        <w:rPr>
          <w:rFonts w:ascii="Arial" w:hAnsi="Arial" w:cs="Arial"/>
          <w:sz w:val="20"/>
          <w:szCs w:val="20"/>
          <w:lang w:val="en-US"/>
        </w:rPr>
        <w:instrText>ADDIN CSL_CITATION {"citationItems":[{"id":"ITEM-1","itemData":{"DOI":"https://doi.org/10.1016/j.foodres.2022.111104","author":[{"dropping-particle":"","family":"Ruru","given":"Liu","non-dropping-particle":"","parse-names":false,"suffix":""},{"dropping-particle":"","family":"Ying","given":"Xu","non-dropping-particle":"","parse-names":false,"suffix":""},{"dropping-particle":"","family":"Zhang","given":"Tao","non-dropping-particle":"","parse-names":false,"suffix":""},{"dropping-particle":"","family":"Gong","given":"Mengyue","non-dropping-particle":"","parse-names":false,"suffix":""},{"dropping-particle":"","family":"Liu","given":"Ruijie","non-dropping-particle":"","parse-names":false,"suffix":""},{"dropping-particle":"","family":"Chang","given":"Ming","non-dropping-particle":"","parse-names":false,"suffix":""},{"dropping-particle":"","family":"Wang","given":"Xingguo","non-dropping-particle":"","parse-names":false,"suffix":""}],"container-title":"Food Research International","id":"ITEM-1","issue":"May","issued":{"date-parts":[["2022"]]},"page":"111104","title":"Interactions between liposoluble antioxidants: A critical review","type":"article-journal","volume":"155"},"uris":["http://www.mendeley.com/documents/?uuid=1ea17792-3672-4e95-8356-0fb09ca18468"]}],"mendeley":{"formattedCitation":"(Ruru et al., 2022)","plainTextFormattedCitation":"(Ruru et al., 2022)","previouslyFormattedCitation":"(Ruru et al., 2022)"},"properties":{"noteIndex":0},"schema":"https://github.com/citation-style-language/schema/raw/master/csl-citation.json"}</w:instrText>
      </w:r>
      <w:r w:rsidR="006A54DD">
        <w:rPr>
          <w:rFonts w:ascii="Arial" w:hAnsi="Arial" w:cs="Arial"/>
          <w:sz w:val="20"/>
          <w:szCs w:val="20"/>
          <w:lang w:val="en-US"/>
        </w:rPr>
        <w:fldChar w:fldCharType="separate"/>
      </w:r>
      <w:r w:rsidR="006A54DD" w:rsidRPr="006A54DD">
        <w:rPr>
          <w:rFonts w:ascii="Arial" w:hAnsi="Arial" w:cs="Arial"/>
          <w:noProof/>
          <w:sz w:val="20"/>
          <w:szCs w:val="20"/>
          <w:lang w:val="en-US"/>
        </w:rPr>
        <w:t>(Ruru et al., 2022)</w:t>
      </w:r>
      <w:r w:rsidR="006A54DD">
        <w:rPr>
          <w:rFonts w:ascii="Arial" w:hAnsi="Arial" w:cs="Arial"/>
          <w:sz w:val="20"/>
          <w:szCs w:val="20"/>
          <w:lang w:val="en-US"/>
        </w:rPr>
        <w:fldChar w:fldCharType="end"/>
      </w:r>
      <w:r w:rsidR="006A54DD">
        <w:rPr>
          <w:rFonts w:ascii="Arial" w:hAnsi="Arial" w:cs="Arial"/>
          <w:sz w:val="20"/>
          <w:szCs w:val="20"/>
          <w:lang w:val="en-US"/>
        </w:rPr>
        <w:t>.</w:t>
      </w:r>
      <w:r w:rsidRPr="00E07923">
        <w:rPr>
          <w:rFonts w:ascii="Arial" w:hAnsi="Arial" w:cs="Arial"/>
          <w:color w:val="FF0000"/>
          <w:sz w:val="20"/>
          <w:szCs w:val="20"/>
          <w:lang w:val="en-US"/>
        </w:rPr>
        <w:t xml:space="preserve"> </w:t>
      </w:r>
      <w:r w:rsidRPr="00E774C4">
        <w:rPr>
          <w:rFonts w:ascii="Arial" w:hAnsi="Arial" w:cs="Arial"/>
          <w:sz w:val="20"/>
          <w:szCs w:val="20"/>
          <w:lang w:val="en-US"/>
        </w:rPr>
        <w:t xml:space="preserve">Recent studies have shown that </w:t>
      </w:r>
      <w:r w:rsidRPr="00E774C4">
        <w:rPr>
          <w:rStyle w:val="Strong"/>
          <w:rFonts w:ascii="Arial" w:eastAsiaTheme="majorEastAsia" w:hAnsi="Arial" w:cs="Arial"/>
          <w:b w:val="0"/>
          <w:bCs w:val="0"/>
          <w:sz w:val="20"/>
          <w:szCs w:val="20"/>
          <w:lang w:val="en-US"/>
        </w:rPr>
        <w:t>polyphenols and flavonoids</w:t>
      </w:r>
      <w:r w:rsidRPr="00E774C4">
        <w:rPr>
          <w:rFonts w:ascii="Arial" w:hAnsi="Arial" w:cs="Arial"/>
          <w:sz w:val="20"/>
          <w:szCs w:val="20"/>
          <w:lang w:val="en-US"/>
        </w:rPr>
        <w:t xml:space="preserve"> present in certain plant powders may exhibit </w:t>
      </w:r>
      <w:r w:rsidRPr="00E774C4">
        <w:rPr>
          <w:rStyle w:val="Strong"/>
          <w:rFonts w:ascii="Arial" w:eastAsiaTheme="majorEastAsia" w:hAnsi="Arial" w:cs="Arial"/>
          <w:b w:val="0"/>
          <w:bCs w:val="0"/>
          <w:sz w:val="20"/>
          <w:szCs w:val="20"/>
          <w:lang w:val="en-US"/>
        </w:rPr>
        <w:t>reduced effectiveness</w:t>
      </w:r>
      <w:r w:rsidRPr="00E774C4">
        <w:rPr>
          <w:rFonts w:ascii="Arial" w:hAnsi="Arial" w:cs="Arial"/>
          <w:sz w:val="20"/>
          <w:szCs w:val="20"/>
          <w:lang w:val="en-US"/>
        </w:rPr>
        <w:t xml:space="preserve"> if the </w:t>
      </w:r>
      <w:r w:rsidRPr="00E774C4">
        <w:rPr>
          <w:rStyle w:val="Strong"/>
          <w:rFonts w:ascii="Arial" w:eastAsiaTheme="majorEastAsia" w:hAnsi="Arial" w:cs="Arial"/>
          <w:b w:val="0"/>
          <w:bCs w:val="0"/>
          <w:sz w:val="20"/>
          <w:szCs w:val="20"/>
          <w:lang w:val="en-US"/>
        </w:rPr>
        <w:t>food matrix</w:t>
      </w:r>
      <w:r w:rsidRPr="00E774C4">
        <w:rPr>
          <w:rFonts w:ascii="Arial" w:hAnsi="Arial" w:cs="Arial"/>
          <w:sz w:val="20"/>
          <w:szCs w:val="20"/>
          <w:lang w:val="en-US"/>
        </w:rPr>
        <w:t xml:space="preserve"> does not allow for </w:t>
      </w:r>
      <w:r w:rsidRPr="00E774C4">
        <w:rPr>
          <w:rStyle w:val="Strong"/>
          <w:rFonts w:ascii="Arial" w:eastAsiaTheme="majorEastAsia" w:hAnsi="Arial" w:cs="Arial"/>
          <w:b w:val="0"/>
          <w:bCs w:val="0"/>
          <w:sz w:val="20"/>
          <w:szCs w:val="20"/>
          <w:lang w:val="en-US"/>
        </w:rPr>
        <w:t>proper release and absorption</w:t>
      </w:r>
      <w:r w:rsidRPr="00E774C4">
        <w:rPr>
          <w:rFonts w:ascii="Arial" w:hAnsi="Arial" w:cs="Arial"/>
          <w:sz w:val="20"/>
          <w:szCs w:val="20"/>
          <w:lang w:val="en-US"/>
        </w:rPr>
        <w:t xml:space="preserve"> of bioactive molecules</w:t>
      </w:r>
      <w:r w:rsidR="00782374">
        <w:rPr>
          <w:rFonts w:ascii="Arial" w:hAnsi="Arial" w:cs="Arial"/>
          <w:sz w:val="20"/>
          <w:szCs w:val="20"/>
          <w:lang w:val="en-US"/>
        </w:rPr>
        <w:t xml:space="preserve"> </w:t>
      </w:r>
      <w:r w:rsidR="00DA65F2">
        <w:rPr>
          <w:rFonts w:ascii="Arial" w:hAnsi="Arial" w:cs="Arial"/>
          <w:sz w:val="20"/>
          <w:szCs w:val="20"/>
          <w:lang w:val="en-US"/>
        </w:rPr>
        <w:fldChar w:fldCharType="begin" w:fldLock="1"/>
      </w:r>
      <w:r w:rsidR="006A54DD">
        <w:rPr>
          <w:rFonts w:ascii="Arial" w:hAnsi="Arial" w:cs="Arial"/>
          <w:sz w:val="20"/>
          <w:szCs w:val="20"/>
          <w:lang w:val="en-US"/>
        </w:rPr>
        <w:instrText>ADDIN CSL_CITATION {"citationItems":[{"id":"ITEM-1","itemData":{"DOI":"10.3390/app10113668","ISSN":"20763417","abstract":"This study evaluates nutrients and health-promoting compounds responsible for antioxidant capacity in eight novel formulations based on lyophilized fruit and vegetable powders. The composition contained lyophilized carrot, pumpkin, lentil sprouts, raspberry, strawberry, and apple. The effect of functional additives on the antioxidant, nutritional, and functional characteristics of powdered beverages was determined in the powders and after rehydration followed by in vitro digestion. The antioxidant activity, phenols, vitamin C, and reducing power were significantly higher in the powders enriched with additives having potential functional properties. Furthermore, the analyses indicated that all the powdered formulations may be potential sources of total starch (100-112 mg/100 mL) and proteins (125-139 mg/100 mL). The designed powdered beverages after reconstitution exhibited high antioxidant content, reasonable consumer acceptance, and good in vitro bioaccessibility. The best results of antioxidant capacity were obtained for beverages enriched with raspberry, i.e., 10.4 mg Trolox equivalent (TE)/100 mL and 12.1 mg TE/100 mL rehydrated at 20 °C and 80 °C, respectively. Additionally, color characteristics were used as indicators of the quality of the powdered beverages. This research promotes the reduction of food waste, since whole plant tissues are used, thus allowing maximum exploitation of food raw materials; moreover, drying provides stable shelf life.","author":[{"dropping-particle":"","family":"Bochnak-Niedźwiecka","given":"Justyna","non-dropping-particle":"","parse-names":false,"suffix":""},{"dropping-particle":"","family":"Świeca","given":"Michał","non-dropping-particle":"","parse-names":false,"suffix":""}],"container-title":"Applied Sciences (Switzerland)","id":"ITEM-1","issue":"11","issued":{"date-parts":[["2020"]]},"title":"Quality of new functional powdered beverages enriched with lyophilized fruits-potentially bioaccessible antioxidant properties, nutritional value, and consumer analysis","type":"article-journal","volume":"10"},"uris":["http://www.mendeley.com/documents/?uuid=122dd676-df69-490e-bb80-8f813db577b1"]}],"mendeley":{"formattedCitation":"(Bochnak-Niedźwiecka &amp; Świeca, 2020)","plainTextFormattedCitation":"(Bochnak-Niedźwiecka &amp; Świeca, 2020)","previouslyFormattedCitation":"(Bochnak-Niedźwiecka &amp; Świeca, 2020)"},"properties":{"noteIndex":0},"schema":"https://github.com/citation-style-language/schema/raw/master/csl-citation.json"}</w:instrText>
      </w:r>
      <w:r w:rsidR="00DA65F2">
        <w:rPr>
          <w:rFonts w:ascii="Arial" w:hAnsi="Arial" w:cs="Arial"/>
          <w:sz w:val="20"/>
          <w:szCs w:val="20"/>
          <w:lang w:val="en-US"/>
        </w:rPr>
        <w:fldChar w:fldCharType="separate"/>
      </w:r>
      <w:r w:rsidR="00DA65F2" w:rsidRPr="00DA65F2">
        <w:rPr>
          <w:rFonts w:ascii="Arial" w:hAnsi="Arial" w:cs="Arial"/>
          <w:noProof/>
          <w:sz w:val="20"/>
          <w:szCs w:val="20"/>
          <w:lang w:val="en-US"/>
        </w:rPr>
        <w:t>(Bochnak-Niedźwiecka &amp; Świeca, 2020)</w:t>
      </w:r>
      <w:r w:rsidR="00DA65F2">
        <w:rPr>
          <w:rFonts w:ascii="Arial" w:hAnsi="Arial" w:cs="Arial"/>
          <w:sz w:val="20"/>
          <w:szCs w:val="20"/>
          <w:lang w:val="en-US"/>
        </w:rPr>
        <w:fldChar w:fldCharType="end"/>
      </w:r>
      <w:r w:rsidR="00DA65F2">
        <w:rPr>
          <w:rFonts w:ascii="Arial" w:hAnsi="Arial" w:cs="Arial"/>
          <w:sz w:val="20"/>
          <w:szCs w:val="20"/>
          <w:lang w:val="en-US"/>
        </w:rPr>
        <w:t>.</w:t>
      </w:r>
      <w:r w:rsidRPr="00E774C4">
        <w:rPr>
          <w:rFonts w:ascii="Arial" w:hAnsi="Arial" w:cs="Arial"/>
          <w:sz w:val="20"/>
          <w:szCs w:val="20"/>
          <w:lang w:val="en-US"/>
        </w:rPr>
        <w:t xml:space="preserve"> In this regard, </w:t>
      </w:r>
      <w:r w:rsidRPr="00E774C4">
        <w:rPr>
          <w:rStyle w:val="Strong"/>
          <w:rFonts w:ascii="Arial" w:eastAsiaTheme="majorEastAsia" w:hAnsi="Arial" w:cs="Arial"/>
          <w:b w:val="0"/>
          <w:bCs w:val="0"/>
          <w:sz w:val="20"/>
          <w:szCs w:val="20"/>
          <w:lang w:val="en-US"/>
        </w:rPr>
        <w:t>plant powders</w:t>
      </w:r>
      <w:r w:rsidRPr="00E774C4">
        <w:rPr>
          <w:rFonts w:ascii="Arial" w:hAnsi="Arial" w:cs="Arial"/>
          <w:sz w:val="20"/>
          <w:szCs w:val="20"/>
          <w:lang w:val="en-US"/>
        </w:rPr>
        <w:t xml:space="preserve"> that have particularly drawn attention, such as </w:t>
      </w:r>
      <w:r w:rsidRPr="00782374">
        <w:rPr>
          <w:rStyle w:val="Strong"/>
          <w:rFonts w:ascii="Arial" w:eastAsiaTheme="majorEastAsia" w:hAnsi="Arial" w:cs="Arial"/>
          <w:b w:val="0"/>
          <w:bCs w:val="0"/>
          <w:i/>
          <w:iCs/>
          <w:sz w:val="20"/>
          <w:szCs w:val="20"/>
          <w:lang w:val="en-US"/>
        </w:rPr>
        <w:t>Abelmoschus esculentus</w:t>
      </w:r>
      <w:r w:rsidRPr="00E774C4">
        <w:rPr>
          <w:rFonts w:ascii="Arial" w:hAnsi="Arial" w:cs="Arial"/>
          <w:sz w:val="20"/>
          <w:szCs w:val="20"/>
          <w:lang w:val="en-US"/>
        </w:rPr>
        <w:t xml:space="preserve"> and </w:t>
      </w:r>
      <w:r w:rsidRPr="00782374">
        <w:rPr>
          <w:rStyle w:val="Strong"/>
          <w:rFonts w:ascii="Arial" w:eastAsiaTheme="majorEastAsia" w:hAnsi="Arial" w:cs="Arial"/>
          <w:b w:val="0"/>
          <w:bCs w:val="0"/>
          <w:i/>
          <w:iCs/>
          <w:sz w:val="20"/>
          <w:szCs w:val="20"/>
          <w:lang w:val="en-US"/>
        </w:rPr>
        <w:t>Corchorus olitorius</w:t>
      </w:r>
      <w:r w:rsidRPr="00E774C4">
        <w:rPr>
          <w:rFonts w:ascii="Arial" w:hAnsi="Arial" w:cs="Arial"/>
          <w:sz w:val="20"/>
          <w:szCs w:val="20"/>
          <w:lang w:val="en-US"/>
        </w:rPr>
        <w:t xml:space="preserve">, which contain </w:t>
      </w:r>
      <w:r w:rsidRPr="00E774C4">
        <w:rPr>
          <w:rStyle w:val="Strong"/>
          <w:rFonts w:ascii="Arial" w:eastAsiaTheme="majorEastAsia" w:hAnsi="Arial" w:cs="Arial"/>
          <w:b w:val="0"/>
          <w:bCs w:val="0"/>
          <w:sz w:val="20"/>
          <w:szCs w:val="20"/>
          <w:lang w:val="en-US"/>
        </w:rPr>
        <w:t>significant levels of bioactive compounds and nutrients</w:t>
      </w:r>
      <w:r>
        <w:rPr>
          <w:rStyle w:val="Strong"/>
          <w:rFonts w:ascii="Arial" w:eastAsiaTheme="majorEastAsia" w:hAnsi="Arial" w:cs="Arial"/>
          <w:b w:val="0"/>
          <w:bCs w:val="0"/>
          <w:sz w:val="20"/>
          <w:szCs w:val="20"/>
          <w:lang w:val="en-US"/>
        </w:rPr>
        <w:t xml:space="preserve"> </w:t>
      </w:r>
      <w:r>
        <w:rPr>
          <w:rFonts w:ascii="Arial" w:hAnsi="Arial" w:cs="Arial"/>
          <w:sz w:val="20"/>
          <w:szCs w:val="20"/>
          <w:lang w:val="en-US" w:eastAsia="fr-CM"/>
        </w:rPr>
        <w:fldChar w:fldCharType="begin" w:fldLock="1"/>
      </w:r>
      <w:r w:rsidR="00FC5154">
        <w:rPr>
          <w:rFonts w:ascii="Arial" w:hAnsi="Arial" w:cs="Arial"/>
          <w:sz w:val="20"/>
          <w:szCs w:val="20"/>
          <w:lang w:val="en-US" w:eastAsia="fr-CM"/>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Pr>
          <w:rFonts w:ascii="Arial" w:hAnsi="Arial" w:cs="Arial"/>
          <w:sz w:val="20"/>
          <w:szCs w:val="20"/>
          <w:lang w:val="en-US" w:eastAsia="fr-CM"/>
        </w:rPr>
        <w:fldChar w:fldCharType="separate"/>
      </w:r>
      <w:r w:rsidR="00FC5154" w:rsidRPr="00FC5154">
        <w:rPr>
          <w:rFonts w:ascii="Arial" w:hAnsi="Arial" w:cs="Arial"/>
          <w:noProof/>
          <w:sz w:val="20"/>
          <w:szCs w:val="20"/>
          <w:lang w:val="en-US" w:eastAsia="fr-CM"/>
        </w:rPr>
        <w:t>(Assiéné, Djeukeu, et al., 2025)</w:t>
      </w:r>
      <w:r>
        <w:rPr>
          <w:rFonts w:ascii="Arial" w:hAnsi="Arial" w:cs="Arial"/>
          <w:sz w:val="20"/>
          <w:szCs w:val="20"/>
          <w:lang w:val="en-US" w:eastAsia="fr-CM"/>
        </w:rPr>
        <w:fldChar w:fldCharType="end"/>
      </w:r>
      <w:r w:rsidRPr="00E774C4">
        <w:rPr>
          <w:rFonts w:ascii="Arial" w:hAnsi="Arial" w:cs="Arial"/>
          <w:sz w:val="20"/>
          <w:szCs w:val="20"/>
          <w:lang w:val="en-US"/>
        </w:rPr>
        <w:t xml:space="preserve">, may be subject to these same limitations when used as </w:t>
      </w:r>
      <w:r w:rsidRPr="00E774C4">
        <w:rPr>
          <w:rStyle w:val="Strong"/>
          <w:rFonts w:ascii="Arial" w:eastAsiaTheme="majorEastAsia" w:hAnsi="Arial" w:cs="Arial"/>
          <w:b w:val="0"/>
          <w:bCs w:val="0"/>
          <w:sz w:val="20"/>
          <w:szCs w:val="20"/>
          <w:lang w:val="en-US"/>
        </w:rPr>
        <w:t>dietary supplements</w:t>
      </w:r>
      <w:r w:rsidRPr="00E774C4">
        <w:rPr>
          <w:rFonts w:ascii="Arial" w:hAnsi="Arial" w:cs="Arial"/>
          <w:sz w:val="20"/>
          <w:szCs w:val="20"/>
          <w:lang w:val="en-US"/>
        </w:rPr>
        <w:t>.</w:t>
      </w:r>
    </w:p>
    <w:p w14:paraId="0F4D8A99" w14:textId="75886554" w:rsidR="00E774C4" w:rsidRPr="00E774C4" w:rsidRDefault="00E774C4" w:rsidP="00E774C4">
      <w:pPr>
        <w:pStyle w:val="NormalWeb"/>
        <w:spacing w:line="360" w:lineRule="auto"/>
        <w:rPr>
          <w:rFonts w:ascii="Arial" w:hAnsi="Arial" w:cs="Arial"/>
          <w:sz w:val="20"/>
          <w:szCs w:val="20"/>
          <w:lang w:val="en-US"/>
        </w:rPr>
      </w:pPr>
      <w:r w:rsidRPr="00782374">
        <w:rPr>
          <w:rStyle w:val="Strong"/>
          <w:rFonts w:ascii="Arial" w:eastAsiaTheme="majorEastAsia" w:hAnsi="Arial" w:cs="Arial"/>
          <w:b w:val="0"/>
          <w:bCs w:val="0"/>
          <w:i/>
          <w:iCs/>
          <w:sz w:val="20"/>
          <w:szCs w:val="20"/>
          <w:lang w:val="en-US"/>
        </w:rPr>
        <w:t>Abelmoschus esculentus</w:t>
      </w:r>
      <w:r w:rsidRPr="00E774C4">
        <w:rPr>
          <w:rFonts w:ascii="Arial" w:hAnsi="Arial" w:cs="Arial"/>
          <w:sz w:val="20"/>
          <w:szCs w:val="20"/>
          <w:lang w:val="en-US"/>
        </w:rPr>
        <w:t xml:space="preserve">, or </w:t>
      </w:r>
      <w:r w:rsidRPr="00E774C4">
        <w:rPr>
          <w:rStyle w:val="Strong"/>
          <w:rFonts w:ascii="Arial" w:eastAsiaTheme="majorEastAsia" w:hAnsi="Arial" w:cs="Arial"/>
          <w:b w:val="0"/>
          <w:bCs w:val="0"/>
          <w:sz w:val="20"/>
          <w:szCs w:val="20"/>
          <w:lang w:val="en-US"/>
        </w:rPr>
        <w:t>okra</w:t>
      </w:r>
      <w:r w:rsidRPr="00E774C4">
        <w:rPr>
          <w:rFonts w:ascii="Arial" w:hAnsi="Arial" w:cs="Arial"/>
          <w:sz w:val="20"/>
          <w:szCs w:val="20"/>
          <w:lang w:val="en-US"/>
        </w:rPr>
        <w:t xml:space="preserve">, is a vegetable plant from the </w:t>
      </w:r>
      <w:proofErr w:type="spellStart"/>
      <w:r w:rsidRPr="00E774C4">
        <w:rPr>
          <w:rStyle w:val="Strong"/>
          <w:rFonts w:ascii="Arial" w:eastAsiaTheme="majorEastAsia" w:hAnsi="Arial" w:cs="Arial"/>
          <w:b w:val="0"/>
          <w:bCs w:val="0"/>
          <w:sz w:val="20"/>
          <w:szCs w:val="20"/>
          <w:lang w:val="en-US"/>
        </w:rPr>
        <w:t>Malvaceae</w:t>
      </w:r>
      <w:proofErr w:type="spellEnd"/>
      <w:r w:rsidRPr="00E774C4">
        <w:rPr>
          <w:rStyle w:val="Strong"/>
          <w:rFonts w:ascii="Arial" w:eastAsiaTheme="majorEastAsia" w:hAnsi="Arial" w:cs="Arial"/>
          <w:b w:val="0"/>
          <w:bCs w:val="0"/>
          <w:sz w:val="20"/>
          <w:szCs w:val="20"/>
          <w:lang w:val="en-US"/>
        </w:rPr>
        <w:t xml:space="preserve"> family</w:t>
      </w:r>
      <w:r w:rsidRPr="00E774C4">
        <w:rPr>
          <w:rFonts w:ascii="Arial" w:hAnsi="Arial" w:cs="Arial"/>
          <w:sz w:val="20"/>
          <w:szCs w:val="20"/>
          <w:lang w:val="en-US"/>
        </w:rPr>
        <w:t xml:space="preserve">, primarily cultivated for its </w:t>
      </w:r>
      <w:r w:rsidRPr="00E774C4">
        <w:rPr>
          <w:rStyle w:val="Strong"/>
          <w:rFonts w:ascii="Arial" w:eastAsiaTheme="majorEastAsia" w:hAnsi="Arial" w:cs="Arial"/>
          <w:b w:val="0"/>
          <w:bCs w:val="0"/>
          <w:sz w:val="20"/>
          <w:szCs w:val="20"/>
          <w:lang w:val="en-US"/>
        </w:rPr>
        <w:t>edible immature fruit</w:t>
      </w:r>
      <w:r w:rsidRPr="00E774C4">
        <w:rPr>
          <w:rFonts w:ascii="Arial" w:hAnsi="Arial" w:cs="Arial"/>
          <w:sz w:val="20"/>
          <w:szCs w:val="20"/>
          <w:lang w:val="en-US"/>
        </w:rPr>
        <w:t xml:space="preserve">. </w:t>
      </w:r>
      <w:r w:rsidR="00B3747D">
        <w:rPr>
          <w:rFonts w:ascii="Arial" w:hAnsi="Arial" w:cs="Arial"/>
          <w:sz w:val="20"/>
          <w:szCs w:val="20"/>
          <w:lang w:val="en-US"/>
        </w:rPr>
        <w:t>I</w:t>
      </w:r>
      <w:r w:rsidRPr="00E774C4">
        <w:rPr>
          <w:rFonts w:ascii="Arial" w:hAnsi="Arial" w:cs="Arial"/>
          <w:sz w:val="20"/>
          <w:szCs w:val="20"/>
          <w:lang w:val="en-US"/>
        </w:rPr>
        <w:t xml:space="preserve">t thrives in </w:t>
      </w:r>
      <w:r w:rsidRPr="00E774C4">
        <w:rPr>
          <w:rStyle w:val="Strong"/>
          <w:rFonts w:ascii="Arial" w:eastAsiaTheme="majorEastAsia" w:hAnsi="Arial" w:cs="Arial"/>
          <w:b w:val="0"/>
          <w:bCs w:val="0"/>
          <w:sz w:val="20"/>
          <w:szCs w:val="20"/>
          <w:lang w:val="en-US"/>
        </w:rPr>
        <w:t>tropical and subtropical regions</w:t>
      </w:r>
      <w:r w:rsidRPr="00E774C4">
        <w:rPr>
          <w:rFonts w:ascii="Arial" w:hAnsi="Arial" w:cs="Arial"/>
          <w:sz w:val="20"/>
          <w:szCs w:val="20"/>
          <w:lang w:val="en-US"/>
        </w:rPr>
        <w:t xml:space="preserve"> worldwide and is found in </w:t>
      </w:r>
      <w:r w:rsidRPr="00E774C4">
        <w:rPr>
          <w:rStyle w:val="Strong"/>
          <w:rFonts w:ascii="Arial" w:eastAsiaTheme="majorEastAsia" w:hAnsi="Arial" w:cs="Arial"/>
          <w:b w:val="0"/>
          <w:bCs w:val="0"/>
          <w:sz w:val="20"/>
          <w:szCs w:val="20"/>
          <w:lang w:val="en-US"/>
        </w:rPr>
        <w:t>East and Central Africa</w:t>
      </w:r>
      <w:r w:rsidR="00782374">
        <w:rPr>
          <w:rStyle w:val="Strong"/>
          <w:rFonts w:ascii="Arial" w:eastAsiaTheme="majorEastAsia" w:hAnsi="Arial" w:cs="Arial"/>
          <w:b w:val="0"/>
          <w:bCs w:val="0"/>
          <w:sz w:val="20"/>
          <w:szCs w:val="20"/>
          <w:lang w:val="en-US"/>
        </w:rPr>
        <w:t xml:space="preserve"> </w:t>
      </w:r>
      <w:r w:rsidR="00B41611" w:rsidRPr="00B41611">
        <w:rPr>
          <w:rFonts w:ascii="Arial" w:hAnsi="Arial" w:cs="Arial"/>
          <w:color w:val="000000" w:themeColor="text1"/>
          <w:sz w:val="20"/>
          <w:szCs w:val="20"/>
          <w:lang w:val="en-US" w:eastAsia="fr-CM"/>
        </w:rPr>
        <w:fldChar w:fldCharType="begin" w:fldLock="1"/>
      </w:r>
      <w:r w:rsidR="00CD1A26">
        <w:rPr>
          <w:rFonts w:ascii="Arial" w:hAnsi="Arial" w:cs="Arial"/>
          <w:color w:val="000000" w:themeColor="text1"/>
          <w:sz w:val="20"/>
          <w:szCs w:val="20"/>
          <w:lang w:val="en-US" w:eastAsia="fr-CM"/>
        </w:rPr>
        <w:instrText>ADDIN CSL_CITATION {"citationItems":[{"id":"ITEM-1","itemData":{"DOI":"10.1016/B978-0-12-802972-5.00018-4","ISBN":"9780128029725","author":[{"dropping-particle":"","family":"Bawa","given":"Sa'eed Halilu","non-dropping-particle":"","parse-names":false,"suffix":""},{"dropping-particle":"","family":"Badrie","given":"Neela","non-dropping-particle":"","parse-names":false,"suffix":""}],"container-title":"Fruits, Vegetables, and Herbs","id":"ITEM-1","issued":{"date-parts":[["2016"]]},"page":"363-410","publisher":"Elsevier Inc.","title":"Nutrient profile, bioactive components, and functional properties of okra (Abelmoschus esculentus (L.) Moench)","type":"chapter"},"uris":["http://www.mendeley.com/documents/?uuid=c4b2f60e-5d8d-4eb5-888a-fbeee7c6fb55"]}],"mendeley":{"formattedCitation":"(Bawa &amp; Badrie, 2016)","plainTextFormattedCitation":"(Bawa &amp; Badrie, 2016)","previouslyFormattedCitation":"(Bawa &amp; Badrie, 2016)"},"properties":{"noteIndex":0},"schema":"https://github.com/citation-style-language/schema/raw/master/csl-citation.json"}</w:instrText>
      </w:r>
      <w:r w:rsidR="00B41611" w:rsidRPr="00B41611">
        <w:rPr>
          <w:rFonts w:ascii="Arial" w:hAnsi="Arial" w:cs="Arial"/>
          <w:color w:val="000000" w:themeColor="text1"/>
          <w:sz w:val="20"/>
          <w:szCs w:val="20"/>
          <w:lang w:val="en-US" w:eastAsia="fr-CM"/>
        </w:rPr>
        <w:fldChar w:fldCharType="separate"/>
      </w:r>
      <w:r w:rsidR="00B41611" w:rsidRPr="00B41611">
        <w:rPr>
          <w:rFonts w:ascii="Arial" w:hAnsi="Arial" w:cs="Arial"/>
          <w:noProof/>
          <w:color w:val="000000" w:themeColor="text1"/>
          <w:sz w:val="20"/>
          <w:szCs w:val="20"/>
          <w:lang w:val="en-US" w:eastAsia="fr-CM"/>
        </w:rPr>
        <w:t>(Bawa &amp; Badrie, 2016)</w:t>
      </w:r>
      <w:r w:rsidR="00B41611" w:rsidRPr="00B41611">
        <w:rPr>
          <w:rFonts w:ascii="Arial" w:hAnsi="Arial" w:cs="Arial"/>
          <w:color w:val="000000" w:themeColor="text1"/>
          <w:sz w:val="20"/>
          <w:szCs w:val="20"/>
          <w:lang w:val="en-US" w:eastAsia="fr-CM"/>
        </w:rPr>
        <w:fldChar w:fldCharType="end"/>
      </w:r>
      <w:r w:rsidRPr="00B41611">
        <w:rPr>
          <w:rFonts w:ascii="Arial" w:hAnsi="Arial" w:cs="Arial"/>
          <w:color w:val="000000" w:themeColor="text1"/>
          <w:sz w:val="20"/>
          <w:szCs w:val="20"/>
          <w:lang w:val="en-US"/>
        </w:rPr>
        <w:t xml:space="preserve">. </w:t>
      </w:r>
      <w:r w:rsidRPr="00E774C4">
        <w:rPr>
          <w:rFonts w:ascii="Arial" w:hAnsi="Arial" w:cs="Arial"/>
          <w:sz w:val="20"/>
          <w:szCs w:val="20"/>
          <w:lang w:val="en-US"/>
        </w:rPr>
        <w:t xml:space="preserve">All its </w:t>
      </w:r>
      <w:r w:rsidRPr="00E774C4">
        <w:rPr>
          <w:rStyle w:val="Strong"/>
          <w:rFonts w:ascii="Arial" w:eastAsiaTheme="majorEastAsia" w:hAnsi="Arial" w:cs="Arial"/>
          <w:b w:val="0"/>
          <w:bCs w:val="0"/>
          <w:sz w:val="20"/>
          <w:szCs w:val="20"/>
          <w:lang w:val="en-US"/>
        </w:rPr>
        <w:t>organs</w:t>
      </w:r>
      <w:r w:rsidRPr="00E774C4">
        <w:rPr>
          <w:rFonts w:ascii="Arial" w:hAnsi="Arial" w:cs="Arial"/>
          <w:sz w:val="20"/>
          <w:szCs w:val="20"/>
          <w:lang w:val="en-US"/>
        </w:rPr>
        <w:t xml:space="preserve"> (leaves, flowers, stems, seeds) are </w:t>
      </w:r>
      <w:r w:rsidRPr="00E774C4">
        <w:rPr>
          <w:rStyle w:val="Strong"/>
          <w:rFonts w:ascii="Arial" w:eastAsiaTheme="majorEastAsia" w:hAnsi="Arial" w:cs="Arial"/>
          <w:b w:val="0"/>
          <w:bCs w:val="0"/>
          <w:sz w:val="20"/>
          <w:szCs w:val="20"/>
          <w:lang w:val="en-US"/>
        </w:rPr>
        <w:t>edible</w:t>
      </w:r>
      <w:r w:rsidRPr="00E774C4">
        <w:rPr>
          <w:rFonts w:ascii="Arial" w:hAnsi="Arial" w:cs="Arial"/>
          <w:sz w:val="20"/>
          <w:szCs w:val="20"/>
          <w:lang w:val="en-US"/>
        </w:rPr>
        <w:t xml:space="preserve">, with leaves and fruits being </w:t>
      </w:r>
      <w:r w:rsidRPr="00E774C4">
        <w:rPr>
          <w:rStyle w:val="Strong"/>
          <w:rFonts w:ascii="Arial" w:eastAsiaTheme="majorEastAsia" w:hAnsi="Arial" w:cs="Arial"/>
          <w:b w:val="0"/>
          <w:bCs w:val="0"/>
          <w:sz w:val="20"/>
          <w:szCs w:val="20"/>
          <w:lang w:val="en-US"/>
        </w:rPr>
        <w:t>rich in minerals, proteins, sugars, fibers, and various bioactive compounds</w:t>
      </w:r>
      <w:r w:rsidR="00782374">
        <w:rPr>
          <w:rStyle w:val="Strong"/>
          <w:rFonts w:ascii="Arial" w:eastAsiaTheme="majorEastAsia" w:hAnsi="Arial" w:cs="Arial"/>
          <w:b w:val="0"/>
          <w:bCs w:val="0"/>
          <w:sz w:val="20"/>
          <w:szCs w:val="20"/>
          <w:lang w:val="en-US"/>
        </w:rPr>
        <w:t xml:space="preserve"> </w:t>
      </w:r>
      <w:r w:rsidR="00CD1A26">
        <w:rPr>
          <w:rStyle w:val="Strong"/>
          <w:rFonts w:ascii="Arial" w:eastAsiaTheme="majorEastAsia" w:hAnsi="Arial" w:cs="Arial"/>
          <w:b w:val="0"/>
          <w:bCs w:val="0"/>
          <w:sz w:val="20"/>
          <w:szCs w:val="20"/>
          <w:lang w:val="en-US"/>
        </w:rPr>
        <w:fldChar w:fldCharType="begin" w:fldLock="1"/>
      </w:r>
      <w:r w:rsidR="009A2113">
        <w:rPr>
          <w:rStyle w:val="Strong"/>
          <w:rFonts w:ascii="Arial" w:eastAsiaTheme="majorEastAsia" w:hAnsi="Arial" w:cs="Arial"/>
          <w:b w:val="0"/>
          <w:bCs w:val="0"/>
          <w:sz w:val="20"/>
          <w:szCs w:val="20"/>
          <w:lang w:val="en-US"/>
        </w:rPr>
        <w:instrText>ADDIN CSL_CITATION {"citationItems":[{"id":"ITEM-1","itemData":{"DOI":"10.4314/ijbcs.v13i4.21","ISSN":"1997342X","abstract":"Leafy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oliterius plant","type":"article-journal","volume":"13"},"uris":["http://www.mendeley.com/documents/?uuid=b29b8153-0c7d-4a0a-ad1b-5d8075fe552c"]}],"mendeley":{"formattedCitation":"(Sha’a et al., 2019)","plainTextFormattedCitation":"(Sha’a et al., 2019)","previouslyFormattedCitation":"(Sha’a et al., 2019)"},"properties":{"noteIndex":0},"schema":"https://github.com/citation-style-language/schema/raw/master/csl-citation.json"}</w:instrText>
      </w:r>
      <w:r w:rsidR="00CD1A26">
        <w:rPr>
          <w:rStyle w:val="Strong"/>
          <w:rFonts w:ascii="Arial" w:eastAsiaTheme="majorEastAsia" w:hAnsi="Arial" w:cs="Arial"/>
          <w:b w:val="0"/>
          <w:bCs w:val="0"/>
          <w:sz w:val="20"/>
          <w:szCs w:val="20"/>
          <w:lang w:val="en-US"/>
        </w:rPr>
        <w:fldChar w:fldCharType="separate"/>
      </w:r>
      <w:r w:rsidR="00CD1A26" w:rsidRPr="00CD1A26">
        <w:rPr>
          <w:rStyle w:val="Strong"/>
          <w:rFonts w:ascii="Arial" w:eastAsiaTheme="majorEastAsia" w:hAnsi="Arial" w:cs="Arial"/>
          <w:b w:val="0"/>
          <w:bCs w:val="0"/>
          <w:noProof/>
          <w:sz w:val="20"/>
          <w:szCs w:val="20"/>
          <w:lang w:val="en-US"/>
        </w:rPr>
        <w:t>(Sha’a et al., 2019)</w:t>
      </w:r>
      <w:r w:rsidR="00CD1A26">
        <w:rPr>
          <w:rStyle w:val="Strong"/>
          <w:rFonts w:ascii="Arial" w:eastAsiaTheme="majorEastAsia" w:hAnsi="Arial" w:cs="Arial"/>
          <w:b w:val="0"/>
          <w:bCs w:val="0"/>
          <w:sz w:val="20"/>
          <w:szCs w:val="20"/>
          <w:lang w:val="en-US"/>
        </w:rPr>
        <w:fldChar w:fldCharType="end"/>
      </w:r>
      <w:r w:rsidR="00CD1A26">
        <w:rPr>
          <w:rStyle w:val="Strong"/>
          <w:rFonts w:ascii="Arial" w:eastAsiaTheme="majorEastAsia" w:hAnsi="Arial" w:cs="Arial"/>
          <w:b w:val="0"/>
          <w:bCs w:val="0"/>
          <w:sz w:val="20"/>
          <w:szCs w:val="20"/>
          <w:lang w:val="en-US"/>
        </w:rPr>
        <w:t xml:space="preserve">. </w:t>
      </w:r>
      <w:r w:rsidRPr="00782374">
        <w:rPr>
          <w:rStyle w:val="Strong"/>
          <w:rFonts w:ascii="Arial" w:eastAsiaTheme="majorEastAsia" w:hAnsi="Arial" w:cs="Arial"/>
          <w:b w:val="0"/>
          <w:bCs w:val="0"/>
          <w:i/>
          <w:iCs/>
          <w:sz w:val="20"/>
          <w:szCs w:val="20"/>
          <w:lang w:val="en-US"/>
        </w:rPr>
        <w:t xml:space="preserve">Corchorus </w:t>
      </w:r>
      <w:proofErr w:type="spellStart"/>
      <w:r w:rsidRPr="00782374">
        <w:rPr>
          <w:rStyle w:val="Strong"/>
          <w:rFonts w:ascii="Arial" w:eastAsiaTheme="majorEastAsia" w:hAnsi="Arial" w:cs="Arial"/>
          <w:b w:val="0"/>
          <w:bCs w:val="0"/>
          <w:i/>
          <w:iCs/>
          <w:sz w:val="20"/>
          <w:szCs w:val="20"/>
          <w:lang w:val="en-US"/>
        </w:rPr>
        <w:t>olitorius</w:t>
      </w:r>
      <w:proofErr w:type="spellEnd"/>
      <w:r w:rsidRPr="00E774C4">
        <w:rPr>
          <w:rStyle w:val="Strong"/>
          <w:rFonts w:ascii="Arial" w:eastAsiaTheme="majorEastAsia" w:hAnsi="Arial" w:cs="Arial"/>
          <w:b w:val="0"/>
          <w:bCs w:val="0"/>
          <w:sz w:val="20"/>
          <w:szCs w:val="20"/>
          <w:lang w:val="en-US"/>
        </w:rPr>
        <w:t xml:space="preserve"> (</w:t>
      </w:r>
      <w:proofErr w:type="spellStart"/>
      <w:r w:rsidRPr="00E774C4">
        <w:rPr>
          <w:rStyle w:val="Strong"/>
          <w:rFonts w:ascii="Arial" w:eastAsiaTheme="majorEastAsia" w:hAnsi="Arial" w:cs="Arial"/>
          <w:b w:val="0"/>
          <w:bCs w:val="0"/>
          <w:sz w:val="20"/>
          <w:szCs w:val="20"/>
          <w:lang w:val="en-US"/>
        </w:rPr>
        <w:t>Malvaceae</w:t>
      </w:r>
      <w:proofErr w:type="spellEnd"/>
      <w:r w:rsidRPr="00E774C4">
        <w:rPr>
          <w:rStyle w:val="Strong"/>
          <w:rFonts w:ascii="Arial" w:eastAsiaTheme="majorEastAsia" w:hAnsi="Arial" w:cs="Arial"/>
          <w:b w:val="0"/>
          <w:bCs w:val="0"/>
          <w:sz w:val="20"/>
          <w:szCs w:val="20"/>
          <w:lang w:val="en-US"/>
        </w:rPr>
        <w:t>)</w:t>
      </w:r>
      <w:r w:rsidRPr="00E774C4">
        <w:rPr>
          <w:rFonts w:ascii="Arial" w:hAnsi="Arial" w:cs="Arial"/>
          <w:sz w:val="20"/>
          <w:szCs w:val="20"/>
          <w:lang w:val="en-US"/>
        </w:rPr>
        <w:t xml:space="preserve">, on the other hand, originates from </w:t>
      </w:r>
      <w:r w:rsidRPr="00E774C4">
        <w:rPr>
          <w:rStyle w:val="Strong"/>
          <w:rFonts w:ascii="Arial" w:eastAsiaTheme="majorEastAsia" w:hAnsi="Arial" w:cs="Arial"/>
          <w:b w:val="0"/>
          <w:bCs w:val="0"/>
          <w:sz w:val="20"/>
          <w:szCs w:val="20"/>
          <w:lang w:val="en-US"/>
        </w:rPr>
        <w:t>tropical and subtropical regions</w:t>
      </w:r>
      <w:r w:rsidRPr="00E774C4">
        <w:rPr>
          <w:rFonts w:ascii="Arial" w:hAnsi="Arial" w:cs="Arial"/>
          <w:sz w:val="20"/>
          <w:szCs w:val="20"/>
          <w:lang w:val="en-US"/>
        </w:rPr>
        <w:t xml:space="preserve"> worldwide and is present in several African countries, including </w:t>
      </w:r>
      <w:r w:rsidRPr="00E774C4">
        <w:rPr>
          <w:rStyle w:val="Strong"/>
          <w:rFonts w:ascii="Arial" w:eastAsiaTheme="majorEastAsia" w:hAnsi="Arial" w:cs="Arial"/>
          <w:b w:val="0"/>
          <w:bCs w:val="0"/>
          <w:sz w:val="20"/>
          <w:szCs w:val="20"/>
          <w:lang w:val="en-US"/>
        </w:rPr>
        <w:t>Egypt, Ivory Coast, Benin, Nigeria, and Cameroon</w:t>
      </w:r>
      <w:r w:rsidRPr="00E774C4">
        <w:rPr>
          <w:rFonts w:ascii="Arial" w:hAnsi="Arial" w:cs="Arial"/>
          <w:sz w:val="20"/>
          <w:szCs w:val="20"/>
          <w:lang w:val="en-US"/>
        </w:rPr>
        <w:t xml:space="preserve">. Its </w:t>
      </w:r>
      <w:r w:rsidRPr="00E774C4">
        <w:rPr>
          <w:rStyle w:val="Strong"/>
          <w:rFonts w:ascii="Arial" w:eastAsiaTheme="majorEastAsia" w:hAnsi="Arial" w:cs="Arial"/>
          <w:b w:val="0"/>
          <w:bCs w:val="0"/>
          <w:sz w:val="20"/>
          <w:szCs w:val="20"/>
          <w:lang w:val="en-US"/>
        </w:rPr>
        <w:t>leaves</w:t>
      </w:r>
      <w:r w:rsidRPr="00E774C4">
        <w:rPr>
          <w:rFonts w:ascii="Arial" w:hAnsi="Arial" w:cs="Arial"/>
          <w:sz w:val="20"/>
          <w:szCs w:val="20"/>
          <w:lang w:val="en-US"/>
        </w:rPr>
        <w:t xml:space="preserve">, commonly consumed as </w:t>
      </w:r>
      <w:r w:rsidRPr="00E774C4">
        <w:rPr>
          <w:rStyle w:val="Strong"/>
          <w:rFonts w:ascii="Arial" w:eastAsiaTheme="majorEastAsia" w:hAnsi="Arial" w:cs="Arial"/>
          <w:b w:val="0"/>
          <w:bCs w:val="0"/>
          <w:sz w:val="20"/>
          <w:szCs w:val="20"/>
          <w:lang w:val="en-US"/>
        </w:rPr>
        <w:t>leafy vegetables</w:t>
      </w:r>
      <w:r w:rsidRPr="00E774C4">
        <w:rPr>
          <w:rFonts w:ascii="Arial" w:hAnsi="Arial" w:cs="Arial"/>
          <w:sz w:val="20"/>
          <w:szCs w:val="20"/>
          <w:lang w:val="en-US"/>
        </w:rPr>
        <w:t xml:space="preserve"> due to their viscosity, are used to treat a </w:t>
      </w:r>
      <w:r w:rsidRPr="00E774C4">
        <w:rPr>
          <w:rStyle w:val="Strong"/>
          <w:rFonts w:ascii="Arial" w:eastAsiaTheme="majorEastAsia" w:hAnsi="Arial" w:cs="Arial"/>
          <w:b w:val="0"/>
          <w:bCs w:val="0"/>
          <w:sz w:val="20"/>
          <w:szCs w:val="20"/>
          <w:lang w:val="en-US"/>
        </w:rPr>
        <w:t>wide range of diseases</w:t>
      </w:r>
      <w:r w:rsidRPr="00E774C4">
        <w:rPr>
          <w:rFonts w:ascii="Arial" w:hAnsi="Arial" w:cs="Arial"/>
          <w:sz w:val="20"/>
          <w:szCs w:val="20"/>
          <w:lang w:val="en-US"/>
        </w:rPr>
        <w:t xml:space="preserve"> such as </w:t>
      </w:r>
      <w:r w:rsidRPr="00E774C4">
        <w:rPr>
          <w:rStyle w:val="Strong"/>
          <w:rFonts w:ascii="Arial" w:eastAsiaTheme="majorEastAsia" w:hAnsi="Arial" w:cs="Arial"/>
          <w:b w:val="0"/>
          <w:bCs w:val="0"/>
          <w:sz w:val="20"/>
          <w:szCs w:val="20"/>
          <w:lang w:val="en-US"/>
        </w:rPr>
        <w:t>dysentery, malaria, fever, and gonorrhea</w:t>
      </w:r>
      <w:r w:rsidRPr="00E774C4">
        <w:rPr>
          <w:rFonts w:ascii="Arial" w:hAnsi="Arial" w:cs="Arial"/>
          <w:sz w:val="20"/>
          <w:szCs w:val="20"/>
          <w:lang w:val="en-US"/>
        </w:rPr>
        <w:t xml:space="preserve">. The </w:t>
      </w:r>
      <w:r w:rsidRPr="00E774C4">
        <w:rPr>
          <w:rStyle w:val="Strong"/>
          <w:rFonts w:ascii="Arial" w:eastAsiaTheme="majorEastAsia" w:hAnsi="Arial" w:cs="Arial"/>
          <w:b w:val="0"/>
          <w:bCs w:val="0"/>
          <w:sz w:val="20"/>
          <w:szCs w:val="20"/>
          <w:lang w:val="en-US"/>
        </w:rPr>
        <w:t>fruits</w:t>
      </w:r>
      <w:r w:rsidRPr="00E774C4">
        <w:rPr>
          <w:rFonts w:ascii="Arial" w:hAnsi="Arial" w:cs="Arial"/>
          <w:sz w:val="20"/>
          <w:szCs w:val="20"/>
          <w:lang w:val="en-US"/>
        </w:rPr>
        <w:t xml:space="preserve"> of </w:t>
      </w:r>
      <w:r w:rsidRPr="00E774C4">
        <w:rPr>
          <w:rFonts w:ascii="Arial" w:hAnsi="Arial" w:cs="Arial"/>
          <w:sz w:val="20"/>
          <w:szCs w:val="20"/>
          <w:lang w:val="en-US"/>
        </w:rPr>
        <w:lastRenderedPageBreak/>
        <w:t xml:space="preserve">this plant, like those of </w:t>
      </w:r>
      <w:r w:rsidRPr="00782374">
        <w:rPr>
          <w:rStyle w:val="Strong"/>
          <w:rFonts w:ascii="Arial" w:eastAsiaTheme="majorEastAsia" w:hAnsi="Arial" w:cs="Arial"/>
          <w:b w:val="0"/>
          <w:bCs w:val="0"/>
          <w:i/>
          <w:iCs/>
          <w:sz w:val="20"/>
          <w:szCs w:val="20"/>
          <w:lang w:val="en-US"/>
        </w:rPr>
        <w:t>Abelmoschus esculentus</w:t>
      </w:r>
      <w:r w:rsidRPr="00E774C4">
        <w:rPr>
          <w:rFonts w:ascii="Arial" w:hAnsi="Arial" w:cs="Arial"/>
          <w:sz w:val="20"/>
          <w:szCs w:val="20"/>
          <w:lang w:val="en-US"/>
        </w:rPr>
        <w:t xml:space="preserve">, are </w:t>
      </w:r>
      <w:r w:rsidRPr="00E774C4">
        <w:rPr>
          <w:rStyle w:val="Strong"/>
          <w:rFonts w:ascii="Arial" w:eastAsiaTheme="majorEastAsia" w:hAnsi="Arial" w:cs="Arial"/>
          <w:b w:val="0"/>
          <w:bCs w:val="0"/>
          <w:sz w:val="20"/>
          <w:szCs w:val="20"/>
          <w:lang w:val="en-US"/>
        </w:rPr>
        <w:t>rich in minerals, proteins, sugars, fibers, and bioactive compounds</w:t>
      </w:r>
      <w:r w:rsidR="00CD1A26">
        <w:rPr>
          <w:rStyle w:val="Strong"/>
          <w:rFonts w:ascii="Arial" w:eastAsiaTheme="majorEastAsia" w:hAnsi="Arial" w:cs="Arial"/>
          <w:b w:val="0"/>
          <w:bCs w:val="0"/>
          <w:sz w:val="20"/>
          <w:szCs w:val="20"/>
          <w:lang w:val="en-US"/>
        </w:rPr>
        <w:t xml:space="preserve"> </w:t>
      </w:r>
      <w:r w:rsidR="00CD1A26">
        <w:rPr>
          <w:rStyle w:val="Strong"/>
          <w:rFonts w:ascii="Arial" w:eastAsiaTheme="majorEastAsia" w:hAnsi="Arial" w:cs="Arial"/>
          <w:b w:val="0"/>
          <w:bCs w:val="0"/>
          <w:sz w:val="20"/>
          <w:szCs w:val="20"/>
          <w:lang w:val="en-US"/>
        </w:rPr>
        <w:fldChar w:fldCharType="begin" w:fldLock="1"/>
      </w:r>
      <w:r w:rsidR="009A2113">
        <w:rPr>
          <w:rStyle w:val="Strong"/>
          <w:rFonts w:ascii="Arial" w:eastAsiaTheme="majorEastAsia" w:hAnsi="Arial" w:cs="Arial"/>
          <w:b w:val="0"/>
          <w:bCs w:val="0"/>
          <w:sz w:val="20"/>
          <w:szCs w:val="20"/>
          <w:lang w:val="en-US"/>
        </w:rPr>
        <w:instrText>ADDIN CSL_CITATION {"citationItems":[{"id":"ITEM-1","itemData":{"DOI":"10.4314/ijbcs.v13i4.21","ISSN":"1997342X","abstract":"Leafy vegetables play a major in meeting the dietary requirement of an average Nigerian. The knowledge of nutritional and antinutritional properties of these local plant resources therefore becomes necessary. This study was to conduct a phytochemical analysis, determination of proximate composition and antinutritional factors of Corchorus oliterius using standard procedures. The qualitative phytochemical analysis revealed the presence of saponins, terpenoids, flavonoids, alkaloids and phenols. Proximate analysis, which partitioned the nutrients into six components revealed the nutrients, thus, moisture (8.84±0.00%), ash (11.18±0.00%), crude protein (27.32±0.02%), crude fat (5.64±0.01%), and crude fibre (5.84±0.02, and nitrogen free extractives (NFE) (41.16±0.00%). Antintritional factors were recorded, thus; oxalate (241.96±0.0 2mg/100g), saponins (0.68±0.00%), tannins (18.16±0.00 mg/100g), cyanogenic glycosides (2.78±0.01 mg/100g), and phytate (0.80±0.00%). The presence of phytochemicals such as terpenoids, flavonoids alkaloids and phenols validates the use of C. olitrius in traditional and alternative medicines since phytochemicals found in fruits and vegetables are generally known for being responsible for protective health benefits in man and animals. This result showed that the vegetable was a promising source of protein in human diet if well processed. All the concentrations of antinutrients were found to be within acceptable levels for human and animal consumption. However, the levels of antinutrients can be reduced by traditional processing techniques such as boiling, steaming, cooking, to make it safer for human consumption.","author":[{"dropping-particle":"","family":"Sha’a","given":"Kiliobas Kiri","non-dropping-particle":"","parse-names":false,"suffix":""},{"dropping-particle":"","family":"Clarkson","given":"Gramso Pwamaddi","non-dropping-particle":"","parse-names":false,"suffix":""},{"dropping-particle":"","family":"Artimas","given":"Susan Pwakangdi","non-dropping-particle":"","parse-names":false,"suffix":""}],"container-title":"International Journal of Biological and Chemical Sciences","id":"ITEM-1","issue":"4","issued":{"date-parts":[["2019"]]},"page":"2147-2157","title":"Phytochemical analysis, proximate composition and antinutritional factors of Corchorus oliterius plant","type":"article-journal","volume":"13"},"uris":["http://www.mendeley.com/documents/?uuid=b29b8153-0c7d-4a0a-ad1b-5d8075fe552c"]}],"mendeley":{"formattedCitation":"(Sha’a et al., 2019)","plainTextFormattedCitation":"(Sha’a et al., 2019)","previouslyFormattedCitation":"(Sha’a et al., 2019)"},"properties":{"noteIndex":0},"schema":"https://github.com/citation-style-language/schema/raw/master/csl-citation.json"}</w:instrText>
      </w:r>
      <w:r w:rsidR="00CD1A26">
        <w:rPr>
          <w:rStyle w:val="Strong"/>
          <w:rFonts w:ascii="Arial" w:eastAsiaTheme="majorEastAsia" w:hAnsi="Arial" w:cs="Arial"/>
          <w:b w:val="0"/>
          <w:bCs w:val="0"/>
          <w:sz w:val="20"/>
          <w:szCs w:val="20"/>
          <w:lang w:val="en-US"/>
        </w:rPr>
        <w:fldChar w:fldCharType="separate"/>
      </w:r>
      <w:r w:rsidR="00CD1A26" w:rsidRPr="00CD1A26">
        <w:rPr>
          <w:rStyle w:val="Strong"/>
          <w:rFonts w:ascii="Arial" w:eastAsiaTheme="majorEastAsia" w:hAnsi="Arial" w:cs="Arial"/>
          <w:b w:val="0"/>
          <w:bCs w:val="0"/>
          <w:noProof/>
          <w:sz w:val="20"/>
          <w:szCs w:val="20"/>
          <w:lang w:val="en-US"/>
        </w:rPr>
        <w:t>(Sha’a et al., 2019)</w:t>
      </w:r>
      <w:r w:rsidR="00CD1A26">
        <w:rPr>
          <w:rStyle w:val="Strong"/>
          <w:rFonts w:ascii="Arial" w:eastAsiaTheme="majorEastAsia" w:hAnsi="Arial" w:cs="Arial"/>
          <w:b w:val="0"/>
          <w:bCs w:val="0"/>
          <w:sz w:val="20"/>
          <w:szCs w:val="20"/>
          <w:lang w:val="en-US"/>
        </w:rPr>
        <w:fldChar w:fldCharType="end"/>
      </w:r>
      <w:r w:rsidRPr="00E774C4">
        <w:rPr>
          <w:rFonts w:ascii="Arial" w:hAnsi="Arial" w:cs="Arial"/>
          <w:sz w:val="20"/>
          <w:szCs w:val="20"/>
          <w:lang w:val="en-US"/>
        </w:rPr>
        <w:t>.</w:t>
      </w:r>
    </w:p>
    <w:p w14:paraId="39EAAC84" w14:textId="1174D215" w:rsidR="00E774C4" w:rsidRPr="00E774C4" w:rsidRDefault="00E774C4" w:rsidP="00E774C4">
      <w:pPr>
        <w:pStyle w:val="NormalWeb"/>
        <w:spacing w:line="360" w:lineRule="auto"/>
        <w:rPr>
          <w:rFonts w:ascii="Arial" w:hAnsi="Arial" w:cs="Arial"/>
          <w:sz w:val="20"/>
          <w:szCs w:val="20"/>
          <w:lang w:val="en-US"/>
        </w:rPr>
      </w:pPr>
      <w:r w:rsidRPr="00E774C4">
        <w:rPr>
          <w:rFonts w:ascii="Arial" w:hAnsi="Arial" w:cs="Arial"/>
          <w:sz w:val="20"/>
          <w:szCs w:val="20"/>
          <w:lang w:val="en-US"/>
        </w:rPr>
        <w:t xml:space="preserve">Recent studies on the </w:t>
      </w:r>
      <w:r w:rsidRPr="00E774C4">
        <w:rPr>
          <w:rStyle w:val="Strong"/>
          <w:rFonts w:ascii="Arial" w:eastAsiaTheme="majorEastAsia" w:hAnsi="Arial" w:cs="Arial"/>
          <w:b w:val="0"/>
          <w:bCs w:val="0"/>
          <w:sz w:val="20"/>
          <w:szCs w:val="20"/>
          <w:lang w:val="en-US"/>
        </w:rPr>
        <w:t>leaves and fruits</w:t>
      </w:r>
      <w:r w:rsidRPr="00E774C4">
        <w:rPr>
          <w:rFonts w:ascii="Arial" w:hAnsi="Arial" w:cs="Arial"/>
          <w:sz w:val="20"/>
          <w:szCs w:val="20"/>
          <w:lang w:val="en-US"/>
        </w:rPr>
        <w:t xml:space="preserve"> of </w:t>
      </w:r>
      <w:r w:rsidRPr="00782374">
        <w:rPr>
          <w:rStyle w:val="Strong"/>
          <w:rFonts w:ascii="Arial" w:eastAsiaTheme="majorEastAsia" w:hAnsi="Arial" w:cs="Arial"/>
          <w:b w:val="0"/>
          <w:bCs w:val="0"/>
          <w:i/>
          <w:iCs/>
          <w:sz w:val="20"/>
          <w:szCs w:val="20"/>
          <w:lang w:val="en-US"/>
        </w:rPr>
        <w:t>Abelmoschus esculentus</w:t>
      </w:r>
      <w:r w:rsidRPr="00E774C4">
        <w:rPr>
          <w:rFonts w:ascii="Arial" w:hAnsi="Arial" w:cs="Arial"/>
          <w:sz w:val="20"/>
          <w:szCs w:val="20"/>
          <w:lang w:val="en-US"/>
        </w:rPr>
        <w:t xml:space="preserve"> and </w:t>
      </w:r>
      <w:r w:rsidRPr="00782374">
        <w:rPr>
          <w:rStyle w:val="Strong"/>
          <w:rFonts w:ascii="Arial" w:eastAsiaTheme="majorEastAsia" w:hAnsi="Arial" w:cs="Arial"/>
          <w:b w:val="0"/>
          <w:bCs w:val="0"/>
          <w:i/>
          <w:iCs/>
          <w:sz w:val="20"/>
          <w:szCs w:val="20"/>
          <w:lang w:val="en-US"/>
        </w:rPr>
        <w:t>Corchorus olitorius</w:t>
      </w:r>
      <w:r w:rsidRPr="00E774C4">
        <w:rPr>
          <w:rFonts w:ascii="Arial" w:hAnsi="Arial" w:cs="Arial"/>
          <w:sz w:val="20"/>
          <w:szCs w:val="20"/>
          <w:lang w:val="en-US"/>
        </w:rPr>
        <w:t xml:space="preserve"> have demonstrated </w:t>
      </w:r>
      <w:r w:rsidRPr="00E774C4">
        <w:rPr>
          <w:rStyle w:val="Strong"/>
          <w:rFonts w:ascii="Arial" w:eastAsiaTheme="majorEastAsia" w:hAnsi="Arial" w:cs="Arial"/>
          <w:b w:val="0"/>
          <w:bCs w:val="0"/>
          <w:sz w:val="20"/>
          <w:szCs w:val="20"/>
          <w:lang w:val="en-US"/>
        </w:rPr>
        <w:t>high levels of nutrients, polyphenols, and various bioactive compounds</w:t>
      </w:r>
      <w:r w:rsidRPr="00E774C4">
        <w:rPr>
          <w:rFonts w:ascii="Arial" w:hAnsi="Arial" w:cs="Arial"/>
          <w:sz w:val="20"/>
          <w:szCs w:val="20"/>
          <w:lang w:val="en-US"/>
        </w:rPr>
        <w:t xml:space="preserve">, along with </w:t>
      </w:r>
      <w:r w:rsidRPr="00E774C4">
        <w:rPr>
          <w:rStyle w:val="Strong"/>
          <w:rFonts w:ascii="Arial" w:eastAsiaTheme="majorEastAsia" w:hAnsi="Arial" w:cs="Arial"/>
          <w:b w:val="0"/>
          <w:bCs w:val="0"/>
          <w:sz w:val="20"/>
          <w:szCs w:val="20"/>
          <w:lang w:val="en-US"/>
        </w:rPr>
        <w:t>significant antioxidant activity</w:t>
      </w:r>
      <w:r w:rsidRPr="00E774C4">
        <w:rPr>
          <w:rFonts w:ascii="Arial" w:hAnsi="Arial" w:cs="Arial"/>
          <w:sz w:val="20"/>
          <w:szCs w:val="20"/>
          <w:lang w:val="en-US"/>
        </w:rPr>
        <w:t>, highlighting the importance of these two matrices</w:t>
      </w:r>
      <w:r w:rsidR="00782374">
        <w:rPr>
          <w:rFonts w:ascii="Arial" w:hAnsi="Arial" w:cs="Arial"/>
          <w:sz w:val="20"/>
          <w:szCs w:val="20"/>
          <w:lang w:val="en-US"/>
        </w:rPr>
        <w:t xml:space="preserve"> </w:t>
      </w:r>
      <w:r w:rsidR="00782374">
        <w:rPr>
          <w:rFonts w:ascii="Arial" w:hAnsi="Arial" w:cs="Arial"/>
          <w:sz w:val="20"/>
          <w:szCs w:val="20"/>
          <w:lang w:val="en-US" w:eastAsia="fr-CM"/>
        </w:rPr>
        <w:fldChar w:fldCharType="begin" w:fldLock="1"/>
      </w:r>
      <w:r w:rsidR="00FC5154">
        <w:rPr>
          <w:rFonts w:ascii="Arial" w:hAnsi="Arial" w:cs="Arial"/>
          <w:sz w:val="20"/>
          <w:szCs w:val="20"/>
          <w:lang w:val="en-US" w:eastAsia="fr-CM"/>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sidR="00782374">
        <w:rPr>
          <w:rFonts w:ascii="Arial" w:hAnsi="Arial" w:cs="Arial"/>
          <w:sz w:val="20"/>
          <w:szCs w:val="20"/>
          <w:lang w:val="en-US" w:eastAsia="fr-CM"/>
        </w:rPr>
        <w:fldChar w:fldCharType="separate"/>
      </w:r>
      <w:r w:rsidR="00FC5154" w:rsidRPr="00FC5154">
        <w:rPr>
          <w:rFonts w:ascii="Arial" w:hAnsi="Arial" w:cs="Arial"/>
          <w:noProof/>
          <w:sz w:val="20"/>
          <w:szCs w:val="20"/>
          <w:lang w:val="en-US" w:eastAsia="fr-CM"/>
        </w:rPr>
        <w:t>(Assiéné, Djeukeu, et al., 2025)</w:t>
      </w:r>
      <w:r w:rsidR="00782374">
        <w:rPr>
          <w:rFonts w:ascii="Arial" w:hAnsi="Arial" w:cs="Arial"/>
          <w:sz w:val="20"/>
          <w:szCs w:val="20"/>
          <w:lang w:val="en-US" w:eastAsia="fr-CM"/>
        </w:rPr>
        <w:fldChar w:fldCharType="end"/>
      </w:r>
      <w:r w:rsidRPr="00E774C4">
        <w:rPr>
          <w:rFonts w:ascii="Arial" w:hAnsi="Arial" w:cs="Arial"/>
          <w:sz w:val="20"/>
          <w:szCs w:val="20"/>
          <w:lang w:val="en-US"/>
        </w:rPr>
        <w:t xml:space="preserve">. However, </w:t>
      </w:r>
      <w:r w:rsidRPr="00E774C4">
        <w:rPr>
          <w:rStyle w:val="Strong"/>
          <w:rFonts w:ascii="Arial" w:eastAsiaTheme="majorEastAsia" w:hAnsi="Arial" w:cs="Arial"/>
          <w:b w:val="0"/>
          <w:bCs w:val="0"/>
          <w:sz w:val="20"/>
          <w:szCs w:val="20"/>
          <w:lang w:val="en-US"/>
        </w:rPr>
        <w:t>no information</w:t>
      </w:r>
      <w:r w:rsidRPr="00E774C4">
        <w:rPr>
          <w:rFonts w:ascii="Arial" w:hAnsi="Arial" w:cs="Arial"/>
          <w:sz w:val="20"/>
          <w:szCs w:val="20"/>
          <w:lang w:val="en-US"/>
        </w:rPr>
        <w:t xml:space="preserve"> regarding the </w:t>
      </w:r>
      <w:r w:rsidRPr="00E774C4">
        <w:rPr>
          <w:rStyle w:val="Strong"/>
          <w:rFonts w:ascii="Arial" w:eastAsiaTheme="majorEastAsia" w:hAnsi="Arial" w:cs="Arial"/>
          <w:b w:val="0"/>
          <w:bCs w:val="0"/>
          <w:sz w:val="20"/>
          <w:szCs w:val="20"/>
          <w:lang w:val="en-US"/>
        </w:rPr>
        <w:t>functional properties</w:t>
      </w:r>
      <w:r w:rsidRPr="00E774C4">
        <w:rPr>
          <w:rFonts w:ascii="Arial" w:hAnsi="Arial" w:cs="Arial"/>
          <w:sz w:val="20"/>
          <w:szCs w:val="20"/>
          <w:lang w:val="en-US"/>
        </w:rPr>
        <w:t xml:space="preserve"> of these powders has been mentioned in this work. Yet, it is evident that these properties provide </w:t>
      </w:r>
      <w:r w:rsidRPr="00E774C4">
        <w:rPr>
          <w:rStyle w:val="Strong"/>
          <w:rFonts w:ascii="Arial" w:eastAsiaTheme="majorEastAsia" w:hAnsi="Arial" w:cs="Arial"/>
          <w:b w:val="0"/>
          <w:bCs w:val="0"/>
          <w:sz w:val="20"/>
          <w:szCs w:val="20"/>
          <w:lang w:val="en-US"/>
        </w:rPr>
        <w:t>insight into the behavior of these powders</w:t>
      </w:r>
      <w:r w:rsidRPr="00E774C4">
        <w:rPr>
          <w:rFonts w:ascii="Arial" w:hAnsi="Arial" w:cs="Arial"/>
          <w:sz w:val="20"/>
          <w:szCs w:val="20"/>
          <w:lang w:val="en-US"/>
        </w:rPr>
        <w:t xml:space="preserve"> during any form of utilization. Based on this observation, this study aims to </w:t>
      </w:r>
      <w:r w:rsidRPr="00E774C4">
        <w:rPr>
          <w:rStyle w:val="Strong"/>
          <w:rFonts w:ascii="Arial" w:eastAsiaTheme="majorEastAsia" w:hAnsi="Arial" w:cs="Arial"/>
          <w:b w:val="0"/>
          <w:bCs w:val="0"/>
          <w:sz w:val="20"/>
          <w:szCs w:val="20"/>
          <w:lang w:val="en-US"/>
        </w:rPr>
        <w:t xml:space="preserve">determine the functional properties of </w:t>
      </w:r>
      <w:r w:rsidRPr="00782374">
        <w:rPr>
          <w:rStyle w:val="Strong"/>
          <w:rFonts w:ascii="Arial" w:eastAsiaTheme="majorEastAsia" w:hAnsi="Arial" w:cs="Arial"/>
          <w:b w:val="0"/>
          <w:bCs w:val="0"/>
          <w:i/>
          <w:iCs/>
          <w:sz w:val="20"/>
          <w:szCs w:val="20"/>
          <w:lang w:val="en-US"/>
        </w:rPr>
        <w:t>Abelmoschus esculentus</w:t>
      </w:r>
      <w:r w:rsidRPr="00E774C4">
        <w:rPr>
          <w:rStyle w:val="Strong"/>
          <w:rFonts w:ascii="Arial" w:eastAsiaTheme="majorEastAsia" w:hAnsi="Arial" w:cs="Arial"/>
          <w:b w:val="0"/>
          <w:bCs w:val="0"/>
          <w:sz w:val="20"/>
          <w:szCs w:val="20"/>
          <w:lang w:val="en-US"/>
        </w:rPr>
        <w:t xml:space="preserve"> and </w:t>
      </w:r>
      <w:r w:rsidRPr="00782374">
        <w:rPr>
          <w:rStyle w:val="Strong"/>
          <w:rFonts w:ascii="Arial" w:eastAsiaTheme="majorEastAsia" w:hAnsi="Arial" w:cs="Arial"/>
          <w:b w:val="0"/>
          <w:bCs w:val="0"/>
          <w:i/>
          <w:iCs/>
          <w:sz w:val="20"/>
          <w:szCs w:val="20"/>
          <w:lang w:val="en-US"/>
        </w:rPr>
        <w:t>Corchorus olitorius</w:t>
      </w:r>
      <w:r w:rsidRPr="00E774C4">
        <w:rPr>
          <w:rStyle w:val="Strong"/>
          <w:rFonts w:ascii="Arial" w:eastAsiaTheme="majorEastAsia" w:hAnsi="Arial" w:cs="Arial"/>
          <w:b w:val="0"/>
          <w:bCs w:val="0"/>
          <w:sz w:val="20"/>
          <w:szCs w:val="20"/>
          <w:lang w:val="en-US"/>
        </w:rPr>
        <w:t xml:space="preserve"> leaf and fruit powders</w:t>
      </w:r>
      <w:r w:rsidRPr="00E774C4">
        <w:rPr>
          <w:rFonts w:ascii="Arial" w:hAnsi="Arial" w:cs="Arial"/>
          <w:sz w:val="20"/>
          <w:szCs w:val="20"/>
          <w:lang w:val="en-US"/>
        </w:rPr>
        <w:t xml:space="preserve"> and their </w:t>
      </w:r>
      <w:r w:rsidRPr="00E774C4">
        <w:rPr>
          <w:rStyle w:val="Strong"/>
          <w:rFonts w:ascii="Arial" w:eastAsiaTheme="majorEastAsia" w:hAnsi="Arial" w:cs="Arial"/>
          <w:b w:val="0"/>
          <w:bCs w:val="0"/>
          <w:sz w:val="20"/>
          <w:szCs w:val="20"/>
          <w:lang w:val="en-US"/>
        </w:rPr>
        <w:t>relationship with antioxidant activity and essential nutrients</w:t>
      </w:r>
      <w:r w:rsidRPr="00E774C4">
        <w:rPr>
          <w:rFonts w:ascii="Arial" w:hAnsi="Arial" w:cs="Arial"/>
          <w:sz w:val="20"/>
          <w:szCs w:val="20"/>
          <w:lang w:val="en-US"/>
        </w:rPr>
        <w:t>.</w:t>
      </w:r>
    </w:p>
    <w:p w14:paraId="72274B04" w14:textId="2D76B169" w:rsidR="007136C0" w:rsidRPr="005250A4" w:rsidRDefault="007136C0" w:rsidP="007136C0">
      <w:pPr>
        <w:pStyle w:val="ListParagraph"/>
        <w:numPr>
          <w:ilvl w:val="0"/>
          <w:numId w:val="2"/>
        </w:numPr>
        <w:spacing w:before="240" w:after="0" w:line="360" w:lineRule="auto"/>
        <w:jc w:val="both"/>
        <w:rPr>
          <w:rFonts w:ascii="Arial" w:hAnsi="Arial" w:cs="Arial"/>
          <w:b/>
          <w:color w:val="000000" w:themeColor="text1"/>
          <w:lang w:val="en-US"/>
        </w:rPr>
      </w:pPr>
      <w:r w:rsidRPr="005250A4">
        <w:rPr>
          <w:rFonts w:ascii="Arial" w:hAnsi="Arial" w:cs="Arial"/>
          <w:b/>
          <w:color w:val="000000" w:themeColor="text1"/>
          <w:lang w:val="en-US"/>
        </w:rPr>
        <w:t>MATERIAL AND METHODS</w:t>
      </w:r>
    </w:p>
    <w:p w14:paraId="6875D043" w14:textId="77777777" w:rsidR="007136C0" w:rsidRPr="005250A4" w:rsidRDefault="007136C0" w:rsidP="007136C0">
      <w:pPr>
        <w:spacing w:before="100" w:beforeAutospacing="1" w:after="100" w:afterAutospacing="1" w:line="360" w:lineRule="auto"/>
        <w:jc w:val="both"/>
        <w:rPr>
          <w:rFonts w:ascii="Arial" w:eastAsia="Times New Roman" w:hAnsi="Arial" w:cs="Arial"/>
          <w:b/>
          <w:color w:val="000000" w:themeColor="text1"/>
          <w:lang w:val="en-US" w:eastAsia="fr-FR"/>
        </w:rPr>
      </w:pPr>
      <w:r w:rsidRPr="005250A4">
        <w:rPr>
          <w:rFonts w:ascii="Arial" w:eastAsia="Times New Roman" w:hAnsi="Arial" w:cs="Arial"/>
          <w:b/>
          <w:color w:val="000000" w:themeColor="text1"/>
          <w:lang w:val="en-US" w:eastAsia="fr-FR"/>
        </w:rPr>
        <w:t>2.1. Organ sampling</w:t>
      </w:r>
    </w:p>
    <w:p w14:paraId="2EA5815E" w14:textId="13CFF2FE" w:rsidR="007136C0" w:rsidRPr="005B7291" w:rsidRDefault="007136C0" w:rsidP="007136C0">
      <w:pPr>
        <w:spacing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Cs/>
          <w:color w:val="000000" w:themeColor="text1"/>
          <w:sz w:val="20"/>
          <w:szCs w:val="20"/>
          <w:lang w:val="en-US" w:eastAsia="fr-FR"/>
        </w:rPr>
        <w:t>The organs of</w:t>
      </w:r>
      <w:r w:rsidRPr="005B7291">
        <w:rPr>
          <w:rFonts w:ascii="Arial" w:eastAsia="Times New Roman" w:hAnsi="Arial" w:cs="Arial"/>
          <w:i/>
          <w:color w:val="000000" w:themeColor="text1"/>
          <w:sz w:val="20"/>
          <w:szCs w:val="20"/>
          <w:lang w:val="en-US" w:eastAsia="fr-FR"/>
        </w:rPr>
        <w:t xml:space="preserve"> Abelmoschus esculentus</w:t>
      </w:r>
      <w:r w:rsidRPr="005B7291">
        <w:rPr>
          <w:rFonts w:ascii="Arial" w:eastAsia="Times New Roman" w:hAnsi="Arial" w:cs="Arial"/>
          <w:color w:val="000000" w:themeColor="text1"/>
          <w:sz w:val="20"/>
          <w:szCs w:val="20"/>
          <w:lang w:val="en-US" w:eastAsia="fr-FR"/>
        </w:rPr>
        <w:t xml:space="preserve"> and</w:t>
      </w:r>
      <w:r w:rsidRPr="005B7291">
        <w:rPr>
          <w:rFonts w:ascii="Arial" w:eastAsia="Times New Roman" w:hAnsi="Arial" w:cs="Arial"/>
          <w:i/>
          <w:color w:val="000000" w:themeColor="text1"/>
          <w:sz w:val="20"/>
          <w:szCs w:val="20"/>
          <w:lang w:val="en-US" w:eastAsia="fr-FR"/>
        </w:rPr>
        <w:t xml:space="preserve"> Corchorus olitorius</w:t>
      </w:r>
      <w:r w:rsidRPr="005B7291">
        <w:rPr>
          <w:rFonts w:ascii="Arial" w:eastAsia="Times New Roman" w:hAnsi="Arial" w:cs="Arial"/>
          <w:color w:val="000000" w:themeColor="text1"/>
          <w:sz w:val="20"/>
          <w:szCs w:val="20"/>
          <w:lang w:val="en-US" w:eastAsia="fr-FR"/>
        </w:rPr>
        <w:t xml:space="preserve"> (leaf and fruit), which are commonly consumed, were harvested early in the morning in the </w:t>
      </w:r>
      <w:proofErr w:type="spellStart"/>
      <w:r w:rsidRPr="005B7291">
        <w:rPr>
          <w:rFonts w:ascii="Arial" w:eastAsia="Times New Roman" w:hAnsi="Arial" w:cs="Arial"/>
          <w:color w:val="000000" w:themeColor="text1"/>
          <w:sz w:val="20"/>
          <w:szCs w:val="20"/>
          <w:lang w:val="en-US" w:eastAsia="fr-FR"/>
        </w:rPr>
        <w:t>Mboppi</w:t>
      </w:r>
      <w:proofErr w:type="spellEnd"/>
      <w:r w:rsidRPr="005B7291">
        <w:rPr>
          <w:rFonts w:ascii="Arial" w:eastAsia="Times New Roman" w:hAnsi="Arial" w:cs="Arial"/>
          <w:color w:val="000000" w:themeColor="text1"/>
          <w:sz w:val="20"/>
          <w:szCs w:val="20"/>
          <w:lang w:val="en-US" w:eastAsia="fr-FR"/>
        </w:rPr>
        <w:t xml:space="preserve"> district, Douala 1</w:t>
      </w:r>
      <w:r w:rsidRPr="005B7291">
        <w:rPr>
          <w:rFonts w:ascii="Arial" w:eastAsia="Times New Roman" w:hAnsi="Arial" w:cs="Arial"/>
          <w:color w:val="000000" w:themeColor="text1"/>
          <w:sz w:val="20"/>
          <w:szCs w:val="20"/>
          <w:vertAlign w:val="superscript"/>
          <w:lang w:val="en-US" w:eastAsia="fr-FR"/>
        </w:rPr>
        <w:t>er</w:t>
      </w:r>
      <w:r w:rsidRPr="005B7291">
        <w:rPr>
          <w:rFonts w:ascii="Arial" w:eastAsia="Times New Roman" w:hAnsi="Arial" w:cs="Arial"/>
          <w:color w:val="000000" w:themeColor="text1"/>
          <w:sz w:val="20"/>
          <w:szCs w:val="20"/>
          <w:lang w:val="en-US" w:eastAsia="fr-FR"/>
        </w:rPr>
        <w:t xml:space="preserve">. Both plant matrices were identified by the Cameroon herbarium: </w:t>
      </w:r>
    </w:p>
    <w:p w14:paraId="2B7E6B43" w14:textId="77777777" w:rsidR="007136C0" w:rsidRDefault="007136C0" w:rsidP="007136C0">
      <w:pPr>
        <w:pStyle w:val="ListParagraph"/>
        <w:numPr>
          <w:ilvl w:val="0"/>
          <w:numId w:val="3"/>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
          <w:color w:val="000000" w:themeColor="text1"/>
          <w:sz w:val="20"/>
          <w:szCs w:val="20"/>
          <w:lang w:val="en-US" w:eastAsia="fr-FR"/>
        </w:rPr>
        <w:t>Abelmoschus esculentus</w:t>
      </w:r>
      <w:r w:rsidRPr="005B7291">
        <w:rPr>
          <w:rFonts w:ascii="Arial" w:eastAsia="Times New Roman" w:hAnsi="Arial" w:cs="Arial"/>
          <w:color w:val="000000" w:themeColor="text1"/>
          <w:sz w:val="20"/>
          <w:szCs w:val="20"/>
          <w:lang w:val="en-US" w:eastAsia="fr-FR"/>
        </w:rPr>
        <w:t xml:space="preserve">: The specimen was identified in comparison with the herbarium material of Westphal collector 9069 from Herbarium collection specimen number 42868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61A47A62" w14:textId="761ABD5A" w:rsidR="007136C0" w:rsidRPr="007136C0" w:rsidRDefault="007136C0" w:rsidP="007136C0">
      <w:pPr>
        <w:pStyle w:val="ListParagraph"/>
        <w:numPr>
          <w:ilvl w:val="0"/>
          <w:numId w:val="3"/>
        </w:num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i/>
          <w:color w:val="000000" w:themeColor="text1"/>
          <w:sz w:val="20"/>
          <w:szCs w:val="20"/>
          <w:lang w:val="en-US" w:eastAsia="fr-FR"/>
        </w:rPr>
        <w:t>Corchorus olitorius</w:t>
      </w:r>
      <w:r w:rsidRPr="005B7291">
        <w:rPr>
          <w:rFonts w:ascii="Arial" w:eastAsia="Times New Roman" w:hAnsi="Arial" w:cs="Arial"/>
          <w:color w:val="000000" w:themeColor="text1"/>
          <w:sz w:val="20"/>
          <w:szCs w:val="20"/>
          <w:lang w:val="en-US" w:eastAsia="fr-FR"/>
        </w:rPr>
        <w:t xml:space="preserve">: The specimen was identified by comparison with the herbarium material of Westphal collector 10077 from herbarium collection specimen number 44871 </w:t>
      </w:r>
      <w:proofErr w:type="spellStart"/>
      <w:r w:rsidRPr="005B7291">
        <w:rPr>
          <w:rFonts w:ascii="Arial" w:eastAsia="Times New Roman" w:hAnsi="Arial" w:cs="Arial"/>
          <w:color w:val="000000" w:themeColor="text1"/>
          <w:sz w:val="20"/>
          <w:szCs w:val="20"/>
          <w:lang w:val="en-US" w:eastAsia="fr-FR"/>
        </w:rPr>
        <w:t>SRFCam</w:t>
      </w:r>
      <w:proofErr w:type="spellEnd"/>
      <w:r w:rsidRPr="005B7291">
        <w:rPr>
          <w:rFonts w:ascii="Arial" w:eastAsia="Times New Roman" w:hAnsi="Arial" w:cs="Arial"/>
          <w:color w:val="000000" w:themeColor="text1"/>
          <w:sz w:val="20"/>
          <w:szCs w:val="20"/>
          <w:lang w:val="en-US" w:eastAsia="fr-FR"/>
        </w:rPr>
        <w:t>.</w:t>
      </w:r>
    </w:p>
    <w:p w14:paraId="7DF7E241" w14:textId="77777777" w:rsidR="007136C0" w:rsidRPr="00B3747D" w:rsidRDefault="007136C0" w:rsidP="007136C0">
      <w:pPr>
        <w:spacing w:before="100" w:beforeAutospacing="1" w:after="100" w:afterAutospacing="1" w:line="360" w:lineRule="auto"/>
        <w:jc w:val="both"/>
        <w:rPr>
          <w:rFonts w:ascii="Arial" w:eastAsia="Times New Roman" w:hAnsi="Arial" w:cs="Arial"/>
          <w:color w:val="000000" w:themeColor="text1"/>
          <w:lang w:val="en-US" w:eastAsia="fr-FR"/>
        </w:rPr>
      </w:pPr>
      <w:r w:rsidRPr="00B3747D">
        <w:rPr>
          <w:rFonts w:ascii="Arial" w:eastAsia="Times New Roman" w:hAnsi="Arial" w:cs="Arial"/>
          <w:b/>
          <w:color w:val="000000" w:themeColor="text1"/>
          <w:lang w:val="en-US" w:eastAsia="fr-FR"/>
        </w:rPr>
        <w:t>2.2. Powder production</w:t>
      </w:r>
      <w:r w:rsidRPr="00B3747D">
        <w:rPr>
          <w:rFonts w:ascii="Arial" w:eastAsia="Times New Roman" w:hAnsi="Arial" w:cs="Arial"/>
          <w:color w:val="000000" w:themeColor="text1"/>
          <w:lang w:val="en-US" w:eastAsia="fr-FR"/>
        </w:rPr>
        <w:t xml:space="preserve"> </w:t>
      </w:r>
    </w:p>
    <w:p w14:paraId="29AFE3F5" w14:textId="4EEC14DB" w:rsidR="007136C0" w:rsidRPr="00B55607" w:rsidRDefault="00B55607" w:rsidP="007136C0">
      <w:pPr>
        <w:pStyle w:val="NormalWeb"/>
        <w:spacing w:line="360" w:lineRule="auto"/>
        <w:rPr>
          <w:rFonts w:ascii="Arial" w:hAnsi="Arial" w:cs="Arial"/>
          <w:color w:val="000000" w:themeColor="text1"/>
          <w:sz w:val="20"/>
          <w:szCs w:val="20"/>
          <w:lang w:val="en-US"/>
        </w:rPr>
      </w:pPr>
      <w:r w:rsidRPr="00B3747D">
        <w:rPr>
          <w:rFonts w:ascii="Arial" w:hAnsi="Arial" w:cs="Arial"/>
          <w:color w:val="000000" w:themeColor="text1"/>
          <w:sz w:val="20"/>
          <w:szCs w:val="20"/>
          <w:lang w:val="en-US"/>
        </w:rPr>
        <w:t xml:space="preserve">The powders were produced in accordance with the requirements reported by </w:t>
      </w:r>
      <w:r w:rsidRPr="00B55607">
        <w:rPr>
          <w:rFonts w:ascii="Arial" w:hAnsi="Arial" w:cs="Arial"/>
          <w:color w:val="000000" w:themeColor="text1"/>
          <w:sz w:val="20"/>
          <w:szCs w:val="20"/>
        </w:rPr>
        <w:fldChar w:fldCharType="begin" w:fldLock="1"/>
      </w:r>
      <w:r w:rsidR="00FC5154">
        <w:rPr>
          <w:rFonts w:ascii="Arial" w:hAnsi="Arial" w:cs="Arial"/>
          <w:color w:val="000000" w:themeColor="text1"/>
          <w:sz w:val="20"/>
          <w:szCs w:val="20"/>
          <w:lang w:val="en-US"/>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2025)","manualFormatting":"Assiéné et al. (2025)","plainTextFormattedCitation":"(Assiéné, Djeukeu, et al., 2025)","previouslyFormattedCitation":"(Assiéné et al., 2025)"},"properties":{"noteIndex":0},"schema":"https://github.com/citation-style-language/schema/raw/master/csl-citation.json"}</w:instrText>
      </w:r>
      <w:r w:rsidRPr="00B55607">
        <w:rPr>
          <w:rFonts w:ascii="Arial" w:hAnsi="Arial" w:cs="Arial"/>
          <w:color w:val="000000" w:themeColor="text1"/>
          <w:sz w:val="20"/>
          <w:szCs w:val="20"/>
        </w:rPr>
        <w:fldChar w:fldCharType="separate"/>
      </w:r>
      <w:r w:rsidRPr="00B3747D">
        <w:rPr>
          <w:rFonts w:ascii="Arial" w:hAnsi="Arial" w:cs="Arial"/>
          <w:noProof/>
          <w:color w:val="000000" w:themeColor="text1"/>
          <w:sz w:val="20"/>
          <w:szCs w:val="20"/>
          <w:lang w:val="en-US"/>
        </w:rPr>
        <w:t>Assiéné et al. (2025)</w:t>
      </w:r>
      <w:r w:rsidRPr="00B55607">
        <w:rPr>
          <w:rFonts w:ascii="Arial" w:hAnsi="Arial" w:cs="Arial"/>
          <w:color w:val="000000" w:themeColor="text1"/>
          <w:sz w:val="20"/>
          <w:szCs w:val="20"/>
        </w:rPr>
        <w:fldChar w:fldCharType="end"/>
      </w:r>
      <w:r w:rsidRPr="00B3747D">
        <w:rPr>
          <w:rFonts w:ascii="Arial" w:hAnsi="Arial" w:cs="Arial"/>
          <w:color w:val="000000" w:themeColor="text1"/>
          <w:sz w:val="20"/>
          <w:szCs w:val="20"/>
          <w:lang w:val="en-US"/>
        </w:rPr>
        <w:t xml:space="preserve">. </w:t>
      </w:r>
      <w:r w:rsidR="007136C0" w:rsidRPr="00B55607">
        <w:rPr>
          <w:rFonts w:ascii="Arial" w:hAnsi="Arial" w:cs="Arial"/>
          <w:color w:val="000000" w:themeColor="text1"/>
          <w:sz w:val="20"/>
          <w:szCs w:val="20"/>
          <w:lang w:val="en-US"/>
        </w:rPr>
        <w:t xml:space="preserve">Fresh, dark-green leaves and fresh, tender fruits (with seeds) were cleaned, washed, and cut into pieces smaller than 5 mm. The samples were dried at 30 and 35 °C for 5 and 10 hours, respectively, in a </w:t>
      </w:r>
      <w:proofErr w:type="spellStart"/>
      <w:r w:rsidR="007136C0" w:rsidRPr="00B55607">
        <w:rPr>
          <w:rFonts w:ascii="Arial" w:hAnsi="Arial" w:cs="Arial"/>
          <w:color w:val="000000" w:themeColor="text1"/>
          <w:sz w:val="20"/>
          <w:szCs w:val="20"/>
          <w:lang w:val="en-US"/>
        </w:rPr>
        <w:t>Stockli</w:t>
      </w:r>
      <w:proofErr w:type="spellEnd"/>
      <w:r w:rsidR="007136C0" w:rsidRPr="00B55607">
        <w:rPr>
          <w:rFonts w:ascii="Arial" w:hAnsi="Arial" w:cs="Arial"/>
          <w:color w:val="000000" w:themeColor="text1"/>
          <w:sz w:val="20"/>
          <w:szCs w:val="20"/>
          <w:lang w:val="en-US"/>
        </w:rPr>
        <w:t xml:space="preserve"> dehydrator, </w:t>
      </w:r>
      <w:proofErr w:type="spellStart"/>
      <w:r w:rsidR="007136C0" w:rsidRPr="00B55607">
        <w:rPr>
          <w:rFonts w:ascii="Arial" w:hAnsi="Arial" w:cs="Arial"/>
          <w:color w:val="000000" w:themeColor="text1"/>
          <w:sz w:val="20"/>
          <w:szCs w:val="20"/>
          <w:lang w:val="en-US"/>
        </w:rPr>
        <w:t>Dorrex</w:t>
      </w:r>
      <w:proofErr w:type="spellEnd"/>
      <w:r w:rsidR="007136C0" w:rsidRPr="00B55607">
        <w:rPr>
          <w:rFonts w:ascii="Arial" w:hAnsi="Arial" w:cs="Arial"/>
          <w:color w:val="000000" w:themeColor="text1"/>
          <w:sz w:val="20"/>
          <w:szCs w:val="20"/>
          <w:lang w:val="en-US"/>
        </w:rPr>
        <w:t>, France. The dehydrated materials were ground to a particle size smaller than 500 µm (the particle size of the powders most commonly used by therapists), and the resulting powders were stored in opaque, airtight boxes at room temperature.</w:t>
      </w:r>
    </w:p>
    <w:p w14:paraId="24B1717E" w14:textId="792CDA87" w:rsidR="007136C0" w:rsidRPr="00202D84" w:rsidRDefault="007136C0" w:rsidP="007136C0">
      <w:pPr>
        <w:spacing w:before="100" w:beforeAutospacing="1" w:after="100" w:afterAutospacing="1" w:line="360" w:lineRule="auto"/>
        <w:jc w:val="both"/>
        <w:rPr>
          <w:rFonts w:ascii="Arial" w:eastAsia="Times New Roman" w:hAnsi="Arial" w:cs="Arial"/>
          <w:b/>
          <w:color w:val="000000" w:themeColor="text1"/>
          <w:lang w:val="en-US" w:eastAsia="fr-FR"/>
        </w:rPr>
      </w:pPr>
      <w:r w:rsidRPr="00202D84">
        <w:rPr>
          <w:rFonts w:ascii="Arial" w:eastAsia="Times New Roman" w:hAnsi="Arial" w:cs="Arial"/>
          <w:b/>
          <w:color w:val="000000" w:themeColor="text1"/>
          <w:lang w:val="en-US" w:eastAsia="fr-FR"/>
        </w:rPr>
        <w:t>2.</w:t>
      </w:r>
      <w:r>
        <w:rPr>
          <w:rFonts w:ascii="Arial" w:eastAsia="Times New Roman" w:hAnsi="Arial" w:cs="Arial"/>
          <w:b/>
          <w:color w:val="000000" w:themeColor="text1"/>
          <w:lang w:val="en-US" w:eastAsia="fr-FR"/>
        </w:rPr>
        <w:t>3</w:t>
      </w:r>
      <w:r w:rsidRPr="00202D84">
        <w:rPr>
          <w:rFonts w:ascii="Arial" w:eastAsia="Times New Roman" w:hAnsi="Arial" w:cs="Arial"/>
          <w:b/>
          <w:color w:val="000000" w:themeColor="text1"/>
          <w:lang w:val="en-US" w:eastAsia="fr-FR"/>
        </w:rPr>
        <w:t>. Determination of functional properties</w:t>
      </w:r>
    </w:p>
    <w:p w14:paraId="465BB8E1" w14:textId="3B51E2C4" w:rsidR="007136C0" w:rsidRPr="005B7291" w:rsidRDefault="007136C0" w:rsidP="007136C0">
      <w:pPr>
        <w:spacing w:before="100" w:beforeAutospacing="1" w:after="100" w:afterAutospacing="1" w:line="360" w:lineRule="auto"/>
        <w:jc w:val="both"/>
        <w:rPr>
          <w:rFonts w:ascii="Arial" w:eastAsia="Times New Roman" w:hAnsi="Arial" w:cs="Arial"/>
          <w:b/>
          <w:color w:val="000000" w:themeColor="text1"/>
          <w:sz w:val="20"/>
          <w:szCs w:val="20"/>
          <w:lang w:val="en-US" w:eastAsia="fr-FR"/>
        </w:rPr>
      </w:pPr>
      <w:r w:rsidRPr="005B7291">
        <w:rPr>
          <w:rFonts w:ascii="Arial" w:eastAsia="Times New Roman" w:hAnsi="Arial" w:cs="Arial"/>
          <w:b/>
          <w:color w:val="000000" w:themeColor="text1"/>
          <w:sz w:val="20"/>
          <w:szCs w:val="20"/>
          <w:lang w:val="en-US" w:eastAsia="fr-FR"/>
        </w:rPr>
        <w:t>2.</w:t>
      </w:r>
      <w:r>
        <w:rPr>
          <w:rFonts w:ascii="Arial" w:eastAsia="Times New Roman" w:hAnsi="Arial" w:cs="Arial"/>
          <w:b/>
          <w:color w:val="000000" w:themeColor="text1"/>
          <w:sz w:val="20"/>
          <w:szCs w:val="20"/>
          <w:lang w:val="en-US" w:eastAsia="fr-FR"/>
        </w:rPr>
        <w:t>3</w:t>
      </w:r>
      <w:r w:rsidRPr="005B7291">
        <w:rPr>
          <w:rFonts w:ascii="Arial" w:eastAsia="Times New Roman" w:hAnsi="Arial" w:cs="Arial"/>
          <w:b/>
          <w:color w:val="000000" w:themeColor="text1"/>
          <w:sz w:val="20"/>
          <w:szCs w:val="20"/>
          <w:lang w:val="en-US" w:eastAsia="fr-FR"/>
        </w:rPr>
        <w:t xml:space="preserve">.1. Oil Absorption Capacity </w:t>
      </w:r>
    </w:p>
    <w:p w14:paraId="47D05BDE" w14:textId="2188A5D0" w:rsidR="007136C0" w:rsidRPr="00675ED0" w:rsidRDefault="007136C0" w:rsidP="007136C0">
      <w:pPr>
        <w:spacing w:before="100" w:beforeAutospacing="1" w:line="360" w:lineRule="auto"/>
        <w:jc w:val="both"/>
        <w:rPr>
          <w:rFonts w:ascii="Arial" w:eastAsia="Times New Roman" w:hAnsi="Arial" w:cs="Arial"/>
          <w:color w:val="FF0000"/>
          <w:sz w:val="20"/>
          <w:szCs w:val="20"/>
          <w:lang w:val="en-US" w:eastAsia="fr-FR"/>
        </w:rPr>
      </w:pPr>
      <w:r w:rsidRPr="005B7291">
        <w:rPr>
          <w:rFonts w:ascii="Arial" w:eastAsia="Times New Roman" w:hAnsi="Arial" w:cs="Arial"/>
          <w:color w:val="000000" w:themeColor="text1"/>
          <w:sz w:val="20"/>
          <w:szCs w:val="20"/>
          <w:lang w:val="en-US" w:eastAsia="fr-FR"/>
        </w:rPr>
        <w:t>The oil absorption capacity (OAC) was determined by the modified method o</w:t>
      </w:r>
      <w:r>
        <w:rPr>
          <w:rFonts w:ascii="Arial" w:eastAsia="Times New Roman" w:hAnsi="Arial" w:cs="Arial"/>
          <w:color w:val="000000" w:themeColor="text1"/>
          <w:sz w:val="20"/>
          <w:szCs w:val="20"/>
          <w:lang w:val="en-US" w:eastAsia="fr-FR"/>
        </w:rPr>
        <w:t>f</w:t>
      </w:r>
      <w:r w:rsidRPr="005B7291">
        <w:rPr>
          <w:rFonts w:ascii="Arial" w:eastAsia="Times New Roman" w:hAnsi="Arial" w:cs="Arial"/>
          <w:color w:val="000000" w:themeColor="text1"/>
          <w:sz w:val="20"/>
          <w:szCs w:val="20"/>
          <w:lang w:val="en-US" w:eastAsia="fr-FR"/>
        </w:rPr>
        <w:t xml:space="preserve"> </w:t>
      </w:r>
      <w:r w:rsidRPr="005B7291">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{"citationItems":[{"id":"ITEM-1","itemData":{"DOI":"10.1021/jf60210a044","ISSN":"15205118","abstract":"Defatted peanut flour protein was reacted with various amounts of succinic anhydride at pH 7.4–8.0. The functional and electrophoretic properties of treated flour were examined. Modifications as compared to untreated flour were as follows: electrophoretic mobility of major protein components in polyacrylamide gels was retarded and dissociation into subunits was observed; nitrogen solubility decreased at pH &lt;4 and increased at pH 6–7; water-retaining capacity increased; water-adsorption capacity increased at equilibrium relative humidities of 68–97 %, 21 °C; emulsion capacity generally increased; apparent viscosity increased; and slight darkening in color of wet flour was noted. These characteristics depended upon the succinic anhydride:protein ratio in the reaction mixture. © 1977, American Chemical Society. All rights reserved.","author":[{"dropping-particle":"","family":"Beuchat","given":"Larry R.","non-dropping-particle":"","parse-names":false,"suffix":""}],"container-title":"Journal of Agricultural and Food Chemistry","id":"ITEM-1","issue":"2","issued":{"date-parts":[["1977"]]},"page":"258-261","title":"Functional and Electrophoretic Characteristics of Succinylated Peanut Flour Protein","type":"article-journal","volume":"25"},"uris":["http://www.mendeley.com/documents/?uuid=5c38868d-3f23-47bc-9f4b-2edd448c1bcb"]}],"mendeley":{"formattedCitation":"(Beuchat, 1977)","manualFormatting":"Beuchat (1977)","plainTextFormattedCitation":"(Beuchat, 1977)","previouslyFormattedCitation":"(Beuchat, 1977)"},"properties":{"noteIndex":0},"schema":"https://github.com/citation-style-language/schema/raw/master/csl-citation.json"}</w:instrText>
      </w:r>
      <w:r w:rsidRPr="005B7291">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 xml:space="preserve">Beuchat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1977)</w:t>
      </w:r>
      <w:r w:rsidRPr="005B7291">
        <w:rPr>
          <w:rFonts w:ascii="Arial" w:eastAsia="Times New Roman" w:hAnsi="Arial" w:cs="Arial"/>
          <w:color w:val="000000" w:themeColor="text1"/>
          <w:sz w:val="20"/>
          <w:szCs w:val="20"/>
          <w:lang w:val="en-US" w:eastAsia="fr-FR"/>
        </w:rPr>
        <w:fldChar w:fldCharType="end"/>
      </w:r>
      <w:r w:rsidRPr="005B7291">
        <w:rPr>
          <w:rFonts w:ascii="Arial" w:eastAsia="Times New Roman" w:hAnsi="Arial" w:cs="Arial"/>
          <w:color w:val="000000" w:themeColor="text1"/>
          <w:sz w:val="20"/>
          <w:szCs w:val="20"/>
          <w:lang w:val="en-US" w:eastAsia="fr-FR"/>
        </w:rPr>
        <w:t>. A mass in grams (M</w:t>
      </w:r>
      <w:r w:rsidRPr="005B7291">
        <w:rPr>
          <w:rFonts w:ascii="Arial" w:eastAsia="Times New Roman" w:hAnsi="Arial" w:cs="Arial"/>
          <w:color w:val="000000" w:themeColor="text1"/>
          <w:sz w:val="20"/>
          <w:szCs w:val="20"/>
          <w:vertAlign w:val="subscript"/>
          <w:lang w:val="en-US" w:eastAsia="fr-FR"/>
        </w:rPr>
        <w:t>0</w:t>
      </w:r>
      <w:r w:rsidRPr="005B7291">
        <w:rPr>
          <w:rFonts w:ascii="Arial" w:eastAsia="Times New Roman" w:hAnsi="Arial" w:cs="Arial"/>
          <w:color w:val="000000" w:themeColor="text1"/>
          <w:sz w:val="20"/>
          <w:szCs w:val="20"/>
          <w:lang w:val="en-US" w:eastAsia="fr-FR"/>
        </w:rPr>
        <w:t xml:space="preserve">) of powder was mixed with a volume (V) in </w:t>
      </w:r>
      <w:proofErr w:type="spellStart"/>
      <w:r w:rsidRPr="005B7291">
        <w:rPr>
          <w:rFonts w:ascii="Arial" w:eastAsia="Times New Roman" w:hAnsi="Arial" w:cs="Arial"/>
          <w:color w:val="000000" w:themeColor="text1"/>
          <w:sz w:val="20"/>
          <w:szCs w:val="20"/>
          <w:lang w:val="en-US" w:eastAsia="fr-FR"/>
        </w:rPr>
        <w:t>millilitres</w:t>
      </w:r>
      <w:proofErr w:type="spellEnd"/>
      <w:r w:rsidRPr="005B7291">
        <w:rPr>
          <w:rFonts w:ascii="Arial" w:eastAsia="Times New Roman" w:hAnsi="Arial" w:cs="Arial"/>
          <w:color w:val="000000" w:themeColor="text1"/>
          <w:sz w:val="20"/>
          <w:szCs w:val="20"/>
          <w:lang w:val="en-US" w:eastAsia="fr-FR"/>
        </w:rPr>
        <w:t xml:space="preserve"> (ratio 1:6 mass/volume) of different </w:t>
      </w:r>
      <w:r w:rsidRPr="005B7291">
        <w:rPr>
          <w:rFonts w:ascii="Arial" w:eastAsia="Times New Roman" w:hAnsi="Arial" w:cs="Arial"/>
          <w:color w:val="000000" w:themeColor="text1"/>
          <w:sz w:val="20"/>
          <w:szCs w:val="20"/>
          <w:lang w:val="en-US" w:eastAsia="fr-FR"/>
        </w:rPr>
        <w:lastRenderedPageBreak/>
        <w:t>types of oil (palm kernel oil, red palm oil, olive oil, and soybean oil). Each of these oils, whose main characteristics (fatty acids) are presented in Table 1, was purchased from supermarkets. The mixture was agitated for 30 min using a mechanical shaker (</w:t>
      </w:r>
      <w:proofErr w:type="spellStart"/>
      <w:r w:rsidRPr="005B7291">
        <w:rPr>
          <w:rFonts w:ascii="Arial" w:eastAsia="Times New Roman" w:hAnsi="Arial" w:cs="Arial"/>
          <w:color w:val="000000" w:themeColor="text1"/>
          <w:sz w:val="20"/>
          <w:szCs w:val="20"/>
          <w:lang w:val="en-US" w:eastAsia="fr-FR"/>
        </w:rPr>
        <w:t>Prolabo</w:t>
      </w:r>
      <w:proofErr w:type="spellEnd"/>
      <w:r w:rsidRPr="005B7291">
        <w:rPr>
          <w:rFonts w:ascii="Arial" w:eastAsia="Times New Roman" w:hAnsi="Arial" w:cs="Arial"/>
          <w:color w:val="000000" w:themeColor="text1"/>
          <w:sz w:val="20"/>
          <w:szCs w:val="20"/>
          <w:lang w:val="en-US" w:eastAsia="fr-FR"/>
        </w:rPr>
        <w:t xml:space="preserve"> n ° 54 433 France) at 220 rpm and centrifuged at 3500 rpm for 30 min in a centrifuge (DL 6000 brand, rotor 15 cm, Japan). </w:t>
      </w:r>
      <w:r w:rsidRPr="00675ED0">
        <w:rPr>
          <w:rFonts w:ascii="Arial" w:eastAsia="Times New Roman" w:hAnsi="Arial" w:cs="Arial"/>
          <w:color w:val="FF0000"/>
          <w:sz w:val="20"/>
          <w:szCs w:val="20"/>
          <w:lang w:val="en-US" w:eastAsia="fr-FR"/>
        </w:rPr>
        <w:t>The collected pellet was then weighed (M</w:t>
      </w:r>
      <w:r w:rsidRPr="00675ED0">
        <w:rPr>
          <w:rFonts w:ascii="Arial" w:eastAsia="Times New Roman" w:hAnsi="Arial" w:cs="Arial"/>
          <w:color w:val="FF0000"/>
          <w:sz w:val="20"/>
          <w:szCs w:val="20"/>
          <w:vertAlign w:val="subscript"/>
          <w:lang w:val="en-US" w:eastAsia="fr-FR"/>
        </w:rPr>
        <w:t>1</w:t>
      </w:r>
      <w:r w:rsidR="00675ED0" w:rsidRPr="00675ED0">
        <w:rPr>
          <w:rFonts w:ascii="Arial" w:eastAsia="Times New Roman" w:hAnsi="Arial" w:cs="Arial"/>
          <w:color w:val="FF0000"/>
          <w:sz w:val="20"/>
          <w:szCs w:val="20"/>
          <w:lang w:val="en-US" w:eastAsia="fr-FR"/>
        </w:rPr>
        <w:t>) and the OAC</w:t>
      </w:r>
      <w:r w:rsidRPr="00675ED0">
        <w:rPr>
          <w:rFonts w:ascii="Arial" w:eastAsia="Times New Roman" w:hAnsi="Arial" w:cs="Arial"/>
          <w:color w:val="FF0000"/>
          <w:sz w:val="20"/>
          <w:szCs w:val="20"/>
          <w:lang w:val="en-US" w:eastAsia="fr-FR"/>
        </w:rPr>
        <w:t xml:space="preserve"> is expressed as the mass of oil retained per 100 g of powder </w:t>
      </w:r>
      <w:r w:rsidRPr="004133A6">
        <w:rPr>
          <w:rFonts w:ascii="Arial" w:eastAsia="Times New Roman" w:hAnsi="Arial" w:cs="Arial"/>
          <w:color w:val="000000" w:themeColor="text1"/>
          <w:sz w:val="20"/>
          <w:szCs w:val="20"/>
          <w:lang w:val="en-US" w:eastAsia="fr-FR"/>
        </w:rPr>
        <w:t>by the formula.</w:t>
      </w:r>
    </w:p>
    <w:p w14:paraId="4F73CAD1" w14:textId="3E70677E" w:rsidR="00795A74" w:rsidRPr="003604EA" w:rsidRDefault="007136C0" w:rsidP="003604EA">
      <w:pPr>
        <w:spacing w:after="0" w:line="360" w:lineRule="auto"/>
        <w:jc w:val="both"/>
        <w:rPr>
          <w:rFonts w:ascii="Arial" w:eastAsia="Times New Roman" w:hAnsi="Arial" w:cs="Arial"/>
          <w:color w:val="000000" w:themeColor="text1"/>
          <w:sz w:val="20"/>
          <w:szCs w:val="20"/>
          <w:lang w:val="en-US" w:eastAsia="fr-FR"/>
        </w:rPr>
      </w:pPr>
      <m:oMathPara>
        <m:oMath>
          <m:r>
            <m:rPr>
              <m:sty m:val="p"/>
            </m:rPr>
            <w:rPr>
              <w:rFonts w:ascii="Cambria Math" w:eastAsia="Times New Roman" w:hAnsi="Cambria Math" w:cs="Arial"/>
              <w:color w:val="000000" w:themeColor="text1"/>
              <w:sz w:val="20"/>
              <w:szCs w:val="20"/>
              <w:lang w:val="en-US" w:eastAsia="fr-FR"/>
            </w:rPr>
            <m:t xml:space="preserve">OAC= </m:t>
          </m:r>
          <m:f>
            <m:fPr>
              <m:type m:val="lin"/>
              <m:ctrlPr>
                <w:rPr>
                  <w:rFonts w:ascii="Cambria Math" w:eastAsia="Times New Roman" w:hAnsi="Cambria Math" w:cs="Arial"/>
                  <w:color w:val="000000" w:themeColor="text1"/>
                  <w:sz w:val="20"/>
                  <w:szCs w:val="20"/>
                  <w:lang w:val="en-US" w:eastAsia="fr-FR"/>
                </w:rPr>
              </m:ctrlPr>
            </m:fPr>
            <m:num>
              <m:r>
                <m:rPr>
                  <m:sty m:val="p"/>
                </m:rPr>
                <w:rPr>
                  <w:rFonts w:ascii="Cambria Math" w:eastAsia="Times New Roman" w:hAnsi="Cambria Math" w:cs="Arial"/>
                  <w:color w:val="000000" w:themeColor="text1"/>
                  <w:sz w:val="20"/>
                  <w:szCs w:val="20"/>
                  <w:lang w:val="en-US" w:eastAsia="fr-FR"/>
                </w:rPr>
                <m:t>[</m:t>
              </m:r>
              <m:d>
                <m:dPr>
                  <m:ctrlPr>
                    <w:rPr>
                      <w:rFonts w:ascii="Cambria Math" w:eastAsia="Times New Roman" w:hAnsi="Cambria Math" w:cs="Arial"/>
                      <w:color w:val="000000" w:themeColor="text1"/>
                      <w:sz w:val="20"/>
                      <w:szCs w:val="20"/>
                      <w:lang w:val="en-US" w:eastAsia="fr-FR"/>
                    </w:rPr>
                  </m:ctrlPr>
                </m:dPr>
                <m:e>
                  <m:sSub>
                    <m:sSubPr>
                      <m:ctrlPr>
                        <w:rPr>
                          <w:rFonts w:ascii="Cambria Math" w:eastAsia="Times New Roman" w:hAnsi="Cambria Math" w:cs="Arial"/>
                          <w:color w:val="000000" w:themeColor="text1"/>
                          <w:sz w:val="20"/>
                          <w:szCs w:val="20"/>
                          <w:lang w:val="en-US" w:eastAsia="fr-FR"/>
                        </w:rPr>
                      </m:ctrlPr>
                    </m:sSubPr>
                    <m:e>
                      <m:r>
                        <m:rPr>
                          <m:sty m:val="p"/>
                        </m:rPr>
                        <w:rPr>
                          <w:rFonts w:ascii="Cambria Math" w:eastAsia="Times New Roman" w:hAnsi="Cambria Math" w:cs="Arial"/>
                          <w:color w:val="000000" w:themeColor="text1"/>
                          <w:sz w:val="20"/>
                          <w:szCs w:val="20"/>
                          <w:lang w:val="en-US" w:eastAsia="fr-FR"/>
                        </w:rPr>
                        <m:t>M</m:t>
                      </m:r>
                    </m:e>
                    <m:sub>
                      <m:r>
                        <m:rPr>
                          <m:sty m:val="p"/>
                        </m:rPr>
                        <w:rPr>
                          <w:rFonts w:ascii="Cambria Math" w:eastAsia="Times New Roman" w:hAnsi="Cambria Math" w:cs="Arial"/>
                          <w:color w:val="000000" w:themeColor="text1"/>
                          <w:sz w:val="20"/>
                          <w:szCs w:val="20"/>
                          <w:lang w:val="en-US" w:eastAsia="fr-FR"/>
                        </w:rPr>
                        <m:t>1</m:t>
                      </m:r>
                    </m:sub>
                  </m:sSub>
                  <m:r>
                    <m:rPr>
                      <m:sty m:val="p"/>
                    </m:rPr>
                    <w:rPr>
                      <w:rFonts w:ascii="Cambria Math" w:eastAsia="Times New Roman" w:hAnsi="Cambria Math" w:cs="Arial"/>
                      <w:color w:val="000000" w:themeColor="text1"/>
                      <w:sz w:val="20"/>
                      <w:szCs w:val="20"/>
                      <w:lang w:val="en-US" w:eastAsia="fr-FR"/>
                    </w:rPr>
                    <m:t>-</m:t>
                  </m:r>
                  <m:sSub>
                    <m:sSubPr>
                      <m:ctrlPr>
                        <w:rPr>
                          <w:rFonts w:ascii="Cambria Math" w:eastAsia="Times New Roman" w:hAnsi="Cambria Math" w:cs="Arial"/>
                          <w:color w:val="000000" w:themeColor="text1"/>
                          <w:sz w:val="20"/>
                          <w:szCs w:val="20"/>
                          <w:lang w:val="en-US" w:eastAsia="fr-FR"/>
                        </w:rPr>
                      </m:ctrlPr>
                    </m:sSubPr>
                    <m:e>
                      <m:r>
                        <m:rPr>
                          <m:sty m:val="p"/>
                        </m:rPr>
                        <w:rPr>
                          <w:rFonts w:ascii="Cambria Math" w:eastAsia="Times New Roman" w:hAnsi="Cambria Math" w:cs="Arial"/>
                          <w:color w:val="000000" w:themeColor="text1"/>
                          <w:sz w:val="20"/>
                          <w:szCs w:val="20"/>
                          <w:lang w:val="en-US" w:eastAsia="fr-FR"/>
                        </w:rPr>
                        <m:t>M</m:t>
                      </m:r>
                    </m:e>
                    <m:sub>
                      <m:r>
                        <m:rPr>
                          <m:sty m:val="p"/>
                        </m:rPr>
                        <w:rPr>
                          <w:rFonts w:ascii="Cambria Math" w:eastAsia="Times New Roman" w:hAnsi="Cambria Math" w:cs="Arial"/>
                          <w:color w:val="000000" w:themeColor="text1"/>
                          <w:sz w:val="20"/>
                          <w:szCs w:val="20"/>
                          <w:lang w:val="en-US" w:eastAsia="fr-FR"/>
                        </w:rPr>
                        <m:t>0</m:t>
                      </m:r>
                    </m:sub>
                  </m:sSub>
                </m:e>
              </m:d>
            </m:num>
            <m:den>
              <m:sSub>
                <m:sSubPr>
                  <m:ctrlPr>
                    <w:rPr>
                      <w:rFonts w:ascii="Cambria Math" w:eastAsia="Times New Roman" w:hAnsi="Cambria Math" w:cs="Arial"/>
                      <w:color w:val="000000" w:themeColor="text1"/>
                      <w:sz w:val="20"/>
                      <w:szCs w:val="20"/>
                      <w:lang w:val="en-US" w:eastAsia="fr-FR"/>
                    </w:rPr>
                  </m:ctrlPr>
                </m:sSubPr>
                <m:e>
                  <m:r>
                    <m:rPr>
                      <m:sty m:val="p"/>
                    </m:rPr>
                    <w:rPr>
                      <w:rFonts w:ascii="Cambria Math" w:eastAsia="Times New Roman" w:hAnsi="Cambria Math" w:cs="Arial"/>
                      <w:color w:val="000000" w:themeColor="text1"/>
                      <w:sz w:val="20"/>
                      <w:szCs w:val="20"/>
                      <w:lang w:val="en-US" w:eastAsia="fr-FR"/>
                    </w:rPr>
                    <m:t>M</m:t>
                  </m:r>
                </m:e>
                <m:sub>
                  <m:r>
                    <m:rPr>
                      <m:sty m:val="p"/>
                    </m:rPr>
                    <w:rPr>
                      <w:rFonts w:ascii="Cambria Math" w:eastAsia="Times New Roman" w:hAnsi="Cambria Math" w:cs="Arial"/>
                      <w:color w:val="000000" w:themeColor="text1"/>
                      <w:sz w:val="20"/>
                      <w:szCs w:val="20"/>
                      <w:lang w:val="en-US" w:eastAsia="fr-FR"/>
                    </w:rPr>
                    <m:t>0</m:t>
                  </m:r>
                </m:sub>
              </m:sSub>
            </m:den>
          </m:f>
          <m:r>
            <m:rPr>
              <m:sty m:val="p"/>
            </m:rPr>
            <w:rPr>
              <w:rFonts w:ascii="Cambria Math" w:eastAsia="Times New Roman" w:hAnsi="Cambria Math" w:cs="Arial"/>
              <w:color w:val="000000" w:themeColor="text1"/>
              <w:sz w:val="20"/>
              <w:szCs w:val="20"/>
              <w:lang w:val="en-US" w:eastAsia="fr-FR"/>
            </w:rPr>
            <m:t>] x 100</m:t>
          </m:r>
        </m:oMath>
      </m:oMathPara>
    </w:p>
    <w:p w14:paraId="793F2E67" w14:textId="77777777" w:rsidR="003604EA" w:rsidRDefault="003604EA" w:rsidP="003604EA">
      <w:pPr>
        <w:spacing w:after="0" w:line="360" w:lineRule="auto"/>
        <w:jc w:val="both"/>
        <w:rPr>
          <w:rFonts w:ascii="Arial" w:eastAsia="Times New Roman" w:hAnsi="Arial" w:cs="Arial"/>
          <w:color w:val="000000" w:themeColor="text1"/>
          <w:sz w:val="20"/>
          <w:szCs w:val="20"/>
          <w:lang w:val="en-US" w:eastAsia="fr-FR"/>
        </w:rPr>
      </w:pPr>
    </w:p>
    <w:p w14:paraId="29299663" w14:textId="122924C1" w:rsidR="007136C0" w:rsidRPr="00835B30" w:rsidRDefault="007136C0" w:rsidP="007136C0">
      <w:pPr>
        <w:spacing w:before="240" w:line="360" w:lineRule="auto"/>
        <w:jc w:val="center"/>
        <w:rPr>
          <w:rFonts w:ascii="Arial" w:eastAsia="Times New Roman" w:hAnsi="Arial" w:cs="Arial"/>
          <w:color w:val="000000" w:themeColor="text1"/>
          <w:sz w:val="20"/>
          <w:szCs w:val="20"/>
          <w:lang w:val="en-US" w:eastAsia="fr-FR"/>
        </w:rPr>
      </w:pPr>
      <w:r w:rsidRPr="00835B30">
        <w:rPr>
          <w:rFonts w:ascii="Arial" w:eastAsia="Times New Roman" w:hAnsi="Arial" w:cs="Arial"/>
          <w:color w:val="000000" w:themeColor="text1"/>
          <w:sz w:val="20"/>
          <w:szCs w:val="20"/>
          <w:lang w:val="en-US" w:eastAsia="fr-FR"/>
        </w:rPr>
        <w:t>Table 1: Main fatty acid percentages of different oils</w:t>
      </w:r>
    </w:p>
    <w:tbl>
      <w:tblPr>
        <w:tblStyle w:val="TableGrid"/>
        <w:tblW w:w="9126" w:type="dxa"/>
        <w:tblLook w:val="04A0" w:firstRow="1" w:lastRow="0" w:firstColumn="1" w:lastColumn="0" w:noHBand="0" w:noVBand="1"/>
      </w:tblPr>
      <w:tblGrid>
        <w:gridCol w:w="1985"/>
        <w:gridCol w:w="2268"/>
        <w:gridCol w:w="2268"/>
        <w:gridCol w:w="2605"/>
      </w:tblGrid>
      <w:tr w:rsidR="007136C0" w:rsidRPr="005B7291" w14:paraId="2DE17CBE" w14:textId="77777777" w:rsidTr="00BD5AB5">
        <w:trPr>
          <w:trHeight w:val="590"/>
        </w:trPr>
        <w:tc>
          <w:tcPr>
            <w:tcW w:w="1985" w:type="dxa"/>
            <w:tcBorders>
              <w:left w:val="nil"/>
              <w:bottom w:val="single" w:sz="4" w:space="0" w:color="auto"/>
              <w:right w:val="nil"/>
            </w:tcBorders>
            <w:vAlign w:val="center"/>
          </w:tcPr>
          <w:p w14:paraId="3B7B1813" w14:textId="77777777" w:rsidR="007136C0" w:rsidRPr="005B7291" w:rsidRDefault="007136C0" w:rsidP="00BD5AB5">
            <w:pPr>
              <w:spacing w:line="276" w:lineRule="auto"/>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 xml:space="preserve">Oil </w:t>
            </w:r>
          </w:p>
        </w:tc>
        <w:tc>
          <w:tcPr>
            <w:tcW w:w="2268" w:type="dxa"/>
            <w:tcBorders>
              <w:left w:val="nil"/>
              <w:bottom w:val="single" w:sz="4" w:space="0" w:color="auto"/>
              <w:right w:val="nil"/>
            </w:tcBorders>
            <w:vAlign w:val="center"/>
          </w:tcPr>
          <w:p w14:paraId="7C576F02" w14:textId="77777777" w:rsidR="007136C0" w:rsidRPr="005B7291" w:rsidRDefault="007136C0" w:rsidP="00BD5AB5">
            <w:pPr>
              <w:spacing w:line="276"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Saturated fatty acids (SFA)</w:t>
            </w:r>
          </w:p>
        </w:tc>
        <w:tc>
          <w:tcPr>
            <w:tcW w:w="2268" w:type="dxa"/>
            <w:tcBorders>
              <w:left w:val="nil"/>
              <w:bottom w:val="single" w:sz="4" w:space="0" w:color="auto"/>
              <w:right w:val="nil"/>
            </w:tcBorders>
            <w:vAlign w:val="center"/>
          </w:tcPr>
          <w:p w14:paraId="414AA553" w14:textId="77777777" w:rsidR="007136C0" w:rsidRPr="005B7291" w:rsidRDefault="007136C0" w:rsidP="00BD5AB5">
            <w:pPr>
              <w:spacing w:line="276"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Monounsaturated fatty acids (MUFA)</w:t>
            </w:r>
          </w:p>
        </w:tc>
        <w:tc>
          <w:tcPr>
            <w:tcW w:w="2605" w:type="dxa"/>
            <w:tcBorders>
              <w:left w:val="nil"/>
              <w:bottom w:val="single" w:sz="4" w:space="0" w:color="auto"/>
              <w:right w:val="nil"/>
            </w:tcBorders>
            <w:vAlign w:val="center"/>
          </w:tcPr>
          <w:p w14:paraId="67B535E5" w14:textId="77777777" w:rsidR="007136C0" w:rsidRPr="005B7291" w:rsidRDefault="007136C0" w:rsidP="00BD5AB5">
            <w:pPr>
              <w:spacing w:line="276"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Polyunsaturated fatty acids (PUFA)</w:t>
            </w:r>
          </w:p>
        </w:tc>
      </w:tr>
      <w:tr w:rsidR="007136C0" w:rsidRPr="005B7291" w14:paraId="68E7208C" w14:textId="77777777" w:rsidTr="00BD5AB5">
        <w:trPr>
          <w:trHeight w:val="388"/>
        </w:trPr>
        <w:tc>
          <w:tcPr>
            <w:tcW w:w="1985" w:type="dxa"/>
            <w:tcBorders>
              <w:left w:val="nil"/>
              <w:bottom w:val="nil"/>
              <w:right w:val="nil"/>
            </w:tcBorders>
          </w:tcPr>
          <w:p w14:paraId="3E7B43BD" w14:textId="77777777" w:rsidR="007136C0" w:rsidRPr="005B7291" w:rsidRDefault="007136C0" w:rsidP="00BD5AB5">
            <w:pPr>
              <w:spacing w:line="360" w:lineRule="auto"/>
              <w:jc w:val="both"/>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 xml:space="preserve">Palm kernel </w:t>
            </w:r>
          </w:p>
        </w:tc>
        <w:tc>
          <w:tcPr>
            <w:tcW w:w="2268" w:type="dxa"/>
            <w:tcBorders>
              <w:left w:val="nil"/>
              <w:bottom w:val="nil"/>
              <w:right w:val="nil"/>
            </w:tcBorders>
          </w:tcPr>
          <w:p w14:paraId="19E284C7"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82</w:t>
            </w:r>
          </w:p>
        </w:tc>
        <w:tc>
          <w:tcPr>
            <w:tcW w:w="2268" w:type="dxa"/>
            <w:tcBorders>
              <w:left w:val="nil"/>
              <w:bottom w:val="nil"/>
              <w:right w:val="nil"/>
            </w:tcBorders>
          </w:tcPr>
          <w:p w14:paraId="220C74FA"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15.4</w:t>
            </w:r>
          </w:p>
        </w:tc>
        <w:tc>
          <w:tcPr>
            <w:tcW w:w="2605" w:type="dxa"/>
            <w:tcBorders>
              <w:left w:val="nil"/>
              <w:bottom w:val="nil"/>
              <w:right w:val="nil"/>
            </w:tcBorders>
          </w:tcPr>
          <w:p w14:paraId="52F05484"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2.5</w:t>
            </w:r>
          </w:p>
        </w:tc>
      </w:tr>
      <w:tr w:rsidR="007136C0" w:rsidRPr="005B7291" w14:paraId="2A1EBA7D" w14:textId="77777777" w:rsidTr="00BD5AB5">
        <w:trPr>
          <w:trHeight w:val="388"/>
        </w:trPr>
        <w:tc>
          <w:tcPr>
            <w:tcW w:w="1985" w:type="dxa"/>
            <w:tcBorders>
              <w:top w:val="nil"/>
              <w:left w:val="nil"/>
              <w:bottom w:val="nil"/>
              <w:right w:val="nil"/>
            </w:tcBorders>
          </w:tcPr>
          <w:p w14:paraId="05D8777A" w14:textId="77777777" w:rsidR="007136C0" w:rsidRPr="005B7291" w:rsidRDefault="007136C0" w:rsidP="00BD5AB5">
            <w:pPr>
              <w:spacing w:line="360" w:lineRule="auto"/>
              <w:jc w:val="both"/>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 xml:space="preserve">Red palm </w:t>
            </w:r>
          </w:p>
        </w:tc>
        <w:tc>
          <w:tcPr>
            <w:tcW w:w="2268" w:type="dxa"/>
            <w:tcBorders>
              <w:top w:val="nil"/>
              <w:left w:val="nil"/>
              <w:bottom w:val="nil"/>
              <w:right w:val="nil"/>
            </w:tcBorders>
          </w:tcPr>
          <w:p w14:paraId="5C6C23EA"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51</w:t>
            </w:r>
          </w:p>
        </w:tc>
        <w:tc>
          <w:tcPr>
            <w:tcW w:w="2268" w:type="dxa"/>
            <w:tcBorders>
              <w:top w:val="nil"/>
              <w:left w:val="nil"/>
              <w:bottom w:val="nil"/>
              <w:right w:val="nil"/>
            </w:tcBorders>
          </w:tcPr>
          <w:p w14:paraId="3BAAA25F"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39</w:t>
            </w:r>
          </w:p>
        </w:tc>
        <w:tc>
          <w:tcPr>
            <w:tcW w:w="2605" w:type="dxa"/>
            <w:tcBorders>
              <w:top w:val="nil"/>
              <w:left w:val="nil"/>
              <w:bottom w:val="nil"/>
              <w:right w:val="nil"/>
            </w:tcBorders>
          </w:tcPr>
          <w:p w14:paraId="1C23F29A"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10</w:t>
            </w:r>
          </w:p>
        </w:tc>
      </w:tr>
      <w:tr w:rsidR="007136C0" w:rsidRPr="005B7291" w14:paraId="7E5BF999" w14:textId="77777777" w:rsidTr="00BD5AB5">
        <w:trPr>
          <w:trHeight w:val="388"/>
        </w:trPr>
        <w:tc>
          <w:tcPr>
            <w:tcW w:w="1985" w:type="dxa"/>
            <w:tcBorders>
              <w:top w:val="nil"/>
              <w:left w:val="nil"/>
              <w:bottom w:val="nil"/>
              <w:right w:val="nil"/>
            </w:tcBorders>
          </w:tcPr>
          <w:p w14:paraId="77E51E41" w14:textId="77777777" w:rsidR="007136C0" w:rsidRPr="005B7291" w:rsidRDefault="007136C0" w:rsidP="00BD5AB5">
            <w:pPr>
              <w:spacing w:line="360" w:lineRule="auto"/>
              <w:jc w:val="both"/>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Olive</w:t>
            </w:r>
          </w:p>
        </w:tc>
        <w:tc>
          <w:tcPr>
            <w:tcW w:w="2268" w:type="dxa"/>
            <w:tcBorders>
              <w:top w:val="nil"/>
              <w:left w:val="nil"/>
              <w:bottom w:val="nil"/>
              <w:right w:val="nil"/>
            </w:tcBorders>
          </w:tcPr>
          <w:p w14:paraId="2BC6A371"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14</w:t>
            </w:r>
          </w:p>
        </w:tc>
        <w:tc>
          <w:tcPr>
            <w:tcW w:w="2268" w:type="dxa"/>
            <w:tcBorders>
              <w:top w:val="nil"/>
              <w:left w:val="nil"/>
              <w:bottom w:val="nil"/>
              <w:right w:val="nil"/>
            </w:tcBorders>
          </w:tcPr>
          <w:p w14:paraId="7E78FB64"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77</w:t>
            </w:r>
          </w:p>
        </w:tc>
        <w:tc>
          <w:tcPr>
            <w:tcW w:w="2605" w:type="dxa"/>
            <w:tcBorders>
              <w:top w:val="nil"/>
              <w:left w:val="nil"/>
              <w:bottom w:val="nil"/>
              <w:right w:val="nil"/>
            </w:tcBorders>
          </w:tcPr>
          <w:p w14:paraId="02512743"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9</w:t>
            </w:r>
          </w:p>
        </w:tc>
      </w:tr>
      <w:tr w:rsidR="007136C0" w:rsidRPr="005B7291" w14:paraId="77C503FC" w14:textId="77777777" w:rsidTr="00BD5AB5">
        <w:trPr>
          <w:trHeight w:val="371"/>
        </w:trPr>
        <w:tc>
          <w:tcPr>
            <w:tcW w:w="1985" w:type="dxa"/>
            <w:tcBorders>
              <w:top w:val="nil"/>
              <w:left w:val="nil"/>
              <w:bottom w:val="single" w:sz="4" w:space="0" w:color="auto"/>
              <w:right w:val="nil"/>
            </w:tcBorders>
          </w:tcPr>
          <w:p w14:paraId="29834EA2" w14:textId="77777777" w:rsidR="007136C0" w:rsidRPr="005B7291" w:rsidRDefault="007136C0" w:rsidP="00BD5AB5">
            <w:pPr>
              <w:spacing w:line="360" w:lineRule="auto"/>
              <w:jc w:val="both"/>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 xml:space="preserve">Soybean </w:t>
            </w:r>
          </w:p>
        </w:tc>
        <w:tc>
          <w:tcPr>
            <w:tcW w:w="2268" w:type="dxa"/>
            <w:tcBorders>
              <w:top w:val="nil"/>
              <w:left w:val="nil"/>
              <w:bottom w:val="single" w:sz="4" w:space="0" w:color="auto"/>
              <w:right w:val="nil"/>
            </w:tcBorders>
          </w:tcPr>
          <w:p w14:paraId="2D6C648F"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15</w:t>
            </w:r>
          </w:p>
        </w:tc>
        <w:tc>
          <w:tcPr>
            <w:tcW w:w="2268" w:type="dxa"/>
            <w:tcBorders>
              <w:top w:val="nil"/>
              <w:left w:val="nil"/>
              <w:bottom w:val="single" w:sz="4" w:space="0" w:color="auto"/>
              <w:right w:val="nil"/>
            </w:tcBorders>
          </w:tcPr>
          <w:p w14:paraId="325A9545"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23</w:t>
            </w:r>
          </w:p>
        </w:tc>
        <w:tc>
          <w:tcPr>
            <w:tcW w:w="2605" w:type="dxa"/>
            <w:tcBorders>
              <w:top w:val="nil"/>
              <w:left w:val="nil"/>
              <w:bottom w:val="single" w:sz="4" w:space="0" w:color="auto"/>
              <w:right w:val="nil"/>
            </w:tcBorders>
          </w:tcPr>
          <w:p w14:paraId="581D514E" w14:textId="77777777" w:rsidR="007136C0" w:rsidRPr="005B7291" w:rsidRDefault="007136C0" w:rsidP="00BD5AB5">
            <w:pPr>
              <w:spacing w:line="360" w:lineRule="auto"/>
              <w:jc w:val="center"/>
              <w:rPr>
                <w:rFonts w:ascii="Arial" w:eastAsia="Times New Roman" w:hAnsi="Arial" w:cs="Arial"/>
                <w:color w:val="000000" w:themeColor="text1"/>
                <w:sz w:val="20"/>
                <w:szCs w:val="24"/>
                <w:lang w:val="en-US" w:eastAsia="fr-FR"/>
              </w:rPr>
            </w:pPr>
            <w:r w:rsidRPr="005B7291">
              <w:rPr>
                <w:rFonts w:ascii="Arial" w:eastAsia="Times New Roman" w:hAnsi="Arial" w:cs="Arial"/>
                <w:color w:val="000000" w:themeColor="text1"/>
                <w:sz w:val="20"/>
                <w:szCs w:val="24"/>
                <w:lang w:val="en-US" w:eastAsia="fr-FR"/>
              </w:rPr>
              <w:t>62</w:t>
            </w:r>
          </w:p>
        </w:tc>
      </w:tr>
      <w:tr w:rsidR="007136C0" w:rsidRPr="005B7291" w14:paraId="3E929396" w14:textId="77777777" w:rsidTr="00BD5AB5">
        <w:trPr>
          <w:trHeight w:val="371"/>
        </w:trPr>
        <w:tc>
          <w:tcPr>
            <w:tcW w:w="9126" w:type="dxa"/>
            <w:gridSpan w:val="4"/>
            <w:tcBorders>
              <w:top w:val="single" w:sz="4" w:space="0" w:color="auto"/>
              <w:left w:val="nil"/>
              <w:bottom w:val="nil"/>
              <w:right w:val="nil"/>
            </w:tcBorders>
          </w:tcPr>
          <w:p w14:paraId="5C36D4E7" w14:textId="77777777" w:rsidR="007136C0" w:rsidRPr="005B7291" w:rsidRDefault="007136C0" w:rsidP="00BD5AB5">
            <w:pPr>
              <w:spacing w:line="360" w:lineRule="auto"/>
              <w:jc w:val="both"/>
              <w:rPr>
                <w:rFonts w:ascii="Arial" w:eastAsia="Times New Roman" w:hAnsi="Arial" w:cs="Arial"/>
                <w:color w:val="000000" w:themeColor="text1"/>
                <w:sz w:val="20"/>
                <w:szCs w:val="24"/>
                <w:lang w:val="en-US" w:eastAsia="fr-FR"/>
              </w:rPr>
            </w:pPr>
          </w:p>
        </w:tc>
      </w:tr>
    </w:tbl>
    <w:p w14:paraId="1834AA07" w14:textId="39767406" w:rsidR="007136C0" w:rsidRPr="00202D84" w:rsidRDefault="007136C0" w:rsidP="007136C0">
      <w:pPr>
        <w:spacing w:before="100" w:beforeAutospacing="1" w:after="100" w:afterAutospacing="1" w:line="360" w:lineRule="auto"/>
        <w:jc w:val="both"/>
        <w:rPr>
          <w:rFonts w:ascii="Arial" w:eastAsia="Times New Roman" w:hAnsi="Arial" w:cs="Arial"/>
          <w:b/>
          <w:color w:val="000000" w:themeColor="text1"/>
          <w:sz w:val="20"/>
          <w:lang w:val="en-US" w:eastAsia="fr-FR"/>
        </w:rPr>
      </w:pPr>
      <w:r w:rsidRPr="00202D84">
        <w:rPr>
          <w:rFonts w:ascii="Arial" w:eastAsia="Times New Roman" w:hAnsi="Arial" w:cs="Arial"/>
          <w:b/>
          <w:color w:val="000000" w:themeColor="text1"/>
          <w:sz w:val="20"/>
          <w:lang w:val="en-US" w:eastAsia="fr-FR"/>
        </w:rPr>
        <w:t>2.</w:t>
      </w:r>
      <w:r w:rsidR="0069278A">
        <w:rPr>
          <w:rFonts w:ascii="Arial" w:eastAsia="Times New Roman" w:hAnsi="Arial" w:cs="Arial"/>
          <w:b/>
          <w:color w:val="000000" w:themeColor="text1"/>
          <w:sz w:val="20"/>
          <w:lang w:val="en-US" w:eastAsia="fr-FR"/>
        </w:rPr>
        <w:t>3</w:t>
      </w:r>
      <w:r w:rsidRPr="00202D84">
        <w:rPr>
          <w:rFonts w:ascii="Arial" w:eastAsia="Times New Roman" w:hAnsi="Arial" w:cs="Arial"/>
          <w:b/>
          <w:color w:val="000000" w:themeColor="text1"/>
          <w:sz w:val="20"/>
          <w:lang w:val="en-US" w:eastAsia="fr-FR"/>
        </w:rPr>
        <w:t xml:space="preserve">.2. Water Absorption Capacity and Water Solubility Index </w:t>
      </w:r>
    </w:p>
    <w:p w14:paraId="376B7B6D" w14:textId="699DDF22" w:rsidR="007136C0" w:rsidRPr="005B7291" w:rsidRDefault="007136C0" w:rsidP="007136C0">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B7291">
        <w:rPr>
          <w:rFonts w:ascii="Arial" w:eastAsia="Times New Roman" w:hAnsi="Arial" w:cs="Arial"/>
          <w:color w:val="000000" w:themeColor="text1"/>
          <w:sz w:val="20"/>
          <w:szCs w:val="20"/>
          <w:lang w:val="en-US" w:eastAsia="fr-FR"/>
        </w:rPr>
        <w:t xml:space="preserve">The water absorption capacity (WAC) and water solubility index (WSI) were evaluated according to methods of </w:t>
      </w:r>
      <w:r w:rsidRPr="005B7291">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{"citationItems":[{"id":"ITEM-1","itemData":{"DOI":"10.1111/j.1365-2621.1988.tb08959.x","ISSN":"17503841","abstract":"The efficiency of decorticating cowpeas was improved by hydrating to 25%, then drying to ˜10% moisture. Effects of drying temperature (50°, 70°, 90°, 110°, and 130°C) on functional and nutritional properties of cowpea meal were assessed. Extraction rate (yield) was unaffected by heating. Average particle size and water absorption of meal were greatest for intermediate temperatures. Starch was not gelatinized at any temperature. Reduction in protein solubility, which occurred at temperature 90°C., was associated with changes in gel electrophoresis patterns. Protein solubility was negatively correlated with previously reported values for specific gravity and apparent viscosity of cowpea pastes. Increases in drying temperature reduced thiamin content and increased browning of the meal. Copyright © 1988, Wiley Blackwell. All rights reserved","author":[{"dropping-particle":"","family":"Phillips","given":"R. D.","non-dropping-particle":"","parse-names":false,"suffix":""},{"dropping-particle":"","family":"Chinnan","given":"M. S.","non-dropping-particle":"","parse-names":false,"suffix":""},{"dropping-particle":"","family":"Branch","given":"A. L.","non-dropping-particle":"","parse-names":false,"suffix":""},{"dropping-particle":"","family":"Miller","given":"J.","non-dropping-particle":"","parse-names":false,"suffix":""},{"dropping-particle":"","family":"McWatters","given":"K. H.","non-dropping-particle":"","parse-names":false,"suffix":""}],"container-title":"Journal of Food Science","id":"ITEM-1","issue":"3","issued":{"date-parts":[["1988"]]},"page":"805-809","title":"Effects of Pretreatment on Functional and Nutritional Properties of Cowpea Meal","type":"article-journal","volume":"53"},"uris":["http://www.mendeley.com/documents/?uuid=710951b3-b32d-48d9-904d-6a1d66437490"]}],"mendeley":{"formattedCitation":"(Phillips et al., 1988)","manualFormatting":"Phillips et al. (1988)","plainTextFormattedCitation":"(Phillips et al., 1988)","previouslyFormattedCitation":"(Phillips et al., 1988)"},"properties":{"noteIndex":0},"schema":"https://github.com/citation-style-language/schema/raw/master/csl-citation.json"}</w:instrText>
      </w:r>
      <w:r w:rsidRPr="005B7291">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 xml:space="preserve">Phillips et al.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1988)</w:t>
      </w:r>
      <w:r w:rsidRPr="005B7291">
        <w:rPr>
          <w:rFonts w:ascii="Arial" w:eastAsia="Times New Roman" w:hAnsi="Arial" w:cs="Arial"/>
          <w:color w:val="000000" w:themeColor="text1"/>
          <w:sz w:val="20"/>
          <w:szCs w:val="20"/>
          <w:lang w:val="en-US" w:eastAsia="fr-FR"/>
        </w:rPr>
        <w:fldChar w:fldCharType="end"/>
      </w:r>
      <w:r w:rsidRPr="005B7291">
        <w:rPr>
          <w:rFonts w:ascii="Arial" w:eastAsia="Times New Roman" w:hAnsi="Arial" w:cs="Arial"/>
          <w:color w:val="000000" w:themeColor="text1"/>
          <w:sz w:val="20"/>
          <w:szCs w:val="20"/>
          <w:lang w:val="en-US" w:eastAsia="fr-FR"/>
        </w:rPr>
        <w:t xml:space="preserve"> and </w:t>
      </w:r>
      <w:r w:rsidRPr="005B7291">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{"citationItems":[{"id":"ITEM-1","itemData":{"author":[{"dropping-particle":"","family":"Anderson","given":"R. A.","non-dropping-particle":"","parse-names":false,"suffix":""},{"dropping-particle":"","family":"Conway","given":"H. F.","non-dropping-particle":"","parse-names":false,"suffix":""},{"dropping-particle":"","family":"Pfeifer","given":"V. F.","non-dropping-particle":"","parse-names":false,"suffix":""},{"dropping-particle":"","family":"Griffin","given":"E. L.","non-dropping-particle":"","parse-names":false,"suffix":""}],"container-title":"Cereal Science Today,","id":"ITEM-1","issue":"1","issued":{"date-parts":[["1969"]]},"page":"4-12","title":"Gelatinization of corn grits by roll- and extrusion-cooking","type":"article-journal","volume":"14"},"uris":["http://www.mendeley.com/documents/?uuid=bc237d68-0f05-438e-bd24-e9b3108432ce","http://www.mendeley.com/documents/?uuid=668cb886-f814-4497-9f16-1148a634f398"]}],"mendeley":{"formattedCitation":"(Anderson et al., 1969)","manualFormatting":"Anderson et al. (1969)","plainTextFormattedCitation":"(Anderson et al., 1969)","previouslyFormattedCitation":"(Anderson et al., 1969)"},"properties":{"noteIndex":0},"schema":"https://github.com/citation-style-language/schema/raw/master/csl-citation.json"}</w:instrText>
      </w:r>
      <w:r w:rsidRPr="005B7291">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Anderson et al.</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1969)</w:t>
      </w:r>
      <w:r w:rsidRPr="005B7291">
        <w:rPr>
          <w:rFonts w:ascii="Arial" w:eastAsia="Times New Roman" w:hAnsi="Arial" w:cs="Arial"/>
          <w:color w:val="000000" w:themeColor="text1"/>
          <w:sz w:val="20"/>
          <w:szCs w:val="20"/>
          <w:lang w:val="en-US" w:eastAsia="fr-FR"/>
        </w:rPr>
        <w:fldChar w:fldCharType="end"/>
      </w:r>
      <w:r w:rsidRPr="005B7291">
        <w:rPr>
          <w:rFonts w:ascii="Arial" w:eastAsia="Times New Roman" w:hAnsi="Arial" w:cs="Arial"/>
          <w:color w:val="000000" w:themeColor="text1"/>
          <w:sz w:val="20"/>
          <w:szCs w:val="20"/>
          <w:lang w:val="en-US" w:eastAsia="fr-FR"/>
        </w:rPr>
        <w:t>, respectively. One gram of powder (W</w:t>
      </w:r>
      <w:r w:rsidRPr="005B7291">
        <w:rPr>
          <w:rFonts w:ascii="Arial" w:eastAsia="Times New Roman" w:hAnsi="Arial" w:cs="Arial"/>
          <w:color w:val="000000" w:themeColor="text1"/>
          <w:sz w:val="20"/>
          <w:szCs w:val="20"/>
          <w:vertAlign w:val="subscript"/>
          <w:lang w:val="en-US" w:eastAsia="fr-FR"/>
        </w:rPr>
        <w:t>0</w:t>
      </w:r>
      <w:r w:rsidRPr="005B7291">
        <w:rPr>
          <w:rFonts w:ascii="Arial" w:eastAsia="Times New Roman" w:hAnsi="Arial" w:cs="Arial"/>
          <w:color w:val="000000" w:themeColor="text1"/>
          <w:sz w:val="20"/>
          <w:szCs w:val="20"/>
          <w:lang w:val="en-US" w:eastAsia="fr-FR"/>
        </w:rPr>
        <w:t>) was suspended in 10 ml of distilled water, mixed for 60 min in a shaking water bath (</w:t>
      </w:r>
      <w:proofErr w:type="spellStart"/>
      <w:r w:rsidRPr="005B7291">
        <w:rPr>
          <w:rFonts w:ascii="Arial" w:eastAsia="Times New Roman" w:hAnsi="Arial" w:cs="Arial"/>
          <w:color w:val="000000" w:themeColor="text1"/>
          <w:sz w:val="20"/>
          <w:szCs w:val="20"/>
          <w:lang w:val="en-US" w:eastAsia="fr-FR"/>
        </w:rPr>
        <w:t>Kottermann</w:t>
      </w:r>
      <w:proofErr w:type="spellEnd"/>
      <w:r w:rsidRPr="005B7291">
        <w:rPr>
          <w:rFonts w:ascii="Arial" w:eastAsia="Times New Roman" w:hAnsi="Arial" w:cs="Arial"/>
          <w:color w:val="000000" w:themeColor="text1"/>
          <w:sz w:val="20"/>
          <w:szCs w:val="20"/>
          <w:lang w:val="en-US" w:eastAsia="fr-FR"/>
        </w:rPr>
        <w:t>, Germany) set at 37 °C and centrifuged at 5000 rpm for 30 min. The pellet was collected, weighed (W</w:t>
      </w:r>
      <w:r w:rsidRPr="005B7291">
        <w:rPr>
          <w:rFonts w:ascii="Arial" w:eastAsia="Times New Roman" w:hAnsi="Arial" w:cs="Arial"/>
          <w:color w:val="000000" w:themeColor="text1"/>
          <w:sz w:val="20"/>
          <w:szCs w:val="20"/>
          <w:vertAlign w:val="subscript"/>
          <w:lang w:val="en-US" w:eastAsia="fr-FR"/>
        </w:rPr>
        <w:t>1</w:t>
      </w:r>
      <w:r w:rsidRPr="005B7291">
        <w:rPr>
          <w:rFonts w:ascii="Arial" w:eastAsia="Times New Roman" w:hAnsi="Arial" w:cs="Arial"/>
          <w:color w:val="000000" w:themeColor="text1"/>
          <w:sz w:val="20"/>
          <w:szCs w:val="20"/>
          <w:lang w:val="en-US" w:eastAsia="fr-FR"/>
        </w:rPr>
        <w:t>), and dried at 105 °C for 24 hours, after which the weight of the dry residue (W</w:t>
      </w:r>
      <w:r w:rsidRPr="005B7291">
        <w:rPr>
          <w:rFonts w:ascii="Arial" w:eastAsia="Times New Roman" w:hAnsi="Arial" w:cs="Arial"/>
          <w:color w:val="000000" w:themeColor="text1"/>
          <w:sz w:val="20"/>
          <w:szCs w:val="20"/>
          <w:vertAlign w:val="subscript"/>
          <w:lang w:val="en-US" w:eastAsia="fr-FR"/>
        </w:rPr>
        <w:t>2</w:t>
      </w:r>
      <w:r w:rsidRPr="005B7291">
        <w:rPr>
          <w:rFonts w:ascii="Arial" w:eastAsia="Times New Roman" w:hAnsi="Arial" w:cs="Arial"/>
          <w:color w:val="000000" w:themeColor="text1"/>
          <w:sz w:val="20"/>
          <w:szCs w:val="20"/>
          <w:lang w:val="en-US" w:eastAsia="fr-FR"/>
        </w:rPr>
        <w:t>) was determined. The following formulas were used to calculate these different variables and are expressed in g/100 g DM.</w:t>
      </w:r>
    </w:p>
    <w:p w14:paraId="316AD6DF" w14:textId="77777777" w:rsidR="007136C0" w:rsidRPr="005B7291" w:rsidRDefault="00C700BE" w:rsidP="007136C0">
      <w:pPr>
        <w:spacing w:line="360" w:lineRule="auto"/>
        <w:jc w:val="both"/>
        <w:rPr>
          <w:rFonts w:ascii="Arial" w:hAnsi="Arial" w:cs="Arial"/>
          <w:color w:val="000000" w:themeColor="text1"/>
          <w:sz w:val="20"/>
          <w:szCs w:val="20"/>
          <w:lang w:val="en-US"/>
        </w:rPr>
      </w:pPr>
      <m:oMathPara>
        <m:oMathParaPr>
          <m:jc m:val="center"/>
        </m:oMathParaPr>
        <m:oMath>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WAC</m:t>
              </m:r>
            </m:e>
            <m:sub>
              <m:r>
                <m:rPr>
                  <m:sty m:val="p"/>
                </m:rPr>
                <w:rPr>
                  <w:rFonts w:ascii="Cambria Math" w:eastAsiaTheme="minorEastAsia" w:hAnsi="Cambria Math" w:cs="Arial"/>
                  <w:color w:val="000000" w:themeColor="text1"/>
                  <w:sz w:val="20"/>
                  <w:szCs w:val="20"/>
                  <w:lang w:val="en-US"/>
                </w:rPr>
                <m:t>t</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1</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2</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1</m:t>
              </m:r>
            </m:sub>
          </m:sSub>
          <m:r>
            <m:rPr>
              <m:sty m:val="p"/>
            </m:rPr>
            <w:rPr>
              <w:rFonts w:ascii="Cambria Math" w:eastAsiaTheme="minorEastAsia" w:hAnsi="Cambria Math" w:cs="Arial"/>
              <w:color w:val="000000" w:themeColor="text1"/>
              <w:sz w:val="20"/>
              <w:szCs w:val="20"/>
              <w:lang w:val="en-US"/>
            </w:rPr>
            <m:t>] x 100</m:t>
          </m:r>
        </m:oMath>
      </m:oMathPara>
    </w:p>
    <w:p w14:paraId="6AC1ED6B" w14:textId="77777777" w:rsidR="007136C0" w:rsidRPr="005B7291" w:rsidRDefault="00C700BE" w:rsidP="007136C0">
      <w:pPr>
        <w:spacing w:before="240" w:after="0" w:line="360" w:lineRule="auto"/>
        <w:jc w:val="both"/>
        <w:rPr>
          <w:rFonts w:ascii="Arial" w:eastAsiaTheme="minorEastAsia" w:hAnsi="Arial" w:cs="Arial"/>
          <w:color w:val="000000" w:themeColor="text1"/>
          <w:sz w:val="20"/>
          <w:szCs w:val="20"/>
          <w:lang w:val="en-US"/>
        </w:rPr>
      </w:pPr>
      <m:oMathPara>
        <m:oMathParaPr>
          <m:jc m:val="center"/>
        </m:oMathParaPr>
        <m:oMath>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WAC</m:t>
              </m:r>
            </m:e>
            <m:sub>
              <m:r>
                <m:rPr>
                  <m:sty m:val="p"/>
                </m:rPr>
                <w:rPr>
                  <w:rFonts w:ascii="Cambria Math" w:eastAsiaTheme="minorEastAsia" w:hAnsi="Cambria Math" w:cs="Arial"/>
                  <w:color w:val="000000" w:themeColor="text1"/>
                  <w:sz w:val="20"/>
                  <w:szCs w:val="20"/>
                  <w:lang w:val="en-US"/>
                </w:rPr>
                <m:t>a</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1</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0</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1</m:t>
              </m:r>
            </m:sub>
          </m:sSub>
          <m:r>
            <m:rPr>
              <m:sty m:val="p"/>
            </m:rPr>
            <w:rPr>
              <w:rFonts w:ascii="Cambria Math" w:eastAsiaTheme="minorEastAsia" w:hAnsi="Cambria Math" w:cs="Arial"/>
              <w:color w:val="000000" w:themeColor="text1"/>
              <w:sz w:val="20"/>
              <w:szCs w:val="20"/>
              <w:lang w:val="en-US"/>
            </w:rPr>
            <m:t>] x 100</m:t>
          </m:r>
        </m:oMath>
      </m:oMathPara>
    </w:p>
    <w:p w14:paraId="2CBE1BDB" w14:textId="77777777" w:rsidR="007136C0" w:rsidRPr="005B7291" w:rsidRDefault="007136C0" w:rsidP="007136C0">
      <w:pPr>
        <w:spacing w:before="240" w:after="0" w:line="360" w:lineRule="auto"/>
        <w:jc w:val="both"/>
        <w:rPr>
          <w:rFonts w:ascii="Arial" w:eastAsiaTheme="minorEastAsia" w:hAnsi="Arial" w:cs="Arial"/>
          <w:color w:val="000000" w:themeColor="text1"/>
          <w:sz w:val="20"/>
          <w:szCs w:val="20"/>
          <w:lang w:val="en-US"/>
        </w:rPr>
      </w:pPr>
      <m:oMathPara>
        <m:oMath>
          <m:r>
            <m:rPr>
              <m:sty m:val="p"/>
            </m:rPr>
            <w:rPr>
              <w:rFonts w:ascii="Cambria Math" w:eastAsiaTheme="minorEastAsia" w:hAnsi="Cambria Math" w:cs="Arial"/>
              <w:color w:val="000000" w:themeColor="text1"/>
              <w:sz w:val="20"/>
              <w:szCs w:val="20"/>
              <w:lang w:val="en-US"/>
            </w:rPr>
            <m:t>WSI=[(</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2</m:t>
              </m:r>
            </m:sub>
          </m:sSub>
          <m:r>
            <m:rPr>
              <m:sty m:val="p"/>
            </m:rPr>
            <w:rPr>
              <w:rFonts w:ascii="Cambria Math" w:eastAsiaTheme="minorEastAsia" w:hAnsi="Cambria Math" w:cs="Arial"/>
              <w:color w:val="000000" w:themeColor="text1"/>
              <w:sz w:val="20"/>
              <w:szCs w:val="20"/>
              <w:lang w:val="en-US"/>
            </w:rPr>
            <m:t xml:space="preserve">- </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0</m:t>
              </m:r>
            </m:sub>
          </m:sSub>
          <m:r>
            <m:rPr>
              <m:sty m:val="p"/>
            </m:rPr>
            <w:rPr>
              <w:rFonts w:ascii="Cambria Math" w:eastAsiaTheme="minorEastAsia" w:hAnsi="Cambria Math" w:cs="Arial"/>
              <w:color w:val="000000" w:themeColor="text1"/>
              <w:sz w:val="20"/>
              <w:szCs w:val="20"/>
              <w:lang w:val="en-US"/>
            </w:rPr>
            <m:t>)/</m:t>
          </m:r>
          <m:sSub>
            <m:sSubPr>
              <m:ctrlPr>
                <w:rPr>
                  <w:rFonts w:ascii="Cambria Math" w:eastAsiaTheme="minorEastAsia" w:hAnsi="Cambria Math" w:cs="Arial"/>
                  <w:color w:val="000000" w:themeColor="text1"/>
                  <w:sz w:val="20"/>
                  <w:szCs w:val="20"/>
                  <w:lang w:val="en-US"/>
                </w:rPr>
              </m:ctrlPr>
            </m:sSubPr>
            <m:e>
              <m:r>
                <m:rPr>
                  <m:sty m:val="p"/>
                </m:rPr>
                <w:rPr>
                  <w:rFonts w:ascii="Cambria Math" w:eastAsiaTheme="minorEastAsia" w:hAnsi="Cambria Math" w:cs="Arial"/>
                  <w:color w:val="000000" w:themeColor="text1"/>
                  <w:sz w:val="20"/>
                  <w:szCs w:val="20"/>
                  <w:lang w:val="en-US"/>
                </w:rPr>
                <m:t>W</m:t>
              </m:r>
            </m:e>
            <m:sub>
              <m:r>
                <m:rPr>
                  <m:sty m:val="p"/>
                </m:rPr>
                <w:rPr>
                  <w:rFonts w:ascii="Cambria Math" w:eastAsiaTheme="minorEastAsia" w:hAnsi="Cambria Math" w:cs="Arial"/>
                  <w:color w:val="000000" w:themeColor="text1"/>
                  <w:sz w:val="20"/>
                  <w:szCs w:val="20"/>
                  <w:lang w:val="en-US"/>
                </w:rPr>
                <m:t>0</m:t>
              </m:r>
            </m:sub>
          </m:sSub>
          <m:r>
            <m:rPr>
              <m:sty m:val="p"/>
            </m:rPr>
            <w:rPr>
              <w:rFonts w:ascii="Cambria Math" w:eastAsiaTheme="minorEastAsia" w:hAnsi="Cambria Math" w:cs="Arial"/>
              <w:color w:val="000000" w:themeColor="text1"/>
              <w:sz w:val="20"/>
              <w:szCs w:val="20"/>
              <w:lang w:val="en-US"/>
            </w:rPr>
            <m:t>] x 100</m:t>
          </m:r>
        </m:oMath>
      </m:oMathPara>
    </w:p>
    <w:p w14:paraId="143F6F50" w14:textId="77777777" w:rsidR="007136C0" w:rsidRPr="005B7291" w:rsidRDefault="007136C0" w:rsidP="007136C0">
      <w:pPr>
        <w:spacing w:before="100" w:beforeAutospacing="1" w:after="100" w:afterAutospacing="1" w:line="360" w:lineRule="auto"/>
        <w:jc w:val="center"/>
        <w:rPr>
          <w:rFonts w:ascii="Arial" w:eastAsia="Times New Roman" w:hAnsi="Arial" w:cs="Arial"/>
          <w:color w:val="000000" w:themeColor="text1"/>
          <w:sz w:val="20"/>
          <w:szCs w:val="20"/>
          <w:lang w:val="en-US" w:eastAsia="fr-FR"/>
        </w:rPr>
      </w:pPr>
      <w:proofErr w:type="spellStart"/>
      <w:proofErr w:type="gramStart"/>
      <w:r w:rsidRPr="005B7291">
        <w:rPr>
          <w:rFonts w:ascii="Arial" w:eastAsia="Times New Roman" w:hAnsi="Arial" w:cs="Arial"/>
          <w:color w:val="000000" w:themeColor="text1"/>
          <w:sz w:val="20"/>
          <w:szCs w:val="20"/>
          <w:lang w:val="en-US" w:eastAsia="fr-FR"/>
        </w:rPr>
        <w:t>WACt</w:t>
      </w:r>
      <w:proofErr w:type="spellEnd"/>
      <w:r w:rsidRPr="005B7291">
        <w:rPr>
          <w:rFonts w:ascii="Arial" w:eastAsia="Times New Roman" w:hAnsi="Arial" w:cs="Arial"/>
          <w:color w:val="000000" w:themeColor="text1"/>
          <w:sz w:val="20"/>
          <w:szCs w:val="20"/>
          <w:lang w:val="en-US" w:eastAsia="fr-FR"/>
        </w:rPr>
        <w:t xml:space="preserve"> :</w:t>
      </w:r>
      <w:proofErr w:type="gramEnd"/>
      <w:r w:rsidRPr="005B7291">
        <w:rPr>
          <w:rFonts w:ascii="Arial" w:eastAsia="Times New Roman" w:hAnsi="Arial" w:cs="Arial"/>
          <w:color w:val="000000" w:themeColor="text1"/>
          <w:sz w:val="20"/>
          <w:szCs w:val="20"/>
          <w:lang w:val="en-US" w:eastAsia="fr-FR"/>
        </w:rPr>
        <w:t xml:space="preserve"> true water absorption capacity; </w:t>
      </w:r>
      <w:proofErr w:type="spellStart"/>
      <w:r w:rsidRPr="005B7291">
        <w:rPr>
          <w:rFonts w:ascii="Arial" w:eastAsia="Times New Roman" w:hAnsi="Arial" w:cs="Arial"/>
          <w:color w:val="000000" w:themeColor="text1"/>
          <w:sz w:val="20"/>
          <w:szCs w:val="20"/>
          <w:lang w:val="en-US" w:eastAsia="fr-FR"/>
        </w:rPr>
        <w:t>WACa</w:t>
      </w:r>
      <w:proofErr w:type="spellEnd"/>
      <w:r w:rsidRPr="005B7291">
        <w:rPr>
          <w:rFonts w:ascii="Arial" w:eastAsia="Times New Roman" w:hAnsi="Arial" w:cs="Arial"/>
          <w:color w:val="000000" w:themeColor="text1"/>
          <w:sz w:val="20"/>
          <w:szCs w:val="20"/>
          <w:lang w:val="en-US" w:eastAsia="fr-FR"/>
        </w:rPr>
        <w:t xml:space="preserve"> : apparent water absorption capacity</w:t>
      </w:r>
    </w:p>
    <w:p w14:paraId="609DFFDD" w14:textId="173A051A" w:rsidR="007136C0" w:rsidRPr="00202D84" w:rsidRDefault="007136C0" w:rsidP="007136C0">
      <w:pPr>
        <w:spacing w:before="100" w:beforeAutospacing="1" w:after="100" w:afterAutospacing="1" w:line="360" w:lineRule="auto"/>
        <w:jc w:val="both"/>
        <w:rPr>
          <w:rFonts w:ascii="Arial" w:eastAsia="Times New Roman" w:hAnsi="Arial" w:cs="Arial"/>
          <w:b/>
          <w:color w:val="000000" w:themeColor="text1"/>
          <w:sz w:val="20"/>
          <w:lang w:val="en-US" w:eastAsia="fr-FR"/>
        </w:rPr>
      </w:pPr>
      <w:r w:rsidRPr="00202D84">
        <w:rPr>
          <w:rFonts w:ascii="Arial" w:eastAsia="Times New Roman" w:hAnsi="Arial" w:cs="Arial"/>
          <w:b/>
          <w:color w:val="000000" w:themeColor="text1"/>
          <w:sz w:val="20"/>
          <w:lang w:val="en-US" w:eastAsia="fr-FR"/>
        </w:rPr>
        <w:t>2.</w:t>
      </w:r>
      <w:r w:rsidR="0069278A">
        <w:rPr>
          <w:rFonts w:ascii="Arial" w:eastAsia="Times New Roman" w:hAnsi="Arial" w:cs="Arial"/>
          <w:b/>
          <w:color w:val="000000" w:themeColor="text1"/>
          <w:sz w:val="20"/>
          <w:lang w:val="en-US" w:eastAsia="fr-FR"/>
        </w:rPr>
        <w:t>3</w:t>
      </w:r>
      <w:r w:rsidRPr="00202D84">
        <w:rPr>
          <w:rFonts w:ascii="Arial" w:eastAsia="Times New Roman" w:hAnsi="Arial" w:cs="Arial"/>
          <w:b/>
          <w:color w:val="000000" w:themeColor="text1"/>
          <w:sz w:val="20"/>
          <w:lang w:val="en-US" w:eastAsia="fr-FR"/>
        </w:rPr>
        <w:t xml:space="preserve">.3. True Density, Bulk Density, and Porosity </w:t>
      </w:r>
    </w:p>
    <w:p w14:paraId="286DBD25" w14:textId="723B1D6E" w:rsidR="007136C0" w:rsidRPr="005250A4" w:rsidRDefault="007136C0" w:rsidP="007136C0">
      <w:pPr>
        <w:spacing w:before="100" w:beforeAutospacing="1" w:after="100" w:afterAutospacing="1" w:line="360" w:lineRule="auto"/>
        <w:jc w:val="both"/>
        <w:rPr>
          <w:rFonts w:ascii="Arial" w:eastAsia="Times New Roman" w:hAnsi="Arial" w:cs="Arial"/>
          <w:color w:val="000000" w:themeColor="text1"/>
          <w:sz w:val="20"/>
          <w:lang w:val="en-US" w:eastAsia="fr-FR"/>
        </w:rPr>
      </w:pPr>
      <w:r w:rsidRPr="005250A4">
        <w:rPr>
          <w:rFonts w:ascii="Arial" w:eastAsia="Times New Roman" w:hAnsi="Arial" w:cs="Arial"/>
          <w:color w:val="000000" w:themeColor="text1"/>
          <w:sz w:val="20"/>
          <w:lang w:val="en-US" w:eastAsia="fr-FR"/>
        </w:rPr>
        <w:t xml:space="preserve">The modified methods of </w:t>
      </w:r>
      <w:r w:rsidRPr="005250A4">
        <w:rPr>
          <w:rFonts w:ascii="Arial" w:eastAsia="Times New Roman" w:hAnsi="Arial" w:cs="Arial"/>
          <w:color w:val="000000" w:themeColor="text1"/>
          <w:sz w:val="20"/>
          <w:lang w:val="en-US" w:eastAsia="fr-FR"/>
        </w:rPr>
        <w:fldChar w:fldCharType="begin" w:fldLock="1"/>
      </w:r>
      <w:r w:rsidR="006F1DC7">
        <w:rPr>
          <w:rFonts w:ascii="Arial" w:eastAsia="Times New Roman" w:hAnsi="Arial" w:cs="Arial"/>
          <w:color w:val="000000" w:themeColor="text1"/>
          <w:sz w:val="20"/>
          <w:lang w:val="en-US" w:eastAsia="fr-FR"/>
        </w:rPr>
        <w:instrText>ADDIN CSL_CITATION {"citationItems":[{"id":"ITEM-1","itemData":{"DOI":"10.5897/AJB2005.000-3223","ISSN":"16845315","abstract":"Legume flours were prepared from six species of mucuna bean, M. Veracruz mottle, M. rajada, M. cochinchinensis, M. deerigeana, M. pruriens and M. veracruz white. Physicochemical and functional characteristics were carried out on full fat and defatted flours. Bulk density of the flours increased following defatting. Isoelectric point of the proteins lies between 4 and 5. Generally, solubility reduced as the pH increases until it reached isoelectric point, followed by progressive increase in solubility with further increase in pH. Defatted flours have higher water and oil absorption capacities compared with full fat samples and M. veracruz white recorded the lowest value (1.40 g/g) while M. veracruz mottle had the highest value (2.20 g/g). Gelation studies revealed that M. veracruz mottle and M. rajada recorded the highest values (20%) while M. veracruz white and M. deerigeana had the lowest value (14%). The foaming capacity in full fat flours ranged between 9.6% in M. veracruz white and 19.23% in M. pruriens while the foaming capacity in defatted flours ranged from 50.0% in both M. pruriens and M. veracruz white and 84.30% in M. veracruz mottle. In addition, foaming capacities in full fat flours are lower than those of defatted flours. Emulsion capacity ranged between 78-90% in full fat flours and 56-68% in defatted flours. © 2005 Academic Journals.","author":[{"dropping-particle":"","family":"Adebowale","given":"Y. A.","non-dropping-particle":"","parse-names":false,"suffix":""},{"dropping-particle":"","family":"Adeyemi","given":"I. A.","non-dropping-particle":"","parse-names":false,"suffix":""},{"dropping-particle":"","family":"Oshodi","given":"A. A.","non-dropping-particle":"","parse-names":false,"suffix":""}],"container-title":"African Journal of Biotechnology","id":"ITEM-1","issue":"12","issued":{"date-parts":[["2005"]]},"page":"1461-1468","title":"Functional and physicochemical properties of flours of six Mucuna species","type":"article-journal","volume":"4"},"uris":["http://www.mendeley.com/documents/?uuid=ed4b6f11-25f0-44ba-9786-76d2b343df8a"]}],"mendeley":{"formattedCitation":"(Adebowale et al., 2005)","manualFormatting":"Adebowale et al. (2005)","plainTextFormattedCitation":"(Adebowale et al., 2005)","previouslyFormattedCitation":"(Adebowale et al., 2005)"},"properties":{"noteIndex":0},"schema":"https://github.com/citation-style-language/schema/raw/master/csl-citation.json"}</w:instrText>
      </w:r>
      <w:r w:rsidRPr="005250A4">
        <w:rPr>
          <w:rFonts w:ascii="Arial" w:eastAsia="Times New Roman" w:hAnsi="Arial" w:cs="Arial"/>
          <w:color w:val="000000" w:themeColor="text1"/>
          <w:sz w:val="20"/>
          <w:lang w:val="en-US" w:eastAsia="fr-FR"/>
        </w:rPr>
        <w:fldChar w:fldCharType="separate"/>
      </w:r>
      <w:r w:rsidRPr="00302617">
        <w:rPr>
          <w:rFonts w:ascii="Arial" w:eastAsia="Times New Roman" w:hAnsi="Arial" w:cs="Arial"/>
          <w:noProof/>
          <w:color w:val="000000" w:themeColor="text1"/>
          <w:sz w:val="20"/>
          <w:lang w:val="en-US" w:eastAsia="fr-FR"/>
        </w:rPr>
        <w:t>Adebowale et al.</w:t>
      </w:r>
      <w:r>
        <w:rPr>
          <w:rFonts w:ascii="Arial" w:eastAsia="Times New Roman" w:hAnsi="Arial" w:cs="Arial"/>
          <w:noProof/>
          <w:color w:val="000000" w:themeColor="text1"/>
          <w:sz w:val="20"/>
          <w:lang w:val="en-US" w:eastAsia="fr-FR"/>
        </w:rPr>
        <w:t xml:space="preserve"> (</w:t>
      </w:r>
      <w:r w:rsidRPr="00302617">
        <w:rPr>
          <w:rFonts w:ascii="Arial" w:eastAsia="Times New Roman" w:hAnsi="Arial" w:cs="Arial"/>
          <w:noProof/>
          <w:color w:val="000000" w:themeColor="text1"/>
          <w:sz w:val="20"/>
          <w:lang w:val="en-US" w:eastAsia="fr-FR"/>
        </w:rPr>
        <w:t>2005)</w:t>
      </w:r>
      <w:r w:rsidRPr="005250A4">
        <w:rPr>
          <w:rFonts w:ascii="Arial" w:eastAsia="Times New Roman" w:hAnsi="Arial" w:cs="Arial"/>
          <w:color w:val="000000" w:themeColor="text1"/>
          <w:sz w:val="20"/>
          <w:lang w:val="en-US" w:eastAsia="fr-FR"/>
        </w:rPr>
        <w:fldChar w:fldCharType="end"/>
      </w:r>
      <w:r w:rsidRPr="005250A4">
        <w:rPr>
          <w:rFonts w:ascii="Arial" w:eastAsia="Times New Roman" w:hAnsi="Arial" w:cs="Arial"/>
          <w:color w:val="000000" w:themeColor="text1"/>
          <w:sz w:val="20"/>
          <w:lang w:val="en-US" w:eastAsia="fr-FR"/>
        </w:rPr>
        <w:t xml:space="preserve"> and </w:t>
      </w:r>
      <w:r w:rsidRPr="005250A4">
        <w:rPr>
          <w:rFonts w:ascii="Arial" w:eastAsia="Times New Roman" w:hAnsi="Arial" w:cs="Arial"/>
          <w:color w:val="000000" w:themeColor="text1"/>
          <w:sz w:val="20"/>
          <w:lang w:val="en-US" w:eastAsia="fr-FR"/>
        </w:rPr>
        <w:fldChar w:fldCharType="begin" w:fldLock="1"/>
      </w:r>
      <w:r w:rsidR="006F1DC7">
        <w:rPr>
          <w:rFonts w:ascii="Arial" w:eastAsia="Times New Roman" w:hAnsi="Arial" w:cs="Arial"/>
          <w:color w:val="000000" w:themeColor="text1"/>
          <w:sz w:val="20"/>
          <w:lang w:val="en-US" w:eastAsia="fr-FR"/>
        </w:rPr>
        <w:instrText>ADDIN CSL_CITATION {"citationItems":[{"id":"ITEM-1","itemData":{"abstract":"</w:instrText>
      </w:r>
      <w:r w:rsidR="006F1DC7">
        <w:rPr>
          <w:rFonts w:ascii="MS Gothic" w:eastAsia="MS Gothic" w:hAnsi="MS Gothic" w:cs="MS Gothic" w:hint="eastAsia"/>
          <w:color w:val="000000" w:themeColor="text1"/>
          <w:sz w:val="20"/>
          <w:lang w:val="en-US" w:eastAsia="fr-FR"/>
        </w:rPr>
        <w:instrText>ワイヤ干渉駆動型多関節マニピュレータの動的制御法</w:instrText>
      </w:r>
      <w:r w:rsidR="006F1DC7">
        <w:rPr>
          <w:rFonts w:ascii="Arial" w:eastAsia="Times New Roman" w:hAnsi="Arial" w:cs="Arial"/>
          <w:color w:val="000000" w:themeColor="text1"/>
          <w:sz w:val="20"/>
          <w:lang w:val="en-US" w:eastAsia="fr-FR"/>
        </w:rPr>
        <w:instrText>","author":[{"dropping-particle":"","family":"Samejina","given":"Masayoshi","non-dropping-particle":"","parse-names":false,"suffix":""},{"dropping-particle":"","family":"Hirata","given":"Goichi","non-dropping-particle":"","parse-names":false,"suffix":""},{"dropping-particle":"","family":"Koida","given":"Yoshiyuki","non-dropping-particle":"","parse-names":false,"suffix":""}],"container-title":"Chemical Pharmaceutical Bulletin","id":"ITEM-1","issue":"10","issued":{"date-parts":[["1982"]]},"page":"2278-2281","title":"Studies on Microcapsules. I. Role and Effect of Coacervation-inducing Agents in the Microencapsulation of Ascorbic Acid by a Phase Separation Method","type":"article-journal","volume":"20"},"uris":["http://www.mendeley.com/documents/?uuid=d719a6d4-a782-40f7-b3d6-b5dae3c50ad4","http://www.mendeley.com/documents/?uuid=dcc0ac99-3271-49a5-a0a1-dec4dd73a903"]}],"mendeley":{"formattedCitation":"(Samejina et al., 1982)","manualFormatting":"Samejina et al. (1982)","plainTextFormattedCitation":"(Samejina et al., 1982)","previouslyFormattedCitation":"(Samejina et al., 1982)"},"properties":{"noteIndex":0},"schema":"https://github.com/citation-style-language/schema/raw/master/csl-citation.json"}</w:instrText>
      </w:r>
      <w:r w:rsidRPr="005250A4">
        <w:rPr>
          <w:rFonts w:ascii="Arial" w:eastAsia="Times New Roman" w:hAnsi="Arial" w:cs="Arial"/>
          <w:color w:val="000000" w:themeColor="text1"/>
          <w:sz w:val="20"/>
          <w:lang w:val="en-US" w:eastAsia="fr-FR"/>
        </w:rPr>
        <w:fldChar w:fldCharType="separate"/>
      </w:r>
      <w:r w:rsidRPr="00302617">
        <w:rPr>
          <w:rFonts w:ascii="Arial" w:eastAsia="Times New Roman" w:hAnsi="Arial" w:cs="Arial"/>
          <w:noProof/>
          <w:color w:val="000000" w:themeColor="text1"/>
          <w:sz w:val="20"/>
          <w:lang w:val="en-US" w:eastAsia="fr-FR"/>
        </w:rPr>
        <w:t>Samejina et al.</w:t>
      </w:r>
      <w:r>
        <w:rPr>
          <w:rFonts w:ascii="Arial" w:eastAsia="Times New Roman" w:hAnsi="Arial" w:cs="Arial"/>
          <w:noProof/>
          <w:color w:val="000000" w:themeColor="text1"/>
          <w:sz w:val="20"/>
          <w:lang w:val="en-US" w:eastAsia="fr-FR"/>
        </w:rPr>
        <w:t xml:space="preserve"> (</w:t>
      </w:r>
      <w:r w:rsidRPr="00302617">
        <w:rPr>
          <w:rFonts w:ascii="Arial" w:eastAsia="Times New Roman" w:hAnsi="Arial" w:cs="Arial"/>
          <w:noProof/>
          <w:color w:val="000000" w:themeColor="text1"/>
          <w:sz w:val="20"/>
          <w:lang w:val="en-US" w:eastAsia="fr-FR"/>
        </w:rPr>
        <w:t>1982)</w:t>
      </w:r>
      <w:r w:rsidRPr="005250A4">
        <w:rPr>
          <w:rFonts w:ascii="Arial" w:eastAsia="Times New Roman" w:hAnsi="Arial" w:cs="Arial"/>
          <w:color w:val="000000" w:themeColor="text1"/>
          <w:sz w:val="20"/>
          <w:lang w:val="en-US" w:eastAsia="fr-FR"/>
        </w:rPr>
        <w:fldChar w:fldCharType="end"/>
      </w:r>
      <w:r w:rsidRPr="005250A4">
        <w:rPr>
          <w:rFonts w:ascii="Arial" w:eastAsia="Times New Roman" w:hAnsi="Arial" w:cs="Arial"/>
          <w:color w:val="000000" w:themeColor="text1"/>
          <w:sz w:val="20"/>
          <w:lang w:val="en-US" w:eastAsia="fr-FR"/>
        </w:rPr>
        <w:t xml:space="preserve"> were used to determine the true density (TD), bulk density (BD), and porosity (P) of powders. A portion of the powder (W</w:t>
      </w:r>
      <w:r w:rsidRPr="005250A4">
        <w:rPr>
          <w:rFonts w:ascii="Arial" w:eastAsia="Times New Roman" w:hAnsi="Arial" w:cs="Arial"/>
          <w:color w:val="000000" w:themeColor="text1"/>
          <w:sz w:val="20"/>
          <w:vertAlign w:val="subscript"/>
          <w:lang w:val="en-US" w:eastAsia="fr-FR"/>
        </w:rPr>
        <w:t>1</w:t>
      </w:r>
      <w:r w:rsidRPr="005250A4">
        <w:rPr>
          <w:rFonts w:ascii="Arial" w:eastAsia="Times New Roman" w:hAnsi="Arial" w:cs="Arial"/>
          <w:color w:val="000000" w:themeColor="text1"/>
          <w:sz w:val="20"/>
          <w:lang w:val="en-US" w:eastAsia="fr-FR"/>
        </w:rPr>
        <w:t>) was placed in a tarred capsule of known volume (V</w:t>
      </w:r>
      <w:r w:rsidRPr="005250A4">
        <w:rPr>
          <w:rFonts w:ascii="Arial" w:eastAsia="Times New Roman" w:hAnsi="Arial" w:cs="Arial"/>
          <w:color w:val="000000" w:themeColor="text1"/>
          <w:sz w:val="20"/>
          <w:vertAlign w:val="subscript"/>
          <w:lang w:val="en-US" w:eastAsia="fr-FR"/>
        </w:rPr>
        <w:t>1</w:t>
      </w:r>
      <w:r w:rsidRPr="005250A4">
        <w:rPr>
          <w:rFonts w:ascii="Arial" w:eastAsia="Times New Roman" w:hAnsi="Arial" w:cs="Arial"/>
          <w:color w:val="000000" w:themeColor="text1"/>
          <w:sz w:val="20"/>
          <w:lang w:val="en-US" w:eastAsia="fr-FR"/>
        </w:rPr>
        <w:t>). The capsule was tamped several times to eliminate the empty space between particles, and the obtained volume was noted (V</w:t>
      </w:r>
      <w:r w:rsidRPr="005250A4">
        <w:rPr>
          <w:rFonts w:ascii="Arial" w:eastAsia="Times New Roman" w:hAnsi="Arial" w:cs="Arial"/>
          <w:color w:val="000000" w:themeColor="text1"/>
          <w:sz w:val="20"/>
          <w:vertAlign w:val="subscript"/>
          <w:lang w:val="en-US" w:eastAsia="fr-FR"/>
        </w:rPr>
        <w:t>2</w:t>
      </w:r>
      <w:r w:rsidRPr="005250A4">
        <w:rPr>
          <w:rFonts w:ascii="Arial" w:eastAsia="Times New Roman" w:hAnsi="Arial" w:cs="Arial"/>
          <w:color w:val="000000" w:themeColor="text1"/>
          <w:sz w:val="20"/>
          <w:lang w:val="en-US" w:eastAsia="fr-FR"/>
        </w:rPr>
        <w:t xml:space="preserve">). Once the capsule was full, </w:t>
      </w:r>
      <w:r w:rsidRPr="005250A4">
        <w:rPr>
          <w:rFonts w:ascii="Arial" w:eastAsia="Times New Roman" w:hAnsi="Arial" w:cs="Arial"/>
          <w:color w:val="000000" w:themeColor="text1"/>
          <w:sz w:val="20"/>
          <w:lang w:val="en-US" w:eastAsia="fr-FR"/>
        </w:rPr>
        <w:lastRenderedPageBreak/>
        <w:t>the whole capsule was weighed (W</w:t>
      </w:r>
      <w:r w:rsidRPr="005250A4">
        <w:rPr>
          <w:rFonts w:ascii="Arial" w:eastAsia="Times New Roman" w:hAnsi="Arial" w:cs="Arial"/>
          <w:color w:val="000000" w:themeColor="text1"/>
          <w:sz w:val="20"/>
          <w:vertAlign w:val="subscript"/>
          <w:lang w:val="en-US" w:eastAsia="fr-FR"/>
        </w:rPr>
        <w:t>2</w:t>
      </w:r>
      <w:r w:rsidRPr="005250A4">
        <w:rPr>
          <w:rFonts w:ascii="Arial" w:eastAsia="Times New Roman" w:hAnsi="Arial" w:cs="Arial"/>
          <w:color w:val="000000" w:themeColor="text1"/>
          <w:sz w:val="20"/>
          <w:lang w:val="en-US" w:eastAsia="fr-FR"/>
        </w:rPr>
        <w:t xml:space="preserve">). TD, BD, and P were calculated according to the following equations: The results of TD and BD were expressed in grams of powder per unit of volume (g/ml). </w:t>
      </w:r>
    </w:p>
    <w:p w14:paraId="14FDF196" w14:textId="77777777" w:rsidR="007136C0" w:rsidRDefault="007136C0" w:rsidP="007136C0">
      <w:pPr>
        <w:spacing w:line="360" w:lineRule="auto"/>
        <w:jc w:val="center"/>
        <w:rPr>
          <w:rStyle w:val="fontstyle01"/>
          <w:rFonts w:ascii="Times New Roman" w:eastAsiaTheme="minorEastAsia" w:hAnsi="Times New Roman" w:cs="Times New Roman"/>
          <w:color w:val="000000" w:themeColor="text1"/>
          <w:sz w:val="20"/>
          <w:szCs w:val="20"/>
          <w:lang w:val="en-US"/>
        </w:rPr>
      </w:pPr>
      <m:oMath>
        <m:r>
          <m:rPr>
            <m:sty m:val="p"/>
          </m:rPr>
          <w:rPr>
            <w:rStyle w:val="fontstyle01"/>
            <w:rFonts w:ascii="Cambria Math" w:hAnsi="Cambria Math" w:cs="Times New Roman"/>
            <w:color w:val="000000" w:themeColor="text1"/>
            <w:sz w:val="20"/>
            <w:szCs w:val="20"/>
            <w:lang w:val="en-US"/>
          </w:rPr>
          <m:t xml:space="preserve">TD= </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W</m:t>
            </m:r>
          </m:e>
          <m:sub>
            <m:r>
              <m:rPr>
                <m:sty m:val="p"/>
              </m:rPr>
              <w:rPr>
                <w:rStyle w:val="fontstyle01"/>
                <w:rFonts w:ascii="Cambria Math" w:hAnsi="Cambria Math" w:cs="Times New Roman"/>
                <w:color w:val="000000" w:themeColor="text1"/>
                <w:sz w:val="20"/>
                <w:szCs w:val="20"/>
                <w:lang w:val="en-US"/>
              </w:rPr>
              <m:t>1</m:t>
            </m:r>
          </m:sub>
        </m:sSub>
        <m:r>
          <m:rPr>
            <m:sty m:val="p"/>
          </m:rPr>
          <w:rPr>
            <w:rStyle w:val="fontstyle01"/>
            <w:rFonts w:ascii="Cambria Math" w:hAnsi="Cambria Math" w:cs="Times New Roman"/>
            <w:color w:val="000000" w:themeColor="text1"/>
            <w:sz w:val="20"/>
            <w:szCs w:val="20"/>
            <w:lang w:val="en-US"/>
          </w:rPr>
          <m:t>/(</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V</m:t>
            </m:r>
          </m:e>
          <m:sub>
            <m:r>
              <m:rPr>
                <m:sty m:val="p"/>
              </m:rPr>
              <w:rPr>
                <w:rStyle w:val="fontstyle01"/>
                <w:rFonts w:ascii="Cambria Math" w:hAnsi="Cambria Math" w:cs="Times New Roman"/>
                <w:color w:val="000000" w:themeColor="text1"/>
                <w:sz w:val="20"/>
                <w:szCs w:val="20"/>
                <w:lang w:val="en-US"/>
              </w:rPr>
              <m:t>1</m:t>
            </m:r>
          </m:sub>
        </m:sSub>
        <m:r>
          <m:rPr>
            <m:sty m:val="p"/>
          </m:rPr>
          <w:rPr>
            <w:rStyle w:val="fontstyle01"/>
            <w:rFonts w:ascii="Cambria Math" w:hAnsi="Cambria Math" w:cs="Times New Roman"/>
            <w:color w:val="000000" w:themeColor="text1"/>
            <w:sz w:val="20"/>
            <w:szCs w:val="20"/>
            <w:lang w:val="en-US"/>
          </w:rPr>
          <m:t>-</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V</m:t>
            </m:r>
          </m:e>
          <m:sub>
            <m:r>
              <m:rPr>
                <m:sty m:val="p"/>
              </m:rPr>
              <w:rPr>
                <w:rStyle w:val="fontstyle01"/>
                <w:rFonts w:ascii="Cambria Math" w:hAnsi="Cambria Math" w:cs="Times New Roman"/>
                <w:color w:val="000000" w:themeColor="text1"/>
                <w:sz w:val="20"/>
                <w:szCs w:val="20"/>
                <w:lang w:val="en-US"/>
              </w:rPr>
              <m:t>2</m:t>
            </m:r>
          </m:sub>
        </m:sSub>
        <m:r>
          <m:rPr>
            <m:sty m:val="p"/>
          </m:rPr>
          <w:rPr>
            <w:rStyle w:val="fontstyle01"/>
            <w:rFonts w:ascii="Cambria Math" w:hAnsi="Cambria Math" w:cs="Times New Roman"/>
            <w:color w:val="000000" w:themeColor="text1"/>
            <w:sz w:val="20"/>
            <w:szCs w:val="20"/>
            <w:lang w:val="en-US"/>
          </w:rPr>
          <m:t>)</m:t>
        </m:r>
      </m:oMath>
      <w:r w:rsidRPr="005250A4">
        <w:rPr>
          <w:rStyle w:val="fontstyle01"/>
          <w:rFonts w:ascii="Times New Roman" w:eastAsiaTheme="minorEastAsia" w:hAnsi="Times New Roman" w:cs="Times New Roman"/>
          <w:color w:val="000000" w:themeColor="text1"/>
          <w:sz w:val="20"/>
          <w:szCs w:val="20"/>
          <w:lang w:val="en-US"/>
        </w:rPr>
        <w:t xml:space="preserve">          </w:t>
      </w:r>
      <m:oMath>
        <m:r>
          <m:rPr>
            <m:sty m:val="p"/>
          </m:rPr>
          <w:rPr>
            <w:rStyle w:val="fontstyle01"/>
            <w:rFonts w:ascii="Cambria Math" w:hAnsi="Cambria Math" w:cs="Times New Roman"/>
            <w:color w:val="000000" w:themeColor="text1"/>
            <w:sz w:val="20"/>
            <w:szCs w:val="20"/>
            <w:lang w:val="en-US"/>
          </w:rPr>
          <m:t>BD=</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(W</m:t>
            </m:r>
          </m:e>
          <m:sub>
            <m:r>
              <m:rPr>
                <m:sty m:val="p"/>
              </m:rPr>
              <w:rPr>
                <w:rStyle w:val="fontstyle01"/>
                <w:rFonts w:ascii="Cambria Math" w:hAnsi="Cambria Math" w:cs="Times New Roman"/>
                <w:color w:val="000000" w:themeColor="text1"/>
                <w:sz w:val="20"/>
                <w:szCs w:val="20"/>
                <w:lang w:val="en-US"/>
              </w:rPr>
              <m:t>2</m:t>
            </m:r>
          </m:sub>
        </m:sSub>
        <m:r>
          <m:rPr>
            <m:sty m:val="p"/>
          </m:rPr>
          <w:rPr>
            <w:rStyle w:val="fontstyle01"/>
            <w:rFonts w:ascii="Cambria Math" w:hAnsi="Cambria Math" w:cs="Times New Roman"/>
            <w:color w:val="000000" w:themeColor="text1"/>
            <w:sz w:val="20"/>
            <w:szCs w:val="20"/>
            <w:lang w:val="en-US"/>
          </w:rPr>
          <m:t>-</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W</m:t>
            </m:r>
          </m:e>
          <m:sub>
            <m:r>
              <m:rPr>
                <m:sty m:val="p"/>
              </m:rPr>
              <w:rPr>
                <w:rStyle w:val="fontstyle01"/>
                <w:rFonts w:ascii="Cambria Math" w:hAnsi="Cambria Math" w:cs="Times New Roman"/>
                <w:color w:val="000000" w:themeColor="text1"/>
                <w:sz w:val="20"/>
                <w:szCs w:val="20"/>
                <w:lang w:val="en-US"/>
              </w:rPr>
              <m:t>1</m:t>
            </m:r>
          </m:sub>
        </m:sSub>
        <m:r>
          <m:rPr>
            <m:sty m:val="p"/>
          </m:rPr>
          <w:rPr>
            <w:rStyle w:val="fontstyle01"/>
            <w:rFonts w:ascii="Cambria Math" w:hAnsi="Cambria Math" w:cs="Times New Roman"/>
            <w:color w:val="000000" w:themeColor="text1"/>
            <w:sz w:val="20"/>
            <w:szCs w:val="20"/>
            <w:lang w:val="en-US"/>
          </w:rPr>
          <m:t>)/</m:t>
        </m:r>
        <m:sSub>
          <m:sSubPr>
            <m:ctrlPr>
              <w:rPr>
                <w:rStyle w:val="fontstyle01"/>
                <w:rFonts w:ascii="Cambria Math" w:hAnsi="Cambria Math" w:cs="Times New Roman"/>
                <w:color w:val="000000" w:themeColor="text1"/>
                <w:sz w:val="20"/>
                <w:szCs w:val="20"/>
                <w:lang w:val="en-US"/>
              </w:rPr>
            </m:ctrlPr>
          </m:sSubPr>
          <m:e>
            <m:r>
              <m:rPr>
                <m:sty m:val="p"/>
              </m:rPr>
              <w:rPr>
                <w:rStyle w:val="fontstyle01"/>
                <w:rFonts w:ascii="Cambria Math" w:hAnsi="Cambria Math" w:cs="Times New Roman"/>
                <w:color w:val="000000" w:themeColor="text1"/>
                <w:sz w:val="20"/>
                <w:szCs w:val="20"/>
                <w:lang w:val="en-US"/>
              </w:rPr>
              <m:t>V</m:t>
            </m:r>
          </m:e>
          <m:sub>
            <m:r>
              <m:rPr>
                <m:sty m:val="p"/>
              </m:rPr>
              <w:rPr>
                <w:rStyle w:val="fontstyle01"/>
                <w:rFonts w:ascii="Cambria Math" w:hAnsi="Cambria Math" w:cs="Times New Roman"/>
                <w:color w:val="000000" w:themeColor="text1"/>
                <w:sz w:val="20"/>
                <w:szCs w:val="20"/>
                <w:lang w:val="en-US"/>
              </w:rPr>
              <m:t>1</m:t>
            </m:r>
          </m:sub>
        </m:sSub>
      </m:oMath>
      <w:r w:rsidRPr="005250A4">
        <w:rPr>
          <w:rStyle w:val="fontstyle01"/>
          <w:rFonts w:ascii="Times New Roman" w:eastAsiaTheme="minorEastAsia" w:hAnsi="Times New Roman" w:cs="Times New Roman"/>
          <w:color w:val="000000" w:themeColor="text1"/>
          <w:sz w:val="20"/>
          <w:szCs w:val="20"/>
          <w:lang w:val="en-US"/>
        </w:rPr>
        <w:t xml:space="preserve">             </w:t>
      </w:r>
      <m:oMath>
        <m:r>
          <m:rPr>
            <m:sty m:val="p"/>
          </m:rPr>
          <w:rPr>
            <w:rStyle w:val="fontstyle01"/>
            <w:rFonts w:ascii="Cambria Math" w:hAnsi="Cambria Math" w:cs="Times New Roman"/>
            <w:color w:val="000000" w:themeColor="text1"/>
            <w:sz w:val="20"/>
            <w:szCs w:val="20"/>
            <w:lang w:val="en-US"/>
          </w:rPr>
          <m:t>P=1-(BD/TD)</m:t>
        </m:r>
      </m:oMath>
    </w:p>
    <w:p w14:paraId="3610C12B" w14:textId="66125B2E" w:rsidR="00B55607" w:rsidRPr="00B3747D" w:rsidRDefault="00B55607" w:rsidP="00B55607">
      <w:pPr>
        <w:spacing w:before="100" w:beforeAutospacing="1" w:after="100" w:afterAutospacing="1" w:line="360" w:lineRule="auto"/>
        <w:jc w:val="both"/>
        <w:rPr>
          <w:rFonts w:ascii="Arial" w:eastAsia="Times New Roman" w:hAnsi="Arial" w:cs="Arial"/>
          <w:kern w:val="0"/>
          <w:lang w:val="en-US" w:eastAsia="fr-CM"/>
          <w14:ligatures w14:val="none"/>
        </w:rPr>
      </w:pPr>
      <w:r w:rsidRPr="00B3747D">
        <w:rPr>
          <w:rFonts w:ascii="Arial" w:eastAsia="Times New Roman" w:hAnsi="Arial" w:cs="Arial"/>
          <w:b/>
          <w:bCs/>
          <w:kern w:val="0"/>
          <w:lang w:val="en-US" w:eastAsia="fr-CM"/>
          <w14:ligatures w14:val="none"/>
        </w:rPr>
        <w:t xml:space="preserve">2.4. </w:t>
      </w:r>
      <w:r w:rsidRPr="00B55607">
        <w:rPr>
          <w:rFonts w:ascii="Arial" w:eastAsia="Times New Roman" w:hAnsi="Arial" w:cs="Arial"/>
          <w:b/>
          <w:bCs/>
          <w:kern w:val="0"/>
          <w:lang w:val="en-US" w:eastAsia="fr-CM"/>
          <w14:ligatures w14:val="none"/>
        </w:rPr>
        <w:t>Data</w:t>
      </w:r>
      <w:r w:rsidR="00C66FBF" w:rsidRPr="00E61847">
        <w:rPr>
          <w:rFonts w:ascii="Arial" w:eastAsia="Times New Roman" w:hAnsi="Arial" w:cs="Arial"/>
          <w:b/>
          <w:bCs/>
          <w:kern w:val="0"/>
          <w:lang w:val="en-US" w:eastAsia="fr-CM"/>
          <w14:ligatures w14:val="none"/>
        </w:rPr>
        <w:t xml:space="preserve"> </w:t>
      </w:r>
      <w:r w:rsidRPr="00B55607">
        <w:rPr>
          <w:rFonts w:ascii="Arial" w:eastAsia="Times New Roman" w:hAnsi="Arial" w:cs="Arial"/>
          <w:b/>
          <w:bCs/>
          <w:kern w:val="0"/>
          <w:lang w:val="en-US" w:eastAsia="fr-CM"/>
          <w14:ligatures w14:val="none"/>
        </w:rPr>
        <w:t xml:space="preserve">on </w:t>
      </w:r>
      <w:r w:rsidR="00272869" w:rsidRPr="00E61847">
        <w:rPr>
          <w:rFonts w:ascii="Arial" w:eastAsia="Times New Roman" w:hAnsi="Arial" w:cs="Arial"/>
          <w:b/>
          <w:bCs/>
          <w:kern w:val="0"/>
          <w:lang w:val="en-US" w:eastAsia="fr-CM"/>
          <w14:ligatures w14:val="none"/>
        </w:rPr>
        <w:t>m</w:t>
      </w:r>
      <w:r w:rsidRPr="00B55607">
        <w:rPr>
          <w:rFonts w:ascii="Arial" w:eastAsia="Times New Roman" w:hAnsi="Arial" w:cs="Arial"/>
          <w:b/>
          <w:bCs/>
          <w:kern w:val="0"/>
          <w:lang w:val="en-US" w:eastAsia="fr-CM"/>
          <w14:ligatures w14:val="none"/>
        </w:rPr>
        <w:t xml:space="preserve">acronutrient, </w:t>
      </w:r>
      <w:r w:rsidR="00272869" w:rsidRPr="00E61847">
        <w:rPr>
          <w:rFonts w:ascii="Arial" w:eastAsia="Times New Roman" w:hAnsi="Arial" w:cs="Arial"/>
          <w:b/>
          <w:bCs/>
          <w:kern w:val="0"/>
          <w:lang w:val="en-US" w:eastAsia="fr-CM"/>
          <w14:ligatures w14:val="none"/>
        </w:rPr>
        <w:t>m</w:t>
      </w:r>
      <w:r w:rsidRPr="00B55607">
        <w:rPr>
          <w:rFonts w:ascii="Arial" w:eastAsia="Times New Roman" w:hAnsi="Arial" w:cs="Arial"/>
          <w:b/>
          <w:bCs/>
          <w:kern w:val="0"/>
          <w:lang w:val="en-US" w:eastAsia="fr-CM"/>
          <w14:ligatures w14:val="none"/>
        </w:rPr>
        <w:t xml:space="preserve">ineral, </w:t>
      </w:r>
      <w:r w:rsidR="00272869" w:rsidRPr="00E61847">
        <w:rPr>
          <w:rFonts w:ascii="Arial" w:eastAsia="Times New Roman" w:hAnsi="Arial" w:cs="Arial"/>
          <w:b/>
          <w:bCs/>
          <w:kern w:val="0"/>
          <w:lang w:val="en-US" w:eastAsia="fr-CM"/>
          <w14:ligatures w14:val="none"/>
        </w:rPr>
        <w:t>b</w:t>
      </w:r>
      <w:r w:rsidRPr="00B55607">
        <w:rPr>
          <w:rFonts w:ascii="Arial" w:eastAsia="Times New Roman" w:hAnsi="Arial" w:cs="Arial"/>
          <w:b/>
          <w:bCs/>
          <w:kern w:val="0"/>
          <w:lang w:val="en-US" w:eastAsia="fr-CM"/>
          <w14:ligatures w14:val="none"/>
        </w:rPr>
        <w:t xml:space="preserve">ioactive </w:t>
      </w:r>
      <w:r w:rsidR="00272869" w:rsidRPr="00E61847">
        <w:rPr>
          <w:rFonts w:ascii="Arial" w:eastAsia="Times New Roman" w:hAnsi="Arial" w:cs="Arial"/>
          <w:b/>
          <w:bCs/>
          <w:kern w:val="0"/>
          <w:lang w:val="en-US" w:eastAsia="fr-CM"/>
          <w14:ligatures w14:val="none"/>
        </w:rPr>
        <w:t>c</w:t>
      </w:r>
      <w:r w:rsidRPr="00B55607">
        <w:rPr>
          <w:rFonts w:ascii="Arial" w:eastAsia="Times New Roman" w:hAnsi="Arial" w:cs="Arial"/>
          <w:b/>
          <w:bCs/>
          <w:kern w:val="0"/>
          <w:lang w:val="en-US" w:eastAsia="fr-CM"/>
          <w14:ligatures w14:val="none"/>
        </w:rPr>
        <w:t>ompound</w:t>
      </w:r>
      <w:r w:rsidR="00C66FBF" w:rsidRPr="00E61847">
        <w:rPr>
          <w:rFonts w:ascii="Arial" w:eastAsia="Times New Roman" w:hAnsi="Arial" w:cs="Arial"/>
          <w:b/>
          <w:bCs/>
          <w:kern w:val="0"/>
          <w:lang w:val="en-US" w:eastAsia="fr-CM"/>
          <w14:ligatures w14:val="none"/>
        </w:rPr>
        <w:t>,</w:t>
      </w:r>
      <w:r w:rsidRPr="00B55607">
        <w:rPr>
          <w:rFonts w:ascii="Arial" w:eastAsia="Times New Roman" w:hAnsi="Arial" w:cs="Arial"/>
          <w:b/>
          <w:bCs/>
          <w:kern w:val="0"/>
          <w:lang w:val="en-US" w:eastAsia="fr-CM"/>
          <w14:ligatures w14:val="none"/>
        </w:rPr>
        <w:t xml:space="preserve"> </w:t>
      </w:r>
      <w:r w:rsidR="00C66FBF" w:rsidRPr="00E61847">
        <w:rPr>
          <w:rFonts w:ascii="Arial" w:eastAsia="Times New Roman" w:hAnsi="Arial" w:cs="Arial"/>
          <w:b/>
          <w:bCs/>
          <w:kern w:val="0"/>
          <w:lang w:val="en-US" w:eastAsia="fr-CM"/>
          <w14:ligatures w14:val="none"/>
        </w:rPr>
        <w:t xml:space="preserve">and antioxidant activity </w:t>
      </w:r>
      <w:r w:rsidRPr="00B55607">
        <w:rPr>
          <w:rFonts w:ascii="Arial" w:eastAsia="Times New Roman" w:hAnsi="Arial" w:cs="Arial"/>
          <w:b/>
          <w:bCs/>
          <w:kern w:val="0"/>
          <w:lang w:val="en-US" w:eastAsia="fr-CM"/>
          <w14:ligatures w14:val="none"/>
        </w:rPr>
        <w:t>in the</w:t>
      </w:r>
      <w:r w:rsidR="00C66FBF" w:rsidRPr="00E61847">
        <w:rPr>
          <w:rFonts w:ascii="Arial" w:eastAsia="Times New Roman" w:hAnsi="Arial" w:cs="Arial"/>
          <w:b/>
          <w:bCs/>
          <w:kern w:val="0"/>
          <w:lang w:val="en-US" w:eastAsia="fr-CM"/>
          <w14:ligatures w14:val="none"/>
        </w:rPr>
        <w:t xml:space="preserve"> </w:t>
      </w:r>
      <w:r w:rsidR="00272869" w:rsidRPr="00E61847">
        <w:rPr>
          <w:rFonts w:ascii="Arial" w:eastAsia="Times New Roman" w:hAnsi="Arial" w:cs="Arial"/>
          <w:b/>
          <w:bCs/>
          <w:kern w:val="0"/>
          <w:lang w:val="en-US" w:eastAsia="fr-CM"/>
          <w14:ligatures w14:val="none"/>
        </w:rPr>
        <w:t>p</w:t>
      </w:r>
      <w:r w:rsidRPr="00B55607">
        <w:rPr>
          <w:rFonts w:ascii="Arial" w:eastAsia="Times New Roman" w:hAnsi="Arial" w:cs="Arial"/>
          <w:b/>
          <w:bCs/>
          <w:kern w:val="0"/>
          <w:lang w:val="en-US" w:eastAsia="fr-CM"/>
          <w14:ligatures w14:val="none"/>
        </w:rPr>
        <w:t xml:space="preserve">owders of </w:t>
      </w:r>
      <w:r w:rsidRPr="00B55607">
        <w:rPr>
          <w:rFonts w:ascii="Arial" w:eastAsia="Times New Roman" w:hAnsi="Arial" w:cs="Arial"/>
          <w:b/>
          <w:bCs/>
          <w:i/>
          <w:iCs/>
          <w:kern w:val="0"/>
          <w:lang w:val="en-US" w:eastAsia="fr-CM"/>
          <w14:ligatures w14:val="none"/>
        </w:rPr>
        <w:t>C</w:t>
      </w:r>
      <w:r w:rsidR="00D603BB">
        <w:rPr>
          <w:rFonts w:ascii="Arial" w:eastAsia="Times New Roman" w:hAnsi="Arial" w:cs="Arial"/>
          <w:b/>
          <w:bCs/>
          <w:i/>
          <w:iCs/>
          <w:kern w:val="0"/>
          <w:lang w:val="en-US" w:eastAsia="fr-CM"/>
          <w14:ligatures w14:val="none"/>
        </w:rPr>
        <w:t>.</w:t>
      </w:r>
      <w:r w:rsidRPr="00B55607">
        <w:rPr>
          <w:rFonts w:ascii="Arial" w:eastAsia="Times New Roman" w:hAnsi="Arial" w:cs="Arial"/>
          <w:b/>
          <w:bCs/>
          <w:i/>
          <w:iCs/>
          <w:kern w:val="0"/>
          <w:lang w:val="en-US" w:eastAsia="fr-CM"/>
          <w14:ligatures w14:val="none"/>
        </w:rPr>
        <w:t xml:space="preserve"> olitorius</w:t>
      </w:r>
      <w:r w:rsidRPr="00B55607">
        <w:rPr>
          <w:rFonts w:ascii="Arial" w:eastAsia="Times New Roman" w:hAnsi="Arial" w:cs="Arial"/>
          <w:b/>
          <w:bCs/>
          <w:kern w:val="0"/>
          <w:lang w:val="en-US" w:eastAsia="fr-CM"/>
          <w14:ligatures w14:val="none"/>
        </w:rPr>
        <w:t xml:space="preserve"> and </w:t>
      </w:r>
      <w:r w:rsidRPr="00B55607">
        <w:rPr>
          <w:rFonts w:ascii="Arial" w:eastAsia="Times New Roman" w:hAnsi="Arial" w:cs="Arial"/>
          <w:b/>
          <w:bCs/>
          <w:i/>
          <w:iCs/>
          <w:kern w:val="0"/>
          <w:lang w:val="en-US" w:eastAsia="fr-CM"/>
          <w14:ligatures w14:val="none"/>
        </w:rPr>
        <w:t>A</w:t>
      </w:r>
      <w:r w:rsidR="00D603BB">
        <w:rPr>
          <w:rFonts w:ascii="Arial" w:eastAsia="Times New Roman" w:hAnsi="Arial" w:cs="Arial"/>
          <w:b/>
          <w:bCs/>
          <w:i/>
          <w:iCs/>
          <w:kern w:val="0"/>
          <w:lang w:val="en-US" w:eastAsia="fr-CM"/>
          <w14:ligatures w14:val="none"/>
        </w:rPr>
        <w:t>.</w:t>
      </w:r>
      <w:r w:rsidRPr="00B55607">
        <w:rPr>
          <w:rFonts w:ascii="Arial" w:eastAsia="Times New Roman" w:hAnsi="Arial" w:cs="Arial"/>
          <w:b/>
          <w:bCs/>
          <w:i/>
          <w:iCs/>
          <w:kern w:val="0"/>
          <w:lang w:val="en-US" w:eastAsia="fr-CM"/>
          <w14:ligatures w14:val="none"/>
        </w:rPr>
        <w:t xml:space="preserve"> esculentus</w:t>
      </w:r>
      <w:r w:rsidRPr="00B55607">
        <w:rPr>
          <w:rFonts w:ascii="Arial" w:eastAsia="Times New Roman" w:hAnsi="Arial" w:cs="Arial"/>
          <w:b/>
          <w:bCs/>
          <w:kern w:val="0"/>
          <w:lang w:val="en-US" w:eastAsia="fr-CM"/>
          <w14:ligatures w14:val="none"/>
        </w:rPr>
        <w:t xml:space="preserve"> </w:t>
      </w:r>
      <w:r w:rsidR="00C66FBF" w:rsidRPr="00E61847">
        <w:rPr>
          <w:rFonts w:ascii="Arial" w:eastAsia="Times New Roman" w:hAnsi="Arial" w:cs="Arial"/>
          <w:b/>
          <w:bCs/>
          <w:kern w:val="0"/>
          <w:lang w:val="en-US" w:eastAsia="fr-CM"/>
          <w14:ligatures w14:val="none"/>
        </w:rPr>
        <w:t>o</w:t>
      </w:r>
      <w:r w:rsidRPr="00B55607">
        <w:rPr>
          <w:rFonts w:ascii="Arial" w:eastAsia="Times New Roman" w:hAnsi="Arial" w:cs="Arial"/>
          <w:b/>
          <w:bCs/>
          <w:kern w:val="0"/>
          <w:lang w:val="en-US" w:eastAsia="fr-CM"/>
          <w14:ligatures w14:val="none"/>
        </w:rPr>
        <w:t>rgans</w:t>
      </w:r>
    </w:p>
    <w:p w14:paraId="7A17D4BA" w14:textId="17B17F92" w:rsidR="00B55607" w:rsidRPr="00C66FBF" w:rsidRDefault="00B55607" w:rsidP="00B55607">
      <w:pPr>
        <w:spacing w:before="100" w:beforeAutospacing="1" w:after="100" w:afterAutospacing="1" w:line="360" w:lineRule="auto"/>
        <w:jc w:val="both"/>
        <w:rPr>
          <w:rStyle w:val="fontstyle01"/>
          <w:rFonts w:ascii="Arial" w:eastAsia="Times New Roman" w:hAnsi="Arial" w:cs="Arial"/>
          <w:color w:val="auto"/>
          <w:kern w:val="0"/>
          <w:sz w:val="20"/>
          <w:szCs w:val="20"/>
          <w:lang w:val="en-US" w:eastAsia="fr-CM"/>
          <w14:ligatures w14:val="none"/>
        </w:rPr>
      </w:pPr>
      <w:r w:rsidRPr="00B55607">
        <w:rPr>
          <w:rFonts w:ascii="Arial" w:eastAsia="Times New Roman" w:hAnsi="Arial" w:cs="Arial"/>
          <w:kern w:val="0"/>
          <w:sz w:val="20"/>
          <w:szCs w:val="20"/>
          <w:lang w:val="en-US" w:eastAsia="fr-CM"/>
          <w14:ligatures w14:val="none"/>
        </w:rPr>
        <w:t>The data presented in Table 2 are part of the first phase of this research project and have already been published</w:t>
      </w:r>
      <w:r w:rsidRPr="00C66FBF">
        <w:rPr>
          <w:rFonts w:ascii="Arial" w:eastAsia="Times New Roman" w:hAnsi="Arial" w:cs="Arial"/>
          <w:kern w:val="0"/>
          <w:sz w:val="20"/>
          <w:szCs w:val="20"/>
          <w:lang w:val="en-US" w:eastAsia="fr-CM"/>
          <w14:ligatures w14:val="none"/>
        </w:rPr>
        <w:t xml:space="preserve"> </w:t>
      </w:r>
      <w:r w:rsidRPr="00C66FBF">
        <w:rPr>
          <w:rFonts w:ascii="Arial" w:eastAsia="Times New Roman" w:hAnsi="Arial" w:cs="Arial"/>
          <w:kern w:val="0"/>
          <w:sz w:val="20"/>
          <w:szCs w:val="20"/>
          <w:lang w:val="en-US" w:eastAsia="fr-CM"/>
          <w14:ligatures w14:val="none"/>
        </w:rPr>
        <w:fldChar w:fldCharType="begin" w:fldLock="1"/>
      </w:r>
      <w:r w:rsidR="00FC5154">
        <w:rPr>
          <w:rFonts w:ascii="Arial" w:eastAsia="Times New Roman" w:hAnsi="Arial" w:cs="Arial"/>
          <w:kern w:val="0"/>
          <w:sz w:val="20"/>
          <w:szCs w:val="20"/>
          <w:lang w:val="en-US" w:eastAsia="fr-CM"/>
          <w14:ligatures w14:val="none"/>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sidRPr="00C66FBF">
        <w:rPr>
          <w:rFonts w:ascii="Arial" w:eastAsia="Times New Roman" w:hAnsi="Arial" w:cs="Arial"/>
          <w:kern w:val="0"/>
          <w:sz w:val="20"/>
          <w:szCs w:val="20"/>
          <w:lang w:val="en-US" w:eastAsia="fr-CM"/>
          <w14:ligatures w14:val="none"/>
        </w:rPr>
        <w:fldChar w:fldCharType="separate"/>
      </w:r>
      <w:r w:rsidR="00FC5154" w:rsidRPr="00FC5154">
        <w:rPr>
          <w:rFonts w:ascii="Arial" w:eastAsia="Times New Roman" w:hAnsi="Arial" w:cs="Arial"/>
          <w:noProof/>
          <w:kern w:val="0"/>
          <w:sz w:val="20"/>
          <w:szCs w:val="20"/>
          <w:lang w:val="en-US" w:eastAsia="fr-CM"/>
          <w14:ligatures w14:val="none"/>
        </w:rPr>
        <w:t>(Assiéné, Djeukeu, et al., 2025)</w:t>
      </w:r>
      <w:r w:rsidRPr="00C66FBF">
        <w:rPr>
          <w:rFonts w:ascii="Arial" w:eastAsia="Times New Roman" w:hAnsi="Arial" w:cs="Arial"/>
          <w:kern w:val="0"/>
          <w:sz w:val="20"/>
          <w:szCs w:val="20"/>
          <w:lang w:val="en-US" w:eastAsia="fr-CM"/>
          <w14:ligatures w14:val="none"/>
        </w:rPr>
        <w:fldChar w:fldCharType="end"/>
      </w:r>
      <w:r w:rsidRPr="00B55607">
        <w:rPr>
          <w:rFonts w:ascii="Arial" w:eastAsia="Times New Roman" w:hAnsi="Arial" w:cs="Arial"/>
          <w:kern w:val="0"/>
          <w:sz w:val="20"/>
          <w:szCs w:val="20"/>
          <w:lang w:val="en-US" w:eastAsia="fr-CM"/>
          <w14:ligatures w14:val="none"/>
        </w:rPr>
        <w:t>. Therefore, they cannot be considered as original results of this article. Instead, they are presented here as a reference database from which the relationship between bioactive compounds</w:t>
      </w:r>
      <w:r w:rsidR="00920049">
        <w:rPr>
          <w:rFonts w:ascii="Arial" w:eastAsia="Times New Roman" w:hAnsi="Arial" w:cs="Arial"/>
          <w:kern w:val="0"/>
          <w:sz w:val="20"/>
          <w:szCs w:val="20"/>
          <w:lang w:val="en-US" w:eastAsia="fr-CM"/>
          <w14:ligatures w14:val="none"/>
        </w:rPr>
        <w:t>, nutrients</w:t>
      </w:r>
      <w:r w:rsidRPr="00B55607">
        <w:rPr>
          <w:rFonts w:ascii="Arial" w:eastAsia="Times New Roman" w:hAnsi="Arial" w:cs="Arial"/>
          <w:kern w:val="0"/>
          <w:sz w:val="20"/>
          <w:szCs w:val="20"/>
          <w:lang w:val="en-US" w:eastAsia="fr-CM"/>
          <w14:ligatures w14:val="none"/>
        </w:rPr>
        <w:t xml:space="preserve"> and the functional properties of the powders can be determined.</w:t>
      </w:r>
    </w:p>
    <w:p w14:paraId="5A72A177" w14:textId="2786B213" w:rsidR="001E48DA" w:rsidRPr="00272869" w:rsidRDefault="001E48DA" w:rsidP="001E48DA">
      <w:pPr>
        <w:spacing w:line="360" w:lineRule="auto"/>
        <w:jc w:val="both"/>
        <w:rPr>
          <w:rStyle w:val="fontstyle01"/>
          <w:rFonts w:ascii="Arial" w:hAnsi="Arial" w:cs="Arial"/>
          <w:i/>
          <w:color w:val="000000" w:themeColor="text1"/>
          <w:sz w:val="20"/>
          <w:szCs w:val="22"/>
          <w:lang w:val="en-US"/>
        </w:rPr>
      </w:pPr>
      <w:r w:rsidRPr="00272869">
        <w:rPr>
          <w:rStyle w:val="fontstyle01"/>
          <w:rFonts w:ascii="Arial" w:hAnsi="Arial" w:cs="Arial"/>
          <w:color w:val="000000" w:themeColor="text1"/>
          <w:sz w:val="20"/>
          <w:szCs w:val="22"/>
          <w:lang w:val="en-US"/>
        </w:rPr>
        <w:t xml:space="preserve">Table 2: </w:t>
      </w:r>
      <w:r w:rsidR="00B55607" w:rsidRPr="00272869">
        <w:rPr>
          <w:rStyle w:val="fontstyle01"/>
          <w:rFonts w:ascii="Arial" w:hAnsi="Arial" w:cs="Arial"/>
          <w:color w:val="000000" w:themeColor="text1"/>
          <w:sz w:val="20"/>
          <w:szCs w:val="22"/>
          <w:lang w:val="en-US"/>
        </w:rPr>
        <w:t>Macronutrients</w:t>
      </w:r>
      <w:r w:rsidR="004418FA" w:rsidRPr="00272869">
        <w:rPr>
          <w:rStyle w:val="fontstyle01"/>
          <w:rFonts w:ascii="Arial" w:hAnsi="Arial" w:cs="Arial"/>
          <w:color w:val="000000" w:themeColor="text1"/>
          <w:sz w:val="20"/>
          <w:szCs w:val="22"/>
          <w:lang w:val="en-US"/>
        </w:rPr>
        <w:t>, mineral and bioactive</w:t>
      </w:r>
      <w:r w:rsidRPr="00272869">
        <w:rPr>
          <w:rStyle w:val="fontstyle01"/>
          <w:rFonts w:ascii="Arial" w:hAnsi="Arial" w:cs="Arial"/>
          <w:color w:val="000000" w:themeColor="text1"/>
          <w:sz w:val="20"/>
          <w:szCs w:val="22"/>
          <w:lang w:val="en-US"/>
        </w:rPr>
        <w:t xml:space="preserve"> contents </w:t>
      </w:r>
      <w:r w:rsidR="00EB03D6" w:rsidRPr="00272869">
        <w:rPr>
          <w:rStyle w:val="fontstyle01"/>
          <w:rFonts w:ascii="Arial" w:hAnsi="Arial" w:cs="Arial"/>
          <w:color w:val="000000" w:themeColor="text1"/>
          <w:sz w:val="20"/>
          <w:szCs w:val="22"/>
          <w:lang w:val="en-US"/>
        </w:rPr>
        <w:t xml:space="preserve">and antioxidant activity </w:t>
      </w:r>
      <w:r w:rsidRPr="00272869">
        <w:rPr>
          <w:rStyle w:val="fontstyle01"/>
          <w:rFonts w:ascii="Arial" w:hAnsi="Arial" w:cs="Arial"/>
          <w:color w:val="000000" w:themeColor="text1"/>
          <w:sz w:val="20"/>
          <w:szCs w:val="22"/>
          <w:lang w:val="en-US"/>
        </w:rPr>
        <w:t xml:space="preserve">of the leaves and fruit powders of </w:t>
      </w:r>
      <w:r w:rsidRPr="00272869">
        <w:rPr>
          <w:rStyle w:val="fontstyle01"/>
          <w:rFonts w:ascii="Arial" w:hAnsi="Arial" w:cs="Arial"/>
          <w:i/>
          <w:iCs/>
          <w:color w:val="000000" w:themeColor="text1"/>
          <w:sz w:val="20"/>
          <w:szCs w:val="22"/>
          <w:lang w:val="en-US"/>
        </w:rPr>
        <w:t>C</w:t>
      </w:r>
      <w:r w:rsidR="00D603BB">
        <w:rPr>
          <w:rStyle w:val="fontstyle01"/>
          <w:rFonts w:ascii="Arial" w:hAnsi="Arial" w:cs="Arial"/>
          <w:i/>
          <w:iCs/>
          <w:color w:val="000000" w:themeColor="text1"/>
          <w:sz w:val="20"/>
          <w:szCs w:val="22"/>
          <w:lang w:val="en-US"/>
        </w:rPr>
        <w:t>.</w:t>
      </w:r>
      <w:r w:rsidRPr="00272869">
        <w:rPr>
          <w:rStyle w:val="fontstyle01"/>
          <w:rFonts w:ascii="Arial" w:hAnsi="Arial" w:cs="Arial"/>
          <w:i/>
          <w:iCs/>
          <w:color w:val="000000" w:themeColor="text1"/>
          <w:sz w:val="20"/>
          <w:szCs w:val="22"/>
          <w:lang w:val="en-US"/>
        </w:rPr>
        <w:t xml:space="preserve"> olitorius</w:t>
      </w:r>
      <w:r w:rsidRPr="00272869">
        <w:rPr>
          <w:rStyle w:val="fontstyle01"/>
          <w:rFonts w:ascii="Arial" w:hAnsi="Arial" w:cs="Arial"/>
          <w:color w:val="000000" w:themeColor="text1"/>
          <w:sz w:val="20"/>
          <w:szCs w:val="22"/>
          <w:lang w:val="en-US"/>
        </w:rPr>
        <w:t xml:space="preserve"> and </w:t>
      </w:r>
      <w:r w:rsidRPr="00272869">
        <w:rPr>
          <w:rStyle w:val="fontstyle01"/>
          <w:rFonts w:ascii="Arial" w:hAnsi="Arial" w:cs="Arial"/>
          <w:i/>
          <w:iCs/>
          <w:color w:val="000000" w:themeColor="text1"/>
          <w:sz w:val="20"/>
          <w:szCs w:val="22"/>
          <w:lang w:val="en-US"/>
        </w:rPr>
        <w:t>A</w:t>
      </w:r>
      <w:r w:rsidR="00D603BB">
        <w:rPr>
          <w:rStyle w:val="fontstyle01"/>
          <w:rFonts w:ascii="Arial" w:hAnsi="Arial" w:cs="Arial"/>
          <w:i/>
          <w:iCs/>
          <w:color w:val="000000" w:themeColor="text1"/>
          <w:sz w:val="20"/>
          <w:szCs w:val="22"/>
          <w:lang w:val="en-US"/>
        </w:rPr>
        <w:t>.</w:t>
      </w:r>
      <w:r w:rsidRPr="00272869">
        <w:rPr>
          <w:rStyle w:val="fontstyle01"/>
          <w:rFonts w:ascii="Arial" w:hAnsi="Arial" w:cs="Arial"/>
          <w:i/>
          <w:iCs/>
          <w:color w:val="000000" w:themeColor="text1"/>
          <w:sz w:val="20"/>
          <w:szCs w:val="22"/>
          <w:lang w:val="en-US"/>
        </w:rPr>
        <w:t xml:space="preserve"> esculentus</w:t>
      </w:r>
      <w:r w:rsidR="0044525C" w:rsidRPr="00272869">
        <w:rPr>
          <w:rStyle w:val="fontstyle01"/>
          <w:rFonts w:ascii="Arial" w:hAnsi="Arial" w:cs="Arial"/>
          <w:i/>
          <w:iCs/>
          <w:color w:val="000000" w:themeColor="text1"/>
          <w:sz w:val="20"/>
          <w:szCs w:val="22"/>
          <w:lang w:val="en-US"/>
        </w:rPr>
        <w:t xml:space="preserve"> </w:t>
      </w:r>
      <w:r w:rsidR="00845CAA" w:rsidRPr="00272869">
        <w:rPr>
          <w:rStyle w:val="fontstyle01"/>
          <w:rFonts w:ascii="Arial" w:hAnsi="Arial" w:cs="Arial"/>
          <w:i/>
          <w:iCs/>
          <w:color w:val="000000" w:themeColor="text1"/>
          <w:sz w:val="20"/>
          <w:szCs w:val="22"/>
          <w:lang w:val="en-US"/>
        </w:rPr>
        <w:fldChar w:fldCharType="begin" w:fldLock="1"/>
      </w:r>
      <w:r w:rsidR="00FC5154">
        <w:rPr>
          <w:rStyle w:val="fontstyle01"/>
          <w:rFonts w:ascii="Arial" w:hAnsi="Arial" w:cs="Arial"/>
          <w:i/>
          <w:iCs/>
          <w:color w:val="000000" w:themeColor="text1"/>
          <w:sz w:val="20"/>
          <w:szCs w:val="22"/>
          <w:lang w:val="en-US"/>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sidR="00845CAA" w:rsidRPr="00272869">
        <w:rPr>
          <w:rStyle w:val="fontstyle01"/>
          <w:rFonts w:ascii="Arial" w:hAnsi="Arial" w:cs="Arial"/>
          <w:i/>
          <w:iCs/>
          <w:color w:val="000000" w:themeColor="text1"/>
          <w:sz w:val="20"/>
          <w:szCs w:val="22"/>
          <w:lang w:val="en-US"/>
        </w:rPr>
        <w:fldChar w:fldCharType="separate"/>
      </w:r>
      <w:r w:rsidR="00FC5154" w:rsidRPr="00FC5154">
        <w:rPr>
          <w:rStyle w:val="fontstyle01"/>
          <w:rFonts w:ascii="Arial" w:hAnsi="Arial" w:cs="Arial"/>
          <w:iCs/>
          <w:noProof/>
          <w:color w:val="000000" w:themeColor="text1"/>
          <w:sz w:val="20"/>
          <w:szCs w:val="22"/>
          <w:lang w:val="en-US"/>
        </w:rPr>
        <w:t>(Assiéné, Djeukeu, et al., 2025)</w:t>
      </w:r>
      <w:r w:rsidR="00845CAA" w:rsidRPr="00272869">
        <w:rPr>
          <w:rStyle w:val="fontstyle01"/>
          <w:rFonts w:ascii="Arial" w:hAnsi="Arial" w:cs="Arial"/>
          <w:i/>
          <w:iCs/>
          <w:color w:val="000000" w:themeColor="text1"/>
          <w:sz w:val="20"/>
          <w:szCs w:val="22"/>
          <w:lang w:val="en-US"/>
        </w:rPr>
        <w:fldChar w:fldCharType="end"/>
      </w:r>
    </w:p>
    <w:tbl>
      <w:tblPr>
        <w:tblStyle w:val="TableGrid"/>
        <w:tblW w:w="9498" w:type="dxa"/>
        <w:tblLook w:val="04A0" w:firstRow="1" w:lastRow="0" w:firstColumn="1" w:lastColumn="0" w:noHBand="0" w:noVBand="1"/>
      </w:tblPr>
      <w:tblGrid>
        <w:gridCol w:w="2992"/>
        <w:gridCol w:w="1990"/>
        <w:gridCol w:w="1464"/>
        <w:gridCol w:w="1723"/>
        <w:gridCol w:w="1329"/>
      </w:tblGrid>
      <w:tr w:rsidR="001E48DA" w:rsidRPr="00EA43D8" w14:paraId="5C7203D2" w14:textId="77777777" w:rsidTr="00924E6C">
        <w:trPr>
          <w:trHeight w:val="425"/>
        </w:trPr>
        <w:tc>
          <w:tcPr>
            <w:tcW w:w="2992" w:type="dxa"/>
            <w:vMerge w:val="restart"/>
            <w:tcBorders>
              <w:left w:val="nil"/>
              <w:bottom w:val="nil"/>
              <w:right w:val="nil"/>
            </w:tcBorders>
            <w:vAlign w:val="center"/>
          </w:tcPr>
          <w:p w14:paraId="7AA93C53" w14:textId="7DC6C475" w:rsidR="001E48DA" w:rsidRPr="00FB5A11" w:rsidRDefault="004418FA" w:rsidP="00BD5AB5">
            <w:pPr>
              <w:rPr>
                <w:rFonts w:ascii="Arial" w:hAnsi="Arial" w:cs="Arial"/>
                <w:b/>
                <w:color w:val="000000" w:themeColor="text1"/>
                <w:sz w:val="18"/>
                <w:szCs w:val="18"/>
              </w:rPr>
            </w:pPr>
            <w:r w:rsidRPr="00FB5A11">
              <w:rPr>
                <w:rFonts w:ascii="Arial" w:hAnsi="Arial" w:cs="Arial"/>
                <w:b/>
                <w:color w:val="000000" w:themeColor="text1"/>
                <w:sz w:val="18"/>
                <w:szCs w:val="18"/>
              </w:rPr>
              <w:t xml:space="preserve">Components </w:t>
            </w:r>
          </w:p>
        </w:tc>
        <w:tc>
          <w:tcPr>
            <w:tcW w:w="3454" w:type="dxa"/>
            <w:gridSpan w:val="2"/>
            <w:tcBorders>
              <w:left w:val="nil"/>
              <w:bottom w:val="nil"/>
              <w:right w:val="nil"/>
            </w:tcBorders>
            <w:vAlign w:val="center"/>
          </w:tcPr>
          <w:p w14:paraId="497C4426" w14:textId="40E8020A" w:rsidR="001E48DA" w:rsidRPr="00FB5A11" w:rsidRDefault="00455C38" w:rsidP="00BD5AB5">
            <w:pPr>
              <w:jc w:val="center"/>
              <w:rPr>
                <w:rFonts w:ascii="Arial" w:hAnsi="Arial" w:cs="Arial"/>
                <w:b/>
                <w:color w:val="000000" w:themeColor="text1"/>
                <w:sz w:val="18"/>
                <w:szCs w:val="18"/>
              </w:rPr>
            </w:pPr>
            <w:r w:rsidRPr="00FB5A11">
              <w:rPr>
                <w:rFonts w:ascii="Arial" w:hAnsi="Arial" w:cs="Arial"/>
                <w:b/>
                <w:i/>
                <w:color w:val="000000" w:themeColor="text1"/>
                <w:sz w:val="18"/>
                <w:szCs w:val="18"/>
              </w:rPr>
              <w:t>Abelmoschus esculentus</w:t>
            </w:r>
          </w:p>
        </w:tc>
        <w:tc>
          <w:tcPr>
            <w:tcW w:w="3052" w:type="dxa"/>
            <w:gridSpan w:val="2"/>
            <w:tcBorders>
              <w:left w:val="nil"/>
              <w:bottom w:val="nil"/>
              <w:right w:val="nil"/>
            </w:tcBorders>
            <w:vAlign w:val="center"/>
          </w:tcPr>
          <w:p w14:paraId="3F4F335B" w14:textId="1FA30576" w:rsidR="001E48DA" w:rsidRPr="00FB5A11" w:rsidRDefault="00455C38" w:rsidP="00BD5AB5">
            <w:pPr>
              <w:jc w:val="center"/>
              <w:rPr>
                <w:rFonts w:ascii="Arial" w:hAnsi="Arial" w:cs="Arial"/>
                <w:b/>
                <w:color w:val="000000" w:themeColor="text1"/>
                <w:sz w:val="18"/>
                <w:szCs w:val="18"/>
              </w:rPr>
            </w:pPr>
            <w:r w:rsidRPr="00FB5A11">
              <w:rPr>
                <w:rFonts w:ascii="Arial" w:hAnsi="Arial" w:cs="Arial"/>
                <w:b/>
                <w:i/>
                <w:color w:val="000000" w:themeColor="text1"/>
                <w:sz w:val="18"/>
                <w:szCs w:val="18"/>
              </w:rPr>
              <w:t xml:space="preserve">   Corchorus olitorius</w:t>
            </w:r>
            <w:r w:rsidR="001E48DA" w:rsidRPr="00FB5A11">
              <w:rPr>
                <w:rFonts w:ascii="Arial" w:hAnsi="Arial" w:cs="Arial"/>
                <w:b/>
                <w:i/>
                <w:color w:val="000000" w:themeColor="text1"/>
                <w:sz w:val="18"/>
                <w:szCs w:val="18"/>
              </w:rPr>
              <w:t xml:space="preserve"> </w:t>
            </w:r>
          </w:p>
        </w:tc>
      </w:tr>
      <w:tr w:rsidR="001E48DA" w:rsidRPr="00EA43D8" w14:paraId="298989A1" w14:textId="77777777" w:rsidTr="00924E6C">
        <w:trPr>
          <w:trHeight w:val="320"/>
        </w:trPr>
        <w:tc>
          <w:tcPr>
            <w:tcW w:w="2992" w:type="dxa"/>
            <w:vMerge/>
            <w:tcBorders>
              <w:top w:val="nil"/>
              <w:left w:val="nil"/>
              <w:right w:val="nil"/>
            </w:tcBorders>
            <w:vAlign w:val="center"/>
          </w:tcPr>
          <w:p w14:paraId="1D09805C" w14:textId="77777777" w:rsidR="001E48DA" w:rsidRPr="00FB5A11" w:rsidRDefault="001E48DA" w:rsidP="00BD5AB5">
            <w:pPr>
              <w:rPr>
                <w:rFonts w:ascii="Arial" w:hAnsi="Arial" w:cs="Arial"/>
                <w:b/>
                <w:color w:val="000000" w:themeColor="text1"/>
                <w:sz w:val="18"/>
                <w:szCs w:val="18"/>
              </w:rPr>
            </w:pPr>
          </w:p>
        </w:tc>
        <w:tc>
          <w:tcPr>
            <w:tcW w:w="1990" w:type="dxa"/>
            <w:tcBorders>
              <w:top w:val="nil"/>
              <w:left w:val="nil"/>
              <w:right w:val="nil"/>
            </w:tcBorders>
            <w:vAlign w:val="center"/>
          </w:tcPr>
          <w:p w14:paraId="108E0093" w14:textId="2AE81BD6" w:rsidR="001E48DA" w:rsidRPr="00FB5A11" w:rsidRDefault="001E48DA" w:rsidP="00BD5AB5">
            <w:pPr>
              <w:jc w:val="center"/>
              <w:rPr>
                <w:rFonts w:ascii="Arial" w:hAnsi="Arial" w:cs="Arial"/>
                <w:b/>
                <w:color w:val="000000" w:themeColor="text1"/>
                <w:sz w:val="18"/>
                <w:szCs w:val="18"/>
              </w:rPr>
            </w:pPr>
            <w:proofErr w:type="spellStart"/>
            <w:r w:rsidRPr="00BD5AB5">
              <w:rPr>
                <w:rFonts w:ascii="Arial" w:hAnsi="Arial" w:cs="Arial"/>
                <w:b/>
                <w:color w:val="FF0000"/>
                <w:sz w:val="18"/>
                <w:szCs w:val="18"/>
              </w:rPr>
              <w:t>Leave</w:t>
            </w:r>
            <w:r w:rsidR="00BD5AB5" w:rsidRPr="00BD5AB5">
              <w:rPr>
                <w:rFonts w:ascii="Arial" w:hAnsi="Arial" w:cs="Arial"/>
                <w:b/>
                <w:color w:val="FF0000"/>
                <w:sz w:val="18"/>
                <w:szCs w:val="18"/>
              </w:rPr>
              <w:t>s</w:t>
            </w:r>
            <w:proofErr w:type="spellEnd"/>
          </w:p>
        </w:tc>
        <w:tc>
          <w:tcPr>
            <w:tcW w:w="1464" w:type="dxa"/>
            <w:tcBorders>
              <w:top w:val="nil"/>
              <w:left w:val="nil"/>
              <w:right w:val="nil"/>
            </w:tcBorders>
            <w:vAlign w:val="center"/>
          </w:tcPr>
          <w:p w14:paraId="32B8AEE4" w14:textId="77777777" w:rsidR="001E48DA" w:rsidRPr="00FB5A11" w:rsidRDefault="001E48DA" w:rsidP="00BD5AB5">
            <w:pPr>
              <w:jc w:val="center"/>
              <w:rPr>
                <w:rFonts w:ascii="Arial" w:hAnsi="Arial" w:cs="Arial"/>
                <w:b/>
                <w:color w:val="000000" w:themeColor="text1"/>
                <w:sz w:val="18"/>
                <w:szCs w:val="18"/>
              </w:rPr>
            </w:pPr>
            <w:r w:rsidRPr="00FB5A11">
              <w:rPr>
                <w:rFonts w:ascii="Arial" w:hAnsi="Arial" w:cs="Arial"/>
                <w:b/>
                <w:color w:val="000000" w:themeColor="text1"/>
                <w:sz w:val="18"/>
                <w:szCs w:val="18"/>
              </w:rPr>
              <w:t>Fruit</w:t>
            </w:r>
          </w:p>
        </w:tc>
        <w:tc>
          <w:tcPr>
            <w:tcW w:w="1723" w:type="dxa"/>
            <w:tcBorders>
              <w:top w:val="nil"/>
              <w:left w:val="nil"/>
              <w:right w:val="nil"/>
            </w:tcBorders>
            <w:vAlign w:val="center"/>
          </w:tcPr>
          <w:p w14:paraId="721A3019" w14:textId="1C753B11" w:rsidR="001E48DA" w:rsidRPr="00FB5A11" w:rsidRDefault="001E48DA" w:rsidP="00BD5AB5">
            <w:pPr>
              <w:jc w:val="center"/>
              <w:rPr>
                <w:rFonts w:ascii="Arial" w:hAnsi="Arial" w:cs="Arial"/>
                <w:b/>
                <w:color w:val="000000" w:themeColor="text1"/>
                <w:sz w:val="18"/>
                <w:szCs w:val="18"/>
              </w:rPr>
            </w:pPr>
            <w:proofErr w:type="spellStart"/>
            <w:r w:rsidRPr="00BD5AB5">
              <w:rPr>
                <w:rFonts w:ascii="Arial" w:hAnsi="Arial" w:cs="Arial"/>
                <w:b/>
                <w:color w:val="FF0000"/>
                <w:sz w:val="18"/>
                <w:szCs w:val="18"/>
              </w:rPr>
              <w:t>Leave</w:t>
            </w:r>
            <w:r w:rsidR="00BD5AB5" w:rsidRPr="00BD5AB5">
              <w:rPr>
                <w:rFonts w:ascii="Arial" w:hAnsi="Arial" w:cs="Arial"/>
                <w:b/>
                <w:color w:val="FF0000"/>
                <w:sz w:val="18"/>
                <w:szCs w:val="18"/>
              </w:rPr>
              <w:t>s</w:t>
            </w:r>
            <w:proofErr w:type="spellEnd"/>
          </w:p>
        </w:tc>
        <w:tc>
          <w:tcPr>
            <w:tcW w:w="1329" w:type="dxa"/>
            <w:tcBorders>
              <w:top w:val="nil"/>
              <w:left w:val="nil"/>
              <w:right w:val="nil"/>
            </w:tcBorders>
            <w:vAlign w:val="center"/>
          </w:tcPr>
          <w:p w14:paraId="71B43606" w14:textId="77777777" w:rsidR="001E48DA" w:rsidRPr="00FB5A11" w:rsidRDefault="001E48DA" w:rsidP="00BD5AB5">
            <w:pPr>
              <w:jc w:val="center"/>
              <w:rPr>
                <w:rFonts w:ascii="Arial" w:hAnsi="Arial" w:cs="Arial"/>
                <w:b/>
                <w:color w:val="000000" w:themeColor="text1"/>
                <w:sz w:val="18"/>
                <w:szCs w:val="18"/>
              </w:rPr>
            </w:pPr>
            <w:r w:rsidRPr="00FB5A11">
              <w:rPr>
                <w:rFonts w:ascii="Arial" w:hAnsi="Arial" w:cs="Arial"/>
                <w:b/>
                <w:color w:val="000000" w:themeColor="text1"/>
                <w:sz w:val="18"/>
                <w:szCs w:val="18"/>
              </w:rPr>
              <w:t>Fruit</w:t>
            </w:r>
          </w:p>
        </w:tc>
      </w:tr>
      <w:tr w:rsidR="004418FA" w:rsidRPr="00675ED0" w14:paraId="2CDCAD47" w14:textId="77777777" w:rsidTr="00924E6C">
        <w:trPr>
          <w:trHeight w:val="282"/>
        </w:trPr>
        <w:tc>
          <w:tcPr>
            <w:tcW w:w="9498" w:type="dxa"/>
            <w:gridSpan w:val="5"/>
            <w:tcBorders>
              <w:left w:val="nil"/>
              <w:bottom w:val="single" w:sz="4" w:space="0" w:color="auto"/>
              <w:right w:val="nil"/>
            </w:tcBorders>
            <w:vAlign w:val="bottom"/>
          </w:tcPr>
          <w:p w14:paraId="018D82B9" w14:textId="06FF088E" w:rsidR="004418FA" w:rsidRPr="00EA43D8" w:rsidRDefault="005D69AD" w:rsidP="004418FA">
            <w:pPr>
              <w:spacing w:before="240" w:line="360" w:lineRule="auto"/>
              <w:rPr>
                <w:rFonts w:ascii="Arial" w:eastAsia="Times New Roman" w:hAnsi="Arial" w:cs="Arial"/>
                <w:color w:val="000000" w:themeColor="text1"/>
                <w:sz w:val="14"/>
                <w:szCs w:val="14"/>
                <w:lang w:val="en-US" w:eastAsia="fr-FR"/>
              </w:rPr>
            </w:pPr>
            <w:r w:rsidRPr="00EA43D8">
              <w:rPr>
                <w:rFonts w:ascii="Arial" w:hAnsi="Arial" w:cs="Arial"/>
                <w:b/>
                <w:color w:val="000000" w:themeColor="text1"/>
                <w:sz w:val="14"/>
                <w:szCs w:val="14"/>
                <w:lang w:val="en-US"/>
              </w:rPr>
              <w:t>Macro nutrient content</w:t>
            </w:r>
            <w:r w:rsidR="00FB5A11" w:rsidRPr="00FB5A11">
              <w:rPr>
                <w:rFonts w:ascii="Arial" w:hAnsi="Arial" w:cs="Arial"/>
                <w:b/>
                <w:color w:val="000000" w:themeColor="text1"/>
                <w:sz w:val="14"/>
                <w:szCs w:val="14"/>
                <w:lang w:val="en-US"/>
              </w:rPr>
              <w:t>, Crude Fiber</w:t>
            </w:r>
            <w:r w:rsidR="004418FA" w:rsidRPr="00FB5A11">
              <w:rPr>
                <w:rFonts w:ascii="Arial" w:hAnsi="Arial" w:cs="Arial"/>
                <w:b/>
                <w:color w:val="000000" w:themeColor="text1"/>
                <w:sz w:val="14"/>
                <w:szCs w:val="14"/>
                <w:lang w:val="en-US"/>
              </w:rPr>
              <w:t xml:space="preserve"> (g/100 g DM)</w:t>
            </w:r>
            <w:r w:rsidR="00EA43D8" w:rsidRPr="00FB5A11">
              <w:rPr>
                <w:rFonts w:ascii="Arial" w:hAnsi="Arial" w:cs="Arial"/>
                <w:b/>
                <w:color w:val="000000" w:themeColor="text1"/>
                <w:sz w:val="14"/>
                <w:szCs w:val="14"/>
                <w:lang w:val="en-US"/>
              </w:rPr>
              <w:t xml:space="preserve"> </w:t>
            </w:r>
            <w:r w:rsidR="00EA43D8" w:rsidRPr="00FB5A11">
              <w:rPr>
                <w:rFonts w:ascii="Arial" w:hAnsi="Arial" w:cs="Arial"/>
                <w:b/>
                <w:sz w:val="14"/>
                <w:szCs w:val="14"/>
                <w:lang w:val="en-US"/>
              </w:rPr>
              <w:t>and Energy (Kcal)</w:t>
            </w:r>
          </w:p>
        </w:tc>
      </w:tr>
      <w:tr w:rsidR="004418FA" w:rsidRPr="00EA43D8" w14:paraId="7CB9D9D3" w14:textId="77777777" w:rsidTr="00924E6C">
        <w:trPr>
          <w:trHeight w:val="128"/>
        </w:trPr>
        <w:tc>
          <w:tcPr>
            <w:tcW w:w="2992" w:type="dxa"/>
            <w:tcBorders>
              <w:top w:val="nil"/>
              <w:left w:val="nil"/>
              <w:bottom w:val="nil"/>
              <w:right w:val="nil"/>
            </w:tcBorders>
          </w:tcPr>
          <w:p w14:paraId="6BD19F13" w14:textId="45429A99" w:rsidR="004418FA" w:rsidRPr="00EA43D8" w:rsidRDefault="004418FA" w:rsidP="00FB5A11">
            <w:pPr>
              <w:spacing w:before="240" w:line="480" w:lineRule="auto"/>
              <w:rPr>
                <w:rFonts w:ascii="Arial" w:hAnsi="Arial" w:cs="Arial"/>
                <w:color w:val="000000" w:themeColor="text1"/>
                <w:sz w:val="14"/>
                <w:szCs w:val="14"/>
              </w:rPr>
            </w:pPr>
            <w:r w:rsidRPr="00EA43D8">
              <w:rPr>
                <w:rFonts w:ascii="Arial" w:hAnsi="Arial" w:cs="Arial"/>
                <w:color w:val="000000" w:themeColor="text1"/>
                <w:sz w:val="14"/>
                <w:szCs w:val="14"/>
              </w:rPr>
              <w:t xml:space="preserve">Total </w:t>
            </w:r>
            <w:proofErr w:type="spellStart"/>
            <w:r w:rsidRPr="00EA43D8">
              <w:rPr>
                <w:rFonts w:ascii="Arial" w:hAnsi="Arial" w:cs="Arial"/>
                <w:color w:val="000000" w:themeColor="text1"/>
                <w:sz w:val="14"/>
                <w:szCs w:val="14"/>
              </w:rPr>
              <w:t>protein</w:t>
            </w:r>
            <w:proofErr w:type="spellEnd"/>
            <w:r w:rsidRPr="00EA43D8">
              <w:rPr>
                <w:rFonts w:ascii="Arial" w:hAnsi="Arial" w:cs="Arial"/>
                <w:color w:val="000000" w:themeColor="text1"/>
                <w:sz w:val="14"/>
                <w:szCs w:val="14"/>
              </w:rPr>
              <w:t xml:space="preserve"> </w:t>
            </w:r>
          </w:p>
        </w:tc>
        <w:tc>
          <w:tcPr>
            <w:tcW w:w="1990" w:type="dxa"/>
            <w:tcBorders>
              <w:top w:val="nil"/>
              <w:left w:val="nil"/>
              <w:bottom w:val="nil"/>
              <w:right w:val="nil"/>
            </w:tcBorders>
            <w:vAlign w:val="center"/>
          </w:tcPr>
          <w:p w14:paraId="63D09E80" w14:textId="2731C5DC" w:rsidR="004418FA" w:rsidRPr="00EA43D8" w:rsidRDefault="004418FA" w:rsidP="00FB5A11">
            <w:pPr>
              <w:spacing w:before="240"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18.87 ± 0.10</w:t>
            </w:r>
          </w:p>
        </w:tc>
        <w:tc>
          <w:tcPr>
            <w:tcW w:w="1464" w:type="dxa"/>
            <w:tcBorders>
              <w:top w:val="nil"/>
              <w:left w:val="nil"/>
              <w:bottom w:val="nil"/>
              <w:right w:val="nil"/>
            </w:tcBorders>
            <w:vAlign w:val="center"/>
          </w:tcPr>
          <w:p w14:paraId="555D856A" w14:textId="3B806070" w:rsidR="004418FA" w:rsidRPr="00EA43D8" w:rsidRDefault="004418FA" w:rsidP="00FB5A11">
            <w:pPr>
              <w:spacing w:before="240"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15.52 ± 0.30</w:t>
            </w:r>
          </w:p>
        </w:tc>
        <w:tc>
          <w:tcPr>
            <w:tcW w:w="1723" w:type="dxa"/>
            <w:tcBorders>
              <w:top w:val="nil"/>
              <w:left w:val="nil"/>
              <w:bottom w:val="nil"/>
              <w:right w:val="nil"/>
            </w:tcBorders>
            <w:vAlign w:val="center"/>
          </w:tcPr>
          <w:p w14:paraId="7FD42971" w14:textId="47008885" w:rsidR="004418FA" w:rsidRPr="00EA43D8" w:rsidRDefault="004418FA" w:rsidP="00FB5A11">
            <w:pPr>
              <w:spacing w:before="240"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20.63 ± 0.10</w:t>
            </w:r>
          </w:p>
        </w:tc>
        <w:tc>
          <w:tcPr>
            <w:tcW w:w="1329" w:type="dxa"/>
            <w:tcBorders>
              <w:top w:val="nil"/>
              <w:left w:val="nil"/>
              <w:bottom w:val="nil"/>
              <w:right w:val="nil"/>
            </w:tcBorders>
            <w:vAlign w:val="center"/>
          </w:tcPr>
          <w:p w14:paraId="0946D083" w14:textId="7A823C5E" w:rsidR="004418FA" w:rsidRPr="00EA43D8" w:rsidRDefault="004418FA" w:rsidP="00FB5A11">
            <w:pPr>
              <w:spacing w:before="240"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10.42 ± 0.20</w:t>
            </w:r>
          </w:p>
        </w:tc>
      </w:tr>
      <w:tr w:rsidR="004418FA" w:rsidRPr="00EA43D8" w14:paraId="7746D315" w14:textId="77777777" w:rsidTr="00924E6C">
        <w:trPr>
          <w:trHeight w:val="128"/>
        </w:trPr>
        <w:tc>
          <w:tcPr>
            <w:tcW w:w="2992" w:type="dxa"/>
            <w:tcBorders>
              <w:top w:val="nil"/>
              <w:left w:val="nil"/>
              <w:bottom w:val="nil"/>
              <w:right w:val="nil"/>
            </w:tcBorders>
          </w:tcPr>
          <w:p w14:paraId="7372FB92" w14:textId="3695BCE7"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 xml:space="preserve">Total </w:t>
            </w:r>
            <w:proofErr w:type="spellStart"/>
            <w:r w:rsidRPr="00EA43D8">
              <w:rPr>
                <w:rFonts w:ascii="Arial" w:hAnsi="Arial" w:cs="Arial"/>
                <w:color w:val="000000" w:themeColor="text1"/>
                <w:sz w:val="14"/>
                <w:szCs w:val="14"/>
              </w:rPr>
              <w:t>lipid</w:t>
            </w:r>
            <w:proofErr w:type="spellEnd"/>
          </w:p>
        </w:tc>
        <w:tc>
          <w:tcPr>
            <w:tcW w:w="1990" w:type="dxa"/>
            <w:tcBorders>
              <w:top w:val="nil"/>
              <w:left w:val="nil"/>
              <w:bottom w:val="nil"/>
              <w:right w:val="nil"/>
            </w:tcBorders>
            <w:vAlign w:val="center"/>
          </w:tcPr>
          <w:p w14:paraId="1D29F977" w14:textId="297CAD6E"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lang w:val="en-US"/>
              </w:rPr>
              <w:t>7.64 ± 0.03</w:t>
            </w:r>
          </w:p>
        </w:tc>
        <w:tc>
          <w:tcPr>
            <w:tcW w:w="1464" w:type="dxa"/>
            <w:tcBorders>
              <w:top w:val="nil"/>
              <w:left w:val="nil"/>
              <w:bottom w:val="nil"/>
              <w:right w:val="nil"/>
            </w:tcBorders>
            <w:vAlign w:val="center"/>
          </w:tcPr>
          <w:p w14:paraId="6E541395" w14:textId="2F1621B0"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lang w:val="en-US"/>
              </w:rPr>
              <w:t>2.70 ± 0.01</w:t>
            </w:r>
          </w:p>
        </w:tc>
        <w:tc>
          <w:tcPr>
            <w:tcW w:w="1723" w:type="dxa"/>
            <w:tcBorders>
              <w:top w:val="nil"/>
              <w:left w:val="nil"/>
              <w:bottom w:val="nil"/>
              <w:right w:val="nil"/>
            </w:tcBorders>
            <w:vAlign w:val="center"/>
          </w:tcPr>
          <w:p w14:paraId="2A8034AA" w14:textId="7F1736C6"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rPr>
              <w:t>5.29 ± 0.01</w:t>
            </w:r>
          </w:p>
        </w:tc>
        <w:tc>
          <w:tcPr>
            <w:tcW w:w="1329" w:type="dxa"/>
            <w:tcBorders>
              <w:top w:val="nil"/>
              <w:left w:val="nil"/>
              <w:bottom w:val="nil"/>
              <w:right w:val="nil"/>
            </w:tcBorders>
            <w:vAlign w:val="center"/>
          </w:tcPr>
          <w:p w14:paraId="13712937" w14:textId="389D41F7"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rPr>
              <w:t>1.81 ± 0.01</w:t>
            </w:r>
          </w:p>
        </w:tc>
      </w:tr>
      <w:tr w:rsidR="003604EA" w:rsidRPr="00EA43D8" w14:paraId="144CC8D9" w14:textId="77777777" w:rsidTr="00924E6C">
        <w:trPr>
          <w:trHeight w:val="128"/>
        </w:trPr>
        <w:tc>
          <w:tcPr>
            <w:tcW w:w="2992" w:type="dxa"/>
            <w:tcBorders>
              <w:top w:val="nil"/>
              <w:left w:val="nil"/>
              <w:bottom w:val="nil"/>
              <w:right w:val="nil"/>
            </w:tcBorders>
          </w:tcPr>
          <w:p w14:paraId="3CC651CE" w14:textId="0A20D31E" w:rsidR="003604EA" w:rsidRPr="00EA43D8" w:rsidRDefault="003604EA" w:rsidP="004418FA">
            <w:pPr>
              <w:spacing w:line="480" w:lineRule="auto"/>
              <w:rPr>
                <w:rFonts w:ascii="Arial" w:hAnsi="Arial" w:cs="Arial"/>
                <w:color w:val="000000" w:themeColor="text1"/>
                <w:sz w:val="14"/>
                <w:szCs w:val="14"/>
              </w:rPr>
            </w:pPr>
            <w:proofErr w:type="spellStart"/>
            <w:r w:rsidRPr="00EA43D8">
              <w:rPr>
                <w:rFonts w:ascii="Arial" w:hAnsi="Arial" w:cs="Arial"/>
                <w:color w:val="000000" w:themeColor="text1"/>
                <w:sz w:val="14"/>
                <w:szCs w:val="14"/>
              </w:rPr>
              <w:t>Available</w:t>
            </w:r>
            <w:proofErr w:type="spellEnd"/>
            <w:r w:rsidRPr="00EA43D8">
              <w:rPr>
                <w:rFonts w:ascii="Arial" w:hAnsi="Arial" w:cs="Arial"/>
                <w:color w:val="000000" w:themeColor="text1"/>
                <w:sz w:val="14"/>
                <w:szCs w:val="14"/>
              </w:rPr>
              <w:t xml:space="preserve"> Carbohydrate</w:t>
            </w:r>
          </w:p>
        </w:tc>
        <w:tc>
          <w:tcPr>
            <w:tcW w:w="1990" w:type="dxa"/>
            <w:tcBorders>
              <w:top w:val="nil"/>
              <w:left w:val="nil"/>
              <w:bottom w:val="nil"/>
              <w:right w:val="nil"/>
            </w:tcBorders>
            <w:vAlign w:val="center"/>
          </w:tcPr>
          <w:p w14:paraId="1F3D2E98" w14:textId="2176056E" w:rsidR="003604EA" w:rsidRPr="00EA43D8" w:rsidRDefault="00194C84"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43.75 ± 0.30</w:t>
            </w:r>
          </w:p>
        </w:tc>
        <w:tc>
          <w:tcPr>
            <w:tcW w:w="1464" w:type="dxa"/>
            <w:tcBorders>
              <w:top w:val="nil"/>
              <w:left w:val="nil"/>
              <w:bottom w:val="nil"/>
              <w:right w:val="nil"/>
            </w:tcBorders>
            <w:vAlign w:val="center"/>
          </w:tcPr>
          <w:p w14:paraId="09314022" w14:textId="5B9A688A" w:rsidR="003604EA" w:rsidRPr="00EA43D8" w:rsidRDefault="00194C84"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57.35 ± 0.80</w:t>
            </w:r>
          </w:p>
        </w:tc>
        <w:tc>
          <w:tcPr>
            <w:tcW w:w="1723" w:type="dxa"/>
            <w:tcBorders>
              <w:top w:val="nil"/>
              <w:left w:val="nil"/>
              <w:bottom w:val="nil"/>
              <w:right w:val="nil"/>
            </w:tcBorders>
            <w:vAlign w:val="center"/>
          </w:tcPr>
          <w:p w14:paraId="417613B2" w14:textId="077A2DCD" w:rsidR="003604EA" w:rsidRPr="00EA43D8" w:rsidRDefault="00194C84" w:rsidP="004418FA">
            <w:pPr>
              <w:spacing w:line="480" w:lineRule="auto"/>
              <w:jc w:val="center"/>
              <w:rPr>
                <w:rFonts w:ascii="Arial" w:hAnsi="Arial" w:cs="Arial"/>
                <w:color w:val="000000" w:themeColor="text1"/>
                <w:sz w:val="14"/>
                <w:szCs w:val="14"/>
              </w:rPr>
            </w:pPr>
            <w:r w:rsidRPr="00EA43D8">
              <w:rPr>
                <w:rFonts w:ascii="Arial" w:hAnsi="Arial" w:cs="Arial"/>
                <w:color w:val="000000" w:themeColor="text1"/>
                <w:sz w:val="14"/>
                <w:szCs w:val="14"/>
              </w:rPr>
              <w:t>31.11 ± 0.16</w:t>
            </w:r>
          </w:p>
        </w:tc>
        <w:tc>
          <w:tcPr>
            <w:tcW w:w="1329" w:type="dxa"/>
            <w:tcBorders>
              <w:top w:val="nil"/>
              <w:left w:val="nil"/>
              <w:bottom w:val="nil"/>
              <w:right w:val="nil"/>
            </w:tcBorders>
            <w:vAlign w:val="center"/>
          </w:tcPr>
          <w:p w14:paraId="69DE681B" w14:textId="7F6EF2B0" w:rsidR="003604EA" w:rsidRPr="00EA43D8" w:rsidRDefault="00194C84" w:rsidP="004418FA">
            <w:pPr>
              <w:spacing w:line="480" w:lineRule="auto"/>
              <w:jc w:val="center"/>
              <w:rPr>
                <w:rFonts w:ascii="Arial" w:hAnsi="Arial" w:cs="Arial"/>
                <w:color w:val="000000" w:themeColor="text1"/>
                <w:sz w:val="14"/>
                <w:szCs w:val="14"/>
              </w:rPr>
            </w:pPr>
            <w:r w:rsidRPr="00EA43D8">
              <w:rPr>
                <w:rFonts w:ascii="Arial" w:hAnsi="Arial" w:cs="Arial"/>
                <w:color w:val="000000" w:themeColor="text1"/>
                <w:sz w:val="14"/>
                <w:szCs w:val="14"/>
              </w:rPr>
              <w:t>56.71 ± 0.40</w:t>
            </w:r>
          </w:p>
        </w:tc>
      </w:tr>
      <w:tr w:rsidR="004418FA" w:rsidRPr="00EA43D8" w14:paraId="6E0D6A4A" w14:textId="77777777" w:rsidTr="00924E6C">
        <w:trPr>
          <w:trHeight w:val="116"/>
        </w:trPr>
        <w:tc>
          <w:tcPr>
            <w:tcW w:w="2992" w:type="dxa"/>
            <w:tcBorders>
              <w:top w:val="nil"/>
              <w:left w:val="nil"/>
              <w:bottom w:val="nil"/>
              <w:right w:val="nil"/>
            </w:tcBorders>
          </w:tcPr>
          <w:p w14:paraId="731CBDFE" w14:textId="03F87A46" w:rsidR="004418FA" w:rsidRPr="00EA43D8" w:rsidRDefault="004418FA" w:rsidP="004418FA">
            <w:pPr>
              <w:spacing w:line="480" w:lineRule="auto"/>
              <w:rPr>
                <w:rFonts w:ascii="Arial" w:hAnsi="Arial" w:cs="Arial"/>
                <w:color w:val="000000" w:themeColor="text1"/>
                <w:sz w:val="14"/>
                <w:szCs w:val="14"/>
                <w:lang w:val="en-US"/>
              </w:rPr>
            </w:pPr>
            <w:r w:rsidRPr="00EA43D8">
              <w:rPr>
                <w:rFonts w:ascii="Arial" w:hAnsi="Arial" w:cs="Arial"/>
                <w:color w:val="000000" w:themeColor="text1"/>
                <w:sz w:val="14"/>
                <w:szCs w:val="14"/>
              </w:rPr>
              <w:t xml:space="preserve">Total </w:t>
            </w:r>
            <w:proofErr w:type="spellStart"/>
            <w:r w:rsidRPr="00EA43D8">
              <w:rPr>
                <w:rFonts w:ascii="Arial" w:hAnsi="Arial" w:cs="Arial"/>
                <w:color w:val="000000" w:themeColor="text1"/>
                <w:sz w:val="14"/>
                <w:szCs w:val="14"/>
              </w:rPr>
              <w:t>ash</w:t>
            </w:r>
            <w:proofErr w:type="spellEnd"/>
            <w:r w:rsidRPr="00EA43D8">
              <w:rPr>
                <w:rFonts w:ascii="Arial" w:hAnsi="Arial" w:cs="Arial"/>
                <w:color w:val="000000" w:themeColor="text1"/>
                <w:sz w:val="14"/>
                <w:szCs w:val="14"/>
              </w:rPr>
              <w:t xml:space="preserve"> </w:t>
            </w:r>
          </w:p>
        </w:tc>
        <w:tc>
          <w:tcPr>
            <w:tcW w:w="1990" w:type="dxa"/>
            <w:tcBorders>
              <w:top w:val="nil"/>
              <w:left w:val="nil"/>
              <w:bottom w:val="nil"/>
              <w:right w:val="nil"/>
            </w:tcBorders>
            <w:vAlign w:val="center"/>
          </w:tcPr>
          <w:p w14:paraId="30B1B2BC" w14:textId="6E77853A"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lang w:val="en-US"/>
              </w:rPr>
              <w:t>15.22 ± 0.10</w:t>
            </w:r>
          </w:p>
        </w:tc>
        <w:tc>
          <w:tcPr>
            <w:tcW w:w="1464" w:type="dxa"/>
            <w:tcBorders>
              <w:top w:val="nil"/>
              <w:left w:val="nil"/>
              <w:bottom w:val="nil"/>
              <w:right w:val="nil"/>
            </w:tcBorders>
            <w:vAlign w:val="center"/>
          </w:tcPr>
          <w:p w14:paraId="2C229AB5" w14:textId="7A3EEBF1"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lang w:val="en-US"/>
              </w:rPr>
              <w:t>7.61 ± 0.10</w:t>
            </w:r>
          </w:p>
        </w:tc>
        <w:tc>
          <w:tcPr>
            <w:tcW w:w="1723" w:type="dxa"/>
            <w:tcBorders>
              <w:top w:val="nil"/>
              <w:left w:val="nil"/>
              <w:bottom w:val="nil"/>
              <w:right w:val="nil"/>
            </w:tcBorders>
            <w:vAlign w:val="center"/>
          </w:tcPr>
          <w:p w14:paraId="4695E560" w14:textId="5AEE6FB7"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rPr>
              <w:t>9.38 ± 0.20</w:t>
            </w:r>
          </w:p>
        </w:tc>
        <w:tc>
          <w:tcPr>
            <w:tcW w:w="1329" w:type="dxa"/>
            <w:tcBorders>
              <w:top w:val="nil"/>
              <w:left w:val="nil"/>
              <w:bottom w:val="nil"/>
              <w:right w:val="nil"/>
            </w:tcBorders>
            <w:vAlign w:val="center"/>
          </w:tcPr>
          <w:p w14:paraId="7F8D629F" w14:textId="0840A05E"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rPr>
              <w:t>12.95 ± 0.10</w:t>
            </w:r>
          </w:p>
        </w:tc>
      </w:tr>
      <w:tr w:rsidR="004418FA" w:rsidRPr="00EA43D8" w14:paraId="2ED2BEB5" w14:textId="77777777" w:rsidTr="00924E6C">
        <w:trPr>
          <w:trHeight w:val="128"/>
        </w:trPr>
        <w:tc>
          <w:tcPr>
            <w:tcW w:w="2992" w:type="dxa"/>
            <w:tcBorders>
              <w:top w:val="nil"/>
              <w:left w:val="nil"/>
              <w:bottom w:val="nil"/>
              <w:right w:val="nil"/>
            </w:tcBorders>
          </w:tcPr>
          <w:p w14:paraId="13B394E4" w14:textId="3254E44E" w:rsidR="004418FA" w:rsidRPr="00EA43D8" w:rsidRDefault="004418FA" w:rsidP="004418FA">
            <w:pPr>
              <w:spacing w:line="480" w:lineRule="auto"/>
              <w:rPr>
                <w:rFonts w:ascii="Arial" w:hAnsi="Arial" w:cs="Arial"/>
                <w:color w:val="000000" w:themeColor="text1"/>
                <w:sz w:val="14"/>
                <w:szCs w:val="14"/>
                <w:lang w:val="en-US"/>
              </w:rPr>
            </w:pPr>
            <w:proofErr w:type="spellStart"/>
            <w:r w:rsidRPr="00EA43D8">
              <w:rPr>
                <w:rFonts w:ascii="Arial" w:hAnsi="Arial" w:cs="Arial"/>
                <w:color w:val="000000" w:themeColor="text1"/>
                <w:sz w:val="14"/>
                <w:szCs w:val="14"/>
              </w:rPr>
              <w:t>Crude</w:t>
            </w:r>
            <w:proofErr w:type="spellEnd"/>
            <w:r w:rsidRPr="00EA43D8">
              <w:rPr>
                <w:rFonts w:ascii="Arial" w:hAnsi="Arial" w:cs="Arial"/>
                <w:color w:val="000000" w:themeColor="text1"/>
                <w:sz w:val="14"/>
                <w:szCs w:val="14"/>
              </w:rPr>
              <w:t xml:space="preserve"> </w:t>
            </w:r>
            <w:proofErr w:type="spellStart"/>
            <w:r w:rsidRPr="00EA43D8">
              <w:rPr>
                <w:rFonts w:ascii="Arial" w:hAnsi="Arial" w:cs="Arial"/>
                <w:color w:val="000000" w:themeColor="text1"/>
                <w:sz w:val="14"/>
                <w:szCs w:val="14"/>
              </w:rPr>
              <w:t>fiber</w:t>
            </w:r>
            <w:proofErr w:type="spellEnd"/>
            <w:r w:rsidRPr="00EA43D8">
              <w:rPr>
                <w:rFonts w:ascii="Arial" w:hAnsi="Arial" w:cs="Arial"/>
                <w:color w:val="000000" w:themeColor="text1"/>
                <w:sz w:val="14"/>
                <w:szCs w:val="14"/>
              </w:rPr>
              <w:t xml:space="preserve"> </w:t>
            </w:r>
          </w:p>
        </w:tc>
        <w:tc>
          <w:tcPr>
            <w:tcW w:w="1990" w:type="dxa"/>
            <w:tcBorders>
              <w:top w:val="nil"/>
              <w:left w:val="nil"/>
              <w:bottom w:val="nil"/>
              <w:right w:val="nil"/>
            </w:tcBorders>
            <w:vAlign w:val="center"/>
          </w:tcPr>
          <w:p w14:paraId="6B63B9FB" w14:textId="7DC759FA"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val="en-US" w:eastAsia="fr-FR"/>
              </w:rPr>
            </w:pPr>
            <w:r w:rsidRPr="00EA43D8">
              <w:rPr>
                <w:rFonts w:ascii="Arial" w:hAnsi="Arial" w:cs="Arial"/>
                <w:color w:val="000000" w:themeColor="text1"/>
                <w:sz w:val="14"/>
                <w:szCs w:val="14"/>
                <w:lang w:val="en-US"/>
              </w:rPr>
              <w:t>10.34 ± 0.20</w:t>
            </w:r>
          </w:p>
        </w:tc>
        <w:tc>
          <w:tcPr>
            <w:tcW w:w="1464" w:type="dxa"/>
            <w:tcBorders>
              <w:top w:val="nil"/>
              <w:left w:val="nil"/>
              <w:bottom w:val="nil"/>
              <w:right w:val="nil"/>
            </w:tcBorders>
            <w:vAlign w:val="center"/>
          </w:tcPr>
          <w:p w14:paraId="6BE2B323" w14:textId="63D3BD43"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lang w:val="en-US"/>
              </w:rPr>
              <w:t>7.26 ± 0.20</w:t>
            </w:r>
          </w:p>
        </w:tc>
        <w:tc>
          <w:tcPr>
            <w:tcW w:w="1723" w:type="dxa"/>
            <w:tcBorders>
              <w:top w:val="nil"/>
              <w:left w:val="nil"/>
              <w:bottom w:val="nil"/>
              <w:right w:val="nil"/>
            </w:tcBorders>
            <w:vAlign w:val="center"/>
          </w:tcPr>
          <w:p w14:paraId="72FF47B6" w14:textId="4D108D7A"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9.52 ± 0.20</w:t>
            </w:r>
          </w:p>
        </w:tc>
        <w:tc>
          <w:tcPr>
            <w:tcW w:w="1329" w:type="dxa"/>
            <w:tcBorders>
              <w:top w:val="nil"/>
              <w:left w:val="nil"/>
              <w:bottom w:val="nil"/>
              <w:right w:val="nil"/>
            </w:tcBorders>
            <w:vAlign w:val="center"/>
          </w:tcPr>
          <w:p w14:paraId="466F1704" w14:textId="0F106EDE" w:rsidR="004418FA" w:rsidRPr="00EA43D8" w:rsidRDefault="004418FA" w:rsidP="004418FA">
            <w:pPr>
              <w:spacing w:line="480" w:lineRule="auto"/>
              <w:jc w:val="center"/>
              <w:rPr>
                <w:rFonts w:ascii="Arial" w:eastAsia="Times New Roman" w:hAnsi="Arial" w:cs="Arial"/>
                <w:color w:val="000000" w:themeColor="text1"/>
                <w:sz w:val="14"/>
                <w:szCs w:val="14"/>
                <w:vertAlign w:val="superscript"/>
                <w:lang w:eastAsia="fr-FR"/>
              </w:rPr>
            </w:pPr>
            <w:r w:rsidRPr="00EA43D8">
              <w:rPr>
                <w:rFonts w:ascii="Arial" w:hAnsi="Arial" w:cs="Arial"/>
                <w:color w:val="000000" w:themeColor="text1"/>
                <w:sz w:val="14"/>
                <w:szCs w:val="14"/>
              </w:rPr>
              <w:t>13.04 ± 0.30</w:t>
            </w:r>
          </w:p>
        </w:tc>
      </w:tr>
      <w:tr w:rsidR="00EA43D8" w:rsidRPr="00EA43D8" w14:paraId="7F78F622" w14:textId="77777777" w:rsidTr="00924E6C">
        <w:trPr>
          <w:trHeight w:val="128"/>
        </w:trPr>
        <w:tc>
          <w:tcPr>
            <w:tcW w:w="2992" w:type="dxa"/>
            <w:tcBorders>
              <w:top w:val="nil"/>
              <w:left w:val="nil"/>
              <w:bottom w:val="nil"/>
              <w:right w:val="nil"/>
            </w:tcBorders>
          </w:tcPr>
          <w:p w14:paraId="783B1831" w14:textId="4A9C253E" w:rsidR="00EA43D8" w:rsidRPr="00EA43D8" w:rsidRDefault="00EA43D8"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 xml:space="preserve">Energy </w:t>
            </w:r>
          </w:p>
        </w:tc>
        <w:tc>
          <w:tcPr>
            <w:tcW w:w="1990" w:type="dxa"/>
            <w:tcBorders>
              <w:top w:val="nil"/>
              <w:left w:val="nil"/>
              <w:bottom w:val="nil"/>
              <w:right w:val="nil"/>
            </w:tcBorders>
            <w:vAlign w:val="center"/>
          </w:tcPr>
          <w:p w14:paraId="0E1BFA34" w14:textId="0DE03141" w:rsidR="00EA43D8" w:rsidRPr="00EA43D8" w:rsidRDefault="00EA43D8"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319.24 ± 1.87</w:t>
            </w:r>
          </w:p>
        </w:tc>
        <w:tc>
          <w:tcPr>
            <w:tcW w:w="1464" w:type="dxa"/>
            <w:tcBorders>
              <w:top w:val="nil"/>
              <w:left w:val="nil"/>
              <w:bottom w:val="nil"/>
              <w:right w:val="nil"/>
            </w:tcBorders>
            <w:vAlign w:val="center"/>
          </w:tcPr>
          <w:p w14:paraId="625A4DAB" w14:textId="53B62E56" w:rsidR="00EA43D8" w:rsidRPr="00EA43D8" w:rsidRDefault="00EA43D8"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315.78 ± 4.49</w:t>
            </w:r>
          </w:p>
        </w:tc>
        <w:tc>
          <w:tcPr>
            <w:tcW w:w="1723" w:type="dxa"/>
            <w:tcBorders>
              <w:top w:val="nil"/>
              <w:left w:val="nil"/>
              <w:bottom w:val="nil"/>
              <w:right w:val="nil"/>
            </w:tcBorders>
            <w:vAlign w:val="center"/>
          </w:tcPr>
          <w:p w14:paraId="3D627C7A" w14:textId="5FBC945B" w:rsidR="00EA43D8" w:rsidRPr="00EA43D8" w:rsidRDefault="00EA43D8" w:rsidP="004418FA">
            <w:pPr>
              <w:spacing w:line="480" w:lineRule="auto"/>
              <w:jc w:val="center"/>
              <w:rPr>
                <w:rFonts w:ascii="Arial" w:hAnsi="Arial" w:cs="Arial"/>
                <w:color w:val="000000" w:themeColor="text1"/>
                <w:sz w:val="14"/>
                <w:szCs w:val="14"/>
              </w:rPr>
            </w:pPr>
            <w:r w:rsidRPr="00EA43D8">
              <w:rPr>
                <w:rFonts w:ascii="Arial" w:hAnsi="Arial" w:cs="Arial"/>
                <w:color w:val="000000" w:themeColor="text1"/>
                <w:sz w:val="14"/>
                <w:szCs w:val="14"/>
              </w:rPr>
              <w:t>254.57 ± 1.13</w:t>
            </w:r>
          </w:p>
        </w:tc>
        <w:tc>
          <w:tcPr>
            <w:tcW w:w="1329" w:type="dxa"/>
            <w:tcBorders>
              <w:top w:val="nil"/>
              <w:left w:val="nil"/>
              <w:bottom w:val="nil"/>
              <w:right w:val="nil"/>
            </w:tcBorders>
            <w:vAlign w:val="center"/>
          </w:tcPr>
          <w:p w14:paraId="064E289E" w14:textId="27267957" w:rsidR="00EA43D8" w:rsidRPr="00EA43D8" w:rsidRDefault="00EA43D8" w:rsidP="004418FA">
            <w:pPr>
              <w:spacing w:line="480" w:lineRule="auto"/>
              <w:jc w:val="center"/>
              <w:rPr>
                <w:rFonts w:ascii="Arial" w:hAnsi="Arial" w:cs="Arial"/>
                <w:color w:val="000000" w:themeColor="text1"/>
                <w:sz w:val="14"/>
                <w:szCs w:val="14"/>
              </w:rPr>
            </w:pPr>
            <w:r w:rsidRPr="00EA43D8">
              <w:rPr>
                <w:rFonts w:ascii="Arial" w:hAnsi="Arial" w:cs="Arial"/>
                <w:color w:val="000000" w:themeColor="text1"/>
                <w:sz w:val="14"/>
                <w:szCs w:val="14"/>
              </w:rPr>
              <w:t>284.81 ± 2.49</w:t>
            </w:r>
          </w:p>
        </w:tc>
      </w:tr>
      <w:tr w:rsidR="004418FA" w:rsidRPr="00EA43D8" w14:paraId="4E3139F4" w14:textId="77777777" w:rsidTr="00AD0E71">
        <w:trPr>
          <w:trHeight w:val="314"/>
        </w:trPr>
        <w:tc>
          <w:tcPr>
            <w:tcW w:w="9498" w:type="dxa"/>
            <w:gridSpan w:val="5"/>
            <w:tcBorders>
              <w:top w:val="nil"/>
              <w:left w:val="nil"/>
              <w:bottom w:val="single" w:sz="4" w:space="0" w:color="auto"/>
              <w:right w:val="nil"/>
            </w:tcBorders>
            <w:vAlign w:val="bottom"/>
          </w:tcPr>
          <w:p w14:paraId="770321B6" w14:textId="6C14656E" w:rsidR="004418FA" w:rsidRPr="00EA43D8" w:rsidRDefault="004418FA" w:rsidP="005B40C9">
            <w:pPr>
              <w:spacing w:line="360" w:lineRule="auto"/>
              <w:rPr>
                <w:rFonts w:ascii="Arial" w:eastAsia="Times New Roman" w:hAnsi="Arial" w:cs="Arial"/>
                <w:color w:val="000000" w:themeColor="text1"/>
                <w:sz w:val="14"/>
                <w:szCs w:val="14"/>
                <w:lang w:eastAsia="fr-FR"/>
              </w:rPr>
            </w:pPr>
            <w:proofErr w:type="spellStart"/>
            <w:r w:rsidRPr="00EA43D8">
              <w:rPr>
                <w:rFonts w:ascii="Arial" w:hAnsi="Arial" w:cs="Arial"/>
                <w:b/>
                <w:color w:val="000000" w:themeColor="text1"/>
                <w:sz w:val="14"/>
                <w:szCs w:val="14"/>
              </w:rPr>
              <w:t>Mineral</w:t>
            </w:r>
            <w:proofErr w:type="spellEnd"/>
            <w:r w:rsidRPr="00EA43D8">
              <w:rPr>
                <w:rFonts w:ascii="Arial" w:hAnsi="Arial" w:cs="Arial"/>
                <w:b/>
                <w:color w:val="000000" w:themeColor="text1"/>
                <w:sz w:val="14"/>
                <w:szCs w:val="14"/>
              </w:rPr>
              <w:t xml:space="preserve"> content (mg/100 g DM)</w:t>
            </w:r>
          </w:p>
        </w:tc>
      </w:tr>
      <w:tr w:rsidR="004418FA" w:rsidRPr="00EA43D8" w14:paraId="1E99EDC3" w14:textId="77777777" w:rsidTr="00924E6C">
        <w:trPr>
          <w:trHeight w:val="137"/>
        </w:trPr>
        <w:tc>
          <w:tcPr>
            <w:tcW w:w="2992" w:type="dxa"/>
            <w:tcBorders>
              <w:left w:val="nil"/>
              <w:bottom w:val="nil"/>
              <w:right w:val="nil"/>
            </w:tcBorders>
          </w:tcPr>
          <w:p w14:paraId="518922C7" w14:textId="422CE754" w:rsidR="004418FA" w:rsidRPr="00EA43D8" w:rsidRDefault="004418FA" w:rsidP="00FB5A11">
            <w:pPr>
              <w:spacing w:before="240" w:line="480" w:lineRule="auto"/>
              <w:rPr>
                <w:rFonts w:ascii="Arial" w:hAnsi="Arial" w:cs="Arial"/>
                <w:color w:val="000000" w:themeColor="text1"/>
                <w:sz w:val="14"/>
                <w:szCs w:val="14"/>
              </w:rPr>
            </w:pPr>
            <w:proofErr w:type="spellStart"/>
            <w:r w:rsidRPr="00EA43D8">
              <w:rPr>
                <w:rFonts w:ascii="Arial" w:hAnsi="Arial" w:cs="Arial"/>
                <w:color w:val="000000" w:themeColor="text1"/>
                <w:sz w:val="14"/>
                <w:szCs w:val="14"/>
              </w:rPr>
              <w:t>Iron</w:t>
            </w:r>
            <w:proofErr w:type="spellEnd"/>
            <w:r w:rsidRPr="00EA43D8">
              <w:rPr>
                <w:rFonts w:ascii="Arial" w:hAnsi="Arial" w:cs="Arial"/>
                <w:color w:val="000000" w:themeColor="text1"/>
                <w:sz w:val="14"/>
                <w:szCs w:val="14"/>
              </w:rPr>
              <w:t xml:space="preserve"> (Fe)</w:t>
            </w:r>
          </w:p>
        </w:tc>
        <w:tc>
          <w:tcPr>
            <w:tcW w:w="1990" w:type="dxa"/>
            <w:tcBorders>
              <w:left w:val="nil"/>
              <w:bottom w:val="nil"/>
              <w:right w:val="nil"/>
            </w:tcBorders>
            <w:vAlign w:val="center"/>
          </w:tcPr>
          <w:p w14:paraId="1507FDAB" w14:textId="4FB35031" w:rsidR="004418FA" w:rsidRPr="00EA43D8" w:rsidRDefault="004418FA" w:rsidP="00FB5A11">
            <w:pPr>
              <w:spacing w:before="240"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0.96 </w:t>
            </w:r>
            <w:r w:rsidRPr="00EA43D8">
              <w:rPr>
                <w:rFonts w:ascii="Arial" w:hAnsi="Arial" w:cs="Arial"/>
                <w:color w:val="000000" w:themeColor="text1"/>
                <w:sz w:val="14"/>
                <w:szCs w:val="14"/>
              </w:rPr>
              <w:t>± 0.01</w:t>
            </w:r>
          </w:p>
        </w:tc>
        <w:tc>
          <w:tcPr>
            <w:tcW w:w="1464" w:type="dxa"/>
            <w:tcBorders>
              <w:left w:val="nil"/>
              <w:bottom w:val="nil"/>
              <w:right w:val="nil"/>
            </w:tcBorders>
            <w:vAlign w:val="center"/>
          </w:tcPr>
          <w:p w14:paraId="6E9B46A2" w14:textId="2D184277" w:rsidR="004418FA" w:rsidRPr="00EA43D8" w:rsidRDefault="004418FA" w:rsidP="00FB5A11">
            <w:pPr>
              <w:spacing w:before="240"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1.29 </w:t>
            </w:r>
            <w:bookmarkStart w:id="0" w:name="_Hlk195112385"/>
            <w:r w:rsidRPr="00EA43D8">
              <w:rPr>
                <w:rFonts w:ascii="Arial" w:hAnsi="Arial" w:cs="Arial"/>
                <w:color w:val="000000" w:themeColor="text1"/>
                <w:sz w:val="14"/>
                <w:szCs w:val="14"/>
              </w:rPr>
              <w:t>± 0.01</w:t>
            </w:r>
            <w:bookmarkEnd w:id="0"/>
          </w:p>
        </w:tc>
        <w:tc>
          <w:tcPr>
            <w:tcW w:w="1723" w:type="dxa"/>
            <w:tcBorders>
              <w:left w:val="nil"/>
              <w:bottom w:val="nil"/>
              <w:right w:val="nil"/>
            </w:tcBorders>
            <w:vAlign w:val="center"/>
          </w:tcPr>
          <w:p w14:paraId="55F1B9EC" w14:textId="16BAA0D5" w:rsidR="004418FA" w:rsidRPr="00EA43D8" w:rsidRDefault="004418FA" w:rsidP="00FB5A11">
            <w:pPr>
              <w:spacing w:before="240"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0.96 </w:t>
            </w:r>
            <w:r w:rsidRPr="00EA43D8">
              <w:rPr>
                <w:rFonts w:ascii="Arial" w:hAnsi="Arial" w:cs="Arial"/>
                <w:color w:val="000000" w:themeColor="text1"/>
                <w:sz w:val="14"/>
                <w:szCs w:val="14"/>
              </w:rPr>
              <w:t>± 0.01</w:t>
            </w:r>
          </w:p>
        </w:tc>
        <w:tc>
          <w:tcPr>
            <w:tcW w:w="1329" w:type="dxa"/>
            <w:tcBorders>
              <w:left w:val="nil"/>
              <w:bottom w:val="nil"/>
              <w:right w:val="nil"/>
            </w:tcBorders>
            <w:vAlign w:val="center"/>
          </w:tcPr>
          <w:p w14:paraId="3576835A" w14:textId="10B8B771" w:rsidR="004418FA" w:rsidRPr="00EA43D8" w:rsidRDefault="004418FA" w:rsidP="00FB5A11">
            <w:pPr>
              <w:spacing w:before="240"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0.96 </w:t>
            </w:r>
            <w:r w:rsidRPr="00EA43D8">
              <w:rPr>
                <w:rFonts w:ascii="Arial" w:hAnsi="Arial" w:cs="Arial"/>
                <w:color w:val="000000" w:themeColor="text1"/>
                <w:sz w:val="14"/>
                <w:szCs w:val="14"/>
              </w:rPr>
              <w:t>± 0.01</w:t>
            </w:r>
          </w:p>
        </w:tc>
      </w:tr>
      <w:tr w:rsidR="004418FA" w:rsidRPr="00EA43D8" w14:paraId="3F4B8AE8" w14:textId="77777777" w:rsidTr="00924E6C">
        <w:trPr>
          <w:trHeight w:val="312"/>
        </w:trPr>
        <w:tc>
          <w:tcPr>
            <w:tcW w:w="2992" w:type="dxa"/>
            <w:tcBorders>
              <w:top w:val="nil"/>
              <w:left w:val="nil"/>
              <w:bottom w:val="nil"/>
              <w:right w:val="nil"/>
            </w:tcBorders>
          </w:tcPr>
          <w:p w14:paraId="1243120E" w14:textId="19621609"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Zinc (Zn)</w:t>
            </w:r>
          </w:p>
        </w:tc>
        <w:tc>
          <w:tcPr>
            <w:tcW w:w="1990" w:type="dxa"/>
            <w:tcBorders>
              <w:top w:val="nil"/>
              <w:left w:val="nil"/>
              <w:bottom w:val="nil"/>
              <w:right w:val="nil"/>
            </w:tcBorders>
            <w:vAlign w:val="center"/>
          </w:tcPr>
          <w:p w14:paraId="3218701D" w14:textId="62F422A5"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0.93 </w:t>
            </w:r>
            <w:r w:rsidRPr="00EA43D8">
              <w:rPr>
                <w:rFonts w:ascii="Arial" w:hAnsi="Arial" w:cs="Arial"/>
                <w:color w:val="000000" w:themeColor="text1"/>
                <w:sz w:val="14"/>
                <w:szCs w:val="14"/>
              </w:rPr>
              <w:t>±</w:t>
            </w:r>
            <w:r w:rsidRPr="00EA43D8">
              <w:rPr>
                <w:rFonts w:ascii="Arial" w:eastAsia="Times New Roman" w:hAnsi="Arial" w:cs="Arial"/>
                <w:color w:val="000000" w:themeColor="text1"/>
                <w:sz w:val="14"/>
                <w:szCs w:val="14"/>
                <w:lang w:eastAsia="fr-FR"/>
              </w:rPr>
              <w:t xml:space="preserve"> 0.01</w:t>
            </w:r>
          </w:p>
        </w:tc>
        <w:tc>
          <w:tcPr>
            <w:tcW w:w="1464" w:type="dxa"/>
            <w:tcBorders>
              <w:top w:val="nil"/>
              <w:left w:val="nil"/>
              <w:bottom w:val="nil"/>
              <w:right w:val="nil"/>
            </w:tcBorders>
            <w:vAlign w:val="center"/>
          </w:tcPr>
          <w:p w14:paraId="6E91D7E2" w14:textId="4AE209CE"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bookmarkStart w:id="1" w:name="_Hlk195112422"/>
            <w:r w:rsidRPr="00EA43D8">
              <w:rPr>
                <w:rFonts w:ascii="Arial" w:eastAsia="Times New Roman" w:hAnsi="Arial" w:cs="Arial"/>
                <w:color w:val="000000" w:themeColor="text1"/>
                <w:sz w:val="14"/>
                <w:szCs w:val="14"/>
                <w:lang w:eastAsia="fr-FR"/>
              </w:rPr>
              <w:t xml:space="preserve">2.70 </w:t>
            </w:r>
            <w:r w:rsidRPr="00EA43D8">
              <w:rPr>
                <w:rFonts w:ascii="Arial" w:hAnsi="Arial" w:cs="Arial"/>
                <w:color w:val="000000" w:themeColor="text1"/>
                <w:sz w:val="14"/>
                <w:szCs w:val="14"/>
              </w:rPr>
              <w:t>± 0.02</w:t>
            </w:r>
            <w:bookmarkEnd w:id="1"/>
          </w:p>
        </w:tc>
        <w:tc>
          <w:tcPr>
            <w:tcW w:w="1723" w:type="dxa"/>
            <w:tcBorders>
              <w:top w:val="nil"/>
              <w:left w:val="nil"/>
              <w:bottom w:val="nil"/>
              <w:right w:val="nil"/>
            </w:tcBorders>
            <w:vAlign w:val="center"/>
          </w:tcPr>
          <w:p w14:paraId="6C13E0A6" w14:textId="5C9EF2F5"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0.93 </w:t>
            </w:r>
            <w:r w:rsidRPr="00EA43D8">
              <w:rPr>
                <w:rFonts w:ascii="Arial" w:hAnsi="Arial" w:cs="Arial"/>
                <w:color w:val="000000" w:themeColor="text1"/>
                <w:sz w:val="14"/>
                <w:szCs w:val="14"/>
              </w:rPr>
              <w:t>± 0.01</w:t>
            </w:r>
          </w:p>
        </w:tc>
        <w:tc>
          <w:tcPr>
            <w:tcW w:w="1329" w:type="dxa"/>
            <w:tcBorders>
              <w:top w:val="nil"/>
              <w:left w:val="nil"/>
              <w:bottom w:val="nil"/>
              <w:right w:val="nil"/>
            </w:tcBorders>
            <w:vAlign w:val="center"/>
          </w:tcPr>
          <w:p w14:paraId="519E41B5" w14:textId="58DB9A03"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0.93 </w:t>
            </w:r>
            <w:r w:rsidRPr="00EA43D8">
              <w:rPr>
                <w:rFonts w:ascii="Arial" w:hAnsi="Arial" w:cs="Arial"/>
                <w:color w:val="000000" w:themeColor="text1"/>
                <w:sz w:val="14"/>
                <w:szCs w:val="14"/>
              </w:rPr>
              <w:t>±</w:t>
            </w:r>
            <w:r w:rsidRPr="00EA43D8">
              <w:rPr>
                <w:rFonts w:ascii="Arial" w:eastAsia="Times New Roman" w:hAnsi="Arial" w:cs="Arial"/>
                <w:color w:val="000000" w:themeColor="text1"/>
                <w:sz w:val="14"/>
                <w:szCs w:val="14"/>
                <w:lang w:eastAsia="fr-FR"/>
              </w:rPr>
              <w:t xml:space="preserve"> 0.01</w:t>
            </w:r>
          </w:p>
        </w:tc>
      </w:tr>
      <w:tr w:rsidR="004418FA" w:rsidRPr="00EA43D8" w14:paraId="20E324FF" w14:textId="77777777" w:rsidTr="00924E6C">
        <w:trPr>
          <w:trHeight w:val="232"/>
        </w:trPr>
        <w:tc>
          <w:tcPr>
            <w:tcW w:w="2992" w:type="dxa"/>
            <w:tcBorders>
              <w:top w:val="nil"/>
              <w:left w:val="nil"/>
              <w:bottom w:val="nil"/>
              <w:right w:val="nil"/>
            </w:tcBorders>
          </w:tcPr>
          <w:p w14:paraId="501CAB11" w14:textId="7BB04C56"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Copper (Cu)</w:t>
            </w:r>
          </w:p>
        </w:tc>
        <w:tc>
          <w:tcPr>
            <w:tcW w:w="1990" w:type="dxa"/>
            <w:tcBorders>
              <w:top w:val="nil"/>
              <w:left w:val="nil"/>
              <w:bottom w:val="nil"/>
              <w:right w:val="nil"/>
            </w:tcBorders>
            <w:vAlign w:val="center"/>
          </w:tcPr>
          <w:p w14:paraId="76DB7B45" w14:textId="356D8AFC"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3.08 </w:t>
            </w:r>
            <w:r w:rsidRPr="00EA43D8">
              <w:rPr>
                <w:rFonts w:ascii="Arial" w:hAnsi="Arial" w:cs="Arial"/>
                <w:color w:val="000000" w:themeColor="text1"/>
                <w:sz w:val="14"/>
                <w:szCs w:val="14"/>
              </w:rPr>
              <w:t>± 0.01</w:t>
            </w:r>
          </w:p>
        </w:tc>
        <w:tc>
          <w:tcPr>
            <w:tcW w:w="1464" w:type="dxa"/>
            <w:tcBorders>
              <w:top w:val="nil"/>
              <w:left w:val="nil"/>
              <w:bottom w:val="nil"/>
              <w:right w:val="nil"/>
            </w:tcBorders>
            <w:vAlign w:val="center"/>
          </w:tcPr>
          <w:p w14:paraId="5D150CF0" w14:textId="4679B63F"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11.24 </w:t>
            </w:r>
            <w:r w:rsidRPr="00EA43D8">
              <w:rPr>
                <w:rFonts w:ascii="Arial" w:hAnsi="Arial" w:cs="Arial"/>
                <w:color w:val="000000" w:themeColor="text1"/>
                <w:sz w:val="14"/>
                <w:szCs w:val="14"/>
              </w:rPr>
              <w:t>± 0.20</w:t>
            </w:r>
          </w:p>
        </w:tc>
        <w:tc>
          <w:tcPr>
            <w:tcW w:w="1723" w:type="dxa"/>
            <w:tcBorders>
              <w:top w:val="nil"/>
              <w:left w:val="nil"/>
              <w:bottom w:val="nil"/>
              <w:right w:val="nil"/>
            </w:tcBorders>
            <w:vAlign w:val="center"/>
          </w:tcPr>
          <w:p w14:paraId="0B9E2B3B" w14:textId="46515A6A"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19.45 </w:t>
            </w:r>
            <w:r w:rsidRPr="00EA43D8">
              <w:rPr>
                <w:rFonts w:ascii="Arial" w:hAnsi="Arial" w:cs="Arial"/>
                <w:color w:val="000000" w:themeColor="text1"/>
                <w:sz w:val="14"/>
                <w:szCs w:val="14"/>
              </w:rPr>
              <w:t>± 0.20</w:t>
            </w:r>
          </w:p>
        </w:tc>
        <w:tc>
          <w:tcPr>
            <w:tcW w:w="1329" w:type="dxa"/>
            <w:tcBorders>
              <w:top w:val="nil"/>
              <w:left w:val="nil"/>
              <w:bottom w:val="nil"/>
              <w:right w:val="nil"/>
            </w:tcBorders>
            <w:vAlign w:val="center"/>
          </w:tcPr>
          <w:p w14:paraId="4DED3A51" w14:textId="3A0671F2"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5.80 </w:t>
            </w:r>
            <w:r w:rsidRPr="00EA43D8">
              <w:rPr>
                <w:rFonts w:ascii="Arial" w:hAnsi="Arial" w:cs="Arial"/>
                <w:color w:val="000000" w:themeColor="text1"/>
                <w:sz w:val="14"/>
                <w:szCs w:val="14"/>
              </w:rPr>
              <w:t>± 0.02</w:t>
            </w:r>
          </w:p>
        </w:tc>
      </w:tr>
      <w:tr w:rsidR="004418FA" w:rsidRPr="00EA43D8" w14:paraId="46C94676" w14:textId="77777777" w:rsidTr="00924E6C">
        <w:trPr>
          <w:trHeight w:val="124"/>
        </w:trPr>
        <w:tc>
          <w:tcPr>
            <w:tcW w:w="2992" w:type="dxa"/>
            <w:tcBorders>
              <w:top w:val="nil"/>
              <w:left w:val="nil"/>
              <w:bottom w:val="nil"/>
              <w:right w:val="nil"/>
            </w:tcBorders>
          </w:tcPr>
          <w:p w14:paraId="450F0FDF" w14:textId="244E17CC"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Calcium (Ca)</w:t>
            </w:r>
          </w:p>
        </w:tc>
        <w:tc>
          <w:tcPr>
            <w:tcW w:w="1990" w:type="dxa"/>
            <w:tcBorders>
              <w:top w:val="nil"/>
              <w:left w:val="nil"/>
              <w:bottom w:val="nil"/>
              <w:right w:val="nil"/>
            </w:tcBorders>
            <w:vAlign w:val="center"/>
          </w:tcPr>
          <w:p w14:paraId="6DE0B18E" w14:textId="62F3C081"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1120.00 </w:t>
            </w:r>
            <w:r w:rsidRPr="00EA43D8">
              <w:rPr>
                <w:rFonts w:ascii="Arial" w:hAnsi="Arial" w:cs="Arial"/>
                <w:color w:val="000000" w:themeColor="text1"/>
                <w:sz w:val="14"/>
                <w:szCs w:val="14"/>
                <w:lang w:val="en-US"/>
              </w:rPr>
              <w:t>± 2.03</w:t>
            </w:r>
          </w:p>
        </w:tc>
        <w:tc>
          <w:tcPr>
            <w:tcW w:w="1464" w:type="dxa"/>
            <w:tcBorders>
              <w:top w:val="nil"/>
              <w:left w:val="nil"/>
              <w:bottom w:val="nil"/>
              <w:right w:val="nil"/>
            </w:tcBorders>
            <w:vAlign w:val="center"/>
          </w:tcPr>
          <w:p w14:paraId="600882BB" w14:textId="3C2CF512"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1760.00 </w:t>
            </w:r>
            <w:r w:rsidRPr="00EA43D8">
              <w:rPr>
                <w:rFonts w:ascii="Arial" w:hAnsi="Arial" w:cs="Arial"/>
                <w:color w:val="000000" w:themeColor="text1"/>
                <w:sz w:val="14"/>
                <w:szCs w:val="14"/>
                <w:lang w:val="en-US"/>
              </w:rPr>
              <w:t>± 3.03</w:t>
            </w:r>
          </w:p>
        </w:tc>
        <w:tc>
          <w:tcPr>
            <w:tcW w:w="1723" w:type="dxa"/>
            <w:tcBorders>
              <w:top w:val="nil"/>
              <w:left w:val="nil"/>
              <w:bottom w:val="nil"/>
              <w:right w:val="nil"/>
            </w:tcBorders>
            <w:vAlign w:val="center"/>
          </w:tcPr>
          <w:p w14:paraId="418C1A5F" w14:textId="23C29612"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1760.00 </w:t>
            </w:r>
            <w:r w:rsidRPr="00EA43D8">
              <w:rPr>
                <w:rFonts w:ascii="Arial" w:hAnsi="Arial" w:cs="Arial"/>
                <w:color w:val="000000" w:themeColor="text1"/>
                <w:sz w:val="14"/>
                <w:szCs w:val="14"/>
              </w:rPr>
              <w:t>± 3.20</w:t>
            </w:r>
          </w:p>
        </w:tc>
        <w:tc>
          <w:tcPr>
            <w:tcW w:w="1329" w:type="dxa"/>
            <w:tcBorders>
              <w:top w:val="nil"/>
              <w:left w:val="nil"/>
              <w:bottom w:val="nil"/>
              <w:right w:val="nil"/>
            </w:tcBorders>
            <w:vAlign w:val="center"/>
          </w:tcPr>
          <w:p w14:paraId="36DC9191" w14:textId="7B0404E8"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1280.00 </w:t>
            </w:r>
            <w:r w:rsidRPr="00EA43D8">
              <w:rPr>
                <w:rFonts w:ascii="Arial" w:hAnsi="Arial" w:cs="Arial"/>
                <w:color w:val="000000" w:themeColor="text1"/>
                <w:sz w:val="14"/>
                <w:szCs w:val="14"/>
                <w:lang w:val="en-US"/>
              </w:rPr>
              <w:t>± 2.30</w:t>
            </w:r>
          </w:p>
        </w:tc>
      </w:tr>
      <w:tr w:rsidR="004418FA" w:rsidRPr="00EA43D8" w14:paraId="0FA61847" w14:textId="77777777" w:rsidTr="00924E6C">
        <w:trPr>
          <w:trHeight w:val="186"/>
        </w:trPr>
        <w:tc>
          <w:tcPr>
            <w:tcW w:w="2992" w:type="dxa"/>
            <w:tcBorders>
              <w:top w:val="nil"/>
              <w:left w:val="nil"/>
              <w:bottom w:val="nil"/>
              <w:right w:val="nil"/>
            </w:tcBorders>
          </w:tcPr>
          <w:p w14:paraId="32A0EE17" w14:textId="643D2659"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lang w:val="en-US"/>
              </w:rPr>
              <w:t>Magnesium (Mg)</w:t>
            </w:r>
          </w:p>
        </w:tc>
        <w:tc>
          <w:tcPr>
            <w:tcW w:w="1990" w:type="dxa"/>
            <w:tcBorders>
              <w:top w:val="nil"/>
              <w:left w:val="nil"/>
              <w:bottom w:val="nil"/>
              <w:right w:val="nil"/>
            </w:tcBorders>
            <w:vAlign w:val="center"/>
          </w:tcPr>
          <w:p w14:paraId="62DABE4C" w14:textId="18F51E18"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58.32 </w:t>
            </w:r>
            <w:r w:rsidRPr="00EA43D8">
              <w:rPr>
                <w:rFonts w:ascii="Arial" w:hAnsi="Arial" w:cs="Arial"/>
                <w:color w:val="000000" w:themeColor="text1"/>
                <w:sz w:val="14"/>
                <w:szCs w:val="14"/>
                <w:lang w:val="en-US"/>
              </w:rPr>
              <w:t>± 1.19</w:t>
            </w:r>
          </w:p>
        </w:tc>
        <w:tc>
          <w:tcPr>
            <w:tcW w:w="1464" w:type="dxa"/>
            <w:tcBorders>
              <w:top w:val="nil"/>
              <w:left w:val="nil"/>
              <w:bottom w:val="nil"/>
              <w:right w:val="nil"/>
            </w:tcBorders>
            <w:vAlign w:val="center"/>
          </w:tcPr>
          <w:p w14:paraId="7CC3508F" w14:textId="0E903891"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bookmarkStart w:id="2" w:name="_Hlk195112448"/>
            <w:r w:rsidRPr="00EA43D8">
              <w:rPr>
                <w:rFonts w:ascii="Arial" w:eastAsia="Times New Roman" w:hAnsi="Arial" w:cs="Arial"/>
                <w:color w:val="000000" w:themeColor="text1"/>
                <w:sz w:val="14"/>
                <w:szCs w:val="14"/>
                <w:lang w:val="en-US" w:eastAsia="fr-FR"/>
              </w:rPr>
              <w:t xml:space="preserve">257.58 </w:t>
            </w:r>
            <w:r w:rsidRPr="00EA43D8">
              <w:rPr>
                <w:rFonts w:ascii="Arial" w:hAnsi="Arial" w:cs="Arial"/>
                <w:color w:val="000000" w:themeColor="text1"/>
                <w:sz w:val="14"/>
                <w:szCs w:val="14"/>
                <w:lang w:val="en-US"/>
              </w:rPr>
              <w:t>± 2.34</w:t>
            </w:r>
            <w:bookmarkEnd w:id="2"/>
          </w:p>
        </w:tc>
        <w:tc>
          <w:tcPr>
            <w:tcW w:w="1723" w:type="dxa"/>
            <w:tcBorders>
              <w:top w:val="nil"/>
              <w:left w:val="nil"/>
              <w:bottom w:val="nil"/>
              <w:right w:val="nil"/>
            </w:tcBorders>
            <w:vAlign w:val="center"/>
          </w:tcPr>
          <w:p w14:paraId="6BF66DD1" w14:textId="4DD6CED8"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165.24 </w:t>
            </w:r>
            <w:r w:rsidRPr="00EA43D8">
              <w:rPr>
                <w:rFonts w:ascii="Arial" w:hAnsi="Arial" w:cs="Arial"/>
                <w:color w:val="000000" w:themeColor="text1"/>
                <w:sz w:val="14"/>
                <w:szCs w:val="14"/>
                <w:lang w:val="en-US"/>
              </w:rPr>
              <w:t>± 1.30</w:t>
            </w:r>
          </w:p>
        </w:tc>
        <w:tc>
          <w:tcPr>
            <w:tcW w:w="1329" w:type="dxa"/>
            <w:tcBorders>
              <w:top w:val="nil"/>
              <w:left w:val="nil"/>
              <w:bottom w:val="nil"/>
              <w:right w:val="nil"/>
            </w:tcBorders>
            <w:vAlign w:val="center"/>
          </w:tcPr>
          <w:p w14:paraId="67DFCC1B" w14:textId="44CA08D7"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9.72 </w:t>
            </w:r>
            <w:r w:rsidRPr="00EA43D8">
              <w:rPr>
                <w:rFonts w:ascii="Arial" w:hAnsi="Arial" w:cs="Arial"/>
                <w:color w:val="000000" w:themeColor="text1"/>
                <w:sz w:val="14"/>
                <w:szCs w:val="14"/>
                <w:lang w:val="en-US"/>
              </w:rPr>
              <w:t>± 0.15</w:t>
            </w:r>
          </w:p>
        </w:tc>
      </w:tr>
      <w:tr w:rsidR="004418FA" w:rsidRPr="00EA43D8" w14:paraId="6D65104E" w14:textId="77777777" w:rsidTr="00924E6C">
        <w:trPr>
          <w:trHeight w:val="220"/>
        </w:trPr>
        <w:tc>
          <w:tcPr>
            <w:tcW w:w="2992" w:type="dxa"/>
            <w:tcBorders>
              <w:top w:val="nil"/>
              <w:left w:val="nil"/>
              <w:bottom w:val="nil"/>
              <w:right w:val="nil"/>
            </w:tcBorders>
          </w:tcPr>
          <w:p w14:paraId="71FE27EB" w14:textId="15C1E7D1"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lang w:val="en-US"/>
              </w:rPr>
              <w:t>Phosphorus (P)</w:t>
            </w:r>
          </w:p>
        </w:tc>
        <w:tc>
          <w:tcPr>
            <w:tcW w:w="1990" w:type="dxa"/>
            <w:tcBorders>
              <w:top w:val="nil"/>
              <w:left w:val="nil"/>
              <w:bottom w:val="nil"/>
              <w:right w:val="nil"/>
            </w:tcBorders>
            <w:vAlign w:val="center"/>
          </w:tcPr>
          <w:p w14:paraId="3E4E5131" w14:textId="4AE6E9E2"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36.16 </w:t>
            </w:r>
            <w:r w:rsidRPr="00EA43D8">
              <w:rPr>
                <w:rFonts w:ascii="Arial" w:hAnsi="Arial" w:cs="Arial"/>
                <w:color w:val="000000" w:themeColor="text1"/>
                <w:sz w:val="14"/>
                <w:szCs w:val="14"/>
              </w:rPr>
              <w:t>± 1.34</w:t>
            </w:r>
          </w:p>
        </w:tc>
        <w:tc>
          <w:tcPr>
            <w:tcW w:w="1464" w:type="dxa"/>
            <w:tcBorders>
              <w:top w:val="nil"/>
              <w:left w:val="nil"/>
              <w:bottom w:val="nil"/>
              <w:right w:val="nil"/>
            </w:tcBorders>
            <w:vAlign w:val="center"/>
          </w:tcPr>
          <w:p w14:paraId="5D8D9127" w14:textId="17A75C58"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302.57 </w:t>
            </w:r>
            <w:r w:rsidRPr="00EA43D8">
              <w:rPr>
                <w:rFonts w:ascii="Arial" w:hAnsi="Arial" w:cs="Arial"/>
                <w:color w:val="000000" w:themeColor="text1"/>
                <w:sz w:val="14"/>
                <w:szCs w:val="14"/>
              </w:rPr>
              <w:t>± 1.28</w:t>
            </w:r>
          </w:p>
        </w:tc>
        <w:tc>
          <w:tcPr>
            <w:tcW w:w="1723" w:type="dxa"/>
            <w:tcBorders>
              <w:top w:val="nil"/>
              <w:left w:val="nil"/>
              <w:bottom w:val="nil"/>
              <w:right w:val="nil"/>
            </w:tcBorders>
            <w:vAlign w:val="center"/>
          </w:tcPr>
          <w:p w14:paraId="1B066288" w14:textId="0A8E5C43"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300.31 </w:t>
            </w:r>
            <w:r w:rsidRPr="00EA43D8">
              <w:rPr>
                <w:rFonts w:ascii="Arial" w:hAnsi="Arial" w:cs="Arial"/>
                <w:color w:val="000000" w:themeColor="text1"/>
                <w:sz w:val="14"/>
                <w:szCs w:val="14"/>
                <w:lang w:val="en-US"/>
              </w:rPr>
              <w:t>± 3.98</w:t>
            </w:r>
          </w:p>
        </w:tc>
        <w:tc>
          <w:tcPr>
            <w:tcW w:w="1329" w:type="dxa"/>
            <w:tcBorders>
              <w:top w:val="nil"/>
              <w:left w:val="nil"/>
              <w:bottom w:val="nil"/>
              <w:right w:val="nil"/>
            </w:tcBorders>
            <w:vAlign w:val="center"/>
          </w:tcPr>
          <w:p w14:paraId="5EFEBB52" w14:textId="127623F9"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6.30 </w:t>
            </w:r>
            <w:r w:rsidRPr="00EA43D8">
              <w:rPr>
                <w:rFonts w:ascii="Arial" w:hAnsi="Arial" w:cs="Arial"/>
                <w:color w:val="000000" w:themeColor="text1"/>
                <w:sz w:val="14"/>
                <w:szCs w:val="14"/>
                <w:lang w:val="en-US"/>
              </w:rPr>
              <w:t>± 0.</w:t>
            </w:r>
            <w:r w:rsidRPr="00EA43D8">
              <w:rPr>
                <w:rFonts w:ascii="Arial" w:hAnsi="Arial" w:cs="Arial"/>
                <w:color w:val="000000" w:themeColor="text1"/>
                <w:sz w:val="14"/>
                <w:szCs w:val="14"/>
              </w:rPr>
              <w:t>20</w:t>
            </w:r>
          </w:p>
        </w:tc>
      </w:tr>
      <w:tr w:rsidR="004418FA" w:rsidRPr="00EA43D8" w14:paraId="129A1C7F" w14:textId="77777777" w:rsidTr="00924E6C">
        <w:trPr>
          <w:trHeight w:val="410"/>
        </w:trPr>
        <w:tc>
          <w:tcPr>
            <w:tcW w:w="2992" w:type="dxa"/>
            <w:tcBorders>
              <w:top w:val="nil"/>
              <w:left w:val="nil"/>
              <w:bottom w:val="nil"/>
              <w:right w:val="nil"/>
            </w:tcBorders>
          </w:tcPr>
          <w:p w14:paraId="592F602B" w14:textId="594ED2AF"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Potassium (K)</w:t>
            </w:r>
          </w:p>
        </w:tc>
        <w:tc>
          <w:tcPr>
            <w:tcW w:w="1990" w:type="dxa"/>
            <w:tcBorders>
              <w:top w:val="nil"/>
              <w:left w:val="nil"/>
              <w:bottom w:val="nil"/>
              <w:right w:val="nil"/>
            </w:tcBorders>
            <w:vAlign w:val="center"/>
          </w:tcPr>
          <w:p w14:paraId="098937C1" w14:textId="3FF56B80"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1139.32 </w:t>
            </w:r>
            <w:r w:rsidRPr="00EA43D8">
              <w:rPr>
                <w:rFonts w:ascii="Arial" w:hAnsi="Arial" w:cs="Arial"/>
                <w:color w:val="000000" w:themeColor="text1"/>
                <w:sz w:val="14"/>
                <w:szCs w:val="14"/>
              </w:rPr>
              <w:t>± 1.23</w:t>
            </w:r>
          </w:p>
        </w:tc>
        <w:tc>
          <w:tcPr>
            <w:tcW w:w="1464" w:type="dxa"/>
            <w:tcBorders>
              <w:top w:val="nil"/>
              <w:left w:val="nil"/>
              <w:bottom w:val="nil"/>
              <w:right w:val="nil"/>
            </w:tcBorders>
            <w:vAlign w:val="center"/>
          </w:tcPr>
          <w:p w14:paraId="702C8A54" w14:textId="4529E4DE"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bookmarkStart w:id="3" w:name="_Hlk195112516"/>
            <w:r w:rsidRPr="00EA43D8">
              <w:rPr>
                <w:rFonts w:ascii="Arial" w:eastAsia="Times New Roman" w:hAnsi="Arial" w:cs="Arial"/>
                <w:color w:val="000000" w:themeColor="text1"/>
                <w:sz w:val="14"/>
                <w:szCs w:val="14"/>
                <w:lang w:eastAsia="fr-FR"/>
              </w:rPr>
              <w:t xml:space="preserve">2684.62 </w:t>
            </w:r>
            <w:r w:rsidRPr="00EA43D8">
              <w:rPr>
                <w:rFonts w:ascii="Arial" w:hAnsi="Arial" w:cs="Arial"/>
                <w:color w:val="000000" w:themeColor="text1"/>
                <w:sz w:val="14"/>
                <w:szCs w:val="14"/>
              </w:rPr>
              <w:t>± 2.43</w:t>
            </w:r>
            <w:bookmarkEnd w:id="3"/>
          </w:p>
        </w:tc>
        <w:tc>
          <w:tcPr>
            <w:tcW w:w="1723" w:type="dxa"/>
            <w:tcBorders>
              <w:top w:val="nil"/>
              <w:left w:val="nil"/>
              <w:bottom w:val="nil"/>
              <w:right w:val="nil"/>
            </w:tcBorders>
            <w:vAlign w:val="center"/>
          </w:tcPr>
          <w:p w14:paraId="77C3A097" w14:textId="733DEA8B"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2466.43 </w:t>
            </w:r>
            <w:r w:rsidRPr="00EA43D8">
              <w:rPr>
                <w:rFonts w:ascii="Arial" w:hAnsi="Arial" w:cs="Arial"/>
                <w:color w:val="000000" w:themeColor="text1"/>
                <w:sz w:val="14"/>
                <w:szCs w:val="14"/>
              </w:rPr>
              <w:t>± 3.23</w:t>
            </w:r>
          </w:p>
        </w:tc>
        <w:tc>
          <w:tcPr>
            <w:tcW w:w="1329" w:type="dxa"/>
            <w:tcBorders>
              <w:top w:val="nil"/>
              <w:left w:val="nil"/>
              <w:bottom w:val="nil"/>
              <w:right w:val="nil"/>
            </w:tcBorders>
            <w:vAlign w:val="center"/>
          </w:tcPr>
          <w:p w14:paraId="26F4A63C" w14:textId="295BC4CB"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1866.53 </w:t>
            </w:r>
            <w:r w:rsidRPr="00EA43D8">
              <w:rPr>
                <w:rFonts w:ascii="Arial" w:hAnsi="Arial" w:cs="Arial"/>
                <w:color w:val="000000" w:themeColor="text1"/>
                <w:sz w:val="14"/>
                <w:szCs w:val="14"/>
              </w:rPr>
              <w:t>± 3.40</w:t>
            </w:r>
          </w:p>
        </w:tc>
      </w:tr>
      <w:tr w:rsidR="004418FA" w:rsidRPr="00EA43D8" w14:paraId="61CD6640" w14:textId="77777777" w:rsidTr="00924E6C">
        <w:trPr>
          <w:trHeight w:val="273"/>
        </w:trPr>
        <w:tc>
          <w:tcPr>
            <w:tcW w:w="2992" w:type="dxa"/>
            <w:tcBorders>
              <w:top w:val="nil"/>
              <w:left w:val="nil"/>
              <w:bottom w:val="nil"/>
              <w:right w:val="nil"/>
            </w:tcBorders>
          </w:tcPr>
          <w:p w14:paraId="3D43FFAA" w14:textId="4099619C"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Sodium (Na)</w:t>
            </w:r>
          </w:p>
        </w:tc>
        <w:tc>
          <w:tcPr>
            <w:tcW w:w="1990" w:type="dxa"/>
            <w:tcBorders>
              <w:top w:val="nil"/>
              <w:left w:val="nil"/>
              <w:bottom w:val="nil"/>
              <w:right w:val="nil"/>
            </w:tcBorders>
            <w:vAlign w:val="center"/>
          </w:tcPr>
          <w:p w14:paraId="74B3FA31" w14:textId="57426A8C"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73.92 </w:t>
            </w:r>
            <w:r w:rsidRPr="00EA43D8">
              <w:rPr>
                <w:rFonts w:ascii="Arial" w:hAnsi="Arial" w:cs="Arial"/>
                <w:color w:val="000000" w:themeColor="text1"/>
                <w:sz w:val="14"/>
                <w:szCs w:val="14"/>
              </w:rPr>
              <w:t>± 1.08</w:t>
            </w:r>
          </w:p>
        </w:tc>
        <w:tc>
          <w:tcPr>
            <w:tcW w:w="1464" w:type="dxa"/>
            <w:tcBorders>
              <w:top w:val="nil"/>
              <w:left w:val="nil"/>
              <w:bottom w:val="nil"/>
              <w:right w:val="nil"/>
            </w:tcBorders>
            <w:vAlign w:val="center"/>
          </w:tcPr>
          <w:p w14:paraId="3792170C" w14:textId="29FE64A3"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bookmarkStart w:id="4" w:name="_Hlk195112550"/>
            <w:r w:rsidRPr="00EA43D8">
              <w:rPr>
                <w:rFonts w:ascii="Arial" w:eastAsia="Times New Roman" w:hAnsi="Arial" w:cs="Arial"/>
                <w:color w:val="000000" w:themeColor="text1"/>
                <w:sz w:val="14"/>
                <w:szCs w:val="14"/>
                <w:lang w:eastAsia="fr-FR"/>
              </w:rPr>
              <w:t xml:space="preserve">153.63 </w:t>
            </w:r>
            <w:r w:rsidRPr="00EA43D8">
              <w:rPr>
                <w:rFonts w:ascii="Arial" w:hAnsi="Arial" w:cs="Arial"/>
                <w:color w:val="000000" w:themeColor="text1"/>
                <w:sz w:val="14"/>
                <w:szCs w:val="14"/>
              </w:rPr>
              <w:t>± 2.78</w:t>
            </w:r>
            <w:bookmarkEnd w:id="4"/>
          </w:p>
        </w:tc>
        <w:tc>
          <w:tcPr>
            <w:tcW w:w="1723" w:type="dxa"/>
            <w:tcBorders>
              <w:top w:val="nil"/>
              <w:left w:val="nil"/>
              <w:bottom w:val="nil"/>
              <w:right w:val="nil"/>
            </w:tcBorders>
            <w:vAlign w:val="center"/>
          </w:tcPr>
          <w:p w14:paraId="7A8AFAE7" w14:textId="1F678AA6"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142.20 </w:t>
            </w:r>
            <w:r w:rsidRPr="00EA43D8">
              <w:rPr>
                <w:rFonts w:ascii="Arial" w:hAnsi="Arial" w:cs="Arial"/>
                <w:color w:val="000000" w:themeColor="text1"/>
                <w:sz w:val="14"/>
                <w:szCs w:val="14"/>
              </w:rPr>
              <w:t>± 1.23</w:t>
            </w:r>
          </w:p>
        </w:tc>
        <w:tc>
          <w:tcPr>
            <w:tcW w:w="1329" w:type="dxa"/>
            <w:tcBorders>
              <w:top w:val="nil"/>
              <w:left w:val="nil"/>
              <w:bottom w:val="nil"/>
              <w:right w:val="nil"/>
            </w:tcBorders>
            <w:vAlign w:val="center"/>
          </w:tcPr>
          <w:p w14:paraId="40C85E10" w14:textId="623EB614"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eastAsia="fr-FR"/>
              </w:rPr>
              <w:t xml:space="preserve">110.39 </w:t>
            </w:r>
            <w:r w:rsidRPr="00EA43D8">
              <w:rPr>
                <w:rFonts w:ascii="Arial" w:hAnsi="Arial" w:cs="Arial"/>
                <w:color w:val="000000" w:themeColor="text1"/>
                <w:sz w:val="14"/>
                <w:szCs w:val="14"/>
              </w:rPr>
              <w:t>± 2.01</w:t>
            </w:r>
          </w:p>
        </w:tc>
      </w:tr>
      <w:tr w:rsidR="004418FA" w:rsidRPr="00EA43D8" w14:paraId="46852A3B" w14:textId="77777777" w:rsidTr="005B40C9">
        <w:trPr>
          <w:trHeight w:val="254"/>
        </w:trPr>
        <w:tc>
          <w:tcPr>
            <w:tcW w:w="9498" w:type="dxa"/>
            <w:gridSpan w:val="5"/>
            <w:tcBorders>
              <w:top w:val="nil"/>
              <w:left w:val="nil"/>
              <w:bottom w:val="single" w:sz="4" w:space="0" w:color="auto"/>
              <w:right w:val="nil"/>
            </w:tcBorders>
            <w:vAlign w:val="bottom"/>
          </w:tcPr>
          <w:p w14:paraId="344B443A" w14:textId="43E3CB1E" w:rsidR="004418FA" w:rsidRPr="00EA43D8" w:rsidRDefault="0044525C" w:rsidP="005B40C9">
            <w:pPr>
              <w:spacing w:line="276" w:lineRule="auto"/>
              <w:rPr>
                <w:rFonts w:ascii="Arial" w:eastAsia="Times New Roman" w:hAnsi="Arial" w:cs="Arial"/>
                <w:b/>
                <w:bCs/>
                <w:color w:val="000000" w:themeColor="text1"/>
                <w:sz w:val="14"/>
                <w:szCs w:val="14"/>
                <w:lang w:val="en-US" w:eastAsia="fr-FR"/>
              </w:rPr>
            </w:pPr>
            <w:r w:rsidRPr="00EA43D8">
              <w:rPr>
                <w:rFonts w:ascii="Arial" w:eastAsia="Times New Roman" w:hAnsi="Arial" w:cs="Arial"/>
                <w:b/>
                <w:bCs/>
                <w:sz w:val="14"/>
                <w:szCs w:val="14"/>
                <w:lang w:eastAsia="fr-FR"/>
              </w:rPr>
              <w:t>Bioactive</w:t>
            </w:r>
            <w:r w:rsidR="004418FA" w:rsidRPr="00EA43D8">
              <w:rPr>
                <w:rFonts w:ascii="Arial" w:eastAsia="Times New Roman" w:hAnsi="Arial" w:cs="Arial"/>
                <w:b/>
                <w:bCs/>
                <w:sz w:val="14"/>
                <w:szCs w:val="14"/>
                <w:lang w:eastAsia="fr-FR"/>
              </w:rPr>
              <w:t xml:space="preserve"> compounds </w:t>
            </w:r>
          </w:p>
        </w:tc>
      </w:tr>
      <w:tr w:rsidR="004418FA" w:rsidRPr="00EA43D8" w14:paraId="7DEDA292" w14:textId="77777777" w:rsidTr="00EB03D6">
        <w:trPr>
          <w:trHeight w:val="233"/>
        </w:trPr>
        <w:tc>
          <w:tcPr>
            <w:tcW w:w="2992" w:type="dxa"/>
            <w:tcBorders>
              <w:left w:val="nil"/>
              <w:bottom w:val="nil"/>
              <w:right w:val="nil"/>
            </w:tcBorders>
            <w:vAlign w:val="center"/>
          </w:tcPr>
          <w:p w14:paraId="7DB1E602" w14:textId="373BE409" w:rsidR="004418FA" w:rsidRPr="00EA43D8" w:rsidRDefault="004418FA" w:rsidP="00EB03D6">
            <w:pPr>
              <w:spacing w:before="240" w:line="480" w:lineRule="auto"/>
              <w:rPr>
                <w:rFonts w:ascii="Arial" w:hAnsi="Arial" w:cs="Arial"/>
                <w:color w:val="000000" w:themeColor="text1"/>
                <w:sz w:val="14"/>
                <w:szCs w:val="14"/>
                <w:lang w:val="en-US"/>
              </w:rPr>
            </w:pPr>
            <w:r w:rsidRPr="00EA43D8">
              <w:rPr>
                <w:rFonts w:ascii="Arial" w:hAnsi="Arial" w:cs="Arial"/>
                <w:color w:val="000000" w:themeColor="text1"/>
                <w:sz w:val="14"/>
                <w:szCs w:val="14"/>
                <w:lang w:val="en-US"/>
              </w:rPr>
              <w:t>Total polyphenols (mg GAE/g DM)</w:t>
            </w:r>
          </w:p>
        </w:tc>
        <w:tc>
          <w:tcPr>
            <w:tcW w:w="1990" w:type="dxa"/>
            <w:tcBorders>
              <w:left w:val="nil"/>
              <w:bottom w:val="nil"/>
              <w:right w:val="nil"/>
            </w:tcBorders>
            <w:vAlign w:val="bottom"/>
          </w:tcPr>
          <w:p w14:paraId="2CD1CCFE" w14:textId="6264C33A" w:rsidR="004418FA" w:rsidRPr="00EA43D8" w:rsidRDefault="004418FA" w:rsidP="00EB03D6">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4.28 ± 0.10</w:t>
            </w:r>
          </w:p>
        </w:tc>
        <w:tc>
          <w:tcPr>
            <w:tcW w:w="1464" w:type="dxa"/>
            <w:tcBorders>
              <w:left w:val="nil"/>
              <w:bottom w:val="nil"/>
              <w:right w:val="nil"/>
            </w:tcBorders>
            <w:vAlign w:val="bottom"/>
          </w:tcPr>
          <w:p w14:paraId="07B20644" w14:textId="62015CD9" w:rsidR="004418FA" w:rsidRPr="00EA43D8" w:rsidRDefault="004418FA" w:rsidP="00EB03D6">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95.10 ± 1.04</w:t>
            </w:r>
          </w:p>
        </w:tc>
        <w:tc>
          <w:tcPr>
            <w:tcW w:w="1723" w:type="dxa"/>
            <w:tcBorders>
              <w:left w:val="nil"/>
              <w:bottom w:val="nil"/>
              <w:right w:val="nil"/>
            </w:tcBorders>
            <w:vAlign w:val="bottom"/>
          </w:tcPr>
          <w:p w14:paraId="53A717F3" w14:textId="4FB7240A" w:rsidR="004418FA" w:rsidRPr="00EA43D8" w:rsidRDefault="004418FA" w:rsidP="00EB03D6">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240.10 ± 1.99</w:t>
            </w:r>
          </w:p>
        </w:tc>
        <w:tc>
          <w:tcPr>
            <w:tcW w:w="1329" w:type="dxa"/>
            <w:tcBorders>
              <w:left w:val="nil"/>
              <w:bottom w:val="nil"/>
              <w:right w:val="nil"/>
            </w:tcBorders>
            <w:vAlign w:val="bottom"/>
          </w:tcPr>
          <w:p w14:paraId="4C4E966D" w14:textId="73898B61" w:rsidR="004418FA" w:rsidRPr="00EA43D8" w:rsidRDefault="004418FA" w:rsidP="00EB03D6">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50.10 ± 1.02</w:t>
            </w:r>
          </w:p>
        </w:tc>
      </w:tr>
      <w:tr w:rsidR="004418FA" w:rsidRPr="00EA43D8" w14:paraId="4003F928" w14:textId="77777777" w:rsidTr="00AD0E71">
        <w:trPr>
          <w:trHeight w:val="107"/>
        </w:trPr>
        <w:tc>
          <w:tcPr>
            <w:tcW w:w="2992" w:type="dxa"/>
            <w:tcBorders>
              <w:top w:val="nil"/>
              <w:left w:val="nil"/>
              <w:bottom w:val="nil"/>
              <w:right w:val="nil"/>
            </w:tcBorders>
          </w:tcPr>
          <w:p w14:paraId="2082A61D" w14:textId="237C27CC" w:rsidR="004418FA" w:rsidRPr="00EA43D8" w:rsidRDefault="004418FA" w:rsidP="004418FA">
            <w:pPr>
              <w:spacing w:line="480" w:lineRule="auto"/>
              <w:rPr>
                <w:rFonts w:ascii="Arial" w:hAnsi="Arial" w:cs="Arial"/>
                <w:color w:val="000000" w:themeColor="text1"/>
                <w:sz w:val="14"/>
                <w:szCs w:val="14"/>
                <w:lang w:val="en-US"/>
              </w:rPr>
            </w:pPr>
            <w:r w:rsidRPr="00EA43D8">
              <w:rPr>
                <w:rFonts w:ascii="Arial" w:hAnsi="Arial" w:cs="Arial"/>
                <w:color w:val="000000" w:themeColor="text1"/>
                <w:sz w:val="14"/>
                <w:szCs w:val="14"/>
                <w:lang w:val="en-US"/>
              </w:rPr>
              <w:t>Total flavonoids (mg QE/g DM)</w:t>
            </w:r>
          </w:p>
        </w:tc>
        <w:tc>
          <w:tcPr>
            <w:tcW w:w="1990" w:type="dxa"/>
            <w:tcBorders>
              <w:top w:val="nil"/>
              <w:left w:val="nil"/>
              <w:bottom w:val="nil"/>
              <w:right w:val="nil"/>
            </w:tcBorders>
            <w:vAlign w:val="center"/>
          </w:tcPr>
          <w:p w14:paraId="4F2B6FBD" w14:textId="4EA2680E"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0.22 ± 0.01</w:t>
            </w:r>
          </w:p>
        </w:tc>
        <w:tc>
          <w:tcPr>
            <w:tcW w:w="1464" w:type="dxa"/>
            <w:tcBorders>
              <w:top w:val="nil"/>
              <w:left w:val="nil"/>
              <w:bottom w:val="nil"/>
              <w:right w:val="nil"/>
            </w:tcBorders>
            <w:vAlign w:val="center"/>
          </w:tcPr>
          <w:p w14:paraId="506A9142" w14:textId="6953DDC7"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15.03 ± 0.97</w:t>
            </w:r>
          </w:p>
        </w:tc>
        <w:tc>
          <w:tcPr>
            <w:tcW w:w="1723" w:type="dxa"/>
            <w:tcBorders>
              <w:top w:val="nil"/>
              <w:left w:val="nil"/>
              <w:bottom w:val="nil"/>
              <w:right w:val="nil"/>
            </w:tcBorders>
            <w:vAlign w:val="center"/>
          </w:tcPr>
          <w:p w14:paraId="23536486" w14:textId="3FEE74AA"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0.50 ± 0.05</w:t>
            </w:r>
          </w:p>
        </w:tc>
        <w:tc>
          <w:tcPr>
            <w:tcW w:w="1329" w:type="dxa"/>
            <w:tcBorders>
              <w:top w:val="nil"/>
              <w:left w:val="nil"/>
              <w:bottom w:val="nil"/>
              <w:right w:val="nil"/>
            </w:tcBorders>
            <w:vAlign w:val="center"/>
          </w:tcPr>
          <w:p w14:paraId="51443076" w14:textId="7EB4FA6D"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0.45 ± 0.01</w:t>
            </w:r>
          </w:p>
        </w:tc>
      </w:tr>
      <w:tr w:rsidR="004418FA" w:rsidRPr="00EA43D8" w14:paraId="7E1B330C" w14:textId="77777777" w:rsidTr="00AD0E71">
        <w:trPr>
          <w:trHeight w:val="208"/>
        </w:trPr>
        <w:tc>
          <w:tcPr>
            <w:tcW w:w="2992" w:type="dxa"/>
            <w:tcBorders>
              <w:top w:val="nil"/>
              <w:left w:val="nil"/>
              <w:bottom w:val="nil"/>
              <w:right w:val="nil"/>
            </w:tcBorders>
          </w:tcPr>
          <w:p w14:paraId="737A48A6" w14:textId="711F9F1B" w:rsidR="004418FA" w:rsidRPr="00EA43D8" w:rsidRDefault="004418FA"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Condensed tannins (mg CE/g DM)</w:t>
            </w:r>
          </w:p>
        </w:tc>
        <w:tc>
          <w:tcPr>
            <w:tcW w:w="1990" w:type="dxa"/>
            <w:tcBorders>
              <w:top w:val="nil"/>
              <w:left w:val="nil"/>
              <w:bottom w:val="nil"/>
              <w:right w:val="nil"/>
            </w:tcBorders>
            <w:vAlign w:val="center"/>
          </w:tcPr>
          <w:p w14:paraId="3541EF55" w14:textId="477EAEB6"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eastAsia="Times New Roman" w:hAnsi="Arial" w:cs="Arial"/>
                <w:color w:val="000000" w:themeColor="text1"/>
                <w:sz w:val="14"/>
                <w:szCs w:val="14"/>
                <w:lang w:val="en-US" w:eastAsia="fr-FR"/>
              </w:rPr>
              <w:t xml:space="preserve">0.17 </w:t>
            </w:r>
            <w:r w:rsidRPr="00EA43D8">
              <w:rPr>
                <w:rFonts w:ascii="Arial" w:hAnsi="Arial" w:cs="Arial"/>
                <w:color w:val="000000" w:themeColor="text1"/>
                <w:sz w:val="14"/>
                <w:szCs w:val="14"/>
                <w:lang w:val="en-US"/>
              </w:rPr>
              <w:t>± 0.01</w:t>
            </w:r>
          </w:p>
        </w:tc>
        <w:tc>
          <w:tcPr>
            <w:tcW w:w="1464" w:type="dxa"/>
            <w:tcBorders>
              <w:top w:val="nil"/>
              <w:left w:val="nil"/>
              <w:bottom w:val="nil"/>
              <w:right w:val="nil"/>
            </w:tcBorders>
            <w:vAlign w:val="center"/>
          </w:tcPr>
          <w:p w14:paraId="3D87606D" w14:textId="516FF92D"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0.30 ± 0.01</w:t>
            </w:r>
          </w:p>
        </w:tc>
        <w:tc>
          <w:tcPr>
            <w:tcW w:w="1723" w:type="dxa"/>
            <w:tcBorders>
              <w:top w:val="nil"/>
              <w:left w:val="nil"/>
              <w:bottom w:val="nil"/>
              <w:right w:val="nil"/>
            </w:tcBorders>
            <w:vAlign w:val="center"/>
          </w:tcPr>
          <w:p w14:paraId="0D8B198E" w14:textId="39FE8037"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25.10 ± 1.05</w:t>
            </w:r>
          </w:p>
        </w:tc>
        <w:tc>
          <w:tcPr>
            <w:tcW w:w="1329" w:type="dxa"/>
            <w:tcBorders>
              <w:top w:val="nil"/>
              <w:left w:val="nil"/>
              <w:bottom w:val="nil"/>
              <w:right w:val="nil"/>
            </w:tcBorders>
            <w:vAlign w:val="center"/>
          </w:tcPr>
          <w:p w14:paraId="2C601BE7" w14:textId="7FF820E7" w:rsidR="004418FA" w:rsidRPr="00EA43D8" w:rsidRDefault="004418FA" w:rsidP="004418FA">
            <w:pPr>
              <w:spacing w:line="480" w:lineRule="auto"/>
              <w:jc w:val="center"/>
              <w:rPr>
                <w:rFonts w:ascii="Arial" w:eastAsia="Times New Roman" w:hAnsi="Arial" w:cs="Arial"/>
                <w:color w:val="000000" w:themeColor="text1"/>
                <w:sz w:val="14"/>
                <w:szCs w:val="14"/>
                <w:lang w:eastAsia="fr-FR"/>
              </w:rPr>
            </w:pPr>
            <w:r w:rsidRPr="00EA43D8">
              <w:rPr>
                <w:rFonts w:ascii="Arial" w:hAnsi="Arial" w:cs="Arial"/>
                <w:color w:val="000000" w:themeColor="text1"/>
                <w:sz w:val="14"/>
                <w:szCs w:val="14"/>
                <w:lang w:val="en-US"/>
              </w:rPr>
              <w:t>0.15 ± 0.02</w:t>
            </w:r>
          </w:p>
        </w:tc>
      </w:tr>
      <w:tr w:rsidR="00744459" w:rsidRPr="00675ED0" w14:paraId="0230F12C" w14:textId="77777777" w:rsidTr="00FB5A11">
        <w:trPr>
          <w:trHeight w:val="467"/>
        </w:trPr>
        <w:tc>
          <w:tcPr>
            <w:tcW w:w="4982" w:type="dxa"/>
            <w:gridSpan w:val="2"/>
            <w:tcBorders>
              <w:top w:val="nil"/>
              <w:left w:val="nil"/>
              <w:bottom w:val="single" w:sz="4" w:space="0" w:color="auto"/>
              <w:right w:val="nil"/>
            </w:tcBorders>
            <w:vAlign w:val="center"/>
          </w:tcPr>
          <w:p w14:paraId="5CCF947F" w14:textId="01298A0A" w:rsidR="00744459" w:rsidRPr="00EA43D8" w:rsidRDefault="00744459" w:rsidP="00DC563E">
            <w:pPr>
              <w:rPr>
                <w:rFonts w:ascii="Arial" w:eastAsia="Times New Roman" w:hAnsi="Arial" w:cs="Arial"/>
                <w:color w:val="000000" w:themeColor="text1"/>
                <w:sz w:val="14"/>
                <w:szCs w:val="14"/>
                <w:lang w:val="en-US" w:eastAsia="fr-FR"/>
              </w:rPr>
            </w:pPr>
            <w:r w:rsidRPr="00EA43D8">
              <w:rPr>
                <w:rFonts w:ascii="Arial" w:hAnsi="Arial" w:cs="Arial"/>
                <w:b/>
                <w:bCs/>
                <w:color w:val="000000" w:themeColor="text1"/>
                <w:sz w:val="14"/>
                <w:szCs w:val="14"/>
                <w:lang w:val="en-US"/>
              </w:rPr>
              <w:lastRenderedPageBreak/>
              <w:t>Antioxidant activity (IC50 µg/ml)</w:t>
            </w:r>
          </w:p>
        </w:tc>
        <w:tc>
          <w:tcPr>
            <w:tcW w:w="1464" w:type="dxa"/>
            <w:tcBorders>
              <w:top w:val="nil"/>
              <w:left w:val="nil"/>
              <w:bottom w:val="single" w:sz="4" w:space="0" w:color="auto"/>
              <w:right w:val="nil"/>
            </w:tcBorders>
            <w:vAlign w:val="center"/>
          </w:tcPr>
          <w:p w14:paraId="2280A2E8" w14:textId="77777777" w:rsidR="00744459" w:rsidRPr="00EA43D8" w:rsidRDefault="00744459" w:rsidP="00744459">
            <w:pPr>
              <w:jc w:val="center"/>
              <w:rPr>
                <w:rFonts w:ascii="Arial" w:hAnsi="Arial" w:cs="Arial"/>
                <w:color w:val="000000" w:themeColor="text1"/>
                <w:sz w:val="14"/>
                <w:szCs w:val="14"/>
                <w:lang w:val="en-US"/>
              </w:rPr>
            </w:pPr>
          </w:p>
        </w:tc>
        <w:tc>
          <w:tcPr>
            <w:tcW w:w="1723" w:type="dxa"/>
            <w:tcBorders>
              <w:top w:val="nil"/>
              <w:left w:val="nil"/>
              <w:bottom w:val="single" w:sz="4" w:space="0" w:color="auto"/>
              <w:right w:val="nil"/>
            </w:tcBorders>
            <w:vAlign w:val="center"/>
          </w:tcPr>
          <w:p w14:paraId="3BF65ECC" w14:textId="77777777" w:rsidR="00744459" w:rsidRPr="00EA43D8" w:rsidRDefault="00744459" w:rsidP="00744459">
            <w:pPr>
              <w:jc w:val="center"/>
              <w:rPr>
                <w:rFonts w:ascii="Arial" w:hAnsi="Arial" w:cs="Arial"/>
                <w:color w:val="000000" w:themeColor="text1"/>
                <w:sz w:val="14"/>
                <w:szCs w:val="14"/>
                <w:lang w:val="en-US"/>
              </w:rPr>
            </w:pPr>
          </w:p>
        </w:tc>
        <w:tc>
          <w:tcPr>
            <w:tcW w:w="1329" w:type="dxa"/>
            <w:tcBorders>
              <w:top w:val="nil"/>
              <w:left w:val="nil"/>
              <w:bottom w:val="single" w:sz="4" w:space="0" w:color="auto"/>
              <w:right w:val="nil"/>
            </w:tcBorders>
            <w:vAlign w:val="center"/>
          </w:tcPr>
          <w:p w14:paraId="759F7AA5" w14:textId="77777777" w:rsidR="00744459" w:rsidRPr="00EA43D8" w:rsidRDefault="00744459" w:rsidP="00744459">
            <w:pPr>
              <w:jc w:val="center"/>
              <w:rPr>
                <w:rFonts w:ascii="Arial" w:hAnsi="Arial" w:cs="Arial"/>
                <w:color w:val="000000" w:themeColor="text1"/>
                <w:sz w:val="14"/>
                <w:szCs w:val="14"/>
                <w:lang w:val="en-US"/>
              </w:rPr>
            </w:pPr>
          </w:p>
        </w:tc>
      </w:tr>
      <w:tr w:rsidR="00AD0E71" w:rsidRPr="00EA43D8" w14:paraId="55EB96AC" w14:textId="77777777" w:rsidTr="005D69AD">
        <w:trPr>
          <w:trHeight w:val="208"/>
        </w:trPr>
        <w:tc>
          <w:tcPr>
            <w:tcW w:w="2992" w:type="dxa"/>
            <w:tcBorders>
              <w:top w:val="single" w:sz="4" w:space="0" w:color="auto"/>
              <w:left w:val="nil"/>
              <w:bottom w:val="nil"/>
              <w:right w:val="nil"/>
            </w:tcBorders>
          </w:tcPr>
          <w:p w14:paraId="1C548ED3" w14:textId="1AA41B27" w:rsidR="00AD0E71" w:rsidRPr="00EA43D8" w:rsidRDefault="00D56C28" w:rsidP="00FB5A11">
            <w:pPr>
              <w:spacing w:before="240" w:line="480" w:lineRule="auto"/>
              <w:rPr>
                <w:rFonts w:ascii="Arial" w:hAnsi="Arial" w:cs="Arial"/>
                <w:color w:val="000000" w:themeColor="text1"/>
                <w:sz w:val="14"/>
                <w:szCs w:val="14"/>
              </w:rPr>
            </w:pPr>
            <w:r w:rsidRPr="00EA43D8">
              <w:rPr>
                <w:rFonts w:ascii="Arial" w:hAnsi="Arial" w:cs="Arial"/>
                <w:color w:val="000000" w:themeColor="text1"/>
                <w:sz w:val="14"/>
                <w:szCs w:val="14"/>
              </w:rPr>
              <w:t xml:space="preserve">DPPH </w:t>
            </w:r>
          </w:p>
        </w:tc>
        <w:tc>
          <w:tcPr>
            <w:tcW w:w="1990" w:type="dxa"/>
            <w:tcBorders>
              <w:top w:val="single" w:sz="4" w:space="0" w:color="auto"/>
              <w:left w:val="nil"/>
              <w:bottom w:val="nil"/>
              <w:right w:val="nil"/>
            </w:tcBorders>
            <w:vAlign w:val="center"/>
          </w:tcPr>
          <w:p w14:paraId="72F7E67A" w14:textId="1EA30CAA" w:rsidR="00AD0E71" w:rsidRPr="00EA43D8" w:rsidRDefault="005B1C7C" w:rsidP="00FB5A11">
            <w:pPr>
              <w:spacing w:before="240" w:line="480" w:lineRule="auto"/>
              <w:jc w:val="center"/>
              <w:rPr>
                <w:rFonts w:ascii="Arial" w:eastAsia="Times New Roman" w:hAnsi="Arial" w:cs="Arial"/>
                <w:color w:val="000000" w:themeColor="text1"/>
                <w:sz w:val="14"/>
                <w:szCs w:val="14"/>
                <w:lang w:val="en-US" w:eastAsia="fr-FR"/>
              </w:rPr>
            </w:pPr>
            <w:r w:rsidRPr="00EA43D8">
              <w:rPr>
                <w:rFonts w:ascii="Arial" w:eastAsia="Times New Roman" w:hAnsi="Arial" w:cs="Arial"/>
                <w:color w:val="000000" w:themeColor="text1"/>
                <w:sz w:val="14"/>
                <w:szCs w:val="14"/>
                <w:lang w:val="en-US" w:eastAsia="fr-FR"/>
              </w:rPr>
              <w:t xml:space="preserve">19.38 </w:t>
            </w:r>
            <w:r w:rsidRPr="00EA43D8">
              <w:rPr>
                <w:rFonts w:ascii="Arial" w:hAnsi="Arial" w:cs="Arial"/>
                <w:color w:val="000000" w:themeColor="text1"/>
                <w:sz w:val="14"/>
                <w:szCs w:val="14"/>
              </w:rPr>
              <w:t>± 0.50</w:t>
            </w:r>
          </w:p>
        </w:tc>
        <w:tc>
          <w:tcPr>
            <w:tcW w:w="1464" w:type="dxa"/>
            <w:tcBorders>
              <w:top w:val="single" w:sz="4" w:space="0" w:color="auto"/>
              <w:left w:val="nil"/>
              <w:bottom w:val="nil"/>
              <w:right w:val="nil"/>
            </w:tcBorders>
            <w:vAlign w:val="center"/>
          </w:tcPr>
          <w:p w14:paraId="2B51CE82" w14:textId="5AA5695C" w:rsidR="00AD0E71" w:rsidRPr="00EA43D8" w:rsidRDefault="005B1C7C" w:rsidP="00FB5A11">
            <w:pPr>
              <w:spacing w:before="240"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11.07 </w:t>
            </w:r>
            <w:r w:rsidRPr="00EA43D8">
              <w:rPr>
                <w:rFonts w:ascii="Arial" w:hAnsi="Arial" w:cs="Arial"/>
                <w:color w:val="000000" w:themeColor="text1"/>
                <w:sz w:val="14"/>
                <w:szCs w:val="14"/>
              </w:rPr>
              <w:t>± 1.64</w:t>
            </w:r>
          </w:p>
        </w:tc>
        <w:tc>
          <w:tcPr>
            <w:tcW w:w="1723" w:type="dxa"/>
            <w:tcBorders>
              <w:top w:val="single" w:sz="4" w:space="0" w:color="auto"/>
              <w:left w:val="nil"/>
              <w:bottom w:val="nil"/>
              <w:right w:val="nil"/>
            </w:tcBorders>
            <w:vAlign w:val="center"/>
          </w:tcPr>
          <w:p w14:paraId="7C6C1230" w14:textId="35205E50" w:rsidR="00AD0E71" w:rsidRPr="00EA43D8" w:rsidRDefault="005B1C7C" w:rsidP="00FB5A11">
            <w:pPr>
              <w:spacing w:before="240"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18.06 </w:t>
            </w:r>
            <w:r w:rsidRPr="00EA43D8">
              <w:rPr>
                <w:rFonts w:ascii="Arial" w:hAnsi="Arial" w:cs="Arial"/>
                <w:color w:val="000000" w:themeColor="text1"/>
                <w:sz w:val="14"/>
                <w:szCs w:val="14"/>
              </w:rPr>
              <w:t>± 1.04</w:t>
            </w:r>
          </w:p>
        </w:tc>
        <w:tc>
          <w:tcPr>
            <w:tcW w:w="1329" w:type="dxa"/>
            <w:tcBorders>
              <w:top w:val="single" w:sz="4" w:space="0" w:color="auto"/>
              <w:left w:val="nil"/>
              <w:bottom w:val="nil"/>
              <w:right w:val="nil"/>
            </w:tcBorders>
            <w:vAlign w:val="center"/>
          </w:tcPr>
          <w:p w14:paraId="5902A7C8" w14:textId="25EE6473" w:rsidR="00AD0E71" w:rsidRPr="00EA43D8" w:rsidRDefault="005B1C7C" w:rsidP="00FB5A11">
            <w:pPr>
              <w:spacing w:before="240"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44.44 </w:t>
            </w:r>
            <w:r w:rsidRPr="00EA43D8">
              <w:rPr>
                <w:rFonts w:ascii="Arial" w:hAnsi="Arial" w:cs="Arial"/>
                <w:color w:val="000000" w:themeColor="text1"/>
                <w:sz w:val="14"/>
                <w:szCs w:val="14"/>
              </w:rPr>
              <w:t>± 2.26</w:t>
            </w:r>
          </w:p>
        </w:tc>
      </w:tr>
      <w:tr w:rsidR="00AD0E71" w:rsidRPr="00EA43D8" w14:paraId="59B879C2" w14:textId="77777777" w:rsidTr="005D69AD">
        <w:trPr>
          <w:trHeight w:val="208"/>
        </w:trPr>
        <w:tc>
          <w:tcPr>
            <w:tcW w:w="2992" w:type="dxa"/>
            <w:tcBorders>
              <w:top w:val="nil"/>
              <w:left w:val="nil"/>
              <w:bottom w:val="nil"/>
              <w:right w:val="nil"/>
            </w:tcBorders>
          </w:tcPr>
          <w:p w14:paraId="4A00175B" w14:textId="322441F5" w:rsidR="00AD0E71" w:rsidRPr="00EA43D8" w:rsidRDefault="00744459"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ABTS</w:t>
            </w:r>
          </w:p>
        </w:tc>
        <w:tc>
          <w:tcPr>
            <w:tcW w:w="1990" w:type="dxa"/>
            <w:tcBorders>
              <w:top w:val="nil"/>
              <w:left w:val="nil"/>
              <w:bottom w:val="nil"/>
              <w:right w:val="nil"/>
            </w:tcBorders>
            <w:vAlign w:val="center"/>
          </w:tcPr>
          <w:p w14:paraId="008CD3DB" w14:textId="2C444060" w:rsidR="00AD0E71" w:rsidRPr="00EA43D8" w:rsidRDefault="005B1C7C" w:rsidP="004418FA">
            <w:pPr>
              <w:spacing w:line="480" w:lineRule="auto"/>
              <w:jc w:val="center"/>
              <w:rPr>
                <w:rFonts w:ascii="Arial" w:eastAsia="Times New Roman" w:hAnsi="Arial" w:cs="Arial"/>
                <w:color w:val="000000" w:themeColor="text1"/>
                <w:sz w:val="14"/>
                <w:szCs w:val="14"/>
                <w:lang w:val="en-US" w:eastAsia="fr-FR"/>
              </w:rPr>
            </w:pPr>
            <w:r w:rsidRPr="00EA43D8">
              <w:rPr>
                <w:rFonts w:ascii="Arial" w:eastAsia="Times New Roman" w:hAnsi="Arial" w:cs="Arial"/>
                <w:color w:val="000000" w:themeColor="text1"/>
                <w:sz w:val="14"/>
                <w:szCs w:val="14"/>
                <w:lang w:val="en-US" w:eastAsia="fr-FR"/>
              </w:rPr>
              <w:t xml:space="preserve">47.04 </w:t>
            </w:r>
            <w:r w:rsidRPr="00EA43D8">
              <w:rPr>
                <w:rFonts w:ascii="Arial" w:hAnsi="Arial" w:cs="Arial"/>
                <w:color w:val="000000" w:themeColor="text1"/>
                <w:sz w:val="14"/>
                <w:szCs w:val="14"/>
              </w:rPr>
              <w:t>± 1.19</w:t>
            </w:r>
          </w:p>
        </w:tc>
        <w:tc>
          <w:tcPr>
            <w:tcW w:w="1464" w:type="dxa"/>
            <w:tcBorders>
              <w:top w:val="nil"/>
              <w:left w:val="nil"/>
              <w:bottom w:val="nil"/>
              <w:right w:val="nil"/>
            </w:tcBorders>
            <w:vAlign w:val="center"/>
          </w:tcPr>
          <w:p w14:paraId="35A82B36" w14:textId="66DCA1F5"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18.04 </w:t>
            </w:r>
            <w:r w:rsidRPr="00EA43D8">
              <w:rPr>
                <w:rFonts w:ascii="Arial" w:hAnsi="Arial" w:cs="Arial"/>
                <w:color w:val="000000" w:themeColor="text1"/>
                <w:sz w:val="14"/>
                <w:szCs w:val="14"/>
              </w:rPr>
              <w:t>± 1.94</w:t>
            </w:r>
          </w:p>
        </w:tc>
        <w:tc>
          <w:tcPr>
            <w:tcW w:w="1723" w:type="dxa"/>
            <w:tcBorders>
              <w:top w:val="nil"/>
              <w:left w:val="nil"/>
              <w:bottom w:val="nil"/>
              <w:right w:val="nil"/>
            </w:tcBorders>
            <w:vAlign w:val="center"/>
          </w:tcPr>
          <w:p w14:paraId="0F8E885E" w14:textId="221D6E77"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16.17 </w:t>
            </w:r>
            <w:r w:rsidRPr="00EA43D8">
              <w:rPr>
                <w:rFonts w:ascii="Arial" w:hAnsi="Arial" w:cs="Arial"/>
                <w:color w:val="000000" w:themeColor="text1"/>
                <w:sz w:val="14"/>
                <w:szCs w:val="14"/>
              </w:rPr>
              <w:t xml:space="preserve">± 1.35 </w:t>
            </w:r>
          </w:p>
        </w:tc>
        <w:tc>
          <w:tcPr>
            <w:tcW w:w="1329" w:type="dxa"/>
            <w:tcBorders>
              <w:top w:val="nil"/>
              <w:left w:val="nil"/>
              <w:bottom w:val="nil"/>
              <w:right w:val="nil"/>
            </w:tcBorders>
            <w:vAlign w:val="center"/>
          </w:tcPr>
          <w:p w14:paraId="6A12439B" w14:textId="35C38AB9"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32.71 </w:t>
            </w:r>
            <w:r w:rsidRPr="00EA43D8">
              <w:rPr>
                <w:rFonts w:ascii="Arial" w:hAnsi="Arial" w:cs="Arial"/>
                <w:color w:val="000000" w:themeColor="text1"/>
                <w:sz w:val="14"/>
                <w:szCs w:val="14"/>
              </w:rPr>
              <w:t>± 1.24</w:t>
            </w:r>
          </w:p>
        </w:tc>
      </w:tr>
      <w:tr w:rsidR="00AD0E71" w:rsidRPr="00EA43D8" w14:paraId="7970BD13" w14:textId="77777777" w:rsidTr="005D69AD">
        <w:trPr>
          <w:trHeight w:val="208"/>
        </w:trPr>
        <w:tc>
          <w:tcPr>
            <w:tcW w:w="2992" w:type="dxa"/>
            <w:tcBorders>
              <w:top w:val="nil"/>
              <w:left w:val="nil"/>
              <w:bottom w:val="single" w:sz="4" w:space="0" w:color="auto"/>
              <w:right w:val="nil"/>
            </w:tcBorders>
          </w:tcPr>
          <w:p w14:paraId="1523E943" w14:textId="04AEE68F" w:rsidR="00AD0E71" w:rsidRPr="00EA43D8" w:rsidRDefault="00744459" w:rsidP="004418FA">
            <w:pPr>
              <w:spacing w:line="480" w:lineRule="auto"/>
              <w:rPr>
                <w:rFonts w:ascii="Arial" w:hAnsi="Arial" w:cs="Arial"/>
                <w:color w:val="000000" w:themeColor="text1"/>
                <w:sz w:val="14"/>
                <w:szCs w:val="14"/>
              </w:rPr>
            </w:pPr>
            <w:r w:rsidRPr="00EA43D8">
              <w:rPr>
                <w:rFonts w:ascii="Arial" w:hAnsi="Arial" w:cs="Arial"/>
                <w:color w:val="000000" w:themeColor="text1"/>
                <w:sz w:val="14"/>
                <w:szCs w:val="14"/>
              </w:rPr>
              <w:t>FRAP</w:t>
            </w:r>
          </w:p>
        </w:tc>
        <w:tc>
          <w:tcPr>
            <w:tcW w:w="1990" w:type="dxa"/>
            <w:tcBorders>
              <w:top w:val="nil"/>
              <w:left w:val="nil"/>
              <w:bottom w:val="single" w:sz="4" w:space="0" w:color="auto"/>
              <w:right w:val="nil"/>
            </w:tcBorders>
            <w:vAlign w:val="center"/>
          </w:tcPr>
          <w:p w14:paraId="1DB86464" w14:textId="35E4041A" w:rsidR="00AD0E71" w:rsidRPr="00EA43D8" w:rsidRDefault="005B1C7C" w:rsidP="004418FA">
            <w:pPr>
              <w:spacing w:line="480" w:lineRule="auto"/>
              <w:jc w:val="center"/>
              <w:rPr>
                <w:rFonts w:ascii="Arial" w:eastAsia="Times New Roman" w:hAnsi="Arial" w:cs="Arial"/>
                <w:color w:val="000000" w:themeColor="text1"/>
                <w:sz w:val="14"/>
                <w:szCs w:val="14"/>
                <w:lang w:val="en-US" w:eastAsia="fr-FR"/>
              </w:rPr>
            </w:pPr>
            <w:r w:rsidRPr="00EA43D8">
              <w:rPr>
                <w:rFonts w:ascii="Arial" w:eastAsia="Times New Roman" w:hAnsi="Arial" w:cs="Arial"/>
                <w:color w:val="000000" w:themeColor="text1"/>
                <w:sz w:val="14"/>
                <w:szCs w:val="14"/>
                <w:lang w:val="en-US" w:eastAsia="fr-FR"/>
              </w:rPr>
              <w:t xml:space="preserve">30.28 </w:t>
            </w:r>
            <w:r w:rsidRPr="00EA43D8">
              <w:rPr>
                <w:rFonts w:ascii="Arial" w:hAnsi="Arial" w:cs="Arial"/>
                <w:color w:val="000000" w:themeColor="text1"/>
                <w:sz w:val="14"/>
                <w:szCs w:val="14"/>
              </w:rPr>
              <w:t>± 2.07</w:t>
            </w:r>
          </w:p>
        </w:tc>
        <w:tc>
          <w:tcPr>
            <w:tcW w:w="1464" w:type="dxa"/>
            <w:tcBorders>
              <w:top w:val="nil"/>
              <w:left w:val="nil"/>
              <w:bottom w:val="single" w:sz="4" w:space="0" w:color="auto"/>
              <w:right w:val="nil"/>
            </w:tcBorders>
            <w:vAlign w:val="center"/>
          </w:tcPr>
          <w:p w14:paraId="45F01AE2" w14:textId="0DED7997"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23.17 </w:t>
            </w:r>
            <w:r w:rsidRPr="00EA43D8">
              <w:rPr>
                <w:rFonts w:ascii="Arial" w:hAnsi="Arial" w:cs="Arial"/>
                <w:color w:val="000000" w:themeColor="text1"/>
                <w:sz w:val="14"/>
                <w:szCs w:val="14"/>
              </w:rPr>
              <w:t>± 1.35</w:t>
            </w:r>
          </w:p>
        </w:tc>
        <w:tc>
          <w:tcPr>
            <w:tcW w:w="1723" w:type="dxa"/>
            <w:tcBorders>
              <w:top w:val="nil"/>
              <w:left w:val="nil"/>
              <w:bottom w:val="single" w:sz="4" w:space="0" w:color="auto"/>
              <w:right w:val="nil"/>
            </w:tcBorders>
            <w:vAlign w:val="center"/>
          </w:tcPr>
          <w:p w14:paraId="27441FAD" w14:textId="705CBA0F"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22.52 </w:t>
            </w:r>
            <w:r w:rsidRPr="00EA43D8">
              <w:rPr>
                <w:rFonts w:ascii="Arial" w:hAnsi="Arial" w:cs="Arial"/>
                <w:color w:val="000000" w:themeColor="text1"/>
                <w:sz w:val="14"/>
                <w:szCs w:val="14"/>
              </w:rPr>
              <w:t>± 0.15</w:t>
            </w:r>
          </w:p>
        </w:tc>
        <w:tc>
          <w:tcPr>
            <w:tcW w:w="1329" w:type="dxa"/>
            <w:tcBorders>
              <w:top w:val="nil"/>
              <w:left w:val="nil"/>
              <w:bottom w:val="single" w:sz="4" w:space="0" w:color="auto"/>
              <w:right w:val="nil"/>
            </w:tcBorders>
            <w:vAlign w:val="center"/>
          </w:tcPr>
          <w:p w14:paraId="7B8005F0" w14:textId="6C8486D4" w:rsidR="00AD0E71" w:rsidRPr="00EA43D8" w:rsidRDefault="005B1C7C" w:rsidP="004418FA">
            <w:pPr>
              <w:spacing w:line="480" w:lineRule="auto"/>
              <w:jc w:val="center"/>
              <w:rPr>
                <w:rFonts w:ascii="Arial" w:hAnsi="Arial" w:cs="Arial"/>
                <w:color w:val="000000" w:themeColor="text1"/>
                <w:sz w:val="14"/>
                <w:szCs w:val="14"/>
                <w:lang w:val="en-US"/>
              </w:rPr>
            </w:pPr>
            <w:r w:rsidRPr="00EA43D8">
              <w:rPr>
                <w:rFonts w:ascii="Arial" w:hAnsi="Arial" w:cs="Arial"/>
                <w:color w:val="000000" w:themeColor="text1"/>
                <w:sz w:val="14"/>
                <w:szCs w:val="14"/>
                <w:lang w:val="en-US"/>
              </w:rPr>
              <w:t xml:space="preserve">33.30 </w:t>
            </w:r>
            <w:r w:rsidRPr="00EA43D8">
              <w:rPr>
                <w:rFonts w:ascii="Arial" w:hAnsi="Arial" w:cs="Arial"/>
                <w:color w:val="000000" w:themeColor="text1"/>
                <w:sz w:val="14"/>
                <w:szCs w:val="14"/>
              </w:rPr>
              <w:t>± 2.42</w:t>
            </w:r>
          </w:p>
        </w:tc>
      </w:tr>
      <w:tr w:rsidR="0044525C" w:rsidRPr="00675ED0" w14:paraId="68E1C4F9" w14:textId="77777777" w:rsidTr="00AD0E71">
        <w:trPr>
          <w:trHeight w:val="233"/>
        </w:trPr>
        <w:tc>
          <w:tcPr>
            <w:tcW w:w="9498" w:type="dxa"/>
            <w:gridSpan w:val="5"/>
            <w:tcBorders>
              <w:top w:val="single" w:sz="4" w:space="0" w:color="auto"/>
              <w:left w:val="nil"/>
              <w:bottom w:val="nil"/>
              <w:right w:val="nil"/>
            </w:tcBorders>
          </w:tcPr>
          <w:p w14:paraId="434FD66C" w14:textId="0649D1F9" w:rsidR="0044525C" w:rsidRPr="00EA43D8" w:rsidRDefault="0069278A" w:rsidP="00744459">
            <w:pPr>
              <w:spacing w:line="360" w:lineRule="auto"/>
              <w:jc w:val="both"/>
              <w:rPr>
                <w:rFonts w:ascii="Arial" w:hAnsi="Arial" w:cs="Arial"/>
                <w:color w:val="000000" w:themeColor="text1"/>
                <w:sz w:val="14"/>
                <w:szCs w:val="14"/>
                <w:lang w:val="en-US"/>
              </w:rPr>
            </w:pPr>
            <w:r w:rsidRPr="00EA43D8">
              <w:rPr>
                <w:rFonts w:ascii="Arial" w:hAnsi="Arial" w:cs="Arial"/>
                <w:color w:val="000000" w:themeColor="text1"/>
                <w:sz w:val="14"/>
                <w:szCs w:val="14"/>
                <w:lang w:val="en-US"/>
              </w:rPr>
              <w:t>GAE:</w:t>
            </w:r>
            <w:r w:rsidR="0044525C" w:rsidRPr="00EA43D8">
              <w:rPr>
                <w:rFonts w:ascii="Arial" w:hAnsi="Arial" w:cs="Arial"/>
                <w:color w:val="000000" w:themeColor="text1"/>
                <w:sz w:val="14"/>
                <w:szCs w:val="14"/>
                <w:lang w:val="en-US"/>
              </w:rPr>
              <w:t xml:space="preserve"> G</w:t>
            </w:r>
            <w:r w:rsidR="0044525C" w:rsidRPr="00EA43D8">
              <w:rPr>
                <w:rFonts w:ascii="Arial" w:eastAsia="Times New Roman" w:hAnsi="Arial" w:cs="Arial"/>
                <w:color w:val="000000" w:themeColor="text1"/>
                <w:sz w:val="14"/>
                <w:szCs w:val="14"/>
                <w:lang w:val="en-US" w:eastAsia="fr-FR"/>
              </w:rPr>
              <w:t>allic Acid Equivalent; QE: Quercetin Equivalent</w:t>
            </w:r>
            <w:r w:rsidRPr="00EA43D8">
              <w:rPr>
                <w:rFonts w:ascii="Arial" w:eastAsia="Times New Roman" w:hAnsi="Arial" w:cs="Arial"/>
                <w:color w:val="000000" w:themeColor="text1"/>
                <w:sz w:val="14"/>
                <w:szCs w:val="14"/>
                <w:lang w:val="en-US" w:eastAsia="fr-FR"/>
              </w:rPr>
              <w:t xml:space="preserve">; CE: Catechin Equivalent; </w:t>
            </w:r>
            <w:r w:rsidR="00744459" w:rsidRPr="00EA43D8">
              <w:rPr>
                <w:rFonts w:ascii="Arial" w:eastAsia="Times New Roman" w:hAnsi="Arial" w:cs="Arial"/>
                <w:color w:val="000000" w:themeColor="text1"/>
                <w:sz w:val="14"/>
                <w:szCs w:val="14"/>
                <w:lang w:val="en-US" w:eastAsia="fr-FR"/>
              </w:rPr>
              <w:t>DPPH: 2,2-Diphenyl-1-picrylhydrazyl (DPPH) radical scavenging activity assay; ABTS:</w:t>
            </w:r>
            <w:r w:rsidR="00744459" w:rsidRPr="00EA43D8">
              <w:rPr>
                <w:sz w:val="14"/>
                <w:szCs w:val="14"/>
                <w:lang w:val="en-US"/>
              </w:rPr>
              <w:t xml:space="preserve"> </w:t>
            </w:r>
            <w:r w:rsidR="00744459" w:rsidRPr="00EA43D8">
              <w:rPr>
                <w:rFonts w:ascii="Arial" w:eastAsia="Times New Roman" w:hAnsi="Arial" w:cs="Arial"/>
                <w:color w:val="000000" w:themeColor="text1"/>
                <w:sz w:val="14"/>
                <w:szCs w:val="14"/>
                <w:lang w:val="en-US" w:eastAsia="fr-FR"/>
              </w:rPr>
              <w:t xml:space="preserve">2,2′-Azinobis-(3-ethylbenzothiazoline-6- sulphonic acid; FRAP: Ferric reducing antioxidant power; IC50: </w:t>
            </w:r>
            <w:r w:rsidR="005B1C7C" w:rsidRPr="00EA43D8">
              <w:rPr>
                <w:rFonts w:ascii="Arial" w:eastAsia="Times New Roman" w:hAnsi="Arial" w:cs="Arial"/>
                <w:color w:val="000000" w:themeColor="text1"/>
                <w:sz w:val="14"/>
                <w:szCs w:val="14"/>
                <w:lang w:val="en-US" w:eastAsia="fr-FR"/>
              </w:rPr>
              <w:t xml:space="preserve">is the concentration of a substance required to </w:t>
            </w:r>
            <w:proofErr w:type="spellStart"/>
            <w:r w:rsidR="005B1C7C" w:rsidRPr="00EA43D8">
              <w:rPr>
                <w:rFonts w:ascii="Arial" w:eastAsia="Times New Roman" w:hAnsi="Arial" w:cs="Arial"/>
                <w:color w:val="000000" w:themeColor="text1"/>
                <w:sz w:val="14"/>
                <w:szCs w:val="14"/>
                <w:lang w:val="en-US" w:eastAsia="fr-FR"/>
              </w:rPr>
              <w:t>rduce</w:t>
            </w:r>
            <w:proofErr w:type="spellEnd"/>
            <w:r w:rsidR="005B1C7C" w:rsidRPr="00EA43D8">
              <w:rPr>
                <w:rFonts w:ascii="Arial" w:eastAsia="Times New Roman" w:hAnsi="Arial" w:cs="Arial"/>
                <w:color w:val="000000" w:themeColor="text1"/>
                <w:sz w:val="14"/>
                <w:szCs w:val="14"/>
                <w:lang w:val="en-US" w:eastAsia="fr-FR"/>
              </w:rPr>
              <w:t xml:space="preserve"> the activity of a given target by 50%</w:t>
            </w:r>
          </w:p>
        </w:tc>
      </w:tr>
    </w:tbl>
    <w:p w14:paraId="6D29C35C" w14:textId="1A9CB7F1" w:rsidR="007136C0" w:rsidRPr="00202D84" w:rsidRDefault="007136C0" w:rsidP="0069278A">
      <w:pPr>
        <w:tabs>
          <w:tab w:val="left" w:pos="1710"/>
        </w:tabs>
        <w:spacing w:before="100" w:beforeAutospacing="1" w:after="100" w:afterAutospacing="1" w:line="360" w:lineRule="auto"/>
        <w:jc w:val="both"/>
        <w:rPr>
          <w:rFonts w:ascii="Arial" w:eastAsia="Times New Roman" w:hAnsi="Arial" w:cs="Arial"/>
          <w:b/>
          <w:color w:val="000000" w:themeColor="text1"/>
          <w:lang w:val="en-US" w:eastAsia="fr-FR"/>
        </w:rPr>
      </w:pPr>
      <w:r w:rsidRPr="00202D84">
        <w:rPr>
          <w:rFonts w:ascii="Arial" w:eastAsia="Times New Roman" w:hAnsi="Arial" w:cs="Arial"/>
          <w:b/>
          <w:color w:val="000000" w:themeColor="text1"/>
          <w:lang w:val="en-US" w:eastAsia="fr-FR"/>
        </w:rPr>
        <w:t xml:space="preserve">2.9. Statistical analysis </w:t>
      </w:r>
    </w:p>
    <w:p w14:paraId="5CFB61C4" w14:textId="0040F589" w:rsidR="00955C1B" w:rsidRDefault="007136C0" w:rsidP="007136C0">
      <w:pPr>
        <w:spacing w:before="100" w:beforeAutospacing="1" w:after="100" w:afterAutospacing="1" w:line="360" w:lineRule="auto"/>
        <w:jc w:val="both"/>
        <w:rPr>
          <w:rFonts w:ascii="Arial" w:eastAsia="Times New Roman" w:hAnsi="Arial" w:cs="Arial"/>
          <w:color w:val="000000" w:themeColor="text1"/>
          <w:sz w:val="20"/>
          <w:lang w:val="en-US" w:eastAsia="fr-FR"/>
        </w:rPr>
      </w:pPr>
      <w:r w:rsidRPr="005250A4">
        <w:rPr>
          <w:rFonts w:ascii="Arial" w:eastAsia="Times New Roman" w:hAnsi="Arial" w:cs="Arial"/>
          <w:color w:val="000000" w:themeColor="text1"/>
          <w:sz w:val="20"/>
          <w:lang w:val="en-US" w:eastAsia="fr-FR"/>
        </w:rPr>
        <w:t xml:space="preserve">Analyses were carried out in triplicate. Microsoft Excel 2016 software was used for the calculation of means and standard deviations. </w:t>
      </w:r>
      <w:proofErr w:type="spellStart"/>
      <w:r w:rsidRPr="005250A4">
        <w:rPr>
          <w:rFonts w:ascii="Arial" w:eastAsia="Times New Roman" w:hAnsi="Arial" w:cs="Arial"/>
          <w:color w:val="000000" w:themeColor="text1"/>
          <w:sz w:val="20"/>
          <w:lang w:val="en-US" w:eastAsia="fr-FR"/>
        </w:rPr>
        <w:t>Statgraphic</w:t>
      </w:r>
      <w:proofErr w:type="spellEnd"/>
      <w:r w:rsidRPr="005250A4">
        <w:rPr>
          <w:rFonts w:ascii="Arial" w:eastAsia="Times New Roman" w:hAnsi="Arial" w:cs="Arial"/>
          <w:color w:val="000000" w:themeColor="text1"/>
          <w:sz w:val="20"/>
          <w:lang w:val="en-US" w:eastAsia="fr-FR"/>
        </w:rPr>
        <w:t xml:space="preserve"> Centurion 15.2 software (</w:t>
      </w:r>
      <w:proofErr w:type="spellStart"/>
      <w:r w:rsidRPr="005250A4">
        <w:rPr>
          <w:rFonts w:ascii="Arial" w:eastAsia="Times New Roman" w:hAnsi="Arial" w:cs="Arial"/>
          <w:color w:val="000000" w:themeColor="text1"/>
          <w:sz w:val="20"/>
          <w:lang w:val="en-US" w:eastAsia="fr-FR"/>
        </w:rPr>
        <w:t>StatPoint</w:t>
      </w:r>
      <w:proofErr w:type="spellEnd"/>
      <w:r w:rsidRPr="005250A4">
        <w:rPr>
          <w:rFonts w:ascii="Arial" w:eastAsia="Times New Roman" w:hAnsi="Arial" w:cs="Arial"/>
          <w:color w:val="000000" w:themeColor="text1"/>
          <w:sz w:val="20"/>
          <w:lang w:val="en-US" w:eastAsia="fr-FR"/>
        </w:rPr>
        <w:t xml:space="preserve"> Technologies, Inc., Warrenton, Virginia, USA) was used for analysis of variance (one-way ANOVA and multiple way ANOVA) and the means were separated using the Duncan multiple range test at P &lt; .05.</w:t>
      </w:r>
    </w:p>
    <w:p w14:paraId="32986DB4" w14:textId="1619638D" w:rsidR="00C43488" w:rsidRDefault="00C43488" w:rsidP="00166BB8">
      <w:pPr>
        <w:pStyle w:val="ListParagraph"/>
        <w:numPr>
          <w:ilvl w:val="0"/>
          <w:numId w:val="5"/>
        </w:numPr>
        <w:spacing w:before="240" w:line="480" w:lineRule="auto"/>
        <w:jc w:val="both"/>
        <w:rPr>
          <w:rStyle w:val="fontstyle01"/>
          <w:rFonts w:ascii="Arial" w:hAnsi="Arial" w:cs="Arial"/>
          <w:b/>
          <w:color w:val="000000" w:themeColor="text1"/>
          <w:sz w:val="22"/>
          <w:szCs w:val="22"/>
          <w:lang w:val="en-US"/>
        </w:rPr>
      </w:pPr>
      <w:r w:rsidRPr="00202D84">
        <w:rPr>
          <w:rStyle w:val="fontstyle01"/>
          <w:rFonts w:ascii="Arial" w:hAnsi="Arial" w:cs="Arial"/>
          <w:b/>
          <w:color w:val="000000" w:themeColor="text1"/>
          <w:sz w:val="22"/>
          <w:szCs w:val="22"/>
          <w:lang w:val="en-US"/>
        </w:rPr>
        <w:t>RESULTS AND DISCUSSION</w:t>
      </w:r>
    </w:p>
    <w:p w14:paraId="1CB55754" w14:textId="401E5701" w:rsidR="00C43488" w:rsidRPr="00C43488" w:rsidRDefault="00C43488" w:rsidP="00166BB8">
      <w:pPr>
        <w:pStyle w:val="ListParagraph"/>
        <w:numPr>
          <w:ilvl w:val="1"/>
          <w:numId w:val="5"/>
        </w:numPr>
        <w:tabs>
          <w:tab w:val="left" w:pos="567"/>
        </w:tabs>
        <w:spacing w:before="240" w:line="480" w:lineRule="auto"/>
        <w:jc w:val="both"/>
        <w:rPr>
          <w:rFonts w:ascii="Arial" w:hAnsi="Arial" w:cs="Arial"/>
          <w:b/>
          <w:color w:val="000000" w:themeColor="text1"/>
          <w:lang w:val="en-US"/>
        </w:rPr>
      </w:pPr>
      <w:r w:rsidRPr="00C43488">
        <w:rPr>
          <w:rStyle w:val="fontstyle01"/>
          <w:rFonts w:ascii="Arial" w:hAnsi="Arial" w:cs="Arial"/>
          <w:b/>
          <w:color w:val="000000" w:themeColor="text1"/>
          <w:sz w:val="22"/>
          <w:szCs w:val="22"/>
          <w:lang w:val="en-US"/>
        </w:rPr>
        <w:t xml:space="preserve">Functional properties of </w:t>
      </w:r>
      <w:r w:rsidRPr="00C43488">
        <w:rPr>
          <w:rFonts w:ascii="Arial" w:eastAsia="Times New Roman" w:hAnsi="Arial" w:cs="Arial"/>
          <w:b/>
          <w:color w:val="000000" w:themeColor="text1"/>
          <w:lang w:val="en-US" w:eastAsia="fr-FR"/>
        </w:rPr>
        <w:t>leaf and fruit powders</w:t>
      </w:r>
    </w:p>
    <w:p w14:paraId="0975AEB5" w14:textId="77777777" w:rsidR="00C43488" w:rsidRPr="005250A4" w:rsidRDefault="00C43488" w:rsidP="00C43488">
      <w:pPr>
        <w:pStyle w:val="ListParagraph"/>
        <w:numPr>
          <w:ilvl w:val="2"/>
          <w:numId w:val="5"/>
        </w:numPr>
        <w:spacing w:after="0" w:line="360" w:lineRule="auto"/>
        <w:jc w:val="both"/>
        <w:rPr>
          <w:rFonts w:ascii="Arial" w:hAnsi="Arial" w:cs="Arial"/>
          <w:b/>
          <w:color w:val="000000" w:themeColor="text1"/>
          <w:sz w:val="20"/>
          <w:szCs w:val="20"/>
          <w:lang w:val="en-US"/>
        </w:rPr>
      </w:pPr>
      <w:r w:rsidRPr="005250A4">
        <w:rPr>
          <w:rFonts w:ascii="Arial" w:eastAsiaTheme="minorEastAsia" w:hAnsi="Arial" w:cs="Arial"/>
          <w:b/>
          <w:color w:val="000000" w:themeColor="text1"/>
          <w:sz w:val="20"/>
          <w:szCs w:val="20"/>
          <w:lang w:val="en-US"/>
        </w:rPr>
        <w:t xml:space="preserve">Oil Absorption Capacity </w:t>
      </w:r>
    </w:p>
    <w:p w14:paraId="6CED4A78" w14:textId="77777777" w:rsidR="00DC563E" w:rsidRDefault="00C43488" w:rsidP="00C43488">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addition of oils to plant-based food powders is a common practice among many therapists in the preparation of functional foods. However, these additions often overlook the oil absorption capabilities of these powders, focusing instead on the health benefits derived from combining the two raw materials. However, the homogeneity of the mixture, its presentation (such as pastes, dough, or suppositories), and its handling during various uses depend closely on the type of oil and the properties of the powder. One such property is the oil absorption capacity (OAC), defined as the amount of oil in grams retained per hundred grams of powder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{"citationItems":[{"id":"ITEM-1","itemData":{"DOI":"10.9734/AFSJ/2021/v20i130255","author":[{"dropping-particle":"","family":"Assiéné","given":"Agamou Julien Armel","non-dropping-particle":"","parse-names":false,"suffix":""},{"dropping-particle":"","family":"Fombang","given":"Edith Nig","non-dropping-particle":"","parse-names":false,"suffix":""},{"dropping-particle":"","family":"Mbofung","given":"Carl Moses","non-dropping-particle":"","parse-names":false,"suffix":""}],"id":"ITEM-1","issue":"1","issued":{"date-parts":[["2021"]]},"page":"60-71","title":"Influence of Compounds Contents and Particle Size on Some Functional Properties of Moringa oleifera Leaves ( Lam ) Powders","type":"article-journal","volume":"20"},"uris":["http://www.mendeley.com/documents/?uuid=a2e62898-491f-4111-ac12-1a60b7402f13"]}],"mendeley":{"formattedCitation":"(Assiéné et al., 2021)","plainTextFormattedCitation":"(Assiéné et al., 2021)","previouslyFormattedCitation":"(Assiéné et al., 2021)"},"properties":{"noteIndex":0},"schema":"https://github.com/citation-style-language/schema/raw/master/csl-citation.json"}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(Assiéné et al., 2021)</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w:t>
      </w:r>
    </w:p>
    <w:p w14:paraId="02BC0856" w14:textId="3E4D8721" w:rsidR="00C43488" w:rsidRPr="005250A4" w:rsidRDefault="00C43488" w:rsidP="00C43488">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In this study, we evaluated the OAC of powders derived from the leaves and fruits of </w:t>
      </w:r>
      <w:r w:rsidRPr="005250A4">
        <w:rPr>
          <w:rFonts w:ascii="Arial" w:eastAsia="Times New Roman" w:hAnsi="Arial" w:cs="Arial"/>
          <w:i/>
          <w:color w:val="000000" w:themeColor="text1"/>
          <w:sz w:val="20"/>
          <w:szCs w:val="20"/>
          <w:lang w:val="en-US" w:eastAsia="fr-FR"/>
        </w:rPr>
        <w:t>Corchorus olitorius</w:t>
      </w:r>
      <w:r w:rsidRPr="005250A4">
        <w:rPr>
          <w:rFonts w:ascii="Arial" w:eastAsia="Times New Roman" w:hAnsi="Arial" w:cs="Arial"/>
          <w:color w:val="000000" w:themeColor="text1"/>
          <w:sz w:val="20"/>
          <w:szCs w:val="20"/>
          <w:lang w:val="en-US" w:eastAsia="fr-FR"/>
        </w:rPr>
        <w:t xml:space="preserve"> (jute mallow) and </w:t>
      </w:r>
      <w:r w:rsidRPr="005250A4">
        <w:rPr>
          <w:rFonts w:ascii="Arial" w:eastAsia="Times New Roman" w:hAnsi="Arial" w:cs="Arial"/>
          <w:i/>
          <w:color w:val="000000" w:themeColor="text1"/>
          <w:sz w:val="20"/>
          <w:szCs w:val="20"/>
          <w:lang w:val="en-US" w:eastAsia="fr-FR"/>
        </w:rPr>
        <w:t>Abelmoschus esculentus</w:t>
      </w:r>
      <w:r w:rsidRPr="005250A4">
        <w:rPr>
          <w:rFonts w:ascii="Arial" w:eastAsia="Times New Roman" w:hAnsi="Arial" w:cs="Arial"/>
          <w:color w:val="000000" w:themeColor="text1"/>
          <w:sz w:val="20"/>
          <w:szCs w:val="20"/>
          <w:lang w:val="en-US" w:eastAsia="fr-FR"/>
        </w:rPr>
        <w:t xml:space="preserve"> (okra) using four distinct oils: palm kernel, red palm, olive, and soybean. The average OAC values ranged from 334.93% to 413.40% for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from 321.39% to 342.72% for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with variations observed from leaves to fruits</w:t>
      </w:r>
      <w:r w:rsidR="00897060">
        <w:rPr>
          <w:rFonts w:ascii="Arial" w:eastAsia="Times New Roman" w:hAnsi="Arial" w:cs="Arial"/>
          <w:color w:val="000000" w:themeColor="text1"/>
          <w:sz w:val="20"/>
          <w:szCs w:val="20"/>
          <w:lang w:val="en-US" w:eastAsia="fr-FR"/>
        </w:rPr>
        <w:t xml:space="preserve"> (Table 3)</w:t>
      </w:r>
      <w:r w:rsidRPr="005250A4">
        <w:rPr>
          <w:rFonts w:ascii="Arial" w:eastAsia="Times New Roman" w:hAnsi="Arial" w:cs="Arial"/>
          <w:color w:val="000000" w:themeColor="text1"/>
          <w:sz w:val="20"/>
          <w:szCs w:val="20"/>
          <w:lang w:val="en-US" w:eastAsia="fr-FR"/>
        </w:rPr>
        <w:t>. Notably,</w:t>
      </w:r>
      <w:r>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{"citationItems":[{"id":"ITEM-1","itemData":{"DOI":"10.9734/AFSJ/2021/v20i130255","author":[{"dropping-particle":"","family":"Assiéné","given":"Agamou Julien Armel","non-dropping-particle":"","parse-names":false,"suffix":""},{"dropping-particle":"","family":"Fombang","given":"Edith Nig","non-dropping-particle":"","parse-names":false,"suffix":""},{"dropping-particle":"","family":"Mbofung","given":"Carl Moses","non-dropping-particle":"","parse-names":false,"suffix":""}],"id":"ITEM-1","issue":"1","issued":{"date-parts":[["2021"]]},"page":"60-71","title":"Influence of Compounds Contents and Particle Size on Some Functional Properties of Moringa oleifera Leaves ( Lam ) Powders","type":"article-journal","volume":"20"},"uris":["http://www.mendeley.com/documents/?uuid=a2e62898-491f-4111-ac12-1a60b7402f13"]}],"mendeley":{"formattedCitation":"(Assiéné et al., 2021)","manualFormatting":"Assiéné et al. (2021)","plainTextFormattedCitation":"(Assiéné et al., 2021)","previouslyFormattedCitation":"(Assiéné et al., 2021)"},"properties":{"noteIndex":0},"schema":"https://github.com/citation-style-language/schema/raw/master/csl-citation.json"}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 xml:space="preserve">Assiéné et al.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2021)</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reported lower OAC values (257% to 261%) for </w:t>
      </w:r>
      <w:r w:rsidRPr="005250A4">
        <w:rPr>
          <w:rFonts w:ascii="Arial" w:eastAsia="Times New Roman" w:hAnsi="Arial" w:cs="Arial"/>
          <w:i/>
          <w:color w:val="000000" w:themeColor="text1"/>
          <w:sz w:val="20"/>
          <w:szCs w:val="20"/>
          <w:lang w:val="en-US" w:eastAsia="fr-FR"/>
        </w:rPr>
        <w:t>Moringa oleifera</w:t>
      </w:r>
      <w:r w:rsidRPr="005250A4">
        <w:rPr>
          <w:rFonts w:ascii="Arial" w:eastAsia="Times New Roman" w:hAnsi="Arial" w:cs="Arial"/>
          <w:color w:val="000000" w:themeColor="text1"/>
          <w:sz w:val="20"/>
          <w:szCs w:val="20"/>
          <w:lang w:val="en-US" w:eastAsia="fr-FR"/>
        </w:rPr>
        <w:t xml:space="preserve"> leaf powders than those obtained in our study. Conversely, </w:t>
      </w:r>
      <w:r w:rsidRPr="005250A4">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{"citationItems":[{"id":"ITEM-1","itemData":{"DOI":"10.5251/abjna.2013.4.1.71.77","ISSN":"21517517","abstract":"The potentials of Moringa oleifera leaf meal (MLM) as an alternative protein source for livestock in the tropical rainforest of Nigeria was evaluated in comparison with Leucaena leucocephala and Gliricidia sepium leaf meals (LLM and GLM respectively). Proximate analysis, mineral constituents, antinutritional factors and some functional properties were considered in this concern. The three tested leaf meals contain comparable crude protein levels at 22.23+0.25g100g -1 DM, 27.31g100g -1 DM and 25.03g100g -1 DM for MLM, LLM and GLM respectively, which are higher than 20% quoted as being common for Multipurpose trees(MPTS). The tested leaf meals had similar ash contents and sufficient levels of Ca, Na,Fe, K and Mg while the high EE content shows that they can be classified as oil rich plants. Pb was absent in all the leaf under investigation. Tannin content was low (3.51mg g -1 in GLM to 3.79mg g -1 in LLM), however, Phytic acid was highest in GLM. Lignin, cellulose and hemicellulose were low. The capacities of water and oil absorption (WAC &amp; OAC), foaming and emulsion capacities (FC &amp; EC) and emulsion stability (ES) were similar in MLM and LLM while GLM recorded slightly higher values. The three tested leaf meals recorded 2% least gelation concentration while iso-electric points were at pH 4, 6 and 10 indicating solubility in acidic and basic regions.These leaf meals are sources of vegetable protein for all classes of livestock and can be presented in the form of multinutrient blocks, pelleted feeds and stabilizing agents on food","author":[{"dropping-particle":"","family":"Aye","given":"P.","non-dropping-particle":"","parse-names":false,"suffix":""},{"dropping-particle":"","family":"Adegun","given":"M.","non-dropping-particle":"","parse-names":false,"suffix":""}],"container-title":"Agriculture and Biology Journal of North America","id":"ITEM-1","issue":"1","issued":{"date-parts":[["2013"]]},"page":"71-77","title":"Chemical Composition and some functional properties of Moringa, Leucaena and Gliricidia leaf meals","type":"article-journal","volume":"4"},"uris":["http://www.mendeley.com/documents/?uuid=ff41a477-6445-4303-a097-1f5e267f7b8f"]}],"mendeley":{"formattedCitation":"(Aye &amp; Adegun, 2013)","manualFormatting":"Aye &amp; Adegun (2013)","plainTextFormattedCitation":"(Aye &amp; Adegun, 2013)","previouslyFormattedCitation":"(Aye &amp; Adegun, 2013)"},"properties":{"noteIndex":0},"schema":"https://github.com/citation-style-language/schema/raw/master/csl-citation.json"}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 xml:space="preserve">Aye &amp; Adegun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2013)</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reported higher O</w:t>
      </w:r>
      <w:r w:rsidR="00936A82">
        <w:rPr>
          <w:rFonts w:ascii="Arial" w:eastAsia="Times New Roman" w:hAnsi="Arial" w:cs="Arial"/>
          <w:color w:val="000000" w:themeColor="text1"/>
          <w:sz w:val="20"/>
          <w:szCs w:val="20"/>
          <w:lang w:val="en-US" w:eastAsia="fr-FR"/>
        </w:rPr>
        <w:t>A</w:t>
      </w:r>
      <w:r w:rsidRPr="005250A4">
        <w:rPr>
          <w:rFonts w:ascii="Arial" w:eastAsia="Times New Roman" w:hAnsi="Arial" w:cs="Arial"/>
          <w:color w:val="000000" w:themeColor="text1"/>
          <w:sz w:val="20"/>
          <w:szCs w:val="20"/>
          <w:lang w:val="en-US" w:eastAsia="fr-FR"/>
        </w:rPr>
        <w:t>C values (745.60% to 820.16%) for leaf powders from several vegetable sources. Compared to the O</w:t>
      </w:r>
      <w:r w:rsidR="00936A82">
        <w:rPr>
          <w:rFonts w:ascii="Arial" w:eastAsia="Times New Roman" w:hAnsi="Arial" w:cs="Arial"/>
          <w:color w:val="000000" w:themeColor="text1"/>
          <w:sz w:val="20"/>
          <w:szCs w:val="20"/>
          <w:lang w:val="en-US" w:eastAsia="fr-FR"/>
        </w:rPr>
        <w:t>A</w:t>
      </w:r>
      <w:r w:rsidRPr="005250A4">
        <w:rPr>
          <w:rFonts w:ascii="Arial" w:eastAsia="Times New Roman" w:hAnsi="Arial" w:cs="Arial"/>
          <w:color w:val="000000" w:themeColor="text1"/>
          <w:sz w:val="20"/>
          <w:szCs w:val="20"/>
          <w:lang w:val="en-US" w:eastAsia="fr-FR"/>
        </w:rPr>
        <w:t xml:space="preserve">C values of starch-based powders (174.37% to 186.52%) reported by </w:t>
      </w:r>
      <w:r w:rsidRPr="005250A4">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{"citationItems":[{"id":"ITEM-1","itemData":{"DOI":"10.1016/j.jfoodeng.2006.12.023","ISSN":"02608774","abstract":"Achu is a paste traditionally made from taro corms by boiling, peeling and pounding in a mortar to a smooth and homogeneous consistency. The present study aims to define alternative and rapid methods to evaluate the textural hardness of achu reconstituted from taro flour. The creep recovery behaviour of achu samples made from flour of five varieties of taro was evaluated on a controlled-stress rheometer. The functional properties of the taro flours, the sensory analysis of hardness and the acceptability of reconstituted achu were also evaluated. The results showed significant variation in the functional properties of the flours. The rheological properties of the achu, the sensory hardness and overall acceptability were also significantly influenced by the variety. In general, flour which absorbed more water tended to produce achu with high level of newtonian compliance and retarded elastic compliance. The creep steady state shear compliance and the viscoelasticity index of achu, were significantly (P &lt; 0.05) correlated to the sensory hardness. © 2007.","author":[{"dropping-particle":"","family":"Njintang","given":"Y. N.","non-dropping-particle":"","parse-names":false,"suffix":""},{"dropping-particle":"","family":"Mbofung","given":"C. M.F.","non-dropping-particle":"","parse-names":false,"suffix":""},{"dropping-particle":"","family":"Moates","given":"G. K.","non-dropping-particle":"","parse-names":false,"suffix":""},{"dropping-particle":"","family":"Parker","given":"M. L.","non-dropping-particle":"","parse-names":false,"suffix":""},{"dropping-particle":"","family":"Craig","given":"F.","non-dropping-particle":"","parse-names":false,"suffix":""},{"dropping-particle":"","family":"Smith","given":"A. C.","non-dropping-particle":"","parse-names":false,"suffix":""},{"dropping-particle":"","family":"Waldron","given":"W. K.","non-dropping-particle":"","parse-names":false,"suffix":""}],"container-title":"Journal of Food Engineering","id":"ITEM-1","issue":"2","issued":{"date-parts":[["2007"]]},"page":"114-120","publisher":"Elsevier Ltd","title":"Functional properties of five varieties of taro flour, and relationship to creep recovery and sensory characteristics of achu (taro based paste)","type":"article-journal","volume":"82"},"uris":["http://www.mendeley.com/documents/?uuid=1a61ef98-2b8a-31d2-bf1f-1048a3b8cdd5","http://www.mendeley.com/documents/?uuid=08d81b2a-f5bb-425c-8feb-5e1766afbf7c"]}],"mendeley":{"formattedCitation":"(Y. N. Njintang et al., 2007)","manualFormatting":"Y. N. Njintang et al. (2007)","plainTextFormattedCitation":"(Y. N. Njintang et al., 2007)","previouslyFormattedCitation":"(Y. N. Njintang et al., 2007)"},"properties":{"noteIndex":0},"schema":"https://github.com/citation-style-language/schema/raw/master/csl-citation.json"}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Y. N. Njintang et al.</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2007)</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the vegetable powders in our study exhibited higher OACs. </w:t>
      </w:r>
      <w:r w:rsidRPr="005250A4">
        <w:rPr>
          <w:rFonts w:ascii="Arial" w:hAnsi="Arial" w:cs="Arial"/>
          <w:color w:val="000000" w:themeColor="text1"/>
          <w:sz w:val="20"/>
          <w:szCs w:val="20"/>
          <w:lang w:val="en-US"/>
        </w:rPr>
        <w:t>The observed differences are due to the content of powders containing lipophilic compounds, which have the ability to bind fatty acids from oils. Among these compounds, crude fibers (cellulose and hemicellulose) were significantly positively correlated with red palm oil (r= 0.965, p= .035) and soybean oil (r= 0.965, p= .034) in this study. These correlations indicate that the O</w:t>
      </w:r>
      <w:r w:rsidR="00DC563E">
        <w:rPr>
          <w:rFonts w:ascii="Arial" w:hAnsi="Arial" w:cs="Arial"/>
          <w:color w:val="000000" w:themeColor="text1"/>
          <w:sz w:val="20"/>
          <w:szCs w:val="20"/>
          <w:lang w:val="en-US"/>
        </w:rPr>
        <w:t>A</w:t>
      </w:r>
      <w:r w:rsidRPr="005250A4">
        <w:rPr>
          <w:rFonts w:ascii="Arial" w:hAnsi="Arial" w:cs="Arial"/>
          <w:color w:val="000000" w:themeColor="text1"/>
          <w:sz w:val="20"/>
          <w:szCs w:val="20"/>
          <w:lang w:val="en-US"/>
        </w:rPr>
        <w:t xml:space="preserve">C increases with increasing content of crude fibers in the powders. This effect is particularly </w:t>
      </w:r>
      <w:r w:rsidRPr="005250A4">
        <w:rPr>
          <w:rFonts w:ascii="Arial" w:hAnsi="Arial" w:cs="Arial"/>
          <w:color w:val="000000" w:themeColor="text1"/>
          <w:sz w:val="20"/>
          <w:szCs w:val="20"/>
          <w:lang w:val="en-US"/>
        </w:rPr>
        <w:lastRenderedPageBreak/>
        <w:t xml:space="preserve">evident in the fruits of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and the leaves of </w:t>
      </w:r>
      <w:r w:rsidRPr="005250A4">
        <w:rPr>
          <w:rFonts w:ascii="Arial" w:hAnsi="Arial" w:cs="Arial"/>
          <w:i/>
          <w:color w:val="000000" w:themeColor="text1"/>
          <w:sz w:val="20"/>
          <w:szCs w:val="20"/>
          <w:lang w:val="en-US"/>
        </w:rPr>
        <w:t>A. esculentus</w:t>
      </w:r>
      <w:r w:rsidRPr="005250A4">
        <w:rPr>
          <w:rFonts w:ascii="Arial" w:hAnsi="Arial" w:cs="Arial"/>
          <w:color w:val="000000" w:themeColor="text1"/>
          <w:sz w:val="20"/>
          <w:szCs w:val="20"/>
          <w:lang w:val="en-US"/>
        </w:rPr>
        <w:t xml:space="preserve">, where significant increases in fiber content (Table 2) correspond to maximal OAC values (Table </w:t>
      </w:r>
      <w:r w:rsidR="00897060">
        <w:rPr>
          <w:rFonts w:ascii="Arial" w:hAnsi="Arial" w:cs="Arial"/>
          <w:color w:val="000000" w:themeColor="text1"/>
          <w:sz w:val="20"/>
          <w:szCs w:val="20"/>
          <w:lang w:val="en-US"/>
        </w:rPr>
        <w:t>3</w:t>
      </w:r>
      <w:r w:rsidRPr="005250A4">
        <w:rPr>
          <w:rFonts w:ascii="Arial" w:hAnsi="Arial" w:cs="Arial"/>
          <w:color w:val="000000" w:themeColor="text1"/>
          <w:sz w:val="20"/>
          <w:szCs w:val="20"/>
          <w:lang w:val="en-US"/>
        </w:rPr>
        <w:t xml:space="preserve">). </w:t>
      </w:r>
      <w:r w:rsidRPr="005250A4">
        <w:rPr>
          <w:rFonts w:ascii="Arial" w:eastAsia="Times New Roman" w:hAnsi="Arial" w:cs="Arial"/>
          <w:color w:val="000000" w:themeColor="text1"/>
          <w:sz w:val="20"/>
          <w:szCs w:val="20"/>
          <w:lang w:val="en-US" w:eastAsia="fr-FR"/>
        </w:rPr>
        <w:t xml:space="preserve">However, fibers are not the only lipophilic compounds found in the studied powders. Proteins are also present </w:t>
      </w:r>
      <w:r w:rsidRPr="005250A4">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{"citationItems":[{"id":"ITEM-1","itemData":{"DOI":"10.1016/j.cocis.2017.04.004","ISSN":"18790399","abstract":"Soy protein isolate (SPI) is a typical commercial product of soybean, widely used as a food ingredient. SPI has long been thought to consist of two major storage proteins, namely, glycinin and β-conglycinin. However, the finding of new protein fractions, lipophilic proteins (LP), which occupy about 30% of SPI, requires us to reconsider the composition and functional properties of SPI. In this review, we consider the origin of LP and its interaction with the two storage proteins referring to recent results on the solubility of LP, glycinin, β-conglycinin, and SPI. The importance of the interaction between LP and the storage proteins is also highlighted by comparing our results with those previously published on the emulsifying properties of LP. The major component of LP is a complex of oleosin-phospholipids, and this complex forms a strong membrane surrounding the oil body in soybean seeds. The possibility of using the oil body as an emulsifying agent is also discussed, and the importance of the interaction between LP and storage proteins is highlighted.","author":[{"dropping-particle":"","family":"Matsumura","given":"Yasuki","non-dropping-particle":"","parse-names":false,"suffix":""},{"dropping-particle":"","family":"Sirison","given":"Jiraporn","non-dropping-particle":"","parse-names":false,"suffix":""},{"dropping-particle":"","family":"Ishi","given":"Toya","non-dropping-particle":"","parse-names":false,"suffix":""},{"dropping-particle":"","family":"Matsumiya","given":"Kentaro","non-dropping-particle":"","parse-names":false,"suffix":""}],"container-title":"Current Opinion in Colloid and Interface Science","id":"ITEM-1","issued":{"date-parts":[["2017"]]},"page":"120-128","publisher":"Elsevier Ltd","title":"Soybean lipophilic proteins — Origin and functional properties as affected by interaction with storage proteins","type":"article-journal","volume":"28"},"uris":["http://www.mendeley.com/documents/?uuid=10d93c10-8d14-4200-a00b-d73693ff0924","http://www.mendeley.com/documents/?uuid=9ac5ea5c-7e72-49c1-bc24-9b3bb6279b55"]}],"mendeley":{"formattedCitation":"(Matsumura et al., 2017)","plainTextFormattedCitation":"(Matsumura et al., 2017)","previouslyFormattedCitation":"(Matsumura et al., 2017)"},"properties":{"noteIndex":0},"schema":"https://github.com/citation-style-language/schema/raw/master/csl-citation.json"}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(Matsumura et al., 2017)</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Indeed, the high protein content in the powders from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leaves (Table 2) may explain the high OAC observed. The lipophilic activity of the other powders studied is certainly not negligible. </w:t>
      </w:r>
    </w:p>
    <w:p w14:paraId="23DD7298" w14:textId="4576E563" w:rsidR="00897060" w:rsidRDefault="00C43488" w:rsidP="00C43488">
      <w:pPr>
        <w:spacing w:before="100" w:beforeAutospacing="1" w:after="100" w:afterAutospacing="1" w:line="360" w:lineRule="auto"/>
        <w:jc w:val="both"/>
        <w:rPr>
          <w:rFonts w:ascii="Arial" w:hAnsi="Arial" w:cs="Arial"/>
          <w:color w:val="000000" w:themeColor="text1"/>
          <w:sz w:val="20"/>
          <w:szCs w:val="20"/>
          <w:lang w:val="en-US"/>
        </w:rPr>
      </w:pPr>
      <w:r w:rsidRPr="00D603BB">
        <w:rPr>
          <w:rFonts w:ascii="Arial" w:hAnsi="Arial" w:cs="Arial"/>
          <w:color w:val="000000" w:themeColor="text1"/>
          <w:sz w:val="20"/>
          <w:szCs w:val="20"/>
          <w:lang w:val="en-US"/>
        </w:rPr>
        <w:t>F</w:t>
      </w:r>
      <w:r w:rsidR="00897060" w:rsidRPr="00D603BB">
        <w:rPr>
          <w:rFonts w:ascii="Arial" w:hAnsi="Arial" w:cs="Arial"/>
          <w:color w:val="000000" w:themeColor="text1"/>
          <w:sz w:val="20"/>
          <w:szCs w:val="20"/>
          <w:lang w:val="en-US"/>
        </w:rPr>
        <w:t xml:space="preserve">or </w:t>
      </w:r>
      <w:r w:rsidR="00EC3F50" w:rsidRPr="00D603BB">
        <w:rPr>
          <w:rFonts w:ascii="Arial" w:hAnsi="Arial" w:cs="Arial"/>
          <w:i/>
          <w:color w:val="000000" w:themeColor="text1"/>
          <w:sz w:val="20"/>
          <w:szCs w:val="20"/>
          <w:lang w:val="en-US"/>
        </w:rPr>
        <w:t>C. olitorius</w:t>
      </w:r>
      <w:r w:rsidRPr="00D603BB">
        <w:rPr>
          <w:rFonts w:ascii="Arial" w:hAnsi="Arial" w:cs="Arial"/>
          <w:color w:val="000000" w:themeColor="text1"/>
          <w:sz w:val="20"/>
          <w:szCs w:val="20"/>
          <w:lang w:val="en-US"/>
        </w:rPr>
        <w:t xml:space="preserve">, the type of oil and the plant organ used for powder preparation had a moderate (p= .020) and highly </w:t>
      </w:r>
      <w:r w:rsidR="00897060" w:rsidRPr="00D603BB">
        <w:rPr>
          <w:rFonts w:ascii="Arial" w:hAnsi="Arial" w:cs="Arial"/>
          <w:color w:val="000000" w:themeColor="text1"/>
          <w:sz w:val="20"/>
          <w:szCs w:val="20"/>
          <w:lang w:val="en-US"/>
        </w:rPr>
        <w:t xml:space="preserve">(p= .001) </w:t>
      </w:r>
      <w:r w:rsidRPr="00D603BB">
        <w:rPr>
          <w:rFonts w:ascii="Arial" w:hAnsi="Arial" w:cs="Arial"/>
          <w:color w:val="000000" w:themeColor="text1"/>
          <w:sz w:val="20"/>
          <w:szCs w:val="20"/>
          <w:lang w:val="en-US"/>
        </w:rPr>
        <w:t xml:space="preserve">significant influence on OAC variations of 2.22% and 94.38% respectively for </w:t>
      </w:r>
      <w:r w:rsidRPr="00D603BB">
        <w:rPr>
          <w:rFonts w:ascii="Arial" w:hAnsi="Arial" w:cs="Arial"/>
          <w:i/>
          <w:color w:val="000000" w:themeColor="text1"/>
          <w:sz w:val="20"/>
          <w:szCs w:val="20"/>
          <w:lang w:val="en-US"/>
        </w:rPr>
        <w:t>C. olitorius</w:t>
      </w:r>
      <w:r w:rsidRPr="00D603BB">
        <w:rPr>
          <w:rFonts w:ascii="Arial" w:hAnsi="Arial" w:cs="Arial"/>
          <w:color w:val="000000" w:themeColor="text1"/>
          <w:sz w:val="20"/>
          <w:szCs w:val="20"/>
          <w:lang w:val="en-US"/>
        </w:rPr>
        <w:t xml:space="preserve">. Similarly, for </w:t>
      </w:r>
      <w:r w:rsidRPr="00D603BB">
        <w:rPr>
          <w:rFonts w:ascii="Arial" w:hAnsi="Arial" w:cs="Arial"/>
          <w:i/>
          <w:color w:val="000000" w:themeColor="text1"/>
          <w:sz w:val="20"/>
          <w:szCs w:val="20"/>
          <w:lang w:val="en-US"/>
        </w:rPr>
        <w:t>A. esculentus</w:t>
      </w:r>
      <w:r w:rsidRPr="00D603BB">
        <w:rPr>
          <w:rFonts w:ascii="Arial" w:hAnsi="Arial" w:cs="Arial"/>
          <w:color w:val="000000" w:themeColor="text1"/>
          <w:sz w:val="20"/>
          <w:szCs w:val="20"/>
          <w:lang w:val="en-US"/>
        </w:rPr>
        <w:t>, the influence was highly significant for both oil type (p= .001) and plant organ (p=</w:t>
      </w:r>
      <w:r w:rsidR="00607036" w:rsidRPr="00D603BB">
        <w:rPr>
          <w:rFonts w:ascii="Arial" w:hAnsi="Arial" w:cs="Arial"/>
          <w:color w:val="000000" w:themeColor="text1"/>
          <w:sz w:val="20"/>
          <w:szCs w:val="20"/>
          <w:lang w:val="en-US"/>
        </w:rPr>
        <w:t xml:space="preserve"> </w:t>
      </w:r>
      <w:r w:rsidRPr="00D603BB">
        <w:rPr>
          <w:rFonts w:ascii="Arial" w:hAnsi="Arial" w:cs="Arial"/>
          <w:color w:val="000000" w:themeColor="text1"/>
          <w:sz w:val="20"/>
          <w:szCs w:val="20"/>
          <w:lang w:val="en-US"/>
        </w:rPr>
        <w:t>.001), resulting in OAC variations of 34.91% and 45.08%, respectively. It is evident that regardless of the oil type used, OAC levels are predominantly influenced by the lipophilic compound content of the studied powders</w:t>
      </w:r>
      <w:r w:rsidRPr="005250A4">
        <w:rPr>
          <w:rFonts w:ascii="Arial" w:hAnsi="Arial" w:cs="Arial"/>
          <w:color w:val="000000" w:themeColor="text1"/>
          <w:sz w:val="20"/>
          <w:szCs w:val="20"/>
          <w:lang w:val="en-US"/>
        </w:rPr>
        <w:t>.</w:t>
      </w:r>
    </w:p>
    <w:p w14:paraId="33460F46" w14:textId="2026E7EE" w:rsidR="00C43488" w:rsidRPr="005250A4" w:rsidRDefault="00C43488" w:rsidP="00C43488">
      <w:pPr>
        <w:spacing w:before="100" w:beforeAutospacing="1" w:after="100" w:afterAutospacing="1" w:line="360" w:lineRule="auto"/>
        <w:jc w:val="both"/>
        <w:rPr>
          <w:rFonts w:ascii="Arial" w:hAnsi="Arial" w:cs="Arial"/>
          <w:color w:val="000000" w:themeColor="text1"/>
          <w:sz w:val="20"/>
          <w:szCs w:val="20"/>
          <w:lang w:val="en-US"/>
        </w:rPr>
      </w:pPr>
      <w:bookmarkStart w:id="5" w:name="_Hlk200117538"/>
      <w:r w:rsidRPr="005250A4">
        <w:rPr>
          <w:rFonts w:ascii="Arial" w:eastAsia="Times New Roman" w:hAnsi="Arial" w:cs="Arial"/>
          <w:b/>
          <w:color w:val="000000" w:themeColor="text1"/>
          <w:sz w:val="20"/>
          <w:szCs w:val="20"/>
          <w:lang w:val="en-US" w:eastAsia="fr-FR"/>
        </w:rPr>
        <w:t>Table </w:t>
      </w:r>
      <w:r w:rsidR="00166BB8">
        <w:rPr>
          <w:rFonts w:ascii="Arial" w:eastAsia="Times New Roman" w:hAnsi="Arial" w:cs="Arial"/>
          <w:b/>
          <w:color w:val="000000" w:themeColor="text1"/>
          <w:sz w:val="20"/>
          <w:szCs w:val="20"/>
          <w:lang w:val="en-US" w:eastAsia="fr-FR"/>
        </w:rPr>
        <w:t>3</w:t>
      </w:r>
      <w:r w:rsidRPr="005250A4">
        <w:rPr>
          <w:rFonts w:ascii="Arial" w:eastAsia="Times New Roman" w:hAnsi="Arial" w:cs="Arial"/>
          <w:b/>
          <w:color w:val="000000" w:themeColor="text1"/>
          <w:sz w:val="20"/>
          <w:szCs w:val="20"/>
          <w:lang w:val="en-US" w:eastAsia="fr-FR"/>
        </w:rPr>
        <w:t xml:space="preserve">: </w:t>
      </w:r>
      <w:r w:rsidR="003604EA">
        <w:rPr>
          <w:rFonts w:ascii="Arial" w:eastAsia="Times New Roman" w:hAnsi="Arial" w:cs="Arial"/>
          <w:b/>
          <w:color w:val="000000" w:themeColor="text1"/>
          <w:sz w:val="20"/>
          <w:szCs w:val="20"/>
          <w:lang w:val="en-US" w:eastAsia="fr-FR"/>
        </w:rPr>
        <w:t>O</w:t>
      </w:r>
      <w:r w:rsidRPr="005250A4">
        <w:rPr>
          <w:rFonts w:ascii="Arial" w:eastAsia="Times New Roman" w:hAnsi="Arial" w:cs="Arial"/>
          <w:b/>
          <w:color w:val="000000" w:themeColor="text1"/>
          <w:sz w:val="20"/>
          <w:szCs w:val="20"/>
          <w:lang w:val="en-US" w:eastAsia="fr-FR"/>
        </w:rPr>
        <w:t xml:space="preserve">il absorption capacity (OAC) of the leaves and fruit powders of </w:t>
      </w:r>
      <w:r w:rsidRPr="005250A4">
        <w:rPr>
          <w:rFonts w:ascii="Arial" w:eastAsia="Times New Roman" w:hAnsi="Arial" w:cs="Arial"/>
          <w:b/>
          <w:i/>
          <w:color w:val="000000" w:themeColor="text1"/>
          <w:sz w:val="20"/>
          <w:szCs w:val="20"/>
          <w:lang w:val="en-US" w:eastAsia="fr-FR"/>
        </w:rPr>
        <w:t>Corchorus olitorius</w:t>
      </w:r>
      <w:r w:rsidRPr="005250A4">
        <w:rPr>
          <w:rFonts w:ascii="Arial" w:eastAsia="Times New Roman" w:hAnsi="Arial" w:cs="Arial"/>
          <w:b/>
          <w:color w:val="000000" w:themeColor="text1"/>
          <w:sz w:val="20"/>
          <w:szCs w:val="20"/>
          <w:lang w:val="en-US" w:eastAsia="fr-FR"/>
        </w:rPr>
        <w:t xml:space="preserve"> and </w:t>
      </w:r>
      <w:r w:rsidRPr="005250A4">
        <w:rPr>
          <w:rFonts w:ascii="Arial" w:eastAsia="Times New Roman" w:hAnsi="Arial" w:cs="Arial"/>
          <w:b/>
          <w:i/>
          <w:color w:val="000000" w:themeColor="text1"/>
          <w:sz w:val="20"/>
          <w:szCs w:val="20"/>
          <w:lang w:val="en-US" w:eastAsia="fr-FR"/>
        </w:rPr>
        <w:t>Abelmoschus esculentus</w:t>
      </w:r>
    </w:p>
    <w:tbl>
      <w:tblPr>
        <w:tblStyle w:val="TableGrid"/>
        <w:tblW w:w="9214" w:type="dxa"/>
        <w:tblLook w:val="04A0" w:firstRow="1" w:lastRow="0" w:firstColumn="1" w:lastColumn="0" w:noHBand="0" w:noVBand="1"/>
      </w:tblPr>
      <w:tblGrid>
        <w:gridCol w:w="1948"/>
        <w:gridCol w:w="1596"/>
        <w:gridCol w:w="1997"/>
        <w:gridCol w:w="1848"/>
        <w:gridCol w:w="1825"/>
      </w:tblGrid>
      <w:tr w:rsidR="00C43488" w:rsidRPr="005250A4" w14:paraId="27459628" w14:textId="77777777" w:rsidTr="00BD5AB5">
        <w:trPr>
          <w:trHeight w:val="481"/>
        </w:trPr>
        <w:tc>
          <w:tcPr>
            <w:tcW w:w="1948" w:type="dxa"/>
            <w:vMerge w:val="restart"/>
            <w:tcBorders>
              <w:left w:val="nil"/>
              <w:right w:val="nil"/>
            </w:tcBorders>
            <w:vAlign w:val="center"/>
          </w:tcPr>
          <w:p w14:paraId="21C4CFE4" w14:textId="77777777" w:rsidR="00C43488" w:rsidRPr="005250A4" w:rsidRDefault="00C43488" w:rsidP="00BD5AB5">
            <w:pPr>
              <w:spacing w:line="276" w:lineRule="auto"/>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 xml:space="preserve">Oil </w:t>
            </w:r>
          </w:p>
        </w:tc>
        <w:tc>
          <w:tcPr>
            <w:tcW w:w="3593" w:type="dxa"/>
            <w:gridSpan w:val="2"/>
            <w:tcBorders>
              <w:left w:val="nil"/>
              <w:right w:val="nil"/>
            </w:tcBorders>
            <w:vAlign w:val="center"/>
          </w:tcPr>
          <w:p w14:paraId="1668210B" w14:textId="02514387" w:rsidR="00C43488" w:rsidRPr="005250A4" w:rsidRDefault="003604EA" w:rsidP="00BD5AB5">
            <w:pPr>
              <w:spacing w:line="276" w:lineRule="auto"/>
              <w:jc w:val="center"/>
              <w:rPr>
                <w:rFonts w:ascii="Arial" w:eastAsia="Times New Roman" w:hAnsi="Arial" w:cs="Arial"/>
                <w:color w:val="000000" w:themeColor="text1"/>
                <w:sz w:val="18"/>
                <w:szCs w:val="18"/>
                <w:lang w:val="en-US" w:eastAsia="fr-FR"/>
              </w:rPr>
            </w:pPr>
            <w:r w:rsidRPr="005250A4">
              <w:rPr>
                <w:rFonts w:ascii="Arial" w:hAnsi="Arial" w:cs="Arial"/>
                <w:i/>
                <w:color w:val="000000" w:themeColor="text1"/>
                <w:sz w:val="18"/>
                <w:szCs w:val="18"/>
                <w:lang w:val="en-US"/>
              </w:rPr>
              <w:t>Abelmoschus esculentus</w:t>
            </w:r>
            <w:r w:rsidRPr="005250A4">
              <w:rPr>
                <w:rFonts w:ascii="Arial" w:hAnsi="Arial" w:cs="Arial"/>
                <w:color w:val="000000" w:themeColor="text1"/>
                <w:sz w:val="18"/>
                <w:szCs w:val="18"/>
                <w:lang w:val="en-US"/>
              </w:rPr>
              <w:t xml:space="preserve"> (%)</w:t>
            </w:r>
          </w:p>
        </w:tc>
        <w:tc>
          <w:tcPr>
            <w:tcW w:w="3673" w:type="dxa"/>
            <w:gridSpan w:val="2"/>
            <w:tcBorders>
              <w:left w:val="nil"/>
              <w:right w:val="nil"/>
            </w:tcBorders>
            <w:vAlign w:val="center"/>
          </w:tcPr>
          <w:p w14:paraId="33C853DA" w14:textId="0298521C" w:rsidR="00C43488" w:rsidRPr="005250A4" w:rsidRDefault="003604EA" w:rsidP="00BD5AB5">
            <w:pPr>
              <w:spacing w:line="276" w:lineRule="auto"/>
              <w:jc w:val="center"/>
              <w:rPr>
                <w:rFonts w:ascii="Arial" w:eastAsia="Times New Roman" w:hAnsi="Arial" w:cs="Arial"/>
                <w:color w:val="000000" w:themeColor="text1"/>
                <w:sz w:val="18"/>
                <w:szCs w:val="18"/>
                <w:lang w:val="en-US" w:eastAsia="fr-FR"/>
              </w:rPr>
            </w:pPr>
            <w:r w:rsidRPr="005250A4">
              <w:rPr>
                <w:rFonts w:ascii="Arial" w:hAnsi="Arial" w:cs="Arial"/>
                <w:i/>
                <w:color w:val="000000" w:themeColor="text1"/>
                <w:sz w:val="18"/>
                <w:szCs w:val="18"/>
                <w:lang w:val="en-US"/>
              </w:rPr>
              <w:t xml:space="preserve">Corchorus olitorius </w:t>
            </w:r>
            <w:r w:rsidRPr="005250A4">
              <w:rPr>
                <w:rFonts w:ascii="Arial" w:hAnsi="Arial" w:cs="Arial"/>
                <w:color w:val="000000" w:themeColor="text1"/>
                <w:sz w:val="18"/>
                <w:szCs w:val="18"/>
                <w:lang w:val="en-US"/>
              </w:rPr>
              <w:t>(%)</w:t>
            </w:r>
          </w:p>
        </w:tc>
      </w:tr>
      <w:tr w:rsidR="003604EA" w:rsidRPr="005250A4" w14:paraId="466CD7E5" w14:textId="77777777" w:rsidTr="00BD5AB5">
        <w:trPr>
          <w:trHeight w:val="429"/>
        </w:trPr>
        <w:tc>
          <w:tcPr>
            <w:tcW w:w="1948" w:type="dxa"/>
            <w:vMerge/>
            <w:tcBorders>
              <w:left w:val="nil"/>
              <w:bottom w:val="single" w:sz="4" w:space="0" w:color="auto"/>
              <w:right w:val="nil"/>
            </w:tcBorders>
            <w:vAlign w:val="center"/>
          </w:tcPr>
          <w:p w14:paraId="339E4CB5" w14:textId="77777777" w:rsidR="003604EA" w:rsidRPr="005250A4" w:rsidRDefault="003604EA" w:rsidP="003604EA">
            <w:pPr>
              <w:spacing w:line="276" w:lineRule="auto"/>
              <w:rPr>
                <w:rFonts w:ascii="Arial" w:eastAsia="Times New Roman" w:hAnsi="Arial" w:cs="Arial"/>
                <w:color w:val="000000" w:themeColor="text1"/>
                <w:sz w:val="18"/>
                <w:szCs w:val="18"/>
                <w:lang w:val="en-US" w:eastAsia="fr-FR"/>
              </w:rPr>
            </w:pPr>
          </w:p>
        </w:tc>
        <w:tc>
          <w:tcPr>
            <w:tcW w:w="1596" w:type="dxa"/>
            <w:tcBorders>
              <w:left w:val="nil"/>
              <w:bottom w:val="single" w:sz="4" w:space="0" w:color="auto"/>
              <w:right w:val="nil"/>
            </w:tcBorders>
            <w:vAlign w:val="center"/>
          </w:tcPr>
          <w:p w14:paraId="5AF17CDE" w14:textId="3D4CF768" w:rsidR="003604EA" w:rsidRPr="005250A4" w:rsidRDefault="003604EA" w:rsidP="003604EA">
            <w:pPr>
              <w:jc w:val="center"/>
              <w:rPr>
                <w:rFonts w:ascii="Arial" w:hAnsi="Arial" w:cs="Arial"/>
                <w:color w:val="000000" w:themeColor="text1"/>
                <w:sz w:val="18"/>
                <w:szCs w:val="18"/>
                <w:lang w:val="en-US"/>
              </w:rPr>
            </w:pPr>
            <w:r w:rsidRPr="00BD5AB5">
              <w:rPr>
                <w:rFonts w:ascii="Arial" w:hAnsi="Arial" w:cs="Arial"/>
                <w:color w:val="FF0000"/>
                <w:sz w:val="18"/>
                <w:szCs w:val="18"/>
                <w:lang w:val="en-US"/>
              </w:rPr>
              <w:t>Leave</w:t>
            </w:r>
            <w:r w:rsidR="00BD5AB5" w:rsidRPr="00BD5AB5">
              <w:rPr>
                <w:rFonts w:ascii="Arial" w:hAnsi="Arial" w:cs="Arial"/>
                <w:color w:val="FF0000"/>
                <w:sz w:val="18"/>
                <w:szCs w:val="18"/>
                <w:lang w:val="en-US"/>
              </w:rPr>
              <w:t>s</w:t>
            </w:r>
          </w:p>
        </w:tc>
        <w:tc>
          <w:tcPr>
            <w:tcW w:w="1997" w:type="dxa"/>
            <w:tcBorders>
              <w:left w:val="nil"/>
              <w:bottom w:val="single" w:sz="4" w:space="0" w:color="auto"/>
              <w:right w:val="nil"/>
            </w:tcBorders>
            <w:vAlign w:val="center"/>
          </w:tcPr>
          <w:p w14:paraId="7D502491" w14:textId="1D2316C7"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Fruit</w:t>
            </w:r>
          </w:p>
        </w:tc>
        <w:tc>
          <w:tcPr>
            <w:tcW w:w="1848" w:type="dxa"/>
            <w:tcBorders>
              <w:left w:val="nil"/>
              <w:bottom w:val="single" w:sz="4" w:space="0" w:color="auto"/>
              <w:right w:val="nil"/>
            </w:tcBorders>
            <w:vAlign w:val="center"/>
          </w:tcPr>
          <w:p w14:paraId="0697B94D" w14:textId="6309E971" w:rsidR="003604EA" w:rsidRPr="005250A4" w:rsidRDefault="003604EA" w:rsidP="003604EA">
            <w:pPr>
              <w:jc w:val="center"/>
              <w:rPr>
                <w:rFonts w:ascii="Arial" w:hAnsi="Arial" w:cs="Arial"/>
                <w:color w:val="000000" w:themeColor="text1"/>
                <w:sz w:val="18"/>
                <w:szCs w:val="18"/>
                <w:lang w:val="en-US"/>
              </w:rPr>
            </w:pPr>
            <w:r w:rsidRPr="00BD5AB5">
              <w:rPr>
                <w:rFonts w:ascii="Arial" w:hAnsi="Arial" w:cs="Arial"/>
                <w:color w:val="FF0000"/>
                <w:sz w:val="18"/>
                <w:szCs w:val="18"/>
                <w:lang w:val="en-US"/>
              </w:rPr>
              <w:t>Leave</w:t>
            </w:r>
            <w:r w:rsidR="00BD5AB5" w:rsidRPr="00BD5AB5">
              <w:rPr>
                <w:rFonts w:ascii="Arial" w:hAnsi="Arial" w:cs="Arial"/>
                <w:color w:val="FF0000"/>
                <w:sz w:val="18"/>
                <w:szCs w:val="18"/>
                <w:lang w:val="en-US"/>
              </w:rPr>
              <w:t>s</w:t>
            </w:r>
          </w:p>
        </w:tc>
        <w:tc>
          <w:tcPr>
            <w:tcW w:w="1825" w:type="dxa"/>
            <w:tcBorders>
              <w:left w:val="nil"/>
              <w:bottom w:val="single" w:sz="4" w:space="0" w:color="auto"/>
              <w:right w:val="nil"/>
            </w:tcBorders>
            <w:vAlign w:val="center"/>
          </w:tcPr>
          <w:p w14:paraId="05AC84BC" w14:textId="648751A2"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Fruit</w:t>
            </w:r>
          </w:p>
        </w:tc>
      </w:tr>
      <w:tr w:rsidR="003604EA" w:rsidRPr="005250A4" w14:paraId="37D7DF14" w14:textId="77777777" w:rsidTr="00BD5AB5">
        <w:trPr>
          <w:trHeight w:val="453"/>
        </w:trPr>
        <w:tc>
          <w:tcPr>
            <w:tcW w:w="1948" w:type="dxa"/>
            <w:tcBorders>
              <w:left w:val="nil"/>
              <w:bottom w:val="nil"/>
              <w:right w:val="nil"/>
            </w:tcBorders>
          </w:tcPr>
          <w:p w14:paraId="58A33D7D" w14:textId="77777777" w:rsidR="003604EA" w:rsidRPr="005250A4" w:rsidRDefault="003604EA" w:rsidP="003604EA">
            <w:pPr>
              <w:spacing w:before="240" w:line="360" w:lineRule="auto"/>
              <w:jc w:val="both"/>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 xml:space="preserve">Palm kernel </w:t>
            </w:r>
          </w:p>
        </w:tc>
        <w:tc>
          <w:tcPr>
            <w:tcW w:w="1596" w:type="dxa"/>
            <w:tcBorders>
              <w:left w:val="nil"/>
              <w:bottom w:val="nil"/>
              <w:right w:val="nil"/>
            </w:tcBorders>
          </w:tcPr>
          <w:p w14:paraId="097AC153" w14:textId="6086B4CA"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338.00 ± 3.61</w:t>
            </w:r>
            <w:r w:rsidRPr="005250A4">
              <w:rPr>
                <w:rFonts w:ascii="Arial" w:eastAsia="Times New Roman" w:hAnsi="Arial" w:cs="Arial"/>
                <w:color w:val="000000" w:themeColor="text1"/>
                <w:sz w:val="18"/>
                <w:szCs w:val="18"/>
                <w:vertAlign w:val="superscript"/>
                <w:lang w:val="en-US" w:eastAsia="fr-FR"/>
              </w:rPr>
              <w:t>Bb</w:t>
            </w:r>
          </w:p>
        </w:tc>
        <w:tc>
          <w:tcPr>
            <w:tcW w:w="1997" w:type="dxa"/>
            <w:tcBorders>
              <w:left w:val="nil"/>
              <w:bottom w:val="nil"/>
              <w:right w:val="nil"/>
            </w:tcBorders>
          </w:tcPr>
          <w:p w14:paraId="4557499F" w14:textId="662D8EB5"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340.00 ± 1.14</w:t>
            </w:r>
            <w:r w:rsidRPr="005250A4">
              <w:rPr>
                <w:rFonts w:ascii="Arial" w:eastAsia="Times New Roman" w:hAnsi="Arial" w:cs="Arial"/>
                <w:color w:val="000000" w:themeColor="text1"/>
                <w:sz w:val="18"/>
                <w:szCs w:val="18"/>
                <w:vertAlign w:val="superscript"/>
                <w:lang w:val="en-US" w:eastAsia="fr-FR"/>
              </w:rPr>
              <w:t>Ab</w:t>
            </w:r>
            <w:r w:rsidRPr="005250A4">
              <w:rPr>
                <w:rFonts w:ascii="Arial" w:eastAsia="Times New Roman" w:hAnsi="Arial" w:cs="Arial"/>
                <w:color w:val="000000" w:themeColor="text1"/>
                <w:sz w:val="18"/>
                <w:szCs w:val="18"/>
                <w:lang w:val="en-US" w:eastAsia="fr-FR"/>
              </w:rPr>
              <w:t xml:space="preserve"> </w:t>
            </w:r>
          </w:p>
        </w:tc>
        <w:tc>
          <w:tcPr>
            <w:tcW w:w="1848" w:type="dxa"/>
            <w:tcBorders>
              <w:left w:val="nil"/>
              <w:bottom w:val="nil"/>
              <w:right w:val="nil"/>
            </w:tcBorders>
          </w:tcPr>
          <w:p w14:paraId="40B022A4" w14:textId="36CA86A8"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342.00 ± 3.33</w:t>
            </w:r>
            <w:r w:rsidRPr="005250A4">
              <w:rPr>
                <w:rFonts w:ascii="Arial" w:eastAsia="Times New Roman" w:hAnsi="Arial" w:cs="Arial"/>
                <w:color w:val="000000" w:themeColor="text1"/>
                <w:sz w:val="18"/>
                <w:szCs w:val="18"/>
                <w:vertAlign w:val="superscript"/>
                <w:lang w:val="en-US" w:eastAsia="fr-FR"/>
              </w:rPr>
              <w:t>Aab</w:t>
            </w:r>
          </w:p>
        </w:tc>
        <w:tc>
          <w:tcPr>
            <w:tcW w:w="1825" w:type="dxa"/>
            <w:tcBorders>
              <w:left w:val="nil"/>
              <w:bottom w:val="nil"/>
              <w:right w:val="nil"/>
            </w:tcBorders>
          </w:tcPr>
          <w:p w14:paraId="402DCB2A" w14:textId="36539CD4" w:rsidR="003604EA" w:rsidRPr="005250A4" w:rsidRDefault="003604EA" w:rsidP="003604EA">
            <w:pPr>
              <w:spacing w:before="240" w:line="360" w:lineRule="auto"/>
              <w:jc w:val="center"/>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409.57 ± 3.00</w:t>
            </w:r>
            <w:r w:rsidRPr="005250A4">
              <w:rPr>
                <w:rFonts w:ascii="Arial" w:eastAsia="Times New Roman" w:hAnsi="Arial" w:cs="Arial"/>
                <w:color w:val="000000" w:themeColor="text1"/>
                <w:sz w:val="18"/>
                <w:szCs w:val="18"/>
                <w:vertAlign w:val="superscript"/>
                <w:lang w:val="en-US" w:eastAsia="fr-FR"/>
              </w:rPr>
              <w:t>Bab</w:t>
            </w:r>
          </w:p>
        </w:tc>
      </w:tr>
      <w:tr w:rsidR="003604EA" w:rsidRPr="005250A4" w14:paraId="4663F4BE" w14:textId="77777777" w:rsidTr="00BD5AB5">
        <w:trPr>
          <w:trHeight w:val="453"/>
        </w:trPr>
        <w:tc>
          <w:tcPr>
            <w:tcW w:w="1948" w:type="dxa"/>
            <w:tcBorders>
              <w:top w:val="nil"/>
              <w:left w:val="nil"/>
              <w:bottom w:val="nil"/>
              <w:right w:val="nil"/>
            </w:tcBorders>
          </w:tcPr>
          <w:p w14:paraId="6F95CD6B" w14:textId="77777777" w:rsidR="003604EA" w:rsidRPr="005250A4" w:rsidRDefault="003604EA" w:rsidP="003604EA">
            <w:pPr>
              <w:spacing w:before="240" w:line="360" w:lineRule="auto"/>
              <w:jc w:val="both"/>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 xml:space="preserve">Red palm </w:t>
            </w:r>
          </w:p>
        </w:tc>
        <w:tc>
          <w:tcPr>
            <w:tcW w:w="1596" w:type="dxa"/>
            <w:tcBorders>
              <w:top w:val="nil"/>
              <w:left w:val="nil"/>
              <w:bottom w:val="nil"/>
              <w:right w:val="nil"/>
            </w:tcBorders>
          </w:tcPr>
          <w:p w14:paraId="60F662D4" w14:textId="2AD28CD0"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357.38 ± 3.66</w:t>
            </w:r>
            <w:r w:rsidRPr="005250A4">
              <w:rPr>
                <w:rFonts w:ascii="Arial" w:eastAsia="Times New Roman" w:hAnsi="Arial" w:cs="Arial"/>
                <w:color w:val="000000" w:themeColor="text1"/>
                <w:sz w:val="18"/>
                <w:szCs w:val="18"/>
                <w:vertAlign w:val="superscript"/>
                <w:lang w:val="en-US" w:eastAsia="fr-FR"/>
              </w:rPr>
              <w:t>Bb</w:t>
            </w:r>
          </w:p>
        </w:tc>
        <w:tc>
          <w:tcPr>
            <w:tcW w:w="1997" w:type="dxa"/>
            <w:tcBorders>
              <w:top w:val="nil"/>
              <w:left w:val="nil"/>
              <w:bottom w:val="nil"/>
              <w:right w:val="nil"/>
            </w:tcBorders>
          </w:tcPr>
          <w:p w14:paraId="673A3AA7" w14:textId="7CC89B5A"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327.23 ± 1.61</w:t>
            </w:r>
            <w:r w:rsidRPr="005250A4">
              <w:rPr>
                <w:rFonts w:ascii="Arial" w:eastAsia="Times New Roman" w:hAnsi="Arial" w:cs="Arial"/>
                <w:color w:val="000000" w:themeColor="text1"/>
                <w:sz w:val="18"/>
                <w:szCs w:val="18"/>
                <w:vertAlign w:val="superscript"/>
                <w:lang w:val="en-US" w:eastAsia="fr-FR"/>
              </w:rPr>
              <w:t>Ab</w:t>
            </w:r>
          </w:p>
        </w:tc>
        <w:tc>
          <w:tcPr>
            <w:tcW w:w="1848" w:type="dxa"/>
            <w:tcBorders>
              <w:top w:val="nil"/>
              <w:left w:val="nil"/>
              <w:bottom w:val="nil"/>
              <w:right w:val="nil"/>
            </w:tcBorders>
          </w:tcPr>
          <w:p w14:paraId="3FE8F820" w14:textId="129CB7F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346.38 ± 3.80</w:t>
            </w:r>
            <w:r w:rsidRPr="005250A4">
              <w:rPr>
                <w:rFonts w:ascii="Arial" w:eastAsia="Times New Roman" w:hAnsi="Arial" w:cs="Arial"/>
                <w:color w:val="000000" w:themeColor="text1"/>
                <w:sz w:val="18"/>
                <w:szCs w:val="18"/>
                <w:vertAlign w:val="superscript"/>
                <w:lang w:val="en-US" w:eastAsia="fr-FR"/>
              </w:rPr>
              <w:t>Ab</w:t>
            </w:r>
          </w:p>
        </w:tc>
        <w:tc>
          <w:tcPr>
            <w:tcW w:w="1825" w:type="dxa"/>
            <w:tcBorders>
              <w:top w:val="nil"/>
              <w:left w:val="nil"/>
              <w:bottom w:val="nil"/>
              <w:right w:val="nil"/>
            </w:tcBorders>
          </w:tcPr>
          <w:p w14:paraId="6783CD32" w14:textId="40B436D9"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420.00 ± 1.71</w:t>
            </w:r>
            <w:r w:rsidRPr="005250A4">
              <w:rPr>
                <w:rFonts w:ascii="Arial" w:eastAsia="Times New Roman" w:hAnsi="Arial" w:cs="Arial"/>
                <w:color w:val="000000" w:themeColor="text1"/>
                <w:sz w:val="18"/>
                <w:szCs w:val="18"/>
                <w:vertAlign w:val="superscript"/>
                <w:lang w:val="en-US" w:eastAsia="fr-FR"/>
              </w:rPr>
              <w:t>Bb</w:t>
            </w:r>
          </w:p>
        </w:tc>
      </w:tr>
      <w:tr w:rsidR="003604EA" w:rsidRPr="005250A4" w14:paraId="5C924B05" w14:textId="77777777" w:rsidTr="00BD5AB5">
        <w:trPr>
          <w:trHeight w:val="453"/>
        </w:trPr>
        <w:tc>
          <w:tcPr>
            <w:tcW w:w="1948" w:type="dxa"/>
            <w:tcBorders>
              <w:top w:val="nil"/>
              <w:left w:val="nil"/>
              <w:bottom w:val="nil"/>
              <w:right w:val="nil"/>
            </w:tcBorders>
          </w:tcPr>
          <w:p w14:paraId="03B1075A" w14:textId="77777777" w:rsidR="003604EA" w:rsidRPr="005250A4" w:rsidRDefault="003604EA" w:rsidP="003604EA">
            <w:pPr>
              <w:spacing w:before="240" w:line="360" w:lineRule="auto"/>
              <w:jc w:val="both"/>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Olive</w:t>
            </w:r>
          </w:p>
        </w:tc>
        <w:tc>
          <w:tcPr>
            <w:tcW w:w="1596" w:type="dxa"/>
            <w:tcBorders>
              <w:top w:val="nil"/>
              <w:left w:val="nil"/>
              <w:bottom w:val="nil"/>
              <w:right w:val="nil"/>
            </w:tcBorders>
          </w:tcPr>
          <w:p w14:paraId="3973B182" w14:textId="6A70E2D3"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341.85 ± 2.14</w:t>
            </w:r>
            <w:r w:rsidRPr="005250A4">
              <w:rPr>
                <w:rFonts w:ascii="Arial" w:eastAsia="Times New Roman" w:hAnsi="Arial" w:cs="Arial"/>
                <w:color w:val="000000" w:themeColor="text1"/>
                <w:sz w:val="18"/>
                <w:szCs w:val="18"/>
                <w:vertAlign w:val="superscript"/>
                <w:lang w:val="en-US" w:eastAsia="fr-FR"/>
              </w:rPr>
              <w:t>Ba</w:t>
            </w:r>
          </w:p>
        </w:tc>
        <w:tc>
          <w:tcPr>
            <w:tcW w:w="1997" w:type="dxa"/>
            <w:tcBorders>
              <w:top w:val="nil"/>
              <w:left w:val="nil"/>
              <w:bottom w:val="nil"/>
              <w:right w:val="nil"/>
            </w:tcBorders>
          </w:tcPr>
          <w:p w14:paraId="266D8957" w14:textId="36FCD796"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314.04 ± 3.28</w:t>
            </w:r>
            <w:r w:rsidRPr="005250A4">
              <w:rPr>
                <w:rFonts w:ascii="Arial" w:eastAsia="Times New Roman" w:hAnsi="Arial" w:cs="Arial"/>
                <w:color w:val="000000" w:themeColor="text1"/>
                <w:sz w:val="18"/>
                <w:szCs w:val="18"/>
                <w:vertAlign w:val="superscript"/>
                <w:lang w:val="en-US" w:eastAsia="fr-FR"/>
              </w:rPr>
              <w:t>Aa</w:t>
            </w:r>
          </w:p>
        </w:tc>
        <w:tc>
          <w:tcPr>
            <w:tcW w:w="1848" w:type="dxa"/>
            <w:tcBorders>
              <w:top w:val="nil"/>
              <w:left w:val="nil"/>
              <w:bottom w:val="nil"/>
              <w:right w:val="nil"/>
            </w:tcBorders>
          </w:tcPr>
          <w:p w14:paraId="533AA286" w14:textId="21497B6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319.09 ± 2.14</w:t>
            </w:r>
            <w:r w:rsidRPr="005250A4">
              <w:rPr>
                <w:rFonts w:ascii="Arial" w:eastAsia="Times New Roman" w:hAnsi="Arial" w:cs="Arial"/>
                <w:color w:val="000000" w:themeColor="text1"/>
                <w:sz w:val="18"/>
                <w:szCs w:val="18"/>
                <w:vertAlign w:val="superscript"/>
                <w:lang w:val="en-US" w:eastAsia="fr-FR"/>
              </w:rPr>
              <w:t>Aa</w:t>
            </w:r>
          </w:p>
        </w:tc>
        <w:tc>
          <w:tcPr>
            <w:tcW w:w="1825" w:type="dxa"/>
            <w:tcBorders>
              <w:top w:val="nil"/>
              <w:left w:val="nil"/>
              <w:bottom w:val="nil"/>
              <w:right w:val="nil"/>
            </w:tcBorders>
          </w:tcPr>
          <w:p w14:paraId="0B79D94E" w14:textId="5CA907C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421.80 ± 2.19</w:t>
            </w:r>
            <w:r w:rsidRPr="005250A4">
              <w:rPr>
                <w:rFonts w:ascii="Arial" w:eastAsia="Times New Roman" w:hAnsi="Arial" w:cs="Arial"/>
                <w:color w:val="000000" w:themeColor="text1"/>
                <w:sz w:val="18"/>
                <w:szCs w:val="18"/>
                <w:vertAlign w:val="superscript"/>
                <w:lang w:val="en-US" w:eastAsia="fr-FR"/>
              </w:rPr>
              <w:t>Ba</w:t>
            </w:r>
          </w:p>
        </w:tc>
      </w:tr>
      <w:tr w:rsidR="003604EA" w:rsidRPr="005250A4" w14:paraId="1D05FA18" w14:textId="77777777" w:rsidTr="00BD5AB5">
        <w:trPr>
          <w:trHeight w:val="485"/>
        </w:trPr>
        <w:tc>
          <w:tcPr>
            <w:tcW w:w="1948" w:type="dxa"/>
            <w:tcBorders>
              <w:top w:val="nil"/>
              <w:left w:val="nil"/>
              <w:bottom w:val="nil"/>
              <w:right w:val="nil"/>
            </w:tcBorders>
          </w:tcPr>
          <w:p w14:paraId="7354D5CE" w14:textId="77777777" w:rsidR="003604EA" w:rsidRPr="005250A4" w:rsidRDefault="003604EA" w:rsidP="003604EA">
            <w:pPr>
              <w:spacing w:before="240" w:line="360" w:lineRule="auto"/>
              <w:jc w:val="both"/>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 xml:space="preserve">Soybean </w:t>
            </w:r>
          </w:p>
        </w:tc>
        <w:tc>
          <w:tcPr>
            <w:tcW w:w="1596" w:type="dxa"/>
            <w:tcBorders>
              <w:top w:val="nil"/>
              <w:left w:val="nil"/>
              <w:bottom w:val="nil"/>
              <w:right w:val="nil"/>
            </w:tcBorders>
          </w:tcPr>
          <w:p w14:paraId="189B3B9F" w14:textId="07BA9BA3"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333.14 ± 2.76</w:t>
            </w:r>
            <w:r w:rsidRPr="005250A4">
              <w:rPr>
                <w:rFonts w:ascii="Arial" w:eastAsia="Times New Roman" w:hAnsi="Arial" w:cs="Arial"/>
                <w:color w:val="000000" w:themeColor="text1"/>
                <w:sz w:val="18"/>
                <w:szCs w:val="18"/>
                <w:vertAlign w:val="superscript"/>
                <w:lang w:val="en-US" w:eastAsia="fr-FR"/>
              </w:rPr>
              <w:t>Ba</w:t>
            </w:r>
          </w:p>
        </w:tc>
        <w:tc>
          <w:tcPr>
            <w:tcW w:w="1997" w:type="dxa"/>
            <w:tcBorders>
              <w:top w:val="nil"/>
              <w:left w:val="nil"/>
              <w:bottom w:val="nil"/>
              <w:right w:val="nil"/>
            </w:tcBorders>
          </w:tcPr>
          <w:p w14:paraId="164AF8F0" w14:textId="1CE77421"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303.71 ± 3.90</w:t>
            </w:r>
            <w:r w:rsidRPr="005250A4">
              <w:rPr>
                <w:rFonts w:ascii="Arial" w:eastAsia="Times New Roman" w:hAnsi="Arial" w:cs="Arial"/>
                <w:color w:val="000000" w:themeColor="text1"/>
                <w:sz w:val="18"/>
                <w:szCs w:val="18"/>
                <w:vertAlign w:val="superscript"/>
                <w:lang w:val="en-US" w:eastAsia="fr-FR"/>
              </w:rPr>
              <w:t>Aa</w:t>
            </w:r>
          </w:p>
        </w:tc>
        <w:tc>
          <w:tcPr>
            <w:tcW w:w="1848" w:type="dxa"/>
            <w:tcBorders>
              <w:top w:val="nil"/>
              <w:left w:val="nil"/>
              <w:bottom w:val="nil"/>
              <w:right w:val="nil"/>
            </w:tcBorders>
          </w:tcPr>
          <w:p w14:paraId="553CCF2D" w14:textId="1B0F287C"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332.33 ± 3.19</w:t>
            </w:r>
            <w:r w:rsidRPr="005250A4">
              <w:rPr>
                <w:rFonts w:ascii="Arial" w:eastAsia="Times New Roman" w:hAnsi="Arial" w:cs="Arial"/>
                <w:color w:val="000000" w:themeColor="text1"/>
                <w:sz w:val="18"/>
                <w:szCs w:val="18"/>
                <w:vertAlign w:val="superscript"/>
                <w:lang w:val="en-US" w:eastAsia="fr-FR"/>
              </w:rPr>
              <w:t>Aa</w:t>
            </w:r>
          </w:p>
        </w:tc>
        <w:tc>
          <w:tcPr>
            <w:tcW w:w="1825" w:type="dxa"/>
            <w:tcBorders>
              <w:top w:val="nil"/>
              <w:left w:val="nil"/>
              <w:bottom w:val="nil"/>
              <w:right w:val="nil"/>
            </w:tcBorders>
          </w:tcPr>
          <w:p w14:paraId="18E4CFD6" w14:textId="5B9B9104"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402.33 ± 3.00</w:t>
            </w:r>
            <w:r w:rsidRPr="005250A4">
              <w:rPr>
                <w:rFonts w:ascii="Arial" w:eastAsia="Times New Roman" w:hAnsi="Arial" w:cs="Arial"/>
                <w:color w:val="000000" w:themeColor="text1"/>
                <w:sz w:val="18"/>
                <w:szCs w:val="18"/>
                <w:vertAlign w:val="superscript"/>
                <w:lang w:val="en-US" w:eastAsia="fr-FR"/>
              </w:rPr>
              <w:t xml:space="preserve">Ba  </w:t>
            </w:r>
          </w:p>
        </w:tc>
      </w:tr>
      <w:tr w:rsidR="003604EA" w:rsidRPr="005250A4" w14:paraId="75348993" w14:textId="77777777" w:rsidTr="00BD5AB5">
        <w:trPr>
          <w:trHeight w:val="172"/>
        </w:trPr>
        <w:tc>
          <w:tcPr>
            <w:tcW w:w="1948" w:type="dxa"/>
            <w:tcBorders>
              <w:top w:val="nil"/>
              <w:left w:val="nil"/>
              <w:bottom w:val="single" w:sz="4" w:space="0" w:color="auto"/>
              <w:right w:val="nil"/>
            </w:tcBorders>
            <w:vAlign w:val="center"/>
          </w:tcPr>
          <w:p w14:paraId="09582AC9" w14:textId="77777777" w:rsidR="003604EA" w:rsidRPr="005250A4" w:rsidRDefault="003604EA" w:rsidP="003604EA">
            <w:pPr>
              <w:spacing w:before="240" w:line="276" w:lineRule="auto"/>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Mean</w:t>
            </w:r>
          </w:p>
        </w:tc>
        <w:tc>
          <w:tcPr>
            <w:tcW w:w="1596" w:type="dxa"/>
            <w:tcBorders>
              <w:top w:val="nil"/>
              <w:left w:val="nil"/>
              <w:bottom w:val="single" w:sz="4" w:space="0" w:color="auto"/>
              <w:right w:val="nil"/>
            </w:tcBorders>
            <w:vAlign w:val="center"/>
          </w:tcPr>
          <w:p w14:paraId="166E201D" w14:textId="1CF16DAC" w:rsidR="003604EA" w:rsidRPr="005250A4" w:rsidRDefault="003604EA" w:rsidP="003604EA">
            <w:pPr>
              <w:spacing w:before="240" w:line="276" w:lineRule="auto"/>
              <w:jc w:val="center"/>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342.60 ± 3.04</w:t>
            </w:r>
          </w:p>
        </w:tc>
        <w:tc>
          <w:tcPr>
            <w:tcW w:w="1997" w:type="dxa"/>
            <w:tcBorders>
              <w:top w:val="nil"/>
              <w:left w:val="nil"/>
              <w:bottom w:val="single" w:sz="4" w:space="0" w:color="auto"/>
              <w:right w:val="nil"/>
            </w:tcBorders>
            <w:vAlign w:val="center"/>
          </w:tcPr>
          <w:p w14:paraId="19D2A9C4" w14:textId="765ED945" w:rsidR="003604EA" w:rsidRPr="005250A4" w:rsidRDefault="003604EA" w:rsidP="003604EA">
            <w:pPr>
              <w:spacing w:before="240" w:line="276" w:lineRule="auto"/>
              <w:jc w:val="center"/>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321.24 ± 3.31</w:t>
            </w:r>
          </w:p>
        </w:tc>
        <w:tc>
          <w:tcPr>
            <w:tcW w:w="1848" w:type="dxa"/>
            <w:tcBorders>
              <w:top w:val="nil"/>
              <w:left w:val="nil"/>
              <w:bottom w:val="single" w:sz="4" w:space="0" w:color="auto"/>
              <w:right w:val="nil"/>
            </w:tcBorders>
            <w:vAlign w:val="center"/>
          </w:tcPr>
          <w:p w14:paraId="41C784A4" w14:textId="2F90D445" w:rsidR="003604EA" w:rsidRPr="005250A4" w:rsidRDefault="003604EA" w:rsidP="003604EA">
            <w:pPr>
              <w:spacing w:before="240" w:line="276" w:lineRule="auto"/>
              <w:jc w:val="center"/>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334.95 ± 3.11</w:t>
            </w:r>
          </w:p>
        </w:tc>
        <w:tc>
          <w:tcPr>
            <w:tcW w:w="1825" w:type="dxa"/>
            <w:tcBorders>
              <w:top w:val="nil"/>
              <w:left w:val="nil"/>
              <w:bottom w:val="single" w:sz="4" w:space="0" w:color="auto"/>
              <w:right w:val="nil"/>
            </w:tcBorders>
            <w:vAlign w:val="center"/>
          </w:tcPr>
          <w:p w14:paraId="1E386983" w14:textId="7A1723BC" w:rsidR="003604EA" w:rsidRPr="005250A4" w:rsidRDefault="003604EA" w:rsidP="003604EA">
            <w:pPr>
              <w:spacing w:before="240" w:line="276" w:lineRule="auto"/>
              <w:jc w:val="center"/>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413.42 ± 2.47</w:t>
            </w:r>
          </w:p>
        </w:tc>
      </w:tr>
      <w:tr w:rsidR="003604EA" w:rsidRPr="00675ED0" w14:paraId="2CC590AA" w14:textId="77777777" w:rsidTr="00BD5AB5">
        <w:trPr>
          <w:trHeight w:val="692"/>
        </w:trPr>
        <w:tc>
          <w:tcPr>
            <w:tcW w:w="9214" w:type="dxa"/>
            <w:gridSpan w:val="5"/>
            <w:tcBorders>
              <w:top w:val="single" w:sz="4" w:space="0" w:color="auto"/>
              <w:left w:val="nil"/>
              <w:bottom w:val="nil"/>
              <w:right w:val="nil"/>
            </w:tcBorders>
          </w:tcPr>
          <w:p w14:paraId="7B8EB513" w14:textId="77777777" w:rsidR="003604EA" w:rsidRPr="001B079C" w:rsidRDefault="003604EA" w:rsidP="003604EA">
            <w:pPr>
              <w:pStyle w:val="NormalWeb"/>
              <w:rPr>
                <w:rFonts w:ascii="Arial" w:hAnsi="Arial" w:cs="Arial"/>
                <w:color w:val="000000" w:themeColor="text1"/>
                <w:sz w:val="18"/>
                <w:szCs w:val="18"/>
                <w:lang w:val="en-US"/>
              </w:rPr>
            </w:pPr>
            <w:r w:rsidRPr="001B079C">
              <w:rPr>
                <w:rFonts w:ascii="Arial" w:hAnsi="Arial" w:cs="Arial"/>
                <w:color w:val="000000" w:themeColor="text1"/>
                <w:sz w:val="18"/>
                <w:szCs w:val="18"/>
                <w:lang w:val="en-US"/>
              </w:rPr>
              <w:t xml:space="preserve">Mn ± Sd: Mean ± Standard deviation. The uppercase and lowercase letters assigned to each row and column mean, respectively, for each plant matrix, indicate a significant difference at the </w:t>
            </w:r>
            <w:r w:rsidRPr="001B079C">
              <w:rPr>
                <w:rStyle w:val="Strong"/>
                <w:rFonts w:ascii="Arial" w:hAnsi="Arial" w:cs="Arial"/>
                <w:color w:val="000000" w:themeColor="text1"/>
                <w:sz w:val="18"/>
                <w:szCs w:val="18"/>
                <w:lang w:val="en-US"/>
              </w:rPr>
              <w:t>probability threshold P &lt; .05</w:t>
            </w:r>
            <w:r w:rsidRPr="001B079C">
              <w:rPr>
                <w:rFonts w:ascii="Arial" w:hAnsi="Arial" w:cs="Arial"/>
                <w:color w:val="000000" w:themeColor="text1"/>
                <w:sz w:val="18"/>
                <w:szCs w:val="18"/>
                <w:lang w:val="en-US"/>
              </w:rPr>
              <w:t>.</w:t>
            </w:r>
          </w:p>
        </w:tc>
      </w:tr>
      <w:bookmarkEnd w:id="5"/>
    </w:tbl>
    <w:p w14:paraId="324B9FDA" w14:textId="77777777" w:rsidR="00C43488" w:rsidRPr="005250A4" w:rsidRDefault="00C43488" w:rsidP="00DB449D">
      <w:pPr>
        <w:tabs>
          <w:tab w:val="left" w:pos="13144"/>
        </w:tabs>
        <w:spacing w:after="0" w:line="240" w:lineRule="auto"/>
        <w:rPr>
          <w:rFonts w:ascii="Arial" w:hAnsi="Arial" w:cs="Arial"/>
          <w:i/>
          <w:color w:val="000000" w:themeColor="text1"/>
          <w:sz w:val="20"/>
          <w:szCs w:val="20"/>
          <w:lang w:val="en-US"/>
        </w:rPr>
      </w:pPr>
    </w:p>
    <w:p w14:paraId="1A403CB9" w14:textId="77777777" w:rsidR="00C43488" w:rsidRPr="005250A4" w:rsidRDefault="00C43488" w:rsidP="00C43488">
      <w:pPr>
        <w:pStyle w:val="ListParagraph"/>
        <w:numPr>
          <w:ilvl w:val="2"/>
          <w:numId w:val="5"/>
        </w:numPr>
        <w:spacing w:before="240" w:after="0" w:line="360" w:lineRule="auto"/>
        <w:jc w:val="both"/>
        <w:rPr>
          <w:rFonts w:ascii="Arial" w:hAnsi="Arial" w:cs="Arial"/>
          <w:b/>
          <w:i/>
          <w:color w:val="000000" w:themeColor="text1"/>
          <w:sz w:val="20"/>
          <w:szCs w:val="20"/>
          <w:lang w:val="en-US"/>
        </w:rPr>
      </w:pPr>
      <w:r w:rsidRPr="005250A4">
        <w:rPr>
          <w:rFonts w:ascii="Arial" w:hAnsi="Arial" w:cs="Arial"/>
          <w:b/>
          <w:color w:val="000000" w:themeColor="text1"/>
          <w:sz w:val="20"/>
          <w:szCs w:val="20"/>
          <w:lang w:val="en-US"/>
        </w:rPr>
        <w:t xml:space="preserve">Water Absorption Capacity </w:t>
      </w:r>
    </w:p>
    <w:p w14:paraId="57A22767" w14:textId="1D8F3163" w:rsidR="00253E0F" w:rsidRDefault="00253E0F" w:rsidP="00C43488">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253E0F">
        <w:rPr>
          <w:rFonts w:ascii="Arial" w:hAnsi="Arial" w:cs="Arial"/>
          <w:sz w:val="20"/>
          <w:szCs w:val="20"/>
          <w:lang w:val="en-US"/>
        </w:rPr>
        <w:t xml:space="preserve">The leaf and fruit powders of </w:t>
      </w:r>
      <w:r w:rsidRPr="00253E0F">
        <w:rPr>
          <w:rStyle w:val="Emphasis"/>
          <w:rFonts w:ascii="Arial" w:hAnsi="Arial" w:cs="Arial"/>
          <w:sz w:val="20"/>
          <w:szCs w:val="20"/>
          <w:lang w:val="en-US"/>
        </w:rPr>
        <w:t>Corchorus olitorius</w:t>
      </w:r>
      <w:r w:rsidRPr="00253E0F">
        <w:rPr>
          <w:rFonts w:ascii="Arial" w:hAnsi="Arial" w:cs="Arial"/>
          <w:sz w:val="20"/>
          <w:szCs w:val="20"/>
          <w:lang w:val="en-US"/>
        </w:rPr>
        <w:t xml:space="preserve"> and </w:t>
      </w:r>
      <w:r w:rsidRPr="00253E0F">
        <w:rPr>
          <w:rStyle w:val="Emphasis"/>
          <w:rFonts w:ascii="Arial" w:hAnsi="Arial" w:cs="Arial"/>
          <w:sz w:val="20"/>
          <w:szCs w:val="20"/>
          <w:lang w:val="en-US"/>
        </w:rPr>
        <w:t>Abelmoschus esculentus</w:t>
      </w:r>
      <w:r w:rsidRPr="00253E0F">
        <w:rPr>
          <w:rFonts w:ascii="Arial" w:hAnsi="Arial" w:cs="Arial"/>
          <w:sz w:val="20"/>
          <w:szCs w:val="20"/>
          <w:lang w:val="en-US"/>
        </w:rPr>
        <w:t xml:space="preserve">, rich in bioactive compounds such as polyphenols, flavonoids, tannins, and fibers with significant antioxidant activity </w:t>
      </w:r>
      <w:r>
        <w:rPr>
          <w:rFonts w:ascii="Arial" w:eastAsia="Times New Roman" w:hAnsi="Arial" w:cs="Arial"/>
          <w:color w:val="000000" w:themeColor="text1"/>
          <w:sz w:val="20"/>
          <w:szCs w:val="20"/>
          <w:lang w:val="en-US" w:eastAsia="fr-FR"/>
        </w:rPr>
        <w:fldChar w:fldCharType="begin" w:fldLock="1"/>
      </w:r>
      <w:r w:rsidR="00FC5154">
        <w:rPr>
          <w:rFonts w:ascii="Arial" w:eastAsia="Times New Roman" w:hAnsi="Arial" w:cs="Arial"/>
          <w:color w:val="000000" w:themeColor="text1"/>
          <w:sz w:val="20"/>
          <w:szCs w:val="20"/>
          <w:lang w:val="en-US" w:eastAsia="fr-FR"/>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Pr>
          <w:rFonts w:ascii="Arial" w:eastAsia="Times New Roman" w:hAnsi="Arial" w:cs="Arial"/>
          <w:color w:val="000000" w:themeColor="text1"/>
          <w:sz w:val="20"/>
          <w:szCs w:val="20"/>
          <w:lang w:val="en-US" w:eastAsia="fr-FR"/>
        </w:rPr>
        <w:fldChar w:fldCharType="separate"/>
      </w:r>
      <w:r w:rsidR="00FC5154" w:rsidRPr="00FC5154">
        <w:rPr>
          <w:rFonts w:ascii="Arial" w:eastAsia="Times New Roman" w:hAnsi="Arial" w:cs="Arial"/>
          <w:noProof/>
          <w:color w:val="000000" w:themeColor="text1"/>
          <w:sz w:val="20"/>
          <w:szCs w:val="20"/>
          <w:lang w:val="en-US" w:eastAsia="fr-FR"/>
        </w:rPr>
        <w:t>(Assiéné, Djeukeu, et al., 2025)</w:t>
      </w:r>
      <w:r>
        <w:rPr>
          <w:rFonts w:ascii="Arial" w:eastAsia="Times New Roman" w:hAnsi="Arial" w:cs="Arial"/>
          <w:color w:val="000000" w:themeColor="text1"/>
          <w:sz w:val="20"/>
          <w:szCs w:val="20"/>
          <w:lang w:val="en-US" w:eastAsia="fr-FR"/>
        </w:rPr>
        <w:fldChar w:fldCharType="end"/>
      </w:r>
      <w:r w:rsidRPr="00253E0F">
        <w:rPr>
          <w:rFonts w:ascii="Arial" w:hAnsi="Arial" w:cs="Arial"/>
          <w:sz w:val="20"/>
          <w:szCs w:val="20"/>
          <w:lang w:val="en-US"/>
        </w:rPr>
        <w:t>, are commonly added to meals, beverages, yogurt, and various pharmaceutical products.</w:t>
      </w:r>
      <w:r>
        <w:rPr>
          <w:rFonts w:ascii="Arial" w:eastAsia="Times New Roman" w:hAnsi="Arial" w:cs="Arial"/>
          <w:color w:val="000000" w:themeColor="text1"/>
          <w:sz w:val="20"/>
          <w:szCs w:val="20"/>
          <w:lang w:val="en-US" w:eastAsia="fr-FR"/>
        </w:rPr>
        <w:t xml:space="preserve"> </w:t>
      </w:r>
      <w:r w:rsidR="00C43488" w:rsidRPr="005250A4">
        <w:rPr>
          <w:rFonts w:ascii="Arial" w:eastAsia="Times New Roman" w:hAnsi="Arial" w:cs="Arial"/>
          <w:color w:val="000000" w:themeColor="text1"/>
          <w:sz w:val="20"/>
          <w:szCs w:val="20"/>
          <w:lang w:val="en-US" w:eastAsia="fr-FR"/>
        </w:rPr>
        <w:t xml:space="preserve">Consequently, they can significantly impact the texture, viscosity, and sensory characteristics of these foods, affecting their overall acceptability to consumers </w:t>
      </w:r>
      <w:r w:rsidR="00C43488" w:rsidRPr="005250A4">
        <w:rPr>
          <w:rFonts w:ascii="Arial" w:hAnsi="Arial" w:cs="Arial"/>
          <w:color w:val="000000" w:themeColor="text1"/>
          <w:sz w:val="20"/>
          <w:szCs w:val="20"/>
        </w:rPr>
        <w:fldChar w:fldCharType="begin" w:fldLock="1"/>
      </w:r>
      <w:r w:rsidR="006F1DC7">
        <w:rPr>
          <w:rFonts w:ascii="Arial" w:hAnsi="Arial" w:cs="Arial"/>
          <w:color w:val="000000" w:themeColor="text1"/>
          <w:sz w:val="20"/>
          <w:szCs w:val="20"/>
          <w:lang w:val="en-US"/>
        </w:rPr>
        <w:instrText>ADDIN CSL_CITATION {"citationItems":[{"id":"ITEM-1","itemData":{"DOI":"10.12691/jfnr-1-3-1","abstract":"It is important for food materials to be delicious as well as nutritious and natural. Rapidly increasing of human population of world, environmental pollution caused by consistently developing technology, insufficient education and problems caused by wrong nutrition are making supplying of natural food is more difficult. Healthy nutrition refers to efficient and balanced nutrition, that is, efficient intake of nutrient elements (lipids, carbohydrates, proteins, vitamins, minerals) for body cells to work smoothly. But, oil content present in the structure of some food materials is a problematic situation for consumers. In order to solve this problem, dietary fibre can be used, which can improve the textural and sensual qualities of products in addition to being functional. An excessive interest has been observed over the last years in fibrous nutrients in developed countries (e.g. USA and various parts of Europe). In the present review, it has been conducted on the food products in which dietary fibres are used, changes taking place in the structures of these nutrients, the importance of the use of dietary fibres.","author":[{"dropping-particle":"","family":"Yangilar","given":"Filiz","non-dropping-particle":"","parse-names":false,"suffix":""}],"container-title":"Journal of Food and Nutrition Research","id":"ITEM-1","issue":"3","issued":{"date-parts":[["2013"]]},"page":"13-23","title":"The Application of Dietary Fibre in Food Industry : Structural Features , Effects on Health and Definition , Obtaining and Analysis of Dietary Fibre : A Review","type":"article-journal","volume":"1"},"uris":["http://www.mendeley.com/documents/?uuid=ec7439d2-be0c-4359-8009-68cad8499118","http://www.mendeley.com/documents/?uuid=15ff72bd-cdab-4f97-8bc3-19308ab29a52"]}],"mendeley":{"formattedCitation":"(Yangilar, 2013)","plainTextFormattedCitation":"(Yangilar, 2013)","previouslyFormattedCitation":"(Yangilar, 2013)"},"properties":{"noteIndex":0},"schema":"https://github.com/citation-style-language/schema/raw/master/csl-citation.json"}</w:instrText>
      </w:r>
      <w:r w:rsidR="00C43488" w:rsidRPr="005250A4">
        <w:rPr>
          <w:rFonts w:ascii="Arial" w:hAnsi="Arial" w:cs="Arial"/>
          <w:color w:val="000000" w:themeColor="text1"/>
          <w:sz w:val="20"/>
          <w:szCs w:val="20"/>
        </w:rPr>
        <w:fldChar w:fldCharType="separate"/>
      </w:r>
      <w:r w:rsidR="00C43488" w:rsidRPr="00302617">
        <w:rPr>
          <w:rFonts w:ascii="Arial" w:hAnsi="Arial" w:cs="Arial"/>
          <w:noProof/>
          <w:color w:val="000000" w:themeColor="text1"/>
          <w:sz w:val="20"/>
          <w:szCs w:val="20"/>
          <w:lang w:val="en-US"/>
        </w:rPr>
        <w:t>(Yangilar, 2013)</w:t>
      </w:r>
      <w:r w:rsidR="00C43488" w:rsidRPr="005250A4">
        <w:rPr>
          <w:rFonts w:ascii="Arial" w:hAnsi="Arial" w:cs="Arial"/>
          <w:color w:val="000000" w:themeColor="text1"/>
          <w:sz w:val="20"/>
          <w:szCs w:val="20"/>
        </w:rPr>
        <w:fldChar w:fldCharType="end"/>
      </w:r>
      <w:r w:rsidR="00C43488" w:rsidRPr="005250A4">
        <w:rPr>
          <w:rFonts w:ascii="Arial" w:eastAsia="Times New Roman" w:hAnsi="Arial" w:cs="Arial"/>
          <w:color w:val="000000" w:themeColor="text1"/>
          <w:sz w:val="20"/>
          <w:szCs w:val="20"/>
          <w:lang w:val="en-US" w:eastAsia="fr-FR"/>
        </w:rPr>
        <w:t>. Therefore, it is crucial to assess the precise amount of powder to be added. To achieve this, a fundamental functional property must be determined: water absorption capacity (WAC) (the amount of water in grams absorbed per 100 grams of powder after saturation and centrifugation) for the relevant powders.</w:t>
      </w:r>
    </w:p>
    <w:p w14:paraId="47AA4B73" w14:textId="266DA6BB" w:rsidR="00C43488" w:rsidRPr="005250A4" w:rsidRDefault="00C43488" w:rsidP="00C43488">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lastRenderedPageBreak/>
        <w:t xml:space="preserve">Table </w:t>
      </w:r>
      <w:r w:rsidR="00DB449D">
        <w:rPr>
          <w:rFonts w:ascii="Arial" w:eastAsia="Times New Roman" w:hAnsi="Arial" w:cs="Arial"/>
          <w:color w:val="000000" w:themeColor="text1"/>
          <w:sz w:val="20"/>
          <w:szCs w:val="20"/>
          <w:lang w:val="en-US" w:eastAsia="fr-FR"/>
        </w:rPr>
        <w:t xml:space="preserve">4 </w:t>
      </w:r>
      <w:r w:rsidRPr="005250A4">
        <w:rPr>
          <w:rFonts w:ascii="Arial" w:eastAsia="Times New Roman" w:hAnsi="Arial" w:cs="Arial"/>
          <w:color w:val="000000" w:themeColor="text1"/>
          <w:sz w:val="20"/>
          <w:szCs w:val="20"/>
          <w:lang w:val="en-US" w:eastAsia="fr-FR"/>
        </w:rPr>
        <w:t>presents the WAC values for the studied powders. The true water absorption capacities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ranged significantly from 82.52 ± 0.31% to 84.38 ± 0.25% for the </w:t>
      </w:r>
      <w:r w:rsidRPr="005250A4">
        <w:rPr>
          <w:rFonts w:ascii="Arial" w:eastAsia="Times New Roman" w:hAnsi="Arial" w:cs="Arial"/>
          <w:i/>
          <w:color w:val="000000" w:themeColor="text1"/>
          <w:sz w:val="20"/>
          <w:szCs w:val="20"/>
          <w:lang w:val="en-US" w:eastAsia="fr-FR"/>
        </w:rPr>
        <w:t xml:space="preserve">Corchorus olitorius </w:t>
      </w:r>
      <w:r w:rsidRPr="005250A4">
        <w:rPr>
          <w:rFonts w:ascii="Arial" w:eastAsia="Times New Roman" w:hAnsi="Arial" w:cs="Arial"/>
          <w:color w:val="000000" w:themeColor="text1"/>
          <w:sz w:val="20"/>
          <w:szCs w:val="20"/>
          <w:lang w:val="en-US" w:eastAsia="fr-FR"/>
        </w:rPr>
        <w:t>leaf and fruit powders, respectively. The apparent water absorption capacities (</w:t>
      </w:r>
      <w:proofErr w:type="spellStart"/>
      <w:r w:rsidRPr="005250A4">
        <w:rPr>
          <w:rFonts w:ascii="Arial" w:eastAsia="Times New Roman" w:hAnsi="Arial" w:cs="Arial"/>
          <w:color w:val="000000" w:themeColor="text1"/>
          <w:sz w:val="20"/>
          <w:szCs w:val="20"/>
          <w:lang w:val="en-US" w:eastAsia="fr-FR"/>
        </w:rPr>
        <w:t>WACa</w:t>
      </w:r>
      <w:proofErr w:type="spellEnd"/>
      <w:r w:rsidRPr="005250A4">
        <w:rPr>
          <w:rFonts w:ascii="Arial" w:eastAsia="Times New Roman" w:hAnsi="Arial" w:cs="Arial"/>
          <w:color w:val="000000" w:themeColor="text1"/>
          <w:sz w:val="20"/>
          <w:szCs w:val="20"/>
          <w:lang w:val="en-US" w:eastAsia="fr-FR"/>
        </w:rPr>
        <w:t xml:space="preserve">) varied from 89.57 ± 0.05% to 91.11 ± 0.09% for the same plant parts. For </w:t>
      </w:r>
      <w:r w:rsidRPr="005250A4">
        <w:rPr>
          <w:rFonts w:ascii="Arial" w:eastAsia="Times New Roman" w:hAnsi="Arial" w:cs="Arial"/>
          <w:i/>
          <w:color w:val="000000" w:themeColor="text1"/>
          <w:sz w:val="20"/>
          <w:szCs w:val="20"/>
          <w:lang w:val="en-US" w:eastAsia="fr-FR"/>
        </w:rPr>
        <w:t>Abelmoschus esculentus</w:t>
      </w:r>
      <w:r w:rsidRPr="005250A4">
        <w:rPr>
          <w:rFonts w:ascii="Arial" w:eastAsia="Times New Roman" w:hAnsi="Arial" w:cs="Arial"/>
          <w:color w:val="000000" w:themeColor="text1"/>
          <w:sz w:val="20"/>
          <w:szCs w:val="20"/>
          <w:lang w:val="en-US" w:eastAsia="fr-FR"/>
        </w:rPr>
        <w:t xml:space="preserve"> leaf and fruit powders, the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values ranged from 63.65 ± 0.12% to 81.87 ± 0.31%, while the </w:t>
      </w:r>
      <w:proofErr w:type="spellStart"/>
      <w:r w:rsidRPr="005250A4">
        <w:rPr>
          <w:rFonts w:ascii="Arial" w:eastAsia="Times New Roman" w:hAnsi="Arial" w:cs="Arial"/>
          <w:color w:val="000000" w:themeColor="text1"/>
          <w:sz w:val="20"/>
          <w:szCs w:val="20"/>
          <w:lang w:val="en-US" w:eastAsia="fr-FR"/>
        </w:rPr>
        <w:t>WACa</w:t>
      </w:r>
      <w:proofErr w:type="spellEnd"/>
      <w:r w:rsidRPr="005250A4">
        <w:rPr>
          <w:rFonts w:ascii="Arial" w:eastAsia="Times New Roman" w:hAnsi="Arial" w:cs="Arial"/>
          <w:color w:val="000000" w:themeColor="text1"/>
          <w:sz w:val="20"/>
          <w:szCs w:val="20"/>
          <w:lang w:val="en-US" w:eastAsia="fr-FR"/>
        </w:rPr>
        <w:t xml:space="preserve"> values ranged from 77.22 ± 0.17% to 89.09 ± 0.05%. Notably, these values exceed the reported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(27.02% to 28.98%) and </w:t>
      </w:r>
      <w:proofErr w:type="spellStart"/>
      <w:r w:rsidRPr="005250A4">
        <w:rPr>
          <w:rFonts w:ascii="Arial" w:eastAsia="Times New Roman" w:hAnsi="Arial" w:cs="Arial"/>
          <w:color w:val="000000" w:themeColor="text1"/>
          <w:sz w:val="20"/>
          <w:szCs w:val="20"/>
          <w:lang w:val="en-US" w:eastAsia="fr-FR"/>
        </w:rPr>
        <w:t>WACa</w:t>
      </w:r>
      <w:proofErr w:type="spellEnd"/>
      <w:r w:rsidRPr="005250A4">
        <w:rPr>
          <w:rFonts w:ascii="Arial" w:eastAsia="Times New Roman" w:hAnsi="Arial" w:cs="Arial"/>
          <w:color w:val="000000" w:themeColor="text1"/>
          <w:sz w:val="20"/>
          <w:szCs w:val="20"/>
          <w:lang w:val="en-US" w:eastAsia="fr-FR"/>
        </w:rPr>
        <w:t xml:space="preserve"> (32.88% to 35.88%) for </w:t>
      </w:r>
      <w:r w:rsidRPr="005250A4">
        <w:rPr>
          <w:rFonts w:ascii="Arial" w:eastAsia="Times New Roman" w:hAnsi="Arial" w:cs="Arial"/>
          <w:i/>
          <w:color w:val="000000" w:themeColor="text1"/>
          <w:sz w:val="20"/>
          <w:szCs w:val="20"/>
          <w:lang w:val="en-US" w:eastAsia="fr-FR"/>
        </w:rPr>
        <w:t xml:space="preserve">Moringa oleifera </w:t>
      </w:r>
      <w:r w:rsidRPr="005250A4">
        <w:rPr>
          <w:rFonts w:ascii="Arial" w:eastAsia="Times New Roman" w:hAnsi="Arial" w:cs="Arial"/>
          <w:color w:val="000000" w:themeColor="text1"/>
          <w:sz w:val="20"/>
          <w:szCs w:val="20"/>
          <w:lang w:val="en-US" w:eastAsia="fr-FR"/>
        </w:rPr>
        <w:t xml:space="preserve">leaf powders reported by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{"citationItems":[{"id":"ITEM-1","itemData":{"DOI":"10.9734/AFSJ/2021/v20i130255","author":[{"dropping-particle":"","family":"Assiéné","given":"Agamou Julien Armel","non-dropping-particle":"","parse-names":false,"suffix":""},{"dropping-particle":"","family":"Fombang","given":"Edith Nig","non-dropping-particle":"","parse-names":false,"suffix":""},{"dropping-particle":"","family":"Mbofung","given":"Carl Moses","non-dropping-particle":"","parse-names":false,"suffix":""}],"id":"ITEM-1","issue":"1","issued":{"date-parts":[["2021"]]},"page":"60-71","title":"Influence of Compounds Contents and Particle Size on Some Functional Properties of Moringa oleifera Leaves ( Lam ) Powders","type":"article-journal","volume":"20"},"uris":["http://www.mendeley.com/documents/?uuid=a2e62898-491f-4111-ac12-1a60b7402f13"]}],"mendeley":{"formattedCitation":"(Assiéné et al., 2021)","manualFormatting":"Assiéné et al. (2021)","plainTextFormattedCitation":"(Assiéné et al., 2021)","previouslyFormattedCitation":"(Assiéné et al., 2021)"},"properties":{"noteIndex":0},"schema":"https://github.com/citation-style-language/schema/raw/master/csl-citation.json"}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Assiéné et al.</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2021)</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However, these values are lower than the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(400% to 640%) reported for several leafy vegetables by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{"citationItems":[{"id":"ITEM-1","itemData":{"DOI":"10.5251/abjna.2013.4.1.71.77","ISSN":"21517517","abstract":"The potentials of Moringa oleifera leaf meal (MLM) as an alternative protein source for livestock in the tropical rainforest of Nigeria was evaluated in comparison with Leucaena leucocephala and Gliricidia sepium leaf meals (LLM and GLM respectively). Proximate analysis, mineral constituents, antinutritional factors and some functional properties were considered in this concern. The three tested leaf meals contain comparable crude protein levels at 22.23+0.25g100g -1 DM, 27.31g100g -1 DM and 25.03g100g -1 DM for MLM, LLM and GLM respectively, which are higher than 20% quoted as being common for Multipurpose trees(MPTS). The tested leaf meals had similar ash contents and sufficient levels of Ca, Na,Fe, K and Mg while the high EE content shows that they can be classified as oil rich plants. Pb was absent in all the leaf under investigation. Tannin content was low (3.51mg g -1 in GLM to 3.79mg g -1 in LLM), however, Phytic acid was highest in GLM. Lignin, cellulose and hemicellulose were low. The capacities of water and oil absorption (WAC &amp; OAC), foaming and emulsion capacities (FC &amp; EC) and emulsion stability (ES) were similar in MLM and LLM while GLM recorded slightly higher values. The three tested leaf meals recorded 2% least gelation concentration while iso-electric points were at pH 4, 6 and 10 indicating solubility in acidic and basic regions.These leaf meals are sources of vegetable protein for all classes of livestock and can be presented in the form of multinutrient blocks, pelleted feeds and stabilizing agents on food","author":[{"dropping-particle":"","family":"Aye","given":"P.","non-dropping-particle":"","parse-names":false,"suffix":""},{"dropping-particle":"","family":"Adegun","given":"M.","non-dropping-particle":"","parse-names":false,"suffix":""}],"container-title":"Agriculture and Biology Journal of North America","id":"ITEM-1","issue":"1","issued":{"date-parts":[["2013"]]},"page":"71-77","title":"Chemical Composition and some functional properties of Moringa, Leucaena and Gliricidia leaf meals","type":"article-journal","volume":"4"},"uris":["http://www.mendeley.com/documents/?uuid=ff41a477-6445-4303-a097-1f5e267f7b8f"]}],"mendeley":{"formattedCitation":"(Aye &amp; Adegun, 2013)","manualFormatting":"Aye &amp; Adegun (2013)","plainTextFormattedCitation":"(Aye &amp; Adegun, 2013)","previouslyFormattedCitation":"(Aye &amp; Adegun, 2013)"},"properties":{"noteIndex":0},"schema":"https://github.com/citation-style-language/schema/raw/master/csl-citation.json"}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Aye &amp; Adegun</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2013)</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Compared to the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(270.84% to 374.86%) of starchy food matrices (such as taro) added to meals for various techno-functional benefits, </w:t>
      </w:r>
      <w:r w:rsidRPr="007178A0">
        <w:rPr>
          <w:rFonts w:ascii="Arial" w:eastAsia="Times New Roman" w:hAnsi="Arial" w:cs="Arial"/>
          <w:color w:val="000000" w:themeColor="text1"/>
          <w:sz w:val="20"/>
          <w:szCs w:val="20"/>
          <w:lang w:val="en-US" w:eastAsia="fr-FR"/>
        </w:rPr>
        <w:t xml:space="preserve">these values are significantly lower </w:t>
      </w:r>
      <w:r w:rsidRPr="007178A0">
        <w:rPr>
          <w:rFonts w:ascii="Arial" w:eastAsia="Times New Roman" w:hAnsi="Arial" w:cs="Arial"/>
          <w:color w:val="000000" w:themeColor="text1"/>
          <w:sz w:val="20"/>
          <w:szCs w:val="20"/>
          <w:lang w:val="en-US"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{"citationItems":[{"id":"ITEM-1","itemData":{"DOI":"10.1016/j.jfoodeng.2006.12.023","ISSN":"02608774","abstract":"Achu is a paste traditionally made from taro corms by boiling, peeling and pounding in a mortar to a smooth and homogeneous consistency. The present study aims to define alternative and rapid methods to evaluate the textural hardness of achu reconstituted from taro flour. The creep recovery behaviour of achu samples made from flour of five varieties of taro was evaluated on a controlled-stress rheometer. The functional properties of the taro flours, the sensory analysis of hardness and the acceptability of reconstituted achu were also evaluated. The results showed significant variation in the functional properties of the flours. The rheological properties of the achu, the sensory hardness and overall acceptability were also significantly influenced by the variety. In general, flour which absorbed more water tended to produce achu with high level of newtonian compliance and retarded elastic compliance. The creep steady state shear compliance and the viscoelasticity index of achu, were significantly (P &lt; 0.05) correlated to the sensory hardness. © 2007.","author":[{"dropping-particle":"","family":"Njintang","given":"Y. N.","non-dropping-particle":"","parse-names":false,"suffix":""},{"dropping-particle":"","family":"Mbofung","given":"C. M.F.","non-dropping-particle":"","parse-names":false,"suffix":""},{"dropping-particle":"","family":"Moates","given":"G. K.","non-dropping-particle":"","parse-names":false,"suffix":""},{"dropping-particle":"","family":"Parker","given":"M. L.","non-dropping-particle":"","parse-names":false,"suffix":""},{"dropping-particle":"","family":"Craig","given":"F.","non-dropping-particle":"","parse-names":false,"suffix":""},{"dropping-particle":"","family":"Smith","given":"A. C.","non-dropping-particle":"","parse-names":false,"suffix":""},{"dropping-particle":"","family":"Waldron","given":"W. K.","non-dropping-particle":"","parse-names":false,"suffix":""}],"container-title":"Journal of Food Engineering","id":"ITEM-1","issue":"2","issued":{"date-parts":[["2007"]]},"page":"114-120","publisher":"Elsevier Ltd","title":"Functional properties of five varieties of taro flour, and relationship to creep recovery and sensory characteristics of achu (taro based paste)","type":"article-journal","volume":"82"},"uris":["http://www.mendeley.com/documents/?uuid=08d81b2a-f5bb-425c-8feb-5e1766afbf7c","http://www.mendeley.com/documents/?uuid=1a61ef98-2b8a-31d2-bf1f-1048a3b8cdd5"]}],"mendeley":{"formattedCitation":"(Y. N. Njintang et al., 2007)","plainTextFormattedCitation":"(Y. N. Njintang et al., 2007)","previouslyFormattedCitation":"(Y. N. Njintang et al., 2007)"},"properties":{"noteIndex":0},"schema":"https://github.com/citation-style-language/schema/raw/master/csl-citation.json"}</w:instrText>
      </w:r>
      <w:r w:rsidRPr="007178A0">
        <w:rPr>
          <w:rFonts w:ascii="Arial" w:eastAsia="Times New Roman" w:hAnsi="Arial" w:cs="Arial"/>
          <w:color w:val="000000" w:themeColor="text1"/>
          <w:sz w:val="20"/>
          <w:szCs w:val="20"/>
          <w:lang w:val="en-US" w:eastAsia="fr-FR"/>
        </w:rPr>
        <w:fldChar w:fldCharType="separate"/>
      </w:r>
      <w:r w:rsidRPr="007178A0">
        <w:rPr>
          <w:rFonts w:ascii="Arial" w:eastAsia="Times New Roman" w:hAnsi="Arial" w:cs="Arial"/>
          <w:noProof/>
          <w:color w:val="000000" w:themeColor="text1"/>
          <w:sz w:val="20"/>
          <w:szCs w:val="20"/>
          <w:lang w:val="en-US" w:eastAsia="fr-FR"/>
        </w:rPr>
        <w:t>(Y. N. Njintang et al., 2007)</w:t>
      </w:r>
      <w:r w:rsidRPr="007178A0">
        <w:rPr>
          <w:rFonts w:ascii="Arial" w:eastAsia="Times New Roman" w:hAnsi="Arial" w:cs="Arial"/>
          <w:color w:val="000000" w:themeColor="text1"/>
          <w:sz w:val="20"/>
          <w:szCs w:val="20"/>
          <w:lang w:val="en-US" w:eastAsia="fr-FR"/>
        </w:rPr>
        <w:fldChar w:fldCharType="end"/>
      </w:r>
      <w:r w:rsidRPr="007178A0">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These differences primarily arise from the chemical composition of these powders, including their fiber content, available sugars, proteins, starch, and potentially phenolic compounds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{"citationItems":[{"id":"ITEM-1","itemData":{"DOI":"10.12691/jfnr-1-3-1","abstract":"It is important for food materials to be delicious as well as nutritious and natural. Rapidly increasing of human population of world, environmental pollution caused by consistently developing technology, insufficient education and problems caused by wrong nutrition are making supplying of natural food is more difficult. Healthy nutrition refers to efficient and balanced nutrition, that is, efficient intake of nutrient elements (lipids, carbohydrates, proteins, vitamins, minerals) for body cells to work smoothly. But, oil content present in the structure of some food materials is a problematic situation for consumers. In order to solve this problem, dietary fibre can be used, which can improve the textural and sensual qualities of products in addition to being functional. An excessive interest has been observed over the last years in fibrous nutrients in developed countries (e.g. USA and various parts of Europe). In the present review, it has been conducted on the food products in which dietary fibres are used, changes taking place in the structures of these nutrients, the importance of the use of dietary fibres.","author":[{"dropping-particle":"","family":"Yangilar","given":"Filiz","non-dropping-particle":"","parse-names":false,"suffix":""}],"container-title":"Journal of Food and Nutrition Research","id":"ITEM-1","issue":"3","issued":{"date-parts":[["2013"]]},"page":"13-23","title":"The Application of Dietary Fibre in Food Industry : Structural Features , Effects on Health and Definition , Obtaining and Analysis of Dietary Fibre : A Review","type":"article-journal","volume":"1"},"uris":["http://www.mendeley.com/documents/?uuid=15ff72bd-cdab-4f97-8bc3-19308ab29a52","http://www.mendeley.com/documents/?uuid=ec7439d2-be0c-4359-8009-68cad8499118"]}],"mendeley":{"formattedCitation":"(Yangilar, 2013)","plainTextFormattedCitation":"(Yangilar, 2013)","previouslyFormattedCitation":"(Yangilar, 2013)"},"properties":{"noteIndex":0},"schema":"https://github.com/citation-style-language/schema/raw/master/csl-citation.json"}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(Yangilar, 2013)</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w:t>
      </w:r>
    </w:p>
    <w:p w14:paraId="6A91CA76" w14:textId="5152E46A" w:rsidR="00C43488" w:rsidRDefault="00C43488"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Notably, the fruit powders from the studied plant matrices (</w:t>
      </w:r>
      <w:r w:rsidRPr="005250A4">
        <w:rPr>
          <w:rFonts w:ascii="Arial" w:eastAsia="Times New Roman" w:hAnsi="Arial" w:cs="Arial"/>
          <w:i/>
          <w:color w:val="000000" w:themeColor="text1"/>
          <w:sz w:val="20"/>
          <w:szCs w:val="20"/>
          <w:lang w:val="en-US" w:eastAsia="fr-FR"/>
        </w:rPr>
        <w:t xml:space="preserve">C. olitorius </w:t>
      </w:r>
      <w:r w:rsidRPr="005250A4">
        <w:rPr>
          <w:rFonts w:ascii="Arial" w:eastAsia="Times New Roman" w:hAnsi="Arial" w:cs="Arial"/>
          <w:color w:val="000000" w:themeColor="text1"/>
          <w:sz w:val="20"/>
          <w:szCs w:val="20"/>
          <w:lang w:val="en-US" w:eastAsia="fr-FR"/>
        </w:rPr>
        <w:t xml:space="preserve">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exhibited the highest water absorption capacities (WACs) (Table </w:t>
      </w:r>
      <w:r w:rsidR="00194C84">
        <w:rPr>
          <w:rFonts w:ascii="Arial" w:eastAsia="Times New Roman" w:hAnsi="Arial" w:cs="Arial"/>
          <w:color w:val="000000" w:themeColor="text1"/>
          <w:sz w:val="20"/>
          <w:szCs w:val="20"/>
          <w:lang w:val="en-US" w:eastAsia="fr-FR"/>
        </w:rPr>
        <w:t>4</w:t>
      </w:r>
      <w:r w:rsidRPr="005250A4">
        <w:rPr>
          <w:rFonts w:ascii="Arial" w:eastAsia="Times New Roman" w:hAnsi="Arial" w:cs="Arial"/>
          <w:color w:val="000000" w:themeColor="text1"/>
          <w:sz w:val="20"/>
          <w:szCs w:val="20"/>
          <w:lang w:val="en-US" w:eastAsia="fr-FR"/>
        </w:rPr>
        <w:t>). These powders have elevated levels of crude fibers, available sugars, and substantial protein content (Table 2)</w:t>
      </w:r>
      <w:r w:rsidR="00194C84">
        <w:rPr>
          <w:rFonts w:ascii="Arial" w:eastAsia="Times New Roman" w:hAnsi="Arial" w:cs="Arial"/>
          <w:color w:val="000000" w:themeColor="text1"/>
          <w:sz w:val="20"/>
          <w:szCs w:val="20"/>
          <w:lang w:val="en-US" w:eastAsia="fr-FR"/>
        </w:rPr>
        <w:t xml:space="preserve"> </w:t>
      </w:r>
      <w:r w:rsidR="00194C84">
        <w:rPr>
          <w:rFonts w:ascii="Arial" w:eastAsia="Times New Roman" w:hAnsi="Arial" w:cs="Arial"/>
          <w:color w:val="000000" w:themeColor="text1"/>
          <w:sz w:val="20"/>
          <w:szCs w:val="20"/>
          <w:lang w:val="en-US" w:eastAsia="fr-FR"/>
        </w:rPr>
        <w:fldChar w:fldCharType="begin" w:fldLock="1"/>
      </w:r>
      <w:r w:rsidR="00FC5154">
        <w:rPr>
          <w:rFonts w:ascii="Arial" w:eastAsia="Times New Roman" w:hAnsi="Arial" w:cs="Arial"/>
          <w:color w:val="000000" w:themeColor="text1"/>
          <w:sz w:val="20"/>
          <w:szCs w:val="20"/>
          <w:lang w:val="en-US" w:eastAsia="fr-FR"/>
        </w:rPr>
        <w:instrText>ADDIN CSL_CITATION {"citationItems":[{"id":"ITEM-1","itemData":{"author":[{"dropping-particle":"","family":"Assiéné","given":"Agamou Julien Armel","non-dropping-particle":"","parse-names":false,"suffix":""},{"dropping-particle":"","family":"Djeukeu","given":"Asongni William","non-dropping-particle":"","parse-names":false,"suffix":""},{"dropping-particle":"","family":"Assiéné","given":"Oyong Damase Serge","non-dropping-particle":"","parse-names":false,"suffix":""},{"dropping-particle":"","family":"Nyangono","given":"Fernande Biyegue Christine","non-dropping-particle":"","parse-names":false,"suffix":""}],"container-title":"Asian Journal of Food Research and Nutrition","id":"ITEM-1","issue":"2","issued":{"date-parts":[["2025"]]},"page":"534-550","title":"Some Nutritional and Bioactive Characteristics of Organ Powders from Corchorus olitorius L . and Abelmoschus esculentus L . Moench Necessary for Chronic Disease Management","type":"article-journal","volume":"4"},"uris":["http://www.mendeley.com/documents/?uuid=c7e2623c-3ee2-4cc1-a747-b41eb4bd8a4a"]}],"mendeley":{"formattedCitation":"(Assiéné, Djeukeu, et al., 2025)","plainTextFormattedCitation":"(Assiéné, Djeukeu, et al., 2025)","previouslyFormattedCitation":"(Assiéné et al., 2025)"},"properties":{"noteIndex":0},"schema":"https://github.com/citation-style-language/schema/raw/master/csl-citation.json"}</w:instrText>
      </w:r>
      <w:r w:rsidR="00194C84">
        <w:rPr>
          <w:rFonts w:ascii="Arial" w:eastAsia="Times New Roman" w:hAnsi="Arial" w:cs="Arial"/>
          <w:color w:val="000000" w:themeColor="text1"/>
          <w:sz w:val="20"/>
          <w:szCs w:val="20"/>
          <w:lang w:val="en-US" w:eastAsia="fr-FR"/>
        </w:rPr>
        <w:fldChar w:fldCharType="separate"/>
      </w:r>
      <w:r w:rsidR="00FC5154" w:rsidRPr="00FC5154">
        <w:rPr>
          <w:rFonts w:ascii="Arial" w:eastAsia="Times New Roman" w:hAnsi="Arial" w:cs="Arial"/>
          <w:noProof/>
          <w:color w:val="000000" w:themeColor="text1"/>
          <w:sz w:val="20"/>
          <w:szCs w:val="20"/>
          <w:lang w:val="en-US" w:eastAsia="fr-FR"/>
        </w:rPr>
        <w:t>(Assiéné, Djeukeu, et al., 2025)</w:t>
      </w:r>
      <w:r w:rsidR="00194C8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The hydrophilic properties inherent in these compounds allow the powders to absorb both minimal and maximal amounts of water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{"citationItems":[{"id":"ITEM-1","itemData":{"DOI":"10.5897/AJB2005.000-3223","ISSN":"16845315","abstract":"Legume flours were prepared from six species of mucuna bean, M. Veracruz mottle, M. rajada, M. cochinchinensis, M. deerigeana, M. pruriens and M. veracruz white. Physicochemical and functional characteristics were carried out on full fat and defatted flours. Bulk density of the flours increased following defatting. Isoelectric point of the proteins lies between 4 and 5. Generally, solubility reduced as the pH increases until it reached isoelectric point, followed by progressive increase in solubility with further increase in pH. Defatted flours have higher water and oil absorption capacities compared with full fat samples and M. veracruz white recorded the lowest value (1.40 g/g) while M. veracruz mottle had the highest value (2.20 g/g). Gelation studies revealed that M. veracruz mottle and M. rajada recorded the highest values (20%) while M. veracruz white and M. deerigeana had the lowest value (14%). The foaming capacity in full fat flours ranged between 9.6% in M. veracruz white and 19.23% in M. pruriens while the foaming capacity in defatted flours ranged from 50.0% in both M. pruriens and M. veracruz white and 84.30% in M. veracruz mottle. In addition, foaming capacities in full fat flours are lower than those of defatted flours. Emulsion capacity ranged between 78-90% in full fat flours and 56-68% in defatted flours. © 2005 Academic Journals.","author":[{"dropping-particle":"","family":"Adebowale","given":"Y. A.","non-dropping-particle":"","parse-names":false,"suffix":""},{"dropping-particle":"","family":"Adeyemi","given":"I. A.","non-dropping-particle":"","parse-names":false,"suffix":""},{"dropping-particle":"","family":"Oshodi","given":"A. A.","non-dropping-particle":"","parse-names":false,"suffix":""}],"container-title":"African Journal of Biotechnology","id":"ITEM-1","issue":"12","issued":{"date-parts":[["2005"]]},"page":"1461-1468","title":"Functional and physicochemical properties of flours of six Mucuna species","type":"article-journal","volume":"4"},"uris":["http://www.mendeley.com/documents/?uuid=ed4b6f11-25f0-44ba-9786-76d2b343df8a"]}],"mendeley":{"formattedCitation":"(Adebowale et al., 2005)","plainTextFormattedCitation":"(Adebowale et al., 2005)","previouslyFormattedCitation":"(Adebowale et al., 2005)"},"properties":{"noteIndex":0},"schema":"https://github.com/citation-style-language/schema/raw/master/csl-citation.json"}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(Adebowale et al., 2005)</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This phenomenon likely explains the observed </w:t>
      </w:r>
      <w:proofErr w:type="spellStart"/>
      <w:r w:rsidRPr="005250A4">
        <w:rPr>
          <w:rFonts w:ascii="Arial" w:eastAsia="Times New Roman" w:hAnsi="Arial" w:cs="Arial"/>
          <w:color w:val="000000" w:themeColor="text1"/>
          <w:sz w:val="20"/>
          <w:szCs w:val="20"/>
          <w:lang w:val="en-US" w:eastAsia="fr-FR"/>
        </w:rPr>
        <w:t>WACt</w:t>
      </w:r>
      <w:proofErr w:type="spellEnd"/>
      <w:r w:rsidRPr="005250A4">
        <w:rPr>
          <w:rFonts w:ascii="Arial" w:eastAsia="Times New Roman" w:hAnsi="Arial" w:cs="Arial"/>
          <w:color w:val="000000" w:themeColor="text1"/>
          <w:sz w:val="20"/>
          <w:szCs w:val="20"/>
          <w:lang w:val="en-US" w:eastAsia="fr-FR"/>
        </w:rPr>
        <w:t xml:space="preserve"> and </w:t>
      </w:r>
      <w:proofErr w:type="spellStart"/>
      <w:r w:rsidRPr="005250A4">
        <w:rPr>
          <w:rFonts w:ascii="Arial" w:eastAsia="Times New Roman" w:hAnsi="Arial" w:cs="Arial"/>
          <w:color w:val="000000" w:themeColor="text1"/>
          <w:sz w:val="20"/>
          <w:szCs w:val="20"/>
          <w:lang w:val="en-US" w:eastAsia="fr-FR"/>
        </w:rPr>
        <w:t>WACa</w:t>
      </w:r>
      <w:proofErr w:type="spellEnd"/>
      <w:r w:rsidRPr="005250A4">
        <w:rPr>
          <w:rFonts w:ascii="Arial" w:eastAsia="Times New Roman" w:hAnsi="Arial" w:cs="Arial"/>
          <w:color w:val="000000" w:themeColor="text1"/>
          <w:sz w:val="20"/>
          <w:szCs w:val="20"/>
          <w:lang w:val="en-US" w:eastAsia="fr-FR"/>
        </w:rPr>
        <w:t xml:space="preserve"> values in our study. Specifically, dietary fibers are carbohydrate polymers with a degree of polymerization equal to or greater than three. They remain undigested and unabsorbed in the small intestine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{"citationItems":[{"id":"ITEM-1","itemData":{"DOI":"10.12691/jfnr-1-3-1","abstract":"It is important for food materials to be delicious as well as nutritious and natural. Rapidly increasing of human population of world, environmental pollution caused by consistently developing technology, insufficient education and problems caused by wrong nutrition are making supplying of natural food is more difficult. Healthy nutrition refers to efficient and balanced nutrition, that is, efficient intake of nutrient elements (lipids, carbohydrates, proteins, vitamins, minerals) for body cells to work smoothly. But, oil content present in the structure of some food materials is a problematic situation for consumers. In order to solve this problem, dietary fibre can be used, which can improve the textural and sensual qualities of products in addition to being functional. An excessive interest has been observed over the last years in fibrous nutrients in developed countries (e.g. USA and various parts of Europe). In the present review, it has been conducted on the food products in which dietary fibres are used, changes taking place in the structures of these nutrients, the importance of the use of dietary fibres.","author":[{"dropping-particle":"","family":"Yangilar","given":"Filiz","non-dropping-particle":"","parse-names":false,"suffix":""}],"container-title":"Journal of Food and Nutrition Research","id":"ITEM-1","issue":"3","issued":{"date-parts":[["2013"]]},"page":"13-23","title":"The Application of Dietary Fibre in Food Industry : Structural Features , Effects on Health and Definition , Obtaining and Analysis of Dietary Fibre : A Review","type":"article-journal","volume":"1"},"uris":["http://www.mendeley.com/documents/?uuid=15ff72bd-cdab-4f97-8bc3-19308ab29a52","http://www.mendeley.com/documents/?uuid=ec7439d2-be0c-4359-8009-68cad8499118"]}],"mendeley":{"formattedCitation":"(Yangilar, 2013)","plainTextFormattedCitation":"(Yangilar, 2013)","previouslyFormattedCitation":"(Yangilar, 2013)"},"properties":{"noteIndex":0},"schema":"https://github.com/citation-style-language/schema/raw/master/csl-citation.json"}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(Yangilar, 2013)</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Among these fibers, we find soluble fibers (such as fructo-oligosaccharides) and insoluble fibers (such as cellulose, hemicellulose, and lignin) </w:t>
      </w:r>
      <w:r w:rsidRPr="005250A4">
        <w:rPr>
          <w:rFonts w:ascii="Arial" w:eastAsia="Times New Roman" w:hAnsi="Arial" w:cs="Arial"/>
          <w:color w:val="000000" w:themeColor="text1"/>
          <w:sz w:val="20"/>
          <w:szCs w:val="20"/>
          <w:lang w:eastAsia="fr-FR"/>
        </w:rPr>
        <w:fldChar w:fldCharType="begin" w:fldLock="1"/>
      </w:r>
      <w:r w:rsidR="006F1DC7">
        <w:rPr>
          <w:rFonts w:ascii="Arial" w:eastAsia="Times New Roman" w:hAnsi="Arial" w:cs="Arial"/>
          <w:color w:val="000000" w:themeColor="text1"/>
          <w:sz w:val="20"/>
          <w:szCs w:val="20"/>
          <w:lang w:val="en-US" w:eastAsia="fr-FR"/>
        </w:rPr>
        <w:instrText>ADDIN CSL_CITATION {"citationItems":[{"id":"ITEM-1","itemData":{"DOI":"10.1016/B978-0-12-805130-6.00003-3","ISBN":"9780128052754","abstract":"Dietary fiber has been extensively studied in last few decades for their physiological health benefits. Depending on its solubility, dietary fibers are classified in two groups-soluble and insoluble dietary fibers. Soluble dietary fibers include β-glucan, galactomannan, pectin, psyllium, inulin, and resistant starch, whereas insoluble fibers include cellulose, hemicellulose, chitosan, lignin, etc. Dietary fibers are characterized with some physicochemical properties, such as solubility, fermentability, viscosity, water absorption, binding ability and so on. These properties are responsible for the functional behavior of dietary fibers. In this chapter, classification, physicochemical properties, and interactions of soluble and insoluble dietary fibers are discussed with respect to their specific health benefit.","author":[{"dropping-particle":"","family":"Mudgil","given":"Deepak","non-dropping-particle":"","parse-names":false,"suffix":""}],"container-title":"Dietary Fiber for the Prevention of Cardiovascular Disease: Fiber's Interaction between Gut Micoflora, Sugar Metabolism, Weight Control and Cardiovascular Health","id":"ITEM-1","issued":{"date-parts":[["2017"]]},"number-of-pages":"35-59","publisher":"Elsevier Inc.","title":"The Interaction Between Insoluble and Soluble Fiber","type":"book"},"uris":["http://www.mendeley.com/documents/?uuid=eff63c85-c97a-47d5-97d3-e8c581dd495e","http://www.mendeley.com/documents/?uuid=036eab8b-4f42-4e6d-832a-52c8e11ac9ae"]}],"mendeley":{"formattedCitation":"(Mudgil, 2017)","plainTextFormattedCitation":"(Mudgil, 2017)","previouslyFormattedCitation":"(Mudgil, 2017)"},"properties":{"noteIndex":0},"schema":"https://github.com/citation-style-language/schema/raw/master/csl-citation.json"}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(Mudgil, 2017)</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These compounds, including cellulose, hemicellulose, lignin, and various hydrophilic functional groups (such as hydroxyl [-OH], carboxyl [-COOH], and aldehyde [-COH]), play a crucial role in the water and oil absorption capacity as well as the swelling behavior of these powders </w:t>
      </w:r>
      <w:r w:rsidRPr="005250A4">
        <w:rPr>
          <w:rFonts w:ascii="Arial" w:hAnsi="Arial" w:cs="Arial"/>
          <w:color w:val="000000" w:themeColor="text1"/>
          <w:sz w:val="20"/>
          <w:szCs w:val="20"/>
        </w:rPr>
        <w:fldChar w:fldCharType="begin" w:fldLock="1"/>
      </w:r>
      <w:r w:rsidR="006F1DC7">
        <w:rPr>
          <w:rFonts w:ascii="Arial" w:hAnsi="Arial" w:cs="Arial"/>
          <w:color w:val="000000" w:themeColor="text1"/>
          <w:sz w:val="20"/>
          <w:szCs w:val="20"/>
          <w:lang w:val="en-US"/>
        </w:rPr>
        <w:instrText>ADDIN CSL_CITATION {"citationItems":[{"id":"ITEM-1","itemData":{"DOI":"10.1016/B978-0-12-805130-6.00003-3","ISBN":"9780128052754","abstract":"Dietary fiber has been extensively studied in last few decades for their physiological health benefits. Depending on its solubility, dietary fibers are classified in two groups-soluble and insoluble dietary fibers. Soluble dietary fibers include β-glucan, galactomannan, pectin, psyllium, inulin, and resistant starch, whereas insoluble fibers include cellulose, hemicellulose, chitosan, lignin, etc. Dietary fibers are characterized with some physicochemical properties, such as solubility, fermentability, viscosity, water absorption, binding ability and so on. These properties are responsible for the functional behavior of dietary fibers. In this chapter, classification, physicochemical properties, and interactions of soluble and insoluble dietary fibers are discussed with respect to their specific health benefit.","author":[{"dropping-particle":"","family":"Mudgil","given":"Deepak","non-dropping-particle":"","parse-names":false,"suffix":""}],"container-title":"Dietary Fiber for the Prevention of Cardiovascular Disease: Fiber's Interaction between Gut Micoflora, Sugar Metabolism, Weight Control and Cardiovascular Health","id":"ITEM-1","issued":{"date-parts":[["2017"]]},"number-of-pages":"35-59","publisher":"Elsevier Inc.","title":"The Interaction Between Insoluble and Soluble Fiber","type":"book"},"uris":["http://www.mendeley.com/documents/?uuid=036eab8b-4f42-4e6d-832a-52c8e11ac9ae","http://www.mendeley.com/documents/?uuid=eff63c85-c97a-47d5-97d3-e8c581dd495e"]}],"mendeley":{"formattedCitation":"(Mudgil, 2017)","plainTextFormattedCitation":"(Mudgil, 2017)","previouslyFormattedCitation":"(Mudgil, 2017)"},"properties":{"noteIndex":0},"schema":"https://github.com/citation-style-language/schema/raw/master/csl-citation.json"}</w:instrText>
      </w:r>
      <w:r w:rsidRPr="005250A4">
        <w:rPr>
          <w:rFonts w:ascii="Arial" w:hAnsi="Arial" w:cs="Arial"/>
          <w:color w:val="000000" w:themeColor="text1"/>
          <w:sz w:val="20"/>
          <w:szCs w:val="20"/>
        </w:rPr>
        <w:fldChar w:fldCharType="separate"/>
      </w:r>
      <w:r w:rsidRPr="00302617">
        <w:rPr>
          <w:rFonts w:ascii="Arial" w:hAnsi="Arial" w:cs="Arial"/>
          <w:noProof/>
          <w:color w:val="000000" w:themeColor="text1"/>
          <w:sz w:val="20"/>
          <w:szCs w:val="20"/>
          <w:lang w:val="en-US"/>
        </w:rPr>
        <w:t>(Mudgil, 2017)</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xml:space="preserve">. The presence of insoluble fibers in the powders offers several functional advantages, including increased volume of salts in the intestinal lumen, reduced transit time, and satiety effects. Additionally, proteins, which also possess carboxyl groups, have an amino functional group (−NH2) with hydrophilic properties that enhance the water absorption capacity of powders </w:t>
      </w:r>
      <w:r w:rsidRPr="005250A4">
        <w:rPr>
          <w:rFonts w:ascii="Arial" w:hAnsi="Arial" w:cs="Arial"/>
          <w:color w:val="000000" w:themeColor="text1"/>
          <w:sz w:val="20"/>
          <w:szCs w:val="20"/>
        </w:rPr>
        <w:fldChar w:fldCharType="begin" w:fldLock="1"/>
      </w:r>
      <w:r w:rsidR="006F1DC7">
        <w:rPr>
          <w:rFonts w:ascii="Arial" w:hAnsi="Arial" w:cs="Arial"/>
          <w:color w:val="000000" w:themeColor="text1"/>
          <w:sz w:val="20"/>
          <w:szCs w:val="20"/>
          <w:lang w:val="en-US"/>
        </w:rPr>
        <w:instrText>ADDIN CSL_CITATION {"citationItems":[{"id":"ITEM-1","itemData":{"DOI":"10.1016/j.cocis.2017.04.004","ISSN":"18790399","abstract":"Soy protein isolate (SPI) is a typical commercial product of soybean, widely used as a food ingredient. SPI has long been thought to consist of two major storage proteins, namely, glycinin and β-conglycinin. However, the finding of new protein fractions, lipophilic proteins (LP), which occupy about 30% of SPI, requires us to reconsider the composition and functional properties of SPI. In this review, we consider the origin of LP and its interaction with the two storage proteins referring to recent results on the solubility of LP, glycinin, β-conglycinin, and SPI. The importance of the interaction between LP and the storage proteins is also highlighted by comparing our results with those previously published on the emulsifying properties of LP. The major component of LP is a complex of oleosin-phospholipids, and this complex forms a strong membrane surrounding the oil body in soybean seeds. The possibility of using the oil body as an emulsifying agent is also discussed, and the importance of the interaction between LP and storage proteins is highlighted.","author":[{"dropping-particle":"","family":"Matsumura","given":"Yasuki","non-dropping-particle":"","parse-names":false,"suffix":""},{"dropping-particle":"","family":"Sirison","given":"Jiraporn","non-dropping-particle":"","parse-names":false,"suffix":""},{"dropping-particle":"","family":"Ishi","given":"Toya","non-dropping-particle":"","parse-names":false,"suffix":""},{"dropping-particle":"","family":"Matsumiya","given":"Kentaro","non-dropping-particle":"","parse-names":false,"suffix":""}],"container-title":"Current Opinion in Colloid and Interface Science","id":"ITEM-1","issued":{"date-parts":[["2017"]]},"page":"120-128","publisher":"Elsevier Ltd","title":"Soybean lipophilic proteins — Origin and functional properties as affected by interaction with storage proteins","type":"article-journal","volume":"28"},"uris":["http://www.mendeley.com/documents/?uuid=9ac5ea5c-7e72-49c1-bc24-9b3bb6279b55","http://www.mendeley.com/documents/?uuid=10d93c10-8d14-4200-a00b-d73693ff0924"]}],"mendeley":{"formattedCitation":"(Matsumura et al., 2017)","plainTextFormattedCitation":"(Matsumura et al., 2017)","previouslyFormattedCitation":"(Matsumura et al., 2017)"},"properties":{"noteIndex":0},"schema":"https://github.com/citation-style-language/schema/raw/master/csl-citation.json"}</w:instrText>
      </w:r>
      <w:r w:rsidRPr="005250A4">
        <w:rPr>
          <w:rFonts w:ascii="Arial" w:hAnsi="Arial" w:cs="Arial"/>
          <w:color w:val="000000" w:themeColor="text1"/>
          <w:sz w:val="20"/>
          <w:szCs w:val="20"/>
        </w:rPr>
        <w:fldChar w:fldCharType="separate"/>
      </w:r>
      <w:r w:rsidRPr="00302617">
        <w:rPr>
          <w:rFonts w:ascii="Arial" w:hAnsi="Arial" w:cs="Arial"/>
          <w:noProof/>
          <w:color w:val="000000" w:themeColor="text1"/>
          <w:sz w:val="20"/>
          <w:szCs w:val="20"/>
          <w:lang w:val="en-US"/>
        </w:rPr>
        <w:t>(Matsumura et al., 2017)</w:t>
      </w:r>
      <w:r w:rsidRPr="005250A4">
        <w:rPr>
          <w:rFonts w:ascii="Arial" w:hAnsi="Arial" w:cs="Arial"/>
          <w:color w:val="000000" w:themeColor="text1"/>
          <w:sz w:val="20"/>
          <w:szCs w:val="20"/>
        </w:rPr>
        <w:fldChar w:fldCharType="end"/>
      </w:r>
      <w:r w:rsidRPr="005250A4">
        <w:rPr>
          <w:rFonts w:ascii="Arial" w:eastAsia="Times New Roman" w:hAnsi="Arial" w:cs="Arial"/>
          <w:color w:val="000000" w:themeColor="text1"/>
          <w:sz w:val="20"/>
          <w:szCs w:val="20"/>
          <w:lang w:val="en-US" w:eastAsia="fr-FR"/>
        </w:rPr>
        <w:t>. This water absorption is also related to the solubility of the powders in water.</w:t>
      </w:r>
    </w:p>
    <w:p w14:paraId="0F21DA9E" w14:textId="20CC94C1" w:rsidR="00EA43D8" w:rsidRDefault="00EA43D8"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p>
    <w:p w14:paraId="637360D1" w14:textId="5C560E50" w:rsidR="00EA43D8" w:rsidRDefault="00EA43D8"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p>
    <w:p w14:paraId="6C6FEB7A" w14:textId="1CA98E0D" w:rsidR="00EA43D8" w:rsidRDefault="00EA43D8"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p>
    <w:p w14:paraId="2FBB3D66" w14:textId="3D2F4021" w:rsidR="00EA43D8" w:rsidRDefault="00EA43D8"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p>
    <w:p w14:paraId="58BC162B" w14:textId="77777777" w:rsidR="00EA43D8" w:rsidRPr="005250A4" w:rsidRDefault="00EA43D8" w:rsidP="00DB449D">
      <w:pPr>
        <w:spacing w:before="100" w:beforeAutospacing="1" w:after="100" w:afterAutospacing="1" w:line="360" w:lineRule="auto"/>
        <w:jc w:val="both"/>
        <w:rPr>
          <w:rStyle w:val="fontstyle01"/>
          <w:rFonts w:ascii="Arial" w:hAnsi="Arial" w:cs="Arial"/>
          <w:color w:val="000000" w:themeColor="text1"/>
          <w:sz w:val="20"/>
          <w:szCs w:val="20"/>
          <w:lang w:val="en-US"/>
        </w:rPr>
      </w:pPr>
    </w:p>
    <w:p w14:paraId="761109CC" w14:textId="4CE27FC2" w:rsidR="00C43488" w:rsidRPr="00BF0441" w:rsidRDefault="00C43488" w:rsidP="00C43488">
      <w:pPr>
        <w:spacing w:before="240" w:line="360" w:lineRule="auto"/>
        <w:jc w:val="both"/>
        <w:rPr>
          <w:rFonts w:ascii="Arial" w:eastAsia="Times New Roman" w:hAnsi="Arial" w:cs="Arial"/>
          <w:b/>
          <w:bCs/>
          <w:i/>
          <w:color w:val="000000" w:themeColor="text1"/>
          <w:sz w:val="20"/>
          <w:szCs w:val="20"/>
          <w:lang w:val="en-US" w:eastAsia="fr-FR"/>
        </w:rPr>
      </w:pPr>
      <w:r w:rsidRPr="00BF0441">
        <w:rPr>
          <w:rFonts w:ascii="Arial" w:eastAsia="Times New Roman" w:hAnsi="Arial" w:cs="Arial"/>
          <w:b/>
          <w:bCs/>
          <w:color w:val="000000" w:themeColor="text1"/>
          <w:sz w:val="20"/>
          <w:szCs w:val="20"/>
          <w:lang w:val="en-US" w:eastAsia="fr-FR"/>
        </w:rPr>
        <w:lastRenderedPageBreak/>
        <w:t>Table </w:t>
      </w:r>
      <w:r w:rsidR="00EB03D6" w:rsidRPr="00BF0441">
        <w:rPr>
          <w:rFonts w:ascii="Arial" w:eastAsia="Times New Roman" w:hAnsi="Arial" w:cs="Arial"/>
          <w:b/>
          <w:bCs/>
          <w:color w:val="000000" w:themeColor="text1"/>
          <w:sz w:val="20"/>
          <w:szCs w:val="20"/>
          <w:lang w:val="en-US" w:eastAsia="fr-FR"/>
        </w:rPr>
        <w:t>4:</w:t>
      </w:r>
      <w:r w:rsidRPr="00BF0441">
        <w:rPr>
          <w:rFonts w:ascii="Arial" w:eastAsia="Times New Roman" w:hAnsi="Arial" w:cs="Arial"/>
          <w:b/>
          <w:bCs/>
          <w:color w:val="000000" w:themeColor="text1"/>
          <w:sz w:val="20"/>
          <w:szCs w:val="20"/>
          <w:lang w:val="en-US" w:eastAsia="fr-FR"/>
        </w:rPr>
        <w:t xml:space="preserve"> Water absorption capacity, density and porosity of the leaves and fruit powders of</w:t>
      </w:r>
      <w:r w:rsidRPr="00BF0441">
        <w:rPr>
          <w:rFonts w:ascii="Arial" w:eastAsia="Times New Roman" w:hAnsi="Arial" w:cs="Arial"/>
          <w:b/>
          <w:bCs/>
          <w:i/>
          <w:color w:val="000000" w:themeColor="text1"/>
          <w:sz w:val="20"/>
          <w:szCs w:val="20"/>
          <w:lang w:val="en-US" w:eastAsia="fr-FR"/>
        </w:rPr>
        <w:t xml:space="preserve"> Corchorus olitorius</w:t>
      </w:r>
      <w:r w:rsidRPr="00BF0441">
        <w:rPr>
          <w:rFonts w:ascii="Arial" w:eastAsia="Times New Roman" w:hAnsi="Arial" w:cs="Arial"/>
          <w:b/>
          <w:bCs/>
          <w:color w:val="000000" w:themeColor="text1"/>
          <w:sz w:val="20"/>
          <w:szCs w:val="20"/>
          <w:lang w:val="en-US" w:eastAsia="fr-FR"/>
        </w:rPr>
        <w:t xml:space="preserve"> and </w:t>
      </w:r>
      <w:r w:rsidRPr="00BF0441">
        <w:rPr>
          <w:rFonts w:ascii="Arial" w:eastAsia="Times New Roman" w:hAnsi="Arial" w:cs="Arial"/>
          <w:b/>
          <w:bCs/>
          <w:i/>
          <w:color w:val="000000" w:themeColor="text1"/>
          <w:sz w:val="20"/>
          <w:szCs w:val="20"/>
          <w:lang w:val="en-US" w:eastAsia="fr-FR"/>
        </w:rPr>
        <w:t>Abelmoschus esculentus</w:t>
      </w:r>
    </w:p>
    <w:tbl>
      <w:tblPr>
        <w:tblStyle w:val="TableGrid"/>
        <w:tblW w:w="9165" w:type="dxa"/>
        <w:jc w:val="center"/>
        <w:tblLook w:val="04A0" w:firstRow="1" w:lastRow="0" w:firstColumn="1" w:lastColumn="0" w:noHBand="0" w:noVBand="1"/>
      </w:tblPr>
      <w:tblGrid>
        <w:gridCol w:w="1680"/>
        <w:gridCol w:w="1833"/>
        <w:gridCol w:w="1833"/>
        <w:gridCol w:w="1984"/>
        <w:gridCol w:w="1835"/>
      </w:tblGrid>
      <w:tr w:rsidR="00C43488" w:rsidRPr="005250A4" w14:paraId="28B64B7E" w14:textId="77777777" w:rsidTr="00BD5AB5">
        <w:trPr>
          <w:trHeight w:val="373"/>
          <w:jc w:val="center"/>
        </w:trPr>
        <w:tc>
          <w:tcPr>
            <w:tcW w:w="1680" w:type="dxa"/>
            <w:vMerge w:val="restart"/>
            <w:tcBorders>
              <w:left w:val="nil"/>
              <w:right w:val="nil"/>
            </w:tcBorders>
            <w:vAlign w:val="center"/>
          </w:tcPr>
          <w:p w14:paraId="06B1DDC2" w14:textId="77777777" w:rsidR="00C43488" w:rsidRPr="005250A4" w:rsidRDefault="00C43488" w:rsidP="00BD5AB5">
            <w:pPr>
              <w:spacing w:line="276" w:lineRule="auto"/>
              <w:rPr>
                <w:rFonts w:ascii="Arial" w:eastAsia="Times New Roman" w:hAnsi="Arial" w:cs="Arial"/>
                <w:color w:val="000000" w:themeColor="text1"/>
                <w:sz w:val="18"/>
                <w:szCs w:val="18"/>
                <w:lang w:val="en-US" w:eastAsia="fr-FR"/>
              </w:rPr>
            </w:pPr>
            <w:bookmarkStart w:id="6" w:name="_Hlk200118631"/>
            <w:r w:rsidRPr="005250A4">
              <w:rPr>
                <w:rFonts w:ascii="Arial" w:eastAsia="Times New Roman" w:hAnsi="Arial" w:cs="Arial"/>
                <w:color w:val="000000" w:themeColor="text1"/>
                <w:sz w:val="18"/>
                <w:szCs w:val="18"/>
                <w:lang w:val="en-US" w:eastAsia="fr-FR"/>
              </w:rPr>
              <w:t>Properties</w:t>
            </w:r>
          </w:p>
        </w:tc>
        <w:tc>
          <w:tcPr>
            <w:tcW w:w="3666" w:type="dxa"/>
            <w:gridSpan w:val="2"/>
            <w:tcBorders>
              <w:left w:val="nil"/>
              <w:right w:val="nil"/>
            </w:tcBorders>
            <w:vAlign w:val="center"/>
          </w:tcPr>
          <w:p w14:paraId="70951EAF" w14:textId="3035214A" w:rsidR="00C43488" w:rsidRPr="005250A4" w:rsidRDefault="003604EA" w:rsidP="00BD5AB5">
            <w:pPr>
              <w:spacing w:line="276" w:lineRule="auto"/>
              <w:jc w:val="center"/>
              <w:rPr>
                <w:rFonts w:ascii="Arial" w:eastAsia="Times New Roman" w:hAnsi="Arial" w:cs="Arial"/>
                <w:color w:val="000000" w:themeColor="text1"/>
                <w:sz w:val="18"/>
                <w:szCs w:val="18"/>
                <w:lang w:val="en-US" w:eastAsia="fr-FR"/>
              </w:rPr>
            </w:pPr>
            <w:r w:rsidRPr="005250A4">
              <w:rPr>
                <w:rFonts w:ascii="Arial" w:hAnsi="Arial" w:cs="Arial"/>
                <w:i/>
                <w:color w:val="000000" w:themeColor="text1"/>
                <w:sz w:val="18"/>
                <w:szCs w:val="18"/>
                <w:lang w:val="en-US"/>
              </w:rPr>
              <w:t>Abelmoschus esculentus</w:t>
            </w:r>
          </w:p>
        </w:tc>
        <w:tc>
          <w:tcPr>
            <w:tcW w:w="3819" w:type="dxa"/>
            <w:gridSpan w:val="2"/>
            <w:tcBorders>
              <w:left w:val="nil"/>
              <w:right w:val="nil"/>
            </w:tcBorders>
            <w:vAlign w:val="center"/>
          </w:tcPr>
          <w:p w14:paraId="23C71D28" w14:textId="014AE915" w:rsidR="00C43488" w:rsidRPr="005250A4" w:rsidRDefault="003604EA" w:rsidP="00BD5AB5">
            <w:pPr>
              <w:spacing w:line="276" w:lineRule="auto"/>
              <w:jc w:val="center"/>
              <w:rPr>
                <w:rFonts w:ascii="Arial" w:eastAsia="Times New Roman" w:hAnsi="Arial" w:cs="Arial"/>
                <w:color w:val="000000" w:themeColor="text1"/>
                <w:sz w:val="18"/>
                <w:szCs w:val="18"/>
                <w:lang w:val="en-US" w:eastAsia="fr-FR"/>
              </w:rPr>
            </w:pPr>
            <w:r w:rsidRPr="005250A4">
              <w:rPr>
                <w:rFonts w:ascii="Arial" w:hAnsi="Arial" w:cs="Arial"/>
                <w:i/>
                <w:color w:val="000000" w:themeColor="text1"/>
                <w:sz w:val="18"/>
                <w:szCs w:val="18"/>
                <w:lang w:val="en-US"/>
              </w:rPr>
              <w:t>Corchorus olitorius</w:t>
            </w:r>
          </w:p>
        </w:tc>
      </w:tr>
      <w:tr w:rsidR="003604EA" w:rsidRPr="005250A4" w14:paraId="3EBBDDB3" w14:textId="77777777" w:rsidTr="00BD5AB5">
        <w:trPr>
          <w:trHeight w:val="399"/>
          <w:jc w:val="center"/>
        </w:trPr>
        <w:tc>
          <w:tcPr>
            <w:tcW w:w="1680" w:type="dxa"/>
            <w:vMerge/>
            <w:tcBorders>
              <w:left w:val="nil"/>
              <w:bottom w:val="single" w:sz="4" w:space="0" w:color="auto"/>
              <w:right w:val="nil"/>
            </w:tcBorders>
            <w:vAlign w:val="center"/>
          </w:tcPr>
          <w:p w14:paraId="747AF0F2" w14:textId="77777777" w:rsidR="003604EA" w:rsidRPr="005250A4" w:rsidRDefault="003604EA" w:rsidP="003604EA">
            <w:pPr>
              <w:spacing w:line="276" w:lineRule="auto"/>
              <w:rPr>
                <w:rFonts w:ascii="Arial" w:eastAsia="Times New Roman" w:hAnsi="Arial" w:cs="Arial"/>
                <w:color w:val="000000" w:themeColor="text1"/>
                <w:sz w:val="18"/>
                <w:szCs w:val="18"/>
                <w:lang w:val="en-US" w:eastAsia="fr-FR"/>
              </w:rPr>
            </w:pPr>
          </w:p>
        </w:tc>
        <w:tc>
          <w:tcPr>
            <w:tcW w:w="1833" w:type="dxa"/>
            <w:tcBorders>
              <w:left w:val="nil"/>
              <w:bottom w:val="single" w:sz="4" w:space="0" w:color="auto"/>
              <w:right w:val="nil"/>
            </w:tcBorders>
            <w:vAlign w:val="center"/>
          </w:tcPr>
          <w:p w14:paraId="2B7A5B64" w14:textId="0AC84F94" w:rsidR="003604EA" w:rsidRPr="005250A4" w:rsidRDefault="003604EA" w:rsidP="003604EA">
            <w:pPr>
              <w:jc w:val="center"/>
              <w:rPr>
                <w:rFonts w:ascii="Arial" w:hAnsi="Arial" w:cs="Arial"/>
                <w:color w:val="000000" w:themeColor="text1"/>
                <w:sz w:val="18"/>
                <w:szCs w:val="18"/>
                <w:lang w:val="en-US"/>
              </w:rPr>
            </w:pPr>
            <w:r w:rsidRPr="00BD5AB5">
              <w:rPr>
                <w:rFonts w:ascii="Arial" w:hAnsi="Arial" w:cs="Arial"/>
                <w:color w:val="FF0000"/>
                <w:sz w:val="18"/>
                <w:szCs w:val="18"/>
                <w:lang w:val="en-US"/>
              </w:rPr>
              <w:t>Leave</w:t>
            </w:r>
            <w:r w:rsidR="00BD5AB5" w:rsidRPr="00BD5AB5">
              <w:rPr>
                <w:rFonts w:ascii="Arial" w:hAnsi="Arial" w:cs="Arial"/>
                <w:color w:val="FF0000"/>
                <w:sz w:val="18"/>
                <w:szCs w:val="18"/>
                <w:lang w:val="en-US"/>
              </w:rPr>
              <w:t>s</w:t>
            </w:r>
          </w:p>
        </w:tc>
        <w:tc>
          <w:tcPr>
            <w:tcW w:w="1833" w:type="dxa"/>
            <w:tcBorders>
              <w:left w:val="nil"/>
              <w:bottom w:val="single" w:sz="4" w:space="0" w:color="auto"/>
              <w:right w:val="nil"/>
            </w:tcBorders>
            <w:vAlign w:val="center"/>
          </w:tcPr>
          <w:p w14:paraId="1010DF53" w14:textId="4EABAEFA"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Fruit</w:t>
            </w:r>
          </w:p>
        </w:tc>
        <w:tc>
          <w:tcPr>
            <w:tcW w:w="1984" w:type="dxa"/>
            <w:tcBorders>
              <w:left w:val="nil"/>
              <w:bottom w:val="single" w:sz="4" w:space="0" w:color="auto"/>
              <w:right w:val="nil"/>
            </w:tcBorders>
            <w:vAlign w:val="center"/>
          </w:tcPr>
          <w:p w14:paraId="72543E61" w14:textId="6B73052F" w:rsidR="003604EA" w:rsidRPr="005250A4" w:rsidRDefault="003604EA" w:rsidP="003604EA">
            <w:pPr>
              <w:jc w:val="center"/>
              <w:rPr>
                <w:rFonts w:ascii="Arial" w:hAnsi="Arial" w:cs="Arial"/>
                <w:color w:val="000000" w:themeColor="text1"/>
                <w:sz w:val="18"/>
                <w:szCs w:val="18"/>
                <w:lang w:val="en-US"/>
              </w:rPr>
            </w:pPr>
            <w:r w:rsidRPr="00BD5AB5">
              <w:rPr>
                <w:rFonts w:ascii="Arial" w:hAnsi="Arial" w:cs="Arial"/>
                <w:color w:val="FF0000"/>
                <w:sz w:val="18"/>
                <w:szCs w:val="18"/>
                <w:lang w:val="en-US"/>
              </w:rPr>
              <w:t>Leave</w:t>
            </w:r>
            <w:r w:rsidR="00BD5AB5" w:rsidRPr="00BD5AB5">
              <w:rPr>
                <w:rFonts w:ascii="Arial" w:hAnsi="Arial" w:cs="Arial"/>
                <w:color w:val="FF0000"/>
                <w:sz w:val="18"/>
                <w:szCs w:val="18"/>
                <w:lang w:val="en-US"/>
              </w:rPr>
              <w:t>s</w:t>
            </w:r>
          </w:p>
        </w:tc>
        <w:tc>
          <w:tcPr>
            <w:tcW w:w="1835" w:type="dxa"/>
            <w:tcBorders>
              <w:left w:val="nil"/>
              <w:bottom w:val="single" w:sz="4" w:space="0" w:color="auto"/>
              <w:right w:val="nil"/>
            </w:tcBorders>
            <w:vAlign w:val="center"/>
          </w:tcPr>
          <w:p w14:paraId="24E9F72A" w14:textId="1396179E" w:rsidR="003604EA" w:rsidRPr="005250A4" w:rsidRDefault="003604EA" w:rsidP="003604EA">
            <w:pPr>
              <w:jc w:val="center"/>
              <w:rPr>
                <w:rFonts w:ascii="Arial" w:hAnsi="Arial" w:cs="Arial"/>
                <w:color w:val="000000" w:themeColor="text1"/>
                <w:sz w:val="18"/>
                <w:szCs w:val="18"/>
                <w:lang w:val="en-US"/>
              </w:rPr>
            </w:pPr>
            <w:r w:rsidRPr="005250A4">
              <w:rPr>
                <w:rFonts w:ascii="Arial" w:hAnsi="Arial" w:cs="Arial"/>
                <w:color w:val="000000" w:themeColor="text1"/>
                <w:sz w:val="18"/>
                <w:szCs w:val="18"/>
                <w:lang w:val="en-US"/>
              </w:rPr>
              <w:t>Fruit</w:t>
            </w:r>
          </w:p>
        </w:tc>
      </w:tr>
      <w:tr w:rsidR="003604EA" w:rsidRPr="005250A4" w14:paraId="68A535BF" w14:textId="77777777" w:rsidTr="00BD5AB5">
        <w:trPr>
          <w:trHeight w:val="363"/>
          <w:jc w:val="center"/>
        </w:trPr>
        <w:tc>
          <w:tcPr>
            <w:tcW w:w="1680" w:type="dxa"/>
            <w:tcBorders>
              <w:left w:val="nil"/>
              <w:bottom w:val="nil"/>
              <w:right w:val="nil"/>
            </w:tcBorders>
            <w:vAlign w:val="center"/>
          </w:tcPr>
          <w:p w14:paraId="4834F4E4" w14:textId="77777777" w:rsidR="003604EA" w:rsidRPr="005250A4" w:rsidRDefault="003604EA" w:rsidP="003604EA">
            <w:pPr>
              <w:spacing w:before="240" w:line="360" w:lineRule="auto"/>
              <w:rPr>
                <w:rFonts w:ascii="Arial" w:eastAsia="Times New Roman" w:hAnsi="Arial" w:cs="Arial"/>
                <w:color w:val="000000" w:themeColor="text1"/>
                <w:sz w:val="18"/>
                <w:szCs w:val="18"/>
                <w:lang w:val="en-US" w:eastAsia="fr-FR"/>
              </w:rPr>
            </w:pPr>
            <w:proofErr w:type="spellStart"/>
            <w:r w:rsidRPr="005250A4">
              <w:rPr>
                <w:rFonts w:ascii="Arial" w:eastAsia="Times New Roman" w:hAnsi="Arial" w:cs="Arial"/>
                <w:color w:val="000000" w:themeColor="text1"/>
                <w:sz w:val="18"/>
                <w:szCs w:val="18"/>
                <w:lang w:val="en-US" w:eastAsia="fr-FR"/>
              </w:rPr>
              <w:t>WACt</w:t>
            </w:r>
            <w:proofErr w:type="spellEnd"/>
            <w:r w:rsidRPr="005250A4">
              <w:rPr>
                <w:rFonts w:ascii="Arial" w:eastAsia="Times New Roman" w:hAnsi="Arial" w:cs="Arial"/>
                <w:color w:val="000000" w:themeColor="text1"/>
                <w:sz w:val="18"/>
                <w:szCs w:val="18"/>
                <w:lang w:val="en-US" w:eastAsia="fr-FR"/>
              </w:rPr>
              <w:t xml:space="preserve"> (%)</w:t>
            </w:r>
          </w:p>
        </w:tc>
        <w:tc>
          <w:tcPr>
            <w:tcW w:w="1833" w:type="dxa"/>
            <w:tcBorders>
              <w:left w:val="nil"/>
              <w:bottom w:val="nil"/>
              <w:right w:val="nil"/>
            </w:tcBorders>
          </w:tcPr>
          <w:p w14:paraId="32A3B901" w14:textId="7ACF1ECF"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63.65 ± 0.12</w:t>
            </w:r>
            <w:r w:rsidRPr="005250A4">
              <w:rPr>
                <w:rFonts w:ascii="Arial" w:eastAsia="Times New Roman" w:hAnsi="Arial" w:cs="Arial"/>
                <w:color w:val="000000" w:themeColor="text1"/>
                <w:sz w:val="18"/>
                <w:szCs w:val="18"/>
                <w:vertAlign w:val="superscript"/>
                <w:lang w:val="en-US" w:eastAsia="fr-FR"/>
              </w:rPr>
              <w:t>a</w:t>
            </w:r>
          </w:p>
        </w:tc>
        <w:tc>
          <w:tcPr>
            <w:tcW w:w="1833" w:type="dxa"/>
            <w:tcBorders>
              <w:left w:val="nil"/>
              <w:bottom w:val="nil"/>
              <w:right w:val="nil"/>
            </w:tcBorders>
          </w:tcPr>
          <w:p w14:paraId="4DFD1D99" w14:textId="2B6497E5"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81.87 ± 0.31</w:t>
            </w:r>
            <w:r w:rsidRPr="005250A4">
              <w:rPr>
                <w:rFonts w:ascii="Arial" w:eastAsia="Times New Roman" w:hAnsi="Arial" w:cs="Arial"/>
                <w:color w:val="000000" w:themeColor="text1"/>
                <w:sz w:val="18"/>
                <w:szCs w:val="18"/>
                <w:vertAlign w:val="superscript"/>
                <w:lang w:val="en-US" w:eastAsia="fr-FR"/>
              </w:rPr>
              <w:t>b</w:t>
            </w:r>
          </w:p>
        </w:tc>
        <w:tc>
          <w:tcPr>
            <w:tcW w:w="1984" w:type="dxa"/>
            <w:tcBorders>
              <w:left w:val="nil"/>
              <w:bottom w:val="nil"/>
              <w:right w:val="nil"/>
            </w:tcBorders>
          </w:tcPr>
          <w:p w14:paraId="0265664E" w14:textId="63D9D8E7"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82.52 ± 0.31</w:t>
            </w:r>
            <w:r w:rsidRPr="005250A4">
              <w:rPr>
                <w:rFonts w:ascii="Arial" w:eastAsia="Times New Roman" w:hAnsi="Arial" w:cs="Arial"/>
                <w:color w:val="000000" w:themeColor="text1"/>
                <w:sz w:val="18"/>
                <w:szCs w:val="18"/>
                <w:vertAlign w:val="superscript"/>
                <w:lang w:val="en-US" w:eastAsia="fr-FR"/>
              </w:rPr>
              <w:t>c</w:t>
            </w:r>
          </w:p>
        </w:tc>
        <w:tc>
          <w:tcPr>
            <w:tcW w:w="1835" w:type="dxa"/>
            <w:tcBorders>
              <w:left w:val="nil"/>
              <w:bottom w:val="nil"/>
              <w:right w:val="nil"/>
            </w:tcBorders>
          </w:tcPr>
          <w:p w14:paraId="07126B26" w14:textId="0014B369"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84.38 ± 0.25</w:t>
            </w:r>
            <w:r w:rsidRPr="005250A4">
              <w:rPr>
                <w:rFonts w:ascii="Arial" w:eastAsia="Times New Roman" w:hAnsi="Arial" w:cs="Arial"/>
                <w:color w:val="000000" w:themeColor="text1"/>
                <w:sz w:val="18"/>
                <w:szCs w:val="18"/>
                <w:vertAlign w:val="superscript"/>
                <w:lang w:val="en-US" w:eastAsia="fr-FR"/>
              </w:rPr>
              <w:t>d</w:t>
            </w:r>
          </w:p>
        </w:tc>
      </w:tr>
      <w:tr w:rsidR="003604EA" w:rsidRPr="005250A4" w14:paraId="4638B88A" w14:textId="77777777" w:rsidTr="00BD5AB5">
        <w:trPr>
          <w:trHeight w:val="363"/>
          <w:jc w:val="center"/>
        </w:trPr>
        <w:tc>
          <w:tcPr>
            <w:tcW w:w="1680" w:type="dxa"/>
            <w:tcBorders>
              <w:top w:val="nil"/>
              <w:left w:val="nil"/>
              <w:bottom w:val="nil"/>
              <w:right w:val="nil"/>
            </w:tcBorders>
            <w:vAlign w:val="center"/>
          </w:tcPr>
          <w:p w14:paraId="250BBFEA" w14:textId="77777777" w:rsidR="003604EA" w:rsidRPr="005250A4" w:rsidRDefault="003604EA" w:rsidP="003604EA">
            <w:pPr>
              <w:spacing w:before="240" w:line="360" w:lineRule="auto"/>
              <w:rPr>
                <w:rFonts w:ascii="Arial" w:eastAsia="Times New Roman" w:hAnsi="Arial" w:cs="Arial"/>
                <w:color w:val="000000" w:themeColor="text1"/>
                <w:sz w:val="18"/>
                <w:szCs w:val="18"/>
                <w:lang w:val="en-US" w:eastAsia="fr-FR"/>
              </w:rPr>
            </w:pPr>
            <w:proofErr w:type="spellStart"/>
            <w:r w:rsidRPr="005250A4">
              <w:rPr>
                <w:rFonts w:ascii="Arial" w:eastAsia="Times New Roman" w:hAnsi="Arial" w:cs="Arial"/>
                <w:color w:val="000000" w:themeColor="text1"/>
                <w:sz w:val="18"/>
                <w:szCs w:val="18"/>
                <w:lang w:val="en-US" w:eastAsia="fr-FR"/>
              </w:rPr>
              <w:t>WACa</w:t>
            </w:r>
            <w:proofErr w:type="spellEnd"/>
            <w:r w:rsidRPr="005250A4">
              <w:rPr>
                <w:rFonts w:ascii="Arial" w:eastAsia="Times New Roman" w:hAnsi="Arial" w:cs="Arial"/>
                <w:color w:val="000000" w:themeColor="text1"/>
                <w:sz w:val="18"/>
                <w:szCs w:val="18"/>
                <w:lang w:val="en-US" w:eastAsia="fr-FR"/>
              </w:rPr>
              <w:t xml:space="preserve"> (%)</w:t>
            </w:r>
          </w:p>
        </w:tc>
        <w:tc>
          <w:tcPr>
            <w:tcW w:w="1833" w:type="dxa"/>
            <w:tcBorders>
              <w:top w:val="nil"/>
              <w:left w:val="nil"/>
              <w:bottom w:val="nil"/>
              <w:right w:val="nil"/>
            </w:tcBorders>
          </w:tcPr>
          <w:p w14:paraId="4ECE2EE7" w14:textId="76DDDEF6"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77.22 ± 0.17</w:t>
            </w:r>
            <w:r w:rsidRPr="005250A4">
              <w:rPr>
                <w:rFonts w:ascii="Arial" w:eastAsia="Times New Roman" w:hAnsi="Arial" w:cs="Arial"/>
                <w:color w:val="000000" w:themeColor="text1"/>
                <w:sz w:val="18"/>
                <w:szCs w:val="18"/>
                <w:vertAlign w:val="superscript"/>
                <w:lang w:val="en-US" w:eastAsia="fr-FR"/>
              </w:rPr>
              <w:t>a</w:t>
            </w:r>
          </w:p>
        </w:tc>
        <w:tc>
          <w:tcPr>
            <w:tcW w:w="1833" w:type="dxa"/>
            <w:tcBorders>
              <w:top w:val="nil"/>
              <w:left w:val="nil"/>
              <w:bottom w:val="nil"/>
              <w:right w:val="nil"/>
            </w:tcBorders>
          </w:tcPr>
          <w:p w14:paraId="56EA24EA" w14:textId="4D23F55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89.09 ± 0.05</w:t>
            </w:r>
            <w:r w:rsidRPr="005250A4">
              <w:rPr>
                <w:rFonts w:ascii="Arial" w:eastAsia="Times New Roman" w:hAnsi="Arial" w:cs="Arial"/>
                <w:color w:val="000000" w:themeColor="text1"/>
                <w:sz w:val="18"/>
                <w:szCs w:val="18"/>
                <w:vertAlign w:val="superscript"/>
                <w:lang w:val="en-US" w:eastAsia="fr-FR"/>
              </w:rPr>
              <w:t>b</w:t>
            </w:r>
          </w:p>
        </w:tc>
        <w:tc>
          <w:tcPr>
            <w:tcW w:w="1984" w:type="dxa"/>
            <w:tcBorders>
              <w:top w:val="nil"/>
              <w:left w:val="nil"/>
              <w:bottom w:val="nil"/>
              <w:right w:val="nil"/>
            </w:tcBorders>
          </w:tcPr>
          <w:p w14:paraId="6F970C68" w14:textId="3762F9B9"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89.57 ± 0.05</w:t>
            </w:r>
            <w:r w:rsidRPr="005250A4">
              <w:rPr>
                <w:rFonts w:ascii="Arial" w:eastAsia="Times New Roman" w:hAnsi="Arial" w:cs="Arial"/>
                <w:color w:val="000000" w:themeColor="text1"/>
                <w:sz w:val="18"/>
                <w:szCs w:val="18"/>
                <w:vertAlign w:val="superscript"/>
                <w:lang w:val="en-US" w:eastAsia="fr-FR"/>
              </w:rPr>
              <w:t>c</w:t>
            </w:r>
          </w:p>
        </w:tc>
        <w:tc>
          <w:tcPr>
            <w:tcW w:w="1835" w:type="dxa"/>
            <w:tcBorders>
              <w:top w:val="nil"/>
              <w:left w:val="nil"/>
              <w:bottom w:val="nil"/>
              <w:right w:val="nil"/>
            </w:tcBorders>
          </w:tcPr>
          <w:p w14:paraId="10C3E519" w14:textId="353380A9"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91.11 ± 0.09</w:t>
            </w:r>
            <w:r w:rsidRPr="005250A4">
              <w:rPr>
                <w:rFonts w:ascii="Arial" w:eastAsia="Times New Roman" w:hAnsi="Arial" w:cs="Arial"/>
                <w:color w:val="000000" w:themeColor="text1"/>
                <w:sz w:val="18"/>
                <w:szCs w:val="18"/>
                <w:vertAlign w:val="superscript"/>
                <w:lang w:val="en-US" w:eastAsia="fr-FR"/>
              </w:rPr>
              <w:t>d</w:t>
            </w:r>
          </w:p>
        </w:tc>
      </w:tr>
      <w:tr w:rsidR="003604EA" w:rsidRPr="005250A4" w14:paraId="183C5C76" w14:textId="77777777" w:rsidTr="00BD5AB5">
        <w:trPr>
          <w:trHeight w:val="363"/>
          <w:jc w:val="center"/>
        </w:trPr>
        <w:tc>
          <w:tcPr>
            <w:tcW w:w="1680" w:type="dxa"/>
            <w:tcBorders>
              <w:top w:val="nil"/>
              <w:left w:val="nil"/>
              <w:bottom w:val="nil"/>
              <w:right w:val="nil"/>
            </w:tcBorders>
            <w:vAlign w:val="center"/>
          </w:tcPr>
          <w:p w14:paraId="090C526A" w14:textId="25310BBE" w:rsidR="003604EA" w:rsidRPr="005250A4" w:rsidRDefault="00920049" w:rsidP="003604EA">
            <w:pPr>
              <w:spacing w:before="240" w:line="360" w:lineRule="auto"/>
              <w:rPr>
                <w:rFonts w:ascii="Arial" w:eastAsia="Times New Roman" w:hAnsi="Arial" w:cs="Arial"/>
                <w:color w:val="000000" w:themeColor="text1"/>
                <w:sz w:val="18"/>
                <w:szCs w:val="18"/>
                <w:lang w:val="en-US" w:eastAsia="fr-FR"/>
              </w:rPr>
            </w:pPr>
            <w:r>
              <w:rPr>
                <w:rFonts w:ascii="Arial" w:eastAsia="Times New Roman" w:hAnsi="Arial" w:cs="Arial"/>
                <w:color w:val="000000" w:themeColor="text1"/>
                <w:sz w:val="18"/>
                <w:szCs w:val="18"/>
                <w:lang w:val="en-US" w:eastAsia="fr-FR"/>
              </w:rPr>
              <w:t>W</w:t>
            </w:r>
            <w:r w:rsidR="003604EA" w:rsidRPr="005250A4">
              <w:rPr>
                <w:rFonts w:ascii="Arial" w:eastAsia="Times New Roman" w:hAnsi="Arial" w:cs="Arial"/>
                <w:color w:val="000000" w:themeColor="text1"/>
                <w:sz w:val="18"/>
                <w:szCs w:val="18"/>
                <w:lang w:val="en-US" w:eastAsia="fr-FR"/>
              </w:rPr>
              <w:t>SI (%)</w:t>
            </w:r>
          </w:p>
        </w:tc>
        <w:tc>
          <w:tcPr>
            <w:tcW w:w="1833" w:type="dxa"/>
            <w:tcBorders>
              <w:top w:val="nil"/>
              <w:left w:val="nil"/>
              <w:bottom w:val="nil"/>
              <w:right w:val="nil"/>
            </w:tcBorders>
          </w:tcPr>
          <w:p w14:paraId="38C25C8A" w14:textId="38BF75A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59.57 ± 1.76</w:t>
            </w:r>
            <w:r w:rsidRPr="005250A4">
              <w:rPr>
                <w:rFonts w:ascii="Arial" w:eastAsia="Times New Roman" w:hAnsi="Arial" w:cs="Arial"/>
                <w:color w:val="000000" w:themeColor="text1"/>
                <w:sz w:val="18"/>
                <w:szCs w:val="18"/>
                <w:vertAlign w:val="superscript"/>
                <w:lang w:val="en-US" w:eastAsia="fr-FR"/>
              </w:rPr>
              <w:t>a</w:t>
            </w:r>
          </w:p>
        </w:tc>
        <w:tc>
          <w:tcPr>
            <w:tcW w:w="1833" w:type="dxa"/>
            <w:tcBorders>
              <w:top w:val="nil"/>
              <w:left w:val="nil"/>
              <w:bottom w:val="nil"/>
              <w:right w:val="nil"/>
            </w:tcBorders>
          </w:tcPr>
          <w:p w14:paraId="1364DE2C" w14:textId="77872F6A"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66.23 ± 3.76</w:t>
            </w:r>
            <w:r w:rsidRPr="005250A4">
              <w:rPr>
                <w:rFonts w:ascii="Arial" w:eastAsia="Times New Roman" w:hAnsi="Arial" w:cs="Arial"/>
                <w:color w:val="000000" w:themeColor="text1"/>
                <w:sz w:val="18"/>
                <w:szCs w:val="18"/>
                <w:vertAlign w:val="superscript"/>
                <w:lang w:val="en-US" w:eastAsia="fr-FR"/>
              </w:rPr>
              <w:t>b</w:t>
            </w:r>
          </w:p>
        </w:tc>
        <w:tc>
          <w:tcPr>
            <w:tcW w:w="1984" w:type="dxa"/>
            <w:tcBorders>
              <w:top w:val="nil"/>
              <w:left w:val="nil"/>
              <w:bottom w:val="nil"/>
              <w:right w:val="nil"/>
            </w:tcBorders>
          </w:tcPr>
          <w:p w14:paraId="1FABEEC4" w14:textId="6B1305F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67.61 ± 3.90</w:t>
            </w:r>
            <w:r w:rsidRPr="005250A4">
              <w:rPr>
                <w:rFonts w:ascii="Arial" w:eastAsia="Times New Roman" w:hAnsi="Arial" w:cs="Arial"/>
                <w:color w:val="000000" w:themeColor="text1"/>
                <w:sz w:val="18"/>
                <w:szCs w:val="18"/>
                <w:vertAlign w:val="superscript"/>
                <w:lang w:val="en-US" w:eastAsia="fr-FR"/>
              </w:rPr>
              <w:t>b</w:t>
            </w:r>
          </w:p>
        </w:tc>
        <w:tc>
          <w:tcPr>
            <w:tcW w:w="1835" w:type="dxa"/>
            <w:tcBorders>
              <w:top w:val="nil"/>
              <w:left w:val="nil"/>
              <w:bottom w:val="nil"/>
              <w:right w:val="nil"/>
            </w:tcBorders>
          </w:tcPr>
          <w:p w14:paraId="21F39232" w14:textId="13DBB21C"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75.71 ± 1.04</w:t>
            </w:r>
            <w:r w:rsidRPr="005250A4">
              <w:rPr>
                <w:rFonts w:ascii="Arial" w:eastAsia="Times New Roman" w:hAnsi="Arial" w:cs="Arial"/>
                <w:color w:val="000000" w:themeColor="text1"/>
                <w:sz w:val="18"/>
                <w:szCs w:val="18"/>
                <w:vertAlign w:val="superscript"/>
                <w:lang w:val="en-US" w:eastAsia="fr-FR"/>
              </w:rPr>
              <w:t>c</w:t>
            </w:r>
          </w:p>
        </w:tc>
      </w:tr>
      <w:tr w:rsidR="003604EA" w:rsidRPr="005250A4" w14:paraId="3BDEDEEA" w14:textId="77777777" w:rsidTr="00BD5AB5">
        <w:trPr>
          <w:trHeight w:val="363"/>
          <w:jc w:val="center"/>
        </w:trPr>
        <w:tc>
          <w:tcPr>
            <w:tcW w:w="1680" w:type="dxa"/>
            <w:tcBorders>
              <w:top w:val="nil"/>
              <w:left w:val="nil"/>
              <w:bottom w:val="nil"/>
              <w:right w:val="nil"/>
            </w:tcBorders>
            <w:vAlign w:val="center"/>
          </w:tcPr>
          <w:p w14:paraId="5EB3DB9B" w14:textId="77777777" w:rsidR="003604EA" w:rsidRPr="005250A4" w:rsidRDefault="003604EA" w:rsidP="003604EA">
            <w:pPr>
              <w:spacing w:before="240" w:line="360" w:lineRule="auto"/>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P</w:t>
            </w:r>
          </w:p>
        </w:tc>
        <w:tc>
          <w:tcPr>
            <w:tcW w:w="1833" w:type="dxa"/>
            <w:tcBorders>
              <w:top w:val="nil"/>
              <w:left w:val="nil"/>
              <w:bottom w:val="nil"/>
              <w:right w:val="nil"/>
            </w:tcBorders>
          </w:tcPr>
          <w:p w14:paraId="34FCA0C0" w14:textId="2410A1D8"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0.42 ± 0.01</w:t>
            </w:r>
            <w:r w:rsidRPr="005250A4">
              <w:rPr>
                <w:rFonts w:ascii="Arial" w:eastAsia="Times New Roman" w:hAnsi="Arial" w:cs="Arial"/>
                <w:color w:val="000000" w:themeColor="text1"/>
                <w:sz w:val="18"/>
                <w:szCs w:val="18"/>
                <w:vertAlign w:val="superscript"/>
                <w:lang w:val="en-US" w:eastAsia="fr-FR"/>
              </w:rPr>
              <w:t>c</w:t>
            </w:r>
          </w:p>
        </w:tc>
        <w:tc>
          <w:tcPr>
            <w:tcW w:w="1833" w:type="dxa"/>
            <w:tcBorders>
              <w:top w:val="nil"/>
              <w:left w:val="nil"/>
              <w:bottom w:val="nil"/>
              <w:right w:val="nil"/>
            </w:tcBorders>
          </w:tcPr>
          <w:p w14:paraId="5AAFBE9D" w14:textId="1832F38A"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0.49 ± 0.01</w:t>
            </w:r>
            <w:r w:rsidRPr="005250A4">
              <w:rPr>
                <w:rFonts w:ascii="Arial" w:eastAsia="Times New Roman" w:hAnsi="Arial" w:cs="Arial"/>
                <w:color w:val="000000" w:themeColor="text1"/>
                <w:sz w:val="18"/>
                <w:szCs w:val="18"/>
                <w:vertAlign w:val="superscript"/>
                <w:lang w:val="en-US" w:eastAsia="fr-FR"/>
              </w:rPr>
              <w:t>d</w:t>
            </w:r>
          </w:p>
        </w:tc>
        <w:tc>
          <w:tcPr>
            <w:tcW w:w="1984" w:type="dxa"/>
            <w:tcBorders>
              <w:top w:val="nil"/>
              <w:left w:val="nil"/>
              <w:bottom w:val="nil"/>
              <w:right w:val="nil"/>
            </w:tcBorders>
          </w:tcPr>
          <w:p w14:paraId="23307736" w14:textId="53D809A7"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0.11 ± 0.02</w:t>
            </w:r>
            <w:r w:rsidRPr="005250A4">
              <w:rPr>
                <w:rFonts w:ascii="Arial" w:eastAsia="Times New Roman" w:hAnsi="Arial" w:cs="Arial"/>
                <w:color w:val="000000" w:themeColor="text1"/>
                <w:sz w:val="18"/>
                <w:szCs w:val="18"/>
                <w:vertAlign w:val="superscript"/>
                <w:lang w:val="en-US" w:eastAsia="fr-FR"/>
              </w:rPr>
              <w:t>a</w:t>
            </w:r>
          </w:p>
        </w:tc>
        <w:tc>
          <w:tcPr>
            <w:tcW w:w="1835" w:type="dxa"/>
            <w:tcBorders>
              <w:top w:val="nil"/>
              <w:left w:val="nil"/>
              <w:bottom w:val="nil"/>
              <w:right w:val="nil"/>
            </w:tcBorders>
          </w:tcPr>
          <w:p w14:paraId="155A14DB" w14:textId="6E4C8DB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0.33 ± 0.01</w:t>
            </w:r>
            <w:r w:rsidRPr="005250A4">
              <w:rPr>
                <w:rFonts w:ascii="Arial" w:eastAsia="Times New Roman" w:hAnsi="Arial" w:cs="Arial"/>
                <w:color w:val="000000" w:themeColor="text1"/>
                <w:sz w:val="18"/>
                <w:szCs w:val="18"/>
                <w:vertAlign w:val="superscript"/>
                <w:lang w:val="en-US" w:eastAsia="fr-FR"/>
              </w:rPr>
              <w:t>b</w:t>
            </w:r>
          </w:p>
        </w:tc>
      </w:tr>
      <w:tr w:rsidR="003604EA" w:rsidRPr="005250A4" w14:paraId="0C90776F" w14:textId="77777777" w:rsidTr="00BD5AB5">
        <w:trPr>
          <w:trHeight w:val="363"/>
          <w:jc w:val="center"/>
        </w:trPr>
        <w:tc>
          <w:tcPr>
            <w:tcW w:w="1680" w:type="dxa"/>
            <w:tcBorders>
              <w:top w:val="nil"/>
              <w:left w:val="nil"/>
              <w:bottom w:val="nil"/>
              <w:right w:val="nil"/>
            </w:tcBorders>
            <w:vAlign w:val="center"/>
          </w:tcPr>
          <w:p w14:paraId="701A8A2D" w14:textId="77777777" w:rsidR="003604EA" w:rsidRPr="005250A4" w:rsidRDefault="003604EA" w:rsidP="003604EA">
            <w:pPr>
              <w:spacing w:before="240" w:line="360" w:lineRule="auto"/>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TD (g/ml)</w:t>
            </w:r>
          </w:p>
        </w:tc>
        <w:tc>
          <w:tcPr>
            <w:tcW w:w="1833" w:type="dxa"/>
            <w:tcBorders>
              <w:top w:val="nil"/>
              <w:left w:val="nil"/>
              <w:bottom w:val="nil"/>
              <w:right w:val="nil"/>
            </w:tcBorders>
          </w:tcPr>
          <w:p w14:paraId="4533D204" w14:textId="2D1D94B7"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0.29 ± 0.00</w:t>
            </w:r>
            <w:r w:rsidRPr="005250A4">
              <w:rPr>
                <w:rFonts w:ascii="Arial" w:eastAsia="Times New Roman" w:hAnsi="Arial" w:cs="Arial"/>
                <w:color w:val="000000" w:themeColor="text1"/>
                <w:sz w:val="18"/>
                <w:szCs w:val="18"/>
                <w:vertAlign w:val="superscript"/>
                <w:lang w:val="en-US" w:eastAsia="fr-FR"/>
              </w:rPr>
              <w:t>d</w:t>
            </w:r>
          </w:p>
        </w:tc>
        <w:tc>
          <w:tcPr>
            <w:tcW w:w="1833" w:type="dxa"/>
            <w:tcBorders>
              <w:top w:val="nil"/>
              <w:left w:val="nil"/>
              <w:bottom w:val="nil"/>
              <w:right w:val="nil"/>
            </w:tcBorders>
          </w:tcPr>
          <w:p w14:paraId="700CAC0E" w14:textId="75B5BCB0"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0.22 ± 0.00</w:t>
            </w:r>
            <w:r w:rsidRPr="005250A4">
              <w:rPr>
                <w:rFonts w:ascii="Arial" w:eastAsia="Times New Roman" w:hAnsi="Arial" w:cs="Arial"/>
                <w:color w:val="000000" w:themeColor="text1"/>
                <w:sz w:val="18"/>
                <w:szCs w:val="18"/>
                <w:vertAlign w:val="superscript"/>
                <w:lang w:val="en-US" w:eastAsia="fr-FR"/>
              </w:rPr>
              <w:t>a</w:t>
            </w:r>
          </w:p>
        </w:tc>
        <w:tc>
          <w:tcPr>
            <w:tcW w:w="1984" w:type="dxa"/>
            <w:tcBorders>
              <w:top w:val="nil"/>
              <w:left w:val="nil"/>
              <w:bottom w:val="nil"/>
              <w:right w:val="nil"/>
            </w:tcBorders>
          </w:tcPr>
          <w:p w14:paraId="313195AA" w14:textId="21F72582"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0.27 ± 0.00</w:t>
            </w:r>
            <w:r w:rsidRPr="005250A4">
              <w:rPr>
                <w:rFonts w:ascii="Arial" w:eastAsia="Times New Roman" w:hAnsi="Arial" w:cs="Arial"/>
                <w:color w:val="000000" w:themeColor="text1"/>
                <w:sz w:val="18"/>
                <w:szCs w:val="18"/>
                <w:vertAlign w:val="superscript"/>
                <w:lang w:val="en-US" w:eastAsia="fr-FR"/>
              </w:rPr>
              <w:t>c</w:t>
            </w:r>
          </w:p>
        </w:tc>
        <w:tc>
          <w:tcPr>
            <w:tcW w:w="1835" w:type="dxa"/>
            <w:tcBorders>
              <w:top w:val="nil"/>
              <w:left w:val="nil"/>
              <w:bottom w:val="nil"/>
              <w:right w:val="nil"/>
            </w:tcBorders>
          </w:tcPr>
          <w:p w14:paraId="564768E8" w14:textId="09E4E858"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0.25 ± 0.00</w:t>
            </w:r>
            <w:r w:rsidRPr="005250A4">
              <w:rPr>
                <w:rFonts w:ascii="Arial" w:eastAsia="Times New Roman" w:hAnsi="Arial" w:cs="Arial"/>
                <w:color w:val="000000" w:themeColor="text1"/>
                <w:sz w:val="18"/>
                <w:szCs w:val="18"/>
                <w:vertAlign w:val="superscript"/>
                <w:lang w:val="en-US" w:eastAsia="fr-FR"/>
              </w:rPr>
              <w:t>b</w:t>
            </w:r>
          </w:p>
        </w:tc>
      </w:tr>
      <w:tr w:rsidR="003604EA" w:rsidRPr="005250A4" w14:paraId="0AC054B3" w14:textId="77777777" w:rsidTr="00BD5AB5">
        <w:trPr>
          <w:trHeight w:val="363"/>
          <w:jc w:val="center"/>
        </w:trPr>
        <w:tc>
          <w:tcPr>
            <w:tcW w:w="1680" w:type="dxa"/>
            <w:tcBorders>
              <w:top w:val="nil"/>
              <w:left w:val="nil"/>
              <w:bottom w:val="nil"/>
              <w:right w:val="nil"/>
            </w:tcBorders>
            <w:vAlign w:val="center"/>
          </w:tcPr>
          <w:p w14:paraId="1D428710" w14:textId="77777777" w:rsidR="003604EA" w:rsidRPr="005250A4" w:rsidRDefault="003604EA" w:rsidP="003604EA">
            <w:pPr>
              <w:spacing w:before="240" w:line="360" w:lineRule="auto"/>
              <w:rPr>
                <w:rFonts w:ascii="Arial" w:eastAsia="Times New Roman" w:hAnsi="Arial" w:cs="Arial"/>
                <w:color w:val="000000" w:themeColor="text1"/>
                <w:sz w:val="18"/>
                <w:szCs w:val="18"/>
                <w:lang w:val="en-US" w:eastAsia="fr-FR"/>
              </w:rPr>
            </w:pPr>
            <w:r w:rsidRPr="005250A4">
              <w:rPr>
                <w:rFonts w:ascii="Arial" w:eastAsia="Times New Roman" w:hAnsi="Arial" w:cs="Arial"/>
                <w:color w:val="000000" w:themeColor="text1"/>
                <w:sz w:val="18"/>
                <w:szCs w:val="18"/>
                <w:lang w:val="en-US" w:eastAsia="fr-FR"/>
              </w:rPr>
              <w:t>BD (g/ml)</w:t>
            </w:r>
          </w:p>
        </w:tc>
        <w:tc>
          <w:tcPr>
            <w:tcW w:w="1833" w:type="dxa"/>
            <w:tcBorders>
              <w:top w:val="nil"/>
              <w:left w:val="nil"/>
              <w:bottom w:val="nil"/>
              <w:right w:val="nil"/>
            </w:tcBorders>
          </w:tcPr>
          <w:p w14:paraId="1C442AF6" w14:textId="62DF01A0"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0.17 ± 0.00</w:t>
            </w:r>
            <w:r w:rsidRPr="005250A4">
              <w:rPr>
                <w:rFonts w:ascii="Arial" w:eastAsia="Times New Roman" w:hAnsi="Arial" w:cs="Arial"/>
                <w:color w:val="000000" w:themeColor="text1"/>
                <w:sz w:val="18"/>
                <w:szCs w:val="18"/>
                <w:vertAlign w:val="superscript"/>
                <w:lang w:val="en-US" w:eastAsia="fr-FR"/>
              </w:rPr>
              <w:t>b</w:t>
            </w:r>
          </w:p>
        </w:tc>
        <w:tc>
          <w:tcPr>
            <w:tcW w:w="1833" w:type="dxa"/>
            <w:tcBorders>
              <w:top w:val="nil"/>
              <w:left w:val="nil"/>
              <w:bottom w:val="nil"/>
              <w:right w:val="nil"/>
            </w:tcBorders>
          </w:tcPr>
          <w:p w14:paraId="7E30D10B" w14:textId="581497AF"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0.11 ± 0.00</w:t>
            </w:r>
            <w:r w:rsidRPr="005250A4">
              <w:rPr>
                <w:rFonts w:ascii="Arial" w:eastAsia="Times New Roman" w:hAnsi="Arial" w:cs="Arial"/>
                <w:color w:val="000000" w:themeColor="text1"/>
                <w:sz w:val="18"/>
                <w:szCs w:val="18"/>
                <w:vertAlign w:val="superscript"/>
                <w:lang w:val="en-US" w:eastAsia="fr-FR"/>
              </w:rPr>
              <w:t>a</w:t>
            </w:r>
          </w:p>
        </w:tc>
        <w:tc>
          <w:tcPr>
            <w:tcW w:w="1984" w:type="dxa"/>
            <w:tcBorders>
              <w:top w:val="nil"/>
              <w:left w:val="nil"/>
              <w:bottom w:val="nil"/>
              <w:right w:val="nil"/>
            </w:tcBorders>
          </w:tcPr>
          <w:p w14:paraId="31D07D3F" w14:textId="2166BDE7"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0.24 ± 0.00</w:t>
            </w:r>
            <w:r w:rsidRPr="005250A4">
              <w:rPr>
                <w:rFonts w:ascii="Arial" w:eastAsia="Times New Roman" w:hAnsi="Arial" w:cs="Arial"/>
                <w:color w:val="000000" w:themeColor="text1"/>
                <w:sz w:val="18"/>
                <w:szCs w:val="18"/>
                <w:vertAlign w:val="superscript"/>
                <w:lang w:val="en-US" w:eastAsia="fr-FR"/>
              </w:rPr>
              <w:t>d</w:t>
            </w:r>
          </w:p>
        </w:tc>
        <w:tc>
          <w:tcPr>
            <w:tcW w:w="1835" w:type="dxa"/>
            <w:tcBorders>
              <w:top w:val="nil"/>
              <w:left w:val="nil"/>
              <w:bottom w:val="nil"/>
              <w:right w:val="nil"/>
            </w:tcBorders>
          </w:tcPr>
          <w:p w14:paraId="2661A33E" w14:textId="2DB2230E" w:rsidR="003604EA" w:rsidRPr="005250A4" w:rsidRDefault="003604EA" w:rsidP="003604EA">
            <w:pPr>
              <w:spacing w:before="240" w:line="360" w:lineRule="auto"/>
              <w:jc w:val="center"/>
              <w:rPr>
                <w:rFonts w:ascii="Arial" w:eastAsia="Times New Roman" w:hAnsi="Arial" w:cs="Arial"/>
                <w:color w:val="000000" w:themeColor="text1"/>
                <w:sz w:val="18"/>
                <w:szCs w:val="18"/>
                <w:vertAlign w:val="superscript"/>
                <w:lang w:val="en-US" w:eastAsia="fr-FR"/>
              </w:rPr>
            </w:pPr>
            <w:r w:rsidRPr="005250A4">
              <w:rPr>
                <w:rFonts w:ascii="Arial" w:eastAsia="Times New Roman" w:hAnsi="Arial" w:cs="Arial"/>
                <w:color w:val="000000" w:themeColor="text1"/>
                <w:sz w:val="18"/>
                <w:szCs w:val="18"/>
                <w:lang w:val="en-US" w:eastAsia="fr-FR"/>
              </w:rPr>
              <w:t>0.19 ± 0.00</w:t>
            </w:r>
            <w:r w:rsidRPr="005250A4">
              <w:rPr>
                <w:rFonts w:ascii="Arial" w:eastAsia="Times New Roman" w:hAnsi="Arial" w:cs="Arial"/>
                <w:color w:val="000000" w:themeColor="text1"/>
                <w:sz w:val="18"/>
                <w:szCs w:val="18"/>
                <w:vertAlign w:val="superscript"/>
                <w:lang w:val="en-US" w:eastAsia="fr-FR"/>
              </w:rPr>
              <w:t>c</w:t>
            </w:r>
          </w:p>
        </w:tc>
      </w:tr>
      <w:tr w:rsidR="003604EA" w:rsidRPr="00675ED0" w14:paraId="6F38219F" w14:textId="77777777" w:rsidTr="00BD5AB5">
        <w:trPr>
          <w:trHeight w:val="763"/>
          <w:jc w:val="center"/>
        </w:trPr>
        <w:tc>
          <w:tcPr>
            <w:tcW w:w="9165" w:type="dxa"/>
            <w:gridSpan w:val="5"/>
            <w:tcBorders>
              <w:top w:val="single" w:sz="4" w:space="0" w:color="auto"/>
              <w:left w:val="nil"/>
              <w:bottom w:val="nil"/>
              <w:right w:val="nil"/>
            </w:tcBorders>
            <w:vAlign w:val="center"/>
          </w:tcPr>
          <w:p w14:paraId="0F7DFBF8" w14:textId="11167271" w:rsidR="003604EA" w:rsidRPr="005250A4" w:rsidRDefault="003604EA" w:rsidP="003604EA">
            <w:pPr>
              <w:pStyle w:val="NormalWeb"/>
              <w:rPr>
                <w:rFonts w:ascii="Arial" w:hAnsi="Arial" w:cs="Arial"/>
                <w:color w:val="000000" w:themeColor="text1"/>
                <w:sz w:val="18"/>
                <w:szCs w:val="18"/>
                <w:lang w:val="en-US"/>
              </w:rPr>
            </w:pPr>
            <w:r w:rsidRPr="005250A4">
              <w:rPr>
                <w:rFonts w:ascii="Arial" w:hAnsi="Arial" w:cs="Arial"/>
                <w:color w:val="000000" w:themeColor="text1"/>
                <w:sz w:val="18"/>
                <w:szCs w:val="18"/>
                <w:lang w:val="en-US"/>
              </w:rPr>
              <w:t xml:space="preserve">Mn ± Sd: Mean ± Standard deviation; </w:t>
            </w:r>
            <w:proofErr w:type="spellStart"/>
            <w:r w:rsidRPr="005250A4">
              <w:rPr>
                <w:rFonts w:ascii="Arial" w:hAnsi="Arial" w:cs="Arial"/>
                <w:color w:val="000000" w:themeColor="text1"/>
                <w:sz w:val="18"/>
                <w:szCs w:val="18"/>
                <w:lang w:val="en-US"/>
              </w:rPr>
              <w:t>WACt</w:t>
            </w:r>
            <w:proofErr w:type="spellEnd"/>
            <w:r w:rsidRPr="005250A4">
              <w:rPr>
                <w:rFonts w:ascii="Arial" w:hAnsi="Arial" w:cs="Arial"/>
                <w:color w:val="000000" w:themeColor="text1"/>
                <w:sz w:val="18"/>
                <w:szCs w:val="18"/>
                <w:lang w:val="en-US"/>
              </w:rPr>
              <w:t xml:space="preserve">: </w:t>
            </w:r>
            <w:r w:rsidRPr="005250A4">
              <w:rPr>
                <w:rFonts w:ascii="Arial" w:eastAsiaTheme="minorEastAsia" w:hAnsi="Arial" w:cs="Arial"/>
                <w:color w:val="000000" w:themeColor="text1"/>
                <w:sz w:val="18"/>
                <w:szCs w:val="18"/>
                <w:lang w:val="en-US"/>
              </w:rPr>
              <w:t xml:space="preserve">True Water Absorption Capacity; </w:t>
            </w:r>
            <w:proofErr w:type="spellStart"/>
            <w:r w:rsidRPr="005250A4">
              <w:rPr>
                <w:rFonts w:ascii="Arial" w:eastAsiaTheme="minorEastAsia" w:hAnsi="Arial" w:cs="Arial"/>
                <w:color w:val="000000" w:themeColor="text1"/>
                <w:sz w:val="18"/>
                <w:szCs w:val="18"/>
                <w:lang w:val="en-US"/>
              </w:rPr>
              <w:t>WACa</w:t>
            </w:r>
            <w:proofErr w:type="spellEnd"/>
            <w:r w:rsidRPr="005250A4">
              <w:rPr>
                <w:rFonts w:ascii="Arial" w:eastAsiaTheme="minorEastAsia" w:hAnsi="Arial" w:cs="Arial"/>
                <w:color w:val="000000" w:themeColor="text1"/>
                <w:sz w:val="18"/>
                <w:szCs w:val="18"/>
                <w:lang w:val="en-US"/>
              </w:rPr>
              <w:t>: Apparent Water Absorption Capacity;</w:t>
            </w:r>
            <w:r w:rsidR="00920049">
              <w:rPr>
                <w:rFonts w:ascii="Arial" w:eastAsiaTheme="minorEastAsia" w:hAnsi="Arial" w:cs="Arial"/>
                <w:color w:val="000000" w:themeColor="text1"/>
                <w:sz w:val="18"/>
                <w:szCs w:val="18"/>
                <w:lang w:val="en-US"/>
              </w:rPr>
              <w:t xml:space="preserve"> </w:t>
            </w:r>
            <w:r w:rsidRPr="005250A4">
              <w:rPr>
                <w:rFonts w:ascii="Arial" w:eastAsiaTheme="minorEastAsia" w:hAnsi="Arial" w:cs="Arial"/>
                <w:color w:val="000000" w:themeColor="text1"/>
                <w:sz w:val="18"/>
                <w:szCs w:val="18"/>
                <w:lang w:val="en-US"/>
              </w:rPr>
              <w:t xml:space="preserve">SI: Solubility Index; P: Porosity; TD: True Density; BD: Bulk Density. </w:t>
            </w:r>
            <w:r w:rsidRPr="005250A4">
              <w:rPr>
                <w:rFonts w:ascii="Arial" w:hAnsi="Arial" w:cs="Arial"/>
                <w:color w:val="000000" w:themeColor="text1"/>
                <w:sz w:val="18"/>
                <w:szCs w:val="18"/>
                <w:lang w:val="en-US"/>
              </w:rPr>
              <w:t xml:space="preserve">The lowercase letters assigned to each row mean, distinct from one another, indicate a significant difference at the </w:t>
            </w:r>
            <w:r w:rsidRPr="005250A4">
              <w:rPr>
                <w:rStyle w:val="Strong"/>
                <w:rFonts w:ascii="Arial" w:hAnsi="Arial" w:cs="Arial"/>
                <w:color w:val="000000" w:themeColor="text1"/>
                <w:sz w:val="18"/>
                <w:szCs w:val="18"/>
                <w:lang w:val="en-US"/>
              </w:rPr>
              <w:t>probability threshold P &lt; .05</w:t>
            </w:r>
          </w:p>
        </w:tc>
      </w:tr>
      <w:bookmarkEnd w:id="6"/>
    </w:tbl>
    <w:p w14:paraId="28B6D9BA" w14:textId="77777777" w:rsidR="00DB449D" w:rsidRPr="005250A4" w:rsidRDefault="00DB449D" w:rsidP="00DB449D">
      <w:pPr>
        <w:spacing w:after="0" w:line="360" w:lineRule="auto"/>
        <w:jc w:val="both"/>
        <w:rPr>
          <w:rFonts w:ascii="Arial" w:eastAsia="Times New Roman" w:hAnsi="Arial" w:cs="Arial"/>
          <w:color w:val="000000" w:themeColor="text1"/>
          <w:sz w:val="20"/>
          <w:szCs w:val="20"/>
          <w:lang w:val="en-US" w:eastAsia="fr-FR"/>
        </w:rPr>
      </w:pPr>
    </w:p>
    <w:p w14:paraId="09CB6F2B" w14:textId="77777777" w:rsidR="00DB449D" w:rsidRPr="005250A4" w:rsidRDefault="00DB449D" w:rsidP="00DB449D">
      <w:pPr>
        <w:pStyle w:val="ListParagraph"/>
        <w:numPr>
          <w:ilvl w:val="2"/>
          <w:numId w:val="5"/>
        </w:numPr>
        <w:spacing w:line="360" w:lineRule="auto"/>
        <w:jc w:val="both"/>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Water Solubility Index, Porosity, and True and Bulk Densities</w:t>
      </w:r>
    </w:p>
    <w:p w14:paraId="7045E727" w14:textId="77777777" w:rsidR="000D10BA" w:rsidRDefault="00DB449D" w:rsidP="00DB449D">
      <w:pPr>
        <w:spacing w:before="100" w:beforeAutospacing="1" w:after="100" w:afterAutospacing="1"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 xml:space="preserve">The water solubility index (WSI) of a powder reflects its ability to dissolve in water. This functionality is essential for powders, particularly concerning their rehydration properties. In this context, the WSIs of the studied powders are presented in Table </w:t>
      </w:r>
      <w:r w:rsidR="000D10BA">
        <w:rPr>
          <w:rFonts w:ascii="Arial" w:eastAsia="Times New Roman" w:hAnsi="Arial" w:cs="Arial"/>
          <w:color w:val="000000" w:themeColor="text1"/>
          <w:sz w:val="20"/>
          <w:szCs w:val="20"/>
          <w:lang w:val="en-US" w:eastAsia="fr-FR"/>
        </w:rPr>
        <w:t>4</w:t>
      </w:r>
      <w:r w:rsidRPr="005250A4">
        <w:rPr>
          <w:rFonts w:ascii="Arial" w:eastAsia="Times New Roman" w:hAnsi="Arial" w:cs="Arial"/>
          <w:color w:val="000000" w:themeColor="text1"/>
          <w:sz w:val="20"/>
          <w:szCs w:val="20"/>
          <w:lang w:val="en-US" w:eastAsia="fr-FR"/>
        </w:rPr>
        <w:t xml:space="preserve">. Notably, the values vary significantly from 67.61 ± 3.90% to 75.71 ± 1.04% for the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leaf and fruit powders, and from 59.57 ± 1.76% to 66.23 ± 3.76% for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leaf and fruit powders, respectively. These values are markedly higher than the range of 3.02% to 3.5% reported by </w:t>
      </w:r>
      <w:r w:rsidRPr="005250A4">
        <w:rPr>
          <w:rFonts w:ascii="Arial" w:eastAsia="Times New Roman" w:hAnsi="Arial" w:cs="Arial"/>
          <w:color w:val="000000" w:themeColor="text1"/>
          <w:sz w:val="20"/>
          <w:szCs w:val="20"/>
          <w:lang w:val="en-US" w:eastAsia="fr-FR"/>
        </w:rPr>
        <w:fldChar w:fldCharType="begin" w:fldLock="1"/>
      </w:r>
      <w:r>
        <w:rPr>
          <w:rFonts w:ascii="Arial" w:eastAsia="Times New Roman" w:hAnsi="Arial" w:cs="Arial"/>
          <w:color w:val="000000" w:themeColor="text1"/>
          <w:sz w:val="20"/>
          <w:szCs w:val="20"/>
          <w:lang w:val="en-US" w:eastAsia="fr-FR"/>
        </w:rPr>
        <w:instrText>ADDIN CSL_CITATION {"citationItems":[{"id":"ITEM-1","itemData":{"DOI":"10.9734/AFSJ/2021/v20i130255","author":[{"dropping-particle":"","family":"Assiéné","given":"Agamou Julien Armel","non-dropping-particle":"","parse-names":false,"suffix":""},{"dropping-particle":"","family":"Fombang","given":"Edith Nig","non-dropping-particle":"","parse-names":false,"suffix":""},{"dropping-particle":"","family":"Mbofung","given":"Carl Moses","non-dropping-particle":"","parse-names":false,"suffix":""}],"id":"ITEM-1","issue":"1","issued":{"date-parts":[["2021"]]},"page":"60-71","title":"Influence of Compounds Contents and Particle Size on Some Functional Properties of Moringa oleifera Leaves ( Lam ) Powders","type":"article-journal","volume":"20"},"uris":["http://www.mendeley.com/documents/?uuid=a2e62898-491f-4111-ac12-1a60b7402f13"]}],"mendeley":{"formattedCitation":"(Assiéné et al., 2021)","manualFormatting":"Assiéné et al. (2021)","plainTextFormattedCitation":"(Assiéné et al., 2021)","previouslyFormattedCitation":"(Assiéné et al., 2021)"},"properties":{"noteIndex":0},"schema":"https://github.com/citation-style-language/schema/raw/master/csl-citation.json"}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983239">
        <w:rPr>
          <w:rFonts w:ascii="Arial" w:eastAsia="Times New Roman" w:hAnsi="Arial" w:cs="Arial"/>
          <w:noProof/>
          <w:color w:val="000000" w:themeColor="text1"/>
          <w:sz w:val="20"/>
          <w:szCs w:val="20"/>
          <w:lang w:val="en-US" w:eastAsia="fr-FR"/>
        </w:rPr>
        <w:t>Assiéné et al. (2021)</w:t>
      </w:r>
      <w:r w:rsidRPr="005250A4">
        <w:rPr>
          <w:rFonts w:ascii="Arial" w:eastAsia="Times New Roman" w:hAnsi="Arial" w:cs="Arial"/>
          <w:color w:val="000000" w:themeColor="text1"/>
          <w:sz w:val="20"/>
          <w:szCs w:val="20"/>
          <w:lang w:val="en-US" w:eastAsia="fr-FR"/>
        </w:rPr>
        <w:fldChar w:fldCharType="end"/>
      </w:r>
      <w:r w:rsidRPr="00983239">
        <w:rPr>
          <w:rFonts w:ascii="Arial" w:eastAsia="Times New Roman" w:hAnsi="Arial" w:cs="Arial"/>
          <w:color w:val="000000" w:themeColor="text1"/>
          <w:sz w:val="20"/>
          <w:szCs w:val="20"/>
          <w:lang w:val="en-US" w:eastAsia="fr-FR"/>
        </w:rPr>
        <w:t xml:space="preserve"> for </w:t>
      </w:r>
      <w:r w:rsidRPr="00983239">
        <w:rPr>
          <w:rFonts w:ascii="Arial" w:eastAsia="Times New Roman" w:hAnsi="Arial" w:cs="Arial"/>
          <w:i/>
          <w:color w:val="000000" w:themeColor="text1"/>
          <w:sz w:val="20"/>
          <w:szCs w:val="20"/>
          <w:lang w:val="en-US" w:eastAsia="fr-FR"/>
        </w:rPr>
        <w:t>M. oleifera</w:t>
      </w:r>
      <w:r w:rsidRPr="00983239">
        <w:rPr>
          <w:rFonts w:ascii="Arial" w:eastAsia="Times New Roman" w:hAnsi="Arial" w:cs="Arial"/>
          <w:color w:val="000000" w:themeColor="text1"/>
          <w:sz w:val="20"/>
          <w:szCs w:val="20"/>
          <w:lang w:val="en-US" w:eastAsia="fr-FR"/>
        </w:rPr>
        <w:t xml:space="preserve"> leaf powders.  </w:t>
      </w:r>
      <w:r w:rsidRPr="005250A4">
        <w:rPr>
          <w:rFonts w:ascii="Arial" w:eastAsia="Times New Roman" w:hAnsi="Arial" w:cs="Arial"/>
          <w:color w:val="000000" w:themeColor="text1"/>
          <w:sz w:val="20"/>
          <w:szCs w:val="20"/>
          <w:lang w:eastAsia="fr-FR"/>
        </w:rPr>
        <w:fldChar w:fldCharType="begin" w:fldLock="1"/>
      </w:r>
      <w:r>
        <w:rPr>
          <w:rFonts w:ascii="Arial" w:eastAsia="Times New Roman" w:hAnsi="Arial" w:cs="Arial"/>
          <w:color w:val="000000" w:themeColor="text1"/>
          <w:sz w:val="20"/>
          <w:szCs w:val="20"/>
          <w:lang w:eastAsia="fr-FR"/>
        </w:rPr>
        <w:instrText>ADDIN CSL_CITATION {"citationItems":[{"id":"ITEM-1","itemData":{"DOI":"10.1002/jsfa.3085","ISSN":"00225142","abstract":"BACKGROUND: Taro is a plant widely produced in tropical areas for its underground corms. Taro corms are highly perishable owing to their high moisture content. In order to limit post-harvest losses and improve the production and consumption, production and utilization of taro flour have been envisaged. In connection with this, the incorporation of taro flour into wheat-based products has been reported to increase their keeping quality. Before consideration is given to taro flour as a substitute for wheat in bread manufacture, it is necessary to characterize the functionality of the composite flour and dough. The present study investigated the physicochemical and alveographic properties of wheat-taro composite flour. RESULTS: Three varieties of taro flour (WCN, RIN and KWN) were incorporated into wheat flour in proportions of 10%, 20% and 30% (w/w) and the water absorption capacity (WAC), retrogradation index (RI), foam capacity (FC) and other functional properties were measured. In addition, characteristics of dough rupture pressure (P), extensibility (L), elasticity index (Ie) and strength (W) of flour made from the different composites were measured using an alveograph. The results showed that WAC significantly increased from 132% (wheat flour) to 156% (30% composite flour), while RI significantly decreased from 38% to a mean value of 22%. Principal component analysis revealed that WAC and P formed a group of variables negatively correlated with a second group made of RI, FC, W, Ie and L. CONCLUSION: Incorporating taro flour up to a level of 10% had no significant effect on the functional and alveographic properties of the flours. This suggested that in order to guarantee the quality of bread made from wheat-taro composite the level of taro addition should not exceed 10%. ©</w:instrText>
      </w:r>
      <w:r w:rsidRPr="00B3747D">
        <w:rPr>
          <w:rFonts w:ascii="Arial" w:eastAsia="Times New Roman" w:hAnsi="Arial" w:cs="Arial"/>
          <w:color w:val="000000" w:themeColor="text1"/>
          <w:sz w:val="20"/>
          <w:szCs w:val="20"/>
          <w:lang w:val="en-US" w:eastAsia="fr-FR"/>
        </w:rPr>
        <w:instrText xml:space="preserve"> 2007 Society of Chemical Industry.","author":[{"dropping-particle":"","family":"Njintang","given":"Nicolas Y.","non-dropping-particle":"","parse-names":false,"suffix":""},{"dropping-particle":"","family":"Mbofung","given":"Carl M.F.","non-dropping-particle":"","parse-names":false,"suffix":""},{"dropping-particle":"","family":"Balaam","given":"Facho","non-dropping-particle":"","parse-names":false,"suffix":""},{"dropping-particle":"","family":"Kitissou","given":"Pierre","non-dropping-particle":"","parse-names":false,"suffix":""},{"dropping-particle":"","family":"Scher","given":"Joel","non-dropping-particle":"","parse-names":false,"suffix":""}],"container-title":"Journal of the Science of Food and Agriculture","id":"ITEM-1","issue":"2","issued":{"date-parts":[["2008","1"]]},"page":"273-279","title":"Effect of taro (Colocasia esculenta) flour addition on the functional and alveographic properties of wheat flour and dough","type":"article-journal","volume":"88"},"uris":["http://www.mendeley.com/documents/?uuid=bdfe6a34-89da-329f-a802-b527f06d39af","http://www.mendeley.com/documents/?uuid=dc13abc4-02ff-486f-b8d8-aa9d6a933111"]}],"mendeley":{"formattedCitation":"(N. Y. Njintang et al., 2008)","manualFormatting":"N. Y. Njintang et al. (2008)","plainTextFormattedCitation":"(N. Y. Njintang et al., 2008)","previouslyFormattedCitation":"(N. Y. Njintang et al., 2008)"},"properties":{"noteIndex":0},"schema":"https://github.com/citation-style-language/schema/raw/master/csl-citation.json"}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 xml:space="preserve">N. Y. Njintang et al.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2008)</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also reported low WSIs in starchy food matrices such as taro (19.3%) and wheat (15.8%) compared to those obtained in this study. Additionally, the WSIs of the fruit powders were higher than those of the leaf powders. This difference correlates with the WAC of the fruit powders</w:t>
      </w:r>
      <w:r w:rsidR="000D10BA">
        <w:rPr>
          <w:rFonts w:ascii="Arial" w:eastAsia="Times New Roman" w:hAnsi="Arial" w:cs="Arial"/>
          <w:color w:val="000000" w:themeColor="text1"/>
          <w:sz w:val="20"/>
          <w:szCs w:val="20"/>
          <w:lang w:val="en-US" w:eastAsia="fr-FR"/>
        </w:rPr>
        <w:t xml:space="preserve"> </w:t>
      </w:r>
      <w:r w:rsidRPr="005250A4">
        <w:rPr>
          <w:rFonts w:ascii="Arial" w:eastAsia="Times New Roman" w:hAnsi="Arial" w:cs="Arial"/>
          <w:color w:val="000000" w:themeColor="text1"/>
          <w:sz w:val="20"/>
          <w:szCs w:val="20"/>
          <w:lang w:val="en-US" w:eastAsia="fr-FR"/>
        </w:rPr>
        <w:t xml:space="preserve">and can be attributed to the activity of hydrophilic compounds, as previously discussed. </w:t>
      </w:r>
    </w:p>
    <w:p w14:paraId="06A5FBBB" w14:textId="42AB43D7" w:rsidR="00DB449D" w:rsidRPr="00EA43D8" w:rsidRDefault="00DB449D" w:rsidP="00FC5154">
      <w:pPr>
        <w:spacing w:before="100" w:beforeAutospacing="1" w:after="0" w:line="360" w:lineRule="auto"/>
        <w:jc w:val="both"/>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fldChar w:fldCharType="begin" w:fldLock="1"/>
      </w:r>
      <w:r>
        <w:rPr>
          <w:rFonts w:ascii="Arial" w:eastAsia="Times New Roman" w:hAnsi="Arial" w:cs="Arial"/>
          <w:color w:val="000000" w:themeColor="text1"/>
          <w:sz w:val="20"/>
          <w:szCs w:val="20"/>
          <w:lang w:val="en-US" w:eastAsia="fr-FR"/>
        </w:rPr>
        <w:instrText>ADDIN CSL_CITATION {"citationItems":[{"id":"ITEM-1","itemData":{"DOI":"10.1016/B978-0-12-805130-6.00003-3","ISBN":"9780128052754","abstract":"Dietary fiber has been extensively studied in last few decades for their physiological health benefits. Depending on its solubility, dietary fibers are classified in two groups-soluble and insoluble dietary fibers. Soluble dietary fibers include β-glucan, galactomannan, pectin, psyllium, inulin, and resistant starch, whereas insoluble fibers include cellulose, hemicellulose, chitosan, lignin, etc. Dietary fibers are characterized with some physicochemical properties, such as solubility, fermentability, viscosity, water absorption, binding ability and so on. These properties are responsible for the functional behavior of dietary fibers. In this chapter, classification, physicochemical properties, and interactions of soluble and insoluble dietary fibers are discussed with respect to their specific health benefit.","author":[{"dropping-particle":"","family":"Mudgil","given":"Deepak","non-dropping-particle":"","parse-names":false,"suffix":""}],"container-title":"Dietary Fiber for the Prevention of Cardiovascular Disease: Fiber's Interaction between Gut Micoflora, Sugar Metabolism, Weight Control and Cardiovascular Health","id":"ITEM-1","issued":{"date-parts":[["2017"]]},"number-of-pages":"35-59","publisher":"Elsevier Inc.","title":"The Interaction Between Insoluble and Soluble Fiber","type":"book"},"uris":["http://www.mendeley.com/documents/?uuid=036eab8b-4f42-4e6d-832a-52c8e11ac9ae","http://www.mendeley.com/documents/?uuid=eff63c85-c97a-47d5-97d3-e8c581dd495e"]}],"mendeley":{"formattedCitation":"(Mudgil, 2017)","manualFormatting":"Mudgil (2017)","plainTextFormattedCitation":"(Mudgil, 2017)","previouslyFormattedCitation":"(Mudgil, 2017)"},"properties":{"noteIndex":0},"schema":"https://github.com/citation-style-language/schema/raw/master/csl-citation.json"}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Mudgil</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2017)</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reported that the presence of crude fibers (such as cellulose and hemicellulose) significantly impacts the porosity and density of powders. This phenomenon is evident in </w:t>
      </w:r>
      <w:r w:rsidRPr="00253E0F">
        <w:rPr>
          <w:rFonts w:ascii="Arial" w:eastAsia="Times New Roman" w:hAnsi="Arial" w:cs="Arial"/>
          <w:color w:val="000000" w:themeColor="text1"/>
          <w:sz w:val="20"/>
          <w:szCs w:val="20"/>
          <w:lang w:val="en-US" w:eastAsia="fr-FR"/>
        </w:rPr>
        <w:t xml:space="preserve">Table </w:t>
      </w:r>
      <w:r w:rsidR="00253E0F" w:rsidRPr="00253E0F">
        <w:rPr>
          <w:rFonts w:ascii="Arial" w:eastAsia="Times New Roman" w:hAnsi="Arial" w:cs="Arial"/>
          <w:color w:val="000000" w:themeColor="text1"/>
          <w:sz w:val="20"/>
          <w:szCs w:val="20"/>
          <w:lang w:val="en-US" w:eastAsia="fr-FR"/>
        </w:rPr>
        <w:t>4</w:t>
      </w:r>
      <w:r w:rsidRPr="005250A4">
        <w:rPr>
          <w:rFonts w:ascii="Arial" w:eastAsia="Times New Roman" w:hAnsi="Arial" w:cs="Arial"/>
          <w:color w:val="000000" w:themeColor="text1"/>
          <w:sz w:val="20"/>
          <w:szCs w:val="20"/>
          <w:lang w:val="en-US" w:eastAsia="fr-FR"/>
        </w:rPr>
        <w:t xml:space="preserve">, where the porosity (P) values were higher for the fruit powders (0.33 ± 0.01 and 0.49 ± 0.01) than for the leaf powders (0.11 ± 0.02 and 0.42 ± 0.01)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xml:space="preserve"> and </w:t>
      </w:r>
      <w:r w:rsidRPr="005250A4">
        <w:rPr>
          <w:rFonts w:ascii="Arial" w:eastAsia="Times New Roman" w:hAnsi="Arial" w:cs="Arial"/>
          <w:i/>
          <w:color w:val="000000" w:themeColor="text1"/>
          <w:sz w:val="20"/>
          <w:szCs w:val="20"/>
          <w:lang w:val="en-US" w:eastAsia="fr-FR"/>
        </w:rPr>
        <w:t>A. esculentus</w:t>
      </w:r>
      <w:r w:rsidRPr="005250A4">
        <w:rPr>
          <w:rFonts w:ascii="Arial" w:eastAsia="Times New Roman" w:hAnsi="Arial" w:cs="Arial"/>
          <w:color w:val="000000" w:themeColor="text1"/>
          <w:sz w:val="20"/>
          <w:szCs w:val="20"/>
          <w:lang w:val="en-US" w:eastAsia="fr-FR"/>
        </w:rPr>
        <w:t xml:space="preserve">, respectively. These values align with the range (0.31% to 0.40%) reported by </w:t>
      </w:r>
      <w:r w:rsidRPr="005250A4">
        <w:rPr>
          <w:rFonts w:ascii="Arial" w:eastAsia="Times New Roman" w:hAnsi="Arial" w:cs="Arial"/>
          <w:color w:val="000000" w:themeColor="text1"/>
          <w:sz w:val="20"/>
          <w:szCs w:val="20"/>
          <w:lang w:val="en-US" w:eastAsia="fr-FR"/>
        </w:rPr>
        <w:fldChar w:fldCharType="begin" w:fldLock="1"/>
      </w:r>
      <w:r>
        <w:rPr>
          <w:rFonts w:ascii="Arial" w:eastAsia="Times New Roman" w:hAnsi="Arial" w:cs="Arial"/>
          <w:color w:val="000000" w:themeColor="text1"/>
          <w:sz w:val="20"/>
          <w:szCs w:val="20"/>
          <w:lang w:val="en-US" w:eastAsia="fr-FR"/>
        </w:rPr>
        <w:instrText>ADDIN CSL_CITATION {"citationItems":[{"id":"ITEM-1","itemData":{"DOI":"10.1016/j.jfoodeng.2005.03.059","ISSN":"02608774","abstract":"Several physical, mechanical and chemical properties of three sweet cherry varieties (Van, Noir De Guben and 0-900 Ziraat) were determined and compared in terms of linear dimensions, length, width, thickness, volume, surface area, geometric mean diameter, fruit mass, sphericity, length of pit, width of pit, weight of pit, flesh/pit ratio, fruit density, bulk density, porosity, failure parameters (force, stress, strain and modulus of elasticity), coefficient of static friction, terminal velocity and apparent colour of sweet cherry varieties, and yield of fruit juice, titratable acidity, pH, total soluble solid, total phenolic compounds, anthocyanins, ascorbic acid, extract, total sugar, ash, and TSS/acid ratio. Further, multi linear models for three sweet cherry varieties were developed and presented to predict the fruit mass. All the properties of three sweet cherry varieties that provide useful data to engineers in equipment design and post-harvest technology for the sweet cherry varieties were generally found to be statistically different. These differences could be due to the individual characteristics of these varieties, environmental and growth conditions. © 2005 Elsevier Ltd. All rights reserved.","author":[{"dropping-particle":"","family":"Vursavuş","given":"Kubilay","non-dropping-particle":"","parse-names":false,"suffix":""},{"dropping-particle":"","family":"Kelebek","given":"Hasim","non-dropping-particle":"","parse-names":false,"suffix":""},{"dropping-particle":"","family":"Selli","given":"Serkan","non-dropping-particle":"","parse-names":false,"suffix":""}],"container-title":"Journal of Food Engineering","id":"ITEM-1","issue":"4","issued":{"date-parts":[["2006"]]},"page":"568-575","publisher":"Elsevier Ltd","title":"A study on some chemical and physico-mechanic properties of three sweet cherry varieties (Prunus avium L.) in Turkey","type":"article-journal","volume":"74"},"uris":["http://www.mendeley.com/documents/?uuid=0748cdb4-8168-3017-8212-a121d8cd77fd","http://www.mendeley.com/documents/?uuid=6b75ecbc-53a6-44d3-8a11-19cdb386d309"]}],"mendeley":{"formattedCitation":"(Vursavuş et al., 2006)","manualFormatting":"Vursavuş et al. (2006)","plainTextFormattedCitation":"(Vursavuş et al., 2006)","previouslyFormattedCitation":"(Vursavuş et al., 2006)"},"properties":{"noteIndex":0},"schema":"https://github.com/citation-style-language/schema/raw/master/csl-citation.json"}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Vursavuş et al.</w:t>
      </w:r>
      <w:r>
        <w:rPr>
          <w:rFonts w:ascii="Arial" w:eastAsia="Times New Roman" w:hAnsi="Arial" w:cs="Arial"/>
          <w:noProof/>
          <w:color w:val="000000" w:themeColor="text1"/>
          <w:sz w:val="20"/>
          <w:szCs w:val="20"/>
          <w:lang w:val="en-US" w:eastAsia="fr-FR"/>
        </w:rPr>
        <w:t xml:space="preserve"> (</w:t>
      </w:r>
      <w:r w:rsidRPr="00302617">
        <w:rPr>
          <w:rFonts w:ascii="Arial" w:eastAsia="Times New Roman" w:hAnsi="Arial" w:cs="Arial"/>
          <w:noProof/>
          <w:color w:val="000000" w:themeColor="text1"/>
          <w:sz w:val="20"/>
          <w:szCs w:val="20"/>
          <w:lang w:val="en-US" w:eastAsia="fr-FR"/>
        </w:rPr>
        <w:t>2006)</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for several sweet cherries. Notably, the true density (TD) and bulk density (BD) were significantly lower for the fruit powders (0.25 ± 0.00 and 0.19 ± 0.00 g/ml) than for the leaf powders (0.27 ± 0.00 and 0.24 ± 0.00 g/ml) of </w:t>
      </w:r>
      <w:r w:rsidRPr="005250A4">
        <w:rPr>
          <w:rFonts w:ascii="Arial" w:eastAsia="Times New Roman" w:hAnsi="Arial" w:cs="Arial"/>
          <w:i/>
          <w:color w:val="000000" w:themeColor="text1"/>
          <w:sz w:val="20"/>
          <w:szCs w:val="20"/>
          <w:lang w:val="en-US" w:eastAsia="fr-FR"/>
        </w:rPr>
        <w:t>C. olitorius</w:t>
      </w:r>
      <w:r w:rsidRPr="005250A4">
        <w:rPr>
          <w:rFonts w:ascii="Arial" w:eastAsia="Times New Roman" w:hAnsi="Arial" w:cs="Arial"/>
          <w:color w:val="000000" w:themeColor="text1"/>
          <w:sz w:val="20"/>
          <w:szCs w:val="20"/>
          <w:lang w:val="en-US" w:eastAsia="fr-FR"/>
        </w:rPr>
        <w:t>. Similarly, fruit powders (0.22 ± 0.00 and 0.11 ± 0.00 g/ml) exhibited significantly lower TD and BD values than leaf powders (0.29 ± 0.00 and 0.17 ± 0.00 g/ml) of</w:t>
      </w:r>
      <w:r w:rsidRPr="005250A4">
        <w:rPr>
          <w:rFonts w:ascii="Arial" w:eastAsia="Times New Roman" w:hAnsi="Arial" w:cs="Arial"/>
          <w:i/>
          <w:color w:val="000000" w:themeColor="text1"/>
          <w:sz w:val="20"/>
          <w:szCs w:val="20"/>
          <w:lang w:val="en-US" w:eastAsia="fr-FR"/>
        </w:rPr>
        <w:t xml:space="preserve"> A. esculentus</w:t>
      </w:r>
      <w:r w:rsidRPr="005250A4">
        <w:rPr>
          <w:rFonts w:ascii="Arial" w:eastAsia="Times New Roman" w:hAnsi="Arial" w:cs="Arial"/>
          <w:color w:val="000000" w:themeColor="text1"/>
          <w:sz w:val="20"/>
          <w:szCs w:val="20"/>
          <w:lang w:val="en-US" w:eastAsia="fr-FR"/>
        </w:rPr>
        <w:t xml:space="preserve">. These values are below those reported (0.60 to 0.69 g/ml) by </w:t>
      </w:r>
      <w:r w:rsidRPr="005250A4">
        <w:rPr>
          <w:rFonts w:ascii="Arial" w:eastAsia="Times New Roman" w:hAnsi="Arial" w:cs="Arial"/>
          <w:color w:val="000000" w:themeColor="text1"/>
          <w:sz w:val="20"/>
          <w:szCs w:val="20"/>
          <w:lang w:val="en-US" w:eastAsia="fr-FR"/>
        </w:rPr>
        <w:fldChar w:fldCharType="begin" w:fldLock="1"/>
      </w:r>
      <w:r>
        <w:rPr>
          <w:rFonts w:ascii="Arial" w:eastAsia="Times New Roman" w:hAnsi="Arial" w:cs="Arial"/>
          <w:color w:val="000000" w:themeColor="text1"/>
          <w:sz w:val="20"/>
          <w:szCs w:val="20"/>
          <w:lang w:val="en-US" w:eastAsia="fr-FR"/>
        </w:rPr>
        <w:instrText>ADDIN CSL_CITATION {"citationItems":[{"id":"ITEM-1","itemData":{"DOI":"10.1016/j.jfoodeng.2005.03.059","ISSN":"02608774","abstract":"Several physical, mechanical and chemical properties of three sweet cherry varieties (Van, Noir De Guben and 0-900 Ziraat) were determined and compared in terms of linear dimensions, length, width, thickness, volume, surface area, geometric mean diameter, fruit mass, sphericity, length of pit, width of pit, weight of pit, flesh/pit ratio, fruit density, bulk density, porosity, failure parameters (force, stress, strain and modulus of elasticity), coefficient of static friction, terminal velocity and apparent colour of sweet cherry varieties, and yield of fruit juice, titratable acidity, pH, total soluble solid, total phenolic compounds, anthocyanins, ascorbic acid, extract, total sugar, ash, and TSS/acid ratio. Further, multi linear models for three sweet cherry varieties were developed and presented to predict the fruit mass. All the properties of three sweet cherry varieties that provide useful data to engineers in equipment design and post-harvest technology for the sweet cherry varieties were generally found to be statistically different. These differences could be due to the individual characteristics of these varieties, environmental and growth conditions. © 2005 Elsevier Ltd. All rights reserved.","author":[{"dropping-particle":"","family":"Vursavuş","given":"Kubilay","non-dropping-particle":"","parse-names":false,"suffix":""},{"dropping-particle":"","family":"Kelebek","given":"Hasim","non-dropping-particle":"","parse-names":false,"suffix":""},{"dropping-particle":"","family":"Selli","given":"Serkan","non-dropping-particle":"","parse-names":false,"suffix":""}],"container-title":"Journal of Food Engineering","id":"ITEM-1","issue":"4","issued":{"date-parts":[["2006"]]},"page":"568-575","publisher":"Elsevier Ltd","title":"A study on some chemical and physico-mechanic properties of three sweet cherry varieties (Prunus avium L.) in Turkey","type":"article-journal","volume":"74"},"uris":["http://www.mendeley.com/documents/?uuid=6b75ecbc-53a6-44d3-8a11-19cdb386d309","http://www.mendeley.com/documents/?uuid=0748cdb4-8168-3017-8212-a121d8cd77fd"]}],"mendeley":{"formattedCitation":"(Vursavuş et al., 2006)","manualFormatting":"Vursavuş et al. (2006)","plainTextFormattedCitation":"(Vursavuş et al., 2006)","previouslyFormattedCitation":"(Vursavuş et al., 2006)"},"properties":{"noteIndex":0},"schema":"https://github.com/citation-style-language/schema/raw/master/csl-citation.json"}</w:instrText>
      </w:r>
      <w:r w:rsidRPr="005250A4">
        <w:rPr>
          <w:rFonts w:ascii="Arial" w:eastAsia="Times New Roman" w:hAnsi="Arial" w:cs="Arial"/>
          <w:color w:val="000000" w:themeColor="text1"/>
          <w:sz w:val="20"/>
          <w:szCs w:val="20"/>
          <w:lang w:val="en-US" w:eastAsia="fr-FR"/>
        </w:rPr>
        <w:fldChar w:fldCharType="separate"/>
      </w:r>
      <w:r w:rsidRPr="00302617">
        <w:rPr>
          <w:rFonts w:ascii="Arial" w:eastAsia="Times New Roman" w:hAnsi="Arial" w:cs="Arial"/>
          <w:noProof/>
          <w:color w:val="000000" w:themeColor="text1"/>
          <w:sz w:val="20"/>
          <w:szCs w:val="20"/>
          <w:lang w:val="en-US" w:eastAsia="fr-FR"/>
        </w:rPr>
        <w:t xml:space="preserve">Vursavuş et al. </w:t>
      </w:r>
      <w:r>
        <w:rPr>
          <w:rFonts w:ascii="Arial" w:eastAsia="Times New Roman" w:hAnsi="Arial" w:cs="Arial"/>
          <w:noProof/>
          <w:color w:val="000000" w:themeColor="text1"/>
          <w:sz w:val="20"/>
          <w:szCs w:val="20"/>
          <w:lang w:val="en-US" w:eastAsia="fr-FR"/>
        </w:rPr>
        <w:t>(</w:t>
      </w:r>
      <w:r w:rsidRPr="00302617">
        <w:rPr>
          <w:rFonts w:ascii="Arial" w:eastAsia="Times New Roman" w:hAnsi="Arial" w:cs="Arial"/>
          <w:noProof/>
          <w:color w:val="000000" w:themeColor="text1"/>
          <w:sz w:val="20"/>
          <w:szCs w:val="20"/>
          <w:lang w:val="en-US" w:eastAsia="fr-FR"/>
        </w:rPr>
        <w:t>2006)</w:t>
      </w:r>
      <w:r w:rsidRPr="005250A4">
        <w:rPr>
          <w:rFonts w:ascii="Arial" w:eastAsia="Times New Roman" w:hAnsi="Arial" w:cs="Arial"/>
          <w:color w:val="000000" w:themeColor="text1"/>
          <w:sz w:val="20"/>
          <w:szCs w:val="20"/>
          <w:lang w:val="en-US" w:eastAsia="fr-FR"/>
        </w:rPr>
        <w:fldChar w:fldCharType="end"/>
      </w:r>
      <w:r w:rsidRPr="005250A4">
        <w:rPr>
          <w:rFonts w:ascii="Arial" w:eastAsia="Times New Roman" w:hAnsi="Arial" w:cs="Arial"/>
          <w:color w:val="000000" w:themeColor="text1"/>
          <w:sz w:val="20"/>
          <w:szCs w:val="20"/>
          <w:lang w:val="en-US" w:eastAsia="fr-FR"/>
        </w:rPr>
        <w:t xml:space="preserve">. Factors such as chemical composition, pH, temperature, </w:t>
      </w:r>
      <w:r w:rsidRPr="005250A4">
        <w:rPr>
          <w:rFonts w:ascii="Arial" w:eastAsia="Times New Roman" w:hAnsi="Arial" w:cs="Arial"/>
          <w:color w:val="000000" w:themeColor="text1"/>
          <w:sz w:val="20"/>
          <w:szCs w:val="20"/>
          <w:lang w:val="en-US" w:eastAsia="fr-FR"/>
        </w:rPr>
        <w:lastRenderedPageBreak/>
        <w:t xml:space="preserve">particle size, and specific surface area contribute to these observed differences </w:t>
      </w:r>
      <w:r w:rsidRPr="005250A4">
        <w:rPr>
          <w:rFonts w:ascii="Arial" w:eastAsia="Times New Roman" w:hAnsi="Arial" w:cs="Arial"/>
          <w:color w:val="000000" w:themeColor="text1"/>
          <w:sz w:val="20"/>
          <w:szCs w:val="20"/>
          <w:lang w:eastAsia="fr-FR"/>
        </w:rPr>
        <w:fldChar w:fldCharType="begin" w:fldLock="1"/>
      </w:r>
      <w:r>
        <w:rPr>
          <w:rFonts w:ascii="Arial" w:eastAsia="Times New Roman" w:hAnsi="Arial" w:cs="Arial"/>
          <w:color w:val="000000" w:themeColor="text1"/>
          <w:sz w:val="20"/>
          <w:szCs w:val="20"/>
          <w:lang w:val="en-US" w:eastAsia="fr-FR"/>
        </w:rPr>
        <w:instrText>ADDIN CSL_CITATION {"citationItems":[{"id":"ITEM-1","itemData":{"DOI":"10.1039/d1fo00521a","ISSN":"2042650X","PMID":"34100044","abstract":"Dietary fiber is an important nutrient for improving human health and controlling calorie intake, and is used to produce functional foods. In this study, insoluble dietary fiber (IDF) from three sources (enoki mushrooms, carrots, and oats) was characterized and their hypoglycemic and hypolipidemic effects were determined with in vitro and in vivo models. The results of Scanning electron microscopy (SEM) showed that the IDF from the three sources have different morphologies. The Fourier transform infrared spectroscopy (FT-IR) results showed that the IDF samples from the three sources have similar active groups, but the X-ray diffraction (XRD) and thermogravimetric analysis/differential scanning calorimetry (TGA/DSC) results indicated that oat IDF mainly contained cellulose, and enoki mushroom IDF and carrot IDF contained hemicelluloses and cellulose. Among three IDF, carrot IDF had stronger water holding capacity, swelling capacity, and adsorption capacity of oil and cholate; enoki mushroom IDF had stronger glucose adsorption capacity and the ability to inhibit fat digestion; while oat IDF had stronger cholesterol adsorption capacity. None of the three IDF showed significant inhibition on starch digestion. Results from mouse feeding studies showed that IDF from three sources all improved glucose tolerance and inhibited the rise of blood lipid after the fat loading. Thus, this study demonstrated the functional significance of the IDF from three sources, which provides a reference for their application in functional food products aiming at maintaining healthy glucose and blood lipid levels.","author":[{"dropping-particle":"","family":"Yang","given":"Xiao","non-dropping-particle":"","parse-names":false,"suffix":""},{"dropping-particle":"","family":"Dai","given":"Juan","non-dropping-particle":"","parse-names":false,"suffix":""},{"dropping-particle":"","family":"Zhong","given":"Yan","non-dropping-particle":"","parse-names":false,"suffix":""},{"dropping-particle":"","family":"Wei","given":"Xuelin","non-dropping-particle":"","parse-names":false,"suffix":""},{"dropping-particle":"","family":"Wu","given":"Mengxia","non-dropping-particle":"","parse-names":false,"suffix":""},{"dropping-particle":"","family":"Zhang","given":"Yuexin","non-dropping-particle":"","parse-names":false,"suffix":""},{"dropping-particle":"","family":"Huang","given":"Ai","non-dropping-particle":"","parse-names":false,"suffix":""},{"dropping-particle":"","family":"Wang","given":"Lijun","non-dropping-particle":"","parse-names":false,"suffix":""},{"dropping-particle":"","family":"Huang","given":"Yukun","non-dropping-particle":"","parse-names":false,"suffix":""},{"dropping-particle":"","family":"Zhang","given":"Chisong","non-dropping-particle":"","parse-names":false,"suffix":""},{"dropping-particle":"","family":"Chen","given":"Xianggui","non-dropping-particle":"","parse-names":false,"suffix":""},{"dropping-particle":"","family":"Xiao","given":"Hang","non-dropping-particle":"","parse-names":false,"suffix":""}],"container-title":"Food and Function","id":"ITEM-1","issue":"14","issued":{"date-parts":[["2021"]]},"page":"6576-6587","title":"Characterization of insoluble dietary fiber from three food sources and their potential hypoglycemic and hypolipidemic effects","type":"article-journal","volume":"12"},"uris":["http://www.mendeley.com/documents/?uuid=f2cc21ff-1a4c-482a-8f05-8ce93c9f1d24","http://www.mendeley.com/documents/?uuid=1f6dd3e3-6df2-4eab-b38e-c4361a6cb27c"]}],"mendeley":{"formattedCitation":"(Yang et al., 2021)","plainTextFormattedCitation":"(Yang et al., 2021)","previouslyFormattedCitation":"(Yang et al., 2021)"},"properties":{"noteIndex":0},"schema":"https://github.com/citation-style-language/schema/raw/master/csl-citation.json"}</w:instrText>
      </w:r>
      <w:r w:rsidRPr="005250A4">
        <w:rPr>
          <w:rFonts w:ascii="Arial" w:eastAsia="Times New Roman" w:hAnsi="Arial" w:cs="Arial"/>
          <w:color w:val="000000" w:themeColor="text1"/>
          <w:sz w:val="20"/>
          <w:szCs w:val="20"/>
          <w:lang w:eastAsia="fr-FR"/>
        </w:rPr>
        <w:fldChar w:fldCharType="separate"/>
      </w:r>
      <w:r w:rsidRPr="00302617">
        <w:rPr>
          <w:rFonts w:ascii="Arial" w:eastAsia="Times New Roman" w:hAnsi="Arial" w:cs="Arial"/>
          <w:noProof/>
          <w:color w:val="000000" w:themeColor="text1"/>
          <w:sz w:val="20"/>
          <w:szCs w:val="20"/>
          <w:lang w:val="en-US" w:eastAsia="fr-FR"/>
        </w:rPr>
        <w:t>(Yang et al., 2021)</w:t>
      </w:r>
      <w:r w:rsidRPr="005250A4">
        <w:rPr>
          <w:rFonts w:ascii="Arial" w:eastAsia="Times New Roman" w:hAnsi="Arial" w:cs="Arial"/>
          <w:color w:val="000000" w:themeColor="text1"/>
          <w:sz w:val="20"/>
          <w:szCs w:val="20"/>
          <w:lang w:eastAsia="fr-FR"/>
        </w:rPr>
        <w:fldChar w:fldCharType="end"/>
      </w:r>
      <w:r w:rsidRPr="005250A4">
        <w:rPr>
          <w:rFonts w:ascii="Arial" w:eastAsia="Times New Roman" w:hAnsi="Arial" w:cs="Arial"/>
          <w:color w:val="000000" w:themeColor="text1"/>
          <w:sz w:val="20"/>
          <w:szCs w:val="20"/>
          <w:lang w:val="en-US" w:eastAsia="fr-FR"/>
        </w:rPr>
        <w:t xml:space="preserve">. Notably, the TD values exceeded the BD values in both the leaves and fruits. This difference provides insight into the void volume between particles that a powder can accommodate. Such information is crucial for handling and storing these powders, allowing for maximum storage capacity after compaction </w:t>
      </w:r>
      <w:r w:rsidRPr="005250A4">
        <w:rPr>
          <w:rStyle w:val="fontstyle01"/>
          <w:rFonts w:ascii="Arial" w:hAnsi="Arial" w:cs="Arial"/>
          <w:color w:val="000000" w:themeColor="text1"/>
          <w:sz w:val="20"/>
          <w:szCs w:val="20"/>
          <w:lang w:val="en-US"/>
        </w:rPr>
        <w:fldChar w:fldCharType="begin" w:fldLock="1"/>
      </w:r>
      <w:r>
        <w:rPr>
          <w:rStyle w:val="fontstyle01"/>
          <w:rFonts w:ascii="Arial" w:hAnsi="Arial" w:cs="Arial"/>
          <w:color w:val="000000" w:themeColor="text1"/>
          <w:sz w:val="20"/>
          <w:szCs w:val="20"/>
          <w:lang w:val="en-US"/>
        </w:rPr>
        <w:instrText>ADDIN CSL_CITATION {"citationItems":[{"id":"ITEM-1","itemData":{"DOI":"10.5897/AJB2005.000-3223","ISSN":"16845315","abstract":"Legume flours were prepared from six species of mucuna bean, M. Veracruz mottle, M. rajada, M. cochinchinensis, M. deerigeana, M. pruriens and M. veracruz white. Physicochemical and functional characteristics were carried out on full fat and defatted flours. Bulk density of the flours increased following defatting. Isoelectric point of the proteins lies between 4 and 5. Generally, solubility reduced as the pH increases until it reached isoelectric point, followed by progressive increase in solubility with further increase in pH. Defatted flours have higher water and oil absorption capacities compared with full fat samples and M. veracruz white recorded the lowest value (1.40 g/g) while M. veracruz mottle had the highest value (2.20 g/g). Gelation studies revealed that M. veracruz mottle and M. rajada recorded the highest values (20%) while M. veracruz white and M. deerigeana had the lowest value (14%). The foaming capacity in full fat flours ranged between 9.6% in M. veracruz white and 19.23% in M. pruriens while the foaming capacity in defatted flours ranged from 50.0% in both M. pruriens and M. veracruz white and 84.30% in M. veracruz mottle. In addition, foaming capacities in full fat flours are lower than those of defatted flours. Emulsion capacity ranged between 78-90% in full fat flours and 56-68% in defatted flours. © 2005 Academic Journals.","author":[{"dropping-particle":"","family":"Adebowale","given":"Y. A.","non-dropping-particle":"","parse-names":false,"suffix":""},{"dropping-particle":"","family":"Adeyemi","given":"I. A.","non-dropping-particle":"","parse-names":false,"suffix":""},{"dropping-particle":"","family":"Oshodi","given":"A. A.","non-dropping-particle":"","parse-names":false,"suffix":""}],"container-title":"African Journal of Biotechnology","id":"ITEM-1","issue":"12","issued":{"date-parts":[["2005"]]},"page":"1461-1468","title":"Functional and physicochemical properties of flours of six Mucuna species","type":"article-journal","volume":"4"},"uris":["http://www.mendeley.com/documents/?uuid=ed4b6f11-25f0-44ba-9786-76d2b343df8a"]}],"mendeley":{"formattedCitation":"(Adebowale et al., 2005)","plainTextFormattedCitation":"(Adebowale et al., 2005)","previouslyFormattedCitation":"(Adebowale et al., 2005)"},"properties":{"noteIndex":0},"schema":"https://github.com/citation-style-language/schema/raw/master/csl-citation.json"}</w:instrText>
      </w:r>
      <w:r w:rsidRPr="005250A4">
        <w:rPr>
          <w:rStyle w:val="fontstyle01"/>
          <w:rFonts w:ascii="Arial" w:hAnsi="Arial" w:cs="Arial"/>
          <w:color w:val="000000" w:themeColor="text1"/>
          <w:sz w:val="20"/>
          <w:szCs w:val="20"/>
          <w:lang w:val="en-US"/>
        </w:rPr>
        <w:fldChar w:fldCharType="separate"/>
      </w:r>
      <w:r w:rsidRPr="00302617">
        <w:rPr>
          <w:rStyle w:val="fontstyle01"/>
          <w:rFonts w:ascii="Arial" w:hAnsi="Arial" w:cs="Arial"/>
          <w:noProof/>
          <w:color w:val="000000" w:themeColor="text1"/>
          <w:sz w:val="20"/>
          <w:szCs w:val="20"/>
          <w:lang w:val="en-US"/>
        </w:rPr>
        <w:t>(Adebowale et al., 2005)</w:t>
      </w:r>
      <w:r w:rsidRPr="005250A4">
        <w:rPr>
          <w:rStyle w:val="fontstyle01"/>
          <w:rFonts w:ascii="Arial" w:hAnsi="Arial" w:cs="Arial"/>
          <w:color w:val="000000" w:themeColor="text1"/>
          <w:sz w:val="20"/>
          <w:szCs w:val="20"/>
          <w:lang w:val="en-US"/>
        </w:rPr>
        <w:fldChar w:fldCharType="end"/>
      </w:r>
      <w:r w:rsidRPr="005250A4">
        <w:rPr>
          <w:rStyle w:val="fontstyle01"/>
          <w:rFonts w:ascii="Arial" w:hAnsi="Arial" w:cs="Arial"/>
          <w:color w:val="000000" w:themeColor="text1"/>
          <w:sz w:val="20"/>
          <w:szCs w:val="20"/>
          <w:lang w:val="en-US"/>
        </w:rPr>
        <w:t>.</w:t>
      </w:r>
    </w:p>
    <w:p w14:paraId="505670DB" w14:textId="74A54E15" w:rsidR="00C43488" w:rsidRPr="00B3747D" w:rsidRDefault="00C43488" w:rsidP="00607036">
      <w:pPr>
        <w:tabs>
          <w:tab w:val="left" w:pos="3735"/>
        </w:tabs>
        <w:spacing w:after="0" w:line="240" w:lineRule="auto"/>
        <w:rPr>
          <w:rFonts w:ascii="Arial" w:hAnsi="Arial" w:cs="Arial"/>
          <w:color w:val="000000" w:themeColor="text1"/>
          <w:sz w:val="20"/>
          <w:szCs w:val="20"/>
          <w:lang w:val="en-US"/>
        </w:rPr>
      </w:pPr>
    </w:p>
    <w:p w14:paraId="1F34734D" w14:textId="4F2F5B32" w:rsidR="00C43488" w:rsidRPr="006A54DD" w:rsidRDefault="00C43488" w:rsidP="00B06061">
      <w:pPr>
        <w:pStyle w:val="ListParagraph"/>
        <w:numPr>
          <w:ilvl w:val="1"/>
          <w:numId w:val="5"/>
        </w:numPr>
        <w:tabs>
          <w:tab w:val="left" w:pos="567"/>
        </w:tabs>
        <w:spacing w:line="360" w:lineRule="auto"/>
        <w:ind w:left="0" w:firstLine="0"/>
        <w:rPr>
          <w:rFonts w:ascii="Arial" w:hAnsi="Arial" w:cs="Arial"/>
          <w:b/>
          <w:color w:val="000000" w:themeColor="text1"/>
          <w:lang w:val="en-US"/>
        </w:rPr>
      </w:pPr>
      <w:r w:rsidRPr="006A54DD">
        <w:rPr>
          <w:rFonts w:ascii="Arial" w:hAnsi="Arial" w:cs="Arial"/>
          <w:b/>
          <w:color w:val="000000" w:themeColor="text1"/>
          <w:lang w:val="en-US"/>
        </w:rPr>
        <w:t>Relationships between the</w:t>
      </w:r>
      <w:r w:rsidR="00A65E65" w:rsidRPr="006A54DD">
        <w:rPr>
          <w:rFonts w:ascii="Arial" w:hAnsi="Arial" w:cs="Arial"/>
          <w:b/>
          <w:color w:val="000000" w:themeColor="text1"/>
          <w:lang w:val="en-US"/>
        </w:rPr>
        <w:t xml:space="preserve"> functional properties and</w:t>
      </w:r>
      <w:r w:rsidRPr="006A54DD">
        <w:rPr>
          <w:rFonts w:ascii="Arial" w:hAnsi="Arial" w:cs="Arial"/>
          <w:b/>
          <w:color w:val="000000" w:themeColor="text1"/>
          <w:lang w:val="en-US"/>
        </w:rPr>
        <w:t xml:space="preserve"> </w:t>
      </w:r>
      <w:r w:rsidR="006A54DD">
        <w:rPr>
          <w:rFonts w:ascii="Arial" w:hAnsi="Arial" w:cs="Arial"/>
          <w:b/>
          <w:color w:val="000000" w:themeColor="text1"/>
          <w:lang w:val="en-US"/>
        </w:rPr>
        <w:t xml:space="preserve">essential </w:t>
      </w:r>
      <w:r w:rsidRPr="006A54DD">
        <w:rPr>
          <w:rFonts w:ascii="Arial" w:hAnsi="Arial" w:cs="Arial"/>
          <w:b/>
          <w:color w:val="000000" w:themeColor="text1"/>
          <w:lang w:val="en-US"/>
        </w:rPr>
        <w:t>nutri</w:t>
      </w:r>
      <w:r w:rsidR="00A65E65" w:rsidRPr="006A54DD">
        <w:rPr>
          <w:rFonts w:ascii="Arial" w:hAnsi="Arial" w:cs="Arial"/>
          <w:b/>
          <w:color w:val="000000" w:themeColor="text1"/>
          <w:lang w:val="en-US"/>
        </w:rPr>
        <w:t>ent</w:t>
      </w:r>
      <w:r w:rsidR="00194C84" w:rsidRPr="006A54DD">
        <w:rPr>
          <w:rFonts w:ascii="Arial" w:hAnsi="Arial" w:cs="Arial"/>
          <w:b/>
          <w:color w:val="000000" w:themeColor="text1"/>
          <w:lang w:val="en-US"/>
        </w:rPr>
        <w:t>s</w:t>
      </w:r>
      <w:r w:rsidR="00A65E65" w:rsidRPr="006A54DD">
        <w:rPr>
          <w:rFonts w:ascii="Arial" w:hAnsi="Arial" w:cs="Arial"/>
          <w:b/>
          <w:color w:val="000000" w:themeColor="text1"/>
          <w:lang w:val="en-US"/>
        </w:rPr>
        <w:t>,</w:t>
      </w:r>
      <w:r w:rsidRPr="006A54DD">
        <w:rPr>
          <w:rFonts w:ascii="Arial" w:hAnsi="Arial" w:cs="Arial"/>
          <w:b/>
          <w:color w:val="000000" w:themeColor="text1"/>
          <w:lang w:val="en-US"/>
        </w:rPr>
        <w:t xml:space="preserve"> bioactive </w:t>
      </w:r>
      <w:r w:rsidR="00A65E65" w:rsidRPr="006A54DD">
        <w:rPr>
          <w:rFonts w:ascii="Arial" w:hAnsi="Arial" w:cs="Arial"/>
          <w:b/>
          <w:color w:val="000000" w:themeColor="text1"/>
          <w:lang w:val="en-US"/>
        </w:rPr>
        <w:t xml:space="preserve">compounds, antioxidant activity </w:t>
      </w:r>
      <w:r w:rsidRPr="006A54DD">
        <w:rPr>
          <w:rFonts w:ascii="Arial" w:hAnsi="Arial" w:cs="Arial"/>
          <w:b/>
          <w:color w:val="000000" w:themeColor="text1"/>
          <w:lang w:val="en-US"/>
        </w:rPr>
        <w:t xml:space="preserve">of </w:t>
      </w:r>
      <w:r w:rsidRPr="006A54DD">
        <w:rPr>
          <w:rFonts w:ascii="Arial" w:hAnsi="Arial" w:cs="Arial"/>
          <w:b/>
          <w:i/>
          <w:color w:val="000000" w:themeColor="text1"/>
          <w:lang w:val="en-US"/>
        </w:rPr>
        <w:t>C</w:t>
      </w:r>
      <w:r w:rsidR="00B17EC4">
        <w:rPr>
          <w:rFonts w:ascii="Arial" w:hAnsi="Arial" w:cs="Arial"/>
          <w:b/>
          <w:i/>
          <w:color w:val="000000" w:themeColor="text1"/>
          <w:lang w:val="en-US"/>
        </w:rPr>
        <w:t>.</w:t>
      </w:r>
      <w:r w:rsidRPr="006A54DD">
        <w:rPr>
          <w:rFonts w:ascii="Arial" w:hAnsi="Arial" w:cs="Arial"/>
          <w:b/>
          <w:i/>
          <w:color w:val="000000" w:themeColor="text1"/>
          <w:lang w:val="en-US"/>
        </w:rPr>
        <w:t xml:space="preserve"> olitorius</w:t>
      </w:r>
      <w:r w:rsidRPr="006A54DD">
        <w:rPr>
          <w:rFonts w:ascii="Arial" w:hAnsi="Arial" w:cs="Arial"/>
          <w:b/>
          <w:color w:val="000000" w:themeColor="text1"/>
          <w:lang w:val="en-US"/>
        </w:rPr>
        <w:t xml:space="preserve"> and </w:t>
      </w:r>
      <w:r w:rsidRPr="006A54DD">
        <w:rPr>
          <w:rFonts w:ascii="Arial" w:hAnsi="Arial" w:cs="Arial"/>
          <w:b/>
          <w:i/>
          <w:color w:val="000000" w:themeColor="text1"/>
          <w:lang w:val="en-US"/>
        </w:rPr>
        <w:t>A</w:t>
      </w:r>
      <w:r w:rsidR="00B17EC4">
        <w:rPr>
          <w:rFonts w:ascii="Arial" w:hAnsi="Arial" w:cs="Arial"/>
          <w:b/>
          <w:i/>
          <w:color w:val="000000" w:themeColor="text1"/>
          <w:lang w:val="en-US"/>
        </w:rPr>
        <w:t>.</w:t>
      </w:r>
      <w:r w:rsidRPr="006A54DD">
        <w:rPr>
          <w:rFonts w:ascii="Arial" w:hAnsi="Arial" w:cs="Arial"/>
          <w:b/>
          <w:i/>
          <w:color w:val="000000" w:themeColor="text1"/>
          <w:lang w:val="en-US"/>
        </w:rPr>
        <w:t xml:space="preserve"> </w:t>
      </w:r>
      <w:r w:rsidRPr="006A54DD">
        <w:rPr>
          <w:rFonts w:ascii="Arial" w:hAnsi="Arial" w:cs="Arial"/>
          <w:b/>
          <w:color w:val="000000" w:themeColor="text1"/>
          <w:lang w:val="en-US"/>
        </w:rPr>
        <w:t>leaves and fruit powders</w:t>
      </w:r>
    </w:p>
    <w:p w14:paraId="4D585D8F" w14:textId="59883D49" w:rsidR="00FC5154" w:rsidRPr="00FC5154" w:rsidRDefault="00FC5154" w:rsidP="00FC5154">
      <w:pPr>
        <w:pStyle w:val="NormalWeb"/>
        <w:spacing w:line="360" w:lineRule="auto"/>
        <w:rPr>
          <w:rFonts w:ascii="Arial" w:hAnsi="Arial" w:cs="Arial"/>
          <w:sz w:val="20"/>
          <w:szCs w:val="20"/>
          <w:lang w:val="en-US"/>
        </w:rPr>
      </w:pPr>
      <w:r w:rsidRPr="00FC5154">
        <w:rPr>
          <w:rStyle w:val="Strong"/>
          <w:rFonts w:ascii="Arial" w:eastAsiaTheme="majorEastAsia" w:hAnsi="Arial" w:cs="Arial"/>
          <w:b w:val="0"/>
          <w:bCs w:val="0"/>
          <w:sz w:val="20"/>
          <w:szCs w:val="20"/>
          <w:lang w:val="en-US"/>
        </w:rPr>
        <w:t>In the dietary management of patients suffering from chronic diseases</w:t>
      </w:r>
      <w:r w:rsidRPr="00FC5154">
        <w:rPr>
          <w:rFonts w:ascii="Arial" w:hAnsi="Arial" w:cs="Arial"/>
          <w:sz w:val="20"/>
          <w:szCs w:val="20"/>
          <w:lang w:val="en-US"/>
        </w:rPr>
        <w:t xml:space="preserve">, it is essential to meet their </w:t>
      </w:r>
      <w:r w:rsidRPr="00FC5154">
        <w:rPr>
          <w:rStyle w:val="Strong"/>
          <w:rFonts w:ascii="Arial" w:eastAsiaTheme="majorEastAsia" w:hAnsi="Arial" w:cs="Arial"/>
          <w:b w:val="0"/>
          <w:bCs w:val="0"/>
          <w:sz w:val="20"/>
          <w:szCs w:val="20"/>
          <w:lang w:val="en-US"/>
        </w:rPr>
        <w:t>nutritional needs</w:t>
      </w:r>
      <w:r w:rsidRPr="00FC5154">
        <w:rPr>
          <w:rFonts w:ascii="Arial" w:hAnsi="Arial" w:cs="Arial"/>
          <w:sz w:val="20"/>
          <w:szCs w:val="20"/>
          <w:lang w:val="en-US"/>
        </w:rPr>
        <w:t xml:space="preserve">, including </w:t>
      </w:r>
      <w:r w:rsidRPr="00FC5154">
        <w:rPr>
          <w:rStyle w:val="Strong"/>
          <w:rFonts w:ascii="Arial" w:eastAsiaTheme="majorEastAsia" w:hAnsi="Arial" w:cs="Arial"/>
          <w:b w:val="0"/>
          <w:bCs w:val="0"/>
          <w:sz w:val="20"/>
          <w:szCs w:val="20"/>
          <w:lang w:val="en-US"/>
        </w:rPr>
        <w:t>essential nutrients</w:t>
      </w:r>
      <w:r w:rsidRPr="00FC5154">
        <w:rPr>
          <w:rFonts w:ascii="Arial" w:hAnsi="Arial" w:cs="Arial"/>
          <w:sz w:val="20"/>
          <w:szCs w:val="20"/>
          <w:lang w:val="en-US"/>
        </w:rPr>
        <w:t xml:space="preserve"> (proteins, iron, zinc, magnesium, phosphorus), </w:t>
      </w:r>
      <w:r w:rsidRPr="00FC5154">
        <w:rPr>
          <w:rStyle w:val="Strong"/>
          <w:rFonts w:ascii="Arial" w:eastAsiaTheme="majorEastAsia" w:hAnsi="Arial" w:cs="Arial"/>
          <w:b w:val="0"/>
          <w:bCs w:val="0"/>
          <w:sz w:val="20"/>
          <w:szCs w:val="20"/>
          <w:lang w:val="en-US"/>
        </w:rPr>
        <w:t>fiber</w:t>
      </w:r>
      <w:r w:rsidRPr="00FC5154">
        <w:rPr>
          <w:rFonts w:ascii="Arial" w:hAnsi="Arial" w:cs="Arial"/>
          <w:sz w:val="20"/>
          <w:szCs w:val="20"/>
          <w:lang w:val="en-US"/>
        </w:rPr>
        <w:t xml:space="preserve">, and </w:t>
      </w:r>
      <w:r w:rsidRPr="00FC5154">
        <w:rPr>
          <w:rStyle w:val="Strong"/>
          <w:rFonts w:ascii="Arial" w:eastAsiaTheme="majorEastAsia" w:hAnsi="Arial" w:cs="Arial"/>
          <w:b w:val="0"/>
          <w:bCs w:val="0"/>
          <w:sz w:val="20"/>
          <w:szCs w:val="20"/>
          <w:lang w:val="en-US"/>
        </w:rPr>
        <w:t>antioxidants</w:t>
      </w:r>
      <w:r w:rsidRPr="00FC5154">
        <w:rPr>
          <w:rFonts w:ascii="Arial" w:hAnsi="Arial" w:cs="Arial"/>
          <w:sz w:val="20"/>
          <w:szCs w:val="20"/>
          <w:lang w:val="en-US"/>
        </w:rPr>
        <w:t xml:space="preserve">. However, </w:t>
      </w:r>
      <w:r w:rsidRPr="00FC5154">
        <w:rPr>
          <w:rStyle w:val="Strong"/>
          <w:rFonts w:ascii="Arial" w:eastAsiaTheme="majorEastAsia" w:hAnsi="Arial" w:cs="Arial"/>
          <w:b w:val="0"/>
          <w:bCs w:val="0"/>
          <w:sz w:val="20"/>
          <w:szCs w:val="20"/>
          <w:lang w:val="en-US"/>
        </w:rPr>
        <w:t xml:space="preserve">leaf and fruit powders of </w:t>
      </w:r>
      <w:r w:rsidRPr="00FC5154">
        <w:rPr>
          <w:rStyle w:val="Strong"/>
          <w:rFonts w:ascii="Arial" w:eastAsiaTheme="majorEastAsia" w:hAnsi="Arial" w:cs="Arial"/>
          <w:b w:val="0"/>
          <w:bCs w:val="0"/>
          <w:i/>
          <w:iCs/>
          <w:sz w:val="20"/>
          <w:szCs w:val="20"/>
          <w:lang w:val="en-US"/>
        </w:rPr>
        <w:t>A</w:t>
      </w:r>
      <w:r w:rsidR="00B17EC4">
        <w:rPr>
          <w:rStyle w:val="Strong"/>
          <w:rFonts w:ascii="Arial" w:eastAsiaTheme="majorEastAsia" w:hAnsi="Arial" w:cs="Arial"/>
          <w:b w:val="0"/>
          <w:bCs w:val="0"/>
          <w:i/>
          <w:iCs/>
          <w:sz w:val="20"/>
          <w:szCs w:val="20"/>
          <w:lang w:val="en-US"/>
        </w:rPr>
        <w:t>.</w:t>
      </w:r>
      <w:r w:rsidRPr="00FC5154">
        <w:rPr>
          <w:rStyle w:val="Strong"/>
          <w:rFonts w:ascii="Arial" w:eastAsiaTheme="majorEastAsia" w:hAnsi="Arial" w:cs="Arial"/>
          <w:b w:val="0"/>
          <w:bCs w:val="0"/>
          <w:i/>
          <w:iCs/>
          <w:sz w:val="20"/>
          <w:szCs w:val="20"/>
          <w:lang w:val="en-US"/>
        </w:rPr>
        <w:t xml:space="preserve"> esculentus</w:t>
      </w:r>
      <w:r w:rsidRPr="00FC5154">
        <w:rPr>
          <w:rStyle w:val="Strong"/>
          <w:rFonts w:ascii="Arial" w:eastAsiaTheme="majorEastAsia" w:hAnsi="Arial" w:cs="Arial"/>
          <w:b w:val="0"/>
          <w:bCs w:val="0"/>
          <w:sz w:val="20"/>
          <w:szCs w:val="20"/>
          <w:lang w:val="en-US"/>
        </w:rPr>
        <w:t xml:space="preserve"> and </w:t>
      </w:r>
      <w:r w:rsidRPr="00FC5154">
        <w:rPr>
          <w:rStyle w:val="Strong"/>
          <w:rFonts w:ascii="Arial" w:eastAsiaTheme="majorEastAsia" w:hAnsi="Arial" w:cs="Arial"/>
          <w:b w:val="0"/>
          <w:bCs w:val="0"/>
          <w:i/>
          <w:iCs/>
          <w:sz w:val="20"/>
          <w:szCs w:val="20"/>
          <w:lang w:val="en-US"/>
        </w:rPr>
        <w:t>C</w:t>
      </w:r>
      <w:r w:rsidR="00B17EC4">
        <w:rPr>
          <w:rStyle w:val="Strong"/>
          <w:rFonts w:ascii="Arial" w:eastAsiaTheme="majorEastAsia" w:hAnsi="Arial" w:cs="Arial"/>
          <w:b w:val="0"/>
          <w:bCs w:val="0"/>
          <w:i/>
          <w:iCs/>
          <w:sz w:val="20"/>
          <w:szCs w:val="20"/>
          <w:lang w:val="en-US"/>
        </w:rPr>
        <w:t>.</w:t>
      </w:r>
      <w:r w:rsidRPr="00FC5154">
        <w:rPr>
          <w:rStyle w:val="Strong"/>
          <w:rFonts w:ascii="Arial" w:eastAsiaTheme="majorEastAsia" w:hAnsi="Arial" w:cs="Arial"/>
          <w:b w:val="0"/>
          <w:bCs w:val="0"/>
          <w:i/>
          <w:iCs/>
          <w:sz w:val="20"/>
          <w:szCs w:val="20"/>
          <w:lang w:val="en-US"/>
        </w:rPr>
        <w:t xml:space="preserve"> olitorius</w:t>
      </w:r>
      <w:r w:rsidRPr="00FC5154">
        <w:rPr>
          <w:rFonts w:ascii="Arial" w:hAnsi="Arial" w:cs="Arial"/>
          <w:sz w:val="20"/>
          <w:szCs w:val="20"/>
          <w:lang w:val="en-US"/>
        </w:rPr>
        <w:t xml:space="preserve"> are commonly consumed as </w:t>
      </w:r>
      <w:r w:rsidRPr="00FC5154">
        <w:rPr>
          <w:rStyle w:val="Strong"/>
          <w:rFonts w:ascii="Arial" w:eastAsiaTheme="majorEastAsia" w:hAnsi="Arial" w:cs="Arial"/>
          <w:b w:val="0"/>
          <w:bCs w:val="0"/>
          <w:sz w:val="20"/>
          <w:szCs w:val="20"/>
          <w:lang w:val="en-US"/>
        </w:rPr>
        <w:t>dietary supplements</w:t>
      </w:r>
      <w:r w:rsidRPr="00FC5154">
        <w:rPr>
          <w:rFonts w:ascii="Arial" w:hAnsi="Arial" w:cs="Arial"/>
          <w:sz w:val="20"/>
          <w:szCs w:val="20"/>
          <w:lang w:val="en-US"/>
        </w:rPr>
        <w:t xml:space="preserve">, added to </w:t>
      </w:r>
      <w:r w:rsidRPr="00FC5154">
        <w:rPr>
          <w:rStyle w:val="Strong"/>
          <w:rFonts w:ascii="Arial" w:eastAsiaTheme="majorEastAsia" w:hAnsi="Arial" w:cs="Arial"/>
          <w:b w:val="0"/>
          <w:bCs w:val="0"/>
          <w:sz w:val="20"/>
          <w:szCs w:val="20"/>
          <w:lang w:val="en-US"/>
        </w:rPr>
        <w:t>sauces, yogurts, and various food products</w:t>
      </w:r>
      <w:r w:rsidRPr="00FC5154">
        <w:rPr>
          <w:rFonts w:ascii="Arial" w:hAnsi="Arial" w:cs="Arial"/>
          <w:sz w:val="20"/>
          <w:szCs w:val="20"/>
          <w:lang w:val="en-US"/>
        </w:rPr>
        <w:t xml:space="preserve">. Some individuals also incorporate </w:t>
      </w:r>
      <w:r w:rsidRPr="00FC5154">
        <w:rPr>
          <w:rStyle w:val="Strong"/>
          <w:rFonts w:ascii="Arial" w:eastAsiaTheme="majorEastAsia" w:hAnsi="Arial" w:cs="Arial"/>
          <w:b w:val="0"/>
          <w:bCs w:val="0"/>
          <w:sz w:val="20"/>
          <w:szCs w:val="20"/>
          <w:lang w:val="en-US"/>
        </w:rPr>
        <w:t>vegetable oils</w:t>
      </w:r>
      <w:r w:rsidRPr="00FC5154">
        <w:rPr>
          <w:rFonts w:ascii="Arial" w:hAnsi="Arial" w:cs="Arial"/>
          <w:sz w:val="20"/>
          <w:szCs w:val="20"/>
          <w:lang w:val="en-US"/>
        </w:rPr>
        <w:t xml:space="preserve"> into these powders when formulating </w:t>
      </w:r>
      <w:r w:rsidRPr="00FC5154">
        <w:rPr>
          <w:rStyle w:val="Strong"/>
          <w:rFonts w:ascii="Arial" w:eastAsiaTheme="majorEastAsia" w:hAnsi="Arial" w:cs="Arial"/>
          <w:b w:val="0"/>
          <w:bCs w:val="0"/>
          <w:sz w:val="20"/>
          <w:szCs w:val="20"/>
          <w:lang w:val="en-US"/>
        </w:rPr>
        <w:t>traditional medicines</w:t>
      </w:r>
      <w:r w:rsidRPr="00FC5154">
        <w:rPr>
          <w:rFonts w:ascii="Arial" w:hAnsi="Arial" w:cs="Arial"/>
          <w:sz w:val="20"/>
          <w:szCs w:val="20"/>
          <w:lang w:val="en-US"/>
        </w:rPr>
        <w:t xml:space="preserve">, while others </w:t>
      </w:r>
      <w:r w:rsidRPr="00FC5154">
        <w:rPr>
          <w:rStyle w:val="Strong"/>
          <w:rFonts w:ascii="Arial" w:eastAsiaTheme="majorEastAsia" w:hAnsi="Arial" w:cs="Arial"/>
          <w:b w:val="0"/>
          <w:bCs w:val="0"/>
          <w:sz w:val="20"/>
          <w:szCs w:val="20"/>
          <w:lang w:val="en-US"/>
        </w:rPr>
        <w:t>simply reconstitute them</w:t>
      </w:r>
      <w:r w:rsidRPr="00FC5154">
        <w:rPr>
          <w:rFonts w:ascii="Arial" w:hAnsi="Arial" w:cs="Arial"/>
          <w:sz w:val="20"/>
          <w:szCs w:val="20"/>
          <w:lang w:val="en-US"/>
        </w:rPr>
        <w:t xml:space="preserve"> before consumption.</w:t>
      </w:r>
      <w:r w:rsidR="00C336F8">
        <w:rPr>
          <w:rFonts w:ascii="Arial" w:hAnsi="Arial" w:cs="Arial"/>
          <w:sz w:val="20"/>
          <w:szCs w:val="20"/>
          <w:lang w:val="en-US"/>
        </w:rPr>
        <w:t xml:space="preserve"> </w:t>
      </w:r>
      <w:r w:rsidRPr="00FC5154">
        <w:rPr>
          <w:rFonts w:ascii="Arial" w:hAnsi="Arial" w:cs="Arial"/>
          <w:sz w:val="20"/>
          <w:szCs w:val="20"/>
          <w:lang w:val="en-US"/>
        </w:rPr>
        <w:t xml:space="preserve">These different uses—whether </w:t>
      </w:r>
      <w:r w:rsidRPr="00FC5154">
        <w:rPr>
          <w:rStyle w:val="Strong"/>
          <w:rFonts w:ascii="Arial" w:eastAsiaTheme="majorEastAsia" w:hAnsi="Arial" w:cs="Arial"/>
          <w:b w:val="0"/>
          <w:bCs w:val="0"/>
          <w:sz w:val="20"/>
          <w:szCs w:val="20"/>
          <w:lang w:val="en-US"/>
        </w:rPr>
        <w:t>nutritional, medicinal, or technological</w:t>
      </w:r>
      <w:r w:rsidRPr="00FC5154">
        <w:rPr>
          <w:rFonts w:ascii="Arial" w:hAnsi="Arial" w:cs="Arial"/>
          <w:sz w:val="20"/>
          <w:szCs w:val="20"/>
          <w:lang w:val="en-US"/>
        </w:rPr>
        <w:t xml:space="preserve">—impact the </w:t>
      </w:r>
      <w:r w:rsidRPr="00FC5154">
        <w:rPr>
          <w:rStyle w:val="Strong"/>
          <w:rFonts w:ascii="Arial" w:eastAsiaTheme="majorEastAsia" w:hAnsi="Arial" w:cs="Arial"/>
          <w:b w:val="0"/>
          <w:bCs w:val="0"/>
          <w:sz w:val="20"/>
          <w:szCs w:val="20"/>
          <w:lang w:val="en-US"/>
        </w:rPr>
        <w:t>stability, solubility, and bioaccessibility of nutrients</w:t>
      </w:r>
      <w:r w:rsidRPr="00FC5154">
        <w:rPr>
          <w:rFonts w:ascii="Arial" w:hAnsi="Arial" w:cs="Arial"/>
          <w:sz w:val="20"/>
          <w:szCs w:val="20"/>
          <w:lang w:val="en-US"/>
        </w:rPr>
        <w:t xml:space="preserve">, and consequently, the associated </w:t>
      </w:r>
      <w:r w:rsidRPr="00FC5154">
        <w:rPr>
          <w:rStyle w:val="Strong"/>
          <w:rFonts w:ascii="Arial" w:eastAsiaTheme="majorEastAsia" w:hAnsi="Arial" w:cs="Arial"/>
          <w:b w:val="0"/>
          <w:bCs w:val="0"/>
          <w:sz w:val="20"/>
          <w:szCs w:val="20"/>
          <w:lang w:val="en-US"/>
        </w:rPr>
        <w:t>biological activities</w:t>
      </w:r>
      <w:r w:rsidRPr="00FC5154">
        <w:rPr>
          <w:rFonts w:ascii="Arial" w:hAnsi="Arial" w:cs="Arial"/>
          <w:sz w:val="20"/>
          <w:szCs w:val="20"/>
          <w:lang w:val="en-US"/>
        </w:rPr>
        <w:t xml:space="preserve">. Therefore, it is crucial to explore the </w:t>
      </w:r>
      <w:r w:rsidRPr="00FC5154">
        <w:rPr>
          <w:rStyle w:val="Strong"/>
          <w:rFonts w:ascii="Arial" w:eastAsiaTheme="majorEastAsia" w:hAnsi="Arial" w:cs="Arial"/>
          <w:b w:val="0"/>
          <w:bCs w:val="0"/>
          <w:sz w:val="20"/>
          <w:szCs w:val="20"/>
          <w:lang w:val="en-US"/>
        </w:rPr>
        <w:t>functional properties</w:t>
      </w:r>
      <w:r w:rsidRPr="00FC5154">
        <w:rPr>
          <w:rFonts w:ascii="Arial" w:hAnsi="Arial" w:cs="Arial"/>
          <w:sz w:val="20"/>
          <w:szCs w:val="20"/>
          <w:lang w:val="en-US"/>
        </w:rPr>
        <w:t xml:space="preserve"> (WAC, WSI, OAC, P, D) of these powders to </w:t>
      </w:r>
      <w:r w:rsidRPr="00FC5154">
        <w:rPr>
          <w:rStyle w:val="Strong"/>
          <w:rFonts w:ascii="Arial" w:eastAsiaTheme="majorEastAsia" w:hAnsi="Arial" w:cs="Arial"/>
          <w:b w:val="0"/>
          <w:bCs w:val="0"/>
          <w:sz w:val="20"/>
          <w:szCs w:val="20"/>
          <w:lang w:val="en-US"/>
        </w:rPr>
        <w:t>determine their characteristics prior to use</w:t>
      </w:r>
      <w:r w:rsidRPr="00FC5154">
        <w:rPr>
          <w:rFonts w:ascii="Arial" w:hAnsi="Arial" w:cs="Arial"/>
          <w:sz w:val="20"/>
          <w:szCs w:val="20"/>
          <w:lang w:val="en-US"/>
        </w:rPr>
        <w:t xml:space="preserve">. To achieve this, a </w:t>
      </w:r>
      <w:r w:rsidRPr="00FC5154">
        <w:rPr>
          <w:rStyle w:val="Strong"/>
          <w:rFonts w:ascii="Arial" w:eastAsiaTheme="majorEastAsia" w:hAnsi="Arial" w:cs="Arial"/>
          <w:b w:val="0"/>
          <w:bCs w:val="0"/>
          <w:sz w:val="20"/>
          <w:szCs w:val="20"/>
          <w:lang w:val="en-US"/>
        </w:rPr>
        <w:t>principal component analysis (PCA)</w:t>
      </w:r>
      <w:r w:rsidRPr="00FC5154">
        <w:rPr>
          <w:rFonts w:ascii="Arial" w:hAnsi="Arial" w:cs="Arial"/>
          <w:sz w:val="20"/>
          <w:szCs w:val="20"/>
          <w:lang w:val="en-US"/>
        </w:rPr>
        <w:t xml:space="preserve"> was performed to categorize the powders based on their </w:t>
      </w:r>
      <w:r w:rsidRPr="00FC5154">
        <w:rPr>
          <w:rStyle w:val="Strong"/>
          <w:rFonts w:ascii="Arial" w:eastAsiaTheme="majorEastAsia" w:hAnsi="Arial" w:cs="Arial"/>
          <w:b w:val="0"/>
          <w:bCs w:val="0"/>
          <w:sz w:val="20"/>
          <w:szCs w:val="20"/>
          <w:lang w:val="en-US"/>
        </w:rPr>
        <w:t>functional properties, essential nutrients, bioactive compounds, and antioxidant activity</w:t>
      </w:r>
      <w:r w:rsidRPr="00FC5154">
        <w:rPr>
          <w:rFonts w:ascii="Arial" w:hAnsi="Arial" w:cs="Arial"/>
          <w:sz w:val="20"/>
          <w:szCs w:val="20"/>
          <w:lang w:val="en-US"/>
        </w:rPr>
        <w:t xml:space="preserve">, as presented in </w:t>
      </w:r>
      <w:r w:rsidRPr="00FC5154">
        <w:rPr>
          <w:rStyle w:val="Strong"/>
          <w:rFonts w:ascii="Arial" w:eastAsiaTheme="majorEastAsia" w:hAnsi="Arial" w:cs="Arial"/>
          <w:b w:val="0"/>
          <w:bCs w:val="0"/>
          <w:sz w:val="20"/>
          <w:szCs w:val="20"/>
          <w:lang w:val="en-US"/>
        </w:rPr>
        <w:t>Figure 1</w:t>
      </w:r>
      <w:r w:rsidRPr="00FC5154">
        <w:rPr>
          <w:rFonts w:ascii="Arial" w:hAnsi="Arial" w:cs="Arial"/>
          <w:sz w:val="20"/>
          <w:szCs w:val="20"/>
          <w:lang w:val="en-US"/>
        </w:rPr>
        <w:t xml:space="preserve">. </w:t>
      </w:r>
      <w:r w:rsidRPr="00FC5154">
        <w:rPr>
          <w:rStyle w:val="Strong"/>
          <w:rFonts w:ascii="Arial" w:eastAsiaTheme="majorEastAsia" w:hAnsi="Arial" w:cs="Arial"/>
          <w:b w:val="0"/>
          <w:bCs w:val="0"/>
          <w:sz w:val="20"/>
          <w:szCs w:val="20"/>
          <w:lang w:val="en-US"/>
        </w:rPr>
        <w:t>it reveals two principal axes, F1 and F2, which account for 47.57% and 28.26%, respectively, totaling 75.83% of the variance. Consequently, four primary powder groups emerge.</w:t>
      </w:r>
    </w:p>
    <w:p w14:paraId="520A185B" w14:textId="30679D4A" w:rsidR="00FC5154" w:rsidRPr="00FC5154" w:rsidRDefault="00FC5154" w:rsidP="00FC5154">
      <w:pPr>
        <w:pStyle w:val="NormalWeb"/>
        <w:spacing w:line="360" w:lineRule="auto"/>
        <w:rPr>
          <w:rFonts w:ascii="Arial" w:hAnsi="Arial" w:cs="Arial"/>
          <w:sz w:val="20"/>
          <w:szCs w:val="20"/>
          <w:lang w:val="en-US"/>
        </w:rPr>
      </w:pPr>
      <w:r w:rsidRPr="00FC5154">
        <w:rPr>
          <w:rFonts w:ascii="Arial" w:hAnsi="Arial" w:cs="Arial"/>
          <w:sz w:val="20"/>
          <w:szCs w:val="20"/>
          <w:lang w:val="en-US"/>
        </w:rPr>
        <w:t xml:space="preserve">The </w:t>
      </w:r>
      <w:r w:rsidRPr="00FC5154">
        <w:rPr>
          <w:rStyle w:val="Strong"/>
          <w:rFonts w:ascii="Arial" w:eastAsiaTheme="majorEastAsia" w:hAnsi="Arial" w:cs="Arial"/>
          <w:b w:val="0"/>
          <w:bCs w:val="0"/>
          <w:sz w:val="20"/>
          <w:szCs w:val="20"/>
          <w:lang w:val="en-US"/>
        </w:rPr>
        <w:t>first group</w:t>
      </w:r>
      <w:r w:rsidRPr="00FC5154">
        <w:rPr>
          <w:rFonts w:ascii="Arial" w:hAnsi="Arial" w:cs="Arial"/>
          <w:sz w:val="20"/>
          <w:szCs w:val="20"/>
          <w:lang w:val="en-US"/>
        </w:rPr>
        <w:t xml:space="preserve"> comprises the </w:t>
      </w:r>
      <w:r w:rsidRPr="00FC5154">
        <w:rPr>
          <w:rStyle w:val="Strong"/>
          <w:rFonts w:ascii="Arial" w:eastAsiaTheme="majorEastAsia" w:hAnsi="Arial" w:cs="Arial"/>
          <w:b w:val="0"/>
          <w:bCs w:val="0"/>
          <w:sz w:val="20"/>
          <w:szCs w:val="20"/>
          <w:lang w:val="en-US"/>
        </w:rPr>
        <w:t xml:space="preserve">fruit powders of </w:t>
      </w:r>
      <w:r w:rsidRPr="00FC5154">
        <w:rPr>
          <w:rStyle w:val="Strong"/>
          <w:rFonts w:ascii="Arial" w:eastAsiaTheme="majorEastAsia" w:hAnsi="Arial" w:cs="Arial"/>
          <w:b w:val="0"/>
          <w:bCs w:val="0"/>
          <w:i/>
          <w:iCs/>
          <w:sz w:val="20"/>
          <w:szCs w:val="20"/>
          <w:lang w:val="en-US"/>
        </w:rPr>
        <w:t>C. olitorius</w:t>
      </w:r>
      <w:r w:rsidRPr="00FC5154">
        <w:rPr>
          <w:rStyle w:val="Strong"/>
          <w:rFonts w:ascii="Arial" w:eastAsiaTheme="majorEastAsia" w:hAnsi="Arial" w:cs="Arial"/>
          <w:b w:val="0"/>
          <w:bCs w:val="0"/>
          <w:sz w:val="20"/>
          <w:szCs w:val="20"/>
          <w:lang w:val="en-US"/>
        </w:rPr>
        <w:t xml:space="preserve"> and the leaf powders of </w:t>
      </w:r>
      <w:r w:rsidRPr="00FC5154">
        <w:rPr>
          <w:rStyle w:val="Strong"/>
          <w:rFonts w:ascii="Arial" w:eastAsiaTheme="majorEastAsia" w:hAnsi="Arial" w:cs="Arial"/>
          <w:b w:val="0"/>
          <w:bCs w:val="0"/>
          <w:i/>
          <w:iCs/>
          <w:sz w:val="20"/>
          <w:szCs w:val="20"/>
          <w:lang w:val="en-US"/>
        </w:rPr>
        <w:t>A. esculentus</w:t>
      </w:r>
      <w:r w:rsidRPr="00FC5154">
        <w:rPr>
          <w:rFonts w:ascii="Arial" w:hAnsi="Arial" w:cs="Arial"/>
          <w:sz w:val="20"/>
          <w:szCs w:val="20"/>
          <w:lang w:val="en-US"/>
        </w:rPr>
        <w:t xml:space="preserve">. It is characterized by </w:t>
      </w:r>
      <w:r w:rsidRPr="00FC5154">
        <w:rPr>
          <w:rStyle w:val="Strong"/>
          <w:rFonts w:ascii="Arial" w:eastAsiaTheme="majorEastAsia" w:hAnsi="Arial" w:cs="Arial"/>
          <w:b w:val="0"/>
          <w:bCs w:val="0"/>
          <w:sz w:val="20"/>
          <w:szCs w:val="20"/>
          <w:lang w:val="en-US"/>
        </w:rPr>
        <w:t>the highest contents of available sugars, total lipids, crude fibers, and total ashes</w:t>
      </w:r>
      <w:r w:rsidRPr="00FC5154">
        <w:rPr>
          <w:rFonts w:ascii="Arial" w:hAnsi="Arial" w:cs="Arial"/>
          <w:sz w:val="20"/>
          <w:szCs w:val="20"/>
          <w:lang w:val="en-US"/>
        </w:rPr>
        <w:t xml:space="preserve">. Additionally, it exhibited </w:t>
      </w:r>
      <w:r w:rsidRPr="00FC5154">
        <w:rPr>
          <w:rStyle w:val="Strong"/>
          <w:rFonts w:ascii="Arial" w:eastAsiaTheme="majorEastAsia" w:hAnsi="Arial" w:cs="Arial"/>
          <w:b w:val="0"/>
          <w:bCs w:val="0"/>
          <w:sz w:val="20"/>
          <w:szCs w:val="20"/>
          <w:lang w:val="en-US"/>
        </w:rPr>
        <w:t>maximum values for DPPH, ABTS, and FRAP antioxidant assays</w:t>
      </w:r>
      <w:r w:rsidRPr="00FC5154">
        <w:rPr>
          <w:rFonts w:ascii="Arial" w:hAnsi="Arial" w:cs="Arial"/>
          <w:sz w:val="20"/>
          <w:szCs w:val="20"/>
          <w:lang w:val="en-US"/>
        </w:rPr>
        <w:t xml:space="preserve">, as well as </w:t>
      </w:r>
      <w:r w:rsidRPr="00FC5154">
        <w:rPr>
          <w:rStyle w:val="Strong"/>
          <w:rFonts w:ascii="Arial" w:eastAsiaTheme="majorEastAsia" w:hAnsi="Arial" w:cs="Arial"/>
          <w:b w:val="0"/>
          <w:bCs w:val="0"/>
          <w:sz w:val="20"/>
          <w:szCs w:val="20"/>
          <w:lang w:val="en-US"/>
        </w:rPr>
        <w:t>high oil absorption capacity (OAC), true density, and bulk density</w:t>
      </w:r>
      <w:r w:rsidRPr="00FC5154">
        <w:rPr>
          <w:rFonts w:ascii="Arial" w:hAnsi="Arial" w:cs="Arial"/>
          <w:sz w:val="20"/>
          <w:szCs w:val="20"/>
          <w:lang w:val="en-US"/>
        </w:rPr>
        <w:t xml:space="preserve">. A </w:t>
      </w:r>
      <w:r w:rsidRPr="00FC5154">
        <w:rPr>
          <w:rStyle w:val="Strong"/>
          <w:rFonts w:ascii="Arial" w:eastAsiaTheme="majorEastAsia" w:hAnsi="Arial" w:cs="Arial"/>
          <w:b w:val="0"/>
          <w:bCs w:val="0"/>
          <w:sz w:val="20"/>
          <w:szCs w:val="20"/>
          <w:lang w:val="en-US"/>
        </w:rPr>
        <w:t>high energy density</w:t>
      </w:r>
      <w:r w:rsidRPr="00FC5154">
        <w:rPr>
          <w:rFonts w:ascii="Arial" w:hAnsi="Arial" w:cs="Arial"/>
          <w:sz w:val="20"/>
          <w:szCs w:val="20"/>
          <w:lang w:val="en-US"/>
        </w:rPr>
        <w:t xml:space="preserve">, along with </w:t>
      </w:r>
      <w:r w:rsidRPr="00FC5154">
        <w:rPr>
          <w:rStyle w:val="Strong"/>
          <w:rFonts w:ascii="Arial" w:eastAsiaTheme="majorEastAsia" w:hAnsi="Arial" w:cs="Arial"/>
          <w:b w:val="0"/>
          <w:bCs w:val="0"/>
          <w:sz w:val="20"/>
          <w:szCs w:val="20"/>
          <w:lang w:val="en-US"/>
        </w:rPr>
        <w:t>elevated crude fiber and mineral contents</w:t>
      </w:r>
      <w:r w:rsidRPr="00FC5154">
        <w:rPr>
          <w:rFonts w:ascii="Arial" w:hAnsi="Arial" w:cs="Arial"/>
          <w:sz w:val="20"/>
          <w:szCs w:val="20"/>
          <w:lang w:val="en-US"/>
        </w:rPr>
        <w:t xml:space="preserve">, makes these powders </w:t>
      </w:r>
      <w:r w:rsidRPr="00FC5154">
        <w:rPr>
          <w:rStyle w:val="Strong"/>
          <w:rFonts w:ascii="Arial" w:eastAsiaTheme="majorEastAsia" w:hAnsi="Arial" w:cs="Arial"/>
          <w:b w:val="0"/>
          <w:bCs w:val="0"/>
          <w:sz w:val="20"/>
          <w:szCs w:val="20"/>
          <w:lang w:val="en-US"/>
        </w:rPr>
        <w:t>beneficial for individuals seeking healthy weight gain</w:t>
      </w:r>
      <w:r w:rsidRPr="00FC5154">
        <w:rPr>
          <w:rFonts w:ascii="Arial" w:hAnsi="Arial" w:cs="Arial"/>
          <w:sz w:val="20"/>
          <w:szCs w:val="20"/>
          <w:lang w:val="en-US"/>
        </w:rPr>
        <w:t xml:space="preserve">. However, </w:t>
      </w:r>
      <w:r w:rsidRPr="00FC5154">
        <w:rPr>
          <w:rStyle w:val="Strong"/>
          <w:rFonts w:ascii="Arial" w:eastAsiaTheme="majorEastAsia" w:hAnsi="Arial" w:cs="Arial"/>
          <w:b w:val="0"/>
          <w:bCs w:val="0"/>
          <w:sz w:val="20"/>
          <w:szCs w:val="20"/>
          <w:lang w:val="en-US"/>
        </w:rPr>
        <w:t>low concentrations of bioactive compounds</w:t>
      </w:r>
      <w:r w:rsidRPr="00FC5154">
        <w:rPr>
          <w:rFonts w:ascii="Arial" w:hAnsi="Arial" w:cs="Arial"/>
          <w:sz w:val="20"/>
          <w:szCs w:val="20"/>
          <w:lang w:val="en-US"/>
        </w:rPr>
        <w:t xml:space="preserve"> such as </w:t>
      </w:r>
      <w:r w:rsidRPr="00FC5154">
        <w:rPr>
          <w:rStyle w:val="Strong"/>
          <w:rFonts w:ascii="Arial" w:eastAsiaTheme="majorEastAsia" w:hAnsi="Arial" w:cs="Arial"/>
          <w:b w:val="0"/>
          <w:bCs w:val="0"/>
          <w:sz w:val="20"/>
          <w:szCs w:val="20"/>
          <w:lang w:val="en-US"/>
        </w:rPr>
        <w:t>polyphenols, flavonoids, and tannins</w:t>
      </w:r>
      <w:r w:rsidRPr="00FC5154">
        <w:rPr>
          <w:rFonts w:ascii="Arial" w:hAnsi="Arial" w:cs="Arial"/>
          <w:sz w:val="20"/>
          <w:szCs w:val="20"/>
          <w:lang w:val="en-US"/>
        </w:rPr>
        <w:t xml:space="preserve"> explain their </w:t>
      </w:r>
      <w:r w:rsidRPr="00FC5154">
        <w:rPr>
          <w:rStyle w:val="Strong"/>
          <w:rFonts w:ascii="Arial" w:eastAsiaTheme="majorEastAsia" w:hAnsi="Arial" w:cs="Arial"/>
          <w:b w:val="0"/>
          <w:bCs w:val="0"/>
          <w:sz w:val="20"/>
          <w:szCs w:val="20"/>
          <w:lang w:val="en-US"/>
        </w:rPr>
        <w:t>low antioxidant activity</w:t>
      </w:r>
      <w:r w:rsidRPr="00FC5154">
        <w:rPr>
          <w:rFonts w:ascii="Arial" w:hAnsi="Arial" w:cs="Arial"/>
          <w:sz w:val="20"/>
          <w:szCs w:val="20"/>
          <w:lang w:val="en-US"/>
        </w:rPr>
        <w:t xml:space="preserve">. Strong </w:t>
      </w:r>
      <w:r w:rsidRPr="00FC5154">
        <w:rPr>
          <w:rStyle w:val="Strong"/>
          <w:rFonts w:ascii="Arial" w:eastAsiaTheme="majorEastAsia" w:hAnsi="Arial" w:cs="Arial"/>
          <w:b w:val="0"/>
          <w:bCs w:val="0"/>
          <w:sz w:val="20"/>
          <w:szCs w:val="20"/>
          <w:lang w:val="en-US"/>
        </w:rPr>
        <w:t>significant correlations</w:t>
      </w:r>
      <w:r w:rsidRPr="00FC5154">
        <w:rPr>
          <w:rFonts w:ascii="Arial" w:hAnsi="Arial" w:cs="Arial"/>
          <w:sz w:val="20"/>
          <w:szCs w:val="20"/>
          <w:lang w:val="en-US"/>
        </w:rPr>
        <w:t xml:space="preserve"> were observed between </w:t>
      </w:r>
      <w:r w:rsidRPr="00FC5154">
        <w:rPr>
          <w:rStyle w:val="Strong"/>
          <w:rFonts w:ascii="Arial" w:eastAsiaTheme="majorEastAsia" w:hAnsi="Arial" w:cs="Arial"/>
          <w:b w:val="0"/>
          <w:bCs w:val="0"/>
          <w:sz w:val="20"/>
          <w:szCs w:val="20"/>
          <w:lang w:val="en-US"/>
        </w:rPr>
        <w:t>fiber content and OAC (r = 0.935; p = 0.035)</w:t>
      </w:r>
      <w:r w:rsidRPr="00FC5154">
        <w:rPr>
          <w:rFonts w:ascii="Arial" w:hAnsi="Arial" w:cs="Arial"/>
          <w:sz w:val="20"/>
          <w:szCs w:val="20"/>
          <w:lang w:val="en-US"/>
        </w:rPr>
        <w:t xml:space="preserve">, as well as between </w:t>
      </w:r>
      <w:r w:rsidRPr="00FC5154">
        <w:rPr>
          <w:rStyle w:val="Strong"/>
          <w:rFonts w:ascii="Arial" w:eastAsiaTheme="majorEastAsia" w:hAnsi="Arial" w:cs="Arial"/>
          <w:b w:val="0"/>
          <w:bCs w:val="0"/>
          <w:sz w:val="20"/>
          <w:szCs w:val="20"/>
          <w:lang w:val="en-US"/>
        </w:rPr>
        <w:t>OAC and DPPH activity (r = 0.998; p = 0.004)</w:t>
      </w:r>
      <w:r w:rsidRPr="00FC5154">
        <w:rPr>
          <w:rFonts w:ascii="Arial" w:hAnsi="Arial" w:cs="Arial"/>
          <w:sz w:val="20"/>
          <w:szCs w:val="20"/>
          <w:lang w:val="en-US"/>
        </w:rPr>
        <w:t xml:space="preserve">. This indicates that as </w:t>
      </w:r>
      <w:r w:rsidRPr="00FC5154">
        <w:rPr>
          <w:rStyle w:val="Strong"/>
          <w:rFonts w:ascii="Arial" w:eastAsiaTheme="majorEastAsia" w:hAnsi="Arial" w:cs="Arial"/>
          <w:b w:val="0"/>
          <w:bCs w:val="0"/>
          <w:sz w:val="20"/>
          <w:szCs w:val="20"/>
          <w:lang w:val="en-US"/>
        </w:rPr>
        <w:t>oil absorption capacity increases, antioxidant activity (DPPH) decreases</w:t>
      </w:r>
      <w:r w:rsidRPr="00FC5154">
        <w:rPr>
          <w:rFonts w:ascii="Arial" w:hAnsi="Arial" w:cs="Arial"/>
          <w:sz w:val="20"/>
          <w:szCs w:val="20"/>
          <w:lang w:val="en-US"/>
        </w:rPr>
        <w:t xml:space="preserve">, a trend similarly observed with </w:t>
      </w:r>
      <w:r w:rsidRPr="00FC5154">
        <w:rPr>
          <w:rStyle w:val="Strong"/>
          <w:rFonts w:ascii="Arial" w:eastAsiaTheme="majorEastAsia" w:hAnsi="Arial" w:cs="Arial"/>
          <w:b w:val="0"/>
          <w:bCs w:val="0"/>
          <w:sz w:val="20"/>
          <w:szCs w:val="20"/>
          <w:lang w:val="en-US"/>
        </w:rPr>
        <w:t>FRAP and ABTS assays</w:t>
      </w:r>
      <w:r w:rsidRPr="00FC5154">
        <w:rPr>
          <w:rFonts w:ascii="Arial" w:hAnsi="Arial" w:cs="Arial"/>
          <w:sz w:val="20"/>
          <w:szCs w:val="20"/>
          <w:lang w:val="en-US"/>
        </w:rPr>
        <w:t xml:space="preserve">. This </w:t>
      </w:r>
      <w:r w:rsidRPr="00FC5154">
        <w:rPr>
          <w:rStyle w:val="Strong"/>
          <w:rFonts w:ascii="Arial" w:eastAsiaTheme="majorEastAsia" w:hAnsi="Arial" w:cs="Arial"/>
          <w:b w:val="0"/>
          <w:bCs w:val="0"/>
          <w:sz w:val="20"/>
          <w:szCs w:val="20"/>
          <w:lang w:val="en-US"/>
        </w:rPr>
        <w:t>increase in oil absorption</w:t>
      </w:r>
      <w:r w:rsidRPr="00FC5154">
        <w:rPr>
          <w:rFonts w:ascii="Arial" w:hAnsi="Arial" w:cs="Arial"/>
          <w:sz w:val="20"/>
          <w:szCs w:val="20"/>
          <w:lang w:val="en-US"/>
        </w:rPr>
        <w:t xml:space="preserve"> is attributed to the </w:t>
      </w:r>
      <w:r w:rsidRPr="00FC5154">
        <w:rPr>
          <w:rStyle w:val="Strong"/>
          <w:rFonts w:ascii="Arial" w:eastAsiaTheme="majorEastAsia" w:hAnsi="Arial" w:cs="Arial"/>
          <w:b w:val="0"/>
          <w:bCs w:val="0"/>
          <w:sz w:val="20"/>
          <w:szCs w:val="20"/>
          <w:lang w:val="en-US"/>
        </w:rPr>
        <w:t>high crude fiber content</w:t>
      </w:r>
      <w:r w:rsidRPr="00FC5154">
        <w:rPr>
          <w:rFonts w:ascii="Arial" w:hAnsi="Arial" w:cs="Arial"/>
          <w:sz w:val="20"/>
          <w:szCs w:val="20"/>
          <w:lang w:val="en-US"/>
        </w:rPr>
        <w:t xml:space="preserve"> (Table 2), particularly </w:t>
      </w:r>
      <w:r w:rsidRPr="00FC5154">
        <w:rPr>
          <w:rStyle w:val="Strong"/>
          <w:rFonts w:ascii="Arial" w:eastAsiaTheme="majorEastAsia" w:hAnsi="Arial" w:cs="Arial"/>
          <w:b w:val="0"/>
          <w:bCs w:val="0"/>
          <w:sz w:val="20"/>
          <w:szCs w:val="20"/>
          <w:lang w:val="en-US"/>
        </w:rPr>
        <w:t>cellulose and hemicellulose</w:t>
      </w:r>
      <w:r w:rsidRPr="00FC5154">
        <w:rPr>
          <w:rFonts w:ascii="Arial" w:hAnsi="Arial" w:cs="Arial"/>
          <w:sz w:val="20"/>
          <w:szCs w:val="20"/>
          <w:lang w:val="en-US"/>
        </w:rPr>
        <w:t xml:space="preserve">, which are known for their </w:t>
      </w:r>
      <w:r w:rsidRPr="00FC5154">
        <w:rPr>
          <w:rStyle w:val="Strong"/>
          <w:rFonts w:ascii="Arial" w:eastAsiaTheme="majorEastAsia" w:hAnsi="Arial" w:cs="Arial"/>
          <w:b w:val="0"/>
          <w:bCs w:val="0"/>
          <w:sz w:val="20"/>
          <w:szCs w:val="20"/>
          <w:lang w:val="en-US"/>
        </w:rPr>
        <w:t>lipophilic properties</w:t>
      </w:r>
      <w:r w:rsidRPr="00FC5154">
        <w:rPr>
          <w:rFonts w:ascii="Arial" w:hAnsi="Arial" w:cs="Arial"/>
          <w:sz w:val="20"/>
          <w:szCs w:val="20"/>
          <w:lang w:val="en-US"/>
        </w:rPr>
        <w:t xml:space="preserve"> </w:t>
      </w:r>
      <w:r>
        <w:rPr>
          <w:rFonts w:ascii="Arial" w:hAnsi="Arial" w:cs="Arial"/>
          <w:sz w:val="20"/>
          <w:szCs w:val="20"/>
          <w:lang w:val="en-US"/>
        </w:rPr>
        <w:fldChar w:fldCharType="begin" w:fldLock="1"/>
      </w:r>
      <w:r>
        <w:rPr>
          <w:rFonts w:ascii="Arial" w:hAnsi="Arial" w:cs="Arial"/>
          <w:sz w:val="20"/>
          <w:szCs w:val="20"/>
          <w:lang w:val="en-US"/>
        </w:rPr>
        <w:instrText>ADDIN CSL_CITATION {"citationItems":[{"id":"ITEM-1","itemData":{"ISBN":"9789349473461","author":[{"dropping-particle":"","family":"Assiéné","given":"Agamou Julien Armel","non-dropping-particle":"","parse-names":false,"suffix":""},{"dropping-particle":"","family":"Assiéné","given":"Oyong Damase Serge","non-dropping-particle":"","parse-names":false,"suffix":""},{"dropping-particle":"","family":"Ngah","given":"Esther","non-dropping-particle":"","parse-names":false,"suffix":""}],"container-title":"Food Science and Agriculture: Research Highlights Vol. 1","id":"ITEM-1","issued":{"date-parts":[["2025"]]},"page":"120-136","title":"Influence of Nutrient Contents and Particle Sizes on the Functional Characteristics of Moringa oleifera Leaf ( Lam ) Powders","type":"chapter"},"uris":["http://www.mendeley.com/documents/?uuid=92e61a23-2a58-4468-819e-10bfbca28ee0"]}],"mendeley":{"formattedCitation":"(Assiéné, Assiéné, et al., 2025)","plainTextFormattedCitation":"(Assiéné, Assiéné, et al., 2025)"},"properties":{"noteIndex":0},"schema":"https://github.com/citation-style-language/schema/raw/master/csl-citation.json"}</w:instrText>
      </w:r>
      <w:r>
        <w:rPr>
          <w:rFonts w:ascii="Arial" w:hAnsi="Arial" w:cs="Arial"/>
          <w:sz w:val="20"/>
          <w:szCs w:val="20"/>
          <w:lang w:val="en-US"/>
        </w:rPr>
        <w:fldChar w:fldCharType="separate"/>
      </w:r>
      <w:r w:rsidRPr="00FC5154">
        <w:rPr>
          <w:rFonts w:ascii="Arial" w:hAnsi="Arial" w:cs="Arial"/>
          <w:noProof/>
          <w:sz w:val="20"/>
          <w:szCs w:val="20"/>
          <w:lang w:val="en-US"/>
        </w:rPr>
        <w:t>(Assiéné, Assiéné, et al., 2025)</w:t>
      </w:r>
      <w:r>
        <w:rPr>
          <w:rFonts w:ascii="Arial" w:hAnsi="Arial" w:cs="Arial"/>
          <w:sz w:val="20"/>
          <w:szCs w:val="20"/>
          <w:lang w:val="en-US"/>
        </w:rPr>
        <w:fldChar w:fldCharType="end"/>
      </w:r>
      <w:r>
        <w:rPr>
          <w:rFonts w:ascii="Arial" w:hAnsi="Arial" w:cs="Arial"/>
          <w:sz w:val="20"/>
          <w:szCs w:val="20"/>
          <w:lang w:val="en-US"/>
        </w:rPr>
        <w:t>.</w:t>
      </w:r>
    </w:p>
    <w:p w14:paraId="685539FE" w14:textId="1D27CCFF" w:rsidR="00FC5154" w:rsidRPr="00FC5154" w:rsidRDefault="00FC5154" w:rsidP="00FC5154">
      <w:pPr>
        <w:pStyle w:val="NormalWeb"/>
        <w:spacing w:line="360" w:lineRule="auto"/>
        <w:rPr>
          <w:rFonts w:ascii="Arial" w:hAnsi="Arial" w:cs="Arial"/>
          <w:sz w:val="20"/>
          <w:szCs w:val="20"/>
          <w:lang w:val="en-US"/>
        </w:rPr>
      </w:pPr>
      <w:r w:rsidRPr="00FC5154">
        <w:rPr>
          <w:rFonts w:ascii="Arial" w:hAnsi="Arial" w:cs="Arial"/>
          <w:sz w:val="20"/>
          <w:szCs w:val="20"/>
          <w:lang w:val="en-US"/>
        </w:rPr>
        <w:t xml:space="preserve">The </w:t>
      </w:r>
      <w:r w:rsidRPr="00FC5154">
        <w:rPr>
          <w:rStyle w:val="Strong"/>
          <w:rFonts w:ascii="Arial" w:eastAsiaTheme="majorEastAsia" w:hAnsi="Arial" w:cs="Arial"/>
          <w:b w:val="0"/>
          <w:bCs w:val="0"/>
          <w:sz w:val="20"/>
          <w:szCs w:val="20"/>
          <w:lang w:val="en-US"/>
        </w:rPr>
        <w:t>second group</w:t>
      </w:r>
      <w:r w:rsidRPr="00FC5154">
        <w:rPr>
          <w:rFonts w:ascii="Arial" w:hAnsi="Arial" w:cs="Arial"/>
          <w:sz w:val="20"/>
          <w:szCs w:val="20"/>
          <w:lang w:val="en-US"/>
        </w:rPr>
        <w:t xml:space="preserve"> consists of the </w:t>
      </w:r>
      <w:r w:rsidRPr="00FC5154">
        <w:rPr>
          <w:rStyle w:val="Strong"/>
          <w:rFonts w:ascii="Arial" w:eastAsiaTheme="majorEastAsia" w:hAnsi="Arial" w:cs="Arial"/>
          <w:b w:val="0"/>
          <w:bCs w:val="0"/>
          <w:sz w:val="20"/>
          <w:szCs w:val="20"/>
          <w:lang w:val="en-US"/>
        </w:rPr>
        <w:t xml:space="preserve">leaf powders of </w:t>
      </w:r>
      <w:r w:rsidRPr="00FC5154">
        <w:rPr>
          <w:rStyle w:val="Strong"/>
          <w:rFonts w:ascii="Arial" w:eastAsiaTheme="majorEastAsia" w:hAnsi="Arial" w:cs="Arial"/>
          <w:b w:val="0"/>
          <w:bCs w:val="0"/>
          <w:i/>
          <w:iCs/>
          <w:sz w:val="20"/>
          <w:szCs w:val="20"/>
          <w:lang w:val="en-US"/>
        </w:rPr>
        <w:t>C. olitorius</w:t>
      </w:r>
      <w:r w:rsidRPr="00FC5154">
        <w:rPr>
          <w:rFonts w:ascii="Arial" w:hAnsi="Arial" w:cs="Arial"/>
          <w:sz w:val="20"/>
          <w:szCs w:val="20"/>
          <w:lang w:val="en-US"/>
        </w:rPr>
        <w:t xml:space="preserve"> and is characterized by the </w:t>
      </w:r>
      <w:r w:rsidRPr="00FC5154">
        <w:rPr>
          <w:rStyle w:val="Strong"/>
          <w:rFonts w:ascii="Arial" w:eastAsiaTheme="majorEastAsia" w:hAnsi="Arial" w:cs="Arial"/>
          <w:b w:val="0"/>
          <w:bCs w:val="0"/>
          <w:sz w:val="20"/>
          <w:szCs w:val="20"/>
          <w:lang w:val="en-US"/>
        </w:rPr>
        <w:t>highest contents of total proteins, copper, calcium, phosphorus, total polyphenols, and condensed tannins</w:t>
      </w:r>
      <w:r w:rsidRPr="00FC5154">
        <w:rPr>
          <w:rFonts w:ascii="Arial" w:hAnsi="Arial" w:cs="Arial"/>
          <w:sz w:val="20"/>
          <w:szCs w:val="20"/>
          <w:lang w:val="en-US"/>
        </w:rPr>
        <w:t xml:space="preserve">. It also exhibited </w:t>
      </w:r>
      <w:r w:rsidRPr="00FC5154">
        <w:rPr>
          <w:rStyle w:val="Strong"/>
          <w:rFonts w:ascii="Arial" w:eastAsiaTheme="majorEastAsia" w:hAnsi="Arial" w:cs="Arial"/>
          <w:b w:val="0"/>
          <w:bCs w:val="0"/>
          <w:sz w:val="20"/>
          <w:szCs w:val="20"/>
          <w:lang w:val="en-US"/>
        </w:rPr>
        <w:t>the highest apparent water absorption capacity (</w:t>
      </w:r>
      <w:proofErr w:type="spellStart"/>
      <w:r w:rsidRPr="00FC5154">
        <w:rPr>
          <w:rStyle w:val="Strong"/>
          <w:rFonts w:ascii="Arial" w:eastAsiaTheme="majorEastAsia" w:hAnsi="Arial" w:cs="Arial"/>
          <w:b w:val="0"/>
          <w:bCs w:val="0"/>
          <w:sz w:val="20"/>
          <w:szCs w:val="20"/>
          <w:lang w:val="en-US"/>
        </w:rPr>
        <w:t>WACa</w:t>
      </w:r>
      <w:proofErr w:type="spellEnd"/>
      <w:r w:rsidRPr="00FC5154">
        <w:rPr>
          <w:rStyle w:val="Strong"/>
          <w:rFonts w:ascii="Arial" w:eastAsiaTheme="majorEastAsia" w:hAnsi="Arial" w:cs="Arial"/>
          <w:b w:val="0"/>
          <w:bCs w:val="0"/>
          <w:sz w:val="20"/>
          <w:szCs w:val="20"/>
          <w:lang w:val="en-US"/>
        </w:rPr>
        <w:t>), true water absorption capacity (</w:t>
      </w:r>
      <w:proofErr w:type="spellStart"/>
      <w:r w:rsidRPr="00FC5154">
        <w:rPr>
          <w:rStyle w:val="Strong"/>
          <w:rFonts w:ascii="Arial" w:eastAsiaTheme="majorEastAsia" w:hAnsi="Arial" w:cs="Arial"/>
          <w:b w:val="0"/>
          <w:bCs w:val="0"/>
          <w:sz w:val="20"/>
          <w:szCs w:val="20"/>
          <w:lang w:val="en-US"/>
        </w:rPr>
        <w:t>WACt</w:t>
      </w:r>
      <w:proofErr w:type="spellEnd"/>
      <w:r w:rsidRPr="00FC5154">
        <w:rPr>
          <w:rStyle w:val="Strong"/>
          <w:rFonts w:ascii="Arial" w:eastAsiaTheme="majorEastAsia" w:hAnsi="Arial" w:cs="Arial"/>
          <w:b w:val="0"/>
          <w:bCs w:val="0"/>
          <w:sz w:val="20"/>
          <w:szCs w:val="20"/>
          <w:lang w:val="en-US"/>
        </w:rPr>
        <w:t>), water solubility index (WSI), and porosity</w:t>
      </w:r>
      <w:r w:rsidRPr="00FC5154">
        <w:rPr>
          <w:rFonts w:ascii="Arial" w:hAnsi="Arial" w:cs="Arial"/>
          <w:sz w:val="20"/>
          <w:szCs w:val="20"/>
          <w:lang w:val="en-US"/>
        </w:rPr>
        <w:t xml:space="preserve">. These powders contain </w:t>
      </w:r>
      <w:r w:rsidRPr="00FC5154">
        <w:rPr>
          <w:rStyle w:val="Strong"/>
          <w:rFonts w:ascii="Arial" w:eastAsiaTheme="majorEastAsia" w:hAnsi="Arial" w:cs="Arial"/>
          <w:b w:val="0"/>
          <w:bCs w:val="0"/>
          <w:sz w:val="20"/>
          <w:szCs w:val="20"/>
          <w:lang w:val="en-US"/>
        </w:rPr>
        <w:t>essential nutrients</w:t>
      </w:r>
      <w:r w:rsidRPr="00FC5154">
        <w:rPr>
          <w:rFonts w:ascii="Arial" w:hAnsi="Arial" w:cs="Arial"/>
          <w:sz w:val="20"/>
          <w:szCs w:val="20"/>
          <w:lang w:val="en-US"/>
        </w:rPr>
        <w:t xml:space="preserve"> that are </w:t>
      </w:r>
      <w:r w:rsidRPr="00FC5154">
        <w:rPr>
          <w:rFonts w:ascii="Arial" w:hAnsi="Arial" w:cs="Arial"/>
          <w:sz w:val="20"/>
          <w:szCs w:val="20"/>
          <w:lang w:val="en-US"/>
        </w:rPr>
        <w:lastRenderedPageBreak/>
        <w:t xml:space="preserve">particularly </w:t>
      </w:r>
      <w:r w:rsidRPr="00FC5154">
        <w:rPr>
          <w:rStyle w:val="Strong"/>
          <w:rFonts w:ascii="Arial" w:eastAsiaTheme="majorEastAsia" w:hAnsi="Arial" w:cs="Arial"/>
          <w:b w:val="0"/>
          <w:bCs w:val="0"/>
          <w:sz w:val="20"/>
          <w:szCs w:val="20"/>
          <w:lang w:val="en-US"/>
        </w:rPr>
        <w:t>important for patients suffering from chronic diseases</w:t>
      </w:r>
      <w:r w:rsidRPr="00FC5154">
        <w:rPr>
          <w:rFonts w:ascii="Arial" w:hAnsi="Arial" w:cs="Arial"/>
          <w:sz w:val="20"/>
          <w:szCs w:val="20"/>
          <w:lang w:val="en-US"/>
        </w:rPr>
        <w:t xml:space="preserve">. The </w:t>
      </w:r>
      <w:r w:rsidRPr="00FC5154">
        <w:rPr>
          <w:rStyle w:val="Strong"/>
          <w:rFonts w:ascii="Arial" w:eastAsiaTheme="majorEastAsia" w:hAnsi="Arial" w:cs="Arial"/>
          <w:b w:val="0"/>
          <w:bCs w:val="0"/>
          <w:sz w:val="20"/>
          <w:szCs w:val="20"/>
          <w:lang w:val="en-US"/>
        </w:rPr>
        <w:t>high bioactive compound content</w:t>
      </w:r>
      <w:r w:rsidRPr="00FC5154">
        <w:rPr>
          <w:rFonts w:ascii="Arial" w:hAnsi="Arial" w:cs="Arial"/>
          <w:sz w:val="20"/>
          <w:szCs w:val="20"/>
          <w:lang w:val="en-US"/>
        </w:rPr>
        <w:t xml:space="preserve"> explains </w:t>
      </w:r>
      <w:r w:rsidRPr="00FC5154">
        <w:rPr>
          <w:rStyle w:val="Strong"/>
          <w:rFonts w:ascii="Arial" w:eastAsiaTheme="majorEastAsia" w:hAnsi="Arial" w:cs="Arial"/>
          <w:b w:val="0"/>
          <w:bCs w:val="0"/>
          <w:sz w:val="20"/>
          <w:szCs w:val="20"/>
          <w:lang w:val="en-US"/>
        </w:rPr>
        <w:t>the stronger antioxidant activity (DPPH, FRAP, and ABTS) compared to the first group</w:t>
      </w:r>
      <w:r w:rsidRPr="00FC5154">
        <w:rPr>
          <w:rFonts w:ascii="Arial" w:hAnsi="Arial" w:cs="Arial"/>
          <w:sz w:val="20"/>
          <w:szCs w:val="20"/>
          <w:lang w:val="en-US"/>
        </w:rPr>
        <w:t xml:space="preserve">. Additionally, </w:t>
      </w:r>
      <w:r w:rsidRPr="00FC5154">
        <w:rPr>
          <w:rStyle w:val="Strong"/>
          <w:rFonts w:ascii="Arial" w:eastAsiaTheme="majorEastAsia" w:hAnsi="Arial" w:cs="Arial"/>
          <w:b w:val="0"/>
          <w:bCs w:val="0"/>
          <w:sz w:val="20"/>
          <w:szCs w:val="20"/>
          <w:lang w:val="en-US"/>
        </w:rPr>
        <w:t>good solubility and high-water absorption capacity</w:t>
      </w:r>
      <w:r w:rsidRPr="00FC5154">
        <w:rPr>
          <w:rFonts w:ascii="Arial" w:hAnsi="Arial" w:cs="Arial"/>
          <w:sz w:val="20"/>
          <w:szCs w:val="20"/>
          <w:lang w:val="en-US"/>
        </w:rPr>
        <w:t xml:space="preserve"> enhance </w:t>
      </w:r>
      <w:r w:rsidRPr="00FC5154">
        <w:rPr>
          <w:rStyle w:val="Strong"/>
          <w:rFonts w:ascii="Arial" w:eastAsiaTheme="majorEastAsia" w:hAnsi="Arial" w:cs="Arial"/>
          <w:b w:val="0"/>
          <w:bCs w:val="0"/>
          <w:sz w:val="20"/>
          <w:szCs w:val="20"/>
          <w:lang w:val="en-US"/>
        </w:rPr>
        <w:t>antioxidant activity and nutrient bioaccessibility</w:t>
      </w:r>
      <w:r w:rsidRPr="00FC5154">
        <w:rPr>
          <w:rFonts w:ascii="Arial" w:hAnsi="Arial" w:cs="Arial"/>
          <w:sz w:val="20"/>
          <w:szCs w:val="20"/>
          <w:lang w:val="en-US"/>
        </w:rPr>
        <w:t xml:space="preserve"> in these powders</w:t>
      </w:r>
      <w:r>
        <w:rPr>
          <w:rFonts w:ascii="Arial" w:hAnsi="Arial" w:cs="Arial"/>
          <w:sz w:val="20"/>
          <w:szCs w:val="20"/>
          <w:lang w:val="en-US"/>
        </w:rPr>
        <w:t xml:space="preserve"> </w:t>
      </w:r>
      <w:r>
        <w:rPr>
          <w:rFonts w:ascii="Arial" w:hAnsi="Arial" w:cs="Arial"/>
          <w:sz w:val="20"/>
          <w:szCs w:val="20"/>
          <w:lang w:val="en-US" w:eastAsia="fr-CM"/>
        </w:rPr>
        <w:fldChar w:fldCharType="begin" w:fldLock="1"/>
      </w:r>
      <w:r>
        <w:rPr>
          <w:rFonts w:ascii="Arial" w:hAnsi="Arial" w:cs="Arial"/>
          <w:sz w:val="20"/>
          <w:szCs w:val="20"/>
          <w:lang w:val="en-US" w:eastAsia="fr-CM"/>
        </w:rPr>
        <w:instrText>ADDIN CSL_CITATION {"citationItems":[{"id":"ITEM-1","itemData":{"DOI":"10.1002/fsn3.1409","ISSN":"20487177","abstract":"Soybean residue is an underutilized, nutrient-rich by-product of soybean processing. To enhance its value, we subjected soybean residue to superfine grinding and measured the resulting physiochemical properties and antioxidant activities. We prepared powders with particle sizes of 115.35, 77.93, 39.38, 25.01, and 20.44 μm. As particle size decreased, the surface area (from 96.46 to 198.32 m2/kg) and swelling capacity (from 2.05 to 10.62 ml/g) increased. Conversely, we observed decreases in the surface-number mean (from 23.07 to 11.20 μm), volume-surface mean (from 141.70 to 27.96 μm), angles of repose (from 48.30° to 31.46°), water holding capacity (from 7.86 to 4.39 g/g), and oil binding capacity (from 1.78 to 1.42 g/g). The water solubility index and antioxidant activity (reducing power and free radical scavenging activities of 2,2-diphenyl-1-picrylhydrazyl and 2,2′-azino-di-(3-ethylbenzthiazoline sulfonic acid)) improved as particle size decreased. In conclusion, superfine grinding improved some properties of soybean residue. Additionally, our findings provide theoretical support for using superfine grinding in industrial food applications.","author":[{"dropping-particle":"","family":"Li","given":"Guanghui","non-dropping-particle":"","parse-names":false,"suffix":""},{"dropping-particle":"","family":"Guo","given":"Weiyun","non-dropping-particle":"","parse-names":false,"suffix":""},{"dropping-particle":"","family":"Gao","given":"Xueli","non-dropping-particle":"","parse-names":false,"suffix":""},{"dropping-particle":"","family":"Wang","given":"Yonghui","non-dropping-particle":"","parse-names":false,"suffix":""},{"dropping-particle":"","family":"Sun","given":"Sisheng","non-dropping-particle":"","parse-names":false,"suffix":""}],"container-title":"Food Science and Nutrition","id":"ITEM-1","issue":"2","issued":{"date-parts":[["2020"]]},"page":"1208-1214","title":"Effect of superfine grinding on physicochemical and antioxidant properties of soybean residue powder","type":"article-journal","volume":"8"},"uris":["http://www.mendeley.com/documents/?uuid=3154cbf8-a7e0-4854-bae6-605f3bb74030"]}],"mendeley":{"formattedCitation":"(Li et al., 2020)","plainTextFormattedCitation":"(Li et al., 2020)","previouslyFormattedCitation":"(Li et al., 2020)"},"properties":{"noteIndex":0},"schema":"https://github.com/citation-style-language/schema/raw/master/csl-citation.json"}</w:instrText>
      </w:r>
      <w:r>
        <w:rPr>
          <w:rFonts w:ascii="Arial" w:hAnsi="Arial" w:cs="Arial"/>
          <w:sz w:val="20"/>
          <w:szCs w:val="20"/>
          <w:lang w:val="en-US" w:eastAsia="fr-CM"/>
        </w:rPr>
        <w:fldChar w:fldCharType="separate"/>
      </w:r>
      <w:r w:rsidRPr="000C4DA6">
        <w:rPr>
          <w:rFonts w:ascii="Arial" w:hAnsi="Arial" w:cs="Arial"/>
          <w:noProof/>
          <w:sz w:val="20"/>
          <w:szCs w:val="20"/>
          <w:lang w:val="en-US" w:eastAsia="fr-CM"/>
        </w:rPr>
        <w:t>(Li et al., 2020)</w:t>
      </w:r>
      <w:r>
        <w:rPr>
          <w:rFonts w:ascii="Arial" w:hAnsi="Arial" w:cs="Arial"/>
          <w:sz w:val="20"/>
          <w:szCs w:val="20"/>
          <w:lang w:val="en-US" w:eastAsia="fr-CM"/>
        </w:rPr>
        <w:fldChar w:fldCharType="end"/>
      </w:r>
      <w:r w:rsidRPr="00FC5154">
        <w:rPr>
          <w:rFonts w:ascii="Arial" w:hAnsi="Arial" w:cs="Arial"/>
          <w:sz w:val="20"/>
          <w:szCs w:val="20"/>
          <w:lang w:val="en-US"/>
        </w:rPr>
        <w:t>.</w:t>
      </w:r>
    </w:p>
    <w:p w14:paraId="7CD87C03" w14:textId="7DBB82EA" w:rsidR="00FC5154" w:rsidRPr="00FC5154" w:rsidRDefault="00FC5154" w:rsidP="00FC5154">
      <w:pPr>
        <w:pStyle w:val="NormalWeb"/>
        <w:spacing w:after="240" w:afterAutospacing="0" w:line="360" w:lineRule="auto"/>
        <w:rPr>
          <w:rFonts w:ascii="Arial" w:hAnsi="Arial" w:cs="Arial"/>
          <w:sz w:val="20"/>
          <w:szCs w:val="20"/>
          <w:lang w:val="en-US"/>
        </w:rPr>
      </w:pPr>
      <w:r w:rsidRPr="00FC5154">
        <w:rPr>
          <w:rFonts w:ascii="Arial" w:hAnsi="Arial" w:cs="Arial"/>
          <w:sz w:val="20"/>
          <w:szCs w:val="20"/>
          <w:lang w:val="en-US"/>
        </w:rPr>
        <w:t xml:space="preserve">Finally, the </w:t>
      </w:r>
      <w:r w:rsidRPr="00FC5154">
        <w:rPr>
          <w:rStyle w:val="Strong"/>
          <w:rFonts w:ascii="Arial" w:eastAsiaTheme="majorEastAsia" w:hAnsi="Arial" w:cs="Arial"/>
          <w:b w:val="0"/>
          <w:bCs w:val="0"/>
          <w:sz w:val="20"/>
          <w:szCs w:val="20"/>
          <w:lang w:val="en-US"/>
        </w:rPr>
        <w:t>third group</w:t>
      </w:r>
      <w:r w:rsidRPr="00FC5154">
        <w:rPr>
          <w:rFonts w:ascii="Arial" w:hAnsi="Arial" w:cs="Arial"/>
          <w:sz w:val="20"/>
          <w:szCs w:val="20"/>
          <w:lang w:val="en-US"/>
        </w:rPr>
        <w:t xml:space="preserve"> comprises the </w:t>
      </w:r>
      <w:r w:rsidRPr="00FC5154">
        <w:rPr>
          <w:rStyle w:val="Strong"/>
          <w:rFonts w:ascii="Arial" w:eastAsiaTheme="majorEastAsia" w:hAnsi="Arial" w:cs="Arial"/>
          <w:b w:val="0"/>
          <w:bCs w:val="0"/>
          <w:sz w:val="20"/>
          <w:szCs w:val="20"/>
          <w:lang w:val="en-US"/>
        </w:rPr>
        <w:t xml:space="preserve">fruit powders of </w:t>
      </w:r>
      <w:r w:rsidRPr="00FC5154">
        <w:rPr>
          <w:rStyle w:val="Strong"/>
          <w:rFonts w:ascii="Arial" w:eastAsiaTheme="majorEastAsia" w:hAnsi="Arial" w:cs="Arial"/>
          <w:b w:val="0"/>
          <w:bCs w:val="0"/>
          <w:i/>
          <w:iCs/>
          <w:sz w:val="20"/>
          <w:szCs w:val="20"/>
          <w:lang w:val="en-US"/>
        </w:rPr>
        <w:t>A. esculentus</w:t>
      </w:r>
      <w:r w:rsidRPr="00FC5154">
        <w:rPr>
          <w:rFonts w:ascii="Arial" w:hAnsi="Arial" w:cs="Arial"/>
          <w:sz w:val="20"/>
          <w:szCs w:val="20"/>
          <w:lang w:val="en-US"/>
        </w:rPr>
        <w:t xml:space="preserve">, which contain the </w:t>
      </w:r>
      <w:r w:rsidRPr="00FC5154">
        <w:rPr>
          <w:rStyle w:val="Strong"/>
          <w:rFonts w:ascii="Arial" w:eastAsiaTheme="majorEastAsia" w:hAnsi="Arial" w:cs="Arial"/>
          <w:b w:val="0"/>
          <w:bCs w:val="0"/>
          <w:sz w:val="20"/>
          <w:szCs w:val="20"/>
          <w:lang w:val="en-US"/>
        </w:rPr>
        <w:t>highest levels of iron, zinc, magnesium, potassium, sodium, and total flavonoids</w:t>
      </w:r>
      <w:r w:rsidRPr="00FC5154">
        <w:rPr>
          <w:rFonts w:ascii="Arial" w:hAnsi="Arial" w:cs="Arial"/>
          <w:sz w:val="20"/>
          <w:szCs w:val="20"/>
          <w:lang w:val="en-US"/>
        </w:rPr>
        <w:t xml:space="preserve">. The </w:t>
      </w:r>
      <w:r w:rsidRPr="00FC5154">
        <w:rPr>
          <w:rStyle w:val="Strong"/>
          <w:rFonts w:ascii="Arial" w:eastAsiaTheme="majorEastAsia" w:hAnsi="Arial" w:cs="Arial"/>
          <w:b w:val="0"/>
          <w:bCs w:val="0"/>
          <w:sz w:val="20"/>
          <w:szCs w:val="20"/>
          <w:lang w:val="en-US"/>
        </w:rPr>
        <w:t>high nutritional density</w:t>
      </w:r>
      <w:r w:rsidRPr="00FC5154">
        <w:rPr>
          <w:rFonts w:ascii="Arial" w:hAnsi="Arial" w:cs="Arial"/>
          <w:sz w:val="20"/>
          <w:szCs w:val="20"/>
          <w:lang w:val="en-US"/>
        </w:rPr>
        <w:t xml:space="preserve"> (iron, zinc, magnesium, potassium, sodium) makes these powders </w:t>
      </w:r>
      <w:r w:rsidRPr="00FC5154">
        <w:rPr>
          <w:rStyle w:val="Strong"/>
          <w:rFonts w:ascii="Arial" w:eastAsiaTheme="majorEastAsia" w:hAnsi="Arial" w:cs="Arial"/>
          <w:b w:val="0"/>
          <w:bCs w:val="0"/>
          <w:sz w:val="20"/>
          <w:szCs w:val="20"/>
          <w:lang w:val="en-US"/>
        </w:rPr>
        <w:t>suitable for patients with chronic diseases</w:t>
      </w:r>
      <w:r w:rsidRPr="00FC5154">
        <w:rPr>
          <w:rFonts w:ascii="Arial" w:hAnsi="Arial" w:cs="Arial"/>
          <w:sz w:val="20"/>
          <w:szCs w:val="20"/>
          <w:lang w:val="en-US"/>
        </w:rPr>
        <w:t xml:space="preserve">. Moreover, they exhibited the </w:t>
      </w:r>
      <w:r w:rsidRPr="00FC5154">
        <w:rPr>
          <w:rStyle w:val="Strong"/>
          <w:rFonts w:ascii="Arial" w:eastAsiaTheme="majorEastAsia" w:hAnsi="Arial" w:cs="Arial"/>
          <w:b w:val="0"/>
          <w:bCs w:val="0"/>
          <w:sz w:val="20"/>
          <w:szCs w:val="20"/>
          <w:lang w:val="en-US"/>
        </w:rPr>
        <w:t>strongest antioxidant activity (DPPH, FRAP, and ABTS)</w:t>
      </w:r>
      <w:r w:rsidRPr="00FC5154">
        <w:rPr>
          <w:rFonts w:ascii="Arial" w:hAnsi="Arial" w:cs="Arial"/>
          <w:sz w:val="20"/>
          <w:szCs w:val="20"/>
          <w:lang w:val="en-US"/>
        </w:rPr>
        <w:t xml:space="preserve">, attributable to the presence of </w:t>
      </w:r>
      <w:r w:rsidRPr="00FC5154">
        <w:rPr>
          <w:rStyle w:val="Strong"/>
          <w:rFonts w:ascii="Arial" w:eastAsiaTheme="majorEastAsia" w:hAnsi="Arial" w:cs="Arial"/>
          <w:b w:val="0"/>
          <w:bCs w:val="0"/>
          <w:sz w:val="20"/>
          <w:szCs w:val="20"/>
          <w:lang w:val="en-US"/>
        </w:rPr>
        <w:t>flavonoids</w:t>
      </w:r>
      <w:r w:rsidRPr="00FC5154">
        <w:rPr>
          <w:rFonts w:ascii="Arial" w:hAnsi="Arial" w:cs="Arial"/>
          <w:sz w:val="20"/>
          <w:szCs w:val="20"/>
          <w:lang w:val="en-US"/>
        </w:rPr>
        <w:t xml:space="preserve">, which are known for their </w:t>
      </w:r>
      <w:r w:rsidRPr="00FC5154">
        <w:rPr>
          <w:rStyle w:val="Strong"/>
          <w:rFonts w:ascii="Arial" w:eastAsiaTheme="majorEastAsia" w:hAnsi="Arial" w:cs="Arial"/>
          <w:b w:val="0"/>
          <w:bCs w:val="0"/>
          <w:sz w:val="20"/>
          <w:szCs w:val="20"/>
          <w:lang w:val="en-US"/>
        </w:rPr>
        <w:t>biological activity</w:t>
      </w:r>
      <w:r w:rsidRPr="00FC5154">
        <w:rPr>
          <w:rFonts w:ascii="Arial" w:hAnsi="Arial" w:cs="Arial"/>
          <w:sz w:val="20"/>
          <w:szCs w:val="20"/>
          <w:lang w:val="en-US"/>
        </w:rPr>
        <w:t xml:space="preserve">. It is noteworthy that this group, composed </w:t>
      </w:r>
      <w:r w:rsidRPr="00FC5154">
        <w:rPr>
          <w:rStyle w:val="Strong"/>
          <w:rFonts w:ascii="Arial" w:eastAsiaTheme="majorEastAsia" w:hAnsi="Arial" w:cs="Arial"/>
          <w:b w:val="0"/>
          <w:bCs w:val="0"/>
          <w:sz w:val="20"/>
          <w:szCs w:val="20"/>
          <w:lang w:val="en-US"/>
        </w:rPr>
        <w:t xml:space="preserve">exclusively of </w:t>
      </w:r>
      <w:r w:rsidRPr="00FC5154">
        <w:rPr>
          <w:rStyle w:val="Strong"/>
          <w:rFonts w:ascii="Arial" w:eastAsiaTheme="majorEastAsia" w:hAnsi="Arial" w:cs="Arial"/>
          <w:b w:val="0"/>
          <w:bCs w:val="0"/>
          <w:i/>
          <w:iCs/>
          <w:sz w:val="20"/>
          <w:szCs w:val="20"/>
          <w:lang w:val="en-US"/>
        </w:rPr>
        <w:t>A. esculentus</w:t>
      </w:r>
      <w:r w:rsidRPr="00FC5154">
        <w:rPr>
          <w:rStyle w:val="Strong"/>
          <w:rFonts w:ascii="Arial" w:eastAsiaTheme="majorEastAsia" w:hAnsi="Arial" w:cs="Arial"/>
          <w:b w:val="0"/>
          <w:bCs w:val="0"/>
          <w:sz w:val="20"/>
          <w:szCs w:val="20"/>
          <w:lang w:val="en-US"/>
        </w:rPr>
        <w:t xml:space="preserve"> fruit powder</w:t>
      </w:r>
      <w:r w:rsidRPr="00FC5154">
        <w:rPr>
          <w:rFonts w:ascii="Arial" w:hAnsi="Arial" w:cs="Arial"/>
          <w:sz w:val="20"/>
          <w:szCs w:val="20"/>
          <w:lang w:val="en-US"/>
        </w:rPr>
        <w:t xml:space="preserve">, demonstrated </w:t>
      </w:r>
      <w:r w:rsidRPr="00FC5154">
        <w:rPr>
          <w:rStyle w:val="Strong"/>
          <w:rFonts w:ascii="Arial" w:eastAsiaTheme="majorEastAsia" w:hAnsi="Arial" w:cs="Arial"/>
          <w:b w:val="0"/>
          <w:bCs w:val="0"/>
          <w:sz w:val="20"/>
          <w:szCs w:val="20"/>
          <w:lang w:val="en-US"/>
        </w:rPr>
        <w:t xml:space="preserve">WAC and WSI values similar to those of the second group, which consists solely of </w:t>
      </w:r>
      <w:r w:rsidRPr="00FC5154">
        <w:rPr>
          <w:rStyle w:val="Strong"/>
          <w:rFonts w:ascii="Arial" w:eastAsiaTheme="majorEastAsia" w:hAnsi="Arial" w:cs="Arial"/>
          <w:b w:val="0"/>
          <w:bCs w:val="0"/>
          <w:i/>
          <w:iCs/>
          <w:sz w:val="20"/>
          <w:szCs w:val="20"/>
          <w:lang w:val="en-US"/>
        </w:rPr>
        <w:t>C. olitorius</w:t>
      </w:r>
      <w:r w:rsidRPr="00FC5154">
        <w:rPr>
          <w:rStyle w:val="Strong"/>
          <w:rFonts w:ascii="Arial" w:eastAsiaTheme="majorEastAsia" w:hAnsi="Arial" w:cs="Arial"/>
          <w:b w:val="0"/>
          <w:bCs w:val="0"/>
          <w:sz w:val="20"/>
          <w:szCs w:val="20"/>
          <w:lang w:val="en-US"/>
        </w:rPr>
        <w:t xml:space="preserve"> leaf powder</w:t>
      </w:r>
      <w:r w:rsidRPr="00FC5154">
        <w:rPr>
          <w:rFonts w:ascii="Arial" w:hAnsi="Arial" w:cs="Arial"/>
          <w:sz w:val="20"/>
          <w:szCs w:val="20"/>
          <w:lang w:val="en-US"/>
        </w:rPr>
        <w:t xml:space="preserve">. However, it exhibited </w:t>
      </w:r>
      <w:r w:rsidRPr="00FC5154">
        <w:rPr>
          <w:rStyle w:val="Strong"/>
          <w:rFonts w:ascii="Arial" w:eastAsiaTheme="majorEastAsia" w:hAnsi="Arial" w:cs="Arial"/>
          <w:b w:val="0"/>
          <w:bCs w:val="0"/>
          <w:sz w:val="20"/>
          <w:szCs w:val="20"/>
          <w:lang w:val="en-US"/>
        </w:rPr>
        <w:t>the highest porosity among all powders</w:t>
      </w:r>
      <w:r w:rsidRPr="00FC5154">
        <w:rPr>
          <w:rFonts w:ascii="Arial" w:hAnsi="Arial" w:cs="Arial"/>
          <w:sz w:val="20"/>
          <w:szCs w:val="20"/>
          <w:lang w:val="en-US"/>
        </w:rPr>
        <w:t xml:space="preserve">, highlighting its </w:t>
      </w:r>
      <w:r w:rsidRPr="00FC5154">
        <w:rPr>
          <w:rStyle w:val="Strong"/>
          <w:rFonts w:ascii="Arial" w:eastAsiaTheme="majorEastAsia" w:hAnsi="Arial" w:cs="Arial"/>
          <w:b w:val="0"/>
          <w:bCs w:val="0"/>
          <w:sz w:val="20"/>
          <w:szCs w:val="20"/>
          <w:lang w:val="en-US"/>
        </w:rPr>
        <w:t>functional benefits for antioxidant activity and nutrient bioaccessibility</w:t>
      </w:r>
      <w:r w:rsidRPr="00FC5154">
        <w:rPr>
          <w:rFonts w:ascii="Arial" w:hAnsi="Arial" w:cs="Arial"/>
          <w:sz w:val="20"/>
          <w:szCs w:val="20"/>
          <w:lang w:val="en-US"/>
        </w:rPr>
        <w:t>.</w:t>
      </w:r>
    </w:p>
    <w:p w14:paraId="16429116" w14:textId="77777777" w:rsidR="00C43488" w:rsidRPr="00175578" w:rsidRDefault="00C43488" w:rsidP="00C43488">
      <w:pPr>
        <w:spacing w:line="240" w:lineRule="auto"/>
        <w:jc w:val="center"/>
        <w:rPr>
          <w:rFonts w:ascii="Times New Roman" w:hAnsi="Times New Roman" w:cs="Times New Roman"/>
          <w:color w:val="000000" w:themeColor="text1"/>
        </w:rPr>
      </w:pPr>
      <w:r w:rsidRPr="00FC5154">
        <w:rPr>
          <w:rFonts w:ascii="Times New Roman" w:hAnsi="Times New Roman" w:cs="Times New Roman"/>
          <w:color w:val="000000" w:themeColor="text1"/>
          <w:lang w:val="en-US"/>
        </w:rPr>
        <w:t xml:space="preserve">    </w:t>
      </w:r>
      <w:r w:rsidRPr="00175578">
        <w:rPr>
          <w:noProof/>
          <w:color w:val="000000" w:themeColor="text1"/>
          <w:lang w:eastAsia="fr-FR"/>
        </w:rPr>
        <w:drawing>
          <wp:inline distT="0" distB="0" distL="0" distR="0" wp14:anchorId="78A03F36" wp14:editId="0248F909">
            <wp:extent cx="5033176" cy="4126727"/>
            <wp:effectExtent l="0" t="0" r="0" b="762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C4A547" w14:textId="0EF548B1" w:rsidR="00C43488" w:rsidRDefault="00C43488" w:rsidP="00C43488">
      <w:pPr>
        <w:spacing w:line="360" w:lineRule="auto"/>
        <w:jc w:val="center"/>
        <w:rPr>
          <w:rFonts w:ascii="Arial" w:hAnsi="Arial" w:cs="Arial"/>
          <w:color w:val="000000" w:themeColor="text1"/>
          <w:sz w:val="20"/>
          <w:szCs w:val="20"/>
          <w:lang w:val="en-US"/>
        </w:rPr>
      </w:pPr>
      <w:bookmarkStart w:id="7" w:name="_GoBack"/>
      <w:r w:rsidRPr="00675ED0">
        <w:rPr>
          <w:rFonts w:ascii="Arial" w:hAnsi="Arial" w:cs="Arial"/>
          <w:color w:val="000000" w:themeColor="text1"/>
          <w:sz w:val="20"/>
          <w:szCs w:val="20"/>
          <w:lang w:val="en-US"/>
        </w:rPr>
        <w:t>Fig</w:t>
      </w:r>
      <w:bookmarkEnd w:id="7"/>
      <w:r w:rsidRPr="00675ED0">
        <w:rPr>
          <w:rFonts w:ascii="Arial" w:hAnsi="Arial" w:cs="Arial"/>
          <w:color w:val="000000" w:themeColor="text1"/>
          <w:sz w:val="20"/>
          <w:szCs w:val="20"/>
          <w:lang w:val="en-US"/>
        </w:rPr>
        <w:t>. </w:t>
      </w:r>
      <w:r w:rsidR="005D6585" w:rsidRPr="00675ED0">
        <w:rPr>
          <w:rFonts w:ascii="Arial" w:hAnsi="Arial" w:cs="Arial"/>
          <w:color w:val="000000" w:themeColor="text1"/>
          <w:sz w:val="20"/>
          <w:szCs w:val="20"/>
          <w:lang w:val="en-US"/>
        </w:rPr>
        <w:t>1</w:t>
      </w:r>
      <w:r w:rsidRPr="00675ED0">
        <w:rPr>
          <w:rFonts w:ascii="Arial" w:hAnsi="Arial" w:cs="Arial"/>
          <w:color w:val="000000" w:themeColor="text1"/>
          <w:sz w:val="20"/>
          <w:szCs w:val="20"/>
          <w:lang w:val="en-US"/>
        </w:rPr>
        <w:t xml:space="preserve">. </w:t>
      </w:r>
      <w:r w:rsidRPr="005250A4">
        <w:rPr>
          <w:rFonts w:ascii="Arial" w:hAnsi="Arial" w:cs="Arial"/>
          <w:color w:val="000000" w:themeColor="text1"/>
          <w:sz w:val="20"/>
          <w:szCs w:val="20"/>
          <w:lang w:val="en-US"/>
        </w:rPr>
        <w:t xml:space="preserve">Grouping of </w:t>
      </w:r>
      <w:r w:rsidRPr="005250A4">
        <w:rPr>
          <w:rFonts w:ascii="Arial" w:hAnsi="Arial" w:cs="Arial"/>
          <w:i/>
          <w:color w:val="000000" w:themeColor="text1"/>
          <w:sz w:val="20"/>
          <w:szCs w:val="20"/>
          <w:lang w:val="en-US"/>
        </w:rPr>
        <w:t>C. olitorius</w:t>
      </w:r>
      <w:r w:rsidRPr="005250A4">
        <w:rPr>
          <w:rFonts w:ascii="Arial" w:hAnsi="Arial" w:cs="Arial"/>
          <w:color w:val="000000" w:themeColor="text1"/>
          <w:sz w:val="20"/>
          <w:szCs w:val="20"/>
          <w:lang w:val="en-US"/>
        </w:rPr>
        <w:t xml:space="preserve"> and </w:t>
      </w:r>
      <w:r w:rsidRPr="005250A4">
        <w:rPr>
          <w:rFonts w:ascii="Arial" w:hAnsi="Arial" w:cs="Arial"/>
          <w:i/>
          <w:color w:val="000000" w:themeColor="text1"/>
          <w:sz w:val="20"/>
          <w:szCs w:val="20"/>
          <w:lang w:val="en-US"/>
        </w:rPr>
        <w:t xml:space="preserve">A. </w:t>
      </w:r>
      <w:proofErr w:type="spellStart"/>
      <w:r w:rsidRPr="005250A4">
        <w:rPr>
          <w:rFonts w:ascii="Arial" w:hAnsi="Arial" w:cs="Arial"/>
          <w:i/>
          <w:color w:val="000000" w:themeColor="text1"/>
          <w:sz w:val="20"/>
          <w:szCs w:val="20"/>
          <w:lang w:val="en-US"/>
        </w:rPr>
        <w:t>esculentus</w:t>
      </w:r>
      <w:proofErr w:type="spellEnd"/>
      <w:r w:rsidR="00BD5AB5">
        <w:rPr>
          <w:rFonts w:ascii="Arial" w:hAnsi="Arial" w:cs="Arial"/>
          <w:color w:val="000000" w:themeColor="text1"/>
          <w:sz w:val="20"/>
          <w:szCs w:val="20"/>
          <w:lang w:val="en-US"/>
        </w:rPr>
        <w:t xml:space="preserve"> leaves </w:t>
      </w:r>
      <w:r w:rsidRPr="005250A4">
        <w:rPr>
          <w:rFonts w:ascii="Arial" w:hAnsi="Arial" w:cs="Arial"/>
          <w:color w:val="000000" w:themeColor="text1"/>
          <w:sz w:val="20"/>
          <w:szCs w:val="20"/>
          <w:lang w:val="en-US"/>
        </w:rPr>
        <w:t>and fruit powders according to their nutrient content, bioactive compounds, antioxidant activity and functional properties</w:t>
      </w:r>
    </w:p>
    <w:p w14:paraId="2DDD8690" w14:textId="5AA40CFC" w:rsidR="00C336F8" w:rsidRPr="00675ED0" w:rsidRDefault="00C336F8" w:rsidP="00795A74">
      <w:pPr>
        <w:pStyle w:val="NormalWeb"/>
        <w:spacing w:line="360" w:lineRule="auto"/>
        <w:rPr>
          <w:rFonts w:ascii="Arial" w:hAnsi="Arial" w:cs="Arial"/>
          <w:b/>
          <w:color w:val="000000" w:themeColor="text1"/>
          <w:sz w:val="20"/>
          <w:szCs w:val="20"/>
          <w:lang w:val="en-US"/>
        </w:rPr>
      </w:pPr>
    </w:p>
    <w:p w14:paraId="6292F5DD" w14:textId="77777777" w:rsidR="00B17EC4" w:rsidRPr="00675ED0" w:rsidRDefault="00B17EC4" w:rsidP="00795A74">
      <w:pPr>
        <w:pStyle w:val="NormalWeb"/>
        <w:spacing w:line="360" w:lineRule="auto"/>
        <w:rPr>
          <w:rFonts w:ascii="Arial" w:hAnsi="Arial" w:cs="Arial"/>
          <w:b/>
          <w:color w:val="000000" w:themeColor="text1"/>
          <w:sz w:val="20"/>
          <w:szCs w:val="20"/>
          <w:lang w:val="en-US"/>
        </w:rPr>
      </w:pPr>
    </w:p>
    <w:p w14:paraId="717E90CC" w14:textId="52C36A9A" w:rsidR="00C43488" w:rsidRPr="00D603BB" w:rsidRDefault="00C43488" w:rsidP="00795A74">
      <w:pPr>
        <w:pStyle w:val="NormalWeb"/>
        <w:spacing w:line="360" w:lineRule="auto"/>
        <w:rPr>
          <w:rFonts w:ascii="Arial" w:hAnsi="Arial" w:cs="Arial"/>
          <w:b/>
          <w:color w:val="000000" w:themeColor="text1"/>
          <w:sz w:val="20"/>
          <w:szCs w:val="20"/>
          <w:lang w:val="en-US"/>
        </w:rPr>
      </w:pPr>
      <w:r w:rsidRPr="00D603BB">
        <w:rPr>
          <w:rFonts w:ascii="Arial" w:hAnsi="Arial" w:cs="Arial"/>
          <w:b/>
          <w:color w:val="000000" w:themeColor="text1"/>
          <w:sz w:val="20"/>
          <w:szCs w:val="20"/>
          <w:lang w:val="en-US"/>
        </w:rPr>
        <w:lastRenderedPageBreak/>
        <w:t xml:space="preserve">CONCLUSION </w:t>
      </w:r>
    </w:p>
    <w:p w14:paraId="374CABBC" w14:textId="086C557D" w:rsidR="0092158E" w:rsidRDefault="0092158E" w:rsidP="0092158E">
      <w:pPr>
        <w:pStyle w:val="NormalWeb"/>
        <w:spacing w:line="360" w:lineRule="auto"/>
        <w:rPr>
          <w:rFonts w:ascii="Arial" w:hAnsi="Arial" w:cs="Arial"/>
          <w:b/>
          <w:bCs/>
          <w:sz w:val="20"/>
          <w:szCs w:val="20"/>
          <w:lang w:val="en-US"/>
        </w:rPr>
      </w:pPr>
      <w:r w:rsidRPr="00B66692">
        <w:rPr>
          <w:rFonts w:ascii="Arial" w:hAnsi="Arial" w:cs="Arial"/>
          <w:sz w:val="20"/>
          <w:szCs w:val="20"/>
          <w:lang w:val="en-US"/>
        </w:rPr>
        <w:t>This study highlights that</w:t>
      </w:r>
      <w:r w:rsidRPr="00B66692">
        <w:rPr>
          <w:rFonts w:ascii="Arial" w:hAnsi="Arial" w:cs="Arial"/>
          <w:b/>
          <w:bCs/>
          <w:sz w:val="20"/>
          <w:szCs w:val="20"/>
          <w:lang w:val="en-US"/>
        </w:rPr>
        <w:t xml:space="preserve"> </w:t>
      </w:r>
      <w:r w:rsidRPr="00B66692">
        <w:rPr>
          <w:rFonts w:ascii="Arial" w:hAnsi="Arial" w:cs="Arial"/>
          <w:sz w:val="20"/>
          <w:szCs w:val="20"/>
          <w:lang w:val="en-US"/>
        </w:rPr>
        <w:t>the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 xml:space="preserve">leaf and fruit powders of </w:t>
      </w:r>
      <w:r w:rsidRPr="00B66692">
        <w:rPr>
          <w:rStyle w:val="Strong"/>
          <w:rFonts w:ascii="Arial" w:eastAsiaTheme="majorEastAsia" w:hAnsi="Arial" w:cs="Arial"/>
          <w:b w:val="0"/>
          <w:bCs w:val="0"/>
          <w:i/>
          <w:iCs/>
          <w:sz w:val="20"/>
          <w:szCs w:val="20"/>
          <w:lang w:val="en-US"/>
        </w:rPr>
        <w:t>Abelmoschus esculentus</w:t>
      </w:r>
      <w:r w:rsidRPr="00B66692">
        <w:rPr>
          <w:rStyle w:val="Strong"/>
          <w:rFonts w:ascii="Arial" w:eastAsiaTheme="majorEastAsia" w:hAnsi="Arial" w:cs="Arial"/>
          <w:b w:val="0"/>
          <w:bCs w:val="0"/>
          <w:sz w:val="20"/>
          <w:szCs w:val="20"/>
          <w:lang w:val="en-US"/>
        </w:rPr>
        <w:t xml:space="preserve"> and </w:t>
      </w:r>
      <w:r w:rsidRPr="00B66692">
        <w:rPr>
          <w:rStyle w:val="Strong"/>
          <w:rFonts w:ascii="Arial" w:eastAsiaTheme="majorEastAsia" w:hAnsi="Arial" w:cs="Arial"/>
          <w:b w:val="0"/>
          <w:bCs w:val="0"/>
          <w:i/>
          <w:iCs/>
          <w:sz w:val="20"/>
          <w:szCs w:val="20"/>
          <w:lang w:val="en-US"/>
        </w:rPr>
        <w:t>Corchorus olitorius</w:t>
      </w:r>
      <w:r w:rsidRPr="00B66692">
        <w:rPr>
          <w:rFonts w:ascii="Arial" w:hAnsi="Arial" w:cs="Arial"/>
          <w:b/>
          <w:bCs/>
          <w:sz w:val="20"/>
          <w:szCs w:val="20"/>
          <w:lang w:val="en-US"/>
        </w:rPr>
        <w:t xml:space="preserve">, </w:t>
      </w:r>
      <w:r w:rsidRPr="00B66692">
        <w:rPr>
          <w:rFonts w:ascii="Arial" w:hAnsi="Arial" w:cs="Arial"/>
          <w:sz w:val="20"/>
          <w:szCs w:val="20"/>
          <w:lang w:val="en-US"/>
        </w:rPr>
        <w:t>which exhibit</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significant antioxidant activities</w:t>
      </w:r>
      <w:r w:rsidRPr="00B66692">
        <w:rPr>
          <w:rFonts w:ascii="Arial" w:hAnsi="Arial" w:cs="Arial"/>
          <w:b/>
          <w:bCs/>
          <w:sz w:val="20"/>
          <w:szCs w:val="20"/>
          <w:lang w:val="en-US"/>
        </w:rPr>
        <w:t>,</w:t>
      </w:r>
      <w:r w:rsidRPr="00B66692">
        <w:rPr>
          <w:rFonts w:ascii="Arial" w:hAnsi="Arial" w:cs="Arial"/>
          <w:sz w:val="20"/>
          <w:szCs w:val="20"/>
          <w:lang w:val="en-US"/>
        </w:rPr>
        <w:t xml:space="preserve"> possess </w:t>
      </w:r>
      <w:r w:rsidRPr="00B66692">
        <w:rPr>
          <w:rStyle w:val="Strong"/>
          <w:rFonts w:ascii="Arial" w:eastAsiaTheme="majorEastAsia" w:hAnsi="Arial" w:cs="Arial"/>
          <w:b w:val="0"/>
          <w:bCs w:val="0"/>
          <w:sz w:val="20"/>
          <w:szCs w:val="20"/>
          <w:lang w:val="en-US"/>
        </w:rPr>
        <w:t>important functional properties</w:t>
      </w:r>
      <w:r w:rsidRPr="00B66692">
        <w:rPr>
          <w:rFonts w:ascii="Arial" w:hAnsi="Arial" w:cs="Arial"/>
          <w:b/>
          <w:bCs/>
          <w:sz w:val="20"/>
          <w:szCs w:val="20"/>
          <w:lang w:val="en-US"/>
        </w:rPr>
        <w:t xml:space="preserve"> </w:t>
      </w:r>
      <w:r w:rsidRPr="00B66692">
        <w:rPr>
          <w:rFonts w:ascii="Arial" w:hAnsi="Arial" w:cs="Arial"/>
          <w:sz w:val="20"/>
          <w:szCs w:val="20"/>
          <w:lang w:val="en-US"/>
        </w:rPr>
        <w:t>that must be considered before use</w:t>
      </w:r>
      <w:r w:rsidRPr="00B66692">
        <w:rPr>
          <w:rFonts w:ascii="Arial" w:hAnsi="Arial" w:cs="Arial"/>
          <w:b/>
          <w:bCs/>
          <w:sz w:val="20"/>
          <w:szCs w:val="20"/>
          <w:lang w:val="en-US"/>
        </w:rPr>
        <w:t xml:space="preserve">. </w:t>
      </w:r>
      <w:r w:rsidRPr="00B66692">
        <w:rPr>
          <w:rFonts w:ascii="Arial" w:hAnsi="Arial" w:cs="Arial"/>
          <w:sz w:val="20"/>
          <w:szCs w:val="20"/>
          <w:lang w:val="en-US"/>
        </w:rPr>
        <w:t>These include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water absorption capacity (WAC), oil absorption capacity (OAC), solubility index (WSI), density, and porosity</w:t>
      </w:r>
      <w:r w:rsidRPr="00B66692">
        <w:rPr>
          <w:rFonts w:ascii="Arial" w:hAnsi="Arial" w:cs="Arial"/>
          <w:b/>
          <w:bCs/>
          <w:sz w:val="20"/>
          <w:szCs w:val="20"/>
          <w:lang w:val="en-US"/>
        </w:rPr>
        <w:t xml:space="preserve">. </w:t>
      </w:r>
      <w:r w:rsidRPr="00B66692">
        <w:rPr>
          <w:rFonts w:ascii="Arial" w:hAnsi="Arial" w:cs="Arial"/>
          <w:sz w:val="20"/>
          <w:szCs w:val="20"/>
          <w:lang w:val="en-US"/>
        </w:rPr>
        <w:t>These properties are influenced by</w:t>
      </w:r>
      <w:r w:rsidRPr="00B66692">
        <w:rPr>
          <w:rFonts w:ascii="Arial" w:hAnsi="Arial" w:cs="Arial"/>
          <w:b/>
          <w:bCs/>
          <w:sz w:val="20"/>
          <w:szCs w:val="20"/>
          <w:lang w:val="en-US"/>
        </w:rPr>
        <w:t xml:space="preserve"> </w:t>
      </w:r>
      <w:r w:rsidRPr="00B66692">
        <w:rPr>
          <w:rFonts w:ascii="Arial" w:hAnsi="Arial" w:cs="Arial"/>
          <w:sz w:val="20"/>
          <w:szCs w:val="20"/>
          <w:lang w:val="en-US"/>
        </w:rPr>
        <w:t>the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chemical composition</w:t>
      </w:r>
      <w:r w:rsidRPr="00B66692">
        <w:rPr>
          <w:rFonts w:ascii="Arial" w:hAnsi="Arial" w:cs="Arial"/>
          <w:b/>
          <w:bCs/>
          <w:sz w:val="20"/>
          <w:szCs w:val="20"/>
          <w:lang w:val="en-US"/>
        </w:rPr>
        <w:t xml:space="preserve"> </w:t>
      </w:r>
      <w:r w:rsidRPr="00B66692">
        <w:rPr>
          <w:rFonts w:ascii="Arial" w:hAnsi="Arial" w:cs="Arial"/>
          <w:sz w:val="20"/>
          <w:szCs w:val="20"/>
          <w:lang w:val="en-US"/>
        </w:rPr>
        <w:t>of the powders, particularly</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hydrophilic and lipophilic compounds</w:t>
      </w:r>
      <w:r w:rsidRPr="00B66692">
        <w:rPr>
          <w:rFonts w:ascii="Arial" w:hAnsi="Arial" w:cs="Arial"/>
          <w:b/>
          <w:bCs/>
          <w:sz w:val="20"/>
          <w:szCs w:val="20"/>
          <w:lang w:val="en-US"/>
        </w:rPr>
        <w:t xml:space="preserve"> </w:t>
      </w:r>
      <w:r w:rsidRPr="00B66692">
        <w:rPr>
          <w:rFonts w:ascii="Arial" w:hAnsi="Arial" w:cs="Arial"/>
          <w:sz w:val="20"/>
          <w:szCs w:val="20"/>
          <w:lang w:val="en-US"/>
        </w:rPr>
        <w:t>such as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proteins and fibers</w:t>
      </w:r>
      <w:r w:rsidRPr="00B66692">
        <w:rPr>
          <w:rFonts w:ascii="Arial" w:hAnsi="Arial" w:cs="Arial"/>
          <w:b/>
          <w:bCs/>
          <w:sz w:val="20"/>
          <w:szCs w:val="20"/>
          <w:lang w:val="en-US"/>
        </w:rPr>
        <w:t xml:space="preserve">. </w:t>
      </w:r>
      <w:r w:rsidRPr="00B66692">
        <w:rPr>
          <w:rFonts w:ascii="Arial" w:hAnsi="Arial" w:cs="Arial"/>
          <w:sz w:val="20"/>
          <w:szCs w:val="20"/>
          <w:lang w:val="en-US"/>
        </w:rPr>
        <w:t>The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 xml:space="preserve">fruit powders of </w:t>
      </w:r>
      <w:r w:rsidRPr="00B66692">
        <w:rPr>
          <w:rStyle w:val="Strong"/>
          <w:rFonts w:ascii="Arial" w:eastAsiaTheme="majorEastAsia" w:hAnsi="Arial" w:cs="Arial"/>
          <w:b w:val="0"/>
          <w:bCs w:val="0"/>
          <w:i/>
          <w:iCs/>
          <w:sz w:val="20"/>
          <w:szCs w:val="20"/>
          <w:lang w:val="en-US"/>
        </w:rPr>
        <w:t>Corchorus olitorius</w:t>
      </w:r>
      <w:r w:rsidRPr="00B66692">
        <w:rPr>
          <w:rFonts w:ascii="Arial" w:hAnsi="Arial" w:cs="Arial"/>
          <w:b/>
          <w:bCs/>
          <w:sz w:val="20"/>
          <w:szCs w:val="20"/>
          <w:lang w:val="en-US"/>
        </w:rPr>
        <w:t xml:space="preserve"> </w:t>
      </w:r>
      <w:r w:rsidRPr="00B66692">
        <w:rPr>
          <w:rFonts w:ascii="Arial" w:hAnsi="Arial" w:cs="Arial"/>
          <w:sz w:val="20"/>
          <w:szCs w:val="20"/>
          <w:lang w:val="en-US"/>
        </w:rPr>
        <w:t xml:space="preserve">and </w:t>
      </w:r>
      <w:r w:rsidRPr="00B66692">
        <w:rPr>
          <w:rStyle w:val="Strong"/>
          <w:rFonts w:ascii="Arial" w:eastAsiaTheme="majorEastAsia" w:hAnsi="Arial" w:cs="Arial"/>
          <w:b w:val="0"/>
          <w:bCs w:val="0"/>
          <w:sz w:val="20"/>
          <w:szCs w:val="20"/>
          <w:lang w:val="en-US"/>
        </w:rPr>
        <w:t xml:space="preserve">leaf powders of </w:t>
      </w:r>
      <w:r w:rsidRPr="00B66692">
        <w:rPr>
          <w:rStyle w:val="Strong"/>
          <w:rFonts w:ascii="Arial" w:eastAsiaTheme="majorEastAsia" w:hAnsi="Arial" w:cs="Arial"/>
          <w:b w:val="0"/>
          <w:bCs w:val="0"/>
          <w:i/>
          <w:iCs/>
          <w:sz w:val="20"/>
          <w:szCs w:val="20"/>
          <w:lang w:val="en-US"/>
        </w:rPr>
        <w:t>Abelmoschus esculentus</w:t>
      </w:r>
      <w:r w:rsidRPr="00B66692">
        <w:rPr>
          <w:rFonts w:ascii="Arial" w:hAnsi="Arial" w:cs="Arial"/>
          <w:b/>
          <w:bCs/>
          <w:sz w:val="20"/>
          <w:szCs w:val="20"/>
          <w:lang w:val="en-US"/>
        </w:rPr>
        <w:t xml:space="preserve">, </w:t>
      </w:r>
      <w:r w:rsidRPr="00B66692">
        <w:rPr>
          <w:rFonts w:ascii="Arial" w:hAnsi="Arial" w:cs="Arial"/>
          <w:sz w:val="20"/>
          <w:szCs w:val="20"/>
          <w:lang w:val="en-US"/>
        </w:rPr>
        <w:t>characterized by</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 xml:space="preserve">high energy density, </w:t>
      </w:r>
      <w:r w:rsidR="00D603BB">
        <w:rPr>
          <w:rStyle w:val="Strong"/>
          <w:rFonts w:ascii="Arial" w:eastAsiaTheme="majorEastAsia" w:hAnsi="Arial" w:cs="Arial"/>
          <w:b w:val="0"/>
          <w:bCs w:val="0"/>
          <w:sz w:val="20"/>
          <w:szCs w:val="20"/>
          <w:lang w:val="en-US"/>
        </w:rPr>
        <w:t xml:space="preserve">elevated </w:t>
      </w:r>
      <w:r w:rsidRPr="00B66692">
        <w:rPr>
          <w:rStyle w:val="Strong"/>
          <w:rFonts w:ascii="Arial" w:eastAsiaTheme="majorEastAsia" w:hAnsi="Arial" w:cs="Arial"/>
          <w:b w:val="0"/>
          <w:bCs w:val="0"/>
          <w:sz w:val="20"/>
          <w:szCs w:val="20"/>
          <w:lang w:val="en-US"/>
        </w:rPr>
        <w:t>fiber content, and low antioxidant activity</w:t>
      </w:r>
      <w:r w:rsidRPr="00B66692">
        <w:rPr>
          <w:rFonts w:ascii="Arial" w:hAnsi="Arial" w:cs="Arial"/>
          <w:b/>
          <w:bCs/>
          <w:sz w:val="20"/>
          <w:szCs w:val="20"/>
          <w:lang w:val="en-US"/>
        </w:rPr>
        <w:t xml:space="preserve">, </w:t>
      </w:r>
      <w:r w:rsidRPr="00D3651A">
        <w:rPr>
          <w:rFonts w:ascii="Arial" w:hAnsi="Arial" w:cs="Arial"/>
          <w:sz w:val="20"/>
          <w:szCs w:val="20"/>
          <w:lang w:val="en-US"/>
        </w:rPr>
        <w:t xml:space="preserve">are </w:t>
      </w:r>
      <w:r w:rsidRPr="00B66692">
        <w:rPr>
          <w:rFonts w:ascii="Arial" w:hAnsi="Arial" w:cs="Arial"/>
          <w:sz w:val="20"/>
          <w:szCs w:val="20"/>
          <w:lang w:val="en-US"/>
        </w:rPr>
        <w:t>associated with</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high oil absorption capacity (OAC) and elevated true and bulk density</w:t>
      </w:r>
      <w:r w:rsidRPr="00B66692">
        <w:rPr>
          <w:rFonts w:ascii="Arial" w:hAnsi="Arial" w:cs="Arial"/>
          <w:b/>
          <w:bCs/>
          <w:sz w:val="20"/>
          <w:szCs w:val="20"/>
          <w:lang w:val="en-US"/>
        </w:rPr>
        <w:t xml:space="preserve"> </w:t>
      </w:r>
      <w:r w:rsidRPr="00D3651A">
        <w:rPr>
          <w:rFonts w:ascii="Arial" w:hAnsi="Arial" w:cs="Arial"/>
          <w:sz w:val="20"/>
          <w:szCs w:val="20"/>
          <w:lang w:val="en-US"/>
        </w:rPr>
        <w:t>values. The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 xml:space="preserve">leaf powder of </w:t>
      </w:r>
      <w:r w:rsidRPr="00B66692">
        <w:rPr>
          <w:rStyle w:val="Strong"/>
          <w:rFonts w:ascii="Arial" w:eastAsiaTheme="majorEastAsia" w:hAnsi="Arial" w:cs="Arial"/>
          <w:b w:val="0"/>
          <w:bCs w:val="0"/>
          <w:i/>
          <w:iCs/>
          <w:sz w:val="20"/>
          <w:szCs w:val="20"/>
          <w:lang w:val="en-US"/>
        </w:rPr>
        <w:t>Corchorus olitorius</w:t>
      </w:r>
      <w:r w:rsidRPr="00D3651A">
        <w:rPr>
          <w:rFonts w:ascii="Arial" w:hAnsi="Arial" w:cs="Arial"/>
          <w:sz w:val="20"/>
          <w:szCs w:val="20"/>
          <w:lang w:val="en-US"/>
        </w:rPr>
        <w:t>, which is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rich in essential nutrients</w:t>
      </w:r>
      <w:r w:rsidRPr="00B66692">
        <w:rPr>
          <w:rFonts w:ascii="Arial" w:hAnsi="Arial" w:cs="Arial"/>
          <w:b/>
          <w:bCs/>
          <w:sz w:val="20"/>
          <w:szCs w:val="20"/>
          <w:lang w:val="en-US"/>
        </w:rPr>
        <w:t xml:space="preserve"> </w:t>
      </w:r>
      <w:r w:rsidRPr="00D3651A">
        <w:rPr>
          <w:rFonts w:ascii="Arial" w:hAnsi="Arial" w:cs="Arial"/>
          <w:sz w:val="20"/>
          <w:szCs w:val="20"/>
          <w:lang w:val="en-US"/>
        </w:rPr>
        <w:t>such as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proteins, copper, calcium, phosphorus, and polyphenols</w:t>
      </w:r>
      <w:r w:rsidRPr="00B66692">
        <w:rPr>
          <w:rFonts w:ascii="Arial" w:hAnsi="Arial" w:cs="Arial"/>
          <w:b/>
          <w:bCs/>
          <w:sz w:val="20"/>
          <w:szCs w:val="20"/>
          <w:lang w:val="en-US"/>
        </w:rPr>
        <w:t>,</w:t>
      </w:r>
      <w:r w:rsidRPr="00D3651A">
        <w:rPr>
          <w:rFonts w:ascii="Arial" w:hAnsi="Arial" w:cs="Arial"/>
          <w:sz w:val="20"/>
          <w:szCs w:val="20"/>
          <w:lang w:val="en-US"/>
        </w:rPr>
        <w:t xml:space="preserve"> exhibits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moderate antioxidant activity</w:t>
      </w:r>
      <w:r w:rsidRPr="00B66692">
        <w:rPr>
          <w:rFonts w:ascii="Arial" w:hAnsi="Arial" w:cs="Arial"/>
          <w:b/>
          <w:bCs/>
          <w:sz w:val="20"/>
          <w:szCs w:val="20"/>
          <w:lang w:val="en-US"/>
        </w:rPr>
        <w:t xml:space="preserve"> </w:t>
      </w:r>
      <w:r w:rsidRPr="00D3651A">
        <w:rPr>
          <w:rFonts w:ascii="Arial" w:hAnsi="Arial" w:cs="Arial"/>
          <w:sz w:val="20"/>
          <w:szCs w:val="20"/>
          <w:lang w:val="en-US"/>
        </w:rPr>
        <w:t>and is associated with</w:t>
      </w:r>
      <w:r w:rsidRPr="00B66692">
        <w:rPr>
          <w:rFonts w:ascii="Arial" w:hAnsi="Arial" w:cs="Arial"/>
          <w:b/>
          <w:bCs/>
          <w:sz w:val="20"/>
          <w:szCs w:val="20"/>
          <w:lang w:val="en-US"/>
        </w:rPr>
        <w:t xml:space="preserve"> </w:t>
      </w:r>
      <w:r w:rsidRPr="00D3651A">
        <w:rPr>
          <w:rFonts w:ascii="Arial" w:hAnsi="Arial" w:cs="Arial"/>
          <w:sz w:val="20"/>
          <w:szCs w:val="20"/>
          <w:lang w:val="en-US"/>
        </w:rPr>
        <w:t>a</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high-water absorption capacity (WAC)</w:t>
      </w:r>
      <w:r w:rsidRPr="00B66692">
        <w:rPr>
          <w:rFonts w:ascii="Arial" w:hAnsi="Arial" w:cs="Arial"/>
          <w:b/>
          <w:bCs/>
          <w:sz w:val="20"/>
          <w:szCs w:val="20"/>
          <w:lang w:val="en-US"/>
        </w:rPr>
        <w:t xml:space="preserve">. </w:t>
      </w:r>
      <w:r w:rsidRPr="00D3651A">
        <w:rPr>
          <w:rFonts w:ascii="Arial" w:hAnsi="Arial" w:cs="Arial"/>
          <w:sz w:val="20"/>
          <w:szCs w:val="20"/>
          <w:lang w:val="en-US"/>
        </w:rPr>
        <w:t xml:space="preserve">The </w:t>
      </w:r>
      <w:r w:rsidRPr="00B66692">
        <w:rPr>
          <w:rStyle w:val="Strong"/>
          <w:rFonts w:ascii="Arial" w:eastAsiaTheme="majorEastAsia" w:hAnsi="Arial" w:cs="Arial"/>
          <w:b w:val="0"/>
          <w:bCs w:val="0"/>
          <w:sz w:val="20"/>
          <w:szCs w:val="20"/>
          <w:lang w:val="en-US"/>
        </w:rPr>
        <w:t xml:space="preserve">fruit powder of </w:t>
      </w:r>
      <w:r w:rsidRPr="00B66692">
        <w:rPr>
          <w:rStyle w:val="Strong"/>
          <w:rFonts w:ascii="Arial" w:eastAsiaTheme="majorEastAsia" w:hAnsi="Arial" w:cs="Arial"/>
          <w:b w:val="0"/>
          <w:bCs w:val="0"/>
          <w:i/>
          <w:iCs/>
          <w:sz w:val="20"/>
          <w:szCs w:val="20"/>
          <w:lang w:val="en-US"/>
        </w:rPr>
        <w:t>Abelmoschus esculentus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rich in minerals</w:t>
      </w:r>
      <w:r w:rsidRPr="00B66692">
        <w:rPr>
          <w:rFonts w:ascii="Arial" w:hAnsi="Arial" w:cs="Arial"/>
          <w:b/>
          <w:bCs/>
          <w:sz w:val="20"/>
          <w:szCs w:val="20"/>
          <w:lang w:val="en-US"/>
        </w:rPr>
        <w:t xml:space="preserve"> </w:t>
      </w:r>
      <w:r w:rsidRPr="00D3651A">
        <w:rPr>
          <w:rFonts w:ascii="Arial" w:hAnsi="Arial" w:cs="Arial"/>
          <w:sz w:val="20"/>
          <w:szCs w:val="20"/>
          <w:lang w:val="en-US"/>
        </w:rPr>
        <w:t>such as</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iron, zinc, magnesium, potassium, sodium</w:t>
      </w:r>
      <w:r w:rsidRPr="00B66692">
        <w:rPr>
          <w:rFonts w:ascii="Arial" w:hAnsi="Arial" w:cs="Arial"/>
          <w:b/>
          <w:bCs/>
          <w:sz w:val="20"/>
          <w:szCs w:val="20"/>
          <w:lang w:val="en-US"/>
        </w:rPr>
        <w:t xml:space="preserve">, </w:t>
      </w:r>
      <w:r w:rsidRPr="00D3651A">
        <w:rPr>
          <w:rFonts w:ascii="Arial" w:hAnsi="Arial" w:cs="Arial"/>
          <w:sz w:val="20"/>
          <w:szCs w:val="20"/>
          <w:lang w:val="en-US"/>
        </w:rPr>
        <w:t>and</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flavonoids</w:t>
      </w:r>
      <w:r w:rsidRPr="00B66692">
        <w:rPr>
          <w:rFonts w:ascii="Arial" w:hAnsi="Arial" w:cs="Arial"/>
          <w:b/>
          <w:bCs/>
          <w:sz w:val="20"/>
          <w:szCs w:val="20"/>
          <w:lang w:val="en-US"/>
        </w:rPr>
        <w:t xml:space="preserve">, </w:t>
      </w:r>
      <w:r w:rsidRPr="00D3651A">
        <w:rPr>
          <w:rFonts w:ascii="Arial" w:hAnsi="Arial" w:cs="Arial"/>
          <w:sz w:val="20"/>
          <w:szCs w:val="20"/>
          <w:lang w:val="en-US"/>
        </w:rPr>
        <w:t xml:space="preserve">displays </w:t>
      </w:r>
      <w:r w:rsidRPr="00B66692">
        <w:rPr>
          <w:rStyle w:val="Strong"/>
          <w:rFonts w:ascii="Arial" w:eastAsiaTheme="majorEastAsia" w:hAnsi="Arial" w:cs="Arial"/>
          <w:b w:val="0"/>
          <w:bCs w:val="0"/>
          <w:sz w:val="20"/>
          <w:szCs w:val="20"/>
          <w:lang w:val="en-US"/>
        </w:rPr>
        <w:t>high antioxidant activity</w:t>
      </w:r>
      <w:r w:rsidRPr="00B66692">
        <w:rPr>
          <w:rFonts w:ascii="Arial" w:hAnsi="Arial" w:cs="Arial"/>
          <w:b/>
          <w:bCs/>
          <w:sz w:val="20"/>
          <w:szCs w:val="20"/>
          <w:lang w:val="en-US"/>
        </w:rPr>
        <w:t xml:space="preserve"> </w:t>
      </w:r>
      <w:r w:rsidRPr="00D3651A">
        <w:rPr>
          <w:rFonts w:ascii="Arial" w:hAnsi="Arial" w:cs="Arial"/>
          <w:sz w:val="20"/>
          <w:szCs w:val="20"/>
          <w:lang w:val="en-US"/>
        </w:rPr>
        <w:t>and is characterized by</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high porosity, a high solubility index (WSI), and elevated water absorption capacity (WAC)</w:t>
      </w:r>
      <w:r w:rsidRPr="00B66692">
        <w:rPr>
          <w:rFonts w:ascii="Arial" w:hAnsi="Arial" w:cs="Arial"/>
          <w:b/>
          <w:bCs/>
          <w:sz w:val="20"/>
          <w:szCs w:val="20"/>
          <w:lang w:val="en-US"/>
        </w:rPr>
        <w:t xml:space="preserve">. </w:t>
      </w:r>
      <w:r w:rsidRPr="00D3651A">
        <w:rPr>
          <w:rFonts w:ascii="Arial" w:hAnsi="Arial" w:cs="Arial"/>
          <w:sz w:val="20"/>
          <w:szCs w:val="20"/>
          <w:lang w:val="en-US"/>
        </w:rPr>
        <w:t>The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 xml:space="preserve">fruit powder of </w:t>
      </w:r>
      <w:r w:rsidRPr="00B66692">
        <w:rPr>
          <w:rStyle w:val="Strong"/>
          <w:rFonts w:ascii="Arial" w:eastAsiaTheme="majorEastAsia" w:hAnsi="Arial" w:cs="Arial"/>
          <w:b w:val="0"/>
          <w:bCs w:val="0"/>
          <w:i/>
          <w:iCs/>
          <w:sz w:val="20"/>
          <w:szCs w:val="20"/>
          <w:lang w:val="en-US"/>
        </w:rPr>
        <w:t>Abelmoschus esculentus</w:t>
      </w:r>
      <w:r w:rsidR="00030086">
        <w:rPr>
          <w:rStyle w:val="Strong"/>
          <w:rFonts w:ascii="Arial" w:eastAsiaTheme="majorEastAsia" w:hAnsi="Arial" w:cs="Arial"/>
          <w:b w:val="0"/>
          <w:bCs w:val="0"/>
          <w:i/>
          <w:iCs/>
          <w:sz w:val="20"/>
          <w:szCs w:val="20"/>
          <w:lang w:val="en-US"/>
        </w:rPr>
        <w:t xml:space="preserve">, </w:t>
      </w:r>
      <w:r w:rsidR="00030086" w:rsidRPr="00030086">
        <w:rPr>
          <w:rStyle w:val="Strong"/>
          <w:rFonts w:ascii="Arial" w:eastAsiaTheme="majorEastAsia" w:hAnsi="Arial" w:cs="Arial"/>
          <w:b w:val="0"/>
          <w:bCs w:val="0"/>
          <w:sz w:val="20"/>
          <w:szCs w:val="20"/>
          <w:lang w:val="en-US"/>
        </w:rPr>
        <w:t xml:space="preserve">followed by the leaf powder of </w:t>
      </w:r>
      <w:r w:rsidR="00030086" w:rsidRPr="00030086">
        <w:rPr>
          <w:rStyle w:val="Strong"/>
          <w:rFonts w:ascii="Arial" w:eastAsiaTheme="majorEastAsia" w:hAnsi="Arial" w:cs="Arial"/>
          <w:b w:val="0"/>
          <w:bCs w:val="0"/>
          <w:i/>
          <w:iCs/>
          <w:sz w:val="20"/>
          <w:szCs w:val="20"/>
          <w:lang w:val="en-US"/>
        </w:rPr>
        <w:t>Corchorus olitorius</w:t>
      </w:r>
      <w:r w:rsidR="00030086">
        <w:rPr>
          <w:rStyle w:val="Strong"/>
          <w:rFonts w:ascii="Arial" w:eastAsiaTheme="majorEastAsia" w:hAnsi="Arial" w:cs="Arial"/>
          <w:b w:val="0"/>
          <w:bCs w:val="0"/>
          <w:i/>
          <w:iCs/>
          <w:sz w:val="20"/>
          <w:szCs w:val="20"/>
          <w:lang w:val="en-US"/>
        </w:rPr>
        <w:t>,</w:t>
      </w:r>
      <w:r w:rsidRPr="00B66692">
        <w:rPr>
          <w:rFonts w:ascii="Arial" w:hAnsi="Arial" w:cs="Arial"/>
          <w:b/>
          <w:bCs/>
          <w:sz w:val="20"/>
          <w:szCs w:val="20"/>
          <w:lang w:val="en-US"/>
        </w:rPr>
        <w:t xml:space="preserve"> </w:t>
      </w:r>
      <w:r w:rsidRPr="00D3651A">
        <w:rPr>
          <w:rFonts w:ascii="Arial" w:hAnsi="Arial" w:cs="Arial"/>
          <w:sz w:val="20"/>
          <w:szCs w:val="20"/>
          <w:lang w:val="en-US"/>
        </w:rPr>
        <w:t>appears to be</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the most suitable</w:t>
      </w:r>
      <w:r w:rsidRPr="00B66692">
        <w:rPr>
          <w:rFonts w:ascii="Arial" w:hAnsi="Arial" w:cs="Arial"/>
          <w:b/>
          <w:bCs/>
          <w:sz w:val="20"/>
          <w:szCs w:val="20"/>
          <w:lang w:val="en-US"/>
        </w:rPr>
        <w:t xml:space="preserve"> </w:t>
      </w:r>
      <w:r w:rsidRPr="00D3651A">
        <w:rPr>
          <w:rFonts w:ascii="Arial" w:hAnsi="Arial" w:cs="Arial"/>
          <w:sz w:val="20"/>
          <w:szCs w:val="20"/>
          <w:lang w:val="en-US"/>
        </w:rPr>
        <w:t>for</w:t>
      </w:r>
      <w:r w:rsidRPr="00B66692">
        <w:rPr>
          <w:rFonts w:ascii="Arial" w:hAnsi="Arial" w:cs="Arial"/>
          <w:b/>
          <w:bCs/>
          <w:sz w:val="20"/>
          <w:szCs w:val="20"/>
          <w:lang w:val="en-US"/>
        </w:rPr>
        <w:t xml:space="preserve"> </w:t>
      </w:r>
      <w:r w:rsidRPr="00B66692">
        <w:rPr>
          <w:rStyle w:val="Strong"/>
          <w:rFonts w:ascii="Arial" w:eastAsiaTheme="majorEastAsia" w:hAnsi="Arial" w:cs="Arial"/>
          <w:b w:val="0"/>
          <w:bCs w:val="0"/>
          <w:sz w:val="20"/>
          <w:szCs w:val="20"/>
          <w:lang w:val="en-US"/>
        </w:rPr>
        <w:t>potential use as a dietary supplement</w:t>
      </w:r>
      <w:r w:rsidRPr="00B66692">
        <w:rPr>
          <w:rFonts w:ascii="Arial" w:hAnsi="Arial" w:cs="Arial"/>
          <w:b/>
          <w:bCs/>
          <w:sz w:val="20"/>
          <w:szCs w:val="20"/>
          <w:lang w:val="en-US"/>
        </w:rPr>
        <w:t xml:space="preserve"> </w:t>
      </w:r>
      <w:r w:rsidRPr="00D3651A">
        <w:rPr>
          <w:rFonts w:ascii="Arial" w:hAnsi="Arial" w:cs="Arial"/>
          <w:sz w:val="20"/>
          <w:szCs w:val="20"/>
          <w:lang w:val="en-US"/>
        </w:rPr>
        <w:t xml:space="preserve">in the </w:t>
      </w:r>
      <w:r w:rsidRPr="00B66692">
        <w:rPr>
          <w:rStyle w:val="Strong"/>
          <w:rFonts w:ascii="Arial" w:eastAsiaTheme="majorEastAsia" w:hAnsi="Arial" w:cs="Arial"/>
          <w:b w:val="0"/>
          <w:bCs w:val="0"/>
          <w:sz w:val="20"/>
          <w:szCs w:val="20"/>
          <w:lang w:val="en-US"/>
        </w:rPr>
        <w:t>nutritional management of patients suffering from chronic diseases</w:t>
      </w:r>
      <w:r w:rsidRPr="00B66692">
        <w:rPr>
          <w:rFonts w:ascii="Arial" w:hAnsi="Arial" w:cs="Arial"/>
          <w:b/>
          <w:bCs/>
          <w:sz w:val="20"/>
          <w:szCs w:val="20"/>
          <w:lang w:val="en-US"/>
        </w:rPr>
        <w:t>.</w:t>
      </w:r>
    </w:p>
    <w:p w14:paraId="23810058" w14:textId="77777777" w:rsidR="00030086" w:rsidRPr="00675ED0" w:rsidRDefault="00030086" w:rsidP="00C4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b/>
          <w:color w:val="000000" w:themeColor="text1"/>
          <w:sz w:val="20"/>
          <w:szCs w:val="20"/>
          <w:lang w:val="en-US" w:eastAsia="fr-FR"/>
        </w:rPr>
      </w:pPr>
    </w:p>
    <w:p w14:paraId="6D733260" w14:textId="3F1854FB" w:rsidR="00C43488" w:rsidRPr="00675ED0" w:rsidRDefault="00C43488" w:rsidP="00C4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b/>
          <w:color w:val="000000" w:themeColor="text1"/>
          <w:sz w:val="20"/>
          <w:szCs w:val="20"/>
          <w:lang w:val="en-US" w:eastAsia="fr-FR"/>
        </w:rPr>
      </w:pPr>
      <w:r w:rsidRPr="00675ED0">
        <w:rPr>
          <w:rFonts w:ascii="Arial" w:eastAsia="Times New Roman" w:hAnsi="Arial" w:cs="Arial"/>
          <w:b/>
          <w:color w:val="000000" w:themeColor="text1"/>
          <w:sz w:val="20"/>
          <w:szCs w:val="20"/>
          <w:lang w:val="en-US" w:eastAsia="fr-FR"/>
        </w:rPr>
        <w:t>DISCLAIMER (ARTIFICIAL INTELLIGENCE)</w:t>
      </w:r>
    </w:p>
    <w:p w14:paraId="776091A5" w14:textId="77777777" w:rsidR="00C43488" w:rsidRPr="005250A4" w:rsidRDefault="00C43488" w:rsidP="00C4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Arial" w:eastAsia="Times New Roman" w:hAnsi="Arial" w:cs="Arial"/>
          <w:color w:val="000000" w:themeColor="text1"/>
          <w:sz w:val="20"/>
          <w:szCs w:val="20"/>
          <w:lang w:val="en-US" w:eastAsia="fr-FR"/>
        </w:rPr>
      </w:pPr>
      <w:r w:rsidRPr="005250A4">
        <w:rPr>
          <w:rFonts w:ascii="Arial" w:eastAsia="Times New Roman" w:hAnsi="Arial" w:cs="Arial"/>
          <w:color w:val="000000" w:themeColor="text1"/>
          <w:sz w:val="20"/>
          <w:szCs w:val="20"/>
          <w:lang w:val="en-US" w:eastAsia="fr-FR"/>
        </w:rPr>
        <w:t>Authors hereby declare that no generative AI technologies such as large language Models (ChatGPT, Copilot, etc.) and text to image generators have been used during the writing or editing of this manuscript.</w:t>
      </w:r>
    </w:p>
    <w:p w14:paraId="36D6FEA6" w14:textId="102194FD" w:rsidR="00955C1B" w:rsidRDefault="00C43488" w:rsidP="005B40C9">
      <w:pPr>
        <w:tabs>
          <w:tab w:val="left" w:pos="2685"/>
        </w:tabs>
        <w:spacing w:before="240"/>
        <w:rPr>
          <w:rFonts w:ascii="Arial" w:hAnsi="Arial" w:cs="Arial"/>
          <w:b/>
          <w:color w:val="000000" w:themeColor="text1"/>
          <w:sz w:val="20"/>
          <w:szCs w:val="20"/>
          <w:lang w:val="en-US"/>
        </w:rPr>
      </w:pPr>
      <w:r w:rsidRPr="005250A4">
        <w:rPr>
          <w:rFonts w:ascii="Arial" w:hAnsi="Arial" w:cs="Arial"/>
          <w:b/>
          <w:color w:val="000000" w:themeColor="text1"/>
          <w:sz w:val="20"/>
          <w:szCs w:val="20"/>
          <w:lang w:val="en-US"/>
        </w:rPr>
        <w:t>REFERENCES</w:t>
      </w:r>
    </w:p>
    <w:p w14:paraId="767B93A3" w14:textId="69AC1500" w:rsidR="00FC5154" w:rsidRPr="00675ED0" w:rsidRDefault="00272869" w:rsidP="00FC5154">
      <w:pPr>
        <w:widowControl w:val="0"/>
        <w:autoSpaceDE w:val="0"/>
        <w:autoSpaceDN w:val="0"/>
        <w:adjustRightInd w:val="0"/>
        <w:spacing w:before="240" w:line="240" w:lineRule="auto"/>
        <w:ind w:left="480" w:hanging="480"/>
        <w:rPr>
          <w:rFonts w:ascii="Arial" w:hAnsi="Arial" w:cs="Arial"/>
          <w:noProof/>
          <w:sz w:val="20"/>
          <w:lang w:val="en-US"/>
        </w:rPr>
      </w:pPr>
      <w:r>
        <w:rPr>
          <w:rFonts w:ascii="Arial" w:hAnsi="Arial" w:cs="Arial"/>
          <w:color w:val="000000" w:themeColor="text1"/>
          <w:sz w:val="20"/>
          <w:szCs w:val="20"/>
          <w:lang w:val="en-US"/>
        </w:rPr>
        <w:fldChar w:fldCharType="begin" w:fldLock="1"/>
      </w:r>
      <w:r>
        <w:rPr>
          <w:rFonts w:ascii="Arial" w:hAnsi="Arial" w:cs="Arial"/>
          <w:color w:val="000000" w:themeColor="text1"/>
          <w:sz w:val="20"/>
          <w:szCs w:val="20"/>
          <w:lang w:val="en-US"/>
        </w:rPr>
        <w:instrText xml:space="preserve">ADDIN Mendeley Bibliography CSL_BIBLIOGRAPHY </w:instrText>
      </w:r>
      <w:r>
        <w:rPr>
          <w:rFonts w:ascii="Arial" w:hAnsi="Arial" w:cs="Arial"/>
          <w:color w:val="000000" w:themeColor="text1"/>
          <w:sz w:val="20"/>
          <w:szCs w:val="20"/>
          <w:lang w:val="en-US"/>
        </w:rPr>
        <w:fldChar w:fldCharType="separate"/>
      </w:r>
      <w:r w:rsidR="00FC5154" w:rsidRPr="00675ED0">
        <w:rPr>
          <w:rFonts w:ascii="Arial" w:hAnsi="Arial" w:cs="Arial"/>
          <w:noProof/>
          <w:sz w:val="20"/>
          <w:lang w:val="en-US"/>
        </w:rPr>
        <w:t xml:space="preserve">Adebowale, Y. A., Adeyemi, I. A., &amp; Oshodi, A. A. (2005). Functional and physicochemical properties of flours of six Mucuna species. </w:t>
      </w:r>
      <w:r w:rsidR="00FC5154" w:rsidRPr="00675ED0">
        <w:rPr>
          <w:rFonts w:ascii="Arial" w:hAnsi="Arial" w:cs="Arial"/>
          <w:i/>
          <w:iCs/>
          <w:noProof/>
          <w:sz w:val="20"/>
          <w:lang w:val="en-US"/>
        </w:rPr>
        <w:t>African Journal of Biotechnology</w:t>
      </w:r>
      <w:r w:rsidR="00FC5154" w:rsidRPr="00675ED0">
        <w:rPr>
          <w:rFonts w:ascii="Arial" w:hAnsi="Arial" w:cs="Arial"/>
          <w:noProof/>
          <w:sz w:val="20"/>
          <w:lang w:val="en-US"/>
        </w:rPr>
        <w:t xml:space="preserve">, </w:t>
      </w:r>
      <w:r w:rsidR="00FC5154" w:rsidRPr="00675ED0">
        <w:rPr>
          <w:rFonts w:ascii="Arial" w:hAnsi="Arial" w:cs="Arial"/>
          <w:i/>
          <w:iCs/>
          <w:noProof/>
          <w:sz w:val="20"/>
          <w:lang w:val="en-US"/>
        </w:rPr>
        <w:t>4</w:t>
      </w:r>
      <w:r w:rsidR="00FC5154" w:rsidRPr="00675ED0">
        <w:rPr>
          <w:rFonts w:ascii="Arial" w:hAnsi="Arial" w:cs="Arial"/>
          <w:noProof/>
          <w:sz w:val="20"/>
          <w:lang w:val="en-US"/>
        </w:rPr>
        <w:t>(12), 1461–1468. https://doi.org/10.5897/AJB2005.000-3223</w:t>
      </w:r>
    </w:p>
    <w:p w14:paraId="7DDBD2D7"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Anderson, R. A., Conway, H. F., Pfeifer, V. F., &amp; Griffin, E. L. (1969). Gelatinization of corn grits by roll- and extrusion-cooking. </w:t>
      </w:r>
      <w:r w:rsidRPr="00675ED0">
        <w:rPr>
          <w:rFonts w:ascii="Arial" w:hAnsi="Arial" w:cs="Arial"/>
          <w:i/>
          <w:iCs/>
          <w:noProof/>
          <w:sz w:val="20"/>
          <w:lang w:val="en-US"/>
        </w:rPr>
        <w:t>Cereal Science Today,</w:t>
      </w:r>
      <w:r w:rsidRPr="00675ED0">
        <w:rPr>
          <w:rFonts w:ascii="Arial" w:hAnsi="Arial" w:cs="Arial"/>
          <w:noProof/>
          <w:sz w:val="20"/>
          <w:lang w:val="en-US"/>
        </w:rPr>
        <w:t xml:space="preserve"> </w:t>
      </w:r>
      <w:r w:rsidRPr="00675ED0">
        <w:rPr>
          <w:rFonts w:ascii="Arial" w:hAnsi="Arial" w:cs="Arial"/>
          <w:i/>
          <w:iCs/>
          <w:noProof/>
          <w:sz w:val="20"/>
          <w:lang w:val="en-US"/>
        </w:rPr>
        <w:t>14</w:t>
      </w:r>
      <w:r w:rsidRPr="00675ED0">
        <w:rPr>
          <w:rFonts w:ascii="Arial" w:hAnsi="Arial" w:cs="Arial"/>
          <w:noProof/>
          <w:sz w:val="20"/>
          <w:lang w:val="en-US"/>
        </w:rPr>
        <w:t>(1), 4–12.</w:t>
      </w:r>
    </w:p>
    <w:p w14:paraId="75348168"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FC5154">
        <w:rPr>
          <w:rFonts w:ascii="Arial" w:hAnsi="Arial" w:cs="Arial"/>
          <w:noProof/>
          <w:sz w:val="20"/>
        </w:rPr>
        <w:t xml:space="preserve">Assiéné, A. J. A., Assiéné, O. D. S., &amp; Ngah, E. (2025). </w:t>
      </w:r>
      <w:r w:rsidRPr="00675ED0">
        <w:rPr>
          <w:rFonts w:ascii="Arial" w:hAnsi="Arial" w:cs="Arial"/>
          <w:noProof/>
          <w:sz w:val="20"/>
          <w:lang w:val="en-US"/>
        </w:rPr>
        <w:t xml:space="preserve">Influence of Nutrient Contents and Particle Sizes on the Functional Characteristics of Moringa oleifera Leaf ( Lam ) Powders. In </w:t>
      </w:r>
      <w:r w:rsidRPr="00675ED0">
        <w:rPr>
          <w:rFonts w:ascii="Arial" w:hAnsi="Arial" w:cs="Arial"/>
          <w:i/>
          <w:iCs/>
          <w:noProof/>
          <w:sz w:val="20"/>
          <w:lang w:val="en-US"/>
        </w:rPr>
        <w:t>Food Science and Agriculture: Research Highlights Vol. 1</w:t>
      </w:r>
      <w:r w:rsidRPr="00675ED0">
        <w:rPr>
          <w:rFonts w:ascii="Arial" w:hAnsi="Arial" w:cs="Arial"/>
          <w:noProof/>
          <w:sz w:val="20"/>
          <w:lang w:val="en-US"/>
        </w:rPr>
        <w:t xml:space="preserve"> (pp. 120–136).</w:t>
      </w:r>
    </w:p>
    <w:p w14:paraId="7A5563FF"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Assiéné, A. J. A., Djeukeu, A. W., Assiéné, O. D. S., Mbida, M. Y. I., &amp; Nyangono, B. C. F. (2024). </w:t>
      </w:r>
      <w:r w:rsidRPr="00675ED0">
        <w:rPr>
          <w:rFonts w:ascii="Arial" w:hAnsi="Arial" w:cs="Arial"/>
          <w:i/>
          <w:iCs/>
          <w:noProof/>
          <w:sz w:val="20"/>
          <w:lang w:val="en-US"/>
        </w:rPr>
        <w:t>Nutritional and bioactive potentials of a powder and a decoction made from Ceylon cinnamon bark , Laurus nobilis leaves , and Curcuma longa Linn rhizome</w:t>
      </w:r>
      <w:r w:rsidRPr="00675ED0">
        <w:rPr>
          <w:rFonts w:ascii="Arial" w:hAnsi="Arial" w:cs="Arial"/>
          <w:noProof/>
          <w:sz w:val="20"/>
          <w:lang w:val="en-US"/>
        </w:rPr>
        <w:t xml:space="preserve">. </w:t>
      </w:r>
      <w:r w:rsidRPr="00675ED0">
        <w:rPr>
          <w:rFonts w:ascii="Arial" w:hAnsi="Arial" w:cs="Arial"/>
          <w:i/>
          <w:iCs/>
          <w:noProof/>
          <w:sz w:val="20"/>
          <w:lang w:val="en-US"/>
        </w:rPr>
        <w:t>4</w:t>
      </w:r>
      <w:r w:rsidRPr="00675ED0">
        <w:rPr>
          <w:rFonts w:ascii="Arial" w:hAnsi="Arial" w:cs="Arial"/>
          <w:noProof/>
          <w:sz w:val="20"/>
          <w:lang w:val="en-US"/>
        </w:rPr>
        <w:t>(May). https://doi.org/10.1016/j.afres.2024.100436</w:t>
      </w:r>
    </w:p>
    <w:p w14:paraId="38EA1929"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Assiéné, A. J. A., Djeukeu, A. W., Assiéné, O. D. S., &amp; Nyangono, F. B. C. (2025). Some Nutritional and Bioactive Characteristics of Organ Powders from Corchorus olitorius L . and Abelmoschus esculentus L . Moench Necessary for Chronic Disease Management. </w:t>
      </w:r>
      <w:r w:rsidRPr="00675ED0">
        <w:rPr>
          <w:rFonts w:ascii="Arial" w:hAnsi="Arial" w:cs="Arial"/>
          <w:i/>
          <w:iCs/>
          <w:noProof/>
          <w:sz w:val="20"/>
          <w:lang w:val="en-US"/>
        </w:rPr>
        <w:t>Asian Journal of Food Research and Nutrition</w:t>
      </w:r>
      <w:r w:rsidRPr="00675ED0">
        <w:rPr>
          <w:rFonts w:ascii="Arial" w:hAnsi="Arial" w:cs="Arial"/>
          <w:noProof/>
          <w:sz w:val="20"/>
          <w:lang w:val="en-US"/>
        </w:rPr>
        <w:t xml:space="preserve">, </w:t>
      </w:r>
      <w:r w:rsidRPr="00675ED0">
        <w:rPr>
          <w:rFonts w:ascii="Arial" w:hAnsi="Arial" w:cs="Arial"/>
          <w:i/>
          <w:iCs/>
          <w:noProof/>
          <w:sz w:val="20"/>
          <w:lang w:val="en-US"/>
        </w:rPr>
        <w:t>4</w:t>
      </w:r>
      <w:r w:rsidRPr="00675ED0">
        <w:rPr>
          <w:rFonts w:ascii="Arial" w:hAnsi="Arial" w:cs="Arial"/>
          <w:noProof/>
          <w:sz w:val="20"/>
          <w:lang w:val="en-US"/>
        </w:rPr>
        <w:t>(2), 534–550.</w:t>
      </w:r>
    </w:p>
    <w:p w14:paraId="07D4068D"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FC5154">
        <w:rPr>
          <w:rFonts w:ascii="Arial" w:hAnsi="Arial" w:cs="Arial"/>
          <w:noProof/>
          <w:sz w:val="20"/>
        </w:rPr>
        <w:lastRenderedPageBreak/>
        <w:t xml:space="preserve">Assiéné, A. J. A., Fombang, E. N., &amp; Mbofung, C. M. (2021). </w:t>
      </w:r>
      <w:r w:rsidRPr="00675ED0">
        <w:rPr>
          <w:rFonts w:ascii="Arial" w:hAnsi="Arial" w:cs="Arial"/>
          <w:i/>
          <w:iCs/>
          <w:noProof/>
          <w:sz w:val="20"/>
          <w:lang w:val="en-US"/>
        </w:rPr>
        <w:t>Influence of Compounds Contents and Particle Size on Some Functional Properties of Moringa oleifera Leaves ( Lam ) Powders</w:t>
      </w:r>
      <w:r w:rsidRPr="00675ED0">
        <w:rPr>
          <w:rFonts w:ascii="Arial" w:hAnsi="Arial" w:cs="Arial"/>
          <w:noProof/>
          <w:sz w:val="20"/>
          <w:lang w:val="en-US"/>
        </w:rPr>
        <w:t xml:space="preserve">. </w:t>
      </w:r>
      <w:r w:rsidRPr="00675ED0">
        <w:rPr>
          <w:rFonts w:ascii="Arial" w:hAnsi="Arial" w:cs="Arial"/>
          <w:i/>
          <w:iCs/>
          <w:noProof/>
          <w:sz w:val="20"/>
          <w:lang w:val="en-US"/>
        </w:rPr>
        <w:t>20</w:t>
      </w:r>
      <w:r w:rsidRPr="00675ED0">
        <w:rPr>
          <w:rFonts w:ascii="Arial" w:hAnsi="Arial" w:cs="Arial"/>
          <w:noProof/>
          <w:sz w:val="20"/>
          <w:lang w:val="en-US"/>
        </w:rPr>
        <w:t>(1), 60–71. https://doi.org/10.9734/AFSJ/2021/v20i130255</w:t>
      </w:r>
    </w:p>
    <w:p w14:paraId="6C0BFBBA"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Assiéné, A. J. A., Fombang, N. E., &amp; Mbofung, C. M. F. (2015). Particular Benefits can be attributed to Moringa oleifera LAM leaves based on origin and stage of maturity. </w:t>
      </w:r>
      <w:r w:rsidRPr="00675ED0">
        <w:rPr>
          <w:rFonts w:ascii="Arial" w:hAnsi="Arial" w:cs="Arial"/>
          <w:i/>
          <w:iCs/>
          <w:noProof/>
          <w:sz w:val="20"/>
          <w:lang w:val="en-US"/>
        </w:rPr>
        <w:t>Journal of Experimental Biology and Agricultural Sciences</w:t>
      </w:r>
      <w:r w:rsidRPr="00675ED0">
        <w:rPr>
          <w:rFonts w:ascii="Arial" w:hAnsi="Arial" w:cs="Arial"/>
          <w:noProof/>
          <w:sz w:val="20"/>
          <w:lang w:val="en-US"/>
        </w:rPr>
        <w:t xml:space="preserve">, </w:t>
      </w:r>
      <w:r w:rsidRPr="00675ED0">
        <w:rPr>
          <w:rFonts w:ascii="Arial" w:hAnsi="Arial" w:cs="Arial"/>
          <w:i/>
          <w:iCs/>
          <w:noProof/>
          <w:sz w:val="20"/>
          <w:lang w:val="en-US"/>
        </w:rPr>
        <w:t>3</w:t>
      </w:r>
      <w:r w:rsidRPr="00675ED0">
        <w:rPr>
          <w:rFonts w:ascii="Arial" w:hAnsi="Arial" w:cs="Arial"/>
          <w:noProof/>
          <w:sz w:val="20"/>
          <w:lang w:val="en-US"/>
        </w:rPr>
        <w:t>(2320), 541–555.</w:t>
      </w:r>
    </w:p>
    <w:p w14:paraId="22C50ABB"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Aye, P., &amp; Adegun, M. (2013). Chemical Composition and some functional properties of Moringa, Leucaena and Gliricidia leaf meals. </w:t>
      </w:r>
      <w:r w:rsidRPr="00675ED0">
        <w:rPr>
          <w:rFonts w:ascii="Arial" w:hAnsi="Arial" w:cs="Arial"/>
          <w:i/>
          <w:iCs/>
          <w:noProof/>
          <w:sz w:val="20"/>
          <w:lang w:val="en-US"/>
        </w:rPr>
        <w:t>Agriculture and Biology Journal of North America</w:t>
      </w:r>
      <w:r w:rsidRPr="00675ED0">
        <w:rPr>
          <w:rFonts w:ascii="Arial" w:hAnsi="Arial" w:cs="Arial"/>
          <w:noProof/>
          <w:sz w:val="20"/>
          <w:lang w:val="en-US"/>
        </w:rPr>
        <w:t xml:space="preserve">, </w:t>
      </w:r>
      <w:r w:rsidRPr="00675ED0">
        <w:rPr>
          <w:rFonts w:ascii="Arial" w:hAnsi="Arial" w:cs="Arial"/>
          <w:i/>
          <w:iCs/>
          <w:noProof/>
          <w:sz w:val="20"/>
          <w:lang w:val="en-US"/>
        </w:rPr>
        <w:t>4</w:t>
      </w:r>
      <w:r w:rsidRPr="00675ED0">
        <w:rPr>
          <w:rFonts w:ascii="Arial" w:hAnsi="Arial" w:cs="Arial"/>
          <w:noProof/>
          <w:sz w:val="20"/>
          <w:lang w:val="en-US"/>
        </w:rPr>
        <w:t>(1), 71–77. https://doi.org/10.5251/abjna.2013.4.1.71.77</w:t>
      </w:r>
    </w:p>
    <w:p w14:paraId="7C395AA8"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Bawa, S. H., &amp; Badrie, N. (2016). Nutrient profile, bioactive components, and functional properties of okra (Abelmoschus esculentus (L.) Moench). In </w:t>
      </w:r>
      <w:r w:rsidRPr="00675ED0">
        <w:rPr>
          <w:rFonts w:ascii="Arial" w:hAnsi="Arial" w:cs="Arial"/>
          <w:i/>
          <w:iCs/>
          <w:noProof/>
          <w:sz w:val="20"/>
          <w:lang w:val="en-US"/>
        </w:rPr>
        <w:t>Fruits, Vegetables, and Herbs</w:t>
      </w:r>
      <w:r w:rsidRPr="00675ED0">
        <w:rPr>
          <w:rFonts w:ascii="Arial" w:hAnsi="Arial" w:cs="Arial"/>
          <w:noProof/>
          <w:sz w:val="20"/>
          <w:lang w:val="en-US"/>
        </w:rPr>
        <w:t xml:space="preserve"> (pp. 363–410). Elsevier Inc. https://doi.org/10.1016/B978-0-12-802972-5.00018-4</w:t>
      </w:r>
    </w:p>
    <w:p w14:paraId="3F57DE1C"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Beuchat, L. R. (1977). Functional and Electrophoretic Characteristics of Succinylated Peanut Flour Protein. </w:t>
      </w:r>
      <w:r w:rsidRPr="00675ED0">
        <w:rPr>
          <w:rFonts w:ascii="Arial" w:hAnsi="Arial" w:cs="Arial"/>
          <w:i/>
          <w:iCs/>
          <w:noProof/>
          <w:sz w:val="20"/>
          <w:lang w:val="en-US"/>
        </w:rPr>
        <w:t>Journal of Agricultural and Food Chemistry</w:t>
      </w:r>
      <w:r w:rsidRPr="00675ED0">
        <w:rPr>
          <w:rFonts w:ascii="Arial" w:hAnsi="Arial" w:cs="Arial"/>
          <w:noProof/>
          <w:sz w:val="20"/>
          <w:lang w:val="en-US"/>
        </w:rPr>
        <w:t xml:space="preserve">, </w:t>
      </w:r>
      <w:r w:rsidRPr="00675ED0">
        <w:rPr>
          <w:rFonts w:ascii="Arial" w:hAnsi="Arial" w:cs="Arial"/>
          <w:i/>
          <w:iCs/>
          <w:noProof/>
          <w:sz w:val="20"/>
          <w:lang w:val="en-US"/>
        </w:rPr>
        <w:t>25</w:t>
      </w:r>
      <w:r w:rsidRPr="00675ED0">
        <w:rPr>
          <w:rFonts w:ascii="Arial" w:hAnsi="Arial" w:cs="Arial"/>
          <w:noProof/>
          <w:sz w:val="20"/>
          <w:lang w:val="en-US"/>
        </w:rPr>
        <w:t>(2), 258–261. https://doi.org/10.1021/jf60210a044</w:t>
      </w:r>
    </w:p>
    <w:p w14:paraId="28F0B469"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Bochnak-Niedźwiecka, J., &amp; Świeca, M. (2020). Quality of new functional powdered beverages enriched with lyophilized fruits-potentially bioaccessible antioxidant properties, nutritional value, and consumer analysis. </w:t>
      </w:r>
      <w:r w:rsidRPr="00675ED0">
        <w:rPr>
          <w:rFonts w:ascii="Arial" w:hAnsi="Arial" w:cs="Arial"/>
          <w:i/>
          <w:iCs/>
          <w:noProof/>
          <w:sz w:val="20"/>
          <w:lang w:val="en-US"/>
        </w:rPr>
        <w:t>Applied Sciences (Switzerland)</w:t>
      </w:r>
      <w:r w:rsidRPr="00675ED0">
        <w:rPr>
          <w:rFonts w:ascii="Arial" w:hAnsi="Arial" w:cs="Arial"/>
          <w:noProof/>
          <w:sz w:val="20"/>
          <w:lang w:val="en-US"/>
        </w:rPr>
        <w:t xml:space="preserve">, </w:t>
      </w:r>
      <w:r w:rsidRPr="00675ED0">
        <w:rPr>
          <w:rFonts w:ascii="Arial" w:hAnsi="Arial" w:cs="Arial"/>
          <w:i/>
          <w:iCs/>
          <w:noProof/>
          <w:sz w:val="20"/>
          <w:lang w:val="en-US"/>
        </w:rPr>
        <w:t>10</w:t>
      </w:r>
      <w:r w:rsidRPr="00675ED0">
        <w:rPr>
          <w:rFonts w:ascii="Arial" w:hAnsi="Arial" w:cs="Arial"/>
          <w:noProof/>
          <w:sz w:val="20"/>
          <w:lang w:val="en-US"/>
        </w:rPr>
        <w:t>(11). https://doi.org/10.3390/app10113668</w:t>
      </w:r>
    </w:p>
    <w:p w14:paraId="3545EAA0"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Li, G., Guo, W., Gao, X., Wang, Y., &amp; Sun, S. (2020). Effect of superfine grinding on physicochemical and antioxidant properties of soybean residue powder. </w:t>
      </w:r>
      <w:r w:rsidRPr="00675ED0">
        <w:rPr>
          <w:rFonts w:ascii="Arial" w:hAnsi="Arial" w:cs="Arial"/>
          <w:i/>
          <w:iCs/>
          <w:noProof/>
          <w:sz w:val="20"/>
          <w:lang w:val="en-US"/>
        </w:rPr>
        <w:t>Food Science and Nutrition</w:t>
      </w:r>
      <w:r w:rsidRPr="00675ED0">
        <w:rPr>
          <w:rFonts w:ascii="Arial" w:hAnsi="Arial" w:cs="Arial"/>
          <w:noProof/>
          <w:sz w:val="20"/>
          <w:lang w:val="en-US"/>
        </w:rPr>
        <w:t xml:space="preserve">, </w:t>
      </w:r>
      <w:r w:rsidRPr="00675ED0">
        <w:rPr>
          <w:rFonts w:ascii="Arial" w:hAnsi="Arial" w:cs="Arial"/>
          <w:i/>
          <w:iCs/>
          <w:noProof/>
          <w:sz w:val="20"/>
          <w:lang w:val="en-US"/>
        </w:rPr>
        <w:t>8</w:t>
      </w:r>
      <w:r w:rsidRPr="00675ED0">
        <w:rPr>
          <w:rFonts w:ascii="Arial" w:hAnsi="Arial" w:cs="Arial"/>
          <w:noProof/>
          <w:sz w:val="20"/>
          <w:lang w:val="en-US"/>
        </w:rPr>
        <w:t>(2), 1208–1214. https://doi.org/10.1002/fsn3.1409</w:t>
      </w:r>
    </w:p>
    <w:p w14:paraId="5646C4BB"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Matsumura, Y., Sirison, J., Ishi, T., &amp; Matsumiya, K. (2017). Soybean lipophilic proteins — Origin and functional properties as affected by interaction with storage proteins. </w:t>
      </w:r>
      <w:r w:rsidRPr="00675ED0">
        <w:rPr>
          <w:rFonts w:ascii="Arial" w:hAnsi="Arial" w:cs="Arial"/>
          <w:i/>
          <w:iCs/>
          <w:noProof/>
          <w:sz w:val="20"/>
          <w:lang w:val="en-US"/>
        </w:rPr>
        <w:t>Current Opinion in Colloid and Interface Science</w:t>
      </w:r>
      <w:r w:rsidRPr="00675ED0">
        <w:rPr>
          <w:rFonts w:ascii="Arial" w:hAnsi="Arial" w:cs="Arial"/>
          <w:noProof/>
          <w:sz w:val="20"/>
          <w:lang w:val="en-US"/>
        </w:rPr>
        <w:t xml:space="preserve">, </w:t>
      </w:r>
      <w:r w:rsidRPr="00675ED0">
        <w:rPr>
          <w:rFonts w:ascii="Arial" w:hAnsi="Arial" w:cs="Arial"/>
          <w:i/>
          <w:iCs/>
          <w:noProof/>
          <w:sz w:val="20"/>
          <w:lang w:val="en-US"/>
        </w:rPr>
        <w:t>28</w:t>
      </w:r>
      <w:r w:rsidRPr="00675ED0">
        <w:rPr>
          <w:rFonts w:ascii="Arial" w:hAnsi="Arial" w:cs="Arial"/>
          <w:noProof/>
          <w:sz w:val="20"/>
          <w:lang w:val="en-US"/>
        </w:rPr>
        <w:t>, 120–128. https://doi.org/10.1016/j.cocis.2017.04.004</w:t>
      </w:r>
    </w:p>
    <w:p w14:paraId="73F61425"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Mudgil, D. (2017). The Interaction Between Insoluble and Soluble Fiber. In </w:t>
      </w:r>
      <w:r w:rsidRPr="00675ED0">
        <w:rPr>
          <w:rFonts w:ascii="Arial" w:hAnsi="Arial" w:cs="Arial"/>
          <w:i/>
          <w:iCs/>
          <w:noProof/>
          <w:sz w:val="20"/>
          <w:lang w:val="en-US"/>
        </w:rPr>
        <w:t>Dietary Fiber for the Prevention of Cardiovascular Disease: Fiber’s Interaction between Gut Micoflora, Sugar Metabolism, Weight Control and Cardiovascular Health</w:t>
      </w:r>
      <w:r w:rsidRPr="00675ED0">
        <w:rPr>
          <w:rFonts w:ascii="Arial" w:hAnsi="Arial" w:cs="Arial"/>
          <w:noProof/>
          <w:sz w:val="20"/>
          <w:lang w:val="en-US"/>
        </w:rPr>
        <w:t>. Elsevier Inc. https://doi.org/10.1016/B978-0-12-805130-6.00003-3</w:t>
      </w:r>
    </w:p>
    <w:p w14:paraId="426FC3F5"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Njintang, N. Y., Mbofung, C. M. F., Balaam, F., Kitissou, P., &amp; Scher, J. (2008). Effect of taro (Colocasia esculenta) flour addition on the functional and alveographic properties of wheat flour and dough. </w:t>
      </w:r>
      <w:r w:rsidRPr="00675ED0">
        <w:rPr>
          <w:rFonts w:ascii="Arial" w:hAnsi="Arial" w:cs="Arial"/>
          <w:i/>
          <w:iCs/>
          <w:noProof/>
          <w:sz w:val="20"/>
          <w:lang w:val="en-US"/>
        </w:rPr>
        <w:t>Journal of the Science of Food and Agriculture</w:t>
      </w:r>
      <w:r w:rsidRPr="00675ED0">
        <w:rPr>
          <w:rFonts w:ascii="Arial" w:hAnsi="Arial" w:cs="Arial"/>
          <w:noProof/>
          <w:sz w:val="20"/>
          <w:lang w:val="en-US"/>
        </w:rPr>
        <w:t xml:space="preserve">, </w:t>
      </w:r>
      <w:r w:rsidRPr="00675ED0">
        <w:rPr>
          <w:rFonts w:ascii="Arial" w:hAnsi="Arial" w:cs="Arial"/>
          <w:i/>
          <w:iCs/>
          <w:noProof/>
          <w:sz w:val="20"/>
          <w:lang w:val="en-US"/>
        </w:rPr>
        <w:t>88</w:t>
      </w:r>
      <w:r w:rsidRPr="00675ED0">
        <w:rPr>
          <w:rFonts w:ascii="Arial" w:hAnsi="Arial" w:cs="Arial"/>
          <w:noProof/>
          <w:sz w:val="20"/>
          <w:lang w:val="en-US"/>
        </w:rPr>
        <w:t>(2), 273–279. https://doi.org/10.1002/jsfa.3085</w:t>
      </w:r>
    </w:p>
    <w:p w14:paraId="54BD52DD"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Njintang, Y. N., Mbofung, C. M. F., Moates, G. K., Parker, M. L., Craig, F., Smith, A. C., &amp; Waldron, W. K. (2007). Functional properties of five varieties of taro flour, and relationship to creep recovery and sensory characteristics of achu (taro based paste). </w:t>
      </w:r>
      <w:r w:rsidRPr="00675ED0">
        <w:rPr>
          <w:rFonts w:ascii="Arial" w:hAnsi="Arial" w:cs="Arial"/>
          <w:i/>
          <w:iCs/>
          <w:noProof/>
          <w:sz w:val="20"/>
          <w:lang w:val="en-US"/>
        </w:rPr>
        <w:t>Journal of Food Engineering</w:t>
      </w:r>
      <w:r w:rsidRPr="00675ED0">
        <w:rPr>
          <w:rFonts w:ascii="Arial" w:hAnsi="Arial" w:cs="Arial"/>
          <w:noProof/>
          <w:sz w:val="20"/>
          <w:lang w:val="en-US"/>
        </w:rPr>
        <w:t xml:space="preserve">, </w:t>
      </w:r>
      <w:r w:rsidRPr="00675ED0">
        <w:rPr>
          <w:rFonts w:ascii="Arial" w:hAnsi="Arial" w:cs="Arial"/>
          <w:i/>
          <w:iCs/>
          <w:noProof/>
          <w:sz w:val="20"/>
          <w:lang w:val="en-US"/>
        </w:rPr>
        <w:t>82</w:t>
      </w:r>
      <w:r w:rsidRPr="00675ED0">
        <w:rPr>
          <w:rFonts w:ascii="Arial" w:hAnsi="Arial" w:cs="Arial"/>
          <w:noProof/>
          <w:sz w:val="20"/>
          <w:lang w:val="en-US"/>
        </w:rPr>
        <w:t>(2), 114–120. https://doi.org/10.1016/j.jfoodeng.2006.12.023</w:t>
      </w:r>
    </w:p>
    <w:p w14:paraId="7E20BF59"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Phillips, R. D., Chinnan, M. S., Branch, A. L., Miller, J., &amp; McWatters, K. H. (1988). Effects of Pretreatment on Functional and Nutritional Properties of Cowpea Meal. </w:t>
      </w:r>
      <w:r w:rsidRPr="00675ED0">
        <w:rPr>
          <w:rFonts w:ascii="Arial" w:hAnsi="Arial" w:cs="Arial"/>
          <w:i/>
          <w:iCs/>
          <w:noProof/>
          <w:sz w:val="20"/>
          <w:lang w:val="en-US"/>
        </w:rPr>
        <w:t>Journal of Food Science</w:t>
      </w:r>
      <w:r w:rsidRPr="00675ED0">
        <w:rPr>
          <w:rFonts w:ascii="Arial" w:hAnsi="Arial" w:cs="Arial"/>
          <w:noProof/>
          <w:sz w:val="20"/>
          <w:lang w:val="en-US"/>
        </w:rPr>
        <w:t xml:space="preserve">, </w:t>
      </w:r>
      <w:r w:rsidRPr="00675ED0">
        <w:rPr>
          <w:rFonts w:ascii="Arial" w:hAnsi="Arial" w:cs="Arial"/>
          <w:i/>
          <w:iCs/>
          <w:noProof/>
          <w:sz w:val="20"/>
          <w:lang w:val="en-US"/>
        </w:rPr>
        <w:t>53</w:t>
      </w:r>
      <w:r w:rsidRPr="00675ED0">
        <w:rPr>
          <w:rFonts w:ascii="Arial" w:hAnsi="Arial" w:cs="Arial"/>
          <w:noProof/>
          <w:sz w:val="20"/>
          <w:lang w:val="en-US"/>
        </w:rPr>
        <w:t>(3), 805–809. https://doi.org/10.1111/j.1365-2621.1988.tb08959.x</w:t>
      </w:r>
    </w:p>
    <w:p w14:paraId="4959BC15"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Ruru, L., Ying, X., Zhang, T., Gong, M., Liu, R., Chang, M., &amp; Wang, X. (2022). Interactions between liposoluble antioxidants: A critical review. </w:t>
      </w:r>
      <w:r w:rsidRPr="00675ED0">
        <w:rPr>
          <w:rFonts w:ascii="Arial" w:hAnsi="Arial" w:cs="Arial"/>
          <w:i/>
          <w:iCs/>
          <w:noProof/>
          <w:sz w:val="20"/>
          <w:lang w:val="en-US"/>
        </w:rPr>
        <w:t>Food Research International</w:t>
      </w:r>
      <w:r w:rsidRPr="00675ED0">
        <w:rPr>
          <w:rFonts w:ascii="Arial" w:hAnsi="Arial" w:cs="Arial"/>
          <w:noProof/>
          <w:sz w:val="20"/>
          <w:lang w:val="en-US"/>
        </w:rPr>
        <w:t xml:space="preserve">, </w:t>
      </w:r>
      <w:r w:rsidRPr="00675ED0">
        <w:rPr>
          <w:rFonts w:ascii="Arial" w:hAnsi="Arial" w:cs="Arial"/>
          <w:i/>
          <w:iCs/>
          <w:noProof/>
          <w:sz w:val="20"/>
          <w:lang w:val="en-US"/>
        </w:rPr>
        <w:t>155</w:t>
      </w:r>
      <w:r w:rsidRPr="00675ED0">
        <w:rPr>
          <w:rFonts w:ascii="Arial" w:hAnsi="Arial" w:cs="Arial"/>
          <w:noProof/>
          <w:sz w:val="20"/>
          <w:lang w:val="en-US"/>
        </w:rPr>
        <w:t>(May), 111104. https://doi.org/https://doi.org/10.1016/j.foodres.2022.111104</w:t>
      </w:r>
    </w:p>
    <w:p w14:paraId="12914A1F"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Samejina, M., Hirata, G., &amp; Koida, Y. (1982). Studies on Microcapsules. I. Role and Effect of Coacervation-inducing Agents in the Microencapsulation of Ascorbic Acid by a Phase Separation Method. </w:t>
      </w:r>
      <w:r w:rsidRPr="00675ED0">
        <w:rPr>
          <w:rFonts w:ascii="Arial" w:hAnsi="Arial" w:cs="Arial"/>
          <w:i/>
          <w:iCs/>
          <w:noProof/>
          <w:sz w:val="20"/>
          <w:lang w:val="en-US"/>
        </w:rPr>
        <w:t>Chemical Pharmaceutical Bulletin</w:t>
      </w:r>
      <w:r w:rsidRPr="00675ED0">
        <w:rPr>
          <w:rFonts w:ascii="Arial" w:hAnsi="Arial" w:cs="Arial"/>
          <w:noProof/>
          <w:sz w:val="20"/>
          <w:lang w:val="en-US"/>
        </w:rPr>
        <w:t xml:space="preserve">, </w:t>
      </w:r>
      <w:r w:rsidRPr="00675ED0">
        <w:rPr>
          <w:rFonts w:ascii="Arial" w:hAnsi="Arial" w:cs="Arial"/>
          <w:i/>
          <w:iCs/>
          <w:noProof/>
          <w:sz w:val="20"/>
          <w:lang w:val="en-US"/>
        </w:rPr>
        <w:t>20</w:t>
      </w:r>
      <w:r w:rsidRPr="00675ED0">
        <w:rPr>
          <w:rFonts w:ascii="Arial" w:hAnsi="Arial" w:cs="Arial"/>
          <w:noProof/>
          <w:sz w:val="20"/>
          <w:lang w:val="en-US"/>
        </w:rPr>
        <w:t>(10), 2278–2281.</w:t>
      </w:r>
    </w:p>
    <w:p w14:paraId="6AD54E97"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Sha’a, K. K., Clarkson, G. P., &amp; Artimas, S. P. (2019). Phytochemical analysis, proximate composition </w:t>
      </w:r>
      <w:r w:rsidRPr="00675ED0">
        <w:rPr>
          <w:rFonts w:ascii="Arial" w:hAnsi="Arial" w:cs="Arial"/>
          <w:noProof/>
          <w:sz w:val="20"/>
          <w:lang w:val="en-US"/>
        </w:rPr>
        <w:lastRenderedPageBreak/>
        <w:t xml:space="preserve">and antinutritional factors of Corchorus oliterius plant. </w:t>
      </w:r>
      <w:r w:rsidRPr="00675ED0">
        <w:rPr>
          <w:rFonts w:ascii="Arial" w:hAnsi="Arial" w:cs="Arial"/>
          <w:i/>
          <w:iCs/>
          <w:noProof/>
          <w:sz w:val="20"/>
          <w:lang w:val="en-US"/>
        </w:rPr>
        <w:t>International Journal of Biological and Chemical Sciences</w:t>
      </w:r>
      <w:r w:rsidRPr="00675ED0">
        <w:rPr>
          <w:rFonts w:ascii="Arial" w:hAnsi="Arial" w:cs="Arial"/>
          <w:noProof/>
          <w:sz w:val="20"/>
          <w:lang w:val="en-US"/>
        </w:rPr>
        <w:t xml:space="preserve">, </w:t>
      </w:r>
      <w:r w:rsidRPr="00675ED0">
        <w:rPr>
          <w:rFonts w:ascii="Arial" w:hAnsi="Arial" w:cs="Arial"/>
          <w:i/>
          <w:iCs/>
          <w:noProof/>
          <w:sz w:val="20"/>
          <w:lang w:val="en-US"/>
        </w:rPr>
        <w:t>13</w:t>
      </w:r>
      <w:r w:rsidRPr="00675ED0">
        <w:rPr>
          <w:rFonts w:ascii="Arial" w:hAnsi="Arial" w:cs="Arial"/>
          <w:noProof/>
          <w:sz w:val="20"/>
          <w:lang w:val="en-US"/>
        </w:rPr>
        <w:t>(4), 2147–2157. https://doi.org/10.4314/ijbcs.v13i4.21</w:t>
      </w:r>
    </w:p>
    <w:p w14:paraId="1434F410"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Vursavuş, K., Kelebek, H., &amp; Selli, S. (2006). A study on some chemical and physico-mechanic properties of three sweet cherry varieties (Prunus avium L.) in Turkey. </w:t>
      </w:r>
      <w:r w:rsidRPr="00675ED0">
        <w:rPr>
          <w:rFonts w:ascii="Arial" w:hAnsi="Arial" w:cs="Arial"/>
          <w:i/>
          <w:iCs/>
          <w:noProof/>
          <w:sz w:val="20"/>
          <w:lang w:val="en-US"/>
        </w:rPr>
        <w:t>Journal of Food Engineering</w:t>
      </w:r>
      <w:r w:rsidRPr="00675ED0">
        <w:rPr>
          <w:rFonts w:ascii="Arial" w:hAnsi="Arial" w:cs="Arial"/>
          <w:noProof/>
          <w:sz w:val="20"/>
          <w:lang w:val="en-US"/>
        </w:rPr>
        <w:t xml:space="preserve">, </w:t>
      </w:r>
      <w:r w:rsidRPr="00675ED0">
        <w:rPr>
          <w:rFonts w:ascii="Arial" w:hAnsi="Arial" w:cs="Arial"/>
          <w:i/>
          <w:iCs/>
          <w:noProof/>
          <w:sz w:val="20"/>
          <w:lang w:val="en-US"/>
        </w:rPr>
        <w:t>74</w:t>
      </w:r>
      <w:r w:rsidRPr="00675ED0">
        <w:rPr>
          <w:rFonts w:ascii="Arial" w:hAnsi="Arial" w:cs="Arial"/>
          <w:noProof/>
          <w:sz w:val="20"/>
          <w:lang w:val="en-US"/>
        </w:rPr>
        <w:t>(4), 568–575. https://doi.org/10.1016/j.jfoodeng.2005.03.059</w:t>
      </w:r>
    </w:p>
    <w:p w14:paraId="4E83D15E"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Yang, X., Dai, J., Zhong, Y., Wei, X., Wu, M., Zhang, Y., Huang, A., Wang, L., Huang, Y., Zhang, C., Chen, X., &amp; Xiao, H. (2021). Characterization of insoluble dietary fiber from three food sources and their potential hypoglycemic and hypolipidemic effects. </w:t>
      </w:r>
      <w:r w:rsidRPr="00675ED0">
        <w:rPr>
          <w:rFonts w:ascii="Arial" w:hAnsi="Arial" w:cs="Arial"/>
          <w:i/>
          <w:iCs/>
          <w:noProof/>
          <w:sz w:val="20"/>
          <w:lang w:val="en-US"/>
        </w:rPr>
        <w:t>Food and Function</w:t>
      </w:r>
      <w:r w:rsidRPr="00675ED0">
        <w:rPr>
          <w:rFonts w:ascii="Arial" w:hAnsi="Arial" w:cs="Arial"/>
          <w:noProof/>
          <w:sz w:val="20"/>
          <w:lang w:val="en-US"/>
        </w:rPr>
        <w:t xml:space="preserve">, </w:t>
      </w:r>
      <w:r w:rsidRPr="00675ED0">
        <w:rPr>
          <w:rFonts w:ascii="Arial" w:hAnsi="Arial" w:cs="Arial"/>
          <w:i/>
          <w:iCs/>
          <w:noProof/>
          <w:sz w:val="20"/>
          <w:lang w:val="en-US"/>
        </w:rPr>
        <w:t>12</w:t>
      </w:r>
      <w:r w:rsidRPr="00675ED0">
        <w:rPr>
          <w:rFonts w:ascii="Arial" w:hAnsi="Arial" w:cs="Arial"/>
          <w:noProof/>
          <w:sz w:val="20"/>
          <w:lang w:val="en-US"/>
        </w:rPr>
        <w:t>(14), 6576–6587. https://doi.org/10.1039/d1fo00521a</w:t>
      </w:r>
    </w:p>
    <w:p w14:paraId="3203EEE6" w14:textId="77777777" w:rsidR="00FC5154" w:rsidRPr="00675ED0" w:rsidRDefault="00FC5154" w:rsidP="00FC5154">
      <w:pPr>
        <w:widowControl w:val="0"/>
        <w:autoSpaceDE w:val="0"/>
        <w:autoSpaceDN w:val="0"/>
        <w:adjustRightInd w:val="0"/>
        <w:spacing w:before="240" w:line="240" w:lineRule="auto"/>
        <w:ind w:left="480" w:hanging="480"/>
        <w:rPr>
          <w:rFonts w:ascii="Arial" w:hAnsi="Arial" w:cs="Arial"/>
          <w:noProof/>
          <w:sz w:val="20"/>
          <w:lang w:val="en-US"/>
        </w:rPr>
      </w:pPr>
      <w:r w:rsidRPr="00675ED0">
        <w:rPr>
          <w:rFonts w:ascii="Arial" w:hAnsi="Arial" w:cs="Arial"/>
          <w:noProof/>
          <w:sz w:val="20"/>
          <w:lang w:val="en-US"/>
        </w:rPr>
        <w:t xml:space="preserve">Yangilar, F. (2013). The Application of Dietary Fibre in Food Industry : Structural Features , Effects on Health and Definition , Obtaining and Analysis of Dietary Fibre : A Review. </w:t>
      </w:r>
      <w:r w:rsidRPr="00675ED0">
        <w:rPr>
          <w:rFonts w:ascii="Arial" w:hAnsi="Arial" w:cs="Arial"/>
          <w:i/>
          <w:iCs/>
          <w:noProof/>
          <w:sz w:val="20"/>
          <w:lang w:val="en-US"/>
        </w:rPr>
        <w:t>Journal of Food and Nutrition Research</w:t>
      </w:r>
      <w:r w:rsidRPr="00675ED0">
        <w:rPr>
          <w:rFonts w:ascii="Arial" w:hAnsi="Arial" w:cs="Arial"/>
          <w:noProof/>
          <w:sz w:val="20"/>
          <w:lang w:val="en-US"/>
        </w:rPr>
        <w:t xml:space="preserve">, </w:t>
      </w:r>
      <w:r w:rsidRPr="00675ED0">
        <w:rPr>
          <w:rFonts w:ascii="Arial" w:hAnsi="Arial" w:cs="Arial"/>
          <w:i/>
          <w:iCs/>
          <w:noProof/>
          <w:sz w:val="20"/>
          <w:lang w:val="en-US"/>
        </w:rPr>
        <w:t>1</w:t>
      </w:r>
      <w:r w:rsidRPr="00675ED0">
        <w:rPr>
          <w:rFonts w:ascii="Arial" w:hAnsi="Arial" w:cs="Arial"/>
          <w:noProof/>
          <w:sz w:val="20"/>
          <w:lang w:val="en-US"/>
        </w:rPr>
        <w:t>(3), 13–23. https://doi.org/10.12691/jfnr-1-3-1</w:t>
      </w:r>
    </w:p>
    <w:p w14:paraId="735D5A31" w14:textId="5D62D85D" w:rsidR="00272869" w:rsidRDefault="00272869" w:rsidP="005B40C9">
      <w:pPr>
        <w:tabs>
          <w:tab w:val="left" w:pos="2685"/>
        </w:tabs>
        <w:spacing w:before="240"/>
        <w:rPr>
          <w:rFonts w:ascii="Arial" w:hAnsi="Arial" w:cs="Arial"/>
          <w:color w:val="000000" w:themeColor="text1"/>
          <w:sz w:val="20"/>
          <w:szCs w:val="20"/>
          <w:lang w:val="en-US"/>
        </w:rPr>
      </w:pPr>
      <w:r>
        <w:rPr>
          <w:rFonts w:ascii="Arial" w:hAnsi="Arial" w:cs="Arial"/>
          <w:color w:val="000000" w:themeColor="text1"/>
          <w:sz w:val="20"/>
          <w:szCs w:val="20"/>
          <w:lang w:val="en-US"/>
        </w:rPr>
        <w:fldChar w:fldCharType="end"/>
      </w:r>
    </w:p>
    <w:p w14:paraId="02CF5D05" w14:textId="77777777" w:rsidR="005B40C9" w:rsidRPr="005250A4" w:rsidRDefault="005B40C9" w:rsidP="005B40C9">
      <w:pPr>
        <w:tabs>
          <w:tab w:val="left" w:pos="2685"/>
        </w:tabs>
        <w:spacing w:before="240"/>
        <w:rPr>
          <w:rFonts w:ascii="Arial" w:eastAsia="Times New Roman" w:hAnsi="Arial" w:cs="Arial"/>
          <w:color w:val="000000" w:themeColor="text1"/>
          <w:sz w:val="20"/>
          <w:lang w:val="en-US" w:eastAsia="fr-FR"/>
        </w:rPr>
      </w:pPr>
    </w:p>
    <w:p w14:paraId="314B77AE" w14:textId="77777777" w:rsidR="007136C0" w:rsidRPr="007136C0" w:rsidRDefault="007136C0">
      <w:pPr>
        <w:rPr>
          <w:lang w:val="en-US"/>
        </w:rPr>
      </w:pPr>
    </w:p>
    <w:sectPr w:rsidR="007136C0" w:rsidRPr="007136C0" w:rsidSect="004B1C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48B91" w14:textId="77777777" w:rsidR="00C700BE" w:rsidRDefault="00C700BE" w:rsidP="007136C0">
      <w:pPr>
        <w:spacing w:after="0" w:line="240" w:lineRule="auto"/>
      </w:pPr>
      <w:r>
        <w:separator/>
      </w:r>
    </w:p>
  </w:endnote>
  <w:endnote w:type="continuationSeparator" w:id="0">
    <w:p w14:paraId="5D5FA4F3" w14:textId="77777777" w:rsidR="00C700BE" w:rsidRDefault="00C700BE" w:rsidP="0071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C19B" w14:textId="77777777" w:rsidR="00BD5AB5" w:rsidRDefault="00BD5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934252"/>
      <w:docPartObj>
        <w:docPartGallery w:val="Page Numbers (Bottom of Page)"/>
        <w:docPartUnique/>
      </w:docPartObj>
    </w:sdtPr>
    <w:sdtEndPr>
      <w:rPr>
        <w:rFonts w:ascii="Arial" w:hAnsi="Arial" w:cs="Arial"/>
      </w:rPr>
    </w:sdtEndPr>
    <w:sdtContent>
      <w:p w14:paraId="2211B567" w14:textId="0B550C1B" w:rsidR="00BD5AB5" w:rsidRPr="00E91D2D" w:rsidRDefault="00BD5AB5">
        <w:pPr>
          <w:pStyle w:val="Footer"/>
          <w:jc w:val="right"/>
          <w:rPr>
            <w:rFonts w:ascii="Arial" w:hAnsi="Arial" w:cs="Arial"/>
          </w:rPr>
        </w:pPr>
        <w:r w:rsidRPr="00E91D2D">
          <w:rPr>
            <w:rFonts w:ascii="Arial" w:hAnsi="Arial" w:cs="Arial"/>
          </w:rPr>
          <w:fldChar w:fldCharType="begin"/>
        </w:r>
        <w:r w:rsidRPr="00E91D2D">
          <w:rPr>
            <w:rFonts w:ascii="Arial" w:hAnsi="Arial" w:cs="Arial"/>
          </w:rPr>
          <w:instrText>PAGE   \* MERGEFORMAT</w:instrText>
        </w:r>
        <w:r w:rsidRPr="00E91D2D">
          <w:rPr>
            <w:rFonts w:ascii="Arial" w:hAnsi="Arial" w:cs="Arial"/>
          </w:rPr>
          <w:fldChar w:fldCharType="separate"/>
        </w:r>
        <w:r w:rsidR="004133A6">
          <w:rPr>
            <w:rFonts w:ascii="Arial" w:hAnsi="Arial" w:cs="Arial"/>
            <w:noProof/>
          </w:rPr>
          <w:t>14</w:t>
        </w:r>
        <w:r w:rsidRPr="00E91D2D">
          <w:rPr>
            <w:rFonts w:ascii="Arial" w:hAnsi="Arial" w:cs="Arial"/>
          </w:rPr>
          <w:fldChar w:fldCharType="end"/>
        </w:r>
      </w:p>
    </w:sdtContent>
  </w:sdt>
  <w:p w14:paraId="1C68EA44" w14:textId="77777777" w:rsidR="00BD5AB5" w:rsidRDefault="00BD5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6574" w14:textId="77777777" w:rsidR="00BD5AB5" w:rsidRDefault="00BD5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D480B" w14:textId="77777777" w:rsidR="00C700BE" w:rsidRDefault="00C700BE" w:rsidP="007136C0">
      <w:pPr>
        <w:spacing w:after="0" w:line="240" w:lineRule="auto"/>
      </w:pPr>
      <w:r>
        <w:separator/>
      </w:r>
    </w:p>
  </w:footnote>
  <w:footnote w:type="continuationSeparator" w:id="0">
    <w:p w14:paraId="58AFE79F" w14:textId="77777777" w:rsidR="00C700BE" w:rsidRDefault="00C700BE" w:rsidP="00713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6437F" w14:textId="78C9B6CD" w:rsidR="00BD5AB5" w:rsidRDefault="00C700BE">
    <w:pPr>
      <w:pStyle w:val="Header"/>
    </w:pPr>
    <w:r>
      <w:rPr>
        <w:noProof/>
      </w:rPr>
      <w:pict w14:anchorId="0A68F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459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FAAD" w14:textId="022AF4B1" w:rsidR="00BD5AB5" w:rsidRDefault="00C700BE">
    <w:pPr>
      <w:pStyle w:val="Header"/>
    </w:pPr>
    <w:r>
      <w:rPr>
        <w:noProof/>
      </w:rPr>
      <w:pict w14:anchorId="7ABEB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459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60F3E" w14:textId="5EDD478D" w:rsidR="00BD5AB5" w:rsidRDefault="00C700BE">
    <w:pPr>
      <w:pStyle w:val="Header"/>
    </w:pPr>
    <w:r>
      <w:rPr>
        <w:noProof/>
      </w:rPr>
      <w:pict w14:anchorId="35AD9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459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F6A2E"/>
    <w:multiLevelType w:val="hybridMultilevel"/>
    <w:tmpl w:val="A4421A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516AB1"/>
    <w:multiLevelType w:val="multilevel"/>
    <w:tmpl w:val="9F480A86"/>
    <w:lvl w:ilvl="0">
      <w:start w:val="1"/>
      <w:numFmt w:val="decimal"/>
      <w:lvlText w:val="%1."/>
      <w:lvlJc w:val="left"/>
      <w:pPr>
        <w:ind w:left="360" w:hanging="360"/>
      </w:pPr>
      <w:rPr>
        <w:rFonts w:hint="default"/>
      </w:rPr>
    </w:lvl>
    <w:lvl w:ilvl="1">
      <w:start w:val="6"/>
      <w:numFmt w:val="decimal"/>
      <w:isLgl/>
      <w:lvlText w:val="%1.%2."/>
      <w:lvlJc w:val="left"/>
      <w:pPr>
        <w:ind w:left="705" w:hanging="705"/>
      </w:pPr>
      <w:rPr>
        <w:rFonts w:hint="default"/>
      </w:rPr>
    </w:lvl>
    <w:lvl w:ilvl="2">
      <w:start w:val="3"/>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F9A55B2"/>
    <w:multiLevelType w:val="multilevel"/>
    <w:tmpl w:val="C920482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492E1D"/>
    <w:multiLevelType w:val="multilevel"/>
    <w:tmpl w:val="99B4F70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5004B0D"/>
    <w:multiLevelType w:val="multilevel"/>
    <w:tmpl w:val="0D7E107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AEE6179"/>
    <w:multiLevelType w:val="hybridMultilevel"/>
    <w:tmpl w:val="4174952C"/>
    <w:lvl w:ilvl="0" w:tplc="38349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94"/>
    <w:rsid w:val="00014775"/>
    <w:rsid w:val="00024657"/>
    <w:rsid w:val="00030086"/>
    <w:rsid w:val="0007178B"/>
    <w:rsid w:val="000A326E"/>
    <w:rsid w:val="000A5E3F"/>
    <w:rsid w:val="000C4DA6"/>
    <w:rsid w:val="000C55BE"/>
    <w:rsid w:val="000D10BA"/>
    <w:rsid w:val="000F45E6"/>
    <w:rsid w:val="00117C7E"/>
    <w:rsid w:val="00120D2A"/>
    <w:rsid w:val="00120DF2"/>
    <w:rsid w:val="00133C3E"/>
    <w:rsid w:val="00151E0B"/>
    <w:rsid w:val="00166BB8"/>
    <w:rsid w:val="00167B77"/>
    <w:rsid w:val="00194C84"/>
    <w:rsid w:val="001A7B48"/>
    <w:rsid w:val="001B079C"/>
    <w:rsid w:val="001E34B4"/>
    <w:rsid w:val="001E48DA"/>
    <w:rsid w:val="002306AB"/>
    <w:rsid w:val="00253E0F"/>
    <w:rsid w:val="00255CD5"/>
    <w:rsid w:val="002661F4"/>
    <w:rsid w:val="00270387"/>
    <w:rsid w:val="00272869"/>
    <w:rsid w:val="003352F9"/>
    <w:rsid w:val="00346AFF"/>
    <w:rsid w:val="003542B3"/>
    <w:rsid w:val="003604EA"/>
    <w:rsid w:val="00393B6A"/>
    <w:rsid w:val="003D2CCA"/>
    <w:rsid w:val="003F3F84"/>
    <w:rsid w:val="003F5A6F"/>
    <w:rsid w:val="004133A6"/>
    <w:rsid w:val="004418FA"/>
    <w:rsid w:val="0044525C"/>
    <w:rsid w:val="00455C38"/>
    <w:rsid w:val="00457517"/>
    <w:rsid w:val="00487ED3"/>
    <w:rsid w:val="004A1191"/>
    <w:rsid w:val="004B1CFC"/>
    <w:rsid w:val="004E1C3B"/>
    <w:rsid w:val="004E6A94"/>
    <w:rsid w:val="00503F06"/>
    <w:rsid w:val="00525AC1"/>
    <w:rsid w:val="00531888"/>
    <w:rsid w:val="005529A6"/>
    <w:rsid w:val="00564C27"/>
    <w:rsid w:val="005816C9"/>
    <w:rsid w:val="005A052C"/>
    <w:rsid w:val="005B1C7C"/>
    <w:rsid w:val="005B40C9"/>
    <w:rsid w:val="005D6585"/>
    <w:rsid w:val="005D69AD"/>
    <w:rsid w:val="005F3D50"/>
    <w:rsid w:val="00601336"/>
    <w:rsid w:val="00601E2F"/>
    <w:rsid w:val="00607036"/>
    <w:rsid w:val="006347E1"/>
    <w:rsid w:val="00672ADF"/>
    <w:rsid w:val="00675ED0"/>
    <w:rsid w:val="0069278A"/>
    <w:rsid w:val="006A54DD"/>
    <w:rsid w:val="006C3CE0"/>
    <w:rsid w:val="006C42D3"/>
    <w:rsid w:val="006D4B88"/>
    <w:rsid w:val="006F1DC7"/>
    <w:rsid w:val="007117E5"/>
    <w:rsid w:val="007136C0"/>
    <w:rsid w:val="007207AC"/>
    <w:rsid w:val="00744459"/>
    <w:rsid w:val="00754244"/>
    <w:rsid w:val="00782374"/>
    <w:rsid w:val="00795A74"/>
    <w:rsid w:val="007A0A17"/>
    <w:rsid w:val="00845CAA"/>
    <w:rsid w:val="008553FB"/>
    <w:rsid w:val="00897060"/>
    <w:rsid w:val="008A6845"/>
    <w:rsid w:val="008B0466"/>
    <w:rsid w:val="00901CB9"/>
    <w:rsid w:val="009114BE"/>
    <w:rsid w:val="00920049"/>
    <w:rsid w:val="0092158E"/>
    <w:rsid w:val="00924E6C"/>
    <w:rsid w:val="00936A82"/>
    <w:rsid w:val="00955C1B"/>
    <w:rsid w:val="0096533F"/>
    <w:rsid w:val="00974CE5"/>
    <w:rsid w:val="009900AB"/>
    <w:rsid w:val="009A2113"/>
    <w:rsid w:val="009C0374"/>
    <w:rsid w:val="009E2C48"/>
    <w:rsid w:val="00A353A9"/>
    <w:rsid w:val="00A65E65"/>
    <w:rsid w:val="00A67244"/>
    <w:rsid w:val="00A764E8"/>
    <w:rsid w:val="00A838CC"/>
    <w:rsid w:val="00A86A46"/>
    <w:rsid w:val="00A93F0D"/>
    <w:rsid w:val="00AA17CA"/>
    <w:rsid w:val="00AD0E71"/>
    <w:rsid w:val="00AD4402"/>
    <w:rsid w:val="00B06061"/>
    <w:rsid w:val="00B11842"/>
    <w:rsid w:val="00B17EC4"/>
    <w:rsid w:val="00B3747D"/>
    <w:rsid w:val="00B41611"/>
    <w:rsid w:val="00B439F6"/>
    <w:rsid w:val="00B55607"/>
    <w:rsid w:val="00B809EE"/>
    <w:rsid w:val="00B83EB0"/>
    <w:rsid w:val="00B92B1D"/>
    <w:rsid w:val="00BA3824"/>
    <w:rsid w:val="00BB53B6"/>
    <w:rsid w:val="00BD5AB5"/>
    <w:rsid w:val="00BE1892"/>
    <w:rsid w:val="00BF0441"/>
    <w:rsid w:val="00C200D6"/>
    <w:rsid w:val="00C336F8"/>
    <w:rsid w:val="00C43488"/>
    <w:rsid w:val="00C61705"/>
    <w:rsid w:val="00C66FBF"/>
    <w:rsid w:val="00C700BE"/>
    <w:rsid w:val="00C84FD4"/>
    <w:rsid w:val="00C91B67"/>
    <w:rsid w:val="00CD1A26"/>
    <w:rsid w:val="00D032A1"/>
    <w:rsid w:val="00D057C4"/>
    <w:rsid w:val="00D1094E"/>
    <w:rsid w:val="00D51270"/>
    <w:rsid w:val="00D56C28"/>
    <w:rsid w:val="00D603BB"/>
    <w:rsid w:val="00D613C4"/>
    <w:rsid w:val="00D638D6"/>
    <w:rsid w:val="00D73709"/>
    <w:rsid w:val="00DA65F2"/>
    <w:rsid w:val="00DB449D"/>
    <w:rsid w:val="00DB566A"/>
    <w:rsid w:val="00DC563E"/>
    <w:rsid w:val="00DD11B7"/>
    <w:rsid w:val="00DD346D"/>
    <w:rsid w:val="00E07923"/>
    <w:rsid w:val="00E10483"/>
    <w:rsid w:val="00E167D7"/>
    <w:rsid w:val="00E32FD8"/>
    <w:rsid w:val="00E61847"/>
    <w:rsid w:val="00E774C4"/>
    <w:rsid w:val="00E94EFC"/>
    <w:rsid w:val="00EA0020"/>
    <w:rsid w:val="00EA43D8"/>
    <w:rsid w:val="00EB03D6"/>
    <w:rsid w:val="00EC3F50"/>
    <w:rsid w:val="00EE505C"/>
    <w:rsid w:val="00F1655C"/>
    <w:rsid w:val="00F677C1"/>
    <w:rsid w:val="00F802AB"/>
    <w:rsid w:val="00FB5A11"/>
    <w:rsid w:val="00FC5154"/>
    <w:rsid w:val="00FE1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994C6D"/>
  <w15:chartTrackingRefBased/>
  <w15:docId w15:val="{80D79D04-191E-43E8-8127-51FF3F0C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A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A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A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A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A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A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A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A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A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A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A94"/>
    <w:rPr>
      <w:rFonts w:eastAsiaTheme="majorEastAsia" w:cstheme="majorBidi"/>
      <w:color w:val="272727" w:themeColor="text1" w:themeTint="D8"/>
    </w:rPr>
  </w:style>
  <w:style w:type="paragraph" w:styleId="Title">
    <w:name w:val="Title"/>
    <w:basedOn w:val="Normal"/>
    <w:next w:val="Normal"/>
    <w:link w:val="TitleChar"/>
    <w:uiPriority w:val="10"/>
    <w:qFormat/>
    <w:rsid w:val="004E6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A94"/>
    <w:pPr>
      <w:spacing w:before="160"/>
      <w:jc w:val="center"/>
    </w:pPr>
    <w:rPr>
      <w:i/>
      <w:iCs/>
      <w:color w:val="404040" w:themeColor="text1" w:themeTint="BF"/>
    </w:rPr>
  </w:style>
  <w:style w:type="character" w:customStyle="1" w:styleId="QuoteChar">
    <w:name w:val="Quote Char"/>
    <w:basedOn w:val="DefaultParagraphFont"/>
    <w:link w:val="Quote"/>
    <w:uiPriority w:val="29"/>
    <w:rsid w:val="004E6A94"/>
    <w:rPr>
      <w:i/>
      <w:iCs/>
      <w:color w:val="404040" w:themeColor="text1" w:themeTint="BF"/>
    </w:rPr>
  </w:style>
  <w:style w:type="paragraph" w:styleId="ListParagraph">
    <w:name w:val="List Paragraph"/>
    <w:basedOn w:val="Normal"/>
    <w:link w:val="ListParagraphChar"/>
    <w:uiPriority w:val="34"/>
    <w:qFormat/>
    <w:rsid w:val="004E6A94"/>
    <w:pPr>
      <w:ind w:left="720"/>
      <w:contextualSpacing/>
    </w:pPr>
  </w:style>
  <w:style w:type="character" w:styleId="IntenseEmphasis">
    <w:name w:val="Intense Emphasis"/>
    <w:basedOn w:val="DefaultParagraphFont"/>
    <w:uiPriority w:val="21"/>
    <w:qFormat/>
    <w:rsid w:val="004E6A94"/>
    <w:rPr>
      <w:i/>
      <w:iCs/>
      <w:color w:val="2F5496" w:themeColor="accent1" w:themeShade="BF"/>
    </w:rPr>
  </w:style>
  <w:style w:type="paragraph" w:styleId="IntenseQuote">
    <w:name w:val="Intense Quote"/>
    <w:basedOn w:val="Normal"/>
    <w:next w:val="Normal"/>
    <w:link w:val="IntenseQuoteChar"/>
    <w:uiPriority w:val="30"/>
    <w:qFormat/>
    <w:rsid w:val="004E6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A94"/>
    <w:rPr>
      <w:i/>
      <w:iCs/>
      <w:color w:val="2F5496" w:themeColor="accent1" w:themeShade="BF"/>
    </w:rPr>
  </w:style>
  <w:style w:type="character" w:styleId="IntenseReference">
    <w:name w:val="Intense Reference"/>
    <w:basedOn w:val="DefaultParagraphFont"/>
    <w:uiPriority w:val="32"/>
    <w:qFormat/>
    <w:rsid w:val="004E6A94"/>
    <w:rPr>
      <w:b/>
      <w:bCs/>
      <w:smallCaps/>
      <w:color w:val="2F5496" w:themeColor="accent1" w:themeShade="BF"/>
      <w:spacing w:val="5"/>
    </w:rPr>
  </w:style>
  <w:style w:type="paragraph" w:styleId="Footer">
    <w:name w:val="footer"/>
    <w:basedOn w:val="Normal"/>
    <w:link w:val="FooterChar"/>
    <w:uiPriority w:val="99"/>
    <w:unhideWhenUsed/>
    <w:rsid w:val="007136C0"/>
    <w:pPr>
      <w:tabs>
        <w:tab w:val="center" w:pos="4536"/>
        <w:tab w:val="right" w:pos="9072"/>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7136C0"/>
    <w:rPr>
      <w:kern w:val="0"/>
      <w:sz w:val="22"/>
      <w:szCs w:val="22"/>
      <w14:ligatures w14:val="none"/>
    </w:rPr>
  </w:style>
  <w:style w:type="character" w:styleId="Hyperlink">
    <w:name w:val="Hyperlink"/>
    <w:basedOn w:val="DefaultParagraphFont"/>
    <w:uiPriority w:val="99"/>
    <w:unhideWhenUsed/>
    <w:rsid w:val="007136C0"/>
    <w:rPr>
      <w:color w:val="0000FF"/>
      <w:u w:val="single"/>
    </w:rPr>
  </w:style>
  <w:style w:type="character" w:styleId="FootnoteReference">
    <w:name w:val="footnote reference"/>
    <w:basedOn w:val="DefaultParagraphFont"/>
    <w:uiPriority w:val="99"/>
    <w:semiHidden/>
    <w:unhideWhenUsed/>
    <w:rsid w:val="007136C0"/>
    <w:rPr>
      <w:vertAlign w:val="superscript"/>
    </w:rPr>
  </w:style>
  <w:style w:type="character" w:styleId="LineNumber">
    <w:name w:val="line number"/>
    <w:basedOn w:val="DefaultParagraphFont"/>
    <w:uiPriority w:val="99"/>
    <w:semiHidden/>
    <w:unhideWhenUsed/>
    <w:rsid w:val="007136C0"/>
  </w:style>
  <w:style w:type="paragraph" w:styleId="Header">
    <w:name w:val="header"/>
    <w:basedOn w:val="Normal"/>
    <w:link w:val="HeaderChar"/>
    <w:uiPriority w:val="99"/>
    <w:unhideWhenUsed/>
    <w:rsid w:val="007136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36C0"/>
  </w:style>
  <w:style w:type="table" w:styleId="TableGrid">
    <w:name w:val="Table Grid"/>
    <w:basedOn w:val="TableNormal"/>
    <w:uiPriority w:val="39"/>
    <w:rsid w:val="007136C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36C0"/>
    <w:pPr>
      <w:spacing w:before="100" w:beforeAutospacing="1" w:after="100" w:afterAutospacing="1" w:line="240" w:lineRule="auto"/>
      <w:jc w:val="both"/>
    </w:pPr>
    <w:rPr>
      <w:rFonts w:ascii="Times New Roman" w:eastAsia="Times New Roman" w:hAnsi="Times New Roman" w:cs="Times New Roman"/>
      <w:kern w:val="0"/>
      <w:lang w:eastAsia="fr-FR"/>
      <w14:ligatures w14:val="none"/>
    </w:rPr>
  </w:style>
  <w:style w:type="character" w:customStyle="1" w:styleId="fontstyle01">
    <w:name w:val="fontstyle01"/>
    <w:basedOn w:val="DefaultParagraphFont"/>
    <w:qFormat/>
    <w:rsid w:val="007136C0"/>
    <w:rPr>
      <w:rFonts w:ascii="TimesNewRomanPSMT" w:hAnsi="TimesNewRomanPSMT" w:hint="default"/>
      <w:b w:val="0"/>
      <w:bCs w:val="0"/>
      <w:i w:val="0"/>
      <w:iCs w:val="0"/>
      <w:color w:val="000000"/>
      <w:sz w:val="24"/>
      <w:szCs w:val="24"/>
    </w:rPr>
  </w:style>
  <w:style w:type="character" w:customStyle="1" w:styleId="markedcontent">
    <w:name w:val="markedcontent"/>
    <w:basedOn w:val="DefaultParagraphFont"/>
    <w:rsid w:val="007136C0"/>
  </w:style>
  <w:style w:type="character" w:styleId="Strong">
    <w:name w:val="Strong"/>
    <w:basedOn w:val="DefaultParagraphFont"/>
    <w:uiPriority w:val="22"/>
    <w:qFormat/>
    <w:rsid w:val="007136C0"/>
    <w:rPr>
      <w:b/>
      <w:bCs/>
    </w:rPr>
  </w:style>
  <w:style w:type="character" w:styleId="Emphasis">
    <w:name w:val="Emphasis"/>
    <w:basedOn w:val="DefaultParagraphFont"/>
    <w:uiPriority w:val="20"/>
    <w:qFormat/>
    <w:rsid w:val="007136C0"/>
    <w:rPr>
      <w:i/>
      <w:iCs/>
    </w:rPr>
  </w:style>
  <w:style w:type="character" w:customStyle="1" w:styleId="ListParagraphChar">
    <w:name w:val="List Paragraph Char"/>
    <w:link w:val="ListParagraph"/>
    <w:uiPriority w:val="1"/>
    <w:rsid w:val="007136C0"/>
  </w:style>
  <w:style w:type="character" w:customStyle="1" w:styleId="UnresolvedMention1">
    <w:name w:val="Unresolved Mention1"/>
    <w:basedOn w:val="DefaultParagraphFont"/>
    <w:uiPriority w:val="99"/>
    <w:semiHidden/>
    <w:unhideWhenUsed/>
    <w:rsid w:val="00974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9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ymel\Desktop\COURS%20ENSET%20ET%20PLUS\ENSET\MES%20RECHERCHES\MES%20PROPRES%20ARTICLES\4-QUATRIEME%20ARTICLE\DOCU%20IMPOR\ACP%20DR%20ASSIE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a:t>Biplot (axes F1 et F2 : 75.83 %)</a:t>
            </a:r>
          </a:p>
        </c:rich>
      </c:tx>
      <c:overlay val="0"/>
    </c:title>
    <c:autoTitleDeleted val="0"/>
    <c:plotArea>
      <c:layout>
        <c:manualLayout>
          <c:layoutTarget val="inner"/>
          <c:xMode val="edge"/>
          <c:yMode val="edge"/>
          <c:x val="8.6329957285937398E-2"/>
          <c:y val="8.5193949326584389E-2"/>
          <c:w val="0.85426019915080065"/>
          <c:h val="0.79313053286541002"/>
        </c:manualLayout>
      </c:layout>
      <c:scatterChart>
        <c:scatterStyle val="lineMarker"/>
        <c:varyColors val="0"/>
        <c:ser>
          <c:idx val="0"/>
          <c:order val="0"/>
          <c:spPr>
            <a:ln w="19050">
              <a:noFill/>
            </a:ln>
            <a:effectLst/>
          </c:spPr>
          <c:marker>
            <c:symbol val="circle"/>
            <c:size val="3"/>
            <c:spPr>
              <a:solidFill>
                <a:srgbClr val="3266FF"/>
              </a:solidFill>
              <a:ln>
                <a:solidFill>
                  <a:srgbClr val="3266FF"/>
                </a:solidFill>
                <a:prstDash val="solid"/>
              </a:ln>
            </c:spPr>
          </c:marker>
          <c:dLbls>
            <c:dLbl>
              <c:idx val="0"/>
              <c:layout>
                <c:manualLayout>
                  <c:x val="-0.20702862758727708"/>
                  <c:y val="-1.2311998943491975E-2"/>
                </c:manualLayout>
              </c:layout>
              <c:tx>
                <c:rich>
                  <a:bodyPr wrap="square" lIns="38100" tIns="19050" rIns="38100" bIns="19050" anchor="ctr">
                    <a:noAutofit/>
                  </a:bodyPr>
                  <a:lstStyle/>
                  <a:p>
                    <a:pPr>
                      <a:defRPr i="1"/>
                    </a:pPr>
                    <a:r>
                      <a:rPr lang="en-US" i="1"/>
                      <a:t>C. olitorius leave</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21883139333871154"/>
                      <c:h val="4.5367060764366238E-2"/>
                    </c:manualLayout>
                  </c15:layout>
                </c:ext>
                <c:ext xmlns:c16="http://schemas.microsoft.com/office/drawing/2014/chart" uri="{C3380CC4-5D6E-409C-BE32-E72D297353CC}">
                  <c16:uniqueId val="{00000000-A6AF-42DD-8139-CE99614788EF}"/>
                </c:ext>
              </c:extLst>
            </c:dLbl>
            <c:dLbl>
              <c:idx val="1"/>
              <c:layout>
                <c:manualLayout>
                  <c:x val="-4.9556207513936378E-2"/>
                  <c:y val="-2.8103546446301029E-3"/>
                </c:manualLayout>
              </c:layout>
              <c:tx>
                <c:rich>
                  <a:bodyPr wrap="square" lIns="38100" tIns="19050" rIns="38100" bIns="19050" anchor="ctr">
                    <a:spAutoFit/>
                  </a:bodyPr>
                  <a:lstStyle/>
                  <a:p>
                    <a:pPr>
                      <a:defRPr i="1"/>
                    </a:pPr>
                    <a:r>
                      <a:rPr lang="en-US" i="1"/>
                      <a:t>C. olitorius fruit</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24218047712342972"/>
                      <c:h val="3.7118504261754191E-2"/>
                    </c:manualLayout>
                  </c15:layout>
                </c:ext>
                <c:ext xmlns:c16="http://schemas.microsoft.com/office/drawing/2014/chart" uri="{C3380CC4-5D6E-409C-BE32-E72D297353CC}">
                  <c16:uniqueId val="{00000001-A6AF-42DD-8139-CE99614788EF}"/>
                </c:ext>
              </c:extLst>
            </c:dLbl>
            <c:dLbl>
              <c:idx val="2"/>
              <c:layout>
                <c:manualLayout>
                  <c:x val="-2.0744496945949084E-2"/>
                  <c:y val="1.0937239526389968E-2"/>
                </c:manualLayout>
              </c:layout>
              <c:tx>
                <c:rich>
                  <a:bodyPr wrap="square" lIns="38100" tIns="19050" rIns="38100" bIns="19050" anchor="ctr">
                    <a:noAutofit/>
                  </a:bodyPr>
                  <a:lstStyle/>
                  <a:p>
                    <a:pPr>
                      <a:defRPr i="1"/>
                    </a:pPr>
                    <a:r>
                      <a:rPr lang="en-US" i="1"/>
                      <a:t>A. esculentus leave</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23283383803139621"/>
                      <c:h val="5.9389606818806707E-2"/>
                    </c:manualLayout>
                  </c15:layout>
                </c:ext>
                <c:ext xmlns:c16="http://schemas.microsoft.com/office/drawing/2014/chart" uri="{C3380CC4-5D6E-409C-BE32-E72D297353CC}">
                  <c16:uniqueId val="{00000002-A6AF-42DD-8139-CE99614788EF}"/>
                </c:ext>
              </c:extLst>
            </c:dLbl>
            <c:dLbl>
              <c:idx val="3"/>
              <c:layout>
                <c:manualLayout>
                  <c:x val="-0.16311889791003276"/>
                  <c:y val="-3.1680302403772252E-2"/>
                </c:manualLayout>
              </c:layout>
              <c:tx>
                <c:rich>
                  <a:bodyPr wrap="square" lIns="38100" tIns="19050" rIns="38100" bIns="19050" anchor="ctr">
                    <a:noAutofit/>
                  </a:bodyPr>
                  <a:lstStyle/>
                  <a:p>
                    <a:pPr>
                      <a:defRPr i="1"/>
                    </a:pPr>
                    <a:r>
                      <a:rPr lang="en-US" i="1"/>
                      <a:t>A. esculentus fruit</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24443932234643309"/>
                      <c:h val="5.6365136101182295E-2"/>
                    </c:manualLayout>
                  </c15:layout>
                </c:ext>
                <c:ext xmlns:c16="http://schemas.microsoft.com/office/drawing/2014/chart" uri="{C3380CC4-5D6E-409C-BE32-E72D297353CC}">
                  <c16:uniqueId val="{00000003-A6AF-42DD-8139-CE99614788EF}"/>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ACP1_HID!$B$2:$B$5</c:f>
              <c:numCache>
                <c:formatCode>0</c:formatCode>
                <c:ptCount val="4"/>
                <c:pt idx="0">
                  <c:v>-2.7687154124701876</c:v>
                </c:pt>
                <c:pt idx="1">
                  <c:v>2.6993960453256811</c:v>
                </c:pt>
                <c:pt idx="2">
                  <c:v>4.3019595957085865</c:v>
                </c:pt>
                <c:pt idx="3">
                  <c:v>-4.2326402285640805</c:v>
                </c:pt>
              </c:numCache>
            </c:numRef>
          </c:xVal>
          <c:yVal>
            <c:numRef>
              <c:f>ACP1_HID!$C$2:$C$5</c:f>
              <c:numCache>
                <c:formatCode>0</c:formatCode>
                <c:ptCount val="4"/>
                <c:pt idx="0">
                  <c:v>4.2502715747623006</c:v>
                </c:pt>
                <c:pt idx="1">
                  <c:v>-0.22145126084541294</c:v>
                </c:pt>
                <c:pt idx="2">
                  <c:v>-0.54917277398573483</c:v>
                </c:pt>
                <c:pt idx="3">
                  <c:v>-3.4796475399311557</c:v>
                </c:pt>
              </c:numCache>
            </c:numRef>
          </c:yVal>
          <c:smooth val="0"/>
          <c:extLst>
            <c:ext xmlns:c16="http://schemas.microsoft.com/office/drawing/2014/chart" uri="{C3380CC4-5D6E-409C-BE32-E72D297353CC}">
              <c16:uniqueId val="{00000004-A6AF-42DD-8139-CE99614788EF}"/>
            </c:ext>
          </c:extLst>
        </c:ser>
        <c:ser>
          <c:idx val="1"/>
          <c:order val="1"/>
          <c:spPr>
            <a:ln w="19050">
              <a:noFill/>
            </a:ln>
            <a:effectLst/>
          </c:spPr>
          <c:marker>
            <c:symbol val="circle"/>
            <c:size val="3"/>
            <c:spPr>
              <a:solidFill>
                <a:srgbClr val="FF0000"/>
              </a:solidFill>
              <a:ln>
                <a:solidFill>
                  <a:srgbClr val="FF0000"/>
                </a:solidFill>
                <a:prstDash val="solid"/>
              </a:ln>
            </c:spPr>
          </c:marker>
          <c:dLbls>
            <c:dLbl>
              <c:idx val="0"/>
              <c:layout>
                <c:manualLayout>
                  <c:x val="-7.6325410919808823E-2"/>
                  <c:y val="-2.0560555446104068E-2"/>
                </c:manualLayout>
              </c:layout>
              <c:tx>
                <c:rich>
                  <a:bodyPr/>
                  <a:lstStyle/>
                  <a:p>
                    <a:r>
                      <a:rPr lang="en-US"/>
                      <a:t>WACt</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AF-42DD-8139-CE99614788EF}"/>
                </c:ext>
              </c:extLst>
            </c:dLbl>
            <c:dLbl>
              <c:idx val="1"/>
              <c:layout>
                <c:manualLayout>
                  <c:x val="-1.0992586973072947E-2"/>
                  <c:y val="-1.2311998943491975E-2"/>
                </c:manualLayout>
              </c:layout>
              <c:tx>
                <c:rich>
                  <a:bodyPr/>
                  <a:lstStyle/>
                  <a:p>
                    <a:r>
                      <a:rPr lang="en-US"/>
                      <a:t>WACa</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AF-42DD-8139-CE99614788EF}"/>
                </c:ext>
              </c:extLst>
            </c:dLbl>
            <c:dLbl>
              <c:idx val="2"/>
              <c:layout>
                <c:manualLayout>
                  <c:x val="-1.5602475183283893E-2"/>
                  <c:y val="-6.8129612750839471E-3"/>
                </c:manualLayout>
              </c:layout>
              <c:tx>
                <c:rich>
                  <a:bodyPr/>
                  <a:lstStyle/>
                  <a:p>
                    <a:r>
                      <a:rPr lang="en-US"/>
                      <a:t>WSI</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AF-42DD-8139-CE99614788EF}"/>
                </c:ext>
              </c:extLst>
            </c:dLbl>
            <c:dLbl>
              <c:idx val="3"/>
              <c:layout>
                <c:manualLayout>
                  <c:x val="-1.6134608735738243E-2"/>
                  <c:y val="1.7811036611899905E-2"/>
                </c:manualLayout>
              </c:layout>
              <c:tx>
                <c:rich>
                  <a:bodyPr/>
                  <a:lstStyle/>
                  <a:p>
                    <a:r>
                      <a:rPr lang="en-US"/>
                      <a:t>Porosity</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6AF-42DD-8139-CE99614788EF}"/>
                </c:ext>
              </c:extLst>
            </c:dLbl>
            <c:dLbl>
              <c:idx val="4"/>
              <c:layout>
                <c:manualLayout>
                  <c:x val="-1.3829664630632708E-2"/>
                  <c:y val="-1.5061517777695989E-2"/>
                </c:manualLayout>
              </c:layout>
              <c:tx>
                <c:rich>
                  <a:bodyPr/>
                  <a:lstStyle/>
                  <a:p>
                    <a:r>
                      <a:rPr lang="en-US"/>
                      <a:t>True Density</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6AF-42DD-8139-CE99614788EF}"/>
                </c:ext>
              </c:extLst>
            </c:dLbl>
            <c:dLbl>
              <c:idx val="5"/>
              <c:layout>
                <c:manualLayout>
                  <c:x val="-9.219776420421889E-3"/>
                  <c:y val="-1.5061517777695989E-2"/>
                </c:manualLayout>
              </c:layout>
              <c:tx>
                <c:rich>
                  <a:bodyPr/>
                  <a:lstStyle/>
                  <a:p>
                    <a:r>
                      <a:rPr lang="en-US"/>
                      <a:t>Bulk Density</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6AF-42DD-8139-CE99614788EF}"/>
                </c:ext>
              </c:extLst>
            </c:dLbl>
            <c:dLbl>
              <c:idx val="6"/>
              <c:layout>
                <c:manualLayout>
                  <c:x val="-1.9592024893396419E-2"/>
                  <c:y val="6.0835810426088823E-5"/>
                </c:manualLayout>
              </c:layout>
              <c:tx>
                <c:rich>
                  <a:bodyPr/>
                  <a:lstStyle/>
                  <a:p>
                    <a:r>
                      <a:rPr lang="en-US"/>
                      <a:t>OAC</a:t>
                    </a:r>
                  </a:p>
                </c:rich>
              </c:tx>
              <c:dLblPos val="r"/>
              <c:showLegendKey val="0"/>
              <c:showVal val="1"/>
              <c:showCatName val="0"/>
              <c:showSerName val="0"/>
              <c:showPercent val="0"/>
              <c:showBubbleSize val="0"/>
              <c:extLst>
                <c:ext xmlns:c15="http://schemas.microsoft.com/office/drawing/2012/chart" uri="{CE6537A1-D6FC-4f65-9D91-7224C49458BB}">
                  <c15:layout>
                    <c:manualLayout>
                      <c:w val="7.8621643425146936E-2"/>
                      <c:h val="4.261754193016222E-2"/>
                    </c:manualLayout>
                  </c15:layout>
                </c:ext>
                <c:ext xmlns:c16="http://schemas.microsoft.com/office/drawing/2014/chart" uri="{C3380CC4-5D6E-409C-BE32-E72D297353CC}">
                  <c16:uniqueId val="{0000000B-A6AF-42DD-8139-CE99614788EF}"/>
                </c:ext>
              </c:extLst>
            </c:dLbl>
            <c:dLbl>
              <c:idx val="7"/>
              <c:layout>
                <c:manualLayout>
                  <c:x val="-1.3829664630632708E-2"/>
                  <c:y val="-1.2311998943492025E-2"/>
                </c:manualLayout>
              </c:layout>
              <c:tx>
                <c:rich>
                  <a:bodyPr/>
                  <a:lstStyle/>
                  <a:p>
                    <a:r>
                      <a:rPr lang="en-US"/>
                      <a:t>DPPH</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6AF-42DD-8139-CE99614788EF}"/>
                </c:ext>
              </c:extLst>
            </c:dLbl>
            <c:dLbl>
              <c:idx val="8"/>
              <c:layout>
                <c:manualLayout>
                  <c:x val="-5.5318658522530914E-2"/>
                  <c:y val="1.5061517777695989E-2"/>
                </c:manualLayout>
              </c:layout>
              <c:tx>
                <c:rich>
                  <a:bodyPr/>
                  <a:lstStyle/>
                  <a:p>
                    <a:r>
                      <a:rPr lang="en-US"/>
                      <a:t>ABTS</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6AF-42DD-8139-CE99614788EF}"/>
                </c:ext>
              </c:extLst>
            </c:dLbl>
            <c:dLbl>
              <c:idx val="9"/>
              <c:layout>
                <c:manualLayout>
                  <c:x val="-8.2977987783796239E-2"/>
                  <c:y val="-9.6841517301401395E-3"/>
                </c:manualLayout>
              </c:layout>
              <c:tx>
                <c:rich>
                  <a:bodyPr/>
                  <a:lstStyle/>
                  <a:p>
                    <a:r>
                      <a:rPr lang="en-US"/>
                      <a:t>FRAP</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6AF-42DD-8139-CE99614788EF}"/>
                </c:ext>
              </c:extLst>
            </c:dLbl>
            <c:dLbl>
              <c:idx val="10"/>
              <c:layout>
                <c:manualLayout>
                  <c:x val="-8.5903270389000197E-2"/>
                  <c:y val="-3.1558630782920073E-2"/>
                </c:manualLayout>
              </c:layout>
              <c:tx>
                <c:rich>
                  <a:bodyPr/>
                  <a:lstStyle/>
                  <a:p>
                    <a:r>
                      <a:rPr lang="en-US"/>
                      <a:t>Total polyphenol</a:t>
                    </a:r>
                  </a:p>
                </c:rich>
              </c:tx>
              <c:dLblPos val="r"/>
              <c:showLegendKey val="0"/>
              <c:showVal val="1"/>
              <c:showCatName val="0"/>
              <c:showSerName val="0"/>
              <c:showPercent val="0"/>
              <c:showBubbleSize val="0"/>
              <c:extLst>
                <c:ext xmlns:c15="http://schemas.microsoft.com/office/drawing/2012/chart" uri="{CE6537A1-D6FC-4f65-9D91-7224C49458BB}">
                  <c15:layout>
                    <c:manualLayout>
                      <c:w val="0.14661749452575776"/>
                      <c:h val="7.2862249106406374E-2"/>
                    </c:manualLayout>
                  </c15:layout>
                </c:ext>
                <c:ext xmlns:c16="http://schemas.microsoft.com/office/drawing/2014/chart" uri="{C3380CC4-5D6E-409C-BE32-E72D297353CC}">
                  <c16:uniqueId val="{0000000F-A6AF-42DD-8139-CE99614788EF}"/>
                </c:ext>
              </c:extLst>
            </c:dLbl>
            <c:dLbl>
              <c:idx val="11"/>
              <c:layout>
                <c:manualLayout>
                  <c:x val="-0.11279652334572619"/>
                  <c:y val="2.6059593114511947E-2"/>
                </c:manualLayout>
              </c:layout>
              <c:tx>
                <c:rich>
                  <a:bodyPr/>
                  <a:lstStyle/>
                  <a:p>
                    <a:r>
                      <a:rPr lang="en-US"/>
                      <a:t>Total flavonoid</a:t>
                    </a:r>
                  </a:p>
                </c:rich>
              </c:tx>
              <c:dLblPos val="r"/>
              <c:showLegendKey val="0"/>
              <c:showVal val="1"/>
              <c:showCatName val="0"/>
              <c:showSerName val="0"/>
              <c:showPercent val="0"/>
              <c:showBubbleSize val="0"/>
              <c:extLst>
                <c:ext xmlns:c15="http://schemas.microsoft.com/office/drawing/2012/chart" uri="{CE6537A1-D6FC-4f65-9D91-7224C49458BB}">
                  <c15:layout>
                    <c:manualLayout>
                      <c:w val="0.14099343090930044"/>
                      <c:h val="8.9359362111630466E-2"/>
                    </c:manualLayout>
                  </c15:layout>
                </c:ext>
                <c:ext xmlns:c16="http://schemas.microsoft.com/office/drawing/2014/chart" uri="{C3380CC4-5D6E-409C-BE32-E72D297353CC}">
                  <c16:uniqueId val="{00000010-A6AF-42DD-8139-CE99614788EF}"/>
                </c:ext>
              </c:extLst>
            </c:dLbl>
            <c:dLbl>
              <c:idx val="12"/>
              <c:layout>
                <c:manualLayout>
                  <c:x val="-6.746353605649473E-2"/>
                  <c:y val="-3.1558630782920073E-2"/>
                </c:manualLayout>
              </c:layout>
              <c:tx>
                <c:rich>
                  <a:bodyPr/>
                  <a:lstStyle/>
                  <a:p>
                    <a:r>
                      <a:rPr lang="en-US"/>
                      <a:t>Condensed tannins </a:t>
                    </a:r>
                  </a:p>
                </c:rich>
              </c:tx>
              <c:dLblPos val="r"/>
              <c:showLegendKey val="0"/>
              <c:showVal val="1"/>
              <c:showCatName val="0"/>
              <c:showSerName val="0"/>
              <c:showPercent val="0"/>
              <c:showBubbleSize val="0"/>
              <c:extLst>
                <c:ext xmlns:c15="http://schemas.microsoft.com/office/drawing/2012/chart" uri="{CE6537A1-D6FC-4f65-9D91-7224C49458BB}">
                  <c15:layout>
                    <c:manualLayout>
                      <c:w val="0.16699320041488996"/>
                      <c:h val="9.4858399780038488E-2"/>
                    </c:manualLayout>
                  </c15:layout>
                </c:ext>
                <c:ext xmlns:c16="http://schemas.microsoft.com/office/drawing/2014/chart" uri="{C3380CC4-5D6E-409C-BE32-E72D297353CC}">
                  <c16:uniqueId val="{00000011-A6AF-42DD-8139-CE99614788EF}"/>
                </c:ext>
              </c:extLst>
            </c:dLbl>
            <c:dLbl>
              <c:idx val="13"/>
              <c:layout>
                <c:manualLayout>
                  <c:x val="-7.3405391572797671E-2"/>
                  <c:y val="-2.3310074280308034E-2"/>
                </c:manualLayout>
              </c:layout>
              <c:tx>
                <c:rich>
                  <a:bodyPr/>
                  <a:lstStyle/>
                  <a:p>
                    <a:r>
                      <a:rPr lang="en-US"/>
                      <a:t>Total protein</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6AF-42DD-8139-CE99614788EF}"/>
                </c:ext>
              </c:extLst>
            </c:dLbl>
            <c:dLbl>
              <c:idx val="14"/>
              <c:layout>
                <c:manualLayout>
                  <c:x val="-0.1290768698859053"/>
                  <c:y val="1.3139236066758175E-3"/>
                </c:manualLayout>
              </c:layout>
              <c:tx>
                <c:rich>
                  <a:bodyPr/>
                  <a:lstStyle/>
                  <a:p>
                    <a:r>
                      <a:rPr lang="en-US"/>
                      <a:t>Available carbohydrate</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6AF-42DD-8139-CE99614788EF}"/>
                </c:ext>
              </c:extLst>
            </c:dLbl>
            <c:dLbl>
              <c:idx val="15"/>
              <c:layout>
                <c:manualLayout>
                  <c:x val="-7.3758211363374432E-2"/>
                  <c:y val="-2.6059593114512097E-2"/>
                </c:manualLayout>
              </c:layout>
              <c:tx>
                <c:rich>
                  <a:bodyPr/>
                  <a:lstStyle/>
                  <a:p>
                    <a:r>
                      <a:rPr lang="en-US"/>
                      <a:t>Total lipid</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6AF-42DD-8139-CE99614788EF}"/>
                </c:ext>
              </c:extLst>
            </c:dLbl>
            <c:dLbl>
              <c:idx val="16"/>
              <c:layout>
                <c:manualLayout>
                  <c:x val="-1.1524720525527171E-2"/>
                  <c:y val="-6.8129612750839974E-3"/>
                </c:manualLayout>
              </c:layout>
              <c:tx>
                <c:rich>
                  <a:bodyPr/>
                  <a:lstStyle/>
                  <a:p>
                    <a:r>
                      <a:rPr lang="en-US"/>
                      <a:t>Total ash</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6AF-42DD-8139-CE99614788EF}"/>
                </c:ext>
              </c:extLst>
            </c:dLbl>
            <c:dLbl>
              <c:idx val="17"/>
              <c:layout>
                <c:manualLayout>
                  <c:x val="-2.3049441051054512E-2"/>
                  <c:y val="-2.3310074280308034E-2"/>
                </c:manualLayout>
              </c:layout>
              <c:tx>
                <c:rich>
                  <a:bodyPr/>
                  <a:lstStyle/>
                  <a:p>
                    <a:r>
                      <a:rPr lang="en-US"/>
                      <a:t>Crude fibre</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6AF-42DD-8139-CE99614788EF}"/>
                </c:ext>
              </c:extLst>
            </c:dLbl>
            <c:dLbl>
              <c:idx val="18"/>
              <c:layout>
                <c:manualLayout>
                  <c:x val="-1.3829664630632791E-2"/>
                  <c:y val="-1.4355952275281968E-3"/>
                </c:manualLayout>
              </c:layout>
              <c:tx>
                <c:rich>
                  <a:bodyPr/>
                  <a:lstStyle/>
                  <a:p>
                    <a:r>
                      <a:rPr lang="en-US"/>
                      <a:t>Energy</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6AF-42DD-8139-CE99614788EF}"/>
                </c:ext>
              </c:extLst>
            </c:dLbl>
            <c:dLbl>
              <c:idx val="19"/>
              <c:layout>
                <c:manualLayout>
                  <c:x val="-4.2246721579993811E-2"/>
                  <c:y val="-2.6181264735364324E-2"/>
                </c:manualLayout>
              </c:layout>
              <c:tx>
                <c:rich>
                  <a:bodyPr/>
                  <a:lstStyle/>
                  <a:p>
                    <a:r>
                      <a:rPr lang="en-US"/>
                      <a:t>Fe</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6AF-42DD-8139-CE99614788EF}"/>
                </c:ext>
              </c:extLst>
            </c:dLbl>
            <c:dLbl>
              <c:idx val="20"/>
              <c:layout>
                <c:manualLayout>
                  <c:x val="-1.3297531078178441E-2"/>
                  <c:y val="-1.4355952275281968E-3"/>
                </c:manualLayout>
              </c:layout>
              <c:tx>
                <c:rich>
                  <a:bodyPr/>
                  <a:lstStyle/>
                  <a:p>
                    <a:r>
                      <a:rPr lang="en-US"/>
                      <a:t>Zn</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6AF-42DD-8139-CE99614788EF}"/>
                </c:ext>
              </c:extLst>
            </c:dLbl>
            <c:dLbl>
              <c:idx val="21"/>
              <c:layout>
                <c:manualLayout>
                  <c:x val="-5.199736111123715E-2"/>
                  <c:y val="-9.5624801092880109E-3"/>
                </c:manualLayout>
              </c:layout>
              <c:tx>
                <c:rich>
                  <a:bodyPr/>
                  <a:lstStyle/>
                  <a:p>
                    <a:r>
                      <a:rPr lang="en-US"/>
                      <a:t>Cu</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6AF-42DD-8139-CE99614788EF}"/>
                </c:ext>
              </c:extLst>
            </c:dLbl>
            <c:dLbl>
              <c:idx val="22"/>
              <c:layout>
                <c:manualLayout>
                  <c:x val="-4.7871692654760212E-2"/>
                  <c:y val="-2.056055544610402E-2"/>
                </c:manualLayout>
              </c:layout>
              <c:tx>
                <c:rich>
                  <a:bodyPr/>
                  <a:lstStyle/>
                  <a:p>
                    <a:r>
                      <a:rPr lang="en-US"/>
                      <a:t>Ca</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6AF-42DD-8139-CE99614788EF}"/>
                </c:ext>
              </c:extLst>
            </c:dLbl>
            <c:dLbl>
              <c:idx val="23"/>
              <c:layout>
                <c:manualLayout>
                  <c:x val="-5.219355359766388E-2"/>
                  <c:y val="1.5061517777695989E-2"/>
                </c:manualLayout>
              </c:layout>
              <c:tx>
                <c:rich>
                  <a:bodyPr/>
                  <a:lstStyle/>
                  <a:p>
                    <a:r>
                      <a:rPr lang="en-US"/>
                      <a:t>Mg</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6AF-42DD-8139-CE99614788EF}"/>
                </c:ext>
              </c:extLst>
            </c:dLbl>
            <c:dLbl>
              <c:idx val="24"/>
              <c:layout>
                <c:manualLayout>
                  <c:x val="-1.3297531078178482E-2"/>
                  <c:y val="1.2433670564344051E-2"/>
                </c:manualLayout>
              </c:layout>
              <c:tx>
                <c:rich>
                  <a:bodyPr/>
                  <a:lstStyle/>
                  <a:p>
                    <a:r>
                      <a:rPr lang="en-US"/>
                      <a:t>P</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A6AF-42DD-8139-CE99614788EF}"/>
                </c:ext>
              </c:extLst>
            </c:dLbl>
            <c:dLbl>
              <c:idx val="25"/>
              <c:layout>
                <c:manualLayout>
                  <c:x val="-4.2909529128957992E-2"/>
                  <c:y val="-1.2311998943492025E-2"/>
                </c:manualLayout>
              </c:layout>
              <c:tx>
                <c:rich>
                  <a:bodyPr/>
                  <a:lstStyle/>
                  <a:p>
                    <a:r>
                      <a:rPr lang="en-US"/>
                      <a:t>K</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A6AF-42DD-8139-CE99614788EF}"/>
                </c:ext>
              </c:extLst>
            </c:dLbl>
            <c:dLbl>
              <c:idx val="26"/>
              <c:layout>
                <c:manualLayout>
                  <c:x val="-3.8651916234338404E-2"/>
                  <c:y val="2.0682227066956195E-2"/>
                </c:manualLayout>
              </c:layout>
              <c:tx>
                <c:rich>
                  <a:bodyPr/>
                  <a:lstStyle/>
                  <a:p>
                    <a:r>
                      <a:rPr lang="en-US"/>
                      <a:t>Na</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A6AF-42DD-8139-CE99614788EF}"/>
                </c:ext>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ACP1_HID!$E$2:$E$28</c:f>
              <c:numCache>
                <c:formatCode>0</c:formatCode>
                <c:ptCount val="27"/>
                <c:pt idx="0">
                  <c:v>-2.1182088524580287</c:v>
                </c:pt>
                <c:pt idx="1">
                  <c:v>-2.0487728626218562</c:v>
                </c:pt>
                <c:pt idx="2">
                  <c:v>-0.29054805197749134</c:v>
                </c:pt>
                <c:pt idx="3">
                  <c:v>0.54033977960356205</c:v>
                </c:pt>
                <c:pt idx="4">
                  <c:v>2.2830670943463081</c:v>
                </c:pt>
                <c:pt idx="5">
                  <c:v>0.59380481033914856</c:v>
                </c:pt>
                <c:pt idx="6">
                  <c:v>2.055693910416148</c:v>
                </c:pt>
                <c:pt idx="7">
                  <c:v>2.0386949999041359</c:v>
                </c:pt>
                <c:pt idx="8">
                  <c:v>3.2915854460691816</c:v>
                </c:pt>
                <c:pt idx="9">
                  <c:v>3.1434020892902006</c:v>
                </c:pt>
                <c:pt idx="10">
                  <c:v>-2.5033191643625767</c:v>
                </c:pt>
                <c:pt idx="11">
                  <c:v>-2.4013615150031473</c:v>
                </c:pt>
                <c:pt idx="12">
                  <c:v>-1.565023195801065</c:v>
                </c:pt>
                <c:pt idx="13">
                  <c:v>-0.84109206561186822</c:v>
                </c:pt>
                <c:pt idx="14">
                  <c:v>0.27924778937005451</c:v>
                </c:pt>
                <c:pt idx="15">
                  <c:v>1.2383762311277653</c:v>
                </c:pt>
                <c:pt idx="16">
                  <c:v>3.4415676765668692</c:v>
                </c:pt>
                <c:pt idx="17">
                  <c:v>2.6485986789486402</c:v>
                </c:pt>
                <c:pt idx="18">
                  <c:v>0.93104079627957004</c:v>
                </c:pt>
                <c:pt idx="19">
                  <c:v>-2.3682936767033969</c:v>
                </c:pt>
                <c:pt idx="20">
                  <c:v>-2.3682936767033973</c:v>
                </c:pt>
                <c:pt idx="21">
                  <c:v>-2.8106328869176442</c:v>
                </c:pt>
                <c:pt idx="22">
                  <c:v>-3.4341850891513954</c:v>
                </c:pt>
                <c:pt idx="23">
                  <c:v>-3.2047095354369137</c:v>
                </c:pt>
                <c:pt idx="24">
                  <c:v>-3.3445827936970982</c:v>
                </c:pt>
                <c:pt idx="25">
                  <c:v>-3.3337531744487925</c:v>
                </c:pt>
                <c:pt idx="26">
                  <c:v>-3.3469095931315533</c:v>
                </c:pt>
              </c:numCache>
            </c:numRef>
          </c:xVal>
          <c:yVal>
            <c:numRef>
              <c:f>ACP1_HID!$F$2:$F$28</c:f>
              <c:numCache>
                <c:formatCode>0</c:formatCode>
                <c:ptCount val="27"/>
                <c:pt idx="0">
                  <c:v>0.59315435120922577</c:v>
                </c:pt>
                <c:pt idx="1">
                  <c:v>0.59588499814303564</c:v>
                </c:pt>
                <c:pt idx="2">
                  <c:v>0.52753757136442292</c:v>
                </c:pt>
                <c:pt idx="3">
                  <c:v>-4.3930106175572003</c:v>
                </c:pt>
                <c:pt idx="4">
                  <c:v>2.640199976241064</c:v>
                </c:pt>
                <c:pt idx="5">
                  <c:v>4.3946698359206104</c:v>
                </c:pt>
                <c:pt idx="6">
                  <c:v>0.29858805467774652</c:v>
                </c:pt>
                <c:pt idx="7">
                  <c:v>0.57303972536582137</c:v>
                </c:pt>
                <c:pt idx="8">
                  <c:v>-0.88633136156342118</c:v>
                </c:pt>
                <c:pt idx="9">
                  <c:v>-0.7892586699315699</c:v>
                </c:pt>
                <c:pt idx="10">
                  <c:v>3.1180807980368765</c:v>
                </c:pt>
                <c:pt idx="11">
                  <c:v>-3.241316357721487</c:v>
                </c:pt>
                <c:pt idx="12">
                  <c:v>3.9916278132929093</c:v>
                </c:pt>
                <c:pt idx="13">
                  <c:v>2.2024684952679716</c:v>
                </c:pt>
                <c:pt idx="14">
                  <c:v>-3.9335087747415534</c:v>
                </c:pt>
                <c:pt idx="15">
                  <c:v>1.5157251395692233</c:v>
                </c:pt>
                <c:pt idx="16">
                  <c:v>0.2962951619885707</c:v>
                </c:pt>
                <c:pt idx="17">
                  <c:v>1.3088859176058996</c:v>
                </c:pt>
                <c:pt idx="18">
                  <c:v>-3.9690745055607306</c:v>
                </c:pt>
                <c:pt idx="19">
                  <c:v>-3.2769920569079045</c:v>
                </c:pt>
                <c:pt idx="20">
                  <c:v>-3.2769920569079036</c:v>
                </c:pt>
                <c:pt idx="21">
                  <c:v>2.6471732702707449</c:v>
                </c:pt>
                <c:pt idx="22">
                  <c:v>0.65349210114108003</c:v>
                </c:pt>
                <c:pt idx="23">
                  <c:v>-0.96853635452065934</c:v>
                </c:pt>
                <c:pt idx="24">
                  <c:v>0.58717235233636222</c:v>
                </c:pt>
                <c:pt idx="25">
                  <c:v>6.9653632660554021E-2</c:v>
                </c:pt>
                <c:pt idx="26">
                  <c:v>6.2777712789076914E-2</c:v>
                </c:pt>
              </c:numCache>
            </c:numRef>
          </c:yVal>
          <c:smooth val="0"/>
          <c:extLst>
            <c:ext xmlns:c16="http://schemas.microsoft.com/office/drawing/2014/chart" uri="{C3380CC4-5D6E-409C-BE32-E72D297353CC}">
              <c16:uniqueId val="{00000020-A6AF-42DD-8139-CE99614788EF}"/>
            </c:ext>
          </c:extLst>
        </c:ser>
        <c:ser>
          <c:idx val="2"/>
          <c:order val="2"/>
          <c:spPr>
            <a:ln w="12700">
              <a:solidFill>
                <a:srgbClr val="FF0000"/>
              </a:solidFill>
              <a:prstDash val="solid"/>
            </a:ln>
          </c:spPr>
          <c:marker>
            <c:symbol val="none"/>
          </c:marker>
          <c:xVal>
            <c:numLit>
              <c:formatCode>General</c:formatCode>
              <c:ptCount val="2"/>
              <c:pt idx="0">
                <c:v>0</c:v>
              </c:pt>
              <c:pt idx="1">
                <c:v>-2.1182088524580287</c:v>
              </c:pt>
            </c:numLit>
          </c:xVal>
          <c:yVal>
            <c:numLit>
              <c:formatCode>General</c:formatCode>
              <c:ptCount val="2"/>
              <c:pt idx="0">
                <c:v>0</c:v>
              </c:pt>
              <c:pt idx="1">
                <c:v>0.59315435120922577</c:v>
              </c:pt>
            </c:numLit>
          </c:yVal>
          <c:smooth val="0"/>
          <c:extLst>
            <c:ext xmlns:c16="http://schemas.microsoft.com/office/drawing/2014/chart" uri="{C3380CC4-5D6E-409C-BE32-E72D297353CC}">
              <c16:uniqueId val="{00000021-A6AF-42DD-8139-CE99614788EF}"/>
            </c:ext>
          </c:extLst>
        </c:ser>
        <c:ser>
          <c:idx val="3"/>
          <c:order val="3"/>
          <c:spPr>
            <a:ln w="12700">
              <a:solidFill>
                <a:srgbClr val="FF0000"/>
              </a:solidFill>
              <a:prstDash val="solid"/>
            </a:ln>
          </c:spPr>
          <c:marker>
            <c:symbol val="none"/>
          </c:marker>
          <c:xVal>
            <c:numLit>
              <c:formatCode>General</c:formatCode>
              <c:ptCount val="2"/>
              <c:pt idx="0">
                <c:v>0</c:v>
              </c:pt>
              <c:pt idx="1">
                <c:v>-2.0487728626218562</c:v>
              </c:pt>
            </c:numLit>
          </c:xVal>
          <c:yVal>
            <c:numLit>
              <c:formatCode>General</c:formatCode>
              <c:ptCount val="2"/>
              <c:pt idx="0">
                <c:v>0</c:v>
              </c:pt>
              <c:pt idx="1">
                <c:v>0.59588499814303564</c:v>
              </c:pt>
            </c:numLit>
          </c:yVal>
          <c:smooth val="0"/>
          <c:extLst>
            <c:ext xmlns:c16="http://schemas.microsoft.com/office/drawing/2014/chart" uri="{C3380CC4-5D6E-409C-BE32-E72D297353CC}">
              <c16:uniqueId val="{00000022-A6AF-42DD-8139-CE99614788EF}"/>
            </c:ext>
          </c:extLst>
        </c:ser>
        <c:ser>
          <c:idx val="4"/>
          <c:order val="4"/>
          <c:spPr>
            <a:ln w="12700">
              <a:solidFill>
                <a:srgbClr val="FF0000"/>
              </a:solidFill>
              <a:prstDash val="solid"/>
            </a:ln>
          </c:spPr>
          <c:marker>
            <c:symbol val="none"/>
          </c:marker>
          <c:xVal>
            <c:numLit>
              <c:formatCode>General</c:formatCode>
              <c:ptCount val="2"/>
              <c:pt idx="0">
                <c:v>0</c:v>
              </c:pt>
              <c:pt idx="1">
                <c:v>-0.29054805197749134</c:v>
              </c:pt>
            </c:numLit>
          </c:xVal>
          <c:yVal>
            <c:numLit>
              <c:formatCode>General</c:formatCode>
              <c:ptCount val="2"/>
              <c:pt idx="0">
                <c:v>0</c:v>
              </c:pt>
              <c:pt idx="1">
                <c:v>0.52753757136442292</c:v>
              </c:pt>
            </c:numLit>
          </c:yVal>
          <c:smooth val="0"/>
          <c:extLst>
            <c:ext xmlns:c16="http://schemas.microsoft.com/office/drawing/2014/chart" uri="{C3380CC4-5D6E-409C-BE32-E72D297353CC}">
              <c16:uniqueId val="{00000023-A6AF-42DD-8139-CE99614788EF}"/>
            </c:ext>
          </c:extLst>
        </c:ser>
        <c:ser>
          <c:idx val="5"/>
          <c:order val="5"/>
          <c:spPr>
            <a:ln w="12700">
              <a:solidFill>
                <a:srgbClr val="FF0000"/>
              </a:solidFill>
              <a:prstDash val="solid"/>
            </a:ln>
          </c:spPr>
          <c:marker>
            <c:symbol val="none"/>
          </c:marker>
          <c:xVal>
            <c:numLit>
              <c:formatCode>General</c:formatCode>
              <c:ptCount val="2"/>
              <c:pt idx="0">
                <c:v>0</c:v>
              </c:pt>
              <c:pt idx="1">
                <c:v>0.54033977960356205</c:v>
              </c:pt>
            </c:numLit>
          </c:xVal>
          <c:yVal>
            <c:numLit>
              <c:formatCode>General</c:formatCode>
              <c:ptCount val="2"/>
              <c:pt idx="0">
                <c:v>0</c:v>
              </c:pt>
              <c:pt idx="1">
                <c:v>-4.3930106175572003</c:v>
              </c:pt>
            </c:numLit>
          </c:yVal>
          <c:smooth val="0"/>
          <c:extLst>
            <c:ext xmlns:c16="http://schemas.microsoft.com/office/drawing/2014/chart" uri="{C3380CC4-5D6E-409C-BE32-E72D297353CC}">
              <c16:uniqueId val="{00000024-A6AF-42DD-8139-CE99614788EF}"/>
            </c:ext>
          </c:extLst>
        </c:ser>
        <c:ser>
          <c:idx val="6"/>
          <c:order val="6"/>
          <c:spPr>
            <a:ln w="12700">
              <a:solidFill>
                <a:srgbClr val="FF0000"/>
              </a:solidFill>
              <a:prstDash val="solid"/>
            </a:ln>
          </c:spPr>
          <c:marker>
            <c:symbol val="none"/>
          </c:marker>
          <c:xVal>
            <c:numLit>
              <c:formatCode>General</c:formatCode>
              <c:ptCount val="2"/>
              <c:pt idx="0">
                <c:v>0</c:v>
              </c:pt>
              <c:pt idx="1">
                <c:v>2.2830670943463081</c:v>
              </c:pt>
            </c:numLit>
          </c:xVal>
          <c:yVal>
            <c:numLit>
              <c:formatCode>General</c:formatCode>
              <c:ptCount val="2"/>
              <c:pt idx="0">
                <c:v>0</c:v>
              </c:pt>
              <c:pt idx="1">
                <c:v>2.640199976241064</c:v>
              </c:pt>
            </c:numLit>
          </c:yVal>
          <c:smooth val="0"/>
          <c:extLst>
            <c:ext xmlns:c16="http://schemas.microsoft.com/office/drawing/2014/chart" uri="{C3380CC4-5D6E-409C-BE32-E72D297353CC}">
              <c16:uniqueId val="{00000025-A6AF-42DD-8139-CE99614788EF}"/>
            </c:ext>
          </c:extLst>
        </c:ser>
        <c:ser>
          <c:idx val="7"/>
          <c:order val="7"/>
          <c:spPr>
            <a:ln w="12700">
              <a:solidFill>
                <a:srgbClr val="FF0000"/>
              </a:solidFill>
              <a:prstDash val="solid"/>
            </a:ln>
          </c:spPr>
          <c:marker>
            <c:symbol val="none"/>
          </c:marker>
          <c:xVal>
            <c:numLit>
              <c:formatCode>General</c:formatCode>
              <c:ptCount val="2"/>
              <c:pt idx="0">
                <c:v>0</c:v>
              </c:pt>
              <c:pt idx="1">
                <c:v>0.59380481033914856</c:v>
              </c:pt>
            </c:numLit>
          </c:xVal>
          <c:yVal>
            <c:numLit>
              <c:formatCode>General</c:formatCode>
              <c:ptCount val="2"/>
              <c:pt idx="0">
                <c:v>0</c:v>
              </c:pt>
              <c:pt idx="1">
                <c:v>4.3946698359206104</c:v>
              </c:pt>
            </c:numLit>
          </c:yVal>
          <c:smooth val="0"/>
          <c:extLst>
            <c:ext xmlns:c16="http://schemas.microsoft.com/office/drawing/2014/chart" uri="{C3380CC4-5D6E-409C-BE32-E72D297353CC}">
              <c16:uniqueId val="{00000026-A6AF-42DD-8139-CE99614788EF}"/>
            </c:ext>
          </c:extLst>
        </c:ser>
        <c:ser>
          <c:idx val="8"/>
          <c:order val="8"/>
          <c:spPr>
            <a:ln w="12700">
              <a:solidFill>
                <a:srgbClr val="FF0000"/>
              </a:solidFill>
              <a:prstDash val="solid"/>
            </a:ln>
          </c:spPr>
          <c:marker>
            <c:symbol val="none"/>
          </c:marker>
          <c:xVal>
            <c:numLit>
              <c:formatCode>General</c:formatCode>
              <c:ptCount val="2"/>
              <c:pt idx="0">
                <c:v>0</c:v>
              </c:pt>
              <c:pt idx="1">
                <c:v>2.055693910416148</c:v>
              </c:pt>
            </c:numLit>
          </c:xVal>
          <c:yVal>
            <c:numLit>
              <c:formatCode>General</c:formatCode>
              <c:ptCount val="2"/>
              <c:pt idx="0">
                <c:v>0</c:v>
              </c:pt>
              <c:pt idx="1">
                <c:v>0.29858805467774652</c:v>
              </c:pt>
            </c:numLit>
          </c:yVal>
          <c:smooth val="0"/>
          <c:extLst>
            <c:ext xmlns:c16="http://schemas.microsoft.com/office/drawing/2014/chart" uri="{C3380CC4-5D6E-409C-BE32-E72D297353CC}">
              <c16:uniqueId val="{00000027-A6AF-42DD-8139-CE99614788EF}"/>
            </c:ext>
          </c:extLst>
        </c:ser>
        <c:ser>
          <c:idx val="9"/>
          <c:order val="9"/>
          <c:spPr>
            <a:ln w="12700">
              <a:solidFill>
                <a:srgbClr val="FF0000"/>
              </a:solidFill>
              <a:prstDash val="solid"/>
            </a:ln>
          </c:spPr>
          <c:marker>
            <c:symbol val="none"/>
          </c:marker>
          <c:xVal>
            <c:numLit>
              <c:formatCode>General</c:formatCode>
              <c:ptCount val="2"/>
              <c:pt idx="0">
                <c:v>0</c:v>
              </c:pt>
              <c:pt idx="1">
                <c:v>2.0386949999041359</c:v>
              </c:pt>
            </c:numLit>
          </c:xVal>
          <c:yVal>
            <c:numLit>
              <c:formatCode>General</c:formatCode>
              <c:ptCount val="2"/>
              <c:pt idx="0">
                <c:v>0</c:v>
              </c:pt>
              <c:pt idx="1">
                <c:v>0.57303972536582137</c:v>
              </c:pt>
            </c:numLit>
          </c:yVal>
          <c:smooth val="0"/>
          <c:extLst>
            <c:ext xmlns:c16="http://schemas.microsoft.com/office/drawing/2014/chart" uri="{C3380CC4-5D6E-409C-BE32-E72D297353CC}">
              <c16:uniqueId val="{00000028-A6AF-42DD-8139-CE99614788EF}"/>
            </c:ext>
          </c:extLst>
        </c:ser>
        <c:ser>
          <c:idx val="10"/>
          <c:order val="10"/>
          <c:spPr>
            <a:ln w="12700">
              <a:solidFill>
                <a:srgbClr val="FF0000"/>
              </a:solidFill>
              <a:prstDash val="solid"/>
            </a:ln>
          </c:spPr>
          <c:marker>
            <c:symbol val="none"/>
          </c:marker>
          <c:xVal>
            <c:numLit>
              <c:formatCode>General</c:formatCode>
              <c:ptCount val="2"/>
              <c:pt idx="0">
                <c:v>0</c:v>
              </c:pt>
              <c:pt idx="1">
                <c:v>3.2915854460691816</c:v>
              </c:pt>
            </c:numLit>
          </c:xVal>
          <c:yVal>
            <c:numLit>
              <c:formatCode>General</c:formatCode>
              <c:ptCount val="2"/>
              <c:pt idx="0">
                <c:v>0</c:v>
              </c:pt>
              <c:pt idx="1">
                <c:v>-0.88633136156342118</c:v>
              </c:pt>
            </c:numLit>
          </c:yVal>
          <c:smooth val="0"/>
          <c:extLst>
            <c:ext xmlns:c16="http://schemas.microsoft.com/office/drawing/2014/chart" uri="{C3380CC4-5D6E-409C-BE32-E72D297353CC}">
              <c16:uniqueId val="{00000029-A6AF-42DD-8139-CE99614788EF}"/>
            </c:ext>
          </c:extLst>
        </c:ser>
        <c:ser>
          <c:idx val="11"/>
          <c:order val="11"/>
          <c:spPr>
            <a:ln w="12700">
              <a:solidFill>
                <a:srgbClr val="FF0000"/>
              </a:solidFill>
              <a:prstDash val="solid"/>
            </a:ln>
          </c:spPr>
          <c:marker>
            <c:symbol val="none"/>
          </c:marker>
          <c:xVal>
            <c:numLit>
              <c:formatCode>General</c:formatCode>
              <c:ptCount val="2"/>
              <c:pt idx="0">
                <c:v>0</c:v>
              </c:pt>
              <c:pt idx="1">
                <c:v>3.1434020892902006</c:v>
              </c:pt>
            </c:numLit>
          </c:xVal>
          <c:yVal>
            <c:numLit>
              <c:formatCode>General</c:formatCode>
              <c:ptCount val="2"/>
              <c:pt idx="0">
                <c:v>0</c:v>
              </c:pt>
              <c:pt idx="1">
                <c:v>-0.7892586699315699</c:v>
              </c:pt>
            </c:numLit>
          </c:yVal>
          <c:smooth val="0"/>
          <c:extLst>
            <c:ext xmlns:c16="http://schemas.microsoft.com/office/drawing/2014/chart" uri="{C3380CC4-5D6E-409C-BE32-E72D297353CC}">
              <c16:uniqueId val="{0000002A-A6AF-42DD-8139-CE99614788EF}"/>
            </c:ext>
          </c:extLst>
        </c:ser>
        <c:ser>
          <c:idx val="12"/>
          <c:order val="12"/>
          <c:spPr>
            <a:ln w="12700">
              <a:solidFill>
                <a:srgbClr val="FF0000"/>
              </a:solidFill>
              <a:prstDash val="solid"/>
            </a:ln>
          </c:spPr>
          <c:marker>
            <c:symbol val="none"/>
          </c:marker>
          <c:xVal>
            <c:numLit>
              <c:formatCode>General</c:formatCode>
              <c:ptCount val="2"/>
              <c:pt idx="0">
                <c:v>0</c:v>
              </c:pt>
              <c:pt idx="1">
                <c:v>-2.5033191643625767</c:v>
              </c:pt>
            </c:numLit>
          </c:xVal>
          <c:yVal>
            <c:numLit>
              <c:formatCode>General</c:formatCode>
              <c:ptCount val="2"/>
              <c:pt idx="0">
                <c:v>0</c:v>
              </c:pt>
              <c:pt idx="1">
                <c:v>3.1180807980368765</c:v>
              </c:pt>
            </c:numLit>
          </c:yVal>
          <c:smooth val="0"/>
          <c:extLst>
            <c:ext xmlns:c16="http://schemas.microsoft.com/office/drawing/2014/chart" uri="{C3380CC4-5D6E-409C-BE32-E72D297353CC}">
              <c16:uniqueId val="{0000002B-A6AF-42DD-8139-CE99614788EF}"/>
            </c:ext>
          </c:extLst>
        </c:ser>
        <c:ser>
          <c:idx val="13"/>
          <c:order val="13"/>
          <c:spPr>
            <a:ln w="12700">
              <a:solidFill>
                <a:srgbClr val="FF0000"/>
              </a:solidFill>
              <a:prstDash val="solid"/>
            </a:ln>
          </c:spPr>
          <c:marker>
            <c:symbol val="none"/>
          </c:marker>
          <c:xVal>
            <c:numLit>
              <c:formatCode>General</c:formatCode>
              <c:ptCount val="2"/>
              <c:pt idx="0">
                <c:v>0</c:v>
              </c:pt>
              <c:pt idx="1">
                <c:v>-2.4013615150031473</c:v>
              </c:pt>
            </c:numLit>
          </c:xVal>
          <c:yVal>
            <c:numLit>
              <c:formatCode>General</c:formatCode>
              <c:ptCount val="2"/>
              <c:pt idx="0">
                <c:v>0</c:v>
              </c:pt>
              <c:pt idx="1">
                <c:v>-3.241316357721487</c:v>
              </c:pt>
            </c:numLit>
          </c:yVal>
          <c:smooth val="0"/>
          <c:extLst>
            <c:ext xmlns:c16="http://schemas.microsoft.com/office/drawing/2014/chart" uri="{C3380CC4-5D6E-409C-BE32-E72D297353CC}">
              <c16:uniqueId val="{0000002C-A6AF-42DD-8139-CE99614788EF}"/>
            </c:ext>
          </c:extLst>
        </c:ser>
        <c:ser>
          <c:idx val="14"/>
          <c:order val="14"/>
          <c:spPr>
            <a:ln w="12700">
              <a:solidFill>
                <a:srgbClr val="FF0000"/>
              </a:solidFill>
              <a:prstDash val="solid"/>
            </a:ln>
          </c:spPr>
          <c:marker>
            <c:symbol val="none"/>
          </c:marker>
          <c:xVal>
            <c:numLit>
              <c:formatCode>General</c:formatCode>
              <c:ptCount val="2"/>
              <c:pt idx="0">
                <c:v>0</c:v>
              </c:pt>
              <c:pt idx="1">
                <c:v>-1.565023195801065</c:v>
              </c:pt>
            </c:numLit>
          </c:xVal>
          <c:yVal>
            <c:numLit>
              <c:formatCode>General</c:formatCode>
              <c:ptCount val="2"/>
              <c:pt idx="0">
                <c:v>0</c:v>
              </c:pt>
              <c:pt idx="1">
                <c:v>3.9916278132929093</c:v>
              </c:pt>
            </c:numLit>
          </c:yVal>
          <c:smooth val="0"/>
          <c:extLst>
            <c:ext xmlns:c16="http://schemas.microsoft.com/office/drawing/2014/chart" uri="{C3380CC4-5D6E-409C-BE32-E72D297353CC}">
              <c16:uniqueId val="{0000002D-A6AF-42DD-8139-CE99614788EF}"/>
            </c:ext>
          </c:extLst>
        </c:ser>
        <c:ser>
          <c:idx val="15"/>
          <c:order val="15"/>
          <c:spPr>
            <a:ln w="12700">
              <a:solidFill>
                <a:srgbClr val="FF0000"/>
              </a:solidFill>
              <a:prstDash val="solid"/>
            </a:ln>
          </c:spPr>
          <c:marker>
            <c:symbol val="none"/>
          </c:marker>
          <c:xVal>
            <c:numLit>
              <c:formatCode>General</c:formatCode>
              <c:ptCount val="2"/>
              <c:pt idx="0">
                <c:v>0</c:v>
              </c:pt>
              <c:pt idx="1">
                <c:v>-0.84109206561186822</c:v>
              </c:pt>
            </c:numLit>
          </c:xVal>
          <c:yVal>
            <c:numLit>
              <c:formatCode>General</c:formatCode>
              <c:ptCount val="2"/>
              <c:pt idx="0">
                <c:v>0</c:v>
              </c:pt>
              <c:pt idx="1">
                <c:v>2.2024684952679716</c:v>
              </c:pt>
            </c:numLit>
          </c:yVal>
          <c:smooth val="0"/>
          <c:extLst>
            <c:ext xmlns:c16="http://schemas.microsoft.com/office/drawing/2014/chart" uri="{C3380CC4-5D6E-409C-BE32-E72D297353CC}">
              <c16:uniqueId val="{0000002E-A6AF-42DD-8139-CE99614788EF}"/>
            </c:ext>
          </c:extLst>
        </c:ser>
        <c:ser>
          <c:idx val="16"/>
          <c:order val="16"/>
          <c:spPr>
            <a:ln w="12700">
              <a:solidFill>
                <a:srgbClr val="FF0000"/>
              </a:solidFill>
              <a:prstDash val="solid"/>
            </a:ln>
          </c:spPr>
          <c:marker>
            <c:symbol val="none"/>
          </c:marker>
          <c:xVal>
            <c:numLit>
              <c:formatCode>General</c:formatCode>
              <c:ptCount val="2"/>
              <c:pt idx="0">
                <c:v>0</c:v>
              </c:pt>
              <c:pt idx="1">
                <c:v>0.27924778937005451</c:v>
              </c:pt>
            </c:numLit>
          </c:xVal>
          <c:yVal>
            <c:numLit>
              <c:formatCode>General</c:formatCode>
              <c:ptCount val="2"/>
              <c:pt idx="0">
                <c:v>0</c:v>
              </c:pt>
              <c:pt idx="1">
                <c:v>-3.9335087747415534</c:v>
              </c:pt>
            </c:numLit>
          </c:yVal>
          <c:smooth val="0"/>
          <c:extLst>
            <c:ext xmlns:c16="http://schemas.microsoft.com/office/drawing/2014/chart" uri="{C3380CC4-5D6E-409C-BE32-E72D297353CC}">
              <c16:uniqueId val="{0000002F-A6AF-42DD-8139-CE99614788EF}"/>
            </c:ext>
          </c:extLst>
        </c:ser>
        <c:ser>
          <c:idx val="17"/>
          <c:order val="17"/>
          <c:spPr>
            <a:ln w="12700">
              <a:solidFill>
                <a:srgbClr val="FF0000"/>
              </a:solidFill>
              <a:prstDash val="solid"/>
            </a:ln>
          </c:spPr>
          <c:marker>
            <c:symbol val="none"/>
          </c:marker>
          <c:xVal>
            <c:numLit>
              <c:formatCode>General</c:formatCode>
              <c:ptCount val="2"/>
              <c:pt idx="0">
                <c:v>0</c:v>
              </c:pt>
              <c:pt idx="1">
                <c:v>1.2383762311277653</c:v>
              </c:pt>
            </c:numLit>
          </c:xVal>
          <c:yVal>
            <c:numLit>
              <c:formatCode>General</c:formatCode>
              <c:ptCount val="2"/>
              <c:pt idx="0">
                <c:v>0</c:v>
              </c:pt>
              <c:pt idx="1">
                <c:v>1.5157251395692233</c:v>
              </c:pt>
            </c:numLit>
          </c:yVal>
          <c:smooth val="0"/>
          <c:extLst>
            <c:ext xmlns:c16="http://schemas.microsoft.com/office/drawing/2014/chart" uri="{C3380CC4-5D6E-409C-BE32-E72D297353CC}">
              <c16:uniqueId val="{00000030-A6AF-42DD-8139-CE99614788EF}"/>
            </c:ext>
          </c:extLst>
        </c:ser>
        <c:ser>
          <c:idx val="18"/>
          <c:order val="18"/>
          <c:spPr>
            <a:ln w="12700">
              <a:solidFill>
                <a:srgbClr val="FF0000"/>
              </a:solidFill>
              <a:prstDash val="solid"/>
            </a:ln>
          </c:spPr>
          <c:marker>
            <c:symbol val="none"/>
          </c:marker>
          <c:xVal>
            <c:numLit>
              <c:formatCode>General</c:formatCode>
              <c:ptCount val="2"/>
              <c:pt idx="0">
                <c:v>0</c:v>
              </c:pt>
              <c:pt idx="1">
                <c:v>3.4415676765668692</c:v>
              </c:pt>
            </c:numLit>
          </c:xVal>
          <c:yVal>
            <c:numLit>
              <c:formatCode>General</c:formatCode>
              <c:ptCount val="2"/>
              <c:pt idx="0">
                <c:v>0</c:v>
              </c:pt>
              <c:pt idx="1">
                <c:v>0.2962951619885707</c:v>
              </c:pt>
            </c:numLit>
          </c:yVal>
          <c:smooth val="0"/>
          <c:extLst>
            <c:ext xmlns:c16="http://schemas.microsoft.com/office/drawing/2014/chart" uri="{C3380CC4-5D6E-409C-BE32-E72D297353CC}">
              <c16:uniqueId val="{00000031-A6AF-42DD-8139-CE99614788EF}"/>
            </c:ext>
          </c:extLst>
        </c:ser>
        <c:ser>
          <c:idx val="19"/>
          <c:order val="19"/>
          <c:spPr>
            <a:ln w="12700">
              <a:solidFill>
                <a:srgbClr val="FF0000"/>
              </a:solidFill>
              <a:prstDash val="solid"/>
            </a:ln>
          </c:spPr>
          <c:marker>
            <c:symbol val="none"/>
          </c:marker>
          <c:xVal>
            <c:numLit>
              <c:formatCode>General</c:formatCode>
              <c:ptCount val="2"/>
              <c:pt idx="0">
                <c:v>0</c:v>
              </c:pt>
              <c:pt idx="1">
                <c:v>2.6485986789486402</c:v>
              </c:pt>
            </c:numLit>
          </c:xVal>
          <c:yVal>
            <c:numLit>
              <c:formatCode>General</c:formatCode>
              <c:ptCount val="2"/>
              <c:pt idx="0">
                <c:v>0</c:v>
              </c:pt>
              <c:pt idx="1">
                <c:v>1.3088859176058996</c:v>
              </c:pt>
            </c:numLit>
          </c:yVal>
          <c:smooth val="0"/>
          <c:extLst>
            <c:ext xmlns:c16="http://schemas.microsoft.com/office/drawing/2014/chart" uri="{C3380CC4-5D6E-409C-BE32-E72D297353CC}">
              <c16:uniqueId val="{00000032-A6AF-42DD-8139-CE99614788EF}"/>
            </c:ext>
          </c:extLst>
        </c:ser>
        <c:ser>
          <c:idx val="20"/>
          <c:order val="20"/>
          <c:spPr>
            <a:ln w="12700">
              <a:solidFill>
                <a:srgbClr val="FF0000"/>
              </a:solidFill>
              <a:prstDash val="solid"/>
            </a:ln>
          </c:spPr>
          <c:marker>
            <c:symbol val="none"/>
          </c:marker>
          <c:xVal>
            <c:numLit>
              <c:formatCode>General</c:formatCode>
              <c:ptCount val="2"/>
              <c:pt idx="0">
                <c:v>0</c:v>
              </c:pt>
              <c:pt idx="1">
                <c:v>0.93104079627957004</c:v>
              </c:pt>
            </c:numLit>
          </c:xVal>
          <c:yVal>
            <c:numLit>
              <c:formatCode>General</c:formatCode>
              <c:ptCount val="2"/>
              <c:pt idx="0">
                <c:v>0</c:v>
              </c:pt>
              <c:pt idx="1">
                <c:v>-3.9690745055607306</c:v>
              </c:pt>
            </c:numLit>
          </c:yVal>
          <c:smooth val="0"/>
          <c:extLst>
            <c:ext xmlns:c16="http://schemas.microsoft.com/office/drawing/2014/chart" uri="{C3380CC4-5D6E-409C-BE32-E72D297353CC}">
              <c16:uniqueId val="{00000033-A6AF-42DD-8139-CE99614788EF}"/>
            </c:ext>
          </c:extLst>
        </c:ser>
        <c:ser>
          <c:idx val="21"/>
          <c:order val="21"/>
          <c:spPr>
            <a:ln w="12700">
              <a:solidFill>
                <a:srgbClr val="FF0000"/>
              </a:solidFill>
              <a:prstDash val="solid"/>
            </a:ln>
          </c:spPr>
          <c:marker>
            <c:symbol val="none"/>
          </c:marker>
          <c:xVal>
            <c:numLit>
              <c:formatCode>General</c:formatCode>
              <c:ptCount val="2"/>
              <c:pt idx="0">
                <c:v>0</c:v>
              </c:pt>
              <c:pt idx="1">
                <c:v>-2.3682936767033969</c:v>
              </c:pt>
            </c:numLit>
          </c:xVal>
          <c:yVal>
            <c:numLit>
              <c:formatCode>General</c:formatCode>
              <c:ptCount val="2"/>
              <c:pt idx="0">
                <c:v>0</c:v>
              </c:pt>
              <c:pt idx="1">
                <c:v>-3.2769920569079045</c:v>
              </c:pt>
            </c:numLit>
          </c:yVal>
          <c:smooth val="0"/>
          <c:extLst>
            <c:ext xmlns:c16="http://schemas.microsoft.com/office/drawing/2014/chart" uri="{C3380CC4-5D6E-409C-BE32-E72D297353CC}">
              <c16:uniqueId val="{00000034-A6AF-42DD-8139-CE99614788EF}"/>
            </c:ext>
          </c:extLst>
        </c:ser>
        <c:ser>
          <c:idx val="22"/>
          <c:order val="22"/>
          <c:spPr>
            <a:ln w="12700">
              <a:solidFill>
                <a:srgbClr val="FF0000"/>
              </a:solidFill>
              <a:prstDash val="solid"/>
            </a:ln>
          </c:spPr>
          <c:marker>
            <c:symbol val="none"/>
          </c:marker>
          <c:xVal>
            <c:numLit>
              <c:formatCode>General</c:formatCode>
              <c:ptCount val="2"/>
              <c:pt idx="0">
                <c:v>0</c:v>
              </c:pt>
              <c:pt idx="1">
                <c:v>-2.3682936767033973</c:v>
              </c:pt>
            </c:numLit>
          </c:xVal>
          <c:yVal>
            <c:numLit>
              <c:formatCode>General</c:formatCode>
              <c:ptCount val="2"/>
              <c:pt idx="0">
                <c:v>0</c:v>
              </c:pt>
              <c:pt idx="1">
                <c:v>-3.2769920569079036</c:v>
              </c:pt>
            </c:numLit>
          </c:yVal>
          <c:smooth val="0"/>
          <c:extLst>
            <c:ext xmlns:c16="http://schemas.microsoft.com/office/drawing/2014/chart" uri="{C3380CC4-5D6E-409C-BE32-E72D297353CC}">
              <c16:uniqueId val="{00000035-A6AF-42DD-8139-CE99614788EF}"/>
            </c:ext>
          </c:extLst>
        </c:ser>
        <c:ser>
          <c:idx val="23"/>
          <c:order val="23"/>
          <c:spPr>
            <a:ln w="12700">
              <a:solidFill>
                <a:srgbClr val="FF0000"/>
              </a:solidFill>
              <a:prstDash val="solid"/>
            </a:ln>
          </c:spPr>
          <c:marker>
            <c:symbol val="none"/>
          </c:marker>
          <c:xVal>
            <c:numLit>
              <c:formatCode>General</c:formatCode>
              <c:ptCount val="2"/>
              <c:pt idx="0">
                <c:v>0</c:v>
              </c:pt>
              <c:pt idx="1">
                <c:v>-2.8106328869176442</c:v>
              </c:pt>
            </c:numLit>
          </c:xVal>
          <c:yVal>
            <c:numLit>
              <c:formatCode>General</c:formatCode>
              <c:ptCount val="2"/>
              <c:pt idx="0">
                <c:v>0</c:v>
              </c:pt>
              <c:pt idx="1">
                <c:v>2.6471732702707449</c:v>
              </c:pt>
            </c:numLit>
          </c:yVal>
          <c:smooth val="0"/>
          <c:extLst>
            <c:ext xmlns:c16="http://schemas.microsoft.com/office/drawing/2014/chart" uri="{C3380CC4-5D6E-409C-BE32-E72D297353CC}">
              <c16:uniqueId val="{00000036-A6AF-42DD-8139-CE99614788EF}"/>
            </c:ext>
          </c:extLst>
        </c:ser>
        <c:ser>
          <c:idx val="24"/>
          <c:order val="24"/>
          <c:spPr>
            <a:ln w="12700">
              <a:solidFill>
                <a:srgbClr val="FF0000"/>
              </a:solidFill>
              <a:prstDash val="solid"/>
            </a:ln>
          </c:spPr>
          <c:marker>
            <c:symbol val="none"/>
          </c:marker>
          <c:xVal>
            <c:numLit>
              <c:formatCode>General</c:formatCode>
              <c:ptCount val="2"/>
              <c:pt idx="0">
                <c:v>0</c:v>
              </c:pt>
              <c:pt idx="1">
                <c:v>-3.4341850891513954</c:v>
              </c:pt>
            </c:numLit>
          </c:xVal>
          <c:yVal>
            <c:numLit>
              <c:formatCode>General</c:formatCode>
              <c:ptCount val="2"/>
              <c:pt idx="0">
                <c:v>0</c:v>
              </c:pt>
              <c:pt idx="1">
                <c:v>0.65349210114108003</c:v>
              </c:pt>
            </c:numLit>
          </c:yVal>
          <c:smooth val="0"/>
          <c:extLst>
            <c:ext xmlns:c16="http://schemas.microsoft.com/office/drawing/2014/chart" uri="{C3380CC4-5D6E-409C-BE32-E72D297353CC}">
              <c16:uniqueId val="{00000037-A6AF-42DD-8139-CE99614788EF}"/>
            </c:ext>
          </c:extLst>
        </c:ser>
        <c:ser>
          <c:idx val="25"/>
          <c:order val="25"/>
          <c:spPr>
            <a:ln w="12700">
              <a:solidFill>
                <a:srgbClr val="FF0000"/>
              </a:solidFill>
              <a:prstDash val="solid"/>
            </a:ln>
          </c:spPr>
          <c:marker>
            <c:symbol val="none"/>
          </c:marker>
          <c:xVal>
            <c:numLit>
              <c:formatCode>General</c:formatCode>
              <c:ptCount val="2"/>
              <c:pt idx="0">
                <c:v>0</c:v>
              </c:pt>
              <c:pt idx="1">
                <c:v>-3.2047095354369137</c:v>
              </c:pt>
            </c:numLit>
          </c:xVal>
          <c:yVal>
            <c:numLit>
              <c:formatCode>General</c:formatCode>
              <c:ptCount val="2"/>
              <c:pt idx="0">
                <c:v>0</c:v>
              </c:pt>
              <c:pt idx="1">
                <c:v>-0.96853635452065934</c:v>
              </c:pt>
            </c:numLit>
          </c:yVal>
          <c:smooth val="0"/>
          <c:extLst>
            <c:ext xmlns:c16="http://schemas.microsoft.com/office/drawing/2014/chart" uri="{C3380CC4-5D6E-409C-BE32-E72D297353CC}">
              <c16:uniqueId val="{00000038-A6AF-42DD-8139-CE99614788EF}"/>
            </c:ext>
          </c:extLst>
        </c:ser>
        <c:ser>
          <c:idx val="26"/>
          <c:order val="26"/>
          <c:spPr>
            <a:ln w="12700">
              <a:solidFill>
                <a:srgbClr val="FF0000"/>
              </a:solidFill>
              <a:prstDash val="solid"/>
            </a:ln>
          </c:spPr>
          <c:marker>
            <c:symbol val="none"/>
          </c:marker>
          <c:xVal>
            <c:numLit>
              <c:formatCode>General</c:formatCode>
              <c:ptCount val="2"/>
              <c:pt idx="0">
                <c:v>0</c:v>
              </c:pt>
              <c:pt idx="1">
                <c:v>-3.3445827936970982</c:v>
              </c:pt>
            </c:numLit>
          </c:xVal>
          <c:yVal>
            <c:numLit>
              <c:formatCode>General</c:formatCode>
              <c:ptCount val="2"/>
              <c:pt idx="0">
                <c:v>0</c:v>
              </c:pt>
              <c:pt idx="1">
                <c:v>0.58717235233636222</c:v>
              </c:pt>
            </c:numLit>
          </c:yVal>
          <c:smooth val="0"/>
          <c:extLst>
            <c:ext xmlns:c16="http://schemas.microsoft.com/office/drawing/2014/chart" uri="{C3380CC4-5D6E-409C-BE32-E72D297353CC}">
              <c16:uniqueId val="{00000039-A6AF-42DD-8139-CE99614788EF}"/>
            </c:ext>
          </c:extLst>
        </c:ser>
        <c:ser>
          <c:idx val="27"/>
          <c:order val="27"/>
          <c:spPr>
            <a:ln w="12700">
              <a:solidFill>
                <a:srgbClr val="FF0000"/>
              </a:solidFill>
              <a:prstDash val="solid"/>
            </a:ln>
          </c:spPr>
          <c:marker>
            <c:symbol val="none"/>
          </c:marker>
          <c:xVal>
            <c:numLit>
              <c:formatCode>General</c:formatCode>
              <c:ptCount val="2"/>
              <c:pt idx="0">
                <c:v>0</c:v>
              </c:pt>
              <c:pt idx="1">
                <c:v>-3.3337531744487925</c:v>
              </c:pt>
            </c:numLit>
          </c:xVal>
          <c:yVal>
            <c:numLit>
              <c:formatCode>General</c:formatCode>
              <c:ptCount val="2"/>
              <c:pt idx="0">
                <c:v>0</c:v>
              </c:pt>
              <c:pt idx="1">
                <c:v>6.9653632660554021E-2</c:v>
              </c:pt>
            </c:numLit>
          </c:yVal>
          <c:smooth val="0"/>
          <c:extLst>
            <c:ext xmlns:c16="http://schemas.microsoft.com/office/drawing/2014/chart" uri="{C3380CC4-5D6E-409C-BE32-E72D297353CC}">
              <c16:uniqueId val="{0000003A-A6AF-42DD-8139-CE99614788EF}"/>
            </c:ext>
          </c:extLst>
        </c:ser>
        <c:ser>
          <c:idx val="28"/>
          <c:order val="28"/>
          <c:spPr>
            <a:ln w="12700">
              <a:solidFill>
                <a:srgbClr val="FF0000"/>
              </a:solidFill>
              <a:prstDash val="solid"/>
            </a:ln>
          </c:spPr>
          <c:marker>
            <c:symbol val="none"/>
          </c:marker>
          <c:xVal>
            <c:numLit>
              <c:formatCode>General</c:formatCode>
              <c:ptCount val="2"/>
              <c:pt idx="0">
                <c:v>0</c:v>
              </c:pt>
              <c:pt idx="1">
                <c:v>-3.3469095931315533</c:v>
              </c:pt>
            </c:numLit>
          </c:xVal>
          <c:yVal>
            <c:numLit>
              <c:formatCode>General</c:formatCode>
              <c:ptCount val="2"/>
              <c:pt idx="0">
                <c:v>0</c:v>
              </c:pt>
              <c:pt idx="1">
                <c:v>6.2777712789076914E-2</c:v>
              </c:pt>
            </c:numLit>
          </c:yVal>
          <c:smooth val="0"/>
          <c:extLst>
            <c:ext xmlns:c16="http://schemas.microsoft.com/office/drawing/2014/chart" uri="{C3380CC4-5D6E-409C-BE32-E72D297353CC}">
              <c16:uniqueId val="{0000003B-A6AF-42DD-8139-CE99614788EF}"/>
            </c:ext>
          </c:extLst>
        </c:ser>
        <c:dLbls>
          <c:showLegendKey val="0"/>
          <c:showVal val="0"/>
          <c:showCatName val="0"/>
          <c:showSerName val="0"/>
          <c:showPercent val="0"/>
          <c:showBubbleSize val="0"/>
        </c:dLbls>
        <c:axId val="202754592"/>
        <c:axId val="202755840"/>
      </c:scatterChart>
      <c:valAx>
        <c:axId val="202754592"/>
        <c:scaling>
          <c:orientation val="minMax"/>
          <c:max val="7"/>
          <c:min val="-6"/>
        </c:scaling>
        <c:delete val="0"/>
        <c:axPos val="b"/>
        <c:title>
          <c:tx>
            <c:rich>
              <a:bodyPr/>
              <a:lstStyle/>
              <a:p>
                <a:pPr>
                  <a:defRPr/>
                </a:pPr>
                <a:r>
                  <a:rPr lang="fr-FR"/>
                  <a:t>F1 (47.57 %)</a:t>
                </a:r>
              </a:p>
            </c:rich>
          </c:tx>
          <c:layout>
            <c:manualLayout>
              <c:xMode val="edge"/>
              <c:yMode val="edge"/>
              <c:x val="0.44284800345560121"/>
              <c:y val="0.94572904466127872"/>
            </c:manualLayout>
          </c:layout>
          <c:overlay val="0"/>
        </c:title>
        <c:numFmt formatCode="General" sourceLinked="0"/>
        <c:majorTickMark val="cross"/>
        <c:minorTickMark val="none"/>
        <c:tickLblPos val="low"/>
        <c:crossAx val="202755840"/>
        <c:crosses val="autoZero"/>
        <c:crossBetween val="midCat"/>
        <c:majorUnit val="1"/>
      </c:valAx>
      <c:valAx>
        <c:axId val="202755840"/>
        <c:scaling>
          <c:orientation val="minMax"/>
          <c:max val="5"/>
          <c:min val="-5"/>
        </c:scaling>
        <c:delete val="0"/>
        <c:axPos val="l"/>
        <c:title>
          <c:tx>
            <c:rich>
              <a:bodyPr/>
              <a:lstStyle/>
              <a:p>
                <a:pPr>
                  <a:defRPr/>
                </a:pPr>
                <a:r>
                  <a:rPr lang="fr-FR"/>
                  <a:t>F2 (28.26 %)</a:t>
                </a:r>
              </a:p>
            </c:rich>
          </c:tx>
          <c:layout>
            <c:manualLayout>
              <c:xMode val="edge"/>
              <c:yMode val="edge"/>
              <c:x val="1.4216241870307882E-3"/>
              <c:y val="0.39752759802467647"/>
            </c:manualLayout>
          </c:layout>
          <c:overlay val="0"/>
        </c:title>
        <c:numFmt formatCode="General" sourceLinked="0"/>
        <c:majorTickMark val="cross"/>
        <c:minorTickMark val="none"/>
        <c:tickLblPos val="low"/>
        <c:crossAx val="202754592"/>
        <c:crosses val="autoZero"/>
        <c:crossBetween val="midCat"/>
        <c:majorUnit val="1"/>
      </c:valAx>
      <c:spPr>
        <a:ln>
          <a:solidFill>
            <a:srgbClr val="808080"/>
          </a:solidFill>
          <a:prstDash val="solid"/>
        </a:ln>
      </c:spPr>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2E66-C669-4B7E-8B4B-87AB7230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5867</TotalTime>
  <Pages>14</Pages>
  <Words>20312</Words>
  <Characters>115783</Characters>
  <Application>Microsoft Office Word</Application>
  <DocSecurity>0</DocSecurity>
  <Lines>964</Lines>
  <Paragraphs>271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Arymel</dc:creator>
  <cp:keywords/>
  <dc:description/>
  <cp:lastModifiedBy>SDI 1183</cp:lastModifiedBy>
  <cp:revision>46</cp:revision>
  <dcterms:created xsi:type="dcterms:W3CDTF">2025-04-17T12:33:00Z</dcterms:created>
  <dcterms:modified xsi:type="dcterms:W3CDTF">2025-06-20T05:38:00Z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b1c6f1c5-f5e1-3bad-a336-094411a4d89e</vt:lpwstr>
  </property>
  <property fmtid="{D5CDD505-2E9C-101B-9397-08002B2CF9AE}" pid="24" name="Mendeley Citation Style_1">
    <vt:lpwstr>http://www.zotero.org/styles/apa</vt:lpwstr>
  </property>
</Properties>
</file>