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30CF7" w14:textId="77777777" w:rsidR="00E10836" w:rsidRPr="00E10836" w:rsidRDefault="00E10836" w:rsidP="00E10836">
      <w:pPr>
        <w:pStyle w:val="NoSpacing"/>
        <w:ind w:hanging="180"/>
        <w:rPr>
          <w:rFonts w:ascii="Arial" w:hAnsi="Arial" w:cs="Arial"/>
          <w:b/>
          <w:bCs/>
          <w:i/>
          <w:iCs/>
          <w:sz w:val="24"/>
          <w:szCs w:val="24"/>
          <w:u w:val="single"/>
        </w:rPr>
      </w:pPr>
      <w:r w:rsidRPr="00E10836">
        <w:rPr>
          <w:rFonts w:ascii="Arial" w:hAnsi="Arial" w:cs="Arial"/>
          <w:b/>
          <w:bCs/>
          <w:i/>
          <w:iCs/>
          <w:sz w:val="24"/>
          <w:szCs w:val="24"/>
          <w:u w:val="single"/>
        </w:rPr>
        <w:t>Short Research Article</w:t>
      </w:r>
    </w:p>
    <w:p w14:paraId="173E5657" w14:textId="10F3477F" w:rsidR="003F0788" w:rsidRPr="003A63D0" w:rsidRDefault="00E54A96" w:rsidP="009D0B15">
      <w:pPr>
        <w:pStyle w:val="NoSpacing"/>
        <w:ind w:hanging="180"/>
        <w:jc w:val="right"/>
        <w:rPr>
          <w:rFonts w:ascii="Arial" w:hAnsi="Arial" w:cs="Arial"/>
          <w:b/>
          <w:bCs/>
          <w:sz w:val="24"/>
          <w:szCs w:val="24"/>
        </w:rPr>
      </w:pPr>
      <w:r w:rsidRPr="003A63D0">
        <w:rPr>
          <w:rFonts w:ascii="Arial" w:hAnsi="Arial" w:cs="Arial"/>
          <w:b/>
          <w:bCs/>
          <w:sz w:val="24"/>
          <w:szCs w:val="24"/>
        </w:rPr>
        <w:t>Mathematics Self-Efficacy and Anxiety:</w:t>
      </w:r>
    </w:p>
    <w:p w14:paraId="229638B2" w14:textId="77777777" w:rsidR="00391F0E" w:rsidRPr="003A63D0" w:rsidRDefault="00E54A96" w:rsidP="003A63D0">
      <w:pPr>
        <w:pStyle w:val="NoSpacing"/>
        <w:jc w:val="right"/>
        <w:rPr>
          <w:rFonts w:ascii="Arial" w:hAnsi="Arial" w:cs="Arial"/>
          <w:b/>
          <w:bCs/>
          <w:sz w:val="24"/>
          <w:szCs w:val="24"/>
        </w:rPr>
      </w:pPr>
      <w:r w:rsidRPr="003A63D0">
        <w:rPr>
          <w:rFonts w:ascii="Arial" w:hAnsi="Arial" w:cs="Arial"/>
          <w:b/>
          <w:bCs/>
          <w:sz w:val="24"/>
          <w:szCs w:val="24"/>
        </w:rPr>
        <w:t xml:space="preserve">Predictors of Mathematics Achievement </w:t>
      </w:r>
    </w:p>
    <w:p w14:paraId="46D07077" w14:textId="77777777" w:rsidR="00391F0E" w:rsidRPr="003A63D0" w:rsidRDefault="00E54A96" w:rsidP="003A63D0">
      <w:pPr>
        <w:pStyle w:val="NoSpacing"/>
        <w:jc w:val="right"/>
        <w:rPr>
          <w:rFonts w:ascii="Arial" w:hAnsi="Arial" w:cs="Arial"/>
          <w:b/>
          <w:bCs/>
          <w:sz w:val="24"/>
          <w:szCs w:val="24"/>
        </w:rPr>
      </w:pPr>
      <w:r w:rsidRPr="003A63D0">
        <w:rPr>
          <w:rFonts w:ascii="Arial" w:hAnsi="Arial" w:cs="Arial"/>
          <w:b/>
          <w:bCs/>
          <w:sz w:val="24"/>
          <w:szCs w:val="24"/>
        </w:rPr>
        <w:t xml:space="preserve">Among </w:t>
      </w:r>
      <w:r w:rsidR="00F9543E" w:rsidRPr="003A63D0">
        <w:rPr>
          <w:rFonts w:ascii="Arial" w:hAnsi="Arial" w:cs="Arial"/>
          <w:b/>
          <w:bCs/>
          <w:sz w:val="24"/>
          <w:szCs w:val="24"/>
        </w:rPr>
        <w:t>Selected</w:t>
      </w:r>
      <w:r w:rsidRPr="003A63D0">
        <w:rPr>
          <w:rFonts w:ascii="Arial" w:hAnsi="Arial" w:cs="Arial"/>
          <w:b/>
          <w:bCs/>
          <w:sz w:val="24"/>
          <w:szCs w:val="24"/>
        </w:rPr>
        <w:t xml:space="preserve"> Students in the College of Science, </w:t>
      </w:r>
    </w:p>
    <w:p w14:paraId="346B8BDD" w14:textId="2C4DFC2F" w:rsidR="003F0788" w:rsidRPr="003A63D0" w:rsidRDefault="00E54A96" w:rsidP="003A63D0">
      <w:pPr>
        <w:pStyle w:val="NoSpacing"/>
        <w:jc w:val="right"/>
        <w:rPr>
          <w:rFonts w:ascii="Arial" w:hAnsi="Arial" w:cs="Arial"/>
          <w:b/>
          <w:bCs/>
          <w:sz w:val="24"/>
          <w:szCs w:val="24"/>
        </w:rPr>
      </w:pPr>
      <w:r w:rsidRPr="003A63D0">
        <w:rPr>
          <w:rFonts w:ascii="Arial" w:hAnsi="Arial" w:cs="Arial"/>
          <w:b/>
          <w:bCs/>
          <w:sz w:val="24"/>
          <w:szCs w:val="24"/>
        </w:rPr>
        <w:t>University of Eastern Philippines Main Campus</w:t>
      </w:r>
    </w:p>
    <w:p w14:paraId="6D846ABE" w14:textId="7266780D" w:rsidR="00320CC9" w:rsidRDefault="00320CC9" w:rsidP="003A63D0">
      <w:pPr>
        <w:spacing w:after="0" w:line="240" w:lineRule="auto"/>
        <w:jc w:val="center"/>
        <w:rPr>
          <w:rFonts w:ascii="Arial" w:hAnsi="Arial" w:cs="Arial"/>
          <w:b/>
          <w:i/>
          <w:sz w:val="24"/>
          <w:szCs w:val="24"/>
        </w:rPr>
      </w:pPr>
    </w:p>
    <w:p w14:paraId="3C86FB83" w14:textId="77777777" w:rsidR="003A63D0" w:rsidRPr="003A63D0" w:rsidRDefault="003A63D0" w:rsidP="003A63D0">
      <w:pPr>
        <w:spacing w:after="0" w:line="240" w:lineRule="auto"/>
        <w:jc w:val="center"/>
        <w:rPr>
          <w:rFonts w:ascii="Arial" w:hAnsi="Arial" w:cs="Arial"/>
          <w:b/>
          <w:i/>
          <w:sz w:val="24"/>
          <w:szCs w:val="24"/>
        </w:rPr>
      </w:pPr>
    </w:p>
    <w:p w14:paraId="2B12B3AB" w14:textId="666909A5" w:rsidR="004029A2" w:rsidRPr="003A63D0" w:rsidRDefault="00320CC9" w:rsidP="004B188E">
      <w:pPr>
        <w:spacing w:after="0" w:line="240" w:lineRule="auto"/>
        <w:jc w:val="right"/>
        <w:rPr>
          <w:rFonts w:ascii="Arial" w:hAnsi="Arial" w:cs="Arial"/>
          <w:i/>
          <w:sz w:val="20"/>
          <w:szCs w:val="20"/>
        </w:rPr>
      </w:pPr>
      <w:r w:rsidRPr="003A63D0">
        <w:rPr>
          <w:rFonts w:ascii="Arial" w:hAnsi="Arial" w:cs="Arial"/>
          <w:b/>
          <w:sz w:val="20"/>
          <w:szCs w:val="24"/>
        </w:rPr>
        <w:t xml:space="preserve"> </w:t>
      </w:r>
    </w:p>
    <w:p w14:paraId="0E85D70B" w14:textId="5D3E81FC" w:rsidR="007A6170" w:rsidRPr="003A63D0" w:rsidRDefault="003A63D0" w:rsidP="003A63D0">
      <w:pPr>
        <w:spacing w:after="0" w:line="240" w:lineRule="auto"/>
        <w:jc w:val="center"/>
        <w:rPr>
          <w:rFonts w:ascii="Arial" w:eastAsia="Batang" w:hAnsi="Arial" w:cs="Arial"/>
          <w:sz w:val="20"/>
          <w:szCs w:val="20"/>
        </w:rPr>
      </w:pPr>
      <w:r w:rsidRPr="003A63D0">
        <w:rPr>
          <w:rFonts w:ascii="Arial" w:eastAsia="Batang" w:hAnsi="Arial" w:cs="Arial"/>
          <w:noProof/>
          <w:sz w:val="20"/>
          <w:szCs w:val="20"/>
          <w:lang w:eastAsia="en-US"/>
        </w:rPr>
        <mc:AlternateContent>
          <mc:Choice Requires="wps">
            <w:drawing>
              <wp:anchor distT="0" distB="0" distL="114300" distR="114300" simplePos="0" relativeHeight="251662336" behindDoc="0" locked="0" layoutInCell="1" allowOverlap="1" wp14:anchorId="54FDF9D6" wp14:editId="685336D5">
                <wp:simplePos x="0" y="0"/>
                <wp:positionH relativeFrom="margin">
                  <wp:align>left</wp:align>
                </wp:positionH>
                <wp:positionV relativeFrom="paragraph">
                  <wp:posOffset>206374</wp:posOffset>
                </wp:positionV>
                <wp:extent cx="5095875" cy="0"/>
                <wp:effectExtent l="38100" t="38100" r="66675" b="95250"/>
                <wp:wrapNone/>
                <wp:docPr id="2" name="Straight Connector 2"/>
                <wp:cNvGraphicFramePr/>
                <a:graphic xmlns:a="http://schemas.openxmlformats.org/drawingml/2006/main">
                  <a:graphicData uri="http://schemas.microsoft.com/office/word/2010/wordprocessingShape">
                    <wps:wsp>
                      <wps:cNvCnPr/>
                      <wps:spPr>
                        <a:xfrm>
                          <a:off x="0" y="0"/>
                          <a:ext cx="5095875"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F5AC83" id="Straight Connector 2"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25pt" to="401.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" strokecolor="black [3213]" strokeweight="2pt">
                <v:shadow on="t" color="black" opacity="24903f" origin=",.5" offset="0,.55556mm"/>
                <w10:wrap anchorx="margin"/>
              </v:line>
            </w:pict>
          </mc:Fallback>
        </mc:AlternateContent>
      </w:r>
      <w:r w:rsidRPr="003A63D0">
        <w:rPr>
          <w:rFonts w:ascii="Arial" w:eastAsia="Batang" w:hAnsi="Arial" w:cs="Arial"/>
          <w:noProof/>
          <w:sz w:val="20"/>
          <w:szCs w:val="20"/>
          <w:lang w:eastAsia="en-US"/>
        </w:rPr>
        <mc:AlternateContent>
          <mc:Choice Requires="wps">
            <w:drawing>
              <wp:anchor distT="0" distB="0" distL="114300" distR="114300" simplePos="0" relativeHeight="251667456" behindDoc="0" locked="0" layoutInCell="1" allowOverlap="1" wp14:anchorId="1816BF90" wp14:editId="10D8C389">
                <wp:simplePos x="0" y="0"/>
                <wp:positionH relativeFrom="margin">
                  <wp:align>right</wp:align>
                </wp:positionH>
                <wp:positionV relativeFrom="paragraph">
                  <wp:posOffset>212725</wp:posOffset>
                </wp:positionV>
                <wp:extent cx="5210175" cy="4114800"/>
                <wp:effectExtent l="0" t="0" r="28575" b="19050"/>
                <wp:wrapSquare wrapText="bothSides"/>
                <wp:docPr id="8" name="Text Box 8"/>
                <wp:cNvGraphicFramePr/>
                <a:graphic xmlns:a="http://schemas.openxmlformats.org/drawingml/2006/main">
                  <a:graphicData uri="http://schemas.microsoft.com/office/word/2010/wordprocessingShape">
                    <wps:wsp>
                      <wps:cNvSpPr txBox="1"/>
                      <wps:spPr>
                        <a:xfrm>
                          <a:off x="0" y="0"/>
                          <a:ext cx="5210175" cy="41148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EF49BC" w14:textId="32FC4722" w:rsidR="009E0824" w:rsidRPr="00E10393" w:rsidRDefault="009E0824">
                            <w:pPr>
                              <w:rPr>
                                <w:rFonts w:ascii="Arial" w:hAnsi="Arial" w:cs="Arial"/>
                                <w:b/>
                              </w:rPr>
                            </w:pPr>
                            <w:r w:rsidRPr="00E10393">
                              <w:rPr>
                                <w:rFonts w:ascii="Arial" w:hAnsi="Arial" w:cs="Arial"/>
                                <w:b/>
                              </w:rPr>
                              <w:t>ABSTRACT</w:t>
                            </w:r>
                          </w:p>
                          <w:p w14:paraId="1E530260" w14:textId="4310BE66" w:rsidR="00E10393" w:rsidRPr="00E10393" w:rsidRDefault="00E10393" w:rsidP="00E10393">
                            <w:pPr>
                              <w:spacing w:after="0" w:line="240" w:lineRule="auto"/>
                              <w:jc w:val="both"/>
                              <w:rPr>
                                <w:rFonts w:ascii="Arial" w:eastAsia="Calibri" w:hAnsi="Arial" w:cs="Arial"/>
                                <w:sz w:val="20"/>
                                <w:lang w:eastAsia="en-US"/>
                              </w:rPr>
                            </w:pPr>
                            <w:r w:rsidRPr="00E10393">
                              <w:rPr>
                                <w:rFonts w:ascii="Arial" w:eastAsia="Calibri" w:hAnsi="Arial" w:cs="Arial"/>
                                <w:b/>
                                <w:bCs/>
                                <w:sz w:val="20"/>
                                <w:lang w:eastAsia="en-US"/>
                              </w:rPr>
                              <w:t>Aims:</w:t>
                            </w:r>
                            <w:r>
                              <w:rPr>
                                <w:rFonts w:ascii="Arial" w:eastAsia="Calibri" w:hAnsi="Arial" w:cs="Arial"/>
                                <w:sz w:val="20"/>
                                <w:lang w:eastAsia="en-US"/>
                              </w:rPr>
                              <w:t xml:space="preserve"> </w:t>
                            </w:r>
                            <w:r w:rsidRPr="00E10393">
                              <w:rPr>
                                <w:rFonts w:ascii="Arial" w:eastAsia="Calibri" w:hAnsi="Arial" w:cs="Arial"/>
                                <w:sz w:val="20"/>
                                <w:lang w:eastAsia="en-US"/>
                              </w:rPr>
                              <w:t>This study investigated the relationships among mathematics self-efficacy, mathematics anxiety, and academic performance among college students at the University of Eastern Philippines.</w:t>
                            </w:r>
                          </w:p>
                          <w:p w14:paraId="718ED42B" w14:textId="659A04FC" w:rsidR="00E10393" w:rsidRPr="00E10393" w:rsidRDefault="00E10393" w:rsidP="00E10393">
                            <w:pPr>
                              <w:spacing w:after="0" w:line="240" w:lineRule="auto"/>
                              <w:jc w:val="both"/>
                              <w:rPr>
                                <w:rFonts w:ascii="Arial" w:eastAsia="Calibri" w:hAnsi="Arial" w:cs="Arial"/>
                                <w:sz w:val="20"/>
                                <w:lang w:eastAsia="en-US"/>
                              </w:rPr>
                            </w:pPr>
                            <w:r w:rsidRPr="00E10393">
                              <w:rPr>
                                <w:rFonts w:ascii="Arial" w:eastAsia="Calibri" w:hAnsi="Arial" w:cs="Arial"/>
                                <w:b/>
                                <w:bCs/>
                                <w:sz w:val="20"/>
                                <w:lang w:eastAsia="en-US"/>
                              </w:rPr>
                              <w:t>Study Design:</w:t>
                            </w:r>
                            <w:r>
                              <w:rPr>
                                <w:rFonts w:ascii="Arial" w:eastAsia="Calibri" w:hAnsi="Arial" w:cs="Arial"/>
                                <w:sz w:val="20"/>
                                <w:lang w:eastAsia="en-US"/>
                              </w:rPr>
                              <w:t xml:space="preserve"> </w:t>
                            </w:r>
                            <w:r w:rsidRPr="00E10393">
                              <w:rPr>
                                <w:rFonts w:ascii="Arial" w:eastAsia="Calibri" w:hAnsi="Arial" w:cs="Arial"/>
                                <w:sz w:val="20"/>
                                <w:lang w:eastAsia="en-US"/>
                              </w:rPr>
                              <w:t>A descriptive-correlational design was employed to explore the associations among the variables.</w:t>
                            </w:r>
                          </w:p>
                          <w:p w14:paraId="0F6E77C6" w14:textId="7AA1A71C" w:rsidR="00E10393" w:rsidRPr="00E10393" w:rsidRDefault="00E10393" w:rsidP="00E10393">
                            <w:pPr>
                              <w:spacing w:after="0" w:line="240" w:lineRule="auto"/>
                              <w:jc w:val="both"/>
                              <w:rPr>
                                <w:rFonts w:ascii="Arial" w:eastAsia="Calibri" w:hAnsi="Arial" w:cs="Arial"/>
                                <w:sz w:val="20"/>
                                <w:lang w:eastAsia="en-US"/>
                              </w:rPr>
                            </w:pPr>
                            <w:r w:rsidRPr="00E10393">
                              <w:rPr>
                                <w:rFonts w:ascii="Arial" w:eastAsia="Calibri" w:hAnsi="Arial" w:cs="Arial"/>
                                <w:b/>
                                <w:bCs/>
                                <w:sz w:val="20"/>
                                <w:lang w:eastAsia="en-US"/>
                              </w:rPr>
                              <w:t>Place and Duration of Study:</w:t>
                            </w:r>
                            <w:r>
                              <w:rPr>
                                <w:rFonts w:ascii="Arial" w:eastAsia="Calibri" w:hAnsi="Arial" w:cs="Arial"/>
                                <w:sz w:val="20"/>
                                <w:lang w:eastAsia="en-US"/>
                              </w:rPr>
                              <w:t xml:space="preserve"> </w:t>
                            </w:r>
                            <w:r w:rsidRPr="00E10393">
                              <w:rPr>
                                <w:rFonts w:ascii="Arial" w:eastAsia="Calibri" w:hAnsi="Arial" w:cs="Arial"/>
                                <w:sz w:val="20"/>
                                <w:lang w:eastAsia="en-US"/>
                              </w:rPr>
                              <w:t>The research was conducted at the College of Science, University of Eastern Philippines, during the Academic Year 2024–2025.</w:t>
                            </w:r>
                          </w:p>
                          <w:p w14:paraId="1BF5AE0A" w14:textId="390031FC" w:rsidR="00E10393" w:rsidRPr="00E10393" w:rsidRDefault="00E10393" w:rsidP="00E10393">
                            <w:pPr>
                              <w:spacing w:after="0" w:line="240" w:lineRule="auto"/>
                              <w:jc w:val="both"/>
                              <w:rPr>
                                <w:rFonts w:ascii="Arial" w:eastAsia="Calibri" w:hAnsi="Arial" w:cs="Arial"/>
                                <w:sz w:val="20"/>
                                <w:lang w:eastAsia="en-US"/>
                              </w:rPr>
                            </w:pPr>
                            <w:r w:rsidRPr="00E10393">
                              <w:rPr>
                                <w:rFonts w:ascii="Arial" w:eastAsia="Calibri" w:hAnsi="Arial" w:cs="Arial"/>
                                <w:b/>
                                <w:bCs/>
                                <w:sz w:val="20"/>
                                <w:lang w:eastAsia="en-US"/>
                              </w:rPr>
                              <w:t>Methodology:</w:t>
                            </w:r>
                            <w:r>
                              <w:rPr>
                                <w:rFonts w:ascii="Arial" w:eastAsia="Calibri" w:hAnsi="Arial" w:cs="Arial"/>
                                <w:sz w:val="20"/>
                                <w:lang w:eastAsia="en-US"/>
                              </w:rPr>
                              <w:t xml:space="preserve"> </w:t>
                            </w:r>
                            <w:r w:rsidRPr="00E10393">
                              <w:rPr>
                                <w:rFonts w:ascii="Arial" w:eastAsia="Calibri" w:hAnsi="Arial" w:cs="Arial"/>
                                <w:sz w:val="20"/>
                                <w:lang w:eastAsia="en-US"/>
                              </w:rPr>
                              <w:t>A total of 127 undergraduate students participated. Validated Likert-scale questionnaires were used to measure mathematics self-efficacy and anxiety, while academic performance was assessed through official mathematics course grades. Data were analyzed using descriptive statistics and Pearson’s correlation coefficient.</w:t>
                            </w:r>
                          </w:p>
                          <w:p w14:paraId="3B227792" w14:textId="71432A9D" w:rsidR="00E10393" w:rsidRPr="00E10393" w:rsidRDefault="00E10393" w:rsidP="00E10393">
                            <w:pPr>
                              <w:spacing w:after="0" w:line="240" w:lineRule="auto"/>
                              <w:jc w:val="both"/>
                              <w:rPr>
                                <w:rFonts w:ascii="Arial" w:eastAsia="Calibri" w:hAnsi="Arial" w:cs="Arial"/>
                                <w:sz w:val="20"/>
                                <w:lang w:eastAsia="en-US"/>
                              </w:rPr>
                            </w:pPr>
                            <w:r w:rsidRPr="00E10393">
                              <w:rPr>
                                <w:rFonts w:ascii="Arial" w:eastAsia="Calibri" w:hAnsi="Arial" w:cs="Arial"/>
                                <w:b/>
                                <w:bCs/>
                                <w:sz w:val="20"/>
                                <w:lang w:eastAsia="en-US"/>
                              </w:rPr>
                              <w:t>Results:</w:t>
                            </w:r>
                            <w:r>
                              <w:rPr>
                                <w:rFonts w:ascii="Arial" w:eastAsia="Calibri" w:hAnsi="Arial" w:cs="Arial"/>
                                <w:sz w:val="20"/>
                                <w:lang w:eastAsia="en-US"/>
                              </w:rPr>
                              <w:t xml:space="preserve"> </w:t>
                            </w:r>
                            <w:r w:rsidRPr="00E10393">
                              <w:rPr>
                                <w:rFonts w:ascii="Arial" w:eastAsia="Calibri" w:hAnsi="Arial" w:cs="Arial"/>
                                <w:sz w:val="20"/>
                                <w:lang w:eastAsia="en-US"/>
                              </w:rPr>
                              <w:t>Students demonstrated moderate levels of mathematics self-efficacy (M = 3.34) and mathematics anxiety (M = 3.27). Academic performance data showed that 33.86% of participants obtained grades between 75 and 78, with relatively few achieving high marks. Correlational analysis revealed a moderate positive relationship between mathematics self-efficacy and mathematics anxiety (r = .65), contrary to existing literature that generally reports a negative association. Both self-efficacy and anxiety exhibited weak negative correlations with academic performance (r = –.094 and r = –.105, respectively).</w:t>
                            </w:r>
                          </w:p>
                          <w:p w14:paraId="3451EFE3" w14:textId="3993C3FB" w:rsidR="00E10393" w:rsidRPr="00E10393" w:rsidRDefault="00E10393" w:rsidP="00E10393">
                            <w:pPr>
                              <w:spacing w:after="0" w:line="240" w:lineRule="auto"/>
                              <w:jc w:val="both"/>
                              <w:rPr>
                                <w:rFonts w:ascii="Arial" w:eastAsia="Calibri" w:hAnsi="Arial" w:cs="Arial"/>
                                <w:sz w:val="20"/>
                                <w:lang w:eastAsia="en-US"/>
                              </w:rPr>
                            </w:pPr>
                            <w:r w:rsidRPr="00E10393">
                              <w:rPr>
                                <w:rFonts w:ascii="Arial" w:eastAsia="Calibri" w:hAnsi="Arial" w:cs="Arial"/>
                                <w:b/>
                                <w:bCs/>
                                <w:sz w:val="20"/>
                                <w:lang w:eastAsia="en-US"/>
                              </w:rPr>
                              <w:t>Conclusion:</w:t>
                            </w:r>
                            <w:r>
                              <w:rPr>
                                <w:rFonts w:ascii="Arial" w:eastAsia="Calibri" w:hAnsi="Arial" w:cs="Arial"/>
                                <w:sz w:val="20"/>
                                <w:lang w:eastAsia="en-US"/>
                              </w:rPr>
                              <w:t xml:space="preserve"> </w:t>
                            </w:r>
                            <w:r w:rsidRPr="00E10393">
                              <w:rPr>
                                <w:rFonts w:ascii="Arial" w:eastAsia="Calibri" w:hAnsi="Arial" w:cs="Arial"/>
                                <w:sz w:val="20"/>
                                <w:lang w:eastAsia="en-US"/>
                              </w:rPr>
                              <w:t>Findings suggest that students may simultaneously experience confidence and anxiety in mathematics, potentially due to contextual or cultural factors. The weak correlations with academic performance indicate the presence of other mediating influences such as instructional quality, assessment methods, or psychological support. The study recommends targeted interventions to enhance mathematical identity, reduce anxiety in evaluative settings, and promote evidence-based teaching practices to improve learning outcomes.</w:t>
                            </w:r>
                          </w:p>
                          <w:p w14:paraId="4C916088" w14:textId="64E0C784" w:rsidR="00391F0E" w:rsidRPr="00BD6902" w:rsidRDefault="00391F0E" w:rsidP="00E10393">
                            <w:pPr>
                              <w:spacing w:after="0" w:line="240" w:lineRule="auto"/>
                              <w:ind w:firstLine="720"/>
                              <w:jc w:val="both"/>
                              <w:rPr>
                                <w:rFonts w:ascii="Arial" w:eastAsia="Calibri" w:hAnsi="Arial" w:cs="Arial"/>
                                <w:sz w:val="20"/>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16BF90" id="_x0000_t202" coordsize="21600,21600" o:spt="202" path="m,l,21600r21600,l21600,xe">
                <v:stroke joinstyle="miter"/>
                <v:path gradientshapeok="t" o:connecttype="rect"/>
              </v:shapetype>
              <v:shape id="Text Box 8" o:spid="_x0000_s1026" type="#_x0000_t202" style="position:absolute;left:0;text-align:left;margin-left:359.05pt;margin-top:16.75pt;width:410.25pt;height:324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" filled="f" strokecolor="black [3213]">
                <v:textbox>
                  <w:txbxContent>
                    <w:p w14:paraId="49EF49BC" w14:textId="32FC4722" w:rsidR="009E0824" w:rsidRPr="00E10393" w:rsidRDefault="009E0824">
                      <w:pPr>
                        <w:rPr>
                          <w:rFonts w:ascii="Arial" w:hAnsi="Arial" w:cs="Arial"/>
                          <w:b/>
                        </w:rPr>
                      </w:pPr>
                      <w:r w:rsidRPr="00E10393">
                        <w:rPr>
                          <w:rFonts w:ascii="Arial" w:hAnsi="Arial" w:cs="Arial"/>
                          <w:b/>
                        </w:rPr>
                        <w:t>ABSTRACT</w:t>
                      </w:r>
                    </w:p>
                    <w:p w14:paraId="1E530260" w14:textId="4310BE66" w:rsidR="00E10393" w:rsidRPr="00E10393" w:rsidRDefault="00E10393" w:rsidP="00E10393">
                      <w:pPr>
                        <w:spacing w:after="0" w:line="240" w:lineRule="auto"/>
                        <w:jc w:val="both"/>
                        <w:rPr>
                          <w:rFonts w:ascii="Arial" w:eastAsia="Calibri" w:hAnsi="Arial" w:cs="Arial"/>
                          <w:sz w:val="20"/>
                          <w:lang w:eastAsia="en-US"/>
                        </w:rPr>
                      </w:pPr>
                      <w:r w:rsidRPr="00E10393">
                        <w:rPr>
                          <w:rFonts w:ascii="Arial" w:eastAsia="Calibri" w:hAnsi="Arial" w:cs="Arial"/>
                          <w:b/>
                          <w:bCs/>
                          <w:sz w:val="20"/>
                          <w:lang w:eastAsia="en-US"/>
                        </w:rPr>
                        <w:t>Aims:</w:t>
                      </w:r>
                      <w:r>
                        <w:rPr>
                          <w:rFonts w:ascii="Arial" w:eastAsia="Calibri" w:hAnsi="Arial" w:cs="Arial"/>
                          <w:sz w:val="20"/>
                          <w:lang w:eastAsia="en-US"/>
                        </w:rPr>
                        <w:t xml:space="preserve"> </w:t>
                      </w:r>
                      <w:r w:rsidRPr="00E10393">
                        <w:rPr>
                          <w:rFonts w:ascii="Arial" w:eastAsia="Calibri" w:hAnsi="Arial" w:cs="Arial"/>
                          <w:sz w:val="20"/>
                          <w:lang w:eastAsia="en-US"/>
                        </w:rPr>
                        <w:t>This study investigated the relationships among mathematics self-efficacy, mathematics anxiety, and academic performance among college students at the University of Eastern Philippines.</w:t>
                      </w:r>
                    </w:p>
                    <w:p w14:paraId="718ED42B" w14:textId="659A04FC" w:rsidR="00E10393" w:rsidRPr="00E10393" w:rsidRDefault="00E10393" w:rsidP="00E10393">
                      <w:pPr>
                        <w:spacing w:after="0" w:line="240" w:lineRule="auto"/>
                        <w:jc w:val="both"/>
                        <w:rPr>
                          <w:rFonts w:ascii="Arial" w:eastAsia="Calibri" w:hAnsi="Arial" w:cs="Arial"/>
                          <w:sz w:val="20"/>
                          <w:lang w:eastAsia="en-US"/>
                        </w:rPr>
                      </w:pPr>
                      <w:r w:rsidRPr="00E10393">
                        <w:rPr>
                          <w:rFonts w:ascii="Arial" w:eastAsia="Calibri" w:hAnsi="Arial" w:cs="Arial"/>
                          <w:b/>
                          <w:bCs/>
                          <w:sz w:val="20"/>
                          <w:lang w:eastAsia="en-US"/>
                        </w:rPr>
                        <w:t>Study Design:</w:t>
                      </w:r>
                      <w:r>
                        <w:rPr>
                          <w:rFonts w:ascii="Arial" w:eastAsia="Calibri" w:hAnsi="Arial" w:cs="Arial"/>
                          <w:sz w:val="20"/>
                          <w:lang w:eastAsia="en-US"/>
                        </w:rPr>
                        <w:t xml:space="preserve"> </w:t>
                      </w:r>
                      <w:r w:rsidRPr="00E10393">
                        <w:rPr>
                          <w:rFonts w:ascii="Arial" w:eastAsia="Calibri" w:hAnsi="Arial" w:cs="Arial"/>
                          <w:sz w:val="20"/>
                          <w:lang w:eastAsia="en-US"/>
                        </w:rPr>
                        <w:t>A descriptive-correlational design was employed to explore the associations among the variables.</w:t>
                      </w:r>
                    </w:p>
                    <w:p w14:paraId="0F6E77C6" w14:textId="7AA1A71C" w:rsidR="00E10393" w:rsidRPr="00E10393" w:rsidRDefault="00E10393" w:rsidP="00E10393">
                      <w:pPr>
                        <w:spacing w:after="0" w:line="240" w:lineRule="auto"/>
                        <w:jc w:val="both"/>
                        <w:rPr>
                          <w:rFonts w:ascii="Arial" w:eastAsia="Calibri" w:hAnsi="Arial" w:cs="Arial"/>
                          <w:sz w:val="20"/>
                          <w:lang w:eastAsia="en-US"/>
                        </w:rPr>
                      </w:pPr>
                      <w:r w:rsidRPr="00E10393">
                        <w:rPr>
                          <w:rFonts w:ascii="Arial" w:eastAsia="Calibri" w:hAnsi="Arial" w:cs="Arial"/>
                          <w:b/>
                          <w:bCs/>
                          <w:sz w:val="20"/>
                          <w:lang w:eastAsia="en-US"/>
                        </w:rPr>
                        <w:t>Place and Duration of Study:</w:t>
                      </w:r>
                      <w:r>
                        <w:rPr>
                          <w:rFonts w:ascii="Arial" w:eastAsia="Calibri" w:hAnsi="Arial" w:cs="Arial"/>
                          <w:sz w:val="20"/>
                          <w:lang w:eastAsia="en-US"/>
                        </w:rPr>
                        <w:t xml:space="preserve"> </w:t>
                      </w:r>
                      <w:r w:rsidRPr="00E10393">
                        <w:rPr>
                          <w:rFonts w:ascii="Arial" w:eastAsia="Calibri" w:hAnsi="Arial" w:cs="Arial"/>
                          <w:sz w:val="20"/>
                          <w:lang w:eastAsia="en-US"/>
                        </w:rPr>
                        <w:t>The research was conducted at the College of Science, University of Eastern Philippines, during the Academic Year 2024–2025.</w:t>
                      </w:r>
                    </w:p>
                    <w:p w14:paraId="1BF5AE0A" w14:textId="390031FC" w:rsidR="00E10393" w:rsidRPr="00E10393" w:rsidRDefault="00E10393" w:rsidP="00E10393">
                      <w:pPr>
                        <w:spacing w:after="0" w:line="240" w:lineRule="auto"/>
                        <w:jc w:val="both"/>
                        <w:rPr>
                          <w:rFonts w:ascii="Arial" w:eastAsia="Calibri" w:hAnsi="Arial" w:cs="Arial"/>
                          <w:sz w:val="20"/>
                          <w:lang w:eastAsia="en-US"/>
                        </w:rPr>
                      </w:pPr>
                      <w:r w:rsidRPr="00E10393">
                        <w:rPr>
                          <w:rFonts w:ascii="Arial" w:eastAsia="Calibri" w:hAnsi="Arial" w:cs="Arial"/>
                          <w:b/>
                          <w:bCs/>
                          <w:sz w:val="20"/>
                          <w:lang w:eastAsia="en-US"/>
                        </w:rPr>
                        <w:t>Methodology:</w:t>
                      </w:r>
                      <w:r>
                        <w:rPr>
                          <w:rFonts w:ascii="Arial" w:eastAsia="Calibri" w:hAnsi="Arial" w:cs="Arial"/>
                          <w:sz w:val="20"/>
                          <w:lang w:eastAsia="en-US"/>
                        </w:rPr>
                        <w:t xml:space="preserve"> </w:t>
                      </w:r>
                      <w:r w:rsidRPr="00E10393">
                        <w:rPr>
                          <w:rFonts w:ascii="Arial" w:eastAsia="Calibri" w:hAnsi="Arial" w:cs="Arial"/>
                          <w:sz w:val="20"/>
                          <w:lang w:eastAsia="en-US"/>
                        </w:rPr>
                        <w:t>A total of 127 undergraduate students participated. Validated Likert-scale questionnaires were used to measure mathematics self-efficacy and anxiety, while academic performance was assessed through official mathematics course grades. Data were analyzed using descriptive statistics and Pearson’s correlation coefficient.</w:t>
                      </w:r>
                    </w:p>
                    <w:p w14:paraId="3B227792" w14:textId="71432A9D" w:rsidR="00E10393" w:rsidRPr="00E10393" w:rsidRDefault="00E10393" w:rsidP="00E10393">
                      <w:pPr>
                        <w:spacing w:after="0" w:line="240" w:lineRule="auto"/>
                        <w:jc w:val="both"/>
                        <w:rPr>
                          <w:rFonts w:ascii="Arial" w:eastAsia="Calibri" w:hAnsi="Arial" w:cs="Arial"/>
                          <w:sz w:val="20"/>
                          <w:lang w:eastAsia="en-US"/>
                        </w:rPr>
                      </w:pPr>
                      <w:r w:rsidRPr="00E10393">
                        <w:rPr>
                          <w:rFonts w:ascii="Arial" w:eastAsia="Calibri" w:hAnsi="Arial" w:cs="Arial"/>
                          <w:b/>
                          <w:bCs/>
                          <w:sz w:val="20"/>
                          <w:lang w:eastAsia="en-US"/>
                        </w:rPr>
                        <w:t>Results:</w:t>
                      </w:r>
                      <w:r>
                        <w:rPr>
                          <w:rFonts w:ascii="Arial" w:eastAsia="Calibri" w:hAnsi="Arial" w:cs="Arial"/>
                          <w:sz w:val="20"/>
                          <w:lang w:eastAsia="en-US"/>
                        </w:rPr>
                        <w:t xml:space="preserve"> </w:t>
                      </w:r>
                      <w:r w:rsidRPr="00E10393">
                        <w:rPr>
                          <w:rFonts w:ascii="Arial" w:eastAsia="Calibri" w:hAnsi="Arial" w:cs="Arial"/>
                          <w:sz w:val="20"/>
                          <w:lang w:eastAsia="en-US"/>
                        </w:rPr>
                        <w:t>Students demonstrated moderate levels of mathematics self-efficacy (M = 3.34) and mathematics anxiety (M = 3.27). Academic performance data showed that 33.86% of participants obtained grades between 75 and 78, with relatively few achieving high marks. Correlational analysis revealed a moderate positive relationship between mathematics self-efficacy and mathematics anxiety (r = .65), contrary to existing literature that generally reports a negative association. Both self-efficacy and anxiety exhibited weak negative correlations with academic performance (r = –.094 and r = –.105, respectively).</w:t>
                      </w:r>
                    </w:p>
                    <w:p w14:paraId="3451EFE3" w14:textId="3993C3FB" w:rsidR="00E10393" w:rsidRPr="00E10393" w:rsidRDefault="00E10393" w:rsidP="00E10393">
                      <w:pPr>
                        <w:spacing w:after="0" w:line="240" w:lineRule="auto"/>
                        <w:jc w:val="both"/>
                        <w:rPr>
                          <w:rFonts w:ascii="Arial" w:eastAsia="Calibri" w:hAnsi="Arial" w:cs="Arial"/>
                          <w:sz w:val="20"/>
                          <w:lang w:eastAsia="en-US"/>
                        </w:rPr>
                      </w:pPr>
                      <w:r w:rsidRPr="00E10393">
                        <w:rPr>
                          <w:rFonts w:ascii="Arial" w:eastAsia="Calibri" w:hAnsi="Arial" w:cs="Arial"/>
                          <w:b/>
                          <w:bCs/>
                          <w:sz w:val="20"/>
                          <w:lang w:eastAsia="en-US"/>
                        </w:rPr>
                        <w:t>Conclusion:</w:t>
                      </w:r>
                      <w:r>
                        <w:rPr>
                          <w:rFonts w:ascii="Arial" w:eastAsia="Calibri" w:hAnsi="Arial" w:cs="Arial"/>
                          <w:sz w:val="20"/>
                          <w:lang w:eastAsia="en-US"/>
                        </w:rPr>
                        <w:t xml:space="preserve"> </w:t>
                      </w:r>
                      <w:r w:rsidRPr="00E10393">
                        <w:rPr>
                          <w:rFonts w:ascii="Arial" w:eastAsia="Calibri" w:hAnsi="Arial" w:cs="Arial"/>
                          <w:sz w:val="20"/>
                          <w:lang w:eastAsia="en-US"/>
                        </w:rPr>
                        <w:t>Findings suggest that students may simultaneously experience confidence and anxiety in mathematics, potentially due to contextual or cultural factors. The weak correlations with academic performance indicate the presence of other mediating influences such as instructional quality, assessment methods, or psychological support. The study recommends targeted interventions to enhance mathematical identity, reduce anxiety in evaluative settings, and promote evidence-based teaching practices to improve learning outcomes.</w:t>
                      </w:r>
                    </w:p>
                    <w:p w14:paraId="4C916088" w14:textId="64E0C784" w:rsidR="00391F0E" w:rsidRPr="00BD6902" w:rsidRDefault="00391F0E" w:rsidP="00E10393">
                      <w:pPr>
                        <w:spacing w:after="0" w:line="240" w:lineRule="auto"/>
                        <w:ind w:firstLine="720"/>
                        <w:jc w:val="both"/>
                        <w:rPr>
                          <w:rFonts w:ascii="Arial" w:eastAsia="Calibri" w:hAnsi="Arial" w:cs="Arial"/>
                          <w:sz w:val="20"/>
                          <w:lang w:eastAsia="en-US"/>
                        </w:rPr>
                      </w:pPr>
                    </w:p>
                  </w:txbxContent>
                </v:textbox>
                <w10:wrap type="square" anchorx="margin"/>
              </v:shape>
            </w:pict>
          </mc:Fallback>
        </mc:AlternateContent>
      </w:r>
    </w:p>
    <w:p w14:paraId="33F10E60" w14:textId="00FE896A" w:rsidR="007A6170" w:rsidRPr="003A63D0" w:rsidRDefault="007A6170" w:rsidP="003A63D0">
      <w:pPr>
        <w:spacing w:after="0" w:line="240" w:lineRule="auto"/>
        <w:jc w:val="both"/>
        <w:rPr>
          <w:rFonts w:ascii="Arial" w:eastAsia="Batang" w:hAnsi="Arial" w:cs="Arial"/>
          <w:b/>
          <w:bCs/>
          <w:sz w:val="18"/>
          <w:szCs w:val="20"/>
        </w:rPr>
      </w:pPr>
    </w:p>
    <w:p w14:paraId="2B1A73A0" w14:textId="7DDB54DC" w:rsidR="003A63D0" w:rsidRPr="003A63D0" w:rsidRDefault="003A63D0" w:rsidP="003A63D0">
      <w:pPr>
        <w:spacing w:after="0" w:line="240" w:lineRule="auto"/>
        <w:jc w:val="both"/>
        <w:rPr>
          <w:rFonts w:ascii="Arial" w:eastAsia="Batang" w:hAnsi="Arial" w:cs="Arial"/>
          <w:b/>
          <w:bCs/>
          <w:sz w:val="18"/>
          <w:szCs w:val="20"/>
        </w:rPr>
      </w:pPr>
      <w:r w:rsidRPr="003A63D0">
        <w:rPr>
          <w:rFonts w:ascii="Arial" w:eastAsia="Batang" w:hAnsi="Arial" w:cs="Arial"/>
          <w:noProof/>
          <w:sz w:val="20"/>
          <w:szCs w:val="20"/>
          <w:lang w:eastAsia="en-US"/>
        </w:rPr>
        <mc:AlternateContent>
          <mc:Choice Requires="wps">
            <w:drawing>
              <wp:anchor distT="0" distB="0" distL="114300" distR="114300" simplePos="0" relativeHeight="251671552" behindDoc="0" locked="0" layoutInCell="1" allowOverlap="1" wp14:anchorId="51DA0D7B" wp14:editId="61F2E37B">
                <wp:simplePos x="0" y="0"/>
                <wp:positionH relativeFrom="margin">
                  <wp:align>right</wp:align>
                </wp:positionH>
                <wp:positionV relativeFrom="paragraph">
                  <wp:posOffset>24130</wp:posOffset>
                </wp:positionV>
                <wp:extent cx="5086350" cy="9525"/>
                <wp:effectExtent l="38100" t="38100" r="76200" b="85725"/>
                <wp:wrapNone/>
                <wp:docPr id="10" name="Straight Connector 10"/>
                <wp:cNvGraphicFramePr/>
                <a:graphic xmlns:a="http://schemas.openxmlformats.org/drawingml/2006/main">
                  <a:graphicData uri="http://schemas.microsoft.com/office/word/2010/wordprocessingShape">
                    <wps:wsp>
                      <wps:cNvCnPr/>
                      <wps:spPr>
                        <a:xfrm flipV="1">
                          <a:off x="0" y="0"/>
                          <a:ext cx="5086350" cy="952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2EB2C8" id="Straight Connector 10" o:spid="_x0000_s1026" style="position:absolute;flip:y;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9.3pt,1.9pt" to="749.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" strokecolor="black [3213]" strokeweight="2pt">
                <v:shadow on="t" color="black" opacity="24903f" origin=",.5" offset="0,.55556mm"/>
                <w10:wrap anchorx="margin"/>
              </v:line>
            </w:pict>
          </mc:Fallback>
        </mc:AlternateContent>
      </w:r>
    </w:p>
    <w:p w14:paraId="54CFA9D7" w14:textId="1A888497" w:rsidR="00F85168" w:rsidRPr="003A63D0" w:rsidRDefault="00A06FAB" w:rsidP="003A63D0">
      <w:pPr>
        <w:spacing w:after="0" w:line="240" w:lineRule="auto"/>
        <w:jc w:val="both"/>
        <w:rPr>
          <w:rFonts w:ascii="Arial" w:eastAsia="Batang" w:hAnsi="Arial" w:cs="Arial"/>
          <w:b/>
          <w:bCs/>
          <w:i/>
          <w:iCs/>
          <w:sz w:val="20"/>
          <w:szCs w:val="20"/>
        </w:rPr>
      </w:pPr>
      <w:r w:rsidRPr="003A63D0">
        <w:rPr>
          <w:rFonts w:ascii="Arial" w:eastAsia="Batang" w:hAnsi="Arial" w:cs="Arial"/>
          <w:b/>
          <w:bCs/>
          <w:i/>
          <w:iCs/>
          <w:sz w:val="20"/>
          <w:szCs w:val="20"/>
        </w:rPr>
        <w:t>Keywords:</w:t>
      </w:r>
      <w:r w:rsidR="00CC68BB" w:rsidRPr="003A63D0">
        <w:rPr>
          <w:rFonts w:ascii="Arial" w:eastAsia="Batang" w:hAnsi="Arial" w:cs="Arial"/>
          <w:i/>
          <w:iCs/>
          <w:sz w:val="20"/>
          <w:szCs w:val="20"/>
        </w:rPr>
        <w:t xml:space="preserve"> </w:t>
      </w:r>
      <w:r w:rsidR="00F85168" w:rsidRPr="003A63D0">
        <w:rPr>
          <w:rFonts w:ascii="Arial" w:hAnsi="Arial" w:cs="Arial"/>
          <w:i/>
          <w:iCs/>
          <w:sz w:val="20"/>
          <w:szCs w:val="20"/>
        </w:rPr>
        <w:t xml:space="preserve">Mathematics Self-efficacy, Mathematics Anxiety, Mathematics </w:t>
      </w:r>
      <w:r w:rsidR="00625528" w:rsidRPr="003A63D0">
        <w:rPr>
          <w:rFonts w:ascii="Arial" w:hAnsi="Arial" w:cs="Arial"/>
          <w:i/>
          <w:iCs/>
          <w:sz w:val="20"/>
          <w:szCs w:val="20"/>
        </w:rPr>
        <w:t>A</w:t>
      </w:r>
      <w:r w:rsidR="00F85168" w:rsidRPr="003A63D0">
        <w:rPr>
          <w:rFonts w:ascii="Arial" w:hAnsi="Arial" w:cs="Arial"/>
          <w:i/>
          <w:iCs/>
          <w:sz w:val="20"/>
          <w:szCs w:val="20"/>
        </w:rPr>
        <w:t xml:space="preserve">chievement, </w:t>
      </w:r>
      <w:r w:rsidR="004A364A" w:rsidRPr="003A63D0">
        <w:rPr>
          <w:rFonts w:ascii="Arial" w:hAnsi="Arial" w:cs="Arial"/>
          <w:i/>
          <w:iCs/>
          <w:sz w:val="20"/>
          <w:szCs w:val="20"/>
        </w:rPr>
        <w:t>S</w:t>
      </w:r>
      <w:r w:rsidR="00F85168" w:rsidRPr="003A63D0">
        <w:rPr>
          <w:rFonts w:ascii="Arial" w:hAnsi="Arial" w:cs="Arial"/>
          <w:i/>
          <w:iCs/>
          <w:sz w:val="20"/>
          <w:szCs w:val="20"/>
        </w:rPr>
        <w:t>tudents</w:t>
      </w:r>
      <w:r w:rsidR="00625528" w:rsidRPr="003A63D0">
        <w:rPr>
          <w:rFonts w:ascii="Arial" w:hAnsi="Arial" w:cs="Arial"/>
          <w:i/>
          <w:iCs/>
          <w:sz w:val="20"/>
          <w:szCs w:val="20"/>
        </w:rPr>
        <w:t>, Quantitative Research</w:t>
      </w:r>
    </w:p>
    <w:p w14:paraId="0ABE0580" w14:textId="4880521F" w:rsidR="00791ABC" w:rsidRPr="003A63D0" w:rsidRDefault="00791ABC" w:rsidP="003A63D0">
      <w:pPr>
        <w:spacing w:after="0" w:line="240" w:lineRule="auto"/>
        <w:rPr>
          <w:rFonts w:ascii="Arial" w:eastAsia="Batang" w:hAnsi="Arial" w:cs="Arial"/>
          <w:sz w:val="20"/>
          <w:szCs w:val="20"/>
        </w:rPr>
      </w:pPr>
    </w:p>
    <w:p w14:paraId="712B74B4" w14:textId="77777777" w:rsidR="00391F0E" w:rsidRPr="003A63D0" w:rsidRDefault="00391F0E" w:rsidP="003A63D0">
      <w:pPr>
        <w:spacing w:after="0" w:line="240" w:lineRule="auto"/>
        <w:rPr>
          <w:rFonts w:ascii="Arial" w:eastAsia="Batang" w:hAnsi="Arial" w:cs="Arial"/>
          <w:sz w:val="20"/>
          <w:szCs w:val="20"/>
        </w:rPr>
      </w:pPr>
    </w:p>
    <w:p w14:paraId="63A61EDC" w14:textId="77777777" w:rsidR="00391F0E" w:rsidRPr="003A63D0" w:rsidRDefault="00391F0E" w:rsidP="003A63D0">
      <w:pPr>
        <w:spacing w:after="0" w:line="240" w:lineRule="auto"/>
        <w:rPr>
          <w:rFonts w:ascii="Arial" w:eastAsia="Batang" w:hAnsi="Arial" w:cs="Arial"/>
          <w:sz w:val="20"/>
          <w:szCs w:val="20"/>
        </w:rPr>
      </w:pPr>
    </w:p>
    <w:p w14:paraId="0ECF7E54" w14:textId="77777777" w:rsidR="00391F0E" w:rsidRPr="003A63D0" w:rsidRDefault="00391F0E" w:rsidP="003A63D0">
      <w:pPr>
        <w:spacing w:after="0" w:line="240" w:lineRule="auto"/>
        <w:rPr>
          <w:rFonts w:ascii="Arial" w:eastAsia="Batang" w:hAnsi="Arial" w:cs="Arial"/>
          <w:sz w:val="20"/>
          <w:szCs w:val="20"/>
        </w:rPr>
      </w:pPr>
    </w:p>
    <w:p w14:paraId="0953C97F" w14:textId="77777777" w:rsidR="003A63D0" w:rsidRDefault="003A63D0" w:rsidP="003A63D0">
      <w:pPr>
        <w:spacing w:after="0" w:line="240" w:lineRule="auto"/>
        <w:rPr>
          <w:rFonts w:ascii="Arial" w:eastAsia="Batang" w:hAnsi="Arial" w:cs="Arial"/>
          <w:sz w:val="20"/>
          <w:szCs w:val="20"/>
        </w:rPr>
      </w:pPr>
    </w:p>
    <w:p w14:paraId="3199616A" w14:textId="77777777" w:rsidR="0055051B" w:rsidRPr="003A63D0" w:rsidRDefault="0055051B" w:rsidP="003A63D0">
      <w:pPr>
        <w:spacing w:after="0" w:line="240" w:lineRule="auto"/>
        <w:rPr>
          <w:rFonts w:ascii="Arial" w:eastAsia="Batang" w:hAnsi="Arial" w:cs="Arial"/>
          <w:sz w:val="20"/>
          <w:szCs w:val="20"/>
        </w:rPr>
      </w:pPr>
    </w:p>
    <w:p w14:paraId="4ED20D45" w14:textId="77777777" w:rsidR="003A63D0" w:rsidRPr="003A63D0" w:rsidRDefault="003A63D0" w:rsidP="003A63D0">
      <w:pPr>
        <w:spacing w:after="0" w:line="240" w:lineRule="auto"/>
        <w:rPr>
          <w:rFonts w:ascii="Arial" w:eastAsia="Batang" w:hAnsi="Arial" w:cs="Arial"/>
          <w:sz w:val="20"/>
          <w:szCs w:val="20"/>
        </w:rPr>
      </w:pPr>
    </w:p>
    <w:p w14:paraId="0DA8B64D" w14:textId="77777777" w:rsidR="003A63D0" w:rsidRDefault="003A63D0" w:rsidP="003A63D0">
      <w:pPr>
        <w:spacing w:after="0" w:line="240" w:lineRule="auto"/>
        <w:rPr>
          <w:rFonts w:ascii="Arial" w:eastAsia="Batang" w:hAnsi="Arial" w:cs="Arial"/>
          <w:sz w:val="20"/>
          <w:szCs w:val="20"/>
        </w:rPr>
      </w:pPr>
    </w:p>
    <w:p w14:paraId="33678799" w14:textId="77777777" w:rsidR="009D0B15" w:rsidRDefault="009D0B15" w:rsidP="003A63D0">
      <w:pPr>
        <w:spacing w:after="0" w:line="240" w:lineRule="auto"/>
        <w:rPr>
          <w:rFonts w:ascii="Arial" w:eastAsia="Batang" w:hAnsi="Arial" w:cs="Arial"/>
          <w:sz w:val="20"/>
          <w:szCs w:val="20"/>
        </w:rPr>
      </w:pPr>
    </w:p>
    <w:p w14:paraId="4A526E24" w14:textId="77777777" w:rsidR="009D0B15" w:rsidRPr="003A63D0" w:rsidRDefault="009D0B15" w:rsidP="003A63D0">
      <w:pPr>
        <w:spacing w:after="0" w:line="240" w:lineRule="auto"/>
        <w:rPr>
          <w:rFonts w:ascii="Arial" w:eastAsia="Batang" w:hAnsi="Arial" w:cs="Arial"/>
          <w:sz w:val="20"/>
          <w:szCs w:val="20"/>
        </w:rPr>
      </w:pPr>
    </w:p>
    <w:p w14:paraId="283DB58D" w14:textId="77777777" w:rsidR="00391F0E" w:rsidRPr="003A63D0" w:rsidRDefault="00391F0E" w:rsidP="003A63D0">
      <w:pPr>
        <w:spacing w:after="0" w:line="240" w:lineRule="auto"/>
        <w:rPr>
          <w:rFonts w:ascii="Arial" w:eastAsia="Batang" w:hAnsi="Arial" w:cs="Arial"/>
          <w:sz w:val="20"/>
          <w:szCs w:val="20"/>
        </w:rPr>
      </w:pPr>
    </w:p>
    <w:p w14:paraId="6AECC54B" w14:textId="77777777" w:rsidR="00791ABC" w:rsidRPr="003A63D0" w:rsidRDefault="00791ABC" w:rsidP="003A63D0">
      <w:pPr>
        <w:spacing w:after="0" w:line="240" w:lineRule="auto"/>
        <w:rPr>
          <w:rFonts w:ascii="Arial" w:eastAsia="Batang" w:hAnsi="Arial" w:cs="Arial"/>
          <w:sz w:val="20"/>
          <w:szCs w:val="20"/>
        </w:rPr>
      </w:pPr>
    </w:p>
    <w:p w14:paraId="390138FC" w14:textId="77777777" w:rsidR="007A6170" w:rsidRPr="003A63D0" w:rsidRDefault="007A6170" w:rsidP="003A63D0">
      <w:pPr>
        <w:spacing w:after="0" w:line="240" w:lineRule="auto"/>
        <w:rPr>
          <w:rFonts w:ascii="Arial" w:eastAsia="Batang" w:hAnsi="Arial" w:cs="Arial"/>
          <w:sz w:val="20"/>
          <w:szCs w:val="20"/>
        </w:rPr>
        <w:sectPr w:rsidR="007A6170" w:rsidRPr="003A63D0" w:rsidSect="00DA020F">
          <w:headerReference w:type="even" r:id="rId8"/>
          <w:headerReference w:type="default" r:id="rId9"/>
          <w:footerReference w:type="even" r:id="rId10"/>
          <w:footerReference w:type="default" r:id="rId11"/>
          <w:headerReference w:type="first" r:id="rId12"/>
          <w:footerReference w:type="first" r:id="rId13"/>
          <w:pgSz w:w="11907" w:h="16839" w:code="9"/>
          <w:pgMar w:top="1440" w:right="1829" w:bottom="1440" w:left="1886" w:header="720" w:footer="720" w:gutter="0"/>
          <w:pgNumType w:start="1" w:chapStyle="1"/>
          <w:cols w:space="720"/>
          <w:titlePg/>
          <w:docGrid w:linePitch="360"/>
        </w:sectPr>
      </w:pPr>
    </w:p>
    <w:p w14:paraId="2F301920" w14:textId="6F268A7A" w:rsidR="00031379" w:rsidRPr="003A63D0" w:rsidRDefault="009D0B15" w:rsidP="000F5391">
      <w:pPr>
        <w:spacing w:before="120" w:after="120" w:line="240" w:lineRule="auto"/>
        <w:rPr>
          <w:rFonts w:ascii="Arial" w:eastAsia="Batang" w:hAnsi="Arial" w:cs="Arial"/>
          <w:b/>
        </w:rPr>
      </w:pPr>
      <w:r>
        <w:rPr>
          <w:rFonts w:ascii="Arial" w:eastAsia="Batang" w:hAnsi="Arial" w:cs="Arial"/>
          <w:b/>
        </w:rPr>
        <w:t>1.</w:t>
      </w:r>
      <w:r w:rsidR="00031379" w:rsidRPr="003A63D0">
        <w:rPr>
          <w:rFonts w:ascii="Arial" w:eastAsia="Batang" w:hAnsi="Arial" w:cs="Arial"/>
          <w:b/>
        </w:rPr>
        <w:t xml:space="preserve"> </w:t>
      </w:r>
      <w:r w:rsidR="00E159AD" w:rsidRPr="003A63D0">
        <w:rPr>
          <w:rFonts w:ascii="Arial" w:eastAsia="Batang" w:hAnsi="Arial" w:cs="Arial"/>
          <w:b/>
        </w:rPr>
        <w:t>INTRODUCTION</w:t>
      </w:r>
    </w:p>
    <w:p w14:paraId="571A43C2" w14:textId="0A4106F6" w:rsidR="002C7925" w:rsidRPr="002C7925" w:rsidRDefault="002C7925" w:rsidP="003C75D6">
      <w:pPr>
        <w:spacing w:before="120" w:after="120" w:line="240" w:lineRule="auto"/>
        <w:ind w:firstLine="720"/>
        <w:jc w:val="both"/>
        <w:rPr>
          <w:rFonts w:ascii="Arial" w:hAnsi="Arial" w:cs="Arial"/>
          <w:sz w:val="20"/>
          <w:szCs w:val="20"/>
        </w:rPr>
      </w:pPr>
      <w:r w:rsidRPr="002C7925">
        <w:rPr>
          <w:rFonts w:ascii="Arial" w:hAnsi="Arial" w:cs="Arial"/>
          <w:sz w:val="20"/>
          <w:szCs w:val="20"/>
        </w:rPr>
        <w:t xml:space="preserve">Mathematics plays a fundamental role in education, fostering problem-solving, logical reasoning, and analytical skills (National Research Council, 2001). Despite its significance, many students perceive mathematics as complex and intimidating, often due to gaps in foundational skills </w:t>
      </w:r>
      <w:r w:rsidRPr="002C7925">
        <w:rPr>
          <w:rFonts w:ascii="Arial" w:hAnsi="Arial" w:cs="Arial"/>
          <w:sz w:val="20"/>
          <w:szCs w:val="20"/>
        </w:rPr>
        <w:lastRenderedPageBreak/>
        <w:t>formed during primary and secondary education. This perception leads to negative attitudes at the tertiary level, where academic expectations are heightened (Beilock &amp; Maloney, 2015). A major psychological barrier to success in mathematics is mathematics anxiety, characterized by tension and apprehension during mathematical tasks. Research has established that high levels of anxiety impair cognitive function and negatively affect academic performance (Ashcraft &amp; Krause, 2007; Ramirez, Shaw, &amp; Maloney, 2018). In contrast, mathematics self-efficacy—students’ belief in their ability to succeed in mathematics—has been strongly linked to motivation, persistence, and achievement (Pajares &amp; Miller, 1994; Zakariya, 2018).</w:t>
      </w:r>
    </w:p>
    <w:p w14:paraId="7637CEAE" w14:textId="7BB4C150" w:rsidR="002C7925" w:rsidRPr="002C7925" w:rsidRDefault="002C7925" w:rsidP="003C75D6">
      <w:pPr>
        <w:spacing w:before="120" w:after="120" w:line="240" w:lineRule="auto"/>
        <w:ind w:firstLine="720"/>
        <w:jc w:val="both"/>
        <w:rPr>
          <w:rFonts w:ascii="Arial" w:hAnsi="Arial" w:cs="Arial"/>
          <w:sz w:val="20"/>
          <w:szCs w:val="20"/>
        </w:rPr>
      </w:pPr>
      <w:r w:rsidRPr="002C7925">
        <w:rPr>
          <w:rFonts w:ascii="Arial" w:hAnsi="Arial" w:cs="Arial"/>
          <w:sz w:val="20"/>
          <w:szCs w:val="20"/>
        </w:rPr>
        <w:t>Recent studies continue to highlight the impact of mathematics anxiety and self-efficacy on student performance. Ablian and Parangat (2020) found that students with high levels of mathematics anxiety struggle with problem-solving tasks, while those with strong self-efficacy demonstrate greater resilience in mathematical learning. Similarly, Bongcac (2021) emphasized that self-efficacy plays a crucial role in students' ability to engage with mathematical concepts, influencing their confidence and willingness to participate in class discussions2.</w:t>
      </w:r>
    </w:p>
    <w:p w14:paraId="7CD09033" w14:textId="606911DF" w:rsidR="002C7925" w:rsidRPr="002C7925" w:rsidRDefault="002C7925" w:rsidP="003C75D6">
      <w:pPr>
        <w:spacing w:before="120" w:after="120" w:line="240" w:lineRule="auto"/>
        <w:ind w:firstLine="720"/>
        <w:jc w:val="both"/>
        <w:rPr>
          <w:rFonts w:ascii="Arial" w:hAnsi="Arial" w:cs="Arial"/>
          <w:sz w:val="20"/>
          <w:szCs w:val="20"/>
        </w:rPr>
      </w:pPr>
      <w:r w:rsidRPr="002C7925">
        <w:rPr>
          <w:rFonts w:ascii="Arial" w:hAnsi="Arial" w:cs="Arial"/>
          <w:sz w:val="20"/>
          <w:szCs w:val="20"/>
        </w:rPr>
        <w:t>Global assessments such as the Programme for International Student Assessment (PISA) and the Trends in International Mathematics and Science Study (TIMSS) have consistently reported widespread math anxiety among students. PISA (2018) indicated that approximately 30% of students across developed countries experience moderate to high levels of mathematics anxiety, a factor directly linked to lower performance (OECD, 2019). Notably, this issue affects both low-performing students and high achievers, potentially discouraging them from pursuing math-intensive disciplines (Zhang, Zhao, &amp; Kong, 2019).</w:t>
      </w:r>
    </w:p>
    <w:p w14:paraId="6A0EF2C1" w14:textId="39DF82EF" w:rsidR="002C7925" w:rsidRPr="002C7925" w:rsidRDefault="002C7925" w:rsidP="003C75D6">
      <w:pPr>
        <w:spacing w:before="120" w:after="120" w:line="240" w:lineRule="auto"/>
        <w:ind w:firstLine="720"/>
        <w:jc w:val="both"/>
        <w:rPr>
          <w:rFonts w:ascii="Arial" w:hAnsi="Arial" w:cs="Arial"/>
          <w:sz w:val="20"/>
          <w:szCs w:val="20"/>
        </w:rPr>
      </w:pPr>
      <w:r w:rsidRPr="002C7925">
        <w:rPr>
          <w:rFonts w:ascii="Arial" w:hAnsi="Arial" w:cs="Arial"/>
          <w:sz w:val="20"/>
          <w:szCs w:val="20"/>
        </w:rPr>
        <w:t>In the Philippines, mathematics anxiety presents a particularly urgent challenge. The 2018 PISA results ranked the country lowest among 79 nations in mathematics performance, with Filipino students reporting higher-than-average anxiety levels (OECD, 2019). More recent research by Ablian and Parangat (2020) confirms that Filipino students continue to experience high levels of mathematics anxiety, which negatively impacts their academic performance. Bongcac (2021) further noted that self-efficacy is a key determinant of mathematical achievement, suggesting that interventions aimed at improving students' confidence in their mathematical abilities could enhance learning outcomes2.</w:t>
      </w:r>
    </w:p>
    <w:p w14:paraId="6B85D6E9" w14:textId="5A83B845" w:rsidR="00DC3FB0" w:rsidRPr="003A63D0" w:rsidRDefault="002C7925" w:rsidP="003C75D6">
      <w:pPr>
        <w:spacing w:before="120" w:after="120" w:line="240" w:lineRule="auto"/>
        <w:ind w:firstLine="720"/>
        <w:jc w:val="both"/>
        <w:rPr>
          <w:rFonts w:ascii="Arial" w:hAnsi="Arial" w:cs="Arial"/>
          <w:b/>
          <w:bCs/>
          <w:sz w:val="20"/>
          <w:szCs w:val="20"/>
        </w:rPr>
      </w:pPr>
      <w:r w:rsidRPr="002C7925">
        <w:rPr>
          <w:rFonts w:ascii="Arial" w:hAnsi="Arial" w:cs="Arial"/>
          <w:sz w:val="20"/>
          <w:szCs w:val="20"/>
        </w:rPr>
        <w:t>While extensive international research has explored mathematics anxiety and self-efficacy, limited studies have examined these constructs among Filipino college students. Gaining insight into these psychological influences is essential for crafting targeted interventions to improve student outcomes. Educational authorities, such as the Department of Education (DepEd) and the Commission on Higher Education (CHED), have promoted student-centered and psychologically responsive teaching approaches, aligning with Republic Act No. 10533 (Enhanced Basic Education Act of 2013) (Black &amp; Wiliam, 2009). Despite these policy efforts, challenges such as low performance, high anxiety, and diminished self-confidence remain barriers to student success.</w:t>
      </w:r>
    </w:p>
    <w:p w14:paraId="27AF321C" w14:textId="77777777" w:rsidR="002C7925" w:rsidRDefault="002C7925" w:rsidP="003A63D0">
      <w:pPr>
        <w:spacing w:before="120" w:after="120" w:line="240" w:lineRule="auto"/>
        <w:rPr>
          <w:rFonts w:ascii="Arial" w:hAnsi="Arial" w:cs="Arial"/>
          <w:b/>
          <w:bCs/>
          <w:sz w:val="20"/>
          <w:szCs w:val="20"/>
        </w:rPr>
      </w:pPr>
    </w:p>
    <w:p w14:paraId="6D646F20" w14:textId="4EAEEC61" w:rsidR="00DC3FB0" w:rsidRPr="003A63D0" w:rsidRDefault="00E51F91" w:rsidP="003A63D0">
      <w:pPr>
        <w:spacing w:before="120" w:after="120" w:line="240" w:lineRule="auto"/>
        <w:rPr>
          <w:rFonts w:ascii="Arial" w:hAnsi="Arial" w:cs="Arial"/>
          <w:sz w:val="20"/>
          <w:szCs w:val="20"/>
        </w:rPr>
      </w:pPr>
      <w:r w:rsidRPr="003A63D0">
        <w:rPr>
          <w:rFonts w:ascii="Arial" w:hAnsi="Arial" w:cs="Arial"/>
          <w:b/>
          <w:bCs/>
          <w:sz w:val="20"/>
          <w:szCs w:val="20"/>
        </w:rPr>
        <w:t>Objectives of the Study</w:t>
      </w:r>
      <w:r w:rsidRPr="003A63D0">
        <w:rPr>
          <w:rFonts w:ascii="Arial" w:hAnsi="Arial" w:cs="Arial"/>
          <w:sz w:val="20"/>
          <w:szCs w:val="20"/>
        </w:rPr>
        <w:br/>
      </w:r>
    </w:p>
    <w:p w14:paraId="10524E83" w14:textId="7FE93850" w:rsidR="00E51F91" w:rsidRPr="003A63D0" w:rsidRDefault="00E51F91" w:rsidP="00387102">
      <w:pPr>
        <w:spacing w:before="120" w:after="120" w:line="240" w:lineRule="auto"/>
        <w:ind w:firstLine="720"/>
        <w:jc w:val="both"/>
        <w:rPr>
          <w:rFonts w:ascii="Arial" w:hAnsi="Arial" w:cs="Arial"/>
          <w:sz w:val="20"/>
          <w:szCs w:val="20"/>
        </w:rPr>
      </w:pPr>
      <w:r w:rsidRPr="003A63D0">
        <w:rPr>
          <w:rFonts w:ascii="Arial" w:hAnsi="Arial" w:cs="Arial"/>
          <w:sz w:val="20"/>
          <w:szCs w:val="20"/>
        </w:rPr>
        <w:t>This study</w:t>
      </w:r>
      <w:r w:rsidR="0032468F">
        <w:rPr>
          <w:rFonts w:ascii="Arial" w:hAnsi="Arial" w:cs="Arial"/>
          <w:sz w:val="20"/>
          <w:szCs w:val="20"/>
        </w:rPr>
        <w:t xml:space="preserve"> </w:t>
      </w:r>
      <w:r w:rsidRPr="003A63D0">
        <w:rPr>
          <w:rFonts w:ascii="Arial" w:hAnsi="Arial" w:cs="Arial"/>
          <w:sz w:val="20"/>
          <w:szCs w:val="20"/>
        </w:rPr>
        <w:t>investigate</w:t>
      </w:r>
      <w:r w:rsidR="0032468F">
        <w:rPr>
          <w:rFonts w:ascii="Arial" w:hAnsi="Arial" w:cs="Arial"/>
          <w:sz w:val="20"/>
          <w:szCs w:val="20"/>
        </w:rPr>
        <w:t>d</w:t>
      </w:r>
      <w:r w:rsidRPr="003A63D0">
        <w:rPr>
          <w:rFonts w:ascii="Arial" w:hAnsi="Arial" w:cs="Arial"/>
          <w:sz w:val="20"/>
          <w:szCs w:val="20"/>
        </w:rPr>
        <w:t xml:space="preserve"> mathematics self-efficacy and anxiety as predictors of mathematics achievement among selected students in the College of Science, University of Eastern Philippines Main Campus. Specifically, it seeks to:</w:t>
      </w:r>
    </w:p>
    <w:p w14:paraId="409AB747" w14:textId="55842F29" w:rsidR="00E51F91" w:rsidRPr="003A63D0" w:rsidRDefault="00490049" w:rsidP="00387102">
      <w:pPr>
        <w:numPr>
          <w:ilvl w:val="0"/>
          <w:numId w:val="6"/>
        </w:numPr>
        <w:tabs>
          <w:tab w:val="clear" w:pos="720"/>
          <w:tab w:val="num" w:pos="270"/>
        </w:tabs>
        <w:spacing w:before="120" w:after="120" w:line="240" w:lineRule="auto"/>
        <w:ind w:left="0" w:firstLine="0"/>
        <w:jc w:val="both"/>
        <w:rPr>
          <w:rFonts w:ascii="Arial" w:hAnsi="Arial" w:cs="Arial"/>
          <w:sz w:val="20"/>
          <w:szCs w:val="20"/>
        </w:rPr>
      </w:pPr>
      <w:r w:rsidRPr="003A63D0">
        <w:rPr>
          <w:rFonts w:ascii="Arial" w:hAnsi="Arial" w:cs="Arial"/>
          <w:sz w:val="20"/>
          <w:szCs w:val="20"/>
        </w:rPr>
        <w:t>a</w:t>
      </w:r>
      <w:r w:rsidR="00E51F91" w:rsidRPr="003A63D0">
        <w:rPr>
          <w:rFonts w:ascii="Arial" w:hAnsi="Arial" w:cs="Arial"/>
          <w:sz w:val="20"/>
          <w:szCs w:val="20"/>
        </w:rPr>
        <w:t>ssess the level of mathematics self</w:t>
      </w:r>
      <w:r w:rsidR="00387102">
        <w:rPr>
          <w:rFonts w:ascii="Arial" w:hAnsi="Arial" w:cs="Arial"/>
          <w:sz w:val="20"/>
          <w:szCs w:val="20"/>
        </w:rPr>
        <w:t>-</w:t>
      </w:r>
      <w:r w:rsidR="00E51F91" w:rsidRPr="003A63D0">
        <w:rPr>
          <w:rFonts w:ascii="Arial" w:hAnsi="Arial" w:cs="Arial"/>
          <w:sz w:val="20"/>
          <w:szCs w:val="20"/>
        </w:rPr>
        <w:t>efficacy among the students</w:t>
      </w:r>
      <w:r w:rsidR="00DC3FB0" w:rsidRPr="003A63D0">
        <w:rPr>
          <w:rFonts w:ascii="Arial" w:hAnsi="Arial" w:cs="Arial"/>
          <w:sz w:val="20"/>
          <w:szCs w:val="20"/>
        </w:rPr>
        <w:t>,</w:t>
      </w:r>
    </w:p>
    <w:p w14:paraId="0A7607C5" w14:textId="0C49E8CF" w:rsidR="00E51F91" w:rsidRPr="003A63D0" w:rsidRDefault="00490049" w:rsidP="00387102">
      <w:pPr>
        <w:numPr>
          <w:ilvl w:val="0"/>
          <w:numId w:val="6"/>
        </w:numPr>
        <w:tabs>
          <w:tab w:val="clear" w:pos="720"/>
          <w:tab w:val="num" w:pos="270"/>
        </w:tabs>
        <w:spacing w:before="120" w:after="120" w:line="240" w:lineRule="auto"/>
        <w:ind w:left="0" w:firstLine="0"/>
        <w:jc w:val="both"/>
        <w:rPr>
          <w:rFonts w:ascii="Arial" w:hAnsi="Arial" w:cs="Arial"/>
          <w:sz w:val="20"/>
          <w:szCs w:val="20"/>
        </w:rPr>
      </w:pPr>
      <w:r w:rsidRPr="003A63D0">
        <w:rPr>
          <w:rFonts w:ascii="Arial" w:hAnsi="Arial" w:cs="Arial"/>
          <w:sz w:val="20"/>
          <w:szCs w:val="20"/>
        </w:rPr>
        <w:t>d</w:t>
      </w:r>
      <w:r w:rsidR="00E51F91" w:rsidRPr="003A63D0">
        <w:rPr>
          <w:rFonts w:ascii="Arial" w:hAnsi="Arial" w:cs="Arial"/>
          <w:sz w:val="20"/>
          <w:szCs w:val="20"/>
        </w:rPr>
        <w:t>etermine the level of mathematics anxiety among the students</w:t>
      </w:r>
      <w:r w:rsidR="00DC3FB0" w:rsidRPr="003A63D0">
        <w:rPr>
          <w:rFonts w:ascii="Arial" w:hAnsi="Arial" w:cs="Arial"/>
          <w:sz w:val="20"/>
          <w:szCs w:val="20"/>
        </w:rPr>
        <w:t>,</w:t>
      </w:r>
    </w:p>
    <w:p w14:paraId="6D14D666" w14:textId="44856B95" w:rsidR="00E51F91" w:rsidRPr="003A63D0" w:rsidRDefault="00490049" w:rsidP="00387102">
      <w:pPr>
        <w:numPr>
          <w:ilvl w:val="0"/>
          <w:numId w:val="6"/>
        </w:numPr>
        <w:tabs>
          <w:tab w:val="clear" w:pos="720"/>
          <w:tab w:val="num" w:pos="270"/>
        </w:tabs>
        <w:spacing w:before="120" w:after="120" w:line="240" w:lineRule="auto"/>
        <w:ind w:left="0" w:firstLine="0"/>
        <w:jc w:val="both"/>
        <w:rPr>
          <w:rFonts w:ascii="Arial" w:hAnsi="Arial" w:cs="Arial"/>
          <w:sz w:val="20"/>
          <w:szCs w:val="20"/>
        </w:rPr>
      </w:pPr>
      <w:r w:rsidRPr="003A63D0">
        <w:rPr>
          <w:rFonts w:ascii="Arial" w:hAnsi="Arial" w:cs="Arial"/>
          <w:sz w:val="20"/>
          <w:szCs w:val="20"/>
        </w:rPr>
        <w:t>e</w:t>
      </w:r>
      <w:r w:rsidR="00E51F91" w:rsidRPr="003A63D0">
        <w:rPr>
          <w:rFonts w:ascii="Arial" w:hAnsi="Arial" w:cs="Arial"/>
          <w:sz w:val="20"/>
          <w:szCs w:val="20"/>
        </w:rPr>
        <w:t>valuate the students’ academic performance in mathematics; and</w:t>
      </w:r>
    </w:p>
    <w:p w14:paraId="587C4B26" w14:textId="38639FA4" w:rsidR="00F21ADC" w:rsidRPr="003A63D0" w:rsidRDefault="00490049" w:rsidP="00387102">
      <w:pPr>
        <w:numPr>
          <w:ilvl w:val="0"/>
          <w:numId w:val="6"/>
        </w:numPr>
        <w:tabs>
          <w:tab w:val="left" w:pos="270"/>
        </w:tabs>
        <w:spacing w:before="120" w:after="120" w:line="240" w:lineRule="auto"/>
        <w:ind w:left="0" w:firstLine="0"/>
        <w:jc w:val="both"/>
        <w:rPr>
          <w:rFonts w:ascii="Arial" w:hAnsi="Arial" w:cs="Arial"/>
          <w:sz w:val="20"/>
          <w:szCs w:val="20"/>
        </w:rPr>
      </w:pPr>
      <w:r w:rsidRPr="003A63D0">
        <w:rPr>
          <w:rFonts w:ascii="Arial" w:hAnsi="Arial" w:cs="Arial"/>
          <w:sz w:val="20"/>
          <w:szCs w:val="20"/>
        </w:rPr>
        <w:t>e</w:t>
      </w:r>
      <w:r w:rsidR="00E51F91" w:rsidRPr="003A63D0">
        <w:rPr>
          <w:rFonts w:ascii="Arial" w:hAnsi="Arial" w:cs="Arial"/>
          <w:sz w:val="20"/>
          <w:szCs w:val="20"/>
        </w:rPr>
        <w:t>xamine the significant relationship between mathematics self-efficacy, mathematics anxiety, and mathematics achievement.</w:t>
      </w:r>
    </w:p>
    <w:p w14:paraId="7393D3A0" w14:textId="77777777" w:rsidR="009D0B15" w:rsidRPr="003A63D0" w:rsidRDefault="009D0B15" w:rsidP="003A63D0">
      <w:pPr>
        <w:spacing w:before="120" w:after="120" w:line="240" w:lineRule="auto"/>
        <w:jc w:val="both"/>
        <w:rPr>
          <w:rFonts w:ascii="Arial" w:hAnsi="Arial" w:cs="Arial"/>
          <w:sz w:val="20"/>
          <w:szCs w:val="20"/>
        </w:rPr>
      </w:pPr>
    </w:p>
    <w:p w14:paraId="025078CD" w14:textId="5C9B298C" w:rsidR="00F06DEF" w:rsidRPr="00387102" w:rsidRDefault="009D0B15" w:rsidP="000F5391">
      <w:pPr>
        <w:spacing w:before="120" w:after="120" w:line="240" w:lineRule="auto"/>
        <w:rPr>
          <w:rFonts w:ascii="Arial" w:hAnsi="Arial" w:cs="Arial"/>
          <w:b/>
        </w:rPr>
      </w:pPr>
      <w:r>
        <w:rPr>
          <w:rFonts w:ascii="Arial" w:hAnsi="Arial" w:cs="Arial"/>
          <w:b/>
        </w:rPr>
        <w:t>2</w:t>
      </w:r>
      <w:r w:rsidR="00031379" w:rsidRPr="00387102">
        <w:rPr>
          <w:rFonts w:ascii="Arial" w:hAnsi="Arial" w:cs="Arial"/>
          <w:b/>
        </w:rPr>
        <w:t xml:space="preserve">. </w:t>
      </w:r>
      <w:r w:rsidR="00B13D5E" w:rsidRPr="00387102">
        <w:rPr>
          <w:rFonts w:ascii="Arial" w:hAnsi="Arial" w:cs="Arial"/>
          <w:b/>
        </w:rPr>
        <w:t>MATERIALS AND METHODS</w:t>
      </w:r>
    </w:p>
    <w:p w14:paraId="5AA728E6" w14:textId="77777777" w:rsidR="00F21ADC" w:rsidRPr="003A63D0" w:rsidRDefault="00F21ADC" w:rsidP="003A63D0">
      <w:pPr>
        <w:spacing w:before="120" w:after="120" w:line="240" w:lineRule="auto"/>
        <w:jc w:val="both"/>
        <w:rPr>
          <w:rFonts w:ascii="Arial" w:hAnsi="Arial" w:cs="Arial"/>
          <w:b/>
          <w:sz w:val="20"/>
          <w:szCs w:val="20"/>
        </w:rPr>
      </w:pPr>
    </w:p>
    <w:p w14:paraId="354A4B8E" w14:textId="018B5E23" w:rsidR="00F9543E" w:rsidRPr="003A63D0" w:rsidRDefault="00F9543E" w:rsidP="003A63D0">
      <w:pPr>
        <w:spacing w:before="120" w:after="120" w:line="240" w:lineRule="auto"/>
        <w:jc w:val="both"/>
        <w:rPr>
          <w:rFonts w:ascii="Arial" w:hAnsi="Arial" w:cs="Arial"/>
          <w:b/>
          <w:sz w:val="20"/>
          <w:szCs w:val="20"/>
        </w:rPr>
      </w:pPr>
      <w:r w:rsidRPr="003A63D0">
        <w:rPr>
          <w:rFonts w:ascii="Arial" w:hAnsi="Arial" w:cs="Arial"/>
          <w:b/>
          <w:sz w:val="20"/>
          <w:szCs w:val="20"/>
        </w:rPr>
        <w:t>Research Design.</w:t>
      </w:r>
    </w:p>
    <w:p w14:paraId="008DFA95" w14:textId="77777777" w:rsidR="00F21ADC" w:rsidRPr="003A63D0" w:rsidRDefault="00F9543E" w:rsidP="00387102">
      <w:pPr>
        <w:spacing w:before="120" w:after="120" w:line="240" w:lineRule="auto"/>
        <w:ind w:firstLine="720"/>
        <w:jc w:val="both"/>
        <w:rPr>
          <w:rFonts w:ascii="Arial" w:hAnsi="Arial" w:cs="Arial"/>
          <w:bCs/>
          <w:sz w:val="20"/>
          <w:szCs w:val="20"/>
        </w:rPr>
      </w:pPr>
      <w:r w:rsidRPr="003A63D0">
        <w:rPr>
          <w:rFonts w:ascii="Arial" w:hAnsi="Arial" w:cs="Arial"/>
          <w:bCs/>
          <w:sz w:val="20"/>
          <w:szCs w:val="20"/>
        </w:rPr>
        <w:lastRenderedPageBreak/>
        <w:t>This study utilized a descriptive-correlational quantitative research design. The descriptive aspect was employed to assess the levels of mathematics self-efficacy, anxiety, and academic achievement among the students. Meanwhile, the correlational component aimed to determine whether a statistically significant relationship exists between students' levels of mathematics self-efficacy and anxiety and their academic performance in mathematics. The data were collected using a standardized questionnaire and analyzed using appropriate statistical tools.</w:t>
      </w:r>
    </w:p>
    <w:p w14:paraId="0098D0B5" w14:textId="77777777" w:rsidR="00F21ADC" w:rsidRPr="003A63D0" w:rsidRDefault="00F21ADC" w:rsidP="003A63D0">
      <w:pPr>
        <w:spacing w:before="120" w:after="120" w:line="240" w:lineRule="auto"/>
        <w:jc w:val="both"/>
        <w:rPr>
          <w:rFonts w:ascii="Arial" w:hAnsi="Arial" w:cs="Arial"/>
          <w:b/>
          <w:sz w:val="20"/>
          <w:szCs w:val="20"/>
        </w:rPr>
      </w:pPr>
    </w:p>
    <w:p w14:paraId="452AFEB6" w14:textId="7D8FF87B" w:rsidR="00F9543E" w:rsidRPr="003A63D0" w:rsidRDefault="00FE39BB" w:rsidP="003A63D0">
      <w:pPr>
        <w:spacing w:before="120" w:after="120" w:line="240" w:lineRule="auto"/>
        <w:jc w:val="both"/>
        <w:rPr>
          <w:rFonts w:ascii="Arial" w:hAnsi="Arial" w:cs="Arial"/>
          <w:b/>
          <w:sz w:val="20"/>
          <w:szCs w:val="20"/>
        </w:rPr>
      </w:pPr>
      <w:r w:rsidRPr="003A63D0">
        <w:rPr>
          <w:rFonts w:ascii="Arial" w:hAnsi="Arial" w:cs="Arial"/>
          <w:b/>
          <w:sz w:val="20"/>
          <w:szCs w:val="20"/>
        </w:rPr>
        <w:t>Research Locale</w:t>
      </w:r>
    </w:p>
    <w:p w14:paraId="6258A78A" w14:textId="162C6DD0" w:rsidR="00F21ADC" w:rsidRPr="003A63D0" w:rsidRDefault="00F21ADC" w:rsidP="00387102">
      <w:pPr>
        <w:spacing w:before="120" w:after="120" w:line="240" w:lineRule="auto"/>
        <w:ind w:firstLine="720"/>
        <w:jc w:val="both"/>
        <w:rPr>
          <w:rFonts w:ascii="Arial" w:hAnsi="Arial" w:cs="Arial"/>
          <w:bCs/>
          <w:sz w:val="20"/>
          <w:szCs w:val="20"/>
        </w:rPr>
      </w:pPr>
      <w:r w:rsidRPr="003A63D0">
        <w:rPr>
          <w:rFonts w:ascii="Arial" w:hAnsi="Arial" w:cs="Arial"/>
          <w:bCs/>
          <w:sz w:val="20"/>
          <w:szCs w:val="20"/>
        </w:rPr>
        <w:t>The study was conducted at the College of Science, University of Eastern Philippines (UEP) Main Campus. The college offers six undergraduate programs: Bachelor of Science in Information Technology (BSIT), Bachelor of Science in Environmental Science (BSESci), Bachelor of Science in Biology (BSBio), Bachelor of Science in Marine Biology (BSMBio), Bachelor of Science in Chemistry (BSChem), and Bachelor of Science in Mathematics (BSMath). The student population includes 734 BSIT students, 734 BSESci students, 376 BSMBio students, 327 BSBio students, 124 BSChem students, and 99 BSMath students. The faculty and staff include 49 full-time senior and junior instructors, five administrative personnel, and 30 part-time lecturers.</w:t>
      </w:r>
    </w:p>
    <w:p w14:paraId="23D8292F" w14:textId="77777777" w:rsidR="00F21ADC" w:rsidRPr="003A63D0" w:rsidRDefault="00F21ADC" w:rsidP="003A63D0">
      <w:pPr>
        <w:spacing w:before="120" w:after="120" w:line="240" w:lineRule="auto"/>
        <w:jc w:val="both"/>
        <w:rPr>
          <w:rFonts w:ascii="Arial" w:hAnsi="Arial" w:cs="Arial"/>
          <w:b/>
          <w:bCs/>
          <w:sz w:val="20"/>
          <w:szCs w:val="20"/>
        </w:rPr>
      </w:pPr>
    </w:p>
    <w:p w14:paraId="7E203717" w14:textId="5FCBADD2" w:rsidR="00F21ADC" w:rsidRPr="003A63D0" w:rsidRDefault="00F21ADC" w:rsidP="003A63D0">
      <w:pPr>
        <w:spacing w:before="120" w:after="120" w:line="240" w:lineRule="auto"/>
        <w:jc w:val="both"/>
        <w:rPr>
          <w:rFonts w:ascii="Arial" w:hAnsi="Arial" w:cs="Arial"/>
          <w:b/>
          <w:bCs/>
          <w:sz w:val="20"/>
          <w:szCs w:val="20"/>
        </w:rPr>
      </w:pPr>
      <w:r w:rsidRPr="003A63D0">
        <w:rPr>
          <w:rFonts w:ascii="Arial" w:hAnsi="Arial" w:cs="Arial"/>
          <w:b/>
          <w:bCs/>
          <w:sz w:val="20"/>
          <w:szCs w:val="20"/>
        </w:rPr>
        <w:t>Population and Sampling Technique</w:t>
      </w:r>
    </w:p>
    <w:p w14:paraId="34EE6504" w14:textId="660C5F4C" w:rsidR="00F21ADC" w:rsidRPr="003A63D0" w:rsidRDefault="00F21ADC" w:rsidP="00387102">
      <w:pPr>
        <w:spacing w:before="120" w:after="120" w:line="240" w:lineRule="auto"/>
        <w:ind w:firstLine="720"/>
        <w:jc w:val="both"/>
        <w:rPr>
          <w:rFonts w:ascii="Arial" w:hAnsi="Arial" w:cs="Arial"/>
          <w:bCs/>
          <w:sz w:val="20"/>
          <w:szCs w:val="20"/>
        </w:rPr>
      </w:pPr>
      <w:r w:rsidRPr="003A63D0">
        <w:rPr>
          <w:rFonts w:ascii="Arial" w:hAnsi="Arial" w:cs="Arial"/>
          <w:bCs/>
          <w:sz w:val="20"/>
          <w:szCs w:val="20"/>
        </w:rPr>
        <w:t>The target population consisted of 282 first-year BSESci students enrolled in the College of Science. Using Slovin’s formula with a 95% confidence level and 5% margin of error, a sample of 165 students were selected to serve as the respondents.</w:t>
      </w:r>
      <w:r w:rsidR="00990CE5" w:rsidRPr="003A63D0">
        <w:rPr>
          <w:rFonts w:ascii="Arial" w:hAnsi="Arial" w:cs="Arial"/>
          <w:bCs/>
          <w:sz w:val="20"/>
          <w:szCs w:val="20"/>
        </w:rPr>
        <w:t xml:space="preserve"> However, due to time constraints and availability of the respondents, only 127 responses were gathered by the research.</w:t>
      </w:r>
      <w:r w:rsidRPr="003A63D0">
        <w:rPr>
          <w:rFonts w:ascii="Arial" w:hAnsi="Arial" w:cs="Arial"/>
          <w:bCs/>
          <w:sz w:val="20"/>
          <w:szCs w:val="20"/>
        </w:rPr>
        <w:t xml:space="preserve"> A simple random sampling technique was employed to ensure that every student had an equal chance of being included, thereby minimizing selection bias and enhancing the representativeness of the sample.</w:t>
      </w:r>
    </w:p>
    <w:p w14:paraId="0909ED5E" w14:textId="77777777" w:rsidR="00F21ADC" w:rsidRPr="003A63D0" w:rsidRDefault="00F21ADC" w:rsidP="003A63D0">
      <w:pPr>
        <w:spacing w:before="120" w:after="120" w:line="240" w:lineRule="auto"/>
        <w:jc w:val="both"/>
        <w:rPr>
          <w:rFonts w:ascii="Arial" w:hAnsi="Arial" w:cs="Arial"/>
          <w:b/>
          <w:bCs/>
          <w:sz w:val="20"/>
          <w:szCs w:val="20"/>
        </w:rPr>
      </w:pPr>
    </w:p>
    <w:p w14:paraId="38A62771" w14:textId="492EB2A2" w:rsidR="00F21ADC" w:rsidRPr="003A63D0" w:rsidRDefault="00FE39BB" w:rsidP="003A63D0">
      <w:pPr>
        <w:spacing w:before="120" w:after="120" w:line="240" w:lineRule="auto"/>
        <w:jc w:val="both"/>
        <w:rPr>
          <w:rFonts w:ascii="Arial" w:hAnsi="Arial" w:cs="Arial"/>
          <w:b/>
          <w:bCs/>
          <w:sz w:val="20"/>
          <w:szCs w:val="20"/>
        </w:rPr>
      </w:pPr>
      <w:r w:rsidRPr="003A63D0">
        <w:rPr>
          <w:rFonts w:ascii="Arial" w:hAnsi="Arial" w:cs="Arial"/>
          <w:b/>
          <w:bCs/>
          <w:sz w:val="20"/>
          <w:szCs w:val="20"/>
        </w:rPr>
        <w:t>Participants</w:t>
      </w:r>
    </w:p>
    <w:p w14:paraId="668456B3" w14:textId="2ABEEC4A" w:rsidR="00F21ADC" w:rsidRPr="003A63D0" w:rsidRDefault="00F21ADC" w:rsidP="00387102">
      <w:pPr>
        <w:spacing w:before="120" w:after="120" w:line="240" w:lineRule="auto"/>
        <w:ind w:firstLine="720"/>
        <w:jc w:val="both"/>
        <w:rPr>
          <w:rFonts w:ascii="Arial" w:hAnsi="Arial" w:cs="Arial"/>
          <w:bCs/>
          <w:sz w:val="20"/>
          <w:szCs w:val="20"/>
        </w:rPr>
      </w:pPr>
      <w:r w:rsidRPr="003A63D0">
        <w:rPr>
          <w:rFonts w:ascii="Arial" w:hAnsi="Arial" w:cs="Arial"/>
          <w:bCs/>
          <w:sz w:val="20"/>
          <w:szCs w:val="20"/>
        </w:rPr>
        <w:t>The respondents were 1</w:t>
      </w:r>
      <w:r w:rsidR="00990CE5" w:rsidRPr="003A63D0">
        <w:rPr>
          <w:rFonts w:ascii="Arial" w:hAnsi="Arial" w:cs="Arial"/>
          <w:bCs/>
          <w:sz w:val="20"/>
          <w:szCs w:val="20"/>
        </w:rPr>
        <w:t>27</w:t>
      </w:r>
      <w:r w:rsidRPr="003A63D0">
        <w:rPr>
          <w:rFonts w:ascii="Arial" w:hAnsi="Arial" w:cs="Arial"/>
          <w:bCs/>
          <w:sz w:val="20"/>
          <w:szCs w:val="20"/>
        </w:rPr>
        <w:t xml:space="preserve"> first-year students enrolled in the Bachelor of Science in Environmental Science program at the UEP College of Science.</w:t>
      </w:r>
      <w:r w:rsidR="003C75D6">
        <w:rPr>
          <w:rFonts w:ascii="Arial" w:hAnsi="Arial" w:cs="Arial"/>
          <w:bCs/>
          <w:sz w:val="20"/>
          <w:szCs w:val="20"/>
        </w:rPr>
        <w:t xml:space="preserve"> Environmental Science students were chosen as the respondents of this study, considering that this program is a non-math but offering several mathematics courses such as Calculus 1, Calculus 2, Statistics, Analytic Geometry, and Trigonometry. </w:t>
      </w:r>
    </w:p>
    <w:p w14:paraId="1E57F620" w14:textId="77777777" w:rsidR="007C3343" w:rsidRPr="003A63D0" w:rsidRDefault="007C3343" w:rsidP="003A63D0">
      <w:pPr>
        <w:spacing w:before="120" w:after="120" w:line="240" w:lineRule="auto"/>
        <w:jc w:val="both"/>
        <w:rPr>
          <w:rFonts w:ascii="Arial" w:hAnsi="Arial" w:cs="Arial"/>
          <w:bCs/>
          <w:sz w:val="20"/>
          <w:szCs w:val="20"/>
        </w:rPr>
      </w:pPr>
    </w:p>
    <w:p w14:paraId="66769306" w14:textId="77777777" w:rsidR="00F21ADC" w:rsidRPr="003A63D0" w:rsidRDefault="00F21ADC" w:rsidP="003A63D0">
      <w:pPr>
        <w:spacing w:before="120" w:after="120" w:line="240" w:lineRule="auto"/>
        <w:jc w:val="both"/>
        <w:rPr>
          <w:rFonts w:ascii="Arial" w:hAnsi="Arial" w:cs="Arial"/>
          <w:b/>
          <w:bCs/>
          <w:sz w:val="20"/>
          <w:szCs w:val="20"/>
        </w:rPr>
      </w:pPr>
      <w:r w:rsidRPr="003A63D0">
        <w:rPr>
          <w:rFonts w:ascii="Arial" w:hAnsi="Arial" w:cs="Arial"/>
          <w:b/>
          <w:bCs/>
          <w:sz w:val="20"/>
          <w:szCs w:val="20"/>
        </w:rPr>
        <w:t>Research Instrument</w:t>
      </w:r>
    </w:p>
    <w:p w14:paraId="18901D78" w14:textId="107E1F6E" w:rsidR="00FE39BB" w:rsidRPr="003A63D0" w:rsidRDefault="00F21ADC" w:rsidP="00387102">
      <w:pPr>
        <w:spacing w:before="120" w:after="120" w:line="240" w:lineRule="auto"/>
        <w:ind w:firstLine="720"/>
        <w:jc w:val="both"/>
        <w:rPr>
          <w:rFonts w:ascii="Arial" w:hAnsi="Arial" w:cs="Arial"/>
          <w:bCs/>
          <w:sz w:val="20"/>
          <w:szCs w:val="20"/>
        </w:rPr>
      </w:pPr>
      <w:r w:rsidRPr="003A63D0">
        <w:rPr>
          <w:rFonts w:ascii="Arial" w:hAnsi="Arial" w:cs="Arial"/>
          <w:bCs/>
          <w:sz w:val="20"/>
          <w:szCs w:val="20"/>
        </w:rPr>
        <w:t xml:space="preserve">The study employed a standardized survey questionnaire, the Mathematics Self-Efficacy and Anxiety Questionnaire (MSEAQ), adapted from the dissertation of May (2009), </w:t>
      </w:r>
      <w:r w:rsidRPr="003A63D0">
        <w:rPr>
          <w:rFonts w:ascii="Arial" w:hAnsi="Arial" w:cs="Arial"/>
          <w:sz w:val="20"/>
          <w:szCs w:val="20"/>
        </w:rPr>
        <w:t xml:space="preserve">a Doctor of Philosophy student at the University of </w:t>
      </w:r>
      <w:r w:rsidR="003B286A" w:rsidRPr="003A63D0">
        <w:rPr>
          <w:rFonts w:ascii="Arial" w:hAnsi="Arial" w:cs="Arial"/>
          <w:sz w:val="20"/>
          <w:szCs w:val="20"/>
        </w:rPr>
        <w:t>Georgia,</w:t>
      </w:r>
      <w:r w:rsidR="003B286A">
        <w:rPr>
          <w:rFonts w:ascii="Arial" w:hAnsi="Arial" w:cs="Arial"/>
          <w:bCs/>
          <w:sz w:val="20"/>
          <w:szCs w:val="20"/>
        </w:rPr>
        <w:t xml:space="preserve"> which was seen to be reliable, relatively valid, and efficient to administer.</w:t>
      </w:r>
      <w:r w:rsidRPr="003A63D0">
        <w:rPr>
          <w:rFonts w:ascii="Arial" w:hAnsi="Arial" w:cs="Arial"/>
          <w:bCs/>
          <w:sz w:val="20"/>
          <w:szCs w:val="20"/>
        </w:rPr>
        <w:t xml:space="preserve"> T</w:t>
      </w:r>
      <w:r w:rsidR="003B286A">
        <w:rPr>
          <w:rFonts w:ascii="Arial" w:hAnsi="Arial" w:cs="Arial"/>
          <w:bCs/>
          <w:sz w:val="20"/>
          <w:szCs w:val="20"/>
        </w:rPr>
        <w:t>h</w:t>
      </w:r>
      <w:r w:rsidRPr="003A63D0">
        <w:rPr>
          <w:rFonts w:ascii="Arial" w:hAnsi="Arial" w:cs="Arial"/>
          <w:bCs/>
          <w:sz w:val="20"/>
          <w:szCs w:val="20"/>
        </w:rPr>
        <w:t>e instrument consists of 29 items: 14 items measuring mathematics self-efficacy and 15 items assessing mathematics anxiety. The items are rated on a five-point Likert scale, where 5 = Usually, 4 = Often, 3 = Sometimes, 2 = Seldom, and 1 = Never</w:t>
      </w:r>
      <w:r w:rsidR="00FE39BB" w:rsidRPr="003A63D0">
        <w:rPr>
          <w:rFonts w:ascii="Arial" w:hAnsi="Arial" w:cs="Arial"/>
          <w:bCs/>
          <w:sz w:val="20"/>
          <w:szCs w:val="20"/>
        </w:rPr>
        <w:t xml:space="preserve"> and will be interpreted using the following scale: 4.20–5.00: Extremely well, 3.40–4.19: Very well, 2.60–3.39: Moderately well, 1.80–2.59: Slightly well and 1.00–1.79: Not at </w:t>
      </w:r>
      <w:r w:rsidR="001A016C" w:rsidRPr="003A63D0">
        <w:rPr>
          <w:rFonts w:ascii="Arial" w:hAnsi="Arial" w:cs="Arial"/>
          <w:bCs/>
          <w:sz w:val="20"/>
          <w:szCs w:val="20"/>
        </w:rPr>
        <w:t>A</w:t>
      </w:r>
      <w:r w:rsidR="00FE39BB" w:rsidRPr="003A63D0">
        <w:rPr>
          <w:rFonts w:ascii="Arial" w:hAnsi="Arial" w:cs="Arial"/>
          <w:bCs/>
          <w:sz w:val="20"/>
          <w:szCs w:val="20"/>
        </w:rPr>
        <w:t xml:space="preserve">ll </w:t>
      </w:r>
      <w:r w:rsidR="001A016C" w:rsidRPr="003A63D0">
        <w:rPr>
          <w:rFonts w:ascii="Arial" w:hAnsi="Arial" w:cs="Arial"/>
          <w:bCs/>
          <w:sz w:val="20"/>
          <w:szCs w:val="20"/>
        </w:rPr>
        <w:t>W</w:t>
      </w:r>
      <w:r w:rsidR="00FE39BB" w:rsidRPr="003A63D0">
        <w:rPr>
          <w:rFonts w:ascii="Arial" w:hAnsi="Arial" w:cs="Arial"/>
          <w:bCs/>
          <w:sz w:val="20"/>
          <w:szCs w:val="20"/>
        </w:rPr>
        <w:t>ell</w:t>
      </w:r>
      <w:r w:rsidR="001A016C" w:rsidRPr="003A63D0">
        <w:rPr>
          <w:rFonts w:ascii="Arial" w:hAnsi="Arial" w:cs="Arial"/>
          <w:bCs/>
          <w:sz w:val="20"/>
          <w:szCs w:val="20"/>
        </w:rPr>
        <w:t>.</w:t>
      </w:r>
    </w:p>
    <w:p w14:paraId="70ECAAA1" w14:textId="48B57073" w:rsidR="00FE39BB" w:rsidRPr="003A63D0" w:rsidRDefault="00FE39BB" w:rsidP="00387102">
      <w:pPr>
        <w:spacing w:before="120" w:after="120" w:line="240" w:lineRule="auto"/>
        <w:ind w:firstLine="720"/>
        <w:jc w:val="both"/>
        <w:rPr>
          <w:rFonts w:ascii="Arial" w:hAnsi="Arial" w:cs="Arial"/>
          <w:bCs/>
          <w:sz w:val="20"/>
          <w:szCs w:val="20"/>
        </w:rPr>
      </w:pPr>
      <w:r w:rsidRPr="003A63D0">
        <w:rPr>
          <w:rFonts w:ascii="Arial" w:hAnsi="Arial" w:cs="Arial"/>
          <w:bCs/>
          <w:sz w:val="20"/>
          <w:szCs w:val="20"/>
        </w:rPr>
        <w:t xml:space="preserve">Students’ </w:t>
      </w:r>
      <w:r w:rsidRPr="003A63D0">
        <w:rPr>
          <w:rFonts w:ascii="Arial" w:hAnsi="Arial" w:cs="Arial"/>
          <w:sz w:val="20"/>
          <w:szCs w:val="20"/>
        </w:rPr>
        <w:t>academic achievement was measured using their final grades in mathematics,</w:t>
      </w:r>
      <w:r w:rsidRPr="003A63D0">
        <w:rPr>
          <w:rFonts w:ascii="Arial" w:hAnsi="Arial" w:cs="Arial"/>
          <w:bCs/>
          <w:sz w:val="20"/>
          <w:szCs w:val="20"/>
        </w:rPr>
        <w:t xml:space="preserve"> following the institutional grading scale: 96–100: 1.00 (Excellent), 94–95: 1.25 (Very Good), 92–93: 1.50 (Very Good), 89–91: 1.75 (Good), 87–88: 2.00 (Good), 84–86: 2.25 (Good), 82–83: 2.50 (Fair), 79–81: 2.75 (Fair) and 75–78: 3.00 (Passed).</w:t>
      </w:r>
    </w:p>
    <w:p w14:paraId="6AC5DC36" w14:textId="77777777" w:rsidR="00FE39BB" w:rsidRPr="003A63D0" w:rsidRDefault="00FE39BB" w:rsidP="003A63D0">
      <w:pPr>
        <w:spacing w:before="120" w:after="120" w:line="240" w:lineRule="auto"/>
        <w:jc w:val="both"/>
        <w:rPr>
          <w:rFonts w:ascii="Arial" w:hAnsi="Arial" w:cs="Arial"/>
          <w:bCs/>
          <w:sz w:val="20"/>
          <w:szCs w:val="20"/>
        </w:rPr>
      </w:pPr>
    </w:p>
    <w:p w14:paraId="7B81F290" w14:textId="38D1D6A3" w:rsidR="00FE39BB" w:rsidRPr="003A63D0" w:rsidRDefault="00FE39BB" w:rsidP="003A63D0">
      <w:pPr>
        <w:spacing w:before="120" w:after="120" w:line="240" w:lineRule="auto"/>
        <w:jc w:val="both"/>
        <w:rPr>
          <w:rFonts w:ascii="Arial" w:hAnsi="Arial" w:cs="Arial"/>
          <w:b/>
          <w:sz w:val="20"/>
          <w:szCs w:val="20"/>
        </w:rPr>
      </w:pPr>
      <w:r w:rsidRPr="003A63D0">
        <w:rPr>
          <w:rFonts w:ascii="Arial" w:hAnsi="Arial" w:cs="Arial"/>
          <w:b/>
          <w:sz w:val="20"/>
          <w:szCs w:val="20"/>
        </w:rPr>
        <w:t>Data Collection Procedure</w:t>
      </w:r>
    </w:p>
    <w:p w14:paraId="4E48197F" w14:textId="3F06FBD9" w:rsidR="00490049" w:rsidRPr="003A63D0" w:rsidRDefault="00FE39BB" w:rsidP="00387102">
      <w:pPr>
        <w:spacing w:before="120" w:after="120" w:line="240" w:lineRule="auto"/>
        <w:ind w:firstLine="720"/>
        <w:jc w:val="both"/>
        <w:rPr>
          <w:rFonts w:ascii="Arial" w:hAnsi="Arial" w:cs="Arial"/>
          <w:bCs/>
          <w:sz w:val="20"/>
          <w:szCs w:val="20"/>
        </w:rPr>
      </w:pPr>
      <w:r w:rsidRPr="003A63D0">
        <w:rPr>
          <w:rFonts w:ascii="Arial" w:hAnsi="Arial" w:cs="Arial"/>
          <w:bCs/>
          <w:sz w:val="20"/>
          <w:szCs w:val="20"/>
        </w:rPr>
        <w:t>The data were gathered personally by the researcher</w:t>
      </w:r>
      <w:r w:rsidR="00304313" w:rsidRPr="003A63D0">
        <w:rPr>
          <w:rFonts w:ascii="Arial" w:hAnsi="Arial" w:cs="Arial"/>
          <w:bCs/>
          <w:sz w:val="20"/>
          <w:szCs w:val="20"/>
        </w:rPr>
        <w:t xml:space="preserve"> using Google Forms through the participants messenger chat groups. Prior to participation, students were provided with a short overview of the study and an </w:t>
      </w:r>
      <w:r w:rsidR="00304313" w:rsidRPr="003A63D0">
        <w:rPr>
          <w:rFonts w:ascii="Arial" w:hAnsi="Arial" w:cs="Arial"/>
          <w:sz w:val="20"/>
          <w:szCs w:val="20"/>
        </w:rPr>
        <w:t>informed consent statement</w:t>
      </w:r>
      <w:r w:rsidR="00304313" w:rsidRPr="003A63D0">
        <w:rPr>
          <w:rFonts w:ascii="Arial" w:hAnsi="Arial" w:cs="Arial"/>
          <w:bCs/>
          <w:sz w:val="20"/>
          <w:szCs w:val="20"/>
        </w:rPr>
        <w:t xml:space="preserve">, assuring them of the voluntary and confidential nature of their participation. </w:t>
      </w:r>
      <w:r w:rsidRPr="003A63D0">
        <w:rPr>
          <w:rFonts w:ascii="Arial" w:hAnsi="Arial" w:cs="Arial"/>
          <w:bCs/>
          <w:sz w:val="20"/>
          <w:szCs w:val="20"/>
        </w:rPr>
        <w:t>Participants were then asked to respond to the self-efficacy and anxiety questionnaire. All responses were reviewed for completeness and accuracy before analysis.</w:t>
      </w:r>
    </w:p>
    <w:p w14:paraId="1D09EC0F" w14:textId="77777777" w:rsidR="00490049" w:rsidRPr="003A63D0" w:rsidRDefault="00490049" w:rsidP="003A63D0">
      <w:pPr>
        <w:spacing w:before="120" w:after="120" w:line="240" w:lineRule="auto"/>
        <w:jc w:val="both"/>
        <w:rPr>
          <w:rFonts w:ascii="Arial" w:hAnsi="Arial" w:cs="Arial"/>
          <w:bCs/>
          <w:sz w:val="20"/>
          <w:szCs w:val="20"/>
        </w:rPr>
      </w:pPr>
    </w:p>
    <w:p w14:paraId="52350249" w14:textId="77777777" w:rsidR="00490049" w:rsidRPr="003A63D0" w:rsidRDefault="00490049" w:rsidP="003A63D0">
      <w:pPr>
        <w:spacing w:before="120" w:after="120" w:line="240" w:lineRule="auto"/>
        <w:jc w:val="both"/>
        <w:rPr>
          <w:rFonts w:ascii="Arial" w:hAnsi="Arial" w:cs="Arial"/>
          <w:b/>
          <w:sz w:val="20"/>
          <w:szCs w:val="20"/>
          <w:lang w:val="en-PH"/>
        </w:rPr>
      </w:pPr>
      <w:r w:rsidRPr="003A63D0">
        <w:rPr>
          <w:rFonts w:ascii="Arial" w:hAnsi="Arial" w:cs="Arial"/>
          <w:b/>
          <w:sz w:val="20"/>
          <w:szCs w:val="20"/>
          <w:lang w:val="en-PH"/>
        </w:rPr>
        <w:t>Ethical Considerations</w:t>
      </w:r>
    </w:p>
    <w:p w14:paraId="104D2BD0" w14:textId="672E2B50" w:rsidR="00F21ADC" w:rsidRDefault="00A31ABA" w:rsidP="00A31ABA">
      <w:pPr>
        <w:spacing w:before="120" w:after="120" w:line="240" w:lineRule="auto"/>
        <w:ind w:firstLine="720"/>
        <w:jc w:val="both"/>
        <w:rPr>
          <w:rFonts w:ascii="Arial" w:hAnsi="Arial" w:cs="Arial"/>
          <w:bCs/>
          <w:sz w:val="20"/>
          <w:szCs w:val="20"/>
        </w:rPr>
      </w:pPr>
      <w:r w:rsidRPr="00A31ABA">
        <w:rPr>
          <w:rFonts w:ascii="Arial" w:hAnsi="Arial" w:cs="Arial"/>
          <w:bCs/>
          <w:sz w:val="20"/>
          <w:szCs w:val="20"/>
        </w:rPr>
        <w:t>This study was conducted in accordance with established ethical standards for educational research. Prior to participation, all respondents were provided with an informed consent form outlining the purpose of the study, the voluntary nature of their participation, their right to withdraw at any time without penalty, and assurances that their responses would remain anonymous and confidential. All data collected were securely stored and used solely for academic and research purposes. The study sought to minimize any potential risk to participants and upheld the principles of respect, integrity, and responsibility throughout the research process.</w:t>
      </w:r>
    </w:p>
    <w:p w14:paraId="64703744" w14:textId="77777777" w:rsidR="00A31ABA" w:rsidRPr="003A63D0" w:rsidRDefault="00A31ABA" w:rsidP="00A31ABA">
      <w:pPr>
        <w:spacing w:before="120" w:after="120" w:line="240" w:lineRule="auto"/>
        <w:ind w:firstLine="720"/>
        <w:jc w:val="both"/>
        <w:rPr>
          <w:rFonts w:ascii="Arial" w:hAnsi="Arial" w:cs="Arial"/>
          <w:bCs/>
          <w:sz w:val="20"/>
          <w:szCs w:val="20"/>
        </w:rPr>
      </w:pPr>
    </w:p>
    <w:p w14:paraId="230308EA" w14:textId="77777777" w:rsidR="00FE39BB" w:rsidRPr="003A63D0" w:rsidRDefault="00FE39BB" w:rsidP="003A63D0">
      <w:pPr>
        <w:spacing w:before="120" w:after="120" w:line="240" w:lineRule="auto"/>
        <w:jc w:val="both"/>
        <w:rPr>
          <w:rFonts w:ascii="Arial" w:hAnsi="Arial" w:cs="Arial"/>
          <w:b/>
          <w:bCs/>
          <w:sz w:val="20"/>
          <w:szCs w:val="20"/>
        </w:rPr>
      </w:pPr>
      <w:r w:rsidRPr="003A63D0">
        <w:rPr>
          <w:rFonts w:ascii="Arial" w:hAnsi="Arial" w:cs="Arial"/>
          <w:b/>
          <w:bCs/>
          <w:sz w:val="20"/>
          <w:szCs w:val="20"/>
        </w:rPr>
        <w:t>Statistical Treatment of Data</w:t>
      </w:r>
    </w:p>
    <w:p w14:paraId="4679C79C" w14:textId="6BBC7A56" w:rsidR="00FE39BB" w:rsidRPr="003A63D0" w:rsidRDefault="00490049" w:rsidP="000D5E9C">
      <w:pPr>
        <w:spacing w:before="120" w:after="120" w:line="240" w:lineRule="auto"/>
        <w:ind w:firstLine="720"/>
        <w:jc w:val="both"/>
        <w:rPr>
          <w:rFonts w:ascii="Arial" w:hAnsi="Arial" w:cs="Arial"/>
          <w:bCs/>
          <w:sz w:val="20"/>
          <w:szCs w:val="20"/>
        </w:rPr>
      </w:pPr>
      <w:r w:rsidRPr="003A63D0">
        <w:rPr>
          <w:rFonts w:ascii="Arial" w:hAnsi="Arial" w:cs="Arial"/>
          <w:bCs/>
          <w:sz w:val="20"/>
          <w:szCs w:val="20"/>
        </w:rPr>
        <w:t xml:space="preserve">The quantitative data was exported from Google Forms and processed using Microsoft Excel </w:t>
      </w:r>
      <w:r w:rsidR="003B286A">
        <w:rPr>
          <w:rFonts w:ascii="Arial" w:hAnsi="Arial" w:cs="Arial"/>
          <w:bCs/>
          <w:sz w:val="20"/>
          <w:szCs w:val="20"/>
        </w:rPr>
        <w:t>to administer</w:t>
      </w:r>
      <w:r w:rsidR="00FE39BB" w:rsidRPr="003A63D0">
        <w:rPr>
          <w:rFonts w:ascii="Arial" w:hAnsi="Arial" w:cs="Arial"/>
          <w:bCs/>
          <w:sz w:val="20"/>
          <w:szCs w:val="20"/>
        </w:rPr>
        <w:t xml:space="preserve"> the following statistical tools:</w:t>
      </w:r>
    </w:p>
    <w:p w14:paraId="48EB73E7" w14:textId="77777777" w:rsidR="00FE39BB" w:rsidRPr="003A63D0" w:rsidRDefault="00FE39BB" w:rsidP="000D5E9C">
      <w:pPr>
        <w:numPr>
          <w:ilvl w:val="0"/>
          <w:numId w:val="9"/>
        </w:numPr>
        <w:tabs>
          <w:tab w:val="clear" w:pos="720"/>
          <w:tab w:val="left" w:pos="270"/>
        </w:tabs>
        <w:spacing w:before="120" w:after="120" w:line="240" w:lineRule="auto"/>
        <w:ind w:left="0" w:firstLine="0"/>
        <w:rPr>
          <w:rFonts w:ascii="Arial" w:hAnsi="Arial" w:cs="Arial"/>
          <w:bCs/>
          <w:sz w:val="20"/>
          <w:szCs w:val="20"/>
        </w:rPr>
      </w:pPr>
      <w:r w:rsidRPr="003A63D0">
        <w:rPr>
          <w:rFonts w:ascii="Arial" w:hAnsi="Arial" w:cs="Arial"/>
          <w:b/>
          <w:bCs/>
          <w:sz w:val="20"/>
          <w:szCs w:val="20"/>
        </w:rPr>
        <w:t>Frequency and percentage</w:t>
      </w:r>
      <w:r w:rsidRPr="003A63D0">
        <w:rPr>
          <w:rFonts w:ascii="Arial" w:hAnsi="Arial" w:cs="Arial"/>
          <w:bCs/>
          <w:sz w:val="20"/>
          <w:szCs w:val="20"/>
        </w:rPr>
        <w:t xml:space="preserve"> distributions to describe student demographics and responses.</w:t>
      </w:r>
    </w:p>
    <w:p w14:paraId="0BCA42A8" w14:textId="249D46B1" w:rsidR="00FE39BB" w:rsidRPr="003A63D0" w:rsidRDefault="00FE39BB" w:rsidP="000D5E9C">
      <w:pPr>
        <w:numPr>
          <w:ilvl w:val="0"/>
          <w:numId w:val="9"/>
        </w:numPr>
        <w:tabs>
          <w:tab w:val="clear" w:pos="720"/>
          <w:tab w:val="num" w:pos="270"/>
        </w:tabs>
        <w:spacing w:before="120" w:after="120" w:line="240" w:lineRule="auto"/>
        <w:ind w:left="0" w:firstLine="0"/>
        <w:rPr>
          <w:rFonts w:ascii="Arial" w:hAnsi="Arial" w:cs="Arial"/>
          <w:bCs/>
          <w:sz w:val="20"/>
          <w:szCs w:val="20"/>
        </w:rPr>
      </w:pPr>
      <w:r w:rsidRPr="003A63D0">
        <w:rPr>
          <w:rFonts w:ascii="Arial" w:hAnsi="Arial" w:cs="Arial"/>
          <w:b/>
          <w:bCs/>
          <w:sz w:val="20"/>
          <w:szCs w:val="20"/>
        </w:rPr>
        <w:t>Mean score</w:t>
      </w:r>
      <w:r w:rsidRPr="003A63D0">
        <w:rPr>
          <w:rFonts w:ascii="Arial" w:hAnsi="Arial" w:cs="Arial"/>
          <w:bCs/>
          <w:sz w:val="20"/>
          <w:szCs w:val="20"/>
        </w:rPr>
        <w:t xml:space="preserve"> to determine the levels of self-efficacy and anxiety.</w:t>
      </w:r>
    </w:p>
    <w:p w14:paraId="4BBCC2C5" w14:textId="5836B5B5" w:rsidR="00344BF2" w:rsidRDefault="00FE39BB" w:rsidP="000D5E9C">
      <w:pPr>
        <w:numPr>
          <w:ilvl w:val="0"/>
          <w:numId w:val="9"/>
        </w:numPr>
        <w:tabs>
          <w:tab w:val="clear" w:pos="720"/>
          <w:tab w:val="num" w:pos="270"/>
        </w:tabs>
        <w:spacing w:before="120" w:after="120" w:line="240" w:lineRule="auto"/>
        <w:ind w:left="0" w:firstLine="0"/>
        <w:rPr>
          <w:rFonts w:ascii="Arial" w:hAnsi="Arial" w:cs="Arial"/>
          <w:bCs/>
          <w:sz w:val="20"/>
          <w:szCs w:val="20"/>
        </w:rPr>
      </w:pPr>
      <w:r w:rsidRPr="003A63D0">
        <w:rPr>
          <w:rFonts w:ascii="Arial" w:hAnsi="Arial" w:cs="Arial"/>
          <w:b/>
          <w:bCs/>
          <w:sz w:val="20"/>
          <w:szCs w:val="20"/>
        </w:rPr>
        <w:t>Pearson product-moment correlation (Pearson r)</w:t>
      </w:r>
      <w:r w:rsidRPr="003A63D0">
        <w:rPr>
          <w:rFonts w:ascii="Arial" w:hAnsi="Arial" w:cs="Arial"/>
          <w:bCs/>
          <w:sz w:val="20"/>
          <w:szCs w:val="20"/>
        </w:rPr>
        <w:t xml:space="preserve"> to determine the relationship between mathematics self-efficacy, anxiety, and academic achievement.</w:t>
      </w:r>
    </w:p>
    <w:p w14:paraId="549419CB" w14:textId="77777777" w:rsidR="000D5E9C" w:rsidRDefault="000D5E9C" w:rsidP="000D5E9C">
      <w:pPr>
        <w:spacing w:before="120" w:after="120" w:line="240" w:lineRule="auto"/>
        <w:rPr>
          <w:rFonts w:ascii="Arial" w:hAnsi="Arial" w:cs="Arial"/>
          <w:bCs/>
          <w:sz w:val="20"/>
          <w:szCs w:val="20"/>
        </w:rPr>
      </w:pPr>
    </w:p>
    <w:p w14:paraId="47CD8F46" w14:textId="77777777" w:rsidR="003A7E94" w:rsidRPr="000D5E9C" w:rsidRDefault="003A7E94" w:rsidP="000D5E9C">
      <w:pPr>
        <w:spacing w:before="120" w:after="120" w:line="240" w:lineRule="auto"/>
        <w:rPr>
          <w:rFonts w:ascii="Arial" w:hAnsi="Arial" w:cs="Arial"/>
          <w:bCs/>
          <w:sz w:val="20"/>
          <w:szCs w:val="20"/>
        </w:rPr>
      </w:pPr>
    </w:p>
    <w:p w14:paraId="2ED45652" w14:textId="1B01A71B" w:rsidR="00031379" w:rsidRPr="000D5E9C" w:rsidRDefault="009D0B15" w:rsidP="000F5391">
      <w:pPr>
        <w:spacing w:before="120" w:after="120" w:line="240" w:lineRule="auto"/>
        <w:rPr>
          <w:rFonts w:ascii="Arial" w:eastAsia="Batang" w:hAnsi="Arial" w:cs="Arial"/>
          <w:b/>
        </w:rPr>
      </w:pPr>
      <w:r>
        <w:rPr>
          <w:rFonts w:ascii="Arial" w:eastAsia="Batang" w:hAnsi="Arial" w:cs="Arial"/>
          <w:b/>
        </w:rPr>
        <w:t>3</w:t>
      </w:r>
      <w:r w:rsidR="00031379" w:rsidRPr="000D5E9C">
        <w:rPr>
          <w:rFonts w:ascii="Arial" w:eastAsia="Batang" w:hAnsi="Arial" w:cs="Arial"/>
          <w:b/>
        </w:rPr>
        <w:t xml:space="preserve">. </w:t>
      </w:r>
      <w:r w:rsidR="00A324D2" w:rsidRPr="000D5E9C">
        <w:rPr>
          <w:rFonts w:ascii="Arial" w:eastAsia="Batang" w:hAnsi="Arial" w:cs="Arial"/>
          <w:b/>
        </w:rPr>
        <w:t>RESULTS</w:t>
      </w:r>
      <w:r>
        <w:rPr>
          <w:rFonts w:ascii="Arial" w:eastAsia="Batang" w:hAnsi="Arial" w:cs="Arial"/>
          <w:b/>
        </w:rPr>
        <w:t xml:space="preserve"> AND DISCUSSION</w:t>
      </w:r>
    </w:p>
    <w:p w14:paraId="79504C9C" w14:textId="77777777" w:rsidR="004448A1" w:rsidRPr="003A63D0" w:rsidRDefault="004448A1" w:rsidP="003A63D0">
      <w:pPr>
        <w:spacing w:after="0" w:line="240" w:lineRule="auto"/>
        <w:rPr>
          <w:rFonts w:ascii="Arial" w:hAnsi="Arial" w:cs="Arial"/>
          <w:b/>
          <w:bCs/>
          <w:i/>
          <w:iCs/>
          <w:sz w:val="20"/>
          <w:szCs w:val="20"/>
        </w:rPr>
      </w:pPr>
    </w:p>
    <w:p w14:paraId="195EA7F7" w14:textId="60F02F37" w:rsidR="00D62890" w:rsidRPr="003A63D0" w:rsidRDefault="001A2D78" w:rsidP="003A63D0">
      <w:pPr>
        <w:spacing w:after="0" w:line="240" w:lineRule="auto"/>
        <w:rPr>
          <w:rFonts w:ascii="Arial" w:hAnsi="Arial" w:cs="Arial"/>
          <w:b/>
          <w:bCs/>
          <w:i/>
          <w:iCs/>
          <w:sz w:val="20"/>
          <w:szCs w:val="20"/>
        </w:rPr>
      </w:pPr>
      <w:r w:rsidRPr="003A63D0">
        <w:rPr>
          <w:rFonts w:ascii="Arial" w:hAnsi="Arial" w:cs="Arial"/>
          <w:b/>
          <w:bCs/>
          <w:i/>
          <w:iCs/>
          <w:sz w:val="20"/>
          <w:szCs w:val="20"/>
        </w:rPr>
        <w:t>Mathematics Self-efficacy</w:t>
      </w:r>
    </w:p>
    <w:p w14:paraId="575DCB91" w14:textId="77777777" w:rsidR="001A2D78" w:rsidRPr="003A63D0" w:rsidRDefault="001A2D78" w:rsidP="003A63D0">
      <w:pPr>
        <w:spacing w:after="0" w:line="240" w:lineRule="auto"/>
        <w:rPr>
          <w:rFonts w:ascii="Arial" w:hAnsi="Arial" w:cs="Arial"/>
          <w:i/>
          <w:iCs/>
          <w:sz w:val="20"/>
          <w:szCs w:val="20"/>
        </w:rPr>
      </w:pPr>
    </w:p>
    <w:p w14:paraId="430004F8" w14:textId="4D3DFB11" w:rsidR="002D00A3" w:rsidRPr="003A7E94" w:rsidRDefault="003A7E94" w:rsidP="002D00A3">
      <w:pPr>
        <w:spacing w:after="0" w:line="240" w:lineRule="auto"/>
        <w:ind w:firstLine="720"/>
        <w:jc w:val="both"/>
        <w:rPr>
          <w:rFonts w:ascii="Arial" w:hAnsi="Arial" w:cs="Arial"/>
          <w:bCs/>
          <w:sz w:val="20"/>
          <w:szCs w:val="20"/>
        </w:rPr>
      </w:pPr>
      <w:r w:rsidRPr="003A7E94">
        <w:rPr>
          <w:rFonts w:ascii="Arial" w:hAnsi="Arial" w:cs="Arial"/>
          <w:bCs/>
          <w:sz w:val="20"/>
          <w:szCs w:val="20"/>
        </w:rPr>
        <w:t>Table 1 presents the levels of mathematics self-efficacy among the respondents. The computed grand mean of 3.34 falls within the interpretation of "Moderately Well", suggesting that, overall, the respondents possess a moderate degree of confidence in their mathematical capabilities.</w:t>
      </w:r>
      <w:r w:rsidR="002D00A3">
        <w:rPr>
          <w:rFonts w:ascii="Arial" w:hAnsi="Arial" w:cs="Arial"/>
          <w:bCs/>
          <w:sz w:val="20"/>
          <w:szCs w:val="20"/>
        </w:rPr>
        <w:t xml:space="preserve"> </w:t>
      </w:r>
      <w:r w:rsidR="002D00A3" w:rsidRPr="002D00A3">
        <w:rPr>
          <w:rFonts w:ascii="Arial" w:hAnsi="Arial" w:cs="Arial"/>
          <w:bCs/>
          <w:sz w:val="20"/>
          <w:szCs w:val="20"/>
        </w:rPr>
        <w:t xml:space="preserve">This suggests that students, overall, have a fair degree of confidence in their mathematical capabilities. These findings are consistent with those of </w:t>
      </w:r>
      <w:r w:rsidR="002D00A3" w:rsidRPr="002D00A3">
        <w:rPr>
          <w:rFonts w:ascii="Arial" w:hAnsi="Arial" w:cs="Arial"/>
          <w:sz w:val="20"/>
          <w:szCs w:val="20"/>
        </w:rPr>
        <w:t>Zakariya (2022),</w:t>
      </w:r>
      <w:r w:rsidR="002D00A3" w:rsidRPr="002D00A3">
        <w:rPr>
          <w:rFonts w:ascii="Arial" w:hAnsi="Arial" w:cs="Arial"/>
          <w:bCs/>
          <w:sz w:val="20"/>
          <w:szCs w:val="20"/>
        </w:rPr>
        <w:t xml:space="preserve"> who, through a systematic review of self-efficacy interventions, noted that many students demonstrate only moderate confidence in mathematics unless provided with targeted, supportive strategies to enhance it.</w:t>
      </w:r>
    </w:p>
    <w:p w14:paraId="12F6D6A8" w14:textId="52D8D941" w:rsidR="003A7E94" w:rsidRPr="003A7E94" w:rsidRDefault="003A7E94" w:rsidP="003A7E94">
      <w:pPr>
        <w:spacing w:after="0" w:line="240" w:lineRule="auto"/>
        <w:ind w:firstLine="720"/>
        <w:jc w:val="both"/>
        <w:rPr>
          <w:rFonts w:ascii="Arial" w:hAnsi="Arial" w:cs="Arial"/>
          <w:bCs/>
          <w:sz w:val="20"/>
          <w:szCs w:val="20"/>
        </w:rPr>
      </w:pPr>
      <w:r w:rsidRPr="003A7E94">
        <w:rPr>
          <w:rFonts w:ascii="Arial" w:hAnsi="Arial" w:cs="Arial"/>
          <w:bCs/>
          <w:sz w:val="20"/>
          <w:szCs w:val="20"/>
        </w:rPr>
        <w:t xml:space="preserve">The item with the highest mean score was </w:t>
      </w:r>
      <w:r w:rsidRPr="003A7E94">
        <w:rPr>
          <w:rFonts w:ascii="Arial" w:hAnsi="Arial" w:cs="Arial"/>
          <w:bCs/>
          <w:i/>
          <w:iCs/>
          <w:sz w:val="20"/>
          <w:szCs w:val="20"/>
        </w:rPr>
        <w:t>"I believe I can complete all the assignments in a mathematics course"</w:t>
      </w:r>
      <w:r w:rsidRPr="003A7E94">
        <w:rPr>
          <w:rFonts w:ascii="Arial" w:hAnsi="Arial" w:cs="Arial"/>
          <w:bCs/>
          <w:sz w:val="20"/>
          <w:szCs w:val="20"/>
        </w:rPr>
        <w:t xml:space="preserve"> (M = 3.66), interpreted as "Very Well." This indicates a strong belief among respondents in their ability to manage coursework requirements. Similarly, the statements </w:t>
      </w:r>
      <w:r w:rsidRPr="003A7E94">
        <w:rPr>
          <w:rFonts w:ascii="Arial" w:hAnsi="Arial" w:cs="Arial"/>
          <w:bCs/>
          <w:i/>
          <w:iCs/>
          <w:sz w:val="20"/>
          <w:szCs w:val="20"/>
        </w:rPr>
        <w:t>"I believe I can learn well in a mathematics course"</w:t>
      </w:r>
      <w:r w:rsidRPr="003A7E94">
        <w:rPr>
          <w:rFonts w:ascii="Arial" w:hAnsi="Arial" w:cs="Arial"/>
          <w:bCs/>
          <w:sz w:val="20"/>
          <w:szCs w:val="20"/>
        </w:rPr>
        <w:t xml:space="preserve"> and </w:t>
      </w:r>
      <w:r w:rsidRPr="003A7E94">
        <w:rPr>
          <w:rFonts w:ascii="Arial" w:hAnsi="Arial" w:cs="Arial"/>
          <w:bCs/>
          <w:i/>
          <w:iCs/>
          <w:sz w:val="20"/>
          <w:szCs w:val="20"/>
        </w:rPr>
        <w:t>"I believe I will be able to use mathematics in my future career when needed"</w:t>
      </w:r>
      <w:r w:rsidRPr="003A7E94">
        <w:rPr>
          <w:rFonts w:ascii="Arial" w:hAnsi="Arial" w:cs="Arial"/>
          <w:bCs/>
          <w:sz w:val="20"/>
          <w:szCs w:val="20"/>
        </w:rPr>
        <w:t xml:space="preserve"> both recorded high mean scores of 3.61, also falling under the interpretation "Very Well." These responses reflect a task-oriented and pragmatic perspective of self-efficacy, emphasizing the students' confidence in learning mathematics and applying it in real-life or career-related contexts.</w:t>
      </w:r>
      <w:r w:rsidR="002D00A3">
        <w:rPr>
          <w:rFonts w:ascii="Arial" w:hAnsi="Arial" w:cs="Arial"/>
          <w:bCs/>
          <w:sz w:val="20"/>
          <w:szCs w:val="20"/>
        </w:rPr>
        <w:t xml:space="preserve"> </w:t>
      </w:r>
      <w:r w:rsidR="002D00A3" w:rsidRPr="002D00A3">
        <w:rPr>
          <w:rFonts w:ascii="Arial" w:hAnsi="Arial" w:cs="Arial"/>
          <w:bCs/>
          <w:sz w:val="20"/>
          <w:szCs w:val="20"/>
        </w:rPr>
        <w:t>This aligns with the findings of Velez and Abuzo (2024), who reported that students often show high self-efficacy in areas linked to academic performance and future utility, even when their problem-solving skills may be lacking.</w:t>
      </w:r>
    </w:p>
    <w:p w14:paraId="2295AAA6" w14:textId="08B55921" w:rsidR="003A7E94" w:rsidRPr="003A7E94" w:rsidRDefault="003A7E94" w:rsidP="003A7E94">
      <w:pPr>
        <w:spacing w:after="0" w:line="240" w:lineRule="auto"/>
        <w:ind w:firstLine="720"/>
        <w:jc w:val="both"/>
        <w:rPr>
          <w:rFonts w:ascii="Arial" w:hAnsi="Arial" w:cs="Arial"/>
          <w:bCs/>
          <w:sz w:val="20"/>
          <w:szCs w:val="20"/>
        </w:rPr>
      </w:pPr>
      <w:r w:rsidRPr="003A7E94">
        <w:rPr>
          <w:rFonts w:ascii="Arial" w:hAnsi="Arial" w:cs="Arial"/>
          <w:bCs/>
          <w:sz w:val="20"/>
          <w:szCs w:val="20"/>
        </w:rPr>
        <w:t xml:space="preserve">On the other hand, the lowest mean was observed in the item </w:t>
      </w:r>
      <w:r w:rsidRPr="003A7E94">
        <w:rPr>
          <w:rFonts w:ascii="Arial" w:hAnsi="Arial" w:cs="Arial"/>
          <w:bCs/>
          <w:i/>
          <w:iCs/>
          <w:sz w:val="20"/>
          <w:szCs w:val="20"/>
        </w:rPr>
        <w:t>"I believe I can think like a mathematician"</w:t>
      </w:r>
      <w:r w:rsidRPr="003A7E94">
        <w:rPr>
          <w:rFonts w:ascii="Arial" w:hAnsi="Arial" w:cs="Arial"/>
          <w:bCs/>
          <w:sz w:val="20"/>
          <w:szCs w:val="20"/>
        </w:rPr>
        <w:t xml:space="preserve"> (M = 3.12), indicating a comparatively lower level of confidence in abstract or higher-order mathematical thinking. Similarly, items related to self-perception, such as </w:t>
      </w:r>
      <w:r w:rsidRPr="003A7E94">
        <w:rPr>
          <w:rFonts w:ascii="Arial" w:hAnsi="Arial" w:cs="Arial"/>
          <w:bCs/>
          <w:i/>
          <w:iCs/>
          <w:sz w:val="20"/>
          <w:szCs w:val="20"/>
        </w:rPr>
        <w:t>"I believe I am the kind of person who is good at mathematics"</w:t>
      </w:r>
      <w:r w:rsidRPr="003A7E94">
        <w:rPr>
          <w:rFonts w:ascii="Arial" w:hAnsi="Arial" w:cs="Arial"/>
          <w:bCs/>
          <w:sz w:val="20"/>
          <w:szCs w:val="20"/>
        </w:rPr>
        <w:t>, received lower scores within the "Moderately Well" range. These findings suggest that while students demonstrate confidence in procedural and applied aspects of mathematics, they are less certain when it comes to identifying with mathematics as part of their self-concept.</w:t>
      </w:r>
      <w:r w:rsidR="002E68C5">
        <w:rPr>
          <w:rFonts w:ascii="Arial" w:hAnsi="Arial" w:cs="Arial"/>
          <w:bCs/>
          <w:sz w:val="20"/>
          <w:szCs w:val="20"/>
        </w:rPr>
        <w:t xml:space="preserve"> </w:t>
      </w:r>
      <w:r w:rsidR="002E68C5" w:rsidRPr="002E68C5">
        <w:rPr>
          <w:rFonts w:ascii="Arial" w:hAnsi="Arial" w:cs="Arial"/>
          <w:bCs/>
          <w:sz w:val="20"/>
          <w:szCs w:val="20"/>
        </w:rPr>
        <w:t>This finding is supported by Özdemir, Karaşan, and Şahal (2021), who found a significant relationship between students’ abstract thinking abilities and their mathematics self-efficacy, with lower confidence typically observed in tasks requiring abstract reasoning or deeper conceptual understanding.</w:t>
      </w:r>
    </w:p>
    <w:p w14:paraId="41396250" w14:textId="46321129" w:rsidR="00E23E80" w:rsidRDefault="00E23E80" w:rsidP="00E23E80">
      <w:pPr>
        <w:spacing w:after="0" w:line="240" w:lineRule="auto"/>
        <w:ind w:firstLine="720"/>
        <w:jc w:val="both"/>
        <w:rPr>
          <w:rFonts w:ascii="Arial" w:hAnsi="Arial" w:cs="Arial"/>
          <w:bCs/>
          <w:sz w:val="20"/>
          <w:szCs w:val="20"/>
        </w:rPr>
      </w:pPr>
      <w:r w:rsidRPr="00E23E80">
        <w:rPr>
          <w:rFonts w:ascii="Arial" w:hAnsi="Arial" w:cs="Arial"/>
          <w:bCs/>
          <w:sz w:val="20"/>
          <w:szCs w:val="20"/>
        </w:rPr>
        <w:t>The findings</w:t>
      </w:r>
      <w:r>
        <w:rPr>
          <w:rFonts w:ascii="Arial" w:hAnsi="Arial" w:cs="Arial"/>
          <w:bCs/>
          <w:sz w:val="20"/>
          <w:szCs w:val="20"/>
        </w:rPr>
        <w:t xml:space="preserve"> </w:t>
      </w:r>
      <w:r w:rsidRPr="00E23E80">
        <w:rPr>
          <w:rFonts w:ascii="Arial" w:hAnsi="Arial" w:cs="Arial"/>
          <w:bCs/>
          <w:sz w:val="20"/>
          <w:szCs w:val="20"/>
        </w:rPr>
        <w:t xml:space="preserve">align with prior studies examining factors influencing mathematics self-efficacy. Adoro et al. (2024) identified attitude, prior knowledge, and critical thinking as key determinants in solving algebraic equations, reinforcing the notion that students' belief in their mathematical capabilities is shaped by multiple cognitive and affective variables. Similarly, Balanquit and Nobis (2025) assessed conceptual knowledge and error analysis, highlighting the challenges faced by pre-service teachers in </w:t>
      </w:r>
      <w:r w:rsidRPr="00E23E80">
        <w:rPr>
          <w:rFonts w:ascii="Arial" w:hAnsi="Arial" w:cs="Arial"/>
          <w:bCs/>
          <w:sz w:val="20"/>
          <w:szCs w:val="20"/>
        </w:rPr>
        <w:lastRenderedPageBreak/>
        <w:t>mastering mathematical concepts. Their research supports the idea that while students may exhibit procedural confidence, their conceptual understanding may require further strengthening.</w:t>
      </w:r>
    </w:p>
    <w:p w14:paraId="08180085" w14:textId="682A640F" w:rsidR="00E23E80" w:rsidRPr="00E23E80" w:rsidRDefault="002E68C5" w:rsidP="002E68C5">
      <w:pPr>
        <w:spacing w:after="0" w:line="240" w:lineRule="auto"/>
        <w:ind w:firstLine="720"/>
        <w:jc w:val="both"/>
        <w:rPr>
          <w:rFonts w:ascii="Arial" w:hAnsi="Arial" w:cs="Arial"/>
          <w:bCs/>
          <w:sz w:val="20"/>
          <w:szCs w:val="20"/>
        </w:rPr>
      </w:pPr>
      <w:r w:rsidRPr="002E68C5">
        <w:rPr>
          <w:rFonts w:ascii="Arial" w:hAnsi="Arial" w:cs="Arial"/>
          <w:bCs/>
          <w:sz w:val="20"/>
          <w:szCs w:val="20"/>
        </w:rPr>
        <w:t xml:space="preserve">These patterns are echoed in the findings of </w:t>
      </w:r>
      <w:r w:rsidRPr="002E68C5">
        <w:rPr>
          <w:rFonts w:ascii="Arial" w:hAnsi="Arial" w:cs="Arial"/>
          <w:sz w:val="20"/>
          <w:szCs w:val="20"/>
        </w:rPr>
        <w:t>Reyes et al. (2024), who</w:t>
      </w:r>
      <w:r w:rsidRPr="002E68C5">
        <w:rPr>
          <w:rFonts w:ascii="Arial" w:hAnsi="Arial" w:cs="Arial"/>
          <w:bCs/>
          <w:sz w:val="20"/>
          <w:szCs w:val="20"/>
        </w:rPr>
        <w:t xml:space="preserve"> highlighted the mediating role of problem-solving skills between self-belief and mathematical creativity. Their results emphasized that self-belief alone does not guarantee higher-order mathematical thinking or innovation without the presence of well-developed cognitive strategies.</w:t>
      </w:r>
    </w:p>
    <w:p w14:paraId="517D5B52" w14:textId="77777777" w:rsidR="00E23E80" w:rsidRDefault="00E23E80" w:rsidP="00E23E80">
      <w:pPr>
        <w:spacing w:after="0" w:line="240" w:lineRule="auto"/>
        <w:ind w:firstLine="720"/>
        <w:jc w:val="both"/>
        <w:rPr>
          <w:rFonts w:ascii="Arial" w:hAnsi="Arial" w:cs="Arial"/>
          <w:bCs/>
          <w:sz w:val="20"/>
          <w:szCs w:val="20"/>
        </w:rPr>
      </w:pPr>
      <w:r w:rsidRPr="00E23E80">
        <w:rPr>
          <w:rFonts w:ascii="Arial" w:hAnsi="Arial" w:cs="Arial"/>
          <w:bCs/>
          <w:sz w:val="20"/>
          <w:szCs w:val="20"/>
        </w:rPr>
        <w:t>Moreover, Pala et al. (2025) explored the role of chatbots in mathematics education, emphasizing their potential for enhancing learning experiences. Their findings suggest that incorporating AI-driven tools could provide additional support for students struggling with self-efficacy, offering adaptive learning solutions tailored to individual needs. This perspective aligns with the lower self-efficacy scores observed in abstract or higher-order mathematical thinking, as interventions leveraging technology may assist students in developing a stronger conceptual foundation.</w:t>
      </w:r>
    </w:p>
    <w:p w14:paraId="3EE3FC19" w14:textId="22260DCA" w:rsidR="003A7E94" w:rsidRDefault="00D605F8" w:rsidP="009D0B15">
      <w:pPr>
        <w:spacing w:after="0" w:line="240" w:lineRule="auto"/>
        <w:ind w:firstLine="720"/>
        <w:jc w:val="both"/>
        <w:rPr>
          <w:rFonts w:ascii="Arial" w:hAnsi="Arial" w:cs="Arial"/>
          <w:bCs/>
          <w:sz w:val="20"/>
          <w:szCs w:val="20"/>
        </w:rPr>
      </w:pPr>
      <w:r>
        <w:rPr>
          <w:rFonts w:ascii="Arial" w:hAnsi="Arial" w:cs="Arial"/>
          <w:bCs/>
          <w:sz w:val="20"/>
          <w:szCs w:val="20"/>
        </w:rPr>
        <w:t>Thus, w</w:t>
      </w:r>
      <w:r w:rsidR="002E68C5" w:rsidRPr="002E68C5">
        <w:rPr>
          <w:rFonts w:ascii="Arial" w:hAnsi="Arial" w:cs="Arial"/>
          <w:bCs/>
          <w:sz w:val="20"/>
          <w:szCs w:val="20"/>
        </w:rPr>
        <w:t>hile students demonstrate a reasonable level of confidence in handling procedural and applied mathematical tasks, they exhibit less certainty in abstract reasoning and identity-related dimensions of mathematics. Thus, a multidimensional approach—combining conceptual instruction, identity formation, and technology-enhanced learning—may offer the most effective path forward for improving mathematics self-efficacy.</w:t>
      </w:r>
    </w:p>
    <w:p w14:paraId="7A31BAA1" w14:textId="77777777" w:rsidR="002E68C5" w:rsidRDefault="002E68C5" w:rsidP="009D0B15">
      <w:pPr>
        <w:spacing w:after="0" w:line="240" w:lineRule="auto"/>
        <w:ind w:firstLine="720"/>
        <w:jc w:val="both"/>
        <w:rPr>
          <w:rFonts w:ascii="Arial" w:hAnsi="Arial" w:cs="Arial"/>
          <w:bCs/>
          <w:sz w:val="20"/>
          <w:szCs w:val="20"/>
        </w:rPr>
      </w:pPr>
    </w:p>
    <w:p w14:paraId="66BE4DAF" w14:textId="77777777" w:rsidR="002E68C5" w:rsidRDefault="002E68C5" w:rsidP="009D0B15">
      <w:pPr>
        <w:spacing w:after="0" w:line="240" w:lineRule="auto"/>
        <w:ind w:firstLine="720"/>
        <w:jc w:val="both"/>
        <w:rPr>
          <w:rFonts w:ascii="Arial" w:hAnsi="Arial" w:cs="Arial"/>
          <w:bCs/>
          <w:sz w:val="20"/>
          <w:szCs w:val="20"/>
        </w:rPr>
      </w:pPr>
    </w:p>
    <w:p w14:paraId="03B51962" w14:textId="77777777" w:rsidR="003A7E94" w:rsidRDefault="003A7E94" w:rsidP="009D0B15">
      <w:pPr>
        <w:spacing w:after="0" w:line="240" w:lineRule="auto"/>
        <w:ind w:firstLine="720"/>
        <w:jc w:val="both"/>
        <w:rPr>
          <w:rFonts w:ascii="Arial" w:hAnsi="Arial" w:cs="Arial"/>
          <w:bCs/>
          <w:sz w:val="20"/>
          <w:szCs w:val="20"/>
        </w:rPr>
      </w:pPr>
    </w:p>
    <w:p w14:paraId="23DB0349" w14:textId="3BD23406" w:rsidR="0018492C" w:rsidRDefault="003A7E94" w:rsidP="0018492C">
      <w:pPr>
        <w:pStyle w:val="NoSpacing"/>
        <w:spacing w:line="360" w:lineRule="auto"/>
        <w:jc w:val="center"/>
        <w:rPr>
          <w:rFonts w:ascii="Arial" w:hAnsi="Arial" w:cs="Arial"/>
          <w:b/>
          <w:bCs/>
          <w:sz w:val="20"/>
          <w:szCs w:val="20"/>
        </w:rPr>
      </w:pPr>
      <w:r w:rsidRPr="003A63D0">
        <w:rPr>
          <w:rFonts w:ascii="Arial" w:hAnsi="Arial" w:cs="Arial"/>
          <w:b/>
          <w:bCs/>
          <w:sz w:val="20"/>
          <w:szCs w:val="20"/>
        </w:rPr>
        <w:t>Table 1 Mathematics Self-Efficacy of the Respondent</w:t>
      </w:r>
    </w:p>
    <w:p w14:paraId="14B92452" w14:textId="77777777" w:rsidR="0018492C" w:rsidRPr="0018492C" w:rsidRDefault="0018492C" w:rsidP="0018492C">
      <w:pPr>
        <w:pStyle w:val="NoSpacing"/>
        <w:spacing w:line="360" w:lineRule="auto"/>
        <w:jc w:val="center"/>
        <w:rPr>
          <w:rFonts w:ascii="Arial" w:hAnsi="Arial" w:cs="Arial"/>
          <w:b/>
          <w:bCs/>
          <w:sz w:val="10"/>
          <w:szCs w:val="10"/>
        </w:rPr>
      </w:pPr>
    </w:p>
    <w:tbl>
      <w:tblPr>
        <w:tblStyle w:val="TableGrid"/>
        <w:tblW w:w="9090" w:type="dxa"/>
        <w:tblBorders>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120"/>
        <w:gridCol w:w="1170"/>
        <w:gridCol w:w="1800"/>
      </w:tblGrid>
      <w:tr w:rsidR="003A7E94" w:rsidRPr="003A63D0" w14:paraId="11B1565E" w14:textId="77777777" w:rsidTr="0018492C">
        <w:trPr>
          <w:trHeight w:val="221"/>
        </w:trPr>
        <w:tc>
          <w:tcPr>
            <w:tcW w:w="6120" w:type="dxa"/>
          </w:tcPr>
          <w:p w14:paraId="656DFCB6" w14:textId="77777777" w:rsidR="003A7E94" w:rsidRPr="0018492C" w:rsidRDefault="003A7E94" w:rsidP="0039713D">
            <w:pPr>
              <w:pStyle w:val="NoSpacing"/>
              <w:spacing w:line="360" w:lineRule="auto"/>
              <w:jc w:val="center"/>
              <w:rPr>
                <w:rFonts w:ascii="Arial" w:hAnsi="Arial" w:cs="Arial"/>
                <w:b/>
                <w:bCs/>
                <w:sz w:val="20"/>
                <w:szCs w:val="20"/>
              </w:rPr>
            </w:pPr>
            <w:r w:rsidRPr="0018492C">
              <w:rPr>
                <w:rFonts w:ascii="Arial" w:hAnsi="Arial" w:cs="Arial"/>
                <w:b/>
                <w:bCs/>
                <w:sz w:val="20"/>
                <w:szCs w:val="20"/>
              </w:rPr>
              <w:t>Statements</w:t>
            </w:r>
          </w:p>
        </w:tc>
        <w:tc>
          <w:tcPr>
            <w:tcW w:w="1170" w:type="dxa"/>
          </w:tcPr>
          <w:p w14:paraId="4784CD73" w14:textId="77777777" w:rsidR="003A7E94" w:rsidRPr="0018492C" w:rsidRDefault="003A7E94" w:rsidP="0039713D">
            <w:pPr>
              <w:pStyle w:val="NoSpacing"/>
              <w:spacing w:line="360" w:lineRule="auto"/>
              <w:jc w:val="center"/>
              <w:rPr>
                <w:rFonts w:ascii="Arial" w:hAnsi="Arial" w:cs="Arial"/>
                <w:b/>
                <w:bCs/>
                <w:sz w:val="20"/>
                <w:szCs w:val="20"/>
              </w:rPr>
            </w:pPr>
            <w:r w:rsidRPr="0018492C">
              <w:rPr>
                <w:rFonts w:ascii="Arial" w:hAnsi="Arial" w:cs="Arial"/>
                <w:b/>
                <w:bCs/>
                <w:sz w:val="20"/>
                <w:szCs w:val="20"/>
              </w:rPr>
              <w:t>Mean</w:t>
            </w:r>
          </w:p>
        </w:tc>
        <w:tc>
          <w:tcPr>
            <w:tcW w:w="1800" w:type="dxa"/>
          </w:tcPr>
          <w:p w14:paraId="4CCA8DDE" w14:textId="77777777" w:rsidR="003A7E94" w:rsidRPr="0018492C" w:rsidRDefault="003A7E94" w:rsidP="0039713D">
            <w:pPr>
              <w:pStyle w:val="NoSpacing"/>
              <w:spacing w:line="360" w:lineRule="auto"/>
              <w:jc w:val="center"/>
              <w:rPr>
                <w:rFonts w:ascii="Arial" w:hAnsi="Arial" w:cs="Arial"/>
                <w:b/>
                <w:bCs/>
                <w:sz w:val="20"/>
                <w:szCs w:val="20"/>
              </w:rPr>
            </w:pPr>
            <w:r w:rsidRPr="0018492C">
              <w:rPr>
                <w:rFonts w:ascii="Arial" w:hAnsi="Arial" w:cs="Arial"/>
                <w:b/>
                <w:bCs/>
                <w:sz w:val="20"/>
                <w:szCs w:val="20"/>
              </w:rPr>
              <w:t>Interpretation</w:t>
            </w:r>
          </w:p>
        </w:tc>
      </w:tr>
      <w:tr w:rsidR="003A7E94" w:rsidRPr="003A63D0" w14:paraId="6F036836" w14:textId="77777777" w:rsidTr="0018492C">
        <w:trPr>
          <w:trHeight w:val="177"/>
        </w:trPr>
        <w:tc>
          <w:tcPr>
            <w:tcW w:w="6120" w:type="dxa"/>
          </w:tcPr>
          <w:p w14:paraId="5B4B0A05" w14:textId="77777777" w:rsidR="003A7E94" w:rsidRPr="0018492C" w:rsidRDefault="003A7E94" w:rsidP="0039713D">
            <w:pPr>
              <w:pStyle w:val="NoSpacing"/>
              <w:spacing w:line="360" w:lineRule="auto"/>
              <w:rPr>
                <w:rFonts w:ascii="Arial" w:hAnsi="Arial" w:cs="Arial"/>
                <w:sz w:val="20"/>
                <w:szCs w:val="20"/>
              </w:rPr>
            </w:pPr>
            <w:r w:rsidRPr="0018492C">
              <w:rPr>
                <w:rFonts w:ascii="Arial" w:hAnsi="Arial" w:cs="Arial"/>
                <w:sz w:val="20"/>
                <w:szCs w:val="20"/>
              </w:rPr>
              <w:t>I feel confident enough to ask questions in my mathematics class.</w:t>
            </w:r>
          </w:p>
        </w:tc>
        <w:tc>
          <w:tcPr>
            <w:tcW w:w="1170" w:type="dxa"/>
          </w:tcPr>
          <w:p w14:paraId="68CC52A8"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3.24</w:t>
            </w:r>
          </w:p>
        </w:tc>
        <w:tc>
          <w:tcPr>
            <w:tcW w:w="1800" w:type="dxa"/>
          </w:tcPr>
          <w:p w14:paraId="018BE601"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Moderately Well</w:t>
            </w:r>
          </w:p>
        </w:tc>
      </w:tr>
      <w:tr w:rsidR="003A7E94" w:rsidRPr="003A63D0" w14:paraId="150CC7FF" w14:textId="77777777" w:rsidTr="0018492C">
        <w:trPr>
          <w:trHeight w:val="206"/>
        </w:trPr>
        <w:tc>
          <w:tcPr>
            <w:tcW w:w="6120" w:type="dxa"/>
          </w:tcPr>
          <w:p w14:paraId="70C1D421" w14:textId="77777777" w:rsidR="003A7E94" w:rsidRPr="0018492C" w:rsidRDefault="003A7E94" w:rsidP="0039713D">
            <w:pPr>
              <w:pStyle w:val="NoSpacing"/>
              <w:spacing w:line="360" w:lineRule="auto"/>
              <w:rPr>
                <w:rFonts w:ascii="Arial" w:hAnsi="Arial" w:cs="Arial"/>
                <w:sz w:val="20"/>
                <w:szCs w:val="20"/>
              </w:rPr>
            </w:pPr>
            <w:r w:rsidRPr="0018492C">
              <w:rPr>
                <w:rFonts w:ascii="Arial" w:hAnsi="Arial" w:cs="Arial"/>
                <w:sz w:val="20"/>
                <w:szCs w:val="20"/>
              </w:rPr>
              <w:t>I believe I can do well on a mathematics test.</w:t>
            </w:r>
          </w:p>
        </w:tc>
        <w:tc>
          <w:tcPr>
            <w:tcW w:w="1170" w:type="dxa"/>
          </w:tcPr>
          <w:p w14:paraId="56F3ECC0"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3.36</w:t>
            </w:r>
          </w:p>
        </w:tc>
        <w:tc>
          <w:tcPr>
            <w:tcW w:w="1800" w:type="dxa"/>
          </w:tcPr>
          <w:p w14:paraId="66CE57D7"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Moderately Well</w:t>
            </w:r>
          </w:p>
        </w:tc>
      </w:tr>
      <w:tr w:rsidR="003A7E94" w:rsidRPr="003A63D0" w14:paraId="0952928E" w14:textId="77777777" w:rsidTr="0018492C">
        <w:trPr>
          <w:trHeight w:val="222"/>
        </w:trPr>
        <w:tc>
          <w:tcPr>
            <w:tcW w:w="6120" w:type="dxa"/>
          </w:tcPr>
          <w:p w14:paraId="266142E7" w14:textId="77777777" w:rsidR="003A7E94" w:rsidRPr="0018492C" w:rsidRDefault="003A7E94" w:rsidP="0039713D">
            <w:pPr>
              <w:pStyle w:val="NoSpacing"/>
              <w:spacing w:line="360" w:lineRule="auto"/>
              <w:rPr>
                <w:rFonts w:ascii="Arial" w:hAnsi="Arial" w:cs="Arial"/>
                <w:sz w:val="20"/>
                <w:szCs w:val="20"/>
              </w:rPr>
            </w:pPr>
            <w:r w:rsidRPr="0018492C">
              <w:rPr>
                <w:rFonts w:ascii="Arial" w:hAnsi="Arial" w:cs="Arial"/>
                <w:sz w:val="20"/>
                <w:szCs w:val="20"/>
              </w:rPr>
              <w:t>I believe I can complete all the assignments in a mathematics course.</w:t>
            </w:r>
          </w:p>
        </w:tc>
        <w:tc>
          <w:tcPr>
            <w:tcW w:w="1170" w:type="dxa"/>
          </w:tcPr>
          <w:p w14:paraId="7C505368"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3.66</w:t>
            </w:r>
          </w:p>
        </w:tc>
        <w:tc>
          <w:tcPr>
            <w:tcW w:w="1800" w:type="dxa"/>
          </w:tcPr>
          <w:p w14:paraId="309CC587"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Very Well</w:t>
            </w:r>
          </w:p>
        </w:tc>
      </w:tr>
      <w:tr w:rsidR="003A7E94" w:rsidRPr="003A63D0" w14:paraId="2CB29D02" w14:textId="77777777" w:rsidTr="0018492C">
        <w:trPr>
          <w:trHeight w:val="206"/>
        </w:trPr>
        <w:tc>
          <w:tcPr>
            <w:tcW w:w="6120" w:type="dxa"/>
          </w:tcPr>
          <w:p w14:paraId="3FCD0224" w14:textId="77777777" w:rsidR="003A7E94" w:rsidRPr="0018492C" w:rsidRDefault="003A7E94" w:rsidP="0039713D">
            <w:pPr>
              <w:pStyle w:val="NoSpacing"/>
              <w:spacing w:line="360" w:lineRule="auto"/>
              <w:rPr>
                <w:rFonts w:ascii="Arial" w:hAnsi="Arial" w:cs="Arial"/>
                <w:sz w:val="20"/>
                <w:szCs w:val="20"/>
              </w:rPr>
            </w:pPr>
            <w:r w:rsidRPr="0018492C">
              <w:rPr>
                <w:rFonts w:ascii="Arial" w:hAnsi="Arial" w:cs="Arial"/>
                <w:sz w:val="20"/>
                <w:szCs w:val="20"/>
              </w:rPr>
              <w:t>I believe I am the kind of person who is good at mathematics.</w:t>
            </w:r>
          </w:p>
        </w:tc>
        <w:tc>
          <w:tcPr>
            <w:tcW w:w="1170" w:type="dxa"/>
          </w:tcPr>
          <w:p w14:paraId="36D7ED87"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3.14</w:t>
            </w:r>
          </w:p>
        </w:tc>
        <w:tc>
          <w:tcPr>
            <w:tcW w:w="1800" w:type="dxa"/>
          </w:tcPr>
          <w:p w14:paraId="14C034B4"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Moderately Well</w:t>
            </w:r>
          </w:p>
        </w:tc>
      </w:tr>
      <w:tr w:rsidR="003A7E94" w:rsidRPr="003A63D0" w14:paraId="02EE2FDF" w14:textId="77777777" w:rsidTr="0018492C">
        <w:trPr>
          <w:trHeight w:val="206"/>
        </w:trPr>
        <w:tc>
          <w:tcPr>
            <w:tcW w:w="6120" w:type="dxa"/>
          </w:tcPr>
          <w:p w14:paraId="5B3E115E" w14:textId="77777777" w:rsidR="003A7E94" w:rsidRPr="0018492C" w:rsidRDefault="003A7E94" w:rsidP="0039713D">
            <w:pPr>
              <w:pStyle w:val="NoSpacing"/>
              <w:spacing w:line="360" w:lineRule="auto"/>
              <w:rPr>
                <w:rFonts w:ascii="Arial" w:hAnsi="Arial" w:cs="Arial"/>
                <w:sz w:val="20"/>
                <w:szCs w:val="20"/>
              </w:rPr>
            </w:pPr>
            <w:r w:rsidRPr="0018492C">
              <w:rPr>
                <w:rFonts w:ascii="Arial" w:hAnsi="Arial" w:cs="Arial"/>
                <w:sz w:val="20"/>
                <w:szCs w:val="20"/>
              </w:rPr>
              <w:t>I believe I will be able to use mathematics in my future career when needed.</w:t>
            </w:r>
          </w:p>
        </w:tc>
        <w:tc>
          <w:tcPr>
            <w:tcW w:w="1170" w:type="dxa"/>
          </w:tcPr>
          <w:p w14:paraId="772D3377"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3.61</w:t>
            </w:r>
          </w:p>
        </w:tc>
        <w:tc>
          <w:tcPr>
            <w:tcW w:w="1800" w:type="dxa"/>
          </w:tcPr>
          <w:p w14:paraId="1C1C40C9"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Very Well</w:t>
            </w:r>
          </w:p>
        </w:tc>
      </w:tr>
      <w:tr w:rsidR="003A7E94" w:rsidRPr="003A63D0" w14:paraId="6F3E6657" w14:textId="77777777" w:rsidTr="0018492C">
        <w:trPr>
          <w:trHeight w:val="206"/>
        </w:trPr>
        <w:tc>
          <w:tcPr>
            <w:tcW w:w="6120" w:type="dxa"/>
          </w:tcPr>
          <w:p w14:paraId="06AF311E" w14:textId="77777777" w:rsidR="003A7E94" w:rsidRPr="0018492C" w:rsidRDefault="003A7E94" w:rsidP="0039713D">
            <w:pPr>
              <w:pStyle w:val="NoSpacing"/>
              <w:spacing w:line="360" w:lineRule="auto"/>
              <w:rPr>
                <w:rFonts w:ascii="Arial" w:hAnsi="Arial" w:cs="Arial"/>
                <w:sz w:val="20"/>
                <w:szCs w:val="20"/>
              </w:rPr>
            </w:pPr>
            <w:r w:rsidRPr="0018492C">
              <w:rPr>
                <w:rFonts w:ascii="Arial" w:hAnsi="Arial" w:cs="Arial"/>
                <w:sz w:val="20"/>
                <w:szCs w:val="20"/>
              </w:rPr>
              <w:t>I believe I can understand the content in a mathematics course.</w:t>
            </w:r>
          </w:p>
        </w:tc>
        <w:tc>
          <w:tcPr>
            <w:tcW w:w="1170" w:type="dxa"/>
          </w:tcPr>
          <w:p w14:paraId="09FBFABC"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3.35</w:t>
            </w:r>
          </w:p>
        </w:tc>
        <w:tc>
          <w:tcPr>
            <w:tcW w:w="1800" w:type="dxa"/>
          </w:tcPr>
          <w:p w14:paraId="22CEB690"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Moderately Well</w:t>
            </w:r>
          </w:p>
        </w:tc>
      </w:tr>
      <w:tr w:rsidR="003A7E94" w:rsidRPr="003A63D0" w14:paraId="3CC56CFC" w14:textId="77777777" w:rsidTr="0018492C">
        <w:trPr>
          <w:trHeight w:val="206"/>
        </w:trPr>
        <w:tc>
          <w:tcPr>
            <w:tcW w:w="6120" w:type="dxa"/>
          </w:tcPr>
          <w:p w14:paraId="47E8FB1C" w14:textId="77777777" w:rsidR="003A7E94" w:rsidRPr="0018492C" w:rsidRDefault="003A7E94" w:rsidP="0039713D">
            <w:pPr>
              <w:pStyle w:val="NoSpacing"/>
              <w:spacing w:line="360" w:lineRule="auto"/>
              <w:rPr>
                <w:rFonts w:ascii="Arial" w:hAnsi="Arial" w:cs="Arial"/>
                <w:sz w:val="20"/>
                <w:szCs w:val="20"/>
              </w:rPr>
            </w:pPr>
            <w:r w:rsidRPr="0018492C">
              <w:rPr>
                <w:rFonts w:ascii="Arial" w:hAnsi="Arial" w:cs="Arial"/>
                <w:sz w:val="20"/>
                <w:szCs w:val="20"/>
              </w:rPr>
              <w:t>I believe I can be an “A” when I am in a mathematics course.</w:t>
            </w:r>
          </w:p>
        </w:tc>
        <w:tc>
          <w:tcPr>
            <w:tcW w:w="1170" w:type="dxa"/>
          </w:tcPr>
          <w:p w14:paraId="4FF64367"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3.14</w:t>
            </w:r>
          </w:p>
        </w:tc>
        <w:tc>
          <w:tcPr>
            <w:tcW w:w="1800" w:type="dxa"/>
          </w:tcPr>
          <w:p w14:paraId="3584A547"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Moderately Well</w:t>
            </w:r>
          </w:p>
        </w:tc>
      </w:tr>
      <w:tr w:rsidR="003A7E94" w:rsidRPr="003A63D0" w14:paraId="70772CB5" w14:textId="77777777" w:rsidTr="0018492C">
        <w:trPr>
          <w:trHeight w:val="206"/>
        </w:trPr>
        <w:tc>
          <w:tcPr>
            <w:tcW w:w="6120" w:type="dxa"/>
          </w:tcPr>
          <w:p w14:paraId="7CF2D15D" w14:textId="77777777" w:rsidR="003A7E94" w:rsidRPr="0018492C" w:rsidRDefault="003A7E94" w:rsidP="0039713D">
            <w:pPr>
              <w:pStyle w:val="NoSpacing"/>
              <w:spacing w:line="360" w:lineRule="auto"/>
              <w:rPr>
                <w:rFonts w:ascii="Arial" w:hAnsi="Arial" w:cs="Arial"/>
                <w:sz w:val="20"/>
                <w:szCs w:val="20"/>
              </w:rPr>
            </w:pPr>
            <w:r w:rsidRPr="0018492C">
              <w:rPr>
                <w:rFonts w:ascii="Arial" w:hAnsi="Arial" w:cs="Arial"/>
                <w:sz w:val="20"/>
                <w:szCs w:val="20"/>
              </w:rPr>
              <w:t>I believe I can learn well in a mathematics course.</w:t>
            </w:r>
          </w:p>
        </w:tc>
        <w:tc>
          <w:tcPr>
            <w:tcW w:w="1170" w:type="dxa"/>
          </w:tcPr>
          <w:p w14:paraId="0A56EA7A"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3.61</w:t>
            </w:r>
          </w:p>
        </w:tc>
        <w:tc>
          <w:tcPr>
            <w:tcW w:w="1800" w:type="dxa"/>
          </w:tcPr>
          <w:p w14:paraId="436E1061"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Very Well</w:t>
            </w:r>
          </w:p>
        </w:tc>
      </w:tr>
      <w:tr w:rsidR="003A7E94" w:rsidRPr="003A63D0" w14:paraId="6E90F58D" w14:textId="77777777" w:rsidTr="0018492C">
        <w:trPr>
          <w:trHeight w:val="206"/>
        </w:trPr>
        <w:tc>
          <w:tcPr>
            <w:tcW w:w="6120" w:type="dxa"/>
          </w:tcPr>
          <w:p w14:paraId="26FB02EF" w14:textId="77777777" w:rsidR="003A7E94" w:rsidRPr="0018492C" w:rsidRDefault="003A7E94" w:rsidP="0039713D">
            <w:pPr>
              <w:pStyle w:val="NoSpacing"/>
              <w:spacing w:line="360" w:lineRule="auto"/>
              <w:rPr>
                <w:rFonts w:ascii="Arial" w:hAnsi="Arial" w:cs="Arial"/>
                <w:sz w:val="20"/>
                <w:szCs w:val="20"/>
              </w:rPr>
            </w:pPr>
            <w:r w:rsidRPr="0018492C">
              <w:rPr>
                <w:rFonts w:ascii="Arial" w:hAnsi="Arial" w:cs="Arial"/>
                <w:sz w:val="20"/>
                <w:szCs w:val="20"/>
              </w:rPr>
              <w:t>I feel confident when taking a mathematics test.</w:t>
            </w:r>
          </w:p>
        </w:tc>
        <w:tc>
          <w:tcPr>
            <w:tcW w:w="1170" w:type="dxa"/>
          </w:tcPr>
          <w:p w14:paraId="06AC42F3"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3.31</w:t>
            </w:r>
          </w:p>
        </w:tc>
        <w:tc>
          <w:tcPr>
            <w:tcW w:w="1800" w:type="dxa"/>
          </w:tcPr>
          <w:p w14:paraId="199119A1"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Moderately Well</w:t>
            </w:r>
          </w:p>
        </w:tc>
      </w:tr>
      <w:tr w:rsidR="003A7E94" w:rsidRPr="003A63D0" w14:paraId="2AD80B20" w14:textId="77777777" w:rsidTr="0018492C">
        <w:trPr>
          <w:trHeight w:val="206"/>
        </w:trPr>
        <w:tc>
          <w:tcPr>
            <w:tcW w:w="6120" w:type="dxa"/>
          </w:tcPr>
          <w:p w14:paraId="4A2907AD" w14:textId="77777777" w:rsidR="003A7E94" w:rsidRPr="0018492C" w:rsidRDefault="003A7E94" w:rsidP="0039713D">
            <w:pPr>
              <w:pStyle w:val="NoSpacing"/>
              <w:spacing w:line="360" w:lineRule="auto"/>
              <w:rPr>
                <w:rFonts w:ascii="Arial" w:hAnsi="Arial" w:cs="Arial"/>
                <w:sz w:val="20"/>
                <w:szCs w:val="20"/>
              </w:rPr>
            </w:pPr>
            <w:r w:rsidRPr="0018492C">
              <w:rPr>
                <w:rFonts w:ascii="Arial" w:hAnsi="Arial" w:cs="Arial"/>
                <w:sz w:val="20"/>
                <w:szCs w:val="20"/>
              </w:rPr>
              <w:t>I believe I am the type of person who can do mathematics.</w:t>
            </w:r>
          </w:p>
        </w:tc>
        <w:tc>
          <w:tcPr>
            <w:tcW w:w="1170" w:type="dxa"/>
          </w:tcPr>
          <w:p w14:paraId="23184F97"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3.30</w:t>
            </w:r>
          </w:p>
        </w:tc>
        <w:tc>
          <w:tcPr>
            <w:tcW w:w="1800" w:type="dxa"/>
          </w:tcPr>
          <w:p w14:paraId="76B2223A"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Moderately Well</w:t>
            </w:r>
          </w:p>
        </w:tc>
      </w:tr>
      <w:tr w:rsidR="003A7E94" w:rsidRPr="003A63D0" w14:paraId="19094E50" w14:textId="77777777" w:rsidTr="0018492C">
        <w:trPr>
          <w:trHeight w:val="206"/>
        </w:trPr>
        <w:tc>
          <w:tcPr>
            <w:tcW w:w="6120" w:type="dxa"/>
          </w:tcPr>
          <w:p w14:paraId="3D2F8E70" w14:textId="77777777" w:rsidR="003A7E94" w:rsidRPr="0018492C" w:rsidRDefault="003A7E94" w:rsidP="0039713D">
            <w:pPr>
              <w:pStyle w:val="NoSpacing"/>
              <w:spacing w:line="360" w:lineRule="auto"/>
              <w:rPr>
                <w:rFonts w:ascii="Arial" w:hAnsi="Arial" w:cs="Arial"/>
                <w:sz w:val="20"/>
                <w:szCs w:val="20"/>
              </w:rPr>
            </w:pPr>
            <w:r w:rsidRPr="0018492C">
              <w:rPr>
                <w:rFonts w:ascii="Arial" w:hAnsi="Arial" w:cs="Arial"/>
                <w:sz w:val="20"/>
                <w:szCs w:val="20"/>
              </w:rPr>
              <w:t>I feel that I will be able to do well in the future mathematics course.</w:t>
            </w:r>
          </w:p>
        </w:tc>
        <w:tc>
          <w:tcPr>
            <w:tcW w:w="1170" w:type="dxa"/>
          </w:tcPr>
          <w:p w14:paraId="647820EC"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3.35</w:t>
            </w:r>
          </w:p>
        </w:tc>
        <w:tc>
          <w:tcPr>
            <w:tcW w:w="1800" w:type="dxa"/>
          </w:tcPr>
          <w:p w14:paraId="6F93ED73"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Moderately Well</w:t>
            </w:r>
          </w:p>
        </w:tc>
      </w:tr>
      <w:tr w:rsidR="003A7E94" w:rsidRPr="003A63D0" w14:paraId="2FB16D2F" w14:textId="77777777" w:rsidTr="0018492C">
        <w:trPr>
          <w:trHeight w:val="206"/>
        </w:trPr>
        <w:tc>
          <w:tcPr>
            <w:tcW w:w="6120" w:type="dxa"/>
          </w:tcPr>
          <w:p w14:paraId="150E1E85" w14:textId="77777777" w:rsidR="003A7E94" w:rsidRPr="0018492C" w:rsidRDefault="003A7E94" w:rsidP="0039713D">
            <w:pPr>
              <w:pStyle w:val="NoSpacing"/>
              <w:spacing w:line="360" w:lineRule="auto"/>
              <w:rPr>
                <w:rFonts w:ascii="Arial" w:hAnsi="Arial" w:cs="Arial"/>
                <w:sz w:val="20"/>
                <w:szCs w:val="20"/>
              </w:rPr>
            </w:pPr>
            <w:r w:rsidRPr="0018492C">
              <w:rPr>
                <w:rFonts w:ascii="Arial" w:hAnsi="Arial" w:cs="Arial"/>
                <w:sz w:val="20"/>
                <w:szCs w:val="20"/>
              </w:rPr>
              <w:t>I believe I can do mathematics in a mathematics course.</w:t>
            </w:r>
          </w:p>
        </w:tc>
        <w:tc>
          <w:tcPr>
            <w:tcW w:w="1170" w:type="dxa"/>
          </w:tcPr>
          <w:p w14:paraId="59B5846B"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3.32</w:t>
            </w:r>
          </w:p>
        </w:tc>
        <w:tc>
          <w:tcPr>
            <w:tcW w:w="1800" w:type="dxa"/>
          </w:tcPr>
          <w:p w14:paraId="23A5EE3D"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Moderately Well</w:t>
            </w:r>
          </w:p>
        </w:tc>
      </w:tr>
      <w:tr w:rsidR="003A7E94" w:rsidRPr="003A63D0" w14:paraId="1AB3741F" w14:textId="77777777" w:rsidTr="0018492C">
        <w:trPr>
          <w:trHeight w:val="206"/>
        </w:trPr>
        <w:tc>
          <w:tcPr>
            <w:tcW w:w="6120" w:type="dxa"/>
          </w:tcPr>
          <w:p w14:paraId="44B66171" w14:textId="77777777" w:rsidR="003A7E94" w:rsidRPr="0018492C" w:rsidRDefault="003A7E94" w:rsidP="0039713D">
            <w:pPr>
              <w:pStyle w:val="NoSpacing"/>
              <w:spacing w:line="360" w:lineRule="auto"/>
              <w:rPr>
                <w:rFonts w:ascii="Arial" w:hAnsi="Arial" w:cs="Arial"/>
                <w:sz w:val="20"/>
                <w:szCs w:val="20"/>
              </w:rPr>
            </w:pPr>
            <w:r w:rsidRPr="0018492C">
              <w:rPr>
                <w:rFonts w:ascii="Arial" w:hAnsi="Arial" w:cs="Arial"/>
                <w:sz w:val="20"/>
                <w:szCs w:val="20"/>
              </w:rPr>
              <w:t>I believe I can think like a mathematician.</w:t>
            </w:r>
          </w:p>
        </w:tc>
        <w:tc>
          <w:tcPr>
            <w:tcW w:w="1170" w:type="dxa"/>
          </w:tcPr>
          <w:p w14:paraId="23C4FCD3"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3.12</w:t>
            </w:r>
          </w:p>
        </w:tc>
        <w:tc>
          <w:tcPr>
            <w:tcW w:w="1800" w:type="dxa"/>
          </w:tcPr>
          <w:p w14:paraId="5723FD26"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Moderately Well</w:t>
            </w:r>
          </w:p>
        </w:tc>
      </w:tr>
      <w:tr w:rsidR="003A7E94" w:rsidRPr="003A63D0" w14:paraId="5184C890" w14:textId="77777777" w:rsidTr="0018492C">
        <w:trPr>
          <w:trHeight w:val="192"/>
        </w:trPr>
        <w:tc>
          <w:tcPr>
            <w:tcW w:w="6120" w:type="dxa"/>
            <w:tcBorders>
              <w:bottom w:val="single" w:sz="4" w:space="0" w:color="auto"/>
            </w:tcBorders>
          </w:tcPr>
          <w:p w14:paraId="717A9084" w14:textId="77777777" w:rsidR="003A7E94" w:rsidRPr="0018492C" w:rsidRDefault="003A7E94" w:rsidP="0039713D">
            <w:pPr>
              <w:pStyle w:val="NoSpacing"/>
              <w:spacing w:line="360" w:lineRule="auto"/>
              <w:rPr>
                <w:rFonts w:ascii="Arial" w:hAnsi="Arial" w:cs="Arial"/>
                <w:sz w:val="20"/>
                <w:szCs w:val="20"/>
              </w:rPr>
            </w:pPr>
            <w:r w:rsidRPr="0018492C">
              <w:rPr>
                <w:rFonts w:ascii="Arial" w:hAnsi="Arial" w:cs="Arial"/>
                <w:sz w:val="20"/>
                <w:szCs w:val="20"/>
              </w:rPr>
              <w:t>I feel confident when using mathematics outside of school.</w:t>
            </w:r>
          </w:p>
        </w:tc>
        <w:tc>
          <w:tcPr>
            <w:tcW w:w="1170" w:type="dxa"/>
            <w:tcBorders>
              <w:bottom w:val="single" w:sz="4" w:space="0" w:color="auto"/>
            </w:tcBorders>
          </w:tcPr>
          <w:p w14:paraId="06070E32"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3.31</w:t>
            </w:r>
          </w:p>
        </w:tc>
        <w:tc>
          <w:tcPr>
            <w:tcW w:w="1800" w:type="dxa"/>
            <w:tcBorders>
              <w:bottom w:val="single" w:sz="4" w:space="0" w:color="auto"/>
            </w:tcBorders>
          </w:tcPr>
          <w:p w14:paraId="57B8398D"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Moderately Well</w:t>
            </w:r>
          </w:p>
        </w:tc>
      </w:tr>
      <w:tr w:rsidR="003A7E94" w:rsidRPr="003A63D0" w14:paraId="11F1956D" w14:textId="77777777" w:rsidTr="0018492C">
        <w:trPr>
          <w:trHeight w:val="192"/>
        </w:trPr>
        <w:tc>
          <w:tcPr>
            <w:tcW w:w="6120" w:type="dxa"/>
            <w:tcBorders>
              <w:bottom w:val="single" w:sz="4" w:space="0" w:color="auto"/>
            </w:tcBorders>
          </w:tcPr>
          <w:p w14:paraId="6E0F1D31" w14:textId="77777777" w:rsidR="003A7E94" w:rsidRPr="0018492C" w:rsidRDefault="003A7E94" w:rsidP="0039713D">
            <w:pPr>
              <w:pStyle w:val="NoSpacing"/>
              <w:spacing w:line="360" w:lineRule="auto"/>
              <w:jc w:val="center"/>
              <w:rPr>
                <w:rFonts w:ascii="Arial" w:hAnsi="Arial" w:cs="Arial"/>
                <w:b/>
                <w:bCs/>
                <w:sz w:val="20"/>
                <w:szCs w:val="20"/>
              </w:rPr>
            </w:pPr>
            <w:r w:rsidRPr="0018492C">
              <w:rPr>
                <w:rFonts w:ascii="Arial" w:hAnsi="Arial" w:cs="Arial"/>
                <w:b/>
                <w:bCs/>
                <w:sz w:val="20"/>
                <w:szCs w:val="20"/>
              </w:rPr>
              <w:t>Grand Mean</w:t>
            </w:r>
          </w:p>
        </w:tc>
        <w:tc>
          <w:tcPr>
            <w:tcW w:w="1170" w:type="dxa"/>
            <w:tcBorders>
              <w:bottom w:val="single" w:sz="4" w:space="0" w:color="auto"/>
            </w:tcBorders>
          </w:tcPr>
          <w:p w14:paraId="54DFDBAF" w14:textId="77777777" w:rsidR="003A7E94" w:rsidRPr="0018492C" w:rsidRDefault="003A7E94" w:rsidP="0039713D">
            <w:pPr>
              <w:pStyle w:val="NoSpacing"/>
              <w:spacing w:line="360" w:lineRule="auto"/>
              <w:jc w:val="center"/>
              <w:rPr>
                <w:rFonts w:ascii="Arial" w:hAnsi="Arial" w:cs="Arial"/>
                <w:b/>
                <w:bCs/>
                <w:sz w:val="20"/>
                <w:szCs w:val="20"/>
              </w:rPr>
            </w:pPr>
            <w:r w:rsidRPr="0018492C">
              <w:rPr>
                <w:rFonts w:ascii="Arial" w:hAnsi="Arial" w:cs="Arial"/>
                <w:b/>
                <w:bCs/>
                <w:sz w:val="20"/>
                <w:szCs w:val="20"/>
              </w:rPr>
              <w:t>3.34</w:t>
            </w:r>
          </w:p>
        </w:tc>
        <w:tc>
          <w:tcPr>
            <w:tcW w:w="1800" w:type="dxa"/>
            <w:tcBorders>
              <w:bottom w:val="single" w:sz="4" w:space="0" w:color="auto"/>
            </w:tcBorders>
          </w:tcPr>
          <w:p w14:paraId="2AFB9E38" w14:textId="77777777" w:rsidR="003A7E94" w:rsidRPr="0018492C" w:rsidRDefault="003A7E94" w:rsidP="0039713D">
            <w:pPr>
              <w:pStyle w:val="NoSpacing"/>
              <w:spacing w:line="360" w:lineRule="auto"/>
              <w:jc w:val="center"/>
              <w:rPr>
                <w:rFonts w:ascii="Arial" w:hAnsi="Arial" w:cs="Arial"/>
                <w:b/>
                <w:bCs/>
                <w:sz w:val="20"/>
                <w:szCs w:val="20"/>
              </w:rPr>
            </w:pPr>
            <w:r w:rsidRPr="0018492C">
              <w:rPr>
                <w:rFonts w:ascii="Arial" w:hAnsi="Arial" w:cs="Arial"/>
                <w:b/>
                <w:bCs/>
                <w:sz w:val="20"/>
                <w:szCs w:val="20"/>
              </w:rPr>
              <w:t>Moderately Well</w:t>
            </w:r>
          </w:p>
        </w:tc>
      </w:tr>
    </w:tbl>
    <w:p w14:paraId="7BFE2A38" w14:textId="77777777" w:rsidR="003A7E94" w:rsidRPr="003A63D0" w:rsidRDefault="003A7E94" w:rsidP="003A7E94">
      <w:pPr>
        <w:pStyle w:val="NoSpacing"/>
        <w:spacing w:line="360" w:lineRule="auto"/>
        <w:rPr>
          <w:rFonts w:ascii="Arial" w:hAnsi="Arial" w:cs="Arial"/>
          <w:b/>
          <w:bCs/>
          <w:sz w:val="20"/>
          <w:szCs w:val="20"/>
        </w:rPr>
        <w:sectPr w:rsidR="003A7E94" w:rsidRPr="003A63D0" w:rsidSect="00DA020F">
          <w:headerReference w:type="even" r:id="rId14"/>
          <w:headerReference w:type="default" r:id="rId15"/>
          <w:footerReference w:type="default" r:id="rId16"/>
          <w:headerReference w:type="first" r:id="rId17"/>
          <w:type w:val="continuous"/>
          <w:pgSz w:w="11907" w:h="16839"/>
          <w:pgMar w:top="1440" w:right="1440" w:bottom="1440" w:left="1440" w:header="720" w:footer="720" w:gutter="0"/>
          <w:pgNumType w:start="1" w:chapStyle="1"/>
          <w:cols w:space="695"/>
          <w:titlePg/>
          <w:docGrid w:linePitch="360"/>
        </w:sectPr>
      </w:pPr>
    </w:p>
    <w:p w14:paraId="4D8F3A59" w14:textId="77777777" w:rsidR="000D5E9C" w:rsidRDefault="000D5E9C" w:rsidP="003A63D0">
      <w:pPr>
        <w:spacing w:after="0" w:line="240" w:lineRule="auto"/>
        <w:rPr>
          <w:rFonts w:ascii="Arial" w:hAnsi="Arial" w:cs="Arial"/>
          <w:b/>
          <w:bCs/>
          <w:i/>
          <w:iCs/>
          <w:sz w:val="20"/>
          <w:szCs w:val="20"/>
        </w:rPr>
      </w:pPr>
    </w:p>
    <w:p w14:paraId="434BC56A" w14:textId="50AE6616" w:rsidR="001A2D78" w:rsidRPr="003A63D0" w:rsidRDefault="001A2D78" w:rsidP="003A63D0">
      <w:pPr>
        <w:spacing w:after="0" w:line="240" w:lineRule="auto"/>
        <w:rPr>
          <w:rFonts w:ascii="Arial" w:hAnsi="Arial" w:cs="Arial"/>
          <w:b/>
          <w:bCs/>
          <w:i/>
          <w:iCs/>
          <w:sz w:val="20"/>
          <w:szCs w:val="20"/>
        </w:rPr>
      </w:pPr>
      <w:r w:rsidRPr="003A63D0">
        <w:rPr>
          <w:rFonts w:ascii="Arial" w:hAnsi="Arial" w:cs="Arial"/>
          <w:b/>
          <w:bCs/>
          <w:i/>
          <w:iCs/>
          <w:sz w:val="20"/>
          <w:szCs w:val="20"/>
        </w:rPr>
        <w:t>Mathematics Anxiety</w:t>
      </w:r>
    </w:p>
    <w:p w14:paraId="2010D610" w14:textId="77777777" w:rsidR="001A2D78" w:rsidRPr="003A63D0" w:rsidRDefault="001A2D78" w:rsidP="003A63D0">
      <w:pPr>
        <w:spacing w:after="0" w:line="240" w:lineRule="auto"/>
        <w:rPr>
          <w:rFonts w:ascii="Arial" w:hAnsi="Arial" w:cs="Arial"/>
          <w:b/>
          <w:bCs/>
          <w:i/>
          <w:iCs/>
          <w:sz w:val="20"/>
          <w:szCs w:val="20"/>
        </w:rPr>
      </w:pPr>
    </w:p>
    <w:p w14:paraId="0BEEC787" w14:textId="77777777" w:rsidR="00662AA9" w:rsidRDefault="0018492C" w:rsidP="0018492C">
      <w:pPr>
        <w:spacing w:after="0" w:line="240" w:lineRule="auto"/>
        <w:ind w:firstLine="720"/>
        <w:jc w:val="both"/>
        <w:rPr>
          <w:rFonts w:ascii="Arial" w:hAnsi="Arial" w:cs="Arial"/>
          <w:sz w:val="20"/>
          <w:szCs w:val="20"/>
        </w:rPr>
      </w:pPr>
      <w:r w:rsidRPr="0018492C">
        <w:rPr>
          <w:rFonts w:ascii="Arial" w:hAnsi="Arial" w:cs="Arial"/>
          <w:sz w:val="20"/>
          <w:szCs w:val="20"/>
        </w:rPr>
        <w:t xml:space="preserve">Table 2 presents the levels of mathematics anxiety among the respondents. The computed grand mean was 3.27, interpreted as </w:t>
      </w:r>
      <w:r w:rsidRPr="0018492C">
        <w:rPr>
          <w:rFonts w:ascii="Arial" w:hAnsi="Arial" w:cs="Arial"/>
          <w:i/>
          <w:iCs/>
          <w:sz w:val="20"/>
          <w:szCs w:val="20"/>
        </w:rPr>
        <w:t>Moderately Well</w:t>
      </w:r>
      <w:r w:rsidRPr="0018492C">
        <w:rPr>
          <w:rFonts w:ascii="Arial" w:hAnsi="Arial" w:cs="Arial"/>
          <w:sz w:val="20"/>
          <w:szCs w:val="20"/>
        </w:rPr>
        <w:t>, indicating that the participants experience a moderate level of anxiety related to mathematics.</w:t>
      </w:r>
      <w:r w:rsidR="00662AA9">
        <w:rPr>
          <w:rFonts w:ascii="Arial" w:hAnsi="Arial" w:cs="Arial"/>
          <w:sz w:val="20"/>
          <w:szCs w:val="20"/>
        </w:rPr>
        <w:t xml:space="preserve"> </w:t>
      </w:r>
      <w:r w:rsidR="00662AA9" w:rsidRPr="00662AA9">
        <w:rPr>
          <w:rFonts w:ascii="Arial" w:hAnsi="Arial" w:cs="Arial"/>
          <w:sz w:val="20"/>
          <w:szCs w:val="20"/>
        </w:rPr>
        <w:t>This is consistent with findings by Zakariya (2022), who noted that moderate levels of mathematics anxiety are common, particularly when students lack access to structured interventions or coping mechanisms.</w:t>
      </w:r>
    </w:p>
    <w:p w14:paraId="622CD093" w14:textId="376B9C8E" w:rsidR="0018492C" w:rsidRPr="0018492C" w:rsidRDefault="0018492C" w:rsidP="0018492C">
      <w:pPr>
        <w:spacing w:after="0" w:line="240" w:lineRule="auto"/>
        <w:ind w:firstLine="720"/>
        <w:jc w:val="both"/>
        <w:rPr>
          <w:rFonts w:ascii="Arial" w:hAnsi="Arial" w:cs="Arial"/>
          <w:sz w:val="20"/>
          <w:szCs w:val="20"/>
        </w:rPr>
      </w:pPr>
      <w:r w:rsidRPr="0018492C">
        <w:rPr>
          <w:rFonts w:ascii="Arial" w:hAnsi="Arial" w:cs="Arial"/>
          <w:sz w:val="20"/>
          <w:szCs w:val="20"/>
        </w:rPr>
        <w:lastRenderedPageBreak/>
        <w:t xml:space="preserve">The statement with the highest mean score was </w:t>
      </w:r>
      <w:r w:rsidRPr="0018492C">
        <w:rPr>
          <w:rFonts w:ascii="Arial" w:hAnsi="Arial" w:cs="Arial"/>
          <w:i/>
          <w:iCs/>
          <w:sz w:val="20"/>
          <w:szCs w:val="20"/>
        </w:rPr>
        <w:t>"I worry that I will not be able to get a good grade in my mathematics course"</w:t>
      </w:r>
      <w:r w:rsidRPr="0018492C">
        <w:rPr>
          <w:rFonts w:ascii="Arial" w:hAnsi="Arial" w:cs="Arial"/>
          <w:sz w:val="20"/>
          <w:szCs w:val="20"/>
        </w:rPr>
        <w:t xml:space="preserve"> (M = 3.47), interpreted as </w:t>
      </w:r>
      <w:r w:rsidRPr="0018492C">
        <w:rPr>
          <w:rFonts w:ascii="Arial" w:hAnsi="Arial" w:cs="Arial"/>
          <w:i/>
          <w:iCs/>
          <w:sz w:val="20"/>
          <w:szCs w:val="20"/>
        </w:rPr>
        <w:t>Very Well</w:t>
      </w:r>
      <w:r w:rsidRPr="0018492C">
        <w:rPr>
          <w:rFonts w:ascii="Arial" w:hAnsi="Arial" w:cs="Arial"/>
          <w:sz w:val="20"/>
          <w:szCs w:val="20"/>
        </w:rPr>
        <w:t xml:space="preserve">. This was followed closely by </w:t>
      </w:r>
      <w:r w:rsidRPr="0018492C">
        <w:rPr>
          <w:rFonts w:ascii="Arial" w:hAnsi="Arial" w:cs="Arial"/>
          <w:i/>
          <w:iCs/>
          <w:sz w:val="20"/>
          <w:szCs w:val="20"/>
        </w:rPr>
        <w:t>"I get tense when I prepare for a mathematics test"</w:t>
      </w:r>
      <w:r w:rsidRPr="0018492C">
        <w:rPr>
          <w:rFonts w:ascii="Arial" w:hAnsi="Arial" w:cs="Arial"/>
          <w:sz w:val="20"/>
          <w:szCs w:val="20"/>
        </w:rPr>
        <w:t xml:space="preserve"> (M = 3.46) and </w:t>
      </w:r>
      <w:r w:rsidRPr="0018492C">
        <w:rPr>
          <w:rFonts w:ascii="Arial" w:hAnsi="Arial" w:cs="Arial"/>
          <w:i/>
          <w:iCs/>
          <w:sz w:val="20"/>
          <w:szCs w:val="20"/>
        </w:rPr>
        <w:t>"I am afraid to give an incorrect answer during my mathematics class"</w:t>
      </w:r>
      <w:r w:rsidRPr="0018492C">
        <w:rPr>
          <w:rFonts w:ascii="Arial" w:hAnsi="Arial" w:cs="Arial"/>
          <w:sz w:val="20"/>
          <w:szCs w:val="20"/>
        </w:rPr>
        <w:t xml:space="preserve"> (M = 3.43), both also interpreted as </w:t>
      </w:r>
      <w:r w:rsidRPr="0018492C">
        <w:rPr>
          <w:rFonts w:ascii="Arial" w:hAnsi="Arial" w:cs="Arial"/>
          <w:i/>
          <w:iCs/>
          <w:sz w:val="20"/>
          <w:szCs w:val="20"/>
        </w:rPr>
        <w:t>Very Well</w:t>
      </w:r>
      <w:r w:rsidRPr="0018492C">
        <w:rPr>
          <w:rFonts w:ascii="Arial" w:hAnsi="Arial" w:cs="Arial"/>
          <w:sz w:val="20"/>
          <w:szCs w:val="20"/>
        </w:rPr>
        <w:t>. These items point to heightened anxiety in evaluative and performance-related situations, reflecting students’ concerns about assessments, grades, and classroom performance.</w:t>
      </w:r>
      <w:r w:rsidR="00662AA9">
        <w:rPr>
          <w:rFonts w:ascii="Arial" w:hAnsi="Arial" w:cs="Arial"/>
          <w:sz w:val="20"/>
          <w:szCs w:val="20"/>
        </w:rPr>
        <w:t xml:space="preserve"> </w:t>
      </w:r>
      <w:r w:rsidR="00704B47" w:rsidRPr="00704B47">
        <w:rPr>
          <w:rFonts w:ascii="Arial" w:hAnsi="Arial" w:cs="Arial"/>
          <w:sz w:val="20"/>
          <w:szCs w:val="20"/>
        </w:rPr>
        <w:t>These findings align with Discover Education (2024) and Jr. et al. (2025), who both observed that mathematics anxiety peaks in anticipation of evaluations rather than during instruction. In particular, Jr. et al.'s qualitative research on pre-service teachers highlighted common symptoms</w:t>
      </w:r>
      <w:r w:rsidR="00704B47">
        <w:rPr>
          <w:rFonts w:ascii="Arial" w:hAnsi="Arial" w:cs="Arial"/>
          <w:sz w:val="20"/>
          <w:szCs w:val="20"/>
        </w:rPr>
        <w:t xml:space="preserve"> </w:t>
      </w:r>
      <w:r w:rsidR="00704B47" w:rsidRPr="00704B47">
        <w:rPr>
          <w:rFonts w:ascii="Arial" w:hAnsi="Arial" w:cs="Arial"/>
          <w:sz w:val="20"/>
          <w:szCs w:val="20"/>
        </w:rPr>
        <w:t>such as nervousness, avoidance behaviors, and mental blocks</w:t>
      </w:r>
      <w:r w:rsidR="00704B47">
        <w:rPr>
          <w:rFonts w:ascii="Arial" w:hAnsi="Arial" w:cs="Arial"/>
          <w:sz w:val="20"/>
          <w:szCs w:val="20"/>
        </w:rPr>
        <w:t xml:space="preserve"> </w:t>
      </w:r>
      <w:r w:rsidR="00704B47" w:rsidRPr="00704B47">
        <w:rPr>
          <w:rFonts w:ascii="Arial" w:hAnsi="Arial" w:cs="Arial"/>
          <w:sz w:val="20"/>
          <w:szCs w:val="20"/>
        </w:rPr>
        <w:t>as well as coping strategies that emphasize the need for structured stress management and cognitive-behavioral interventions.</w:t>
      </w:r>
    </w:p>
    <w:p w14:paraId="6C4A8F0F" w14:textId="529448C1" w:rsidR="0018492C" w:rsidRPr="0018492C" w:rsidRDefault="0018492C" w:rsidP="0018492C">
      <w:pPr>
        <w:spacing w:after="0" w:line="240" w:lineRule="auto"/>
        <w:ind w:firstLine="720"/>
        <w:jc w:val="both"/>
        <w:rPr>
          <w:rFonts w:ascii="Arial" w:hAnsi="Arial" w:cs="Arial"/>
          <w:sz w:val="20"/>
          <w:szCs w:val="20"/>
        </w:rPr>
      </w:pPr>
      <w:r w:rsidRPr="0018492C">
        <w:rPr>
          <w:rFonts w:ascii="Arial" w:hAnsi="Arial" w:cs="Arial"/>
          <w:sz w:val="20"/>
          <w:szCs w:val="20"/>
        </w:rPr>
        <w:t xml:space="preserve">Conversely, the lowest mean was recorded for the item </w:t>
      </w:r>
      <w:r w:rsidRPr="0018492C">
        <w:rPr>
          <w:rFonts w:ascii="Arial" w:hAnsi="Arial" w:cs="Arial"/>
          <w:i/>
          <w:iCs/>
          <w:sz w:val="20"/>
          <w:szCs w:val="20"/>
        </w:rPr>
        <w:t>"I feel stressed when listening to mathematics instructors in class"</w:t>
      </w:r>
      <w:r w:rsidRPr="0018492C">
        <w:rPr>
          <w:rFonts w:ascii="Arial" w:hAnsi="Arial" w:cs="Arial"/>
          <w:sz w:val="20"/>
          <w:szCs w:val="20"/>
        </w:rPr>
        <w:t xml:space="preserve"> (M = 2.92), indicating relatively lower anxiety in instructional settings. The majority of remaining items fell within the </w:t>
      </w:r>
      <w:r w:rsidRPr="0018492C">
        <w:rPr>
          <w:rFonts w:ascii="Arial" w:hAnsi="Arial" w:cs="Arial"/>
          <w:i/>
          <w:iCs/>
          <w:sz w:val="20"/>
          <w:szCs w:val="20"/>
        </w:rPr>
        <w:t>Moderately Well</w:t>
      </w:r>
      <w:r w:rsidRPr="0018492C">
        <w:rPr>
          <w:rFonts w:ascii="Arial" w:hAnsi="Arial" w:cs="Arial"/>
          <w:sz w:val="20"/>
          <w:szCs w:val="20"/>
        </w:rPr>
        <w:t xml:space="preserve"> range, suggesting that while anxiety is present, it is more pronounced in testing or performance contexts rather than in general classroom experiences.</w:t>
      </w:r>
      <w:r w:rsidR="00662AA9" w:rsidRPr="00662AA9">
        <w:t xml:space="preserve"> </w:t>
      </w:r>
      <w:r w:rsidR="00662AA9" w:rsidRPr="00662AA9">
        <w:rPr>
          <w:rFonts w:ascii="Arial" w:hAnsi="Arial" w:cs="Arial"/>
          <w:sz w:val="20"/>
          <w:szCs w:val="20"/>
        </w:rPr>
        <w:t xml:space="preserve">This suggests that students are more comfortable during learning activities than during assessment or performance tasks. </w:t>
      </w:r>
    </w:p>
    <w:p w14:paraId="686A004E" w14:textId="4100CA44" w:rsidR="002C3C89" w:rsidRPr="002C3C89" w:rsidRDefault="002C3C89" w:rsidP="002C3C89">
      <w:pPr>
        <w:spacing w:after="0" w:line="240" w:lineRule="auto"/>
        <w:ind w:firstLine="720"/>
        <w:jc w:val="both"/>
        <w:rPr>
          <w:rFonts w:ascii="Arial" w:hAnsi="Arial" w:cs="Arial"/>
          <w:sz w:val="20"/>
          <w:szCs w:val="20"/>
        </w:rPr>
      </w:pPr>
      <w:r w:rsidRPr="002C3C89">
        <w:rPr>
          <w:rFonts w:ascii="Arial" w:hAnsi="Arial" w:cs="Arial"/>
          <w:sz w:val="20"/>
          <w:szCs w:val="20"/>
        </w:rPr>
        <w:t>The findings</w:t>
      </w:r>
      <w:r>
        <w:rPr>
          <w:rFonts w:ascii="Arial" w:hAnsi="Arial" w:cs="Arial"/>
          <w:sz w:val="20"/>
          <w:szCs w:val="20"/>
        </w:rPr>
        <w:t xml:space="preserve"> </w:t>
      </w:r>
      <w:r w:rsidRPr="002C3C89">
        <w:rPr>
          <w:rFonts w:ascii="Arial" w:hAnsi="Arial" w:cs="Arial"/>
          <w:sz w:val="20"/>
          <w:szCs w:val="20"/>
        </w:rPr>
        <w:t>regarding mathematics anxiety align with prior studies examining students’ emotional responses to mathematics. Cabugwason et al. (2024) explored the use of math apps in education, highlighting both the benefits and challenges pre-service teachers experience when incorporating technology into mathematics learning. Their study suggests that while digital tools may enhance engagement and accessibility, they may not directly alleviate anxiety, particularly in high-stakes testing environments. This supports the observation that anxiety tends to peak in evaluative contexts rather than during instructional activities.</w:t>
      </w:r>
    </w:p>
    <w:p w14:paraId="459AADD7" w14:textId="77777777" w:rsidR="002C3C89" w:rsidRPr="002C3C89" w:rsidRDefault="002C3C89" w:rsidP="002C3C89">
      <w:pPr>
        <w:spacing w:after="0" w:line="240" w:lineRule="auto"/>
        <w:ind w:firstLine="720"/>
        <w:jc w:val="both"/>
        <w:rPr>
          <w:rFonts w:ascii="Arial" w:hAnsi="Arial" w:cs="Arial"/>
          <w:sz w:val="20"/>
          <w:szCs w:val="20"/>
        </w:rPr>
      </w:pPr>
      <w:r w:rsidRPr="002C3C89">
        <w:rPr>
          <w:rFonts w:ascii="Arial" w:hAnsi="Arial" w:cs="Arial"/>
          <w:sz w:val="20"/>
          <w:szCs w:val="20"/>
        </w:rPr>
        <w:t>Nobis and Caparroso (2025) examined the impact of parental involvement on homework completion rates in mathematics, emphasizing the role of home support in shaping students' attitudes toward learning. Their findings suggest that increased parental engagement can serve as a buffer against test-related anxiety, reinforcing positive study habits and boosting student confidence.</w:t>
      </w:r>
    </w:p>
    <w:p w14:paraId="5A0BF476" w14:textId="787889BD" w:rsidR="002C3C89" w:rsidRPr="002C3C89" w:rsidRDefault="002C3C89" w:rsidP="002C3C89">
      <w:pPr>
        <w:spacing w:after="0" w:line="240" w:lineRule="auto"/>
        <w:ind w:firstLine="720"/>
        <w:jc w:val="both"/>
        <w:rPr>
          <w:rFonts w:ascii="Arial" w:hAnsi="Arial" w:cs="Arial"/>
          <w:sz w:val="20"/>
          <w:szCs w:val="20"/>
        </w:rPr>
      </w:pPr>
      <w:r w:rsidRPr="002C3C89">
        <w:rPr>
          <w:rFonts w:ascii="Arial" w:hAnsi="Arial" w:cs="Arial"/>
          <w:sz w:val="20"/>
          <w:szCs w:val="20"/>
        </w:rPr>
        <w:t>Jr. et al. (2025) conducted a qualitative study on test anxiety among pre-service teachers, identifying key symptoms and coping strategies. Their research corroborates the findings o</w:t>
      </w:r>
      <w:r w:rsidR="00E8038C">
        <w:rPr>
          <w:rFonts w:ascii="Arial" w:hAnsi="Arial" w:cs="Arial"/>
          <w:sz w:val="20"/>
          <w:szCs w:val="20"/>
        </w:rPr>
        <w:t>f</w:t>
      </w:r>
      <w:r w:rsidRPr="002C3C89">
        <w:rPr>
          <w:rFonts w:ascii="Arial" w:hAnsi="Arial" w:cs="Arial"/>
          <w:sz w:val="20"/>
          <w:szCs w:val="20"/>
        </w:rPr>
        <w:t xml:space="preserve"> demonstrating that anxiety often manifests in anticipation of evaluations rather than in general classroom settings. The study further underscores the need for strategic interventions, such as cognitive-behavioral approaches and structured stress management programs, to help students navigate academic pressure.</w:t>
      </w:r>
    </w:p>
    <w:p w14:paraId="17AE272A" w14:textId="77777777" w:rsidR="002C3C89" w:rsidRPr="002C3C89" w:rsidRDefault="002C3C89" w:rsidP="002C3C89">
      <w:pPr>
        <w:spacing w:after="0" w:line="240" w:lineRule="auto"/>
        <w:ind w:firstLine="720"/>
        <w:jc w:val="both"/>
        <w:rPr>
          <w:rFonts w:ascii="Arial" w:hAnsi="Arial" w:cs="Arial"/>
          <w:sz w:val="20"/>
          <w:szCs w:val="20"/>
        </w:rPr>
      </w:pPr>
      <w:r w:rsidRPr="002C3C89">
        <w:rPr>
          <w:rFonts w:ascii="Arial" w:hAnsi="Arial" w:cs="Arial"/>
          <w:sz w:val="20"/>
          <w:szCs w:val="20"/>
        </w:rPr>
        <w:t>Cigario et al. (2025) investigated the role of technology-based assessments, particularly EdPuzzle, in mathematics education. Their findings suggest that adaptive assessments can reduce anxiety by offering personalized learning experiences and immediate feedback. However, the study also notes that technology-based assessment methods may not completely eliminate anxiety related to grading and performance evaluation.</w:t>
      </w:r>
    </w:p>
    <w:p w14:paraId="7AD89282" w14:textId="0C765372" w:rsidR="0018492C" w:rsidRPr="0018492C" w:rsidRDefault="0018492C" w:rsidP="0018492C">
      <w:pPr>
        <w:spacing w:after="0" w:line="240" w:lineRule="auto"/>
        <w:ind w:firstLine="720"/>
        <w:jc w:val="both"/>
        <w:rPr>
          <w:rFonts w:ascii="Arial" w:hAnsi="Arial" w:cs="Arial"/>
          <w:sz w:val="20"/>
          <w:szCs w:val="20"/>
        </w:rPr>
      </w:pPr>
      <w:r w:rsidRPr="0018492C">
        <w:rPr>
          <w:rFonts w:ascii="Arial" w:hAnsi="Arial" w:cs="Arial"/>
          <w:sz w:val="20"/>
          <w:szCs w:val="20"/>
        </w:rPr>
        <w:t>.</w:t>
      </w:r>
      <w:r w:rsidR="00662AA9" w:rsidRPr="00662AA9">
        <w:t xml:space="preserve"> </w:t>
      </w:r>
      <w:r w:rsidR="00662AA9" w:rsidRPr="00662AA9">
        <w:rPr>
          <w:rFonts w:ascii="Arial" w:hAnsi="Arial" w:cs="Arial"/>
          <w:sz w:val="20"/>
          <w:szCs w:val="20"/>
        </w:rPr>
        <w:t>These findings underscore the importance of targeted interventions aimed at managing mathematics anxiety. While students appear less anxious in everyday instructional settings, their anxiety intensifies in assessment scenarios</w:t>
      </w:r>
      <w:r w:rsidR="00D605F8">
        <w:rPr>
          <w:rFonts w:ascii="Arial" w:hAnsi="Arial" w:cs="Arial"/>
          <w:sz w:val="20"/>
          <w:szCs w:val="20"/>
        </w:rPr>
        <w:t xml:space="preserve"> </w:t>
      </w:r>
      <w:r w:rsidR="00662AA9" w:rsidRPr="00662AA9">
        <w:rPr>
          <w:rFonts w:ascii="Arial" w:hAnsi="Arial" w:cs="Arial"/>
          <w:sz w:val="20"/>
          <w:szCs w:val="20"/>
        </w:rPr>
        <w:t>highlighting the need for classroom strategies that reduce evaluative pressure, encourage formative feedback, and cultivate a growth-oriented mindset. Additionally, involving families and integrating adaptive technologies can further support students' emotional well-being in mathematics learning.</w:t>
      </w:r>
    </w:p>
    <w:p w14:paraId="09218EA1" w14:textId="77777777" w:rsidR="00344BF2" w:rsidRPr="003A63D0" w:rsidRDefault="00344BF2" w:rsidP="003A63D0">
      <w:pPr>
        <w:spacing w:after="0" w:line="240" w:lineRule="auto"/>
        <w:rPr>
          <w:rFonts w:ascii="Arial" w:hAnsi="Arial" w:cs="Arial"/>
          <w:b/>
          <w:bCs/>
          <w:sz w:val="20"/>
          <w:szCs w:val="20"/>
        </w:rPr>
      </w:pPr>
    </w:p>
    <w:p w14:paraId="1AE2B2C0" w14:textId="77777777" w:rsidR="0018492C" w:rsidRDefault="0018492C" w:rsidP="003A63D0">
      <w:pPr>
        <w:spacing w:after="0" w:line="240" w:lineRule="auto"/>
        <w:rPr>
          <w:rFonts w:ascii="Arial" w:hAnsi="Arial" w:cs="Arial"/>
          <w:b/>
          <w:bCs/>
          <w:sz w:val="20"/>
          <w:szCs w:val="20"/>
        </w:rPr>
      </w:pPr>
    </w:p>
    <w:p w14:paraId="39BBADF2" w14:textId="6C4ED8C1" w:rsidR="0018492C" w:rsidRPr="003A63D0" w:rsidRDefault="0018492C" w:rsidP="0018492C">
      <w:pPr>
        <w:pStyle w:val="NoSpacing"/>
        <w:spacing w:line="360" w:lineRule="auto"/>
        <w:jc w:val="center"/>
        <w:rPr>
          <w:rFonts w:ascii="Arial" w:hAnsi="Arial" w:cs="Arial"/>
          <w:b/>
          <w:bCs/>
          <w:sz w:val="20"/>
          <w:szCs w:val="20"/>
        </w:rPr>
      </w:pPr>
      <w:r w:rsidRPr="003A63D0">
        <w:rPr>
          <w:rFonts w:ascii="Arial" w:hAnsi="Arial" w:cs="Arial"/>
          <w:b/>
          <w:bCs/>
          <w:sz w:val="20"/>
          <w:szCs w:val="20"/>
        </w:rPr>
        <w:t>Table.2 Mathematics Anxiety of the Respondent</w:t>
      </w:r>
    </w:p>
    <w:p w14:paraId="700CF4F4" w14:textId="77777777" w:rsidR="0018492C" w:rsidRPr="0018492C" w:rsidRDefault="0018492C" w:rsidP="0018492C">
      <w:pPr>
        <w:spacing w:after="0" w:line="240" w:lineRule="auto"/>
        <w:jc w:val="both"/>
        <w:rPr>
          <w:rFonts w:ascii="Arial" w:hAnsi="Arial" w:cs="Arial"/>
          <w:sz w:val="10"/>
          <w:szCs w:val="10"/>
        </w:rPr>
      </w:pPr>
    </w:p>
    <w:tbl>
      <w:tblPr>
        <w:tblStyle w:val="TableGrid"/>
        <w:tblW w:w="9090"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390"/>
        <w:gridCol w:w="900"/>
        <w:gridCol w:w="1800"/>
      </w:tblGrid>
      <w:tr w:rsidR="0018492C" w:rsidRPr="0018492C" w14:paraId="604A0C30" w14:textId="77777777" w:rsidTr="003E4F87">
        <w:trPr>
          <w:trHeight w:val="221"/>
        </w:trPr>
        <w:tc>
          <w:tcPr>
            <w:tcW w:w="6390" w:type="dxa"/>
          </w:tcPr>
          <w:p w14:paraId="3C1E1EE4" w14:textId="77777777" w:rsidR="0018492C" w:rsidRPr="0018492C" w:rsidRDefault="0018492C" w:rsidP="0039713D">
            <w:pPr>
              <w:pStyle w:val="NoSpacing"/>
              <w:spacing w:line="360" w:lineRule="auto"/>
              <w:jc w:val="center"/>
              <w:rPr>
                <w:rFonts w:ascii="Arial" w:hAnsi="Arial" w:cs="Arial"/>
                <w:b/>
                <w:bCs/>
                <w:sz w:val="20"/>
                <w:szCs w:val="20"/>
              </w:rPr>
            </w:pPr>
            <w:r w:rsidRPr="0018492C">
              <w:rPr>
                <w:rFonts w:ascii="Arial" w:hAnsi="Arial" w:cs="Arial"/>
                <w:b/>
                <w:bCs/>
                <w:sz w:val="20"/>
                <w:szCs w:val="20"/>
              </w:rPr>
              <w:t>Statements</w:t>
            </w:r>
          </w:p>
        </w:tc>
        <w:tc>
          <w:tcPr>
            <w:tcW w:w="900" w:type="dxa"/>
          </w:tcPr>
          <w:p w14:paraId="6A93DA2E" w14:textId="77777777" w:rsidR="0018492C" w:rsidRPr="0018492C" w:rsidRDefault="0018492C" w:rsidP="0039713D">
            <w:pPr>
              <w:pStyle w:val="NoSpacing"/>
              <w:spacing w:line="360" w:lineRule="auto"/>
              <w:jc w:val="center"/>
              <w:rPr>
                <w:rFonts w:ascii="Arial" w:hAnsi="Arial" w:cs="Arial"/>
                <w:b/>
                <w:bCs/>
                <w:sz w:val="20"/>
                <w:szCs w:val="20"/>
              </w:rPr>
            </w:pPr>
            <w:r w:rsidRPr="0018492C">
              <w:rPr>
                <w:rFonts w:ascii="Arial" w:hAnsi="Arial" w:cs="Arial"/>
                <w:b/>
                <w:bCs/>
                <w:sz w:val="20"/>
                <w:szCs w:val="20"/>
              </w:rPr>
              <w:t>Mean</w:t>
            </w:r>
          </w:p>
        </w:tc>
        <w:tc>
          <w:tcPr>
            <w:tcW w:w="1800" w:type="dxa"/>
          </w:tcPr>
          <w:p w14:paraId="4526103F" w14:textId="77777777" w:rsidR="0018492C" w:rsidRPr="0018492C" w:rsidRDefault="0018492C" w:rsidP="0039713D">
            <w:pPr>
              <w:pStyle w:val="NoSpacing"/>
              <w:spacing w:line="360" w:lineRule="auto"/>
              <w:jc w:val="center"/>
              <w:rPr>
                <w:rFonts w:ascii="Arial" w:hAnsi="Arial" w:cs="Arial"/>
                <w:b/>
                <w:bCs/>
                <w:sz w:val="20"/>
                <w:szCs w:val="20"/>
              </w:rPr>
            </w:pPr>
            <w:r w:rsidRPr="0018492C">
              <w:rPr>
                <w:rFonts w:ascii="Arial" w:hAnsi="Arial" w:cs="Arial"/>
                <w:b/>
                <w:bCs/>
                <w:sz w:val="20"/>
                <w:szCs w:val="20"/>
              </w:rPr>
              <w:t>Interpretation</w:t>
            </w:r>
          </w:p>
        </w:tc>
      </w:tr>
      <w:tr w:rsidR="0018492C" w:rsidRPr="0018492C" w14:paraId="2BF1C0F7" w14:textId="77777777" w:rsidTr="003E4F87">
        <w:trPr>
          <w:trHeight w:val="177"/>
        </w:trPr>
        <w:tc>
          <w:tcPr>
            <w:tcW w:w="6390" w:type="dxa"/>
          </w:tcPr>
          <w:p w14:paraId="13C27C56" w14:textId="77777777" w:rsidR="0018492C" w:rsidRPr="0018492C" w:rsidRDefault="0018492C" w:rsidP="0039713D">
            <w:pPr>
              <w:pStyle w:val="NoSpacing"/>
              <w:spacing w:line="360" w:lineRule="auto"/>
              <w:rPr>
                <w:rFonts w:ascii="Arial" w:hAnsi="Arial" w:cs="Arial"/>
                <w:sz w:val="20"/>
                <w:szCs w:val="20"/>
              </w:rPr>
            </w:pPr>
            <w:r w:rsidRPr="0018492C">
              <w:rPr>
                <w:rFonts w:ascii="Arial" w:hAnsi="Arial" w:cs="Arial"/>
                <w:sz w:val="20"/>
                <w:szCs w:val="20"/>
              </w:rPr>
              <w:t>I get tense when I prepare for a mathematics test.</w:t>
            </w:r>
          </w:p>
        </w:tc>
        <w:tc>
          <w:tcPr>
            <w:tcW w:w="900" w:type="dxa"/>
          </w:tcPr>
          <w:p w14:paraId="27289C20"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3.46</w:t>
            </w:r>
          </w:p>
        </w:tc>
        <w:tc>
          <w:tcPr>
            <w:tcW w:w="1800" w:type="dxa"/>
          </w:tcPr>
          <w:p w14:paraId="5BFA49E5"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Very Well</w:t>
            </w:r>
          </w:p>
        </w:tc>
      </w:tr>
      <w:tr w:rsidR="0018492C" w:rsidRPr="0018492C" w14:paraId="5D793E7E" w14:textId="77777777" w:rsidTr="003E4F87">
        <w:trPr>
          <w:trHeight w:val="206"/>
        </w:trPr>
        <w:tc>
          <w:tcPr>
            <w:tcW w:w="6390" w:type="dxa"/>
          </w:tcPr>
          <w:p w14:paraId="74849759" w14:textId="77777777" w:rsidR="0018492C" w:rsidRPr="0018492C" w:rsidRDefault="0018492C" w:rsidP="0039713D">
            <w:pPr>
              <w:pStyle w:val="NoSpacing"/>
              <w:spacing w:line="360" w:lineRule="auto"/>
              <w:rPr>
                <w:rFonts w:ascii="Arial" w:hAnsi="Arial" w:cs="Arial"/>
                <w:sz w:val="20"/>
                <w:szCs w:val="20"/>
              </w:rPr>
            </w:pPr>
            <w:r w:rsidRPr="0018492C">
              <w:rPr>
                <w:rFonts w:ascii="Arial" w:hAnsi="Arial" w:cs="Arial"/>
                <w:sz w:val="20"/>
                <w:szCs w:val="20"/>
              </w:rPr>
              <w:t>I get nervous when I have to use mathematics outside of school.</w:t>
            </w:r>
          </w:p>
        </w:tc>
        <w:tc>
          <w:tcPr>
            <w:tcW w:w="900" w:type="dxa"/>
          </w:tcPr>
          <w:p w14:paraId="1DAF2673"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3.00</w:t>
            </w:r>
          </w:p>
        </w:tc>
        <w:tc>
          <w:tcPr>
            <w:tcW w:w="1800" w:type="dxa"/>
          </w:tcPr>
          <w:p w14:paraId="6362B9A8"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Moderately Well</w:t>
            </w:r>
          </w:p>
        </w:tc>
      </w:tr>
      <w:tr w:rsidR="0018492C" w:rsidRPr="0018492C" w14:paraId="72C25AAB" w14:textId="77777777" w:rsidTr="003E4F87">
        <w:trPr>
          <w:trHeight w:val="222"/>
        </w:trPr>
        <w:tc>
          <w:tcPr>
            <w:tcW w:w="6390" w:type="dxa"/>
          </w:tcPr>
          <w:p w14:paraId="0F5F4729" w14:textId="77777777" w:rsidR="0018492C" w:rsidRPr="0018492C" w:rsidRDefault="0018492C" w:rsidP="0039713D">
            <w:pPr>
              <w:pStyle w:val="NoSpacing"/>
              <w:spacing w:line="360" w:lineRule="auto"/>
              <w:rPr>
                <w:rFonts w:ascii="Arial" w:hAnsi="Arial" w:cs="Arial"/>
                <w:sz w:val="20"/>
                <w:szCs w:val="20"/>
              </w:rPr>
            </w:pPr>
            <w:r w:rsidRPr="0018492C">
              <w:rPr>
                <w:rFonts w:ascii="Arial" w:hAnsi="Arial" w:cs="Arial"/>
                <w:sz w:val="20"/>
                <w:szCs w:val="20"/>
              </w:rPr>
              <w:t>I worry that I will not be able to use mathematics in my future career when needed.</w:t>
            </w:r>
          </w:p>
        </w:tc>
        <w:tc>
          <w:tcPr>
            <w:tcW w:w="900" w:type="dxa"/>
          </w:tcPr>
          <w:p w14:paraId="5539AC23"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3.24</w:t>
            </w:r>
          </w:p>
        </w:tc>
        <w:tc>
          <w:tcPr>
            <w:tcW w:w="1800" w:type="dxa"/>
          </w:tcPr>
          <w:p w14:paraId="208D960E"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Moderately Well</w:t>
            </w:r>
          </w:p>
        </w:tc>
      </w:tr>
      <w:tr w:rsidR="0018492C" w:rsidRPr="0018492C" w14:paraId="164E687D" w14:textId="77777777" w:rsidTr="003E4F87">
        <w:trPr>
          <w:trHeight w:val="206"/>
        </w:trPr>
        <w:tc>
          <w:tcPr>
            <w:tcW w:w="6390" w:type="dxa"/>
          </w:tcPr>
          <w:p w14:paraId="251D4C2E" w14:textId="77777777" w:rsidR="0018492C" w:rsidRPr="0018492C" w:rsidRDefault="0018492C" w:rsidP="0039713D">
            <w:pPr>
              <w:pStyle w:val="NoSpacing"/>
              <w:spacing w:line="360" w:lineRule="auto"/>
              <w:rPr>
                <w:rFonts w:ascii="Arial" w:hAnsi="Arial" w:cs="Arial"/>
                <w:sz w:val="20"/>
                <w:szCs w:val="20"/>
              </w:rPr>
            </w:pPr>
            <w:r w:rsidRPr="0018492C">
              <w:rPr>
                <w:rFonts w:ascii="Arial" w:hAnsi="Arial" w:cs="Arial"/>
                <w:sz w:val="20"/>
                <w:szCs w:val="20"/>
              </w:rPr>
              <w:t>I worry that I will not be able to get a good grade in my mathematics course.</w:t>
            </w:r>
          </w:p>
        </w:tc>
        <w:tc>
          <w:tcPr>
            <w:tcW w:w="900" w:type="dxa"/>
          </w:tcPr>
          <w:p w14:paraId="70005680"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3.47</w:t>
            </w:r>
          </w:p>
        </w:tc>
        <w:tc>
          <w:tcPr>
            <w:tcW w:w="1800" w:type="dxa"/>
          </w:tcPr>
          <w:p w14:paraId="58036BE0"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Very Well</w:t>
            </w:r>
          </w:p>
        </w:tc>
      </w:tr>
      <w:tr w:rsidR="0018492C" w:rsidRPr="0018492C" w14:paraId="564EE7AC" w14:textId="77777777" w:rsidTr="003E4F87">
        <w:trPr>
          <w:trHeight w:val="206"/>
        </w:trPr>
        <w:tc>
          <w:tcPr>
            <w:tcW w:w="6390" w:type="dxa"/>
          </w:tcPr>
          <w:p w14:paraId="590B3D67" w14:textId="77777777" w:rsidR="0018492C" w:rsidRPr="0018492C" w:rsidRDefault="0018492C" w:rsidP="0039713D">
            <w:pPr>
              <w:pStyle w:val="NoSpacing"/>
              <w:spacing w:line="360" w:lineRule="auto"/>
              <w:rPr>
                <w:rFonts w:ascii="Arial" w:hAnsi="Arial" w:cs="Arial"/>
                <w:sz w:val="20"/>
                <w:szCs w:val="20"/>
              </w:rPr>
            </w:pPr>
            <w:r w:rsidRPr="0018492C">
              <w:rPr>
                <w:rFonts w:ascii="Arial" w:hAnsi="Arial" w:cs="Arial"/>
                <w:sz w:val="20"/>
                <w:szCs w:val="20"/>
              </w:rPr>
              <w:lastRenderedPageBreak/>
              <w:t>I worry that I will not be able to do well on mathematics tests.</w:t>
            </w:r>
          </w:p>
        </w:tc>
        <w:tc>
          <w:tcPr>
            <w:tcW w:w="900" w:type="dxa"/>
          </w:tcPr>
          <w:p w14:paraId="1F3F88E3"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3.34</w:t>
            </w:r>
          </w:p>
        </w:tc>
        <w:tc>
          <w:tcPr>
            <w:tcW w:w="1800" w:type="dxa"/>
          </w:tcPr>
          <w:p w14:paraId="63733897"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Moderately Well</w:t>
            </w:r>
          </w:p>
        </w:tc>
      </w:tr>
      <w:tr w:rsidR="0018492C" w:rsidRPr="0018492C" w14:paraId="6C9F7F56" w14:textId="77777777" w:rsidTr="003E4F87">
        <w:trPr>
          <w:trHeight w:val="206"/>
        </w:trPr>
        <w:tc>
          <w:tcPr>
            <w:tcW w:w="6390" w:type="dxa"/>
          </w:tcPr>
          <w:p w14:paraId="2C1AA420" w14:textId="77777777" w:rsidR="0018492C" w:rsidRPr="0018492C" w:rsidRDefault="0018492C" w:rsidP="0039713D">
            <w:pPr>
              <w:pStyle w:val="NoSpacing"/>
              <w:spacing w:line="360" w:lineRule="auto"/>
              <w:rPr>
                <w:rFonts w:ascii="Arial" w:hAnsi="Arial" w:cs="Arial"/>
                <w:sz w:val="20"/>
                <w:szCs w:val="20"/>
              </w:rPr>
            </w:pPr>
            <w:r w:rsidRPr="0018492C">
              <w:rPr>
                <w:rFonts w:ascii="Arial" w:hAnsi="Arial" w:cs="Arial"/>
                <w:sz w:val="20"/>
                <w:szCs w:val="20"/>
              </w:rPr>
              <w:t>I feel stressed when listening to mathematics instructors in class.</w:t>
            </w:r>
          </w:p>
        </w:tc>
        <w:tc>
          <w:tcPr>
            <w:tcW w:w="900" w:type="dxa"/>
          </w:tcPr>
          <w:p w14:paraId="15173605"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2.92</w:t>
            </w:r>
          </w:p>
        </w:tc>
        <w:tc>
          <w:tcPr>
            <w:tcW w:w="1800" w:type="dxa"/>
          </w:tcPr>
          <w:p w14:paraId="368021DA"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Moderately Well</w:t>
            </w:r>
          </w:p>
        </w:tc>
      </w:tr>
      <w:tr w:rsidR="0018492C" w:rsidRPr="0018492C" w14:paraId="076DA18C" w14:textId="77777777" w:rsidTr="003E4F87">
        <w:trPr>
          <w:trHeight w:val="206"/>
        </w:trPr>
        <w:tc>
          <w:tcPr>
            <w:tcW w:w="6390" w:type="dxa"/>
          </w:tcPr>
          <w:p w14:paraId="3DE4E999" w14:textId="77777777" w:rsidR="0018492C" w:rsidRPr="0018492C" w:rsidRDefault="0018492C" w:rsidP="0039713D">
            <w:pPr>
              <w:pStyle w:val="NoSpacing"/>
              <w:spacing w:line="360" w:lineRule="auto"/>
              <w:rPr>
                <w:rFonts w:ascii="Arial" w:hAnsi="Arial" w:cs="Arial"/>
                <w:sz w:val="20"/>
                <w:szCs w:val="20"/>
              </w:rPr>
            </w:pPr>
            <w:r w:rsidRPr="0018492C">
              <w:rPr>
                <w:rFonts w:ascii="Arial" w:hAnsi="Arial" w:cs="Arial"/>
                <w:sz w:val="20"/>
                <w:szCs w:val="20"/>
              </w:rPr>
              <w:t>I get nervous when asking questions in class.</w:t>
            </w:r>
          </w:p>
        </w:tc>
        <w:tc>
          <w:tcPr>
            <w:tcW w:w="900" w:type="dxa"/>
          </w:tcPr>
          <w:p w14:paraId="11E26708"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3.35</w:t>
            </w:r>
          </w:p>
        </w:tc>
        <w:tc>
          <w:tcPr>
            <w:tcW w:w="1800" w:type="dxa"/>
          </w:tcPr>
          <w:p w14:paraId="35974638"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Moderately Well</w:t>
            </w:r>
          </w:p>
        </w:tc>
      </w:tr>
      <w:tr w:rsidR="0018492C" w:rsidRPr="0018492C" w14:paraId="294D53AC" w14:textId="77777777" w:rsidTr="003E4F87">
        <w:trPr>
          <w:trHeight w:val="206"/>
        </w:trPr>
        <w:tc>
          <w:tcPr>
            <w:tcW w:w="6390" w:type="dxa"/>
          </w:tcPr>
          <w:p w14:paraId="13DB2B1D" w14:textId="77777777" w:rsidR="0018492C" w:rsidRPr="0018492C" w:rsidRDefault="0018492C" w:rsidP="0039713D">
            <w:pPr>
              <w:pStyle w:val="NoSpacing"/>
              <w:spacing w:line="360" w:lineRule="auto"/>
              <w:rPr>
                <w:rFonts w:ascii="Arial" w:hAnsi="Arial" w:cs="Arial"/>
                <w:sz w:val="20"/>
                <w:szCs w:val="20"/>
              </w:rPr>
            </w:pPr>
            <w:r w:rsidRPr="0018492C">
              <w:rPr>
                <w:rFonts w:ascii="Arial" w:hAnsi="Arial" w:cs="Arial"/>
                <w:sz w:val="20"/>
                <w:szCs w:val="20"/>
              </w:rPr>
              <w:t>Working on mathematics homework is stressful for me.</w:t>
            </w:r>
          </w:p>
        </w:tc>
        <w:tc>
          <w:tcPr>
            <w:tcW w:w="900" w:type="dxa"/>
          </w:tcPr>
          <w:p w14:paraId="5A11B44D"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3.12</w:t>
            </w:r>
          </w:p>
        </w:tc>
        <w:tc>
          <w:tcPr>
            <w:tcW w:w="1800" w:type="dxa"/>
          </w:tcPr>
          <w:p w14:paraId="743ED3B9"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Moderately Well</w:t>
            </w:r>
          </w:p>
        </w:tc>
      </w:tr>
      <w:tr w:rsidR="0018492C" w:rsidRPr="0018492C" w14:paraId="30678EE5" w14:textId="77777777" w:rsidTr="003E4F87">
        <w:trPr>
          <w:trHeight w:val="206"/>
        </w:trPr>
        <w:tc>
          <w:tcPr>
            <w:tcW w:w="6390" w:type="dxa"/>
          </w:tcPr>
          <w:p w14:paraId="168FC3E1" w14:textId="77777777" w:rsidR="0018492C" w:rsidRPr="0018492C" w:rsidRDefault="0018492C" w:rsidP="0039713D">
            <w:pPr>
              <w:pStyle w:val="NoSpacing"/>
              <w:spacing w:line="360" w:lineRule="auto"/>
              <w:rPr>
                <w:rFonts w:ascii="Arial" w:hAnsi="Arial" w:cs="Arial"/>
                <w:sz w:val="20"/>
                <w:szCs w:val="20"/>
              </w:rPr>
            </w:pPr>
            <w:r w:rsidRPr="0018492C">
              <w:rPr>
                <w:rFonts w:ascii="Arial" w:hAnsi="Arial" w:cs="Arial"/>
                <w:sz w:val="20"/>
                <w:szCs w:val="20"/>
              </w:rPr>
              <w:t>I worry that I do not know enough mathematics to do well in future mathematics course.</w:t>
            </w:r>
          </w:p>
        </w:tc>
        <w:tc>
          <w:tcPr>
            <w:tcW w:w="900" w:type="dxa"/>
          </w:tcPr>
          <w:p w14:paraId="245A52C6"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3.31</w:t>
            </w:r>
          </w:p>
        </w:tc>
        <w:tc>
          <w:tcPr>
            <w:tcW w:w="1800" w:type="dxa"/>
          </w:tcPr>
          <w:p w14:paraId="38264D12"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Moderately Well</w:t>
            </w:r>
          </w:p>
        </w:tc>
      </w:tr>
      <w:tr w:rsidR="0018492C" w:rsidRPr="0018492C" w14:paraId="09ED11C1" w14:textId="77777777" w:rsidTr="003E4F87">
        <w:trPr>
          <w:trHeight w:val="206"/>
        </w:trPr>
        <w:tc>
          <w:tcPr>
            <w:tcW w:w="6390" w:type="dxa"/>
          </w:tcPr>
          <w:p w14:paraId="0FE1BB7D" w14:textId="77777777" w:rsidR="0018492C" w:rsidRPr="0018492C" w:rsidRDefault="0018492C" w:rsidP="0039713D">
            <w:pPr>
              <w:pStyle w:val="NoSpacing"/>
              <w:spacing w:line="360" w:lineRule="auto"/>
              <w:rPr>
                <w:rFonts w:ascii="Arial" w:hAnsi="Arial" w:cs="Arial"/>
                <w:sz w:val="20"/>
                <w:szCs w:val="20"/>
              </w:rPr>
            </w:pPr>
            <w:r w:rsidRPr="0018492C">
              <w:rPr>
                <w:rFonts w:ascii="Arial" w:hAnsi="Arial" w:cs="Arial"/>
                <w:sz w:val="20"/>
                <w:szCs w:val="20"/>
              </w:rPr>
              <w:t>I worry that I will not be able to complete every assignment in a mathematics course.</w:t>
            </w:r>
          </w:p>
        </w:tc>
        <w:tc>
          <w:tcPr>
            <w:tcW w:w="900" w:type="dxa"/>
          </w:tcPr>
          <w:p w14:paraId="61E26B25"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3.26</w:t>
            </w:r>
          </w:p>
        </w:tc>
        <w:tc>
          <w:tcPr>
            <w:tcW w:w="1800" w:type="dxa"/>
          </w:tcPr>
          <w:p w14:paraId="4635683F"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Moderately Well</w:t>
            </w:r>
          </w:p>
        </w:tc>
      </w:tr>
      <w:tr w:rsidR="0018492C" w:rsidRPr="0018492C" w14:paraId="6B7E7EC0" w14:textId="77777777" w:rsidTr="003E4F87">
        <w:trPr>
          <w:trHeight w:val="206"/>
        </w:trPr>
        <w:tc>
          <w:tcPr>
            <w:tcW w:w="6390" w:type="dxa"/>
          </w:tcPr>
          <w:p w14:paraId="66CEDCEC" w14:textId="77777777" w:rsidR="0018492C" w:rsidRPr="0018492C" w:rsidRDefault="0018492C" w:rsidP="0039713D">
            <w:pPr>
              <w:pStyle w:val="NoSpacing"/>
              <w:spacing w:line="360" w:lineRule="auto"/>
              <w:rPr>
                <w:rFonts w:ascii="Arial" w:hAnsi="Arial" w:cs="Arial"/>
                <w:sz w:val="20"/>
                <w:szCs w:val="20"/>
              </w:rPr>
            </w:pPr>
            <w:r w:rsidRPr="0018492C">
              <w:rPr>
                <w:rFonts w:ascii="Arial" w:hAnsi="Arial" w:cs="Arial"/>
                <w:sz w:val="20"/>
                <w:szCs w:val="20"/>
              </w:rPr>
              <w:t>I worry I will not be able to understand the mathematics.</w:t>
            </w:r>
          </w:p>
        </w:tc>
        <w:tc>
          <w:tcPr>
            <w:tcW w:w="900" w:type="dxa"/>
          </w:tcPr>
          <w:p w14:paraId="28FE3256"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3.17</w:t>
            </w:r>
          </w:p>
        </w:tc>
        <w:tc>
          <w:tcPr>
            <w:tcW w:w="1800" w:type="dxa"/>
          </w:tcPr>
          <w:p w14:paraId="3ADDD699"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Moderately Well</w:t>
            </w:r>
          </w:p>
        </w:tc>
      </w:tr>
      <w:tr w:rsidR="0018492C" w:rsidRPr="0018492C" w14:paraId="6E2C19DD" w14:textId="77777777" w:rsidTr="003E4F87">
        <w:trPr>
          <w:trHeight w:val="206"/>
        </w:trPr>
        <w:tc>
          <w:tcPr>
            <w:tcW w:w="6390" w:type="dxa"/>
          </w:tcPr>
          <w:p w14:paraId="6ED17D6A" w14:textId="77777777" w:rsidR="0018492C" w:rsidRPr="0018492C" w:rsidRDefault="0018492C" w:rsidP="0039713D">
            <w:pPr>
              <w:pStyle w:val="NoSpacing"/>
              <w:spacing w:line="360" w:lineRule="auto"/>
              <w:rPr>
                <w:rFonts w:ascii="Arial" w:hAnsi="Arial" w:cs="Arial"/>
                <w:sz w:val="20"/>
                <w:szCs w:val="20"/>
              </w:rPr>
            </w:pPr>
            <w:r w:rsidRPr="0018492C">
              <w:rPr>
                <w:rFonts w:ascii="Arial" w:hAnsi="Arial" w:cs="Arial"/>
                <w:sz w:val="20"/>
                <w:szCs w:val="20"/>
              </w:rPr>
              <w:t>I worry that I will not be able to get an “A” in my mathematics course.</w:t>
            </w:r>
          </w:p>
        </w:tc>
        <w:tc>
          <w:tcPr>
            <w:tcW w:w="900" w:type="dxa"/>
          </w:tcPr>
          <w:p w14:paraId="75C53A79"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3.31</w:t>
            </w:r>
          </w:p>
        </w:tc>
        <w:tc>
          <w:tcPr>
            <w:tcW w:w="1800" w:type="dxa"/>
          </w:tcPr>
          <w:p w14:paraId="2A61349C"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Moderately Well</w:t>
            </w:r>
          </w:p>
        </w:tc>
      </w:tr>
      <w:tr w:rsidR="0018492C" w:rsidRPr="0018492C" w14:paraId="118BC3C6" w14:textId="77777777" w:rsidTr="003E4F87">
        <w:trPr>
          <w:trHeight w:val="206"/>
        </w:trPr>
        <w:tc>
          <w:tcPr>
            <w:tcW w:w="6390" w:type="dxa"/>
          </w:tcPr>
          <w:p w14:paraId="2CE92148" w14:textId="77777777" w:rsidR="0018492C" w:rsidRPr="0018492C" w:rsidRDefault="0018492C" w:rsidP="0039713D">
            <w:pPr>
              <w:pStyle w:val="NoSpacing"/>
              <w:spacing w:line="360" w:lineRule="auto"/>
              <w:rPr>
                <w:rFonts w:ascii="Arial" w:hAnsi="Arial" w:cs="Arial"/>
                <w:sz w:val="20"/>
                <w:szCs w:val="20"/>
              </w:rPr>
            </w:pPr>
            <w:r w:rsidRPr="0018492C">
              <w:rPr>
                <w:rFonts w:ascii="Arial" w:hAnsi="Arial" w:cs="Arial"/>
                <w:sz w:val="20"/>
                <w:szCs w:val="20"/>
              </w:rPr>
              <w:t>I worry that I will not be able to learn well in my mathematics course.</w:t>
            </w:r>
          </w:p>
        </w:tc>
        <w:tc>
          <w:tcPr>
            <w:tcW w:w="900" w:type="dxa"/>
          </w:tcPr>
          <w:p w14:paraId="06AE9383"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3.35</w:t>
            </w:r>
          </w:p>
        </w:tc>
        <w:tc>
          <w:tcPr>
            <w:tcW w:w="1800" w:type="dxa"/>
          </w:tcPr>
          <w:p w14:paraId="725DBF96"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Moderately Well</w:t>
            </w:r>
          </w:p>
        </w:tc>
      </w:tr>
      <w:tr w:rsidR="0018492C" w:rsidRPr="0018492C" w14:paraId="06E0258D" w14:textId="77777777" w:rsidTr="003E4F87">
        <w:trPr>
          <w:trHeight w:val="206"/>
        </w:trPr>
        <w:tc>
          <w:tcPr>
            <w:tcW w:w="6390" w:type="dxa"/>
          </w:tcPr>
          <w:p w14:paraId="39E23429" w14:textId="77777777" w:rsidR="0018492C" w:rsidRPr="0018492C" w:rsidRDefault="0018492C" w:rsidP="0039713D">
            <w:pPr>
              <w:pStyle w:val="NoSpacing"/>
              <w:spacing w:line="360" w:lineRule="auto"/>
              <w:rPr>
                <w:rFonts w:ascii="Arial" w:hAnsi="Arial" w:cs="Arial"/>
                <w:sz w:val="20"/>
                <w:szCs w:val="20"/>
              </w:rPr>
            </w:pPr>
            <w:r w:rsidRPr="0018492C">
              <w:rPr>
                <w:rFonts w:ascii="Arial" w:hAnsi="Arial" w:cs="Arial"/>
                <w:sz w:val="20"/>
                <w:szCs w:val="20"/>
              </w:rPr>
              <w:t>I get nervous when taking a mathematics test.</w:t>
            </w:r>
          </w:p>
        </w:tc>
        <w:tc>
          <w:tcPr>
            <w:tcW w:w="900" w:type="dxa"/>
          </w:tcPr>
          <w:p w14:paraId="35F7C955"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3.30</w:t>
            </w:r>
          </w:p>
        </w:tc>
        <w:tc>
          <w:tcPr>
            <w:tcW w:w="1800" w:type="dxa"/>
          </w:tcPr>
          <w:p w14:paraId="7DF3A3CF"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Moderately Well</w:t>
            </w:r>
          </w:p>
        </w:tc>
      </w:tr>
      <w:tr w:rsidR="0018492C" w:rsidRPr="0018492C" w14:paraId="7F0B18B9" w14:textId="77777777" w:rsidTr="003E4F87">
        <w:trPr>
          <w:trHeight w:val="192"/>
        </w:trPr>
        <w:tc>
          <w:tcPr>
            <w:tcW w:w="6390" w:type="dxa"/>
            <w:tcBorders>
              <w:bottom w:val="single" w:sz="4" w:space="0" w:color="auto"/>
            </w:tcBorders>
          </w:tcPr>
          <w:p w14:paraId="600D54AF" w14:textId="77777777" w:rsidR="0018492C" w:rsidRPr="0018492C" w:rsidRDefault="0018492C" w:rsidP="0039713D">
            <w:pPr>
              <w:pStyle w:val="NoSpacing"/>
              <w:spacing w:line="360" w:lineRule="auto"/>
              <w:rPr>
                <w:rFonts w:ascii="Arial" w:hAnsi="Arial" w:cs="Arial"/>
                <w:sz w:val="20"/>
                <w:szCs w:val="20"/>
              </w:rPr>
            </w:pPr>
            <w:r w:rsidRPr="0018492C">
              <w:rPr>
                <w:rFonts w:ascii="Arial" w:hAnsi="Arial" w:cs="Arial"/>
                <w:sz w:val="20"/>
                <w:szCs w:val="20"/>
              </w:rPr>
              <w:t>I am afraid to give an incorrect answer during my mathematics class.</w:t>
            </w:r>
          </w:p>
        </w:tc>
        <w:tc>
          <w:tcPr>
            <w:tcW w:w="900" w:type="dxa"/>
            <w:tcBorders>
              <w:bottom w:val="single" w:sz="4" w:space="0" w:color="auto"/>
            </w:tcBorders>
          </w:tcPr>
          <w:p w14:paraId="7A769BD5"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3.43</w:t>
            </w:r>
          </w:p>
        </w:tc>
        <w:tc>
          <w:tcPr>
            <w:tcW w:w="1800" w:type="dxa"/>
            <w:tcBorders>
              <w:bottom w:val="single" w:sz="4" w:space="0" w:color="auto"/>
            </w:tcBorders>
          </w:tcPr>
          <w:p w14:paraId="3345278D"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Very Well</w:t>
            </w:r>
          </w:p>
        </w:tc>
      </w:tr>
      <w:tr w:rsidR="0018492C" w:rsidRPr="0018492C" w14:paraId="02E91215" w14:textId="77777777" w:rsidTr="003E4F87">
        <w:trPr>
          <w:trHeight w:val="192"/>
        </w:trPr>
        <w:tc>
          <w:tcPr>
            <w:tcW w:w="6390" w:type="dxa"/>
            <w:tcBorders>
              <w:bottom w:val="single" w:sz="4" w:space="0" w:color="auto"/>
            </w:tcBorders>
          </w:tcPr>
          <w:p w14:paraId="67C05C81" w14:textId="77777777" w:rsidR="0018492C" w:rsidRPr="0018492C" w:rsidRDefault="0018492C" w:rsidP="0039713D">
            <w:pPr>
              <w:pStyle w:val="NoSpacing"/>
              <w:spacing w:line="360" w:lineRule="auto"/>
              <w:jc w:val="center"/>
              <w:rPr>
                <w:rFonts w:ascii="Arial" w:hAnsi="Arial" w:cs="Arial"/>
                <w:b/>
                <w:bCs/>
                <w:sz w:val="20"/>
                <w:szCs w:val="20"/>
              </w:rPr>
            </w:pPr>
            <w:r w:rsidRPr="0018492C">
              <w:rPr>
                <w:rFonts w:ascii="Arial" w:hAnsi="Arial" w:cs="Arial"/>
                <w:b/>
                <w:bCs/>
                <w:sz w:val="20"/>
                <w:szCs w:val="20"/>
              </w:rPr>
              <w:t>Grand Mean</w:t>
            </w:r>
          </w:p>
        </w:tc>
        <w:tc>
          <w:tcPr>
            <w:tcW w:w="900" w:type="dxa"/>
            <w:tcBorders>
              <w:bottom w:val="single" w:sz="4" w:space="0" w:color="auto"/>
            </w:tcBorders>
          </w:tcPr>
          <w:p w14:paraId="59A99EE6" w14:textId="77777777" w:rsidR="0018492C" w:rsidRPr="0018492C" w:rsidRDefault="0018492C" w:rsidP="0039713D">
            <w:pPr>
              <w:pStyle w:val="NoSpacing"/>
              <w:spacing w:line="360" w:lineRule="auto"/>
              <w:jc w:val="center"/>
              <w:rPr>
                <w:rFonts w:ascii="Arial" w:hAnsi="Arial" w:cs="Arial"/>
                <w:b/>
                <w:bCs/>
                <w:sz w:val="20"/>
                <w:szCs w:val="20"/>
              </w:rPr>
            </w:pPr>
            <w:r w:rsidRPr="0018492C">
              <w:rPr>
                <w:rFonts w:ascii="Arial" w:hAnsi="Arial" w:cs="Arial"/>
                <w:b/>
                <w:bCs/>
                <w:sz w:val="20"/>
                <w:szCs w:val="20"/>
              </w:rPr>
              <w:t>3.27</w:t>
            </w:r>
          </w:p>
        </w:tc>
        <w:tc>
          <w:tcPr>
            <w:tcW w:w="1800" w:type="dxa"/>
            <w:tcBorders>
              <w:bottom w:val="single" w:sz="4" w:space="0" w:color="auto"/>
            </w:tcBorders>
          </w:tcPr>
          <w:p w14:paraId="5B41B5D2" w14:textId="77777777" w:rsidR="0018492C" w:rsidRPr="0018492C" w:rsidRDefault="0018492C" w:rsidP="0039713D">
            <w:pPr>
              <w:pStyle w:val="NoSpacing"/>
              <w:spacing w:line="360" w:lineRule="auto"/>
              <w:jc w:val="center"/>
              <w:rPr>
                <w:rFonts w:ascii="Arial" w:hAnsi="Arial" w:cs="Arial"/>
                <w:b/>
                <w:bCs/>
                <w:sz w:val="20"/>
                <w:szCs w:val="20"/>
              </w:rPr>
            </w:pPr>
            <w:r w:rsidRPr="0018492C">
              <w:rPr>
                <w:rFonts w:ascii="Arial" w:hAnsi="Arial" w:cs="Arial"/>
                <w:b/>
                <w:bCs/>
                <w:sz w:val="20"/>
                <w:szCs w:val="20"/>
              </w:rPr>
              <w:t>Moderately Well</w:t>
            </w:r>
          </w:p>
        </w:tc>
      </w:tr>
    </w:tbl>
    <w:p w14:paraId="24144C31" w14:textId="77777777" w:rsidR="0018492C" w:rsidRPr="003A63D0" w:rsidRDefault="0018492C" w:rsidP="003A63D0">
      <w:pPr>
        <w:spacing w:after="0" w:line="240" w:lineRule="auto"/>
        <w:rPr>
          <w:rFonts w:ascii="Arial" w:hAnsi="Arial" w:cs="Arial"/>
          <w:b/>
          <w:bCs/>
          <w:sz w:val="20"/>
          <w:szCs w:val="20"/>
        </w:rPr>
      </w:pPr>
    </w:p>
    <w:p w14:paraId="26891A3D" w14:textId="77777777" w:rsidR="003E4F87" w:rsidRDefault="003E4F87" w:rsidP="003A63D0">
      <w:pPr>
        <w:spacing w:after="0" w:line="240" w:lineRule="auto"/>
        <w:rPr>
          <w:rFonts w:ascii="Arial" w:hAnsi="Arial" w:cs="Arial"/>
          <w:b/>
          <w:bCs/>
          <w:i/>
          <w:iCs/>
          <w:sz w:val="20"/>
          <w:szCs w:val="20"/>
        </w:rPr>
      </w:pPr>
    </w:p>
    <w:p w14:paraId="33919899" w14:textId="77777777" w:rsidR="002C3C89" w:rsidRDefault="002C3C89" w:rsidP="003A63D0">
      <w:pPr>
        <w:spacing w:after="0" w:line="240" w:lineRule="auto"/>
        <w:rPr>
          <w:rFonts w:ascii="Arial" w:hAnsi="Arial" w:cs="Arial"/>
          <w:b/>
          <w:bCs/>
          <w:i/>
          <w:iCs/>
          <w:sz w:val="20"/>
          <w:szCs w:val="20"/>
        </w:rPr>
      </w:pPr>
    </w:p>
    <w:p w14:paraId="29682152" w14:textId="77777777" w:rsidR="002C3C89" w:rsidRDefault="002C3C89" w:rsidP="003A63D0">
      <w:pPr>
        <w:spacing w:after="0" w:line="240" w:lineRule="auto"/>
        <w:rPr>
          <w:rFonts w:ascii="Arial" w:hAnsi="Arial" w:cs="Arial"/>
          <w:b/>
          <w:bCs/>
          <w:i/>
          <w:iCs/>
          <w:sz w:val="20"/>
          <w:szCs w:val="20"/>
        </w:rPr>
      </w:pPr>
    </w:p>
    <w:p w14:paraId="2FB19C82" w14:textId="77777777" w:rsidR="002C3C89" w:rsidRDefault="002C3C89" w:rsidP="003A63D0">
      <w:pPr>
        <w:spacing w:after="0" w:line="240" w:lineRule="auto"/>
        <w:rPr>
          <w:rFonts w:ascii="Arial" w:hAnsi="Arial" w:cs="Arial"/>
          <w:b/>
          <w:bCs/>
          <w:i/>
          <w:iCs/>
          <w:sz w:val="20"/>
          <w:szCs w:val="20"/>
        </w:rPr>
      </w:pPr>
    </w:p>
    <w:p w14:paraId="11C14DC6" w14:textId="77777777" w:rsidR="003E4F87" w:rsidRDefault="003E4F87" w:rsidP="003A63D0">
      <w:pPr>
        <w:spacing w:after="0" w:line="240" w:lineRule="auto"/>
        <w:rPr>
          <w:rFonts w:ascii="Arial" w:hAnsi="Arial" w:cs="Arial"/>
          <w:b/>
          <w:bCs/>
          <w:i/>
          <w:iCs/>
          <w:sz w:val="20"/>
          <w:szCs w:val="20"/>
        </w:rPr>
      </w:pPr>
    </w:p>
    <w:p w14:paraId="5C73CE5C" w14:textId="74C05672" w:rsidR="004A364A" w:rsidRPr="003A63D0" w:rsidRDefault="004A364A" w:rsidP="003A63D0">
      <w:pPr>
        <w:spacing w:after="0" w:line="240" w:lineRule="auto"/>
        <w:rPr>
          <w:rFonts w:ascii="Arial" w:hAnsi="Arial" w:cs="Arial"/>
          <w:b/>
          <w:bCs/>
          <w:i/>
          <w:iCs/>
          <w:sz w:val="20"/>
          <w:szCs w:val="20"/>
        </w:rPr>
      </w:pPr>
      <w:r w:rsidRPr="003A63D0">
        <w:rPr>
          <w:rFonts w:ascii="Arial" w:hAnsi="Arial" w:cs="Arial"/>
          <w:b/>
          <w:bCs/>
          <w:i/>
          <w:iCs/>
          <w:sz w:val="20"/>
          <w:szCs w:val="20"/>
        </w:rPr>
        <w:t>Mathematics Performance</w:t>
      </w:r>
    </w:p>
    <w:p w14:paraId="05471759" w14:textId="77777777" w:rsidR="004A364A" w:rsidRPr="003A63D0" w:rsidRDefault="004A364A" w:rsidP="003A63D0">
      <w:pPr>
        <w:spacing w:after="0" w:line="240" w:lineRule="auto"/>
        <w:rPr>
          <w:rFonts w:ascii="Arial" w:hAnsi="Arial" w:cs="Arial"/>
          <w:b/>
          <w:bCs/>
          <w:i/>
          <w:iCs/>
          <w:sz w:val="20"/>
          <w:szCs w:val="20"/>
        </w:rPr>
      </w:pPr>
    </w:p>
    <w:p w14:paraId="59299B26" w14:textId="27DE6418" w:rsidR="003E4F87" w:rsidRPr="003E4F87" w:rsidRDefault="003E4F87" w:rsidP="003E4F87">
      <w:pPr>
        <w:spacing w:after="0" w:line="240" w:lineRule="auto"/>
        <w:ind w:firstLine="720"/>
        <w:jc w:val="both"/>
        <w:rPr>
          <w:rFonts w:ascii="Arial" w:hAnsi="Arial" w:cs="Arial"/>
          <w:sz w:val="20"/>
          <w:szCs w:val="20"/>
        </w:rPr>
      </w:pPr>
      <w:r w:rsidRPr="003E4F87">
        <w:rPr>
          <w:rFonts w:ascii="Arial" w:hAnsi="Arial" w:cs="Arial"/>
          <w:sz w:val="20"/>
          <w:szCs w:val="20"/>
        </w:rPr>
        <w:t>Table 3 presents the distribution of students’ final grades in Mathematics. Among the 127 students assessed, the largest proportion (33.86%) obtained grades in the 75–78 range, indicating a passing yet low level of performance. This was followed by 16.54% of students who earned grades between 79 and 81, and 14.96% who scored between 84 and 86. A smaller percentage of students achieved higher marks, with only 3.94% obtaining grades in the 94–95 range and none reaching the 96–100 bracket.</w:t>
      </w:r>
    </w:p>
    <w:p w14:paraId="2C31F3AC" w14:textId="77777777" w:rsidR="003E4F87" w:rsidRPr="003E4F87" w:rsidRDefault="003E4F87" w:rsidP="003E4F87">
      <w:pPr>
        <w:spacing w:after="0" w:line="240" w:lineRule="auto"/>
        <w:ind w:firstLine="720"/>
        <w:jc w:val="both"/>
        <w:rPr>
          <w:rFonts w:ascii="Arial" w:hAnsi="Arial" w:cs="Arial"/>
          <w:sz w:val="20"/>
          <w:szCs w:val="20"/>
        </w:rPr>
      </w:pPr>
      <w:r w:rsidRPr="003E4F87">
        <w:rPr>
          <w:rFonts w:ascii="Arial" w:hAnsi="Arial" w:cs="Arial"/>
          <w:sz w:val="20"/>
          <w:szCs w:val="20"/>
        </w:rPr>
        <w:t>The distribution reveals a marked trend toward lower academic achievement, with a substantial portion of students performing at or just above the minimum passing level. Specifically, when combining the proportions of students within the 75–78 (33.86%), 79–81 (16.54%), and 82–83 (8.66%) grade brackets, nearly 59.06% of the sample falls within the 75–83 range. This concentration in the lower performance tier highlights potential academic difficulties experienced by a majority of students in the cohort.</w:t>
      </w:r>
    </w:p>
    <w:p w14:paraId="281F31F4" w14:textId="7A7C2A27" w:rsidR="00F457CE" w:rsidRPr="003E4F87" w:rsidRDefault="003E4F87" w:rsidP="00704B47">
      <w:pPr>
        <w:spacing w:after="0" w:line="240" w:lineRule="auto"/>
        <w:ind w:firstLine="720"/>
        <w:jc w:val="both"/>
        <w:rPr>
          <w:rFonts w:ascii="Arial" w:hAnsi="Arial" w:cs="Arial"/>
          <w:sz w:val="20"/>
          <w:szCs w:val="20"/>
          <w:vertAlign w:val="superscript"/>
        </w:rPr>
      </w:pPr>
      <w:r w:rsidRPr="003E4F87">
        <w:rPr>
          <w:rFonts w:ascii="Arial" w:hAnsi="Arial" w:cs="Arial"/>
          <w:sz w:val="20"/>
          <w:szCs w:val="20"/>
        </w:rPr>
        <w:t>In contrast, high performance was rare. Only a small fraction of students attained grades in the upper achievement levels, with 3.94% scoring between 94 and 95, and no students attaining grades between 96 and 100. The minimal representation at the top end of the grading scale may point to academic barriers that hinder students from achieving excellence in mathematics. These barriers may include conceptual misunderstandings, instructional gaps, or non-cognitive factors such as mathematics anxiety, low self-efficacy, or lack of academic motivation</w:t>
      </w:r>
      <w:r w:rsidR="00065DE1">
        <w:rPr>
          <w:rFonts w:ascii="Arial" w:hAnsi="Arial" w:cs="Arial"/>
          <w:sz w:val="20"/>
          <w:szCs w:val="20"/>
        </w:rPr>
        <w:t xml:space="preserve"> </w:t>
      </w:r>
      <w:r w:rsidR="008448B2">
        <w:rPr>
          <w:rFonts w:ascii="Arial" w:hAnsi="Arial" w:cs="Arial"/>
          <w:sz w:val="20"/>
          <w:szCs w:val="20"/>
        </w:rPr>
        <w:t>(</w:t>
      </w:r>
      <w:r w:rsidR="008448B2" w:rsidRPr="008448B2">
        <w:rPr>
          <w:rFonts w:ascii="Arial" w:hAnsi="Arial" w:cs="Arial"/>
          <w:sz w:val="20"/>
          <w:szCs w:val="20"/>
        </w:rPr>
        <w:t>Fennema, E., &amp; Sherman, J. A. (1976</w:t>
      </w:r>
      <w:r w:rsidR="00C044EA">
        <w:rPr>
          <w:rFonts w:ascii="Arial" w:hAnsi="Arial" w:cs="Arial"/>
          <w:sz w:val="20"/>
          <w:szCs w:val="20"/>
        </w:rPr>
        <w:t>)</w:t>
      </w:r>
      <w:r w:rsidR="008448B2">
        <w:rPr>
          <w:rFonts w:ascii="Arial" w:hAnsi="Arial" w:cs="Arial"/>
          <w:sz w:val="20"/>
          <w:szCs w:val="20"/>
        </w:rPr>
        <w:t>; Nobis</w:t>
      </w:r>
      <w:r w:rsidR="00065DE1">
        <w:rPr>
          <w:rFonts w:ascii="Arial" w:hAnsi="Arial" w:cs="Arial"/>
          <w:sz w:val="20"/>
          <w:szCs w:val="20"/>
        </w:rPr>
        <w:t>, 2025)</w:t>
      </w:r>
      <w:r>
        <w:rPr>
          <w:rFonts w:ascii="Arial" w:hAnsi="Arial" w:cs="Arial"/>
          <w:sz w:val="20"/>
          <w:szCs w:val="20"/>
        </w:rPr>
        <w:t>.</w:t>
      </w:r>
    </w:p>
    <w:p w14:paraId="66A4B06F" w14:textId="2BDA8DBC" w:rsidR="00F457CE" w:rsidRPr="00F457CE" w:rsidRDefault="00F457CE" w:rsidP="00704B47">
      <w:pPr>
        <w:spacing w:after="0" w:line="240" w:lineRule="auto"/>
        <w:ind w:firstLine="720"/>
        <w:jc w:val="both"/>
        <w:rPr>
          <w:rFonts w:ascii="Arial" w:hAnsi="Arial" w:cs="Arial"/>
          <w:sz w:val="20"/>
          <w:szCs w:val="20"/>
        </w:rPr>
      </w:pPr>
      <w:r w:rsidRPr="00F457CE">
        <w:rPr>
          <w:rFonts w:ascii="Arial" w:hAnsi="Arial" w:cs="Arial"/>
          <w:sz w:val="20"/>
          <w:szCs w:val="20"/>
        </w:rPr>
        <w:t>Adoro et al. (2024) investigated the role of attitude, prior knowledge, and critical thinking in solving algebraic equations, emphasizing the importance of cognitive and affective factors in mathematical success. Their study supports the notion that students' performance is shaped not only by instructional quality but also by their mindset and problem-solving strategies.</w:t>
      </w:r>
      <w:r w:rsidR="00704B47">
        <w:rPr>
          <w:rFonts w:ascii="Arial" w:hAnsi="Arial" w:cs="Arial"/>
          <w:sz w:val="20"/>
          <w:szCs w:val="20"/>
        </w:rPr>
        <w:t xml:space="preserve"> </w:t>
      </w:r>
      <w:r w:rsidR="00704B47" w:rsidRPr="00704B47">
        <w:rPr>
          <w:rFonts w:ascii="Arial" w:hAnsi="Arial" w:cs="Arial"/>
          <w:sz w:val="20"/>
          <w:szCs w:val="20"/>
        </w:rPr>
        <w:t>This supports the interpretation that low-performing students may struggle with more than just the content itself, but also with cognitive strategies and confidence needed to succeed.</w:t>
      </w:r>
    </w:p>
    <w:p w14:paraId="15120C8E" w14:textId="724BDB8F" w:rsidR="00F457CE" w:rsidRPr="00704B47" w:rsidRDefault="00F457CE" w:rsidP="00F457CE">
      <w:pPr>
        <w:spacing w:after="0" w:line="240" w:lineRule="auto"/>
        <w:ind w:firstLine="720"/>
        <w:jc w:val="both"/>
        <w:rPr>
          <w:rFonts w:ascii="Arial" w:hAnsi="Arial" w:cs="Arial"/>
          <w:sz w:val="20"/>
          <w:szCs w:val="20"/>
        </w:rPr>
      </w:pPr>
      <w:r w:rsidRPr="00704B47">
        <w:rPr>
          <w:rFonts w:ascii="Arial" w:hAnsi="Arial" w:cs="Arial"/>
          <w:sz w:val="20"/>
          <w:szCs w:val="20"/>
        </w:rPr>
        <w:t>Similarly, Balanquit and Nobis (2025) assessed conceptual knowledge and error analysis among pre-service teachers, highlighting the challenges students face in mastering mathematical concepts. Their findings suggest that difficulties in conceptual understanding may contribute to lower academic performance, reinforcing the need for targeted interventions to address gaps in foundational knowledge.</w:t>
      </w:r>
      <w:r w:rsidR="00704B47" w:rsidRPr="00704B47">
        <w:rPr>
          <w:rFonts w:ascii="Arial" w:hAnsi="Arial" w:cs="Arial"/>
          <w:sz w:val="20"/>
          <w:szCs w:val="20"/>
        </w:rPr>
        <w:t xml:space="preserve"> </w:t>
      </w:r>
      <w:r w:rsidR="00704B47" w:rsidRPr="00704B47">
        <w:rPr>
          <w:rFonts w:ascii="Arial" w:hAnsi="Arial" w:cs="Arial"/>
          <w:sz w:val="20"/>
          <w:szCs w:val="20"/>
        </w:rPr>
        <w:t>These findings align with your observed concentration of grades near the passing mark, implying a need to focus more heavily on conceptual remediation.</w:t>
      </w:r>
    </w:p>
    <w:p w14:paraId="707852F0" w14:textId="300502B9" w:rsidR="00F457CE" w:rsidRPr="00F457CE" w:rsidRDefault="00F457CE" w:rsidP="00F457CE">
      <w:pPr>
        <w:spacing w:after="0" w:line="240" w:lineRule="auto"/>
        <w:ind w:firstLine="720"/>
        <w:jc w:val="both"/>
        <w:rPr>
          <w:rFonts w:ascii="Arial" w:hAnsi="Arial" w:cs="Arial"/>
          <w:sz w:val="20"/>
          <w:szCs w:val="20"/>
        </w:rPr>
      </w:pPr>
      <w:r w:rsidRPr="00F457CE">
        <w:rPr>
          <w:rFonts w:ascii="Arial" w:hAnsi="Arial" w:cs="Arial"/>
          <w:sz w:val="20"/>
          <w:szCs w:val="20"/>
        </w:rPr>
        <w:lastRenderedPageBreak/>
        <w:t>Pala et al. (2025) explored the integration of chatbots in mathematics education, emphasizing their potential to enhance learning experiences. Their study suggests that AI-driven tools could provide personalized support, helping students struggling with mathematical concepts and fostering engagement in problem-solving activities.</w:t>
      </w:r>
      <w:r w:rsidR="00704B47">
        <w:rPr>
          <w:rFonts w:ascii="Arial" w:hAnsi="Arial" w:cs="Arial"/>
          <w:sz w:val="20"/>
          <w:szCs w:val="20"/>
        </w:rPr>
        <w:t xml:space="preserve"> </w:t>
      </w:r>
      <w:r w:rsidR="00704B47" w:rsidRPr="00704B47">
        <w:rPr>
          <w:rFonts w:ascii="Arial" w:hAnsi="Arial" w:cs="Arial"/>
          <w:sz w:val="20"/>
          <w:szCs w:val="20"/>
        </w:rPr>
        <w:t>Similarly, the study by Cigario et al. (2025) on adaptive assessments using platforms like Ed</w:t>
      </w:r>
      <w:r w:rsidR="00704B47" w:rsidRPr="00704B47">
        <w:rPr>
          <w:rFonts w:ascii="Arial" w:hAnsi="Arial" w:cs="Arial"/>
          <w:sz w:val="20"/>
          <w:szCs w:val="20"/>
        </w:rPr>
        <w:t xml:space="preserve"> </w:t>
      </w:r>
      <w:r w:rsidR="00704B47" w:rsidRPr="00704B47">
        <w:rPr>
          <w:rFonts w:ascii="Arial" w:hAnsi="Arial" w:cs="Arial"/>
          <w:sz w:val="20"/>
          <w:szCs w:val="20"/>
        </w:rPr>
        <w:t>Puzzle noted that real-time feedback and tailored learning paths can help reduce anxiety and improve engagement although such tools must be paired with conceptual instruction to address the root of low achievement.</w:t>
      </w:r>
    </w:p>
    <w:p w14:paraId="5312B999" w14:textId="19B2A97D" w:rsidR="00F457CE" w:rsidRDefault="00F457CE" w:rsidP="00F457CE">
      <w:pPr>
        <w:spacing w:after="0" w:line="240" w:lineRule="auto"/>
        <w:ind w:firstLine="720"/>
        <w:jc w:val="both"/>
        <w:rPr>
          <w:rFonts w:ascii="Arial" w:hAnsi="Arial" w:cs="Arial"/>
          <w:sz w:val="20"/>
          <w:szCs w:val="20"/>
        </w:rPr>
      </w:pPr>
      <w:r w:rsidRPr="00F457CE">
        <w:rPr>
          <w:rFonts w:ascii="Arial" w:hAnsi="Arial" w:cs="Arial"/>
          <w:sz w:val="20"/>
          <w:szCs w:val="20"/>
        </w:rPr>
        <w:t>Cabugwason et al. (2024)</w:t>
      </w:r>
      <w:r w:rsidR="00065DE1">
        <w:rPr>
          <w:rFonts w:ascii="Arial" w:hAnsi="Arial" w:cs="Arial"/>
          <w:sz w:val="20"/>
          <w:szCs w:val="20"/>
        </w:rPr>
        <w:t xml:space="preserve"> and Nobis (2021)</w:t>
      </w:r>
      <w:r w:rsidRPr="00F457CE">
        <w:rPr>
          <w:rFonts w:ascii="Arial" w:hAnsi="Arial" w:cs="Arial"/>
          <w:sz w:val="20"/>
          <w:szCs w:val="20"/>
        </w:rPr>
        <w:t xml:space="preserve"> examined the experiences and challenges of pre-service teachers using math apps in education. Their findings indicate that while technology can facilitate learning, it may not fully address deeper conceptual misunderstandings or motivational barriers that impact student performance. This aligns with the observed trend in Table 3, where a significant portion of students perform at or just above the minimum passing level.</w:t>
      </w:r>
    </w:p>
    <w:p w14:paraId="5EE1E6C0" w14:textId="0537F5C9" w:rsidR="00704B47" w:rsidRDefault="00704B47" w:rsidP="00F457CE">
      <w:pPr>
        <w:spacing w:after="0" w:line="240" w:lineRule="auto"/>
        <w:ind w:firstLine="720"/>
        <w:jc w:val="both"/>
        <w:rPr>
          <w:rFonts w:ascii="Arial" w:hAnsi="Arial" w:cs="Arial"/>
          <w:sz w:val="20"/>
          <w:szCs w:val="20"/>
        </w:rPr>
      </w:pPr>
      <w:r w:rsidRPr="00704B47">
        <w:rPr>
          <w:rFonts w:ascii="Arial" w:hAnsi="Arial" w:cs="Arial"/>
          <w:sz w:val="20"/>
          <w:szCs w:val="20"/>
        </w:rPr>
        <w:t xml:space="preserve">Additionally, broader research (Zakariya, 2022) suggests that the quality of student-teacher relationships and the presence of academic support systems are essential to bridging performance gaps. A strong rapport between students and educators can foster a growth mindset, reduce anxiety, and encourage persistence in </w:t>
      </w:r>
      <w:r w:rsidR="00D605F8" w:rsidRPr="00704B47">
        <w:rPr>
          <w:rFonts w:ascii="Arial" w:hAnsi="Arial" w:cs="Arial"/>
          <w:sz w:val="20"/>
          <w:szCs w:val="20"/>
        </w:rPr>
        <w:t>mathematics,</w:t>
      </w:r>
      <w:r w:rsidRPr="00704B47">
        <w:rPr>
          <w:rFonts w:ascii="Arial" w:hAnsi="Arial" w:cs="Arial"/>
          <w:sz w:val="20"/>
          <w:szCs w:val="20"/>
        </w:rPr>
        <w:t xml:space="preserve"> all of which are critical in elevating students from merely passing to performing with excellence.</w:t>
      </w:r>
    </w:p>
    <w:p w14:paraId="7E805C76" w14:textId="5EC34828" w:rsidR="00D605F8" w:rsidRPr="00F457CE" w:rsidRDefault="00D605F8" w:rsidP="00F457CE">
      <w:pPr>
        <w:spacing w:after="0" w:line="240" w:lineRule="auto"/>
        <w:ind w:firstLine="720"/>
        <w:jc w:val="both"/>
        <w:rPr>
          <w:rFonts w:ascii="Arial" w:hAnsi="Arial" w:cs="Arial"/>
          <w:sz w:val="20"/>
          <w:szCs w:val="20"/>
        </w:rPr>
      </w:pPr>
      <w:r w:rsidRPr="00D605F8">
        <w:rPr>
          <w:rFonts w:ascii="Arial" w:hAnsi="Arial" w:cs="Arial"/>
          <w:sz w:val="20"/>
          <w:szCs w:val="20"/>
        </w:rPr>
        <w:t>Therefore, enhancing mathematics performance demands a multidimensional approach—one that integrates conceptual clarity, emotional support, and the strategic use of educational technology to bridge learning gaps and promote enduring mathematical competence.</w:t>
      </w:r>
    </w:p>
    <w:p w14:paraId="0763352E" w14:textId="2362C832" w:rsidR="004A364A" w:rsidRPr="003A63D0" w:rsidRDefault="004A364A" w:rsidP="003A63D0">
      <w:pPr>
        <w:spacing w:after="0" w:line="240" w:lineRule="auto"/>
        <w:jc w:val="both"/>
        <w:rPr>
          <w:rFonts w:ascii="Arial" w:hAnsi="Arial" w:cs="Arial"/>
          <w:sz w:val="20"/>
          <w:szCs w:val="20"/>
        </w:rPr>
      </w:pPr>
    </w:p>
    <w:p w14:paraId="1169DBC8" w14:textId="7D1344A9" w:rsidR="004A364A" w:rsidRDefault="004A364A" w:rsidP="003A63D0">
      <w:pPr>
        <w:spacing w:after="0" w:line="240" w:lineRule="auto"/>
        <w:rPr>
          <w:rFonts w:ascii="Arial" w:hAnsi="Arial" w:cs="Arial"/>
          <w:b/>
          <w:bCs/>
          <w:sz w:val="20"/>
          <w:szCs w:val="20"/>
        </w:rPr>
      </w:pPr>
    </w:p>
    <w:p w14:paraId="06D139E0" w14:textId="761CDFCC" w:rsidR="00E62207" w:rsidRPr="003A63D0" w:rsidRDefault="00E62207" w:rsidP="00E62207">
      <w:pPr>
        <w:pStyle w:val="NoSpacing"/>
        <w:spacing w:line="360" w:lineRule="auto"/>
        <w:jc w:val="center"/>
        <w:rPr>
          <w:rFonts w:ascii="Arial" w:hAnsi="Arial" w:cs="Arial"/>
          <w:b/>
          <w:bCs/>
          <w:sz w:val="20"/>
          <w:szCs w:val="20"/>
        </w:rPr>
      </w:pPr>
      <w:r w:rsidRPr="003A63D0">
        <w:rPr>
          <w:rFonts w:ascii="Arial" w:hAnsi="Arial" w:cs="Arial"/>
          <w:b/>
          <w:bCs/>
          <w:sz w:val="20"/>
          <w:szCs w:val="20"/>
        </w:rPr>
        <w:t>Table 3 Mathematics Performance of the Respondent</w:t>
      </w:r>
    </w:p>
    <w:p w14:paraId="23A5F941" w14:textId="77777777" w:rsidR="00E62207" w:rsidRPr="003A63D0" w:rsidRDefault="00E62207" w:rsidP="00E62207">
      <w:pPr>
        <w:spacing w:after="0" w:line="240" w:lineRule="auto"/>
        <w:jc w:val="both"/>
        <w:rPr>
          <w:rFonts w:ascii="Arial" w:hAnsi="Arial" w:cs="Arial"/>
          <w:sz w:val="20"/>
          <w:szCs w:val="20"/>
        </w:rPr>
      </w:pPr>
    </w:p>
    <w:tbl>
      <w:tblPr>
        <w:tblStyle w:val="TableGrid"/>
        <w:tblW w:w="909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40"/>
        <w:gridCol w:w="3060"/>
        <w:gridCol w:w="2790"/>
      </w:tblGrid>
      <w:tr w:rsidR="00E62207" w:rsidRPr="00E62207" w14:paraId="659544B8" w14:textId="77777777" w:rsidTr="0039713D">
        <w:trPr>
          <w:trHeight w:val="181"/>
        </w:trPr>
        <w:tc>
          <w:tcPr>
            <w:tcW w:w="3240" w:type="dxa"/>
            <w:tcBorders>
              <w:top w:val="single" w:sz="4" w:space="0" w:color="auto"/>
              <w:bottom w:val="single" w:sz="4" w:space="0" w:color="auto"/>
              <w:right w:val="nil"/>
            </w:tcBorders>
          </w:tcPr>
          <w:p w14:paraId="3157F2E7" w14:textId="77777777" w:rsidR="00E62207" w:rsidRPr="00E62207" w:rsidRDefault="00E62207" w:rsidP="0039713D">
            <w:pPr>
              <w:pStyle w:val="NoSpacing"/>
              <w:spacing w:line="360" w:lineRule="auto"/>
              <w:jc w:val="center"/>
              <w:rPr>
                <w:rFonts w:ascii="Arial" w:hAnsi="Arial" w:cs="Arial"/>
                <w:b/>
                <w:bCs/>
                <w:sz w:val="20"/>
                <w:szCs w:val="20"/>
              </w:rPr>
            </w:pPr>
            <w:r w:rsidRPr="00E62207">
              <w:rPr>
                <w:rFonts w:ascii="Arial" w:hAnsi="Arial" w:cs="Arial"/>
                <w:b/>
                <w:bCs/>
                <w:sz w:val="20"/>
                <w:szCs w:val="20"/>
              </w:rPr>
              <w:t>Mathematics Final Grade</w:t>
            </w:r>
          </w:p>
        </w:tc>
        <w:tc>
          <w:tcPr>
            <w:tcW w:w="3060" w:type="dxa"/>
            <w:tcBorders>
              <w:top w:val="single" w:sz="4" w:space="0" w:color="auto"/>
              <w:left w:val="nil"/>
              <w:bottom w:val="single" w:sz="4" w:space="0" w:color="auto"/>
              <w:right w:val="nil"/>
            </w:tcBorders>
          </w:tcPr>
          <w:p w14:paraId="160E5BEA" w14:textId="77777777" w:rsidR="00E62207" w:rsidRPr="00E62207" w:rsidRDefault="00E62207" w:rsidP="0039713D">
            <w:pPr>
              <w:pStyle w:val="NoSpacing"/>
              <w:spacing w:line="360" w:lineRule="auto"/>
              <w:jc w:val="center"/>
              <w:rPr>
                <w:rFonts w:ascii="Arial" w:hAnsi="Arial" w:cs="Arial"/>
                <w:b/>
                <w:bCs/>
                <w:sz w:val="20"/>
                <w:szCs w:val="20"/>
              </w:rPr>
            </w:pPr>
            <w:r w:rsidRPr="00E62207">
              <w:rPr>
                <w:rFonts w:ascii="Arial" w:hAnsi="Arial" w:cs="Arial"/>
                <w:b/>
                <w:bCs/>
                <w:sz w:val="20"/>
                <w:szCs w:val="20"/>
              </w:rPr>
              <w:t>f</w:t>
            </w:r>
          </w:p>
        </w:tc>
        <w:tc>
          <w:tcPr>
            <w:tcW w:w="2790" w:type="dxa"/>
            <w:tcBorders>
              <w:top w:val="single" w:sz="4" w:space="0" w:color="auto"/>
              <w:left w:val="nil"/>
              <w:bottom w:val="single" w:sz="4" w:space="0" w:color="auto"/>
            </w:tcBorders>
          </w:tcPr>
          <w:p w14:paraId="3FE8EB3C" w14:textId="77777777" w:rsidR="00E62207" w:rsidRPr="00E62207" w:rsidRDefault="00E62207" w:rsidP="0039713D">
            <w:pPr>
              <w:pStyle w:val="NoSpacing"/>
              <w:spacing w:line="360" w:lineRule="auto"/>
              <w:jc w:val="center"/>
              <w:rPr>
                <w:rFonts w:ascii="Arial" w:hAnsi="Arial" w:cs="Arial"/>
                <w:b/>
                <w:bCs/>
                <w:sz w:val="20"/>
                <w:szCs w:val="20"/>
              </w:rPr>
            </w:pPr>
            <w:r w:rsidRPr="00E62207">
              <w:rPr>
                <w:rFonts w:ascii="Arial" w:hAnsi="Arial" w:cs="Arial"/>
                <w:b/>
                <w:bCs/>
                <w:sz w:val="20"/>
                <w:szCs w:val="20"/>
              </w:rPr>
              <w:t>%</w:t>
            </w:r>
          </w:p>
        </w:tc>
      </w:tr>
      <w:tr w:rsidR="00E62207" w:rsidRPr="00E62207" w14:paraId="641FA824" w14:textId="77777777" w:rsidTr="0039713D">
        <w:trPr>
          <w:trHeight w:val="95"/>
        </w:trPr>
        <w:tc>
          <w:tcPr>
            <w:tcW w:w="3240" w:type="dxa"/>
            <w:tcBorders>
              <w:top w:val="single" w:sz="4" w:space="0" w:color="auto"/>
              <w:bottom w:val="single" w:sz="4" w:space="0" w:color="auto"/>
              <w:right w:val="nil"/>
            </w:tcBorders>
            <w:vAlign w:val="center"/>
          </w:tcPr>
          <w:p w14:paraId="2A7A4493"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color w:val="000000"/>
                <w:sz w:val="20"/>
                <w:szCs w:val="20"/>
              </w:rPr>
              <w:t>96-100</w:t>
            </w:r>
          </w:p>
        </w:tc>
        <w:tc>
          <w:tcPr>
            <w:tcW w:w="3060" w:type="dxa"/>
            <w:tcBorders>
              <w:top w:val="single" w:sz="4" w:space="0" w:color="auto"/>
              <w:left w:val="nil"/>
              <w:bottom w:val="single" w:sz="4" w:space="0" w:color="auto"/>
              <w:right w:val="nil"/>
            </w:tcBorders>
          </w:tcPr>
          <w:p w14:paraId="2FA58D4D"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sz w:val="20"/>
                <w:szCs w:val="20"/>
              </w:rPr>
              <w:t>0</w:t>
            </w:r>
          </w:p>
        </w:tc>
        <w:tc>
          <w:tcPr>
            <w:tcW w:w="2790" w:type="dxa"/>
            <w:tcBorders>
              <w:top w:val="single" w:sz="4" w:space="0" w:color="auto"/>
              <w:left w:val="nil"/>
              <w:bottom w:val="single" w:sz="4" w:space="0" w:color="auto"/>
            </w:tcBorders>
          </w:tcPr>
          <w:p w14:paraId="7D2A8AE7"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sz w:val="20"/>
                <w:szCs w:val="20"/>
              </w:rPr>
              <w:t>0.00%</w:t>
            </w:r>
          </w:p>
        </w:tc>
      </w:tr>
      <w:tr w:rsidR="00E62207" w:rsidRPr="00E62207" w14:paraId="5A2BBB34" w14:textId="77777777" w:rsidTr="0039713D">
        <w:trPr>
          <w:trHeight w:val="90"/>
        </w:trPr>
        <w:tc>
          <w:tcPr>
            <w:tcW w:w="3240" w:type="dxa"/>
            <w:tcBorders>
              <w:top w:val="single" w:sz="4" w:space="0" w:color="auto"/>
              <w:bottom w:val="single" w:sz="4" w:space="0" w:color="auto"/>
              <w:right w:val="nil"/>
            </w:tcBorders>
            <w:vAlign w:val="center"/>
          </w:tcPr>
          <w:p w14:paraId="2D826065"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color w:val="000000"/>
                <w:sz w:val="20"/>
                <w:szCs w:val="20"/>
              </w:rPr>
              <w:t>94-95</w:t>
            </w:r>
          </w:p>
        </w:tc>
        <w:tc>
          <w:tcPr>
            <w:tcW w:w="3060" w:type="dxa"/>
            <w:tcBorders>
              <w:top w:val="single" w:sz="4" w:space="0" w:color="auto"/>
              <w:left w:val="nil"/>
              <w:bottom w:val="single" w:sz="4" w:space="0" w:color="auto"/>
              <w:right w:val="nil"/>
            </w:tcBorders>
          </w:tcPr>
          <w:p w14:paraId="7DB8CB12"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sz w:val="20"/>
                <w:szCs w:val="20"/>
              </w:rPr>
              <w:t>5</w:t>
            </w:r>
          </w:p>
        </w:tc>
        <w:tc>
          <w:tcPr>
            <w:tcW w:w="2790" w:type="dxa"/>
            <w:tcBorders>
              <w:top w:val="single" w:sz="4" w:space="0" w:color="auto"/>
              <w:left w:val="nil"/>
              <w:bottom w:val="single" w:sz="4" w:space="0" w:color="auto"/>
            </w:tcBorders>
          </w:tcPr>
          <w:p w14:paraId="35535D36"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sz w:val="20"/>
                <w:szCs w:val="20"/>
              </w:rPr>
              <w:t>3.94%</w:t>
            </w:r>
          </w:p>
        </w:tc>
      </w:tr>
      <w:tr w:rsidR="00E62207" w:rsidRPr="00E62207" w14:paraId="197504E9" w14:textId="77777777" w:rsidTr="0039713D">
        <w:trPr>
          <w:trHeight w:val="90"/>
        </w:trPr>
        <w:tc>
          <w:tcPr>
            <w:tcW w:w="3240" w:type="dxa"/>
            <w:tcBorders>
              <w:top w:val="single" w:sz="4" w:space="0" w:color="auto"/>
              <w:bottom w:val="single" w:sz="4" w:space="0" w:color="auto"/>
              <w:right w:val="nil"/>
            </w:tcBorders>
            <w:vAlign w:val="center"/>
          </w:tcPr>
          <w:p w14:paraId="5AB9AAE2"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color w:val="000000"/>
                <w:sz w:val="20"/>
                <w:szCs w:val="20"/>
              </w:rPr>
              <w:t>92-93</w:t>
            </w:r>
          </w:p>
        </w:tc>
        <w:tc>
          <w:tcPr>
            <w:tcW w:w="3060" w:type="dxa"/>
            <w:tcBorders>
              <w:top w:val="single" w:sz="4" w:space="0" w:color="auto"/>
              <w:left w:val="nil"/>
              <w:bottom w:val="single" w:sz="4" w:space="0" w:color="auto"/>
              <w:right w:val="nil"/>
            </w:tcBorders>
          </w:tcPr>
          <w:p w14:paraId="1FDD76A5"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sz w:val="20"/>
                <w:szCs w:val="20"/>
              </w:rPr>
              <w:t>11</w:t>
            </w:r>
          </w:p>
        </w:tc>
        <w:tc>
          <w:tcPr>
            <w:tcW w:w="2790" w:type="dxa"/>
            <w:tcBorders>
              <w:top w:val="single" w:sz="4" w:space="0" w:color="auto"/>
              <w:left w:val="nil"/>
              <w:bottom w:val="single" w:sz="4" w:space="0" w:color="auto"/>
            </w:tcBorders>
          </w:tcPr>
          <w:p w14:paraId="0E1D69EB"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sz w:val="20"/>
                <w:szCs w:val="20"/>
              </w:rPr>
              <w:t>8.66%</w:t>
            </w:r>
          </w:p>
        </w:tc>
      </w:tr>
      <w:tr w:rsidR="00E62207" w:rsidRPr="00E62207" w14:paraId="7A2BBA22" w14:textId="77777777" w:rsidTr="0039713D">
        <w:trPr>
          <w:trHeight w:val="90"/>
        </w:trPr>
        <w:tc>
          <w:tcPr>
            <w:tcW w:w="3240" w:type="dxa"/>
            <w:tcBorders>
              <w:top w:val="single" w:sz="4" w:space="0" w:color="auto"/>
              <w:bottom w:val="single" w:sz="4" w:space="0" w:color="auto"/>
              <w:right w:val="nil"/>
            </w:tcBorders>
            <w:vAlign w:val="center"/>
          </w:tcPr>
          <w:p w14:paraId="394A1C63"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color w:val="000000"/>
                <w:sz w:val="20"/>
                <w:szCs w:val="20"/>
              </w:rPr>
              <w:t>89-91</w:t>
            </w:r>
          </w:p>
        </w:tc>
        <w:tc>
          <w:tcPr>
            <w:tcW w:w="3060" w:type="dxa"/>
            <w:tcBorders>
              <w:top w:val="single" w:sz="4" w:space="0" w:color="auto"/>
              <w:left w:val="nil"/>
              <w:bottom w:val="single" w:sz="4" w:space="0" w:color="auto"/>
              <w:right w:val="nil"/>
            </w:tcBorders>
          </w:tcPr>
          <w:p w14:paraId="6B2FCF37"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sz w:val="20"/>
                <w:szCs w:val="20"/>
              </w:rPr>
              <w:t>7</w:t>
            </w:r>
          </w:p>
        </w:tc>
        <w:tc>
          <w:tcPr>
            <w:tcW w:w="2790" w:type="dxa"/>
            <w:tcBorders>
              <w:top w:val="single" w:sz="4" w:space="0" w:color="auto"/>
              <w:left w:val="nil"/>
              <w:bottom w:val="single" w:sz="4" w:space="0" w:color="auto"/>
            </w:tcBorders>
          </w:tcPr>
          <w:p w14:paraId="242D553D"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sz w:val="20"/>
                <w:szCs w:val="20"/>
              </w:rPr>
              <w:t>5.51%</w:t>
            </w:r>
          </w:p>
        </w:tc>
      </w:tr>
      <w:tr w:rsidR="00E62207" w:rsidRPr="00E62207" w14:paraId="045027CF" w14:textId="77777777" w:rsidTr="0039713D">
        <w:trPr>
          <w:trHeight w:val="90"/>
        </w:trPr>
        <w:tc>
          <w:tcPr>
            <w:tcW w:w="3240" w:type="dxa"/>
            <w:tcBorders>
              <w:top w:val="single" w:sz="4" w:space="0" w:color="auto"/>
              <w:bottom w:val="single" w:sz="4" w:space="0" w:color="auto"/>
              <w:right w:val="nil"/>
            </w:tcBorders>
            <w:vAlign w:val="center"/>
          </w:tcPr>
          <w:p w14:paraId="7A90944C"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color w:val="000000"/>
                <w:sz w:val="20"/>
                <w:szCs w:val="20"/>
              </w:rPr>
              <w:t>87-88</w:t>
            </w:r>
          </w:p>
        </w:tc>
        <w:tc>
          <w:tcPr>
            <w:tcW w:w="3060" w:type="dxa"/>
            <w:tcBorders>
              <w:top w:val="single" w:sz="4" w:space="0" w:color="auto"/>
              <w:left w:val="nil"/>
              <w:bottom w:val="single" w:sz="4" w:space="0" w:color="auto"/>
              <w:right w:val="nil"/>
            </w:tcBorders>
          </w:tcPr>
          <w:p w14:paraId="179621D2"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sz w:val="20"/>
                <w:szCs w:val="20"/>
              </w:rPr>
              <w:t>10</w:t>
            </w:r>
          </w:p>
        </w:tc>
        <w:tc>
          <w:tcPr>
            <w:tcW w:w="2790" w:type="dxa"/>
            <w:tcBorders>
              <w:top w:val="single" w:sz="4" w:space="0" w:color="auto"/>
              <w:left w:val="nil"/>
              <w:bottom w:val="single" w:sz="4" w:space="0" w:color="auto"/>
            </w:tcBorders>
          </w:tcPr>
          <w:p w14:paraId="759C32A7"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sz w:val="20"/>
                <w:szCs w:val="20"/>
              </w:rPr>
              <w:t>7.87%</w:t>
            </w:r>
          </w:p>
        </w:tc>
      </w:tr>
      <w:tr w:rsidR="00E62207" w:rsidRPr="00E62207" w14:paraId="4168C284" w14:textId="77777777" w:rsidTr="0039713D">
        <w:trPr>
          <w:trHeight w:val="90"/>
        </w:trPr>
        <w:tc>
          <w:tcPr>
            <w:tcW w:w="3240" w:type="dxa"/>
            <w:tcBorders>
              <w:top w:val="single" w:sz="4" w:space="0" w:color="auto"/>
              <w:bottom w:val="single" w:sz="4" w:space="0" w:color="auto"/>
              <w:right w:val="nil"/>
            </w:tcBorders>
            <w:vAlign w:val="center"/>
          </w:tcPr>
          <w:p w14:paraId="1213DC7C"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color w:val="000000"/>
                <w:sz w:val="20"/>
                <w:szCs w:val="20"/>
              </w:rPr>
              <w:t>84-86</w:t>
            </w:r>
          </w:p>
        </w:tc>
        <w:tc>
          <w:tcPr>
            <w:tcW w:w="3060" w:type="dxa"/>
            <w:tcBorders>
              <w:top w:val="single" w:sz="4" w:space="0" w:color="auto"/>
              <w:left w:val="nil"/>
              <w:bottom w:val="single" w:sz="4" w:space="0" w:color="auto"/>
              <w:right w:val="nil"/>
            </w:tcBorders>
          </w:tcPr>
          <w:p w14:paraId="1EFE41F0"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sz w:val="20"/>
                <w:szCs w:val="20"/>
              </w:rPr>
              <w:t>19</w:t>
            </w:r>
          </w:p>
        </w:tc>
        <w:tc>
          <w:tcPr>
            <w:tcW w:w="2790" w:type="dxa"/>
            <w:tcBorders>
              <w:top w:val="single" w:sz="4" w:space="0" w:color="auto"/>
              <w:left w:val="nil"/>
              <w:bottom w:val="single" w:sz="4" w:space="0" w:color="auto"/>
            </w:tcBorders>
          </w:tcPr>
          <w:p w14:paraId="1B345334"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sz w:val="20"/>
                <w:szCs w:val="20"/>
              </w:rPr>
              <w:t>14.96%</w:t>
            </w:r>
          </w:p>
        </w:tc>
      </w:tr>
      <w:tr w:rsidR="00E62207" w:rsidRPr="00E62207" w14:paraId="5E7924B8" w14:textId="77777777" w:rsidTr="0039713D">
        <w:trPr>
          <w:trHeight w:val="90"/>
        </w:trPr>
        <w:tc>
          <w:tcPr>
            <w:tcW w:w="3240" w:type="dxa"/>
            <w:tcBorders>
              <w:top w:val="single" w:sz="4" w:space="0" w:color="auto"/>
              <w:bottom w:val="single" w:sz="4" w:space="0" w:color="auto"/>
              <w:right w:val="nil"/>
            </w:tcBorders>
            <w:vAlign w:val="center"/>
          </w:tcPr>
          <w:p w14:paraId="6AFB0683"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color w:val="000000"/>
                <w:sz w:val="20"/>
                <w:szCs w:val="20"/>
              </w:rPr>
              <w:t>82-83</w:t>
            </w:r>
          </w:p>
        </w:tc>
        <w:tc>
          <w:tcPr>
            <w:tcW w:w="3060" w:type="dxa"/>
            <w:tcBorders>
              <w:top w:val="single" w:sz="4" w:space="0" w:color="auto"/>
              <w:left w:val="nil"/>
              <w:bottom w:val="single" w:sz="4" w:space="0" w:color="auto"/>
              <w:right w:val="nil"/>
            </w:tcBorders>
          </w:tcPr>
          <w:p w14:paraId="3B35B126"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sz w:val="20"/>
                <w:szCs w:val="20"/>
              </w:rPr>
              <w:t>11</w:t>
            </w:r>
          </w:p>
        </w:tc>
        <w:tc>
          <w:tcPr>
            <w:tcW w:w="2790" w:type="dxa"/>
            <w:tcBorders>
              <w:top w:val="single" w:sz="4" w:space="0" w:color="auto"/>
              <w:left w:val="nil"/>
              <w:bottom w:val="single" w:sz="4" w:space="0" w:color="auto"/>
            </w:tcBorders>
          </w:tcPr>
          <w:p w14:paraId="15D9C577"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sz w:val="20"/>
                <w:szCs w:val="20"/>
              </w:rPr>
              <w:t>8.66%</w:t>
            </w:r>
          </w:p>
        </w:tc>
      </w:tr>
      <w:tr w:rsidR="00E62207" w:rsidRPr="00E62207" w14:paraId="5205C9C9" w14:textId="77777777" w:rsidTr="0039713D">
        <w:trPr>
          <w:trHeight w:val="90"/>
        </w:trPr>
        <w:tc>
          <w:tcPr>
            <w:tcW w:w="3240" w:type="dxa"/>
            <w:tcBorders>
              <w:top w:val="single" w:sz="4" w:space="0" w:color="auto"/>
              <w:bottom w:val="single" w:sz="4" w:space="0" w:color="auto"/>
              <w:right w:val="nil"/>
            </w:tcBorders>
            <w:vAlign w:val="center"/>
          </w:tcPr>
          <w:p w14:paraId="6882936A"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color w:val="000000"/>
                <w:sz w:val="20"/>
                <w:szCs w:val="20"/>
              </w:rPr>
              <w:t>79-81</w:t>
            </w:r>
          </w:p>
        </w:tc>
        <w:tc>
          <w:tcPr>
            <w:tcW w:w="3060" w:type="dxa"/>
            <w:tcBorders>
              <w:top w:val="single" w:sz="4" w:space="0" w:color="auto"/>
              <w:left w:val="nil"/>
              <w:bottom w:val="single" w:sz="4" w:space="0" w:color="auto"/>
              <w:right w:val="nil"/>
            </w:tcBorders>
          </w:tcPr>
          <w:p w14:paraId="745E2AE9"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sz w:val="20"/>
                <w:szCs w:val="20"/>
              </w:rPr>
              <w:t>21</w:t>
            </w:r>
          </w:p>
        </w:tc>
        <w:tc>
          <w:tcPr>
            <w:tcW w:w="2790" w:type="dxa"/>
            <w:tcBorders>
              <w:top w:val="single" w:sz="4" w:space="0" w:color="auto"/>
              <w:left w:val="nil"/>
              <w:bottom w:val="single" w:sz="4" w:space="0" w:color="auto"/>
            </w:tcBorders>
          </w:tcPr>
          <w:p w14:paraId="5BA131F1"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sz w:val="20"/>
                <w:szCs w:val="20"/>
              </w:rPr>
              <w:t>16.54%</w:t>
            </w:r>
          </w:p>
        </w:tc>
      </w:tr>
      <w:tr w:rsidR="00E62207" w:rsidRPr="00E62207" w14:paraId="64CA72E7" w14:textId="77777777" w:rsidTr="0039713D">
        <w:trPr>
          <w:trHeight w:val="90"/>
        </w:trPr>
        <w:tc>
          <w:tcPr>
            <w:tcW w:w="3240" w:type="dxa"/>
            <w:tcBorders>
              <w:top w:val="single" w:sz="4" w:space="0" w:color="auto"/>
              <w:bottom w:val="single" w:sz="4" w:space="0" w:color="auto"/>
              <w:right w:val="nil"/>
            </w:tcBorders>
            <w:vAlign w:val="center"/>
          </w:tcPr>
          <w:p w14:paraId="431AF8B0"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color w:val="000000"/>
                <w:sz w:val="20"/>
                <w:szCs w:val="20"/>
              </w:rPr>
              <w:t>75-78</w:t>
            </w:r>
          </w:p>
        </w:tc>
        <w:tc>
          <w:tcPr>
            <w:tcW w:w="3060" w:type="dxa"/>
            <w:tcBorders>
              <w:top w:val="single" w:sz="4" w:space="0" w:color="auto"/>
              <w:left w:val="nil"/>
              <w:bottom w:val="single" w:sz="4" w:space="0" w:color="auto"/>
              <w:right w:val="nil"/>
            </w:tcBorders>
          </w:tcPr>
          <w:p w14:paraId="7CC35B84"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sz w:val="20"/>
                <w:szCs w:val="20"/>
              </w:rPr>
              <w:t>43</w:t>
            </w:r>
          </w:p>
        </w:tc>
        <w:tc>
          <w:tcPr>
            <w:tcW w:w="2790" w:type="dxa"/>
            <w:tcBorders>
              <w:top w:val="single" w:sz="4" w:space="0" w:color="auto"/>
              <w:left w:val="nil"/>
              <w:bottom w:val="single" w:sz="4" w:space="0" w:color="auto"/>
            </w:tcBorders>
          </w:tcPr>
          <w:p w14:paraId="6D9AC026"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sz w:val="20"/>
                <w:szCs w:val="20"/>
              </w:rPr>
              <w:t>33.86%</w:t>
            </w:r>
          </w:p>
        </w:tc>
      </w:tr>
      <w:tr w:rsidR="00E62207" w:rsidRPr="00E62207" w14:paraId="219098F7" w14:textId="77777777" w:rsidTr="0039713D">
        <w:trPr>
          <w:trHeight w:val="90"/>
        </w:trPr>
        <w:tc>
          <w:tcPr>
            <w:tcW w:w="3240" w:type="dxa"/>
            <w:tcBorders>
              <w:top w:val="single" w:sz="4" w:space="0" w:color="auto"/>
              <w:bottom w:val="single" w:sz="4" w:space="0" w:color="auto"/>
              <w:right w:val="nil"/>
            </w:tcBorders>
          </w:tcPr>
          <w:p w14:paraId="45A706EC" w14:textId="77777777" w:rsidR="00E62207" w:rsidRPr="00E62207" w:rsidRDefault="00E62207" w:rsidP="0039713D">
            <w:pPr>
              <w:pStyle w:val="NoSpacing"/>
              <w:spacing w:line="360" w:lineRule="auto"/>
              <w:jc w:val="center"/>
              <w:rPr>
                <w:rFonts w:ascii="Arial" w:hAnsi="Arial" w:cs="Arial"/>
                <w:b/>
                <w:bCs/>
                <w:sz w:val="20"/>
                <w:szCs w:val="20"/>
              </w:rPr>
            </w:pPr>
            <w:r w:rsidRPr="00E62207">
              <w:rPr>
                <w:rFonts w:ascii="Arial" w:hAnsi="Arial" w:cs="Arial"/>
                <w:b/>
                <w:bCs/>
                <w:sz w:val="20"/>
                <w:szCs w:val="20"/>
              </w:rPr>
              <w:t>Total</w:t>
            </w:r>
          </w:p>
        </w:tc>
        <w:tc>
          <w:tcPr>
            <w:tcW w:w="3060" w:type="dxa"/>
            <w:tcBorders>
              <w:top w:val="single" w:sz="4" w:space="0" w:color="auto"/>
              <w:left w:val="nil"/>
              <w:bottom w:val="single" w:sz="4" w:space="0" w:color="auto"/>
              <w:right w:val="nil"/>
            </w:tcBorders>
          </w:tcPr>
          <w:p w14:paraId="33C16101" w14:textId="77777777" w:rsidR="00E62207" w:rsidRPr="00E62207" w:rsidRDefault="00E62207" w:rsidP="0039713D">
            <w:pPr>
              <w:pStyle w:val="NoSpacing"/>
              <w:spacing w:line="360" w:lineRule="auto"/>
              <w:jc w:val="center"/>
              <w:rPr>
                <w:rFonts w:ascii="Arial" w:hAnsi="Arial" w:cs="Arial"/>
                <w:b/>
                <w:bCs/>
                <w:sz w:val="20"/>
                <w:szCs w:val="20"/>
              </w:rPr>
            </w:pPr>
            <w:r w:rsidRPr="00E62207">
              <w:rPr>
                <w:rFonts w:ascii="Arial" w:hAnsi="Arial" w:cs="Arial"/>
                <w:b/>
                <w:bCs/>
                <w:sz w:val="20"/>
                <w:szCs w:val="20"/>
              </w:rPr>
              <w:t>127</w:t>
            </w:r>
          </w:p>
        </w:tc>
        <w:tc>
          <w:tcPr>
            <w:tcW w:w="2790" w:type="dxa"/>
            <w:tcBorders>
              <w:top w:val="single" w:sz="4" w:space="0" w:color="auto"/>
              <w:left w:val="nil"/>
              <w:bottom w:val="single" w:sz="4" w:space="0" w:color="auto"/>
            </w:tcBorders>
          </w:tcPr>
          <w:p w14:paraId="1CB331F7" w14:textId="77777777" w:rsidR="00E62207" w:rsidRPr="00E62207" w:rsidRDefault="00E62207" w:rsidP="0039713D">
            <w:pPr>
              <w:pStyle w:val="NoSpacing"/>
              <w:spacing w:line="360" w:lineRule="auto"/>
              <w:jc w:val="center"/>
              <w:rPr>
                <w:rFonts w:ascii="Arial" w:hAnsi="Arial" w:cs="Arial"/>
                <w:b/>
                <w:bCs/>
                <w:sz w:val="20"/>
                <w:szCs w:val="20"/>
              </w:rPr>
            </w:pPr>
            <w:r w:rsidRPr="00E62207">
              <w:rPr>
                <w:rFonts w:ascii="Arial" w:hAnsi="Arial" w:cs="Arial"/>
                <w:b/>
                <w:bCs/>
                <w:sz w:val="20"/>
                <w:szCs w:val="20"/>
              </w:rPr>
              <w:t>100.00%</w:t>
            </w:r>
          </w:p>
        </w:tc>
      </w:tr>
    </w:tbl>
    <w:p w14:paraId="49FB904F" w14:textId="77777777" w:rsidR="00E62207" w:rsidRPr="003A63D0" w:rsidRDefault="00E62207" w:rsidP="003A63D0">
      <w:pPr>
        <w:spacing w:after="0" w:line="240" w:lineRule="auto"/>
        <w:rPr>
          <w:rFonts w:ascii="Arial" w:hAnsi="Arial" w:cs="Arial"/>
          <w:b/>
          <w:bCs/>
          <w:sz w:val="20"/>
          <w:szCs w:val="20"/>
        </w:rPr>
      </w:pPr>
    </w:p>
    <w:p w14:paraId="60A30F33" w14:textId="77777777" w:rsidR="00E62207" w:rsidRDefault="00E62207" w:rsidP="003A63D0">
      <w:pPr>
        <w:spacing w:after="0" w:line="240" w:lineRule="auto"/>
        <w:rPr>
          <w:rFonts w:ascii="Arial" w:hAnsi="Arial" w:cs="Arial"/>
          <w:b/>
          <w:bCs/>
          <w:i/>
          <w:iCs/>
          <w:sz w:val="20"/>
          <w:szCs w:val="20"/>
        </w:rPr>
      </w:pPr>
    </w:p>
    <w:p w14:paraId="71AA9A2D" w14:textId="77777777" w:rsidR="00E62207" w:rsidRDefault="00E62207" w:rsidP="003A63D0">
      <w:pPr>
        <w:spacing w:after="0" w:line="240" w:lineRule="auto"/>
        <w:rPr>
          <w:rFonts w:ascii="Arial" w:hAnsi="Arial" w:cs="Arial"/>
          <w:b/>
          <w:bCs/>
          <w:i/>
          <w:iCs/>
          <w:sz w:val="20"/>
          <w:szCs w:val="20"/>
        </w:rPr>
      </w:pPr>
    </w:p>
    <w:p w14:paraId="65CD0574" w14:textId="6A8B00CD" w:rsidR="00E618D3" w:rsidRPr="003A63D0" w:rsidRDefault="00E618D3" w:rsidP="003A63D0">
      <w:pPr>
        <w:spacing w:after="0" w:line="240" w:lineRule="auto"/>
        <w:rPr>
          <w:rFonts w:ascii="Arial" w:hAnsi="Arial" w:cs="Arial"/>
          <w:b/>
          <w:bCs/>
          <w:i/>
          <w:iCs/>
          <w:sz w:val="20"/>
          <w:szCs w:val="20"/>
        </w:rPr>
      </w:pPr>
      <w:r w:rsidRPr="003A63D0">
        <w:rPr>
          <w:rFonts w:ascii="Arial" w:hAnsi="Arial" w:cs="Arial"/>
          <w:b/>
          <w:bCs/>
          <w:i/>
          <w:iCs/>
          <w:sz w:val="20"/>
          <w:szCs w:val="20"/>
        </w:rPr>
        <w:t>Relationships between MA and MSE and MP</w:t>
      </w:r>
    </w:p>
    <w:p w14:paraId="05572E7A" w14:textId="77777777" w:rsidR="00E618D3" w:rsidRPr="003A63D0" w:rsidRDefault="00E618D3" w:rsidP="003A63D0">
      <w:pPr>
        <w:spacing w:after="0" w:line="240" w:lineRule="auto"/>
        <w:rPr>
          <w:rFonts w:ascii="Arial" w:hAnsi="Arial" w:cs="Arial"/>
          <w:b/>
          <w:bCs/>
          <w:i/>
          <w:iCs/>
          <w:sz w:val="20"/>
          <w:szCs w:val="20"/>
        </w:rPr>
      </w:pPr>
    </w:p>
    <w:p w14:paraId="34BB18A4" w14:textId="0FEB5AC9" w:rsidR="00E62207" w:rsidRDefault="00E62207" w:rsidP="00E62207">
      <w:pPr>
        <w:spacing w:after="0" w:line="240" w:lineRule="auto"/>
        <w:ind w:firstLine="720"/>
        <w:jc w:val="both"/>
        <w:rPr>
          <w:rFonts w:ascii="Arial" w:hAnsi="Arial" w:cs="Arial"/>
          <w:sz w:val="20"/>
          <w:szCs w:val="20"/>
        </w:rPr>
      </w:pPr>
      <w:r w:rsidRPr="00E62207">
        <w:rPr>
          <w:rFonts w:ascii="Arial" w:hAnsi="Arial" w:cs="Arial"/>
          <w:sz w:val="20"/>
          <w:szCs w:val="20"/>
        </w:rPr>
        <w:t>Table 4 presents the Pearson correlation coefficients among mathematics self-efficacy, mathematics anxiety, and academic performance. The results reveal a moderate positive correlation between mathematics self-efficacy and mathematics anxiety (r = .65), which is notably inconsistent with existing literature that typically reports a negative association between these constructs</w:t>
      </w:r>
      <w:r>
        <w:rPr>
          <w:rFonts w:ascii="Arial" w:hAnsi="Arial" w:cs="Arial"/>
          <w:sz w:val="20"/>
          <w:szCs w:val="20"/>
        </w:rPr>
        <w:t xml:space="preserve">. </w:t>
      </w:r>
      <w:r w:rsidRPr="00E62207">
        <w:rPr>
          <w:rFonts w:ascii="Arial" w:hAnsi="Arial" w:cs="Arial"/>
          <w:sz w:val="20"/>
          <w:szCs w:val="20"/>
        </w:rPr>
        <w:t>This unexpected finding suggests that students who perceive themselves as competent in mathematics may also experience heightened anxiety—possibly due to increased performance expectations, fear of failure, or a high-pressure academic environment that undermines emotional well-being despite cognitive confidence.</w:t>
      </w:r>
      <w:r w:rsidR="00B45FCF">
        <w:rPr>
          <w:rFonts w:ascii="Arial" w:hAnsi="Arial" w:cs="Arial"/>
          <w:sz w:val="20"/>
          <w:szCs w:val="20"/>
        </w:rPr>
        <w:t xml:space="preserve"> </w:t>
      </w:r>
      <w:r w:rsidR="00B45FCF" w:rsidRPr="00B45FCF">
        <w:rPr>
          <w:rFonts w:ascii="Arial" w:hAnsi="Arial" w:cs="Arial"/>
          <w:sz w:val="20"/>
          <w:szCs w:val="20"/>
        </w:rPr>
        <w:t>Similar patterns were observed in the study of Magnate and Sulatra (2023), who found that mathematics self-efficacy and anxiety, although distinct constructs, both influence academic performance independently and may not always be inversely correlated.</w:t>
      </w:r>
    </w:p>
    <w:p w14:paraId="280975A8" w14:textId="41448708" w:rsidR="006E3E03" w:rsidRDefault="00E62207" w:rsidP="006E3E03">
      <w:pPr>
        <w:spacing w:after="0" w:line="240" w:lineRule="auto"/>
        <w:ind w:firstLine="720"/>
        <w:jc w:val="both"/>
        <w:rPr>
          <w:rFonts w:ascii="Arial" w:hAnsi="Arial" w:cs="Arial"/>
          <w:sz w:val="20"/>
          <w:szCs w:val="20"/>
        </w:rPr>
      </w:pPr>
      <w:r w:rsidRPr="00E62207">
        <w:rPr>
          <w:rFonts w:ascii="Arial" w:hAnsi="Arial" w:cs="Arial"/>
          <w:sz w:val="20"/>
          <w:szCs w:val="20"/>
        </w:rPr>
        <w:t xml:space="preserve">Additionally, mathematics self-efficacy exhibited a weak negative correlation with academic performance (r = −.09), and mathematics anxiety showed a similarly weak negative correlation with academic performance (r = −.10). While these directions are generally aligned with findings from previous research, the low magnitudes suggest that the linear relationships among these variables are </w:t>
      </w:r>
      <w:r w:rsidRPr="00E62207">
        <w:rPr>
          <w:rFonts w:ascii="Arial" w:hAnsi="Arial" w:cs="Arial"/>
          <w:sz w:val="20"/>
          <w:szCs w:val="20"/>
        </w:rPr>
        <w:lastRenderedPageBreak/>
        <w:t>minimal in the present sample. Prior studies have consistently demonstrated that mathematics self-efficacy is positively related to achievement</w:t>
      </w:r>
      <w:r w:rsidR="005B5C30">
        <w:rPr>
          <w:rFonts w:ascii="Arial" w:hAnsi="Arial" w:cs="Arial"/>
          <w:sz w:val="20"/>
          <w:szCs w:val="20"/>
        </w:rPr>
        <w:t xml:space="preserve">, </w:t>
      </w:r>
      <w:r w:rsidRPr="00E62207">
        <w:rPr>
          <w:rFonts w:ascii="Arial" w:hAnsi="Arial" w:cs="Arial"/>
          <w:sz w:val="20"/>
          <w:szCs w:val="20"/>
        </w:rPr>
        <w:t>while mathematics anxiety is negatively associated with performance. The weak correlations found here may reflect the influence of other mediating variables not directly measured in this study, such as instructional quality, peer dynamics, prior knowledge, or assessment practices.</w:t>
      </w:r>
      <w:r w:rsidR="00B45FCF">
        <w:rPr>
          <w:rFonts w:ascii="Arial" w:hAnsi="Arial" w:cs="Arial"/>
          <w:sz w:val="20"/>
          <w:szCs w:val="20"/>
        </w:rPr>
        <w:t xml:space="preserve"> </w:t>
      </w:r>
      <w:r w:rsidR="00B45FCF" w:rsidRPr="00B45FCF">
        <w:rPr>
          <w:rFonts w:ascii="Arial" w:hAnsi="Arial" w:cs="Arial"/>
          <w:sz w:val="20"/>
          <w:szCs w:val="20"/>
        </w:rPr>
        <w:t>For instance, Ruijia et al. (2023) highlighted that math anxiety partially mediates the relationship between self-efficacy and achievement, emphasizing the need to consider complex interaction effects beyond direct correlations.</w:t>
      </w:r>
    </w:p>
    <w:p w14:paraId="5928D4D6" w14:textId="5DFE45CB" w:rsidR="006E3E03" w:rsidRDefault="006E3E03" w:rsidP="006E3E03">
      <w:pPr>
        <w:spacing w:after="0" w:line="240" w:lineRule="auto"/>
        <w:ind w:firstLine="720"/>
        <w:jc w:val="both"/>
        <w:rPr>
          <w:rFonts w:ascii="Arial" w:hAnsi="Arial" w:cs="Arial"/>
          <w:sz w:val="20"/>
          <w:szCs w:val="20"/>
        </w:rPr>
      </w:pPr>
      <w:r w:rsidRPr="006E3E03">
        <w:rPr>
          <w:rFonts w:ascii="Arial" w:hAnsi="Arial" w:cs="Arial"/>
          <w:sz w:val="20"/>
          <w:szCs w:val="20"/>
        </w:rPr>
        <w:t>The findings regarding the relationships among mathematics self-efficacy, mathematics anxiety, and academic performance present an intriguing contrast to existing literature. Saadati et al. (2021) examined the mediating role of mathematics interest and academic stress in the relationship between self-efficacy and achievement, reinforcing the conventional view that self-efficacy positively influences performance while anxiety serves as a barrier. Their study suggests that students with higher self-efficacy tend to experience lower academic stress, which contradicts the moderate positive correlation observed in Table 4.</w:t>
      </w:r>
    </w:p>
    <w:p w14:paraId="13631A05" w14:textId="7EC86724" w:rsidR="006E3E03" w:rsidRDefault="006E3E03" w:rsidP="006E3E03">
      <w:pPr>
        <w:spacing w:after="0" w:line="240" w:lineRule="auto"/>
        <w:ind w:firstLine="720"/>
        <w:jc w:val="both"/>
        <w:rPr>
          <w:rFonts w:ascii="Arial" w:hAnsi="Arial" w:cs="Arial"/>
          <w:sz w:val="20"/>
          <w:szCs w:val="20"/>
        </w:rPr>
      </w:pPr>
      <w:r w:rsidRPr="006E3E03">
        <w:rPr>
          <w:rFonts w:ascii="Arial" w:hAnsi="Arial" w:cs="Arial"/>
          <w:sz w:val="20"/>
          <w:szCs w:val="20"/>
        </w:rPr>
        <w:t>Ramirez et al. (2018) provided a comprehensive review of math anxiety, discussing promising interventions and alternative interpretations of its effects on learning. Their findings align with the weak negative correlation between anxiety and academic performance observed in Table 4, supporting the notion that anxiety can hinder achievement but may not be the sole determinant of success.</w:t>
      </w:r>
    </w:p>
    <w:p w14:paraId="0ED46CB6" w14:textId="64E84E15" w:rsidR="006E3E03" w:rsidRDefault="006E3E03" w:rsidP="006E3E03">
      <w:pPr>
        <w:spacing w:after="0" w:line="240" w:lineRule="auto"/>
        <w:ind w:firstLine="720"/>
        <w:jc w:val="both"/>
        <w:rPr>
          <w:rFonts w:ascii="Arial" w:hAnsi="Arial" w:cs="Arial"/>
          <w:sz w:val="20"/>
          <w:szCs w:val="20"/>
        </w:rPr>
      </w:pPr>
      <w:r w:rsidRPr="006E3E03">
        <w:rPr>
          <w:rFonts w:ascii="Arial" w:hAnsi="Arial" w:cs="Arial"/>
          <w:sz w:val="20"/>
          <w:szCs w:val="20"/>
        </w:rPr>
        <w:t>Pekrun (2006) introduced the control-value theory of achievement emotions, which offers a potential explanation for the unexpected positive correlation between self-efficacy and anxiety. His framework suggests that students who perceive themselves as competent may simultaneously experience heightened anxiety due to the pressure of maintaining high performance standards. This aligns with the possibility that students internalize high expectations, leading to emotional distress despite their confidence in mathematical abilities</w:t>
      </w:r>
      <w:r w:rsidR="00653C9C">
        <w:rPr>
          <w:rFonts w:ascii="Arial" w:hAnsi="Arial" w:cs="Arial"/>
          <w:sz w:val="20"/>
          <w:szCs w:val="20"/>
        </w:rPr>
        <w:t xml:space="preserve"> (Nobis et al, 2024)</w:t>
      </w:r>
      <w:r w:rsidRPr="006E3E03">
        <w:rPr>
          <w:rFonts w:ascii="Arial" w:hAnsi="Arial" w:cs="Arial"/>
          <w:sz w:val="20"/>
          <w:szCs w:val="20"/>
        </w:rPr>
        <w:t>.</w:t>
      </w:r>
    </w:p>
    <w:p w14:paraId="7D817D27" w14:textId="349AE96F" w:rsidR="006E3E03" w:rsidRDefault="006E3E03" w:rsidP="006E3E03">
      <w:pPr>
        <w:spacing w:after="0" w:line="240" w:lineRule="auto"/>
        <w:ind w:firstLine="720"/>
        <w:jc w:val="both"/>
        <w:rPr>
          <w:rFonts w:ascii="Arial" w:hAnsi="Arial" w:cs="Arial"/>
          <w:sz w:val="20"/>
          <w:szCs w:val="20"/>
        </w:rPr>
      </w:pPr>
      <w:r w:rsidRPr="006E3E03">
        <w:rPr>
          <w:rFonts w:ascii="Arial" w:hAnsi="Arial" w:cs="Arial"/>
          <w:sz w:val="20"/>
          <w:szCs w:val="20"/>
        </w:rPr>
        <w:t>Bongcac (2021) investigated self-efficacy and anxiety as determinants of mathematical achievement among Grade 7 students, reinforcing the traditional view that higher self-efficacy correlates with lower anxiety. The discrepancy between his findings</w:t>
      </w:r>
      <w:r w:rsidR="00C044EA">
        <w:rPr>
          <w:rFonts w:ascii="Arial" w:hAnsi="Arial" w:cs="Arial"/>
          <w:sz w:val="20"/>
          <w:szCs w:val="20"/>
        </w:rPr>
        <w:t xml:space="preserve"> </w:t>
      </w:r>
      <w:r w:rsidRPr="006E3E03">
        <w:rPr>
          <w:rFonts w:ascii="Arial" w:hAnsi="Arial" w:cs="Arial"/>
          <w:sz w:val="20"/>
          <w:szCs w:val="20"/>
        </w:rPr>
        <w:t>suggests that contextual factors, such as academic pressure or cultural expectations, may influence the relationship differently in various student populations.</w:t>
      </w:r>
    </w:p>
    <w:p w14:paraId="2F9C4334" w14:textId="5D2F655E" w:rsidR="00B45FCF" w:rsidRPr="00B45FCF" w:rsidRDefault="00B45FCF" w:rsidP="006E3E03">
      <w:pPr>
        <w:spacing w:after="0" w:line="240" w:lineRule="auto"/>
        <w:ind w:firstLine="720"/>
        <w:jc w:val="both"/>
        <w:rPr>
          <w:rFonts w:ascii="Arial" w:hAnsi="Arial" w:cs="Arial"/>
          <w:sz w:val="20"/>
          <w:szCs w:val="20"/>
        </w:rPr>
      </w:pPr>
      <w:r w:rsidRPr="00B45FCF">
        <w:rPr>
          <w:rFonts w:ascii="Arial" w:hAnsi="Arial" w:cs="Arial"/>
          <w:sz w:val="20"/>
          <w:szCs w:val="20"/>
        </w:rPr>
        <w:t>Cuevas and Berou (2023) also affirmed the typical inverse relationship between mathematics self-efficacy and anxiety in their study on Grade 7 Filipino students, linking higher self-efficacy with improved performance and reduced anxiety. Meanwhile, Mahmoudifar and Beiki (2023) emphasized the influence of instructional strategies on students' emotional responses, supporting the idea that appropriate pedagogical interventions may moderate both self-efficacy and anxiety outcomes.</w:t>
      </w:r>
    </w:p>
    <w:p w14:paraId="571CE0DF" w14:textId="583CB5D6" w:rsidR="00E461CD" w:rsidRDefault="006E3E03" w:rsidP="00E461CD">
      <w:pPr>
        <w:spacing w:after="0" w:line="240" w:lineRule="auto"/>
        <w:ind w:firstLine="720"/>
        <w:jc w:val="both"/>
        <w:rPr>
          <w:rFonts w:ascii="Arial" w:hAnsi="Arial" w:cs="Arial"/>
          <w:sz w:val="20"/>
          <w:szCs w:val="20"/>
        </w:rPr>
      </w:pPr>
      <w:r w:rsidRPr="006E3E03">
        <w:rPr>
          <w:rFonts w:ascii="Arial" w:hAnsi="Arial" w:cs="Arial"/>
          <w:sz w:val="20"/>
          <w:szCs w:val="20"/>
        </w:rPr>
        <w:t>Ablian et al. (2021) explored mathematics anxiety and self-efficacy among senior high school students, emphasizing the role of instructional strategies in shaping students' emotional responses to mathematics. Their study supports the idea that targeted interventions, such as stress management techniques and confidence-building activities, can mitigate the negative effects of anxiety on performance.</w:t>
      </w:r>
    </w:p>
    <w:p w14:paraId="293D2BB1" w14:textId="77777777" w:rsidR="00E461CD" w:rsidRPr="00E461CD" w:rsidRDefault="00E461CD" w:rsidP="00E461CD">
      <w:pPr>
        <w:spacing w:after="0" w:line="240" w:lineRule="auto"/>
        <w:ind w:firstLine="720"/>
        <w:jc w:val="both"/>
        <w:rPr>
          <w:rFonts w:ascii="Arial" w:hAnsi="Arial" w:cs="Arial"/>
          <w:sz w:val="20"/>
          <w:szCs w:val="20"/>
        </w:rPr>
      </w:pPr>
      <w:r w:rsidRPr="00E461CD">
        <w:rPr>
          <w:rFonts w:ascii="Arial" w:hAnsi="Arial" w:cs="Arial"/>
          <w:sz w:val="20"/>
          <w:szCs w:val="20"/>
        </w:rPr>
        <w:t>In support of such instructional interventions, Tshering and Dorji (2022) demonstrated that cooperative learning strategies significantly improved the mathematics achievement of Grade Six students. Their findings suggest that collaborative environments may reduce both anxiety and performance pressure, allowing students to build confidence through peer support and shared problem-solving—elements that could also help explain the complex dynamics between self-efficacy and anxiety in the current study.</w:t>
      </w:r>
    </w:p>
    <w:p w14:paraId="5C25EBE9" w14:textId="5DB738D8" w:rsidR="00E461CD" w:rsidRDefault="00E461CD" w:rsidP="00E461CD">
      <w:pPr>
        <w:spacing w:after="0" w:line="240" w:lineRule="auto"/>
        <w:ind w:firstLine="720"/>
        <w:jc w:val="both"/>
        <w:rPr>
          <w:rFonts w:ascii="Arial" w:hAnsi="Arial" w:cs="Arial"/>
          <w:sz w:val="20"/>
          <w:szCs w:val="20"/>
        </w:rPr>
      </w:pPr>
      <w:r w:rsidRPr="00E461CD">
        <w:rPr>
          <w:rFonts w:ascii="Arial" w:hAnsi="Arial" w:cs="Arial"/>
          <w:sz w:val="20"/>
          <w:szCs w:val="20"/>
        </w:rPr>
        <w:t>Similarly, Nakhanu et al. (2015) emphasized the importance of real-life application in learning mathematics. Their study found that when students connected abstract mathematical concepts to real-life contexts, they were better able to internalize understanding and reduce anxiety. This highlights how instructional relevance and applied learning approaches can influence both emotional and academic outcomes in mathematics education.</w:t>
      </w:r>
    </w:p>
    <w:p w14:paraId="7A1D6280" w14:textId="798DC9B9" w:rsidR="00E461CD" w:rsidRDefault="00E461CD" w:rsidP="006E3E03">
      <w:pPr>
        <w:spacing w:after="0" w:line="240" w:lineRule="auto"/>
        <w:ind w:firstLine="720"/>
        <w:jc w:val="both"/>
        <w:rPr>
          <w:rFonts w:ascii="Arial" w:hAnsi="Arial" w:cs="Arial"/>
          <w:sz w:val="20"/>
          <w:szCs w:val="20"/>
        </w:rPr>
      </w:pPr>
      <w:r w:rsidRPr="00E461CD">
        <w:rPr>
          <w:rFonts w:ascii="Arial" w:hAnsi="Arial" w:cs="Arial"/>
          <w:sz w:val="20"/>
          <w:szCs w:val="20"/>
        </w:rPr>
        <w:t>Altogether, the findings point to a complex and nuanced relationship among mathematics self-efficacy, anxiety, and performance</w:t>
      </w:r>
      <w:r>
        <w:rPr>
          <w:rFonts w:ascii="Arial" w:hAnsi="Arial" w:cs="Arial"/>
          <w:sz w:val="20"/>
          <w:szCs w:val="20"/>
        </w:rPr>
        <w:t xml:space="preserve"> </w:t>
      </w:r>
      <w:r w:rsidRPr="00E461CD">
        <w:rPr>
          <w:rFonts w:ascii="Arial" w:hAnsi="Arial" w:cs="Arial"/>
          <w:sz w:val="20"/>
          <w:szCs w:val="20"/>
        </w:rPr>
        <w:t>one that may not conform neatly to established expectations. The observed patterns suggest that improving mathematics outcomes requires more than boosting cognitive skills; it necessitates addressing emotional and contextual factors that shape students’ learning experiences. Interventions that combine conceptual clarity, emotional support, collaborative learning, and real-world application</w:t>
      </w:r>
      <w:r>
        <w:rPr>
          <w:rFonts w:ascii="Arial" w:hAnsi="Arial" w:cs="Arial"/>
          <w:sz w:val="20"/>
          <w:szCs w:val="20"/>
        </w:rPr>
        <w:t xml:space="preserve"> </w:t>
      </w:r>
      <w:r w:rsidRPr="00E461CD">
        <w:rPr>
          <w:rFonts w:ascii="Arial" w:hAnsi="Arial" w:cs="Arial"/>
          <w:sz w:val="20"/>
          <w:szCs w:val="20"/>
        </w:rPr>
        <w:t>as highlighted in studies by Tshering and Dorji (2022) and Nakhanu et al. (2015)</w:t>
      </w:r>
      <w:r>
        <w:rPr>
          <w:rFonts w:ascii="Arial" w:hAnsi="Arial" w:cs="Arial"/>
          <w:sz w:val="20"/>
          <w:szCs w:val="20"/>
        </w:rPr>
        <w:t xml:space="preserve">, </w:t>
      </w:r>
      <w:r w:rsidRPr="00E461CD">
        <w:rPr>
          <w:rFonts w:ascii="Arial" w:hAnsi="Arial" w:cs="Arial"/>
          <w:sz w:val="20"/>
          <w:szCs w:val="20"/>
        </w:rPr>
        <w:t>may offer a more holistic path toward fostering mathematical confidence and achievement.</w:t>
      </w:r>
    </w:p>
    <w:p w14:paraId="2ADBAF02" w14:textId="558F8FC3" w:rsidR="00E461CD" w:rsidRPr="00E461CD" w:rsidRDefault="00E461CD" w:rsidP="006E3E03">
      <w:pPr>
        <w:spacing w:after="0" w:line="240" w:lineRule="auto"/>
        <w:ind w:firstLine="720"/>
        <w:jc w:val="both"/>
        <w:rPr>
          <w:rFonts w:ascii="Arial" w:hAnsi="Arial" w:cs="Arial"/>
          <w:sz w:val="20"/>
          <w:szCs w:val="20"/>
        </w:rPr>
        <w:sectPr w:rsidR="00E461CD" w:rsidRPr="00E461CD" w:rsidSect="009D0B15">
          <w:headerReference w:type="even" r:id="rId18"/>
          <w:headerReference w:type="default" r:id="rId19"/>
          <w:footerReference w:type="default" r:id="rId20"/>
          <w:headerReference w:type="first" r:id="rId21"/>
          <w:type w:val="continuous"/>
          <w:pgSz w:w="11907" w:h="16839"/>
          <w:pgMar w:top="1440" w:right="1440" w:bottom="1440" w:left="1440" w:header="720" w:footer="720" w:gutter="0"/>
          <w:cols w:space="695"/>
          <w:docGrid w:linePitch="360"/>
        </w:sectPr>
      </w:pPr>
    </w:p>
    <w:p w14:paraId="4AD37D69" w14:textId="77777777" w:rsidR="005B5C30" w:rsidRDefault="005B5C30" w:rsidP="005B5C30">
      <w:pPr>
        <w:pStyle w:val="NoSpacing"/>
        <w:spacing w:line="360" w:lineRule="auto"/>
        <w:jc w:val="center"/>
        <w:rPr>
          <w:rFonts w:ascii="Arial" w:hAnsi="Arial" w:cs="Arial"/>
          <w:b/>
          <w:bCs/>
          <w:sz w:val="20"/>
          <w:szCs w:val="20"/>
        </w:rPr>
      </w:pPr>
    </w:p>
    <w:p w14:paraId="797950EE" w14:textId="77777777" w:rsidR="00B45FCF" w:rsidRDefault="00B45FCF" w:rsidP="00E461CD">
      <w:pPr>
        <w:pStyle w:val="NoSpacing"/>
        <w:spacing w:line="360" w:lineRule="auto"/>
        <w:rPr>
          <w:rFonts w:ascii="Arial" w:hAnsi="Arial" w:cs="Arial"/>
          <w:b/>
          <w:bCs/>
          <w:sz w:val="20"/>
          <w:szCs w:val="20"/>
        </w:rPr>
      </w:pPr>
    </w:p>
    <w:p w14:paraId="150C4423" w14:textId="6929CD95" w:rsidR="00B2493F" w:rsidRPr="003A63D0" w:rsidRDefault="005B5C30" w:rsidP="005B5C30">
      <w:pPr>
        <w:pStyle w:val="NoSpacing"/>
        <w:spacing w:line="360" w:lineRule="auto"/>
        <w:jc w:val="center"/>
        <w:rPr>
          <w:rFonts w:ascii="Arial" w:hAnsi="Arial" w:cs="Arial"/>
          <w:b/>
          <w:bCs/>
          <w:sz w:val="20"/>
          <w:szCs w:val="20"/>
        </w:rPr>
      </w:pPr>
      <w:r w:rsidRPr="003A63D0">
        <w:rPr>
          <w:rFonts w:ascii="Arial" w:hAnsi="Arial" w:cs="Arial"/>
          <w:b/>
          <w:bCs/>
          <w:sz w:val="20"/>
          <w:szCs w:val="20"/>
        </w:rPr>
        <w:lastRenderedPageBreak/>
        <w:t>Table 4 Relationship of Mathematics Self-efficacy and Anxiety and Mathematics Performance of the Respondents</w:t>
      </w:r>
    </w:p>
    <w:tbl>
      <w:tblPr>
        <w:tblpPr w:leftFromText="180" w:rightFromText="180" w:vertAnchor="text" w:horzAnchor="margin" w:tblpY="87"/>
        <w:tblW w:w="9114" w:type="dxa"/>
        <w:tblLook w:val="04A0" w:firstRow="1" w:lastRow="0" w:firstColumn="1" w:lastColumn="0" w:noHBand="0" w:noVBand="1"/>
      </w:tblPr>
      <w:tblGrid>
        <w:gridCol w:w="2430"/>
        <w:gridCol w:w="2468"/>
        <w:gridCol w:w="2123"/>
        <w:gridCol w:w="2093"/>
      </w:tblGrid>
      <w:tr w:rsidR="00B2493F" w:rsidRPr="005B5C30" w14:paraId="3A22B512" w14:textId="77777777" w:rsidTr="00515034">
        <w:trPr>
          <w:trHeight w:val="364"/>
        </w:trPr>
        <w:tc>
          <w:tcPr>
            <w:tcW w:w="2430" w:type="dxa"/>
            <w:tcBorders>
              <w:top w:val="single" w:sz="8" w:space="0" w:color="auto"/>
              <w:left w:val="nil"/>
              <w:bottom w:val="single" w:sz="4" w:space="0" w:color="auto"/>
              <w:right w:val="nil"/>
            </w:tcBorders>
            <w:shd w:val="clear" w:color="auto" w:fill="auto"/>
            <w:noWrap/>
            <w:vAlign w:val="bottom"/>
            <w:hideMark/>
          </w:tcPr>
          <w:p w14:paraId="5C246395" w14:textId="77777777" w:rsidR="00B2493F" w:rsidRPr="005B5C30" w:rsidRDefault="00B2493F" w:rsidP="003A63D0">
            <w:pPr>
              <w:spacing w:after="0" w:line="240" w:lineRule="auto"/>
              <w:jc w:val="center"/>
              <w:rPr>
                <w:rFonts w:ascii="Arial" w:eastAsia="Times New Roman" w:hAnsi="Arial" w:cs="Arial"/>
                <w:i/>
                <w:iCs/>
                <w:color w:val="000000"/>
                <w:sz w:val="20"/>
                <w:szCs w:val="20"/>
                <w:lang w:eastAsia="en-US"/>
              </w:rPr>
            </w:pPr>
            <w:r w:rsidRPr="005B5C30">
              <w:rPr>
                <w:rFonts w:ascii="Arial" w:eastAsia="Times New Roman" w:hAnsi="Arial" w:cs="Arial"/>
                <w:i/>
                <w:iCs/>
                <w:color w:val="000000"/>
                <w:sz w:val="20"/>
                <w:szCs w:val="20"/>
                <w:lang w:eastAsia="en-US"/>
              </w:rPr>
              <w:t> </w:t>
            </w:r>
          </w:p>
        </w:tc>
        <w:tc>
          <w:tcPr>
            <w:tcW w:w="2468" w:type="dxa"/>
            <w:tcBorders>
              <w:top w:val="single" w:sz="8" w:space="0" w:color="auto"/>
              <w:left w:val="nil"/>
              <w:bottom w:val="single" w:sz="4" w:space="0" w:color="auto"/>
              <w:right w:val="nil"/>
            </w:tcBorders>
            <w:shd w:val="clear" w:color="auto" w:fill="auto"/>
            <w:noWrap/>
            <w:vAlign w:val="bottom"/>
            <w:hideMark/>
          </w:tcPr>
          <w:p w14:paraId="7B0D3CF1" w14:textId="77777777" w:rsidR="00B2493F" w:rsidRPr="005B5C30" w:rsidRDefault="00B2493F" w:rsidP="003A63D0">
            <w:pPr>
              <w:spacing w:after="0" w:line="240" w:lineRule="auto"/>
              <w:jc w:val="center"/>
              <w:rPr>
                <w:rFonts w:ascii="Arial" w:eastAsia="Times New Roman" w:hAnsi="Arial" w:cs="Arial"/>
                <w:i/>
                <w:iCs/>
                <w:color w:val="000000"/>
                <w:sz w:val="20"/>
                <w:szCs w:val="20"/>
                <w:lang w:eastAsia="en-US"/>
              </w:rPr>
            </w:pPr>
            <w:r w:rsidRPr="005B5C30">
              <w:rPr>
                <w:rFonts w:ascii="Arial" w:eastAsia="Times New Roman" w:hAnsi="Arial" w:cs="Arial"/>
                <w:i/>
                <w:iCs/>
                <w:color w:val="000000"/>
                <w:sz w:val="20"/>
                <w:szCs w:val="20"/>
                <w:lang w:eastAsia="en-US"/>
              </w:rPr>
              <w:t>Mathematics Self-Efficacy</w:t>
            </w:r>
          </w:p>
        </w:tc>
        <w:tc>
          <w:tcPr>
            <w:tcW w:w="2123" w:type="dxa"/>
            <w:tcBorders>
              <w:top w:val="single" w:sz="8" w:space="0" w:color="auto"/>
              <w:left w:val="nil"/>
              <w:bottom w:val="single" w:sz="4" w:space="0" w:color="auto"/>
              <w:right w:val="nil"/>
            </w:tcBorders>
            <w:shd w:val="clear" w:color="auto" w:fill="auto"/>
            <w:noWrap/>
            <w:vAlign w:val="bottom"/>
            <w:hideMark/>
          </w:tcPr>
          <w:p w14:paraId="45E7E662" w14:textId="77777777" w:rsidR="00B2493F" w:rsidRPr="005B5C30" w:rsidRDefault="00B2493F" w:rsidP="003A63D0">
            <w:pPr>
              <w:spacing w:after="0" w:line="240" w:lineRule="auto"/>
              <w:jc w:val="center"/>
              <w:rPr>
                <w:rFonts w:ascii="Arial" w:eastAsia="Times New Roman" w:hAnsi="Arial" w:cs="Arial"/>
                <w:i/>
                <w:iCs/>
                <w:color w:val="000000"/>
                <w:sz w:val="20"/>
                <w:szCs w:val="20"/>
                <w:lang w:eastAsia="en-US"/>
              </w:rPr>
            </w:pPr>
            <w:r w:rsidRPr="005B5C30">
              <w:rPr>
                <w:rFonts w:ascii="Arial" w:eastAsia="Times New Roman" w:hAnsi="Arial" w:cs="Arial"/>
                <w:i/>
                <w:iCs/>
                <w:color w:val="000000"/>
                <w:sz w:val="20"/>
                <w:szCs w:val="20"/>
                <w:lang w:eastAsia="en-US"/>
              </w:rPr>
              <w:t>Mathematics Anxiety</w:t>
            </w:r>
          </w:p>
        </w:tc>
        <w:tc>
          <w:tcPr>
            <w:tcW w:w="2093" w:type="dxa"/>
            <w:tcBorders>
              <w:top w:val="single" w:sz="8" w:space="0" w:color="auto"/>
              <w:left w:val="nil"/>
              <w:bottom w:val="single" w:sz="4" w:space="0" w:color="auto"/>
              <w:right w:val="nil"/>
            </w:tcBorders>
            <w:shd w:val="clear" w:color="auto" w:fill="auto"/>
            <w:noWrap/>
            <w:vAlign w:val="bottom"/>
            <w:hideMark/>
          </w:tcPr>
          <w:p w14:paraId="6C7E08C1" w14:textId="77777777" w:rsidR="00B2493F" w:rsidRPr="005B5C30" w:rsidRDefault="00B2493F" w:rsidP="003A63D0">
            <w:pPr>
              <w:spacing w:after="0" w:line="240" w:lineRule="auto"/>
              <w:jc w:val="center"/>
              <w:rPr>
                <w:rFonts w:ascii="Arial" w:eastAsia="Times New Roman" w:hAnsi="Arial" w:cs="Arial"/>
                <w:i/>
                <w:iCs/>
                <w:color w:val="000000"/>
                <w:sz w:val="20"/>
                <w:szCs w:val="20"/>
                <w:lang w:eastAsia="en-US"/>
              </w:rPr>
            </w:pPr>
            <w:r w:rsidRPr="005B5C30">
              <w:rPr>
                <w:rFonts w:ascii="Arial" w:eastAsia="Times New Roman" w:hAnsi="Arial" w:cs="Arial"/>
                <w:i/>
                <w:iCs/>
                <w:color w:val="000000"/>
                <w:sz w:val="20"/>
                <w:szCs w:val="20"/>
                <w:lang w:eastAsia="en-US"/>
              </w:rPr>
              <w:t>Academic Performance</w:t>
            </w:r>
          </w:p>
        </w:tc>
      </w:tr>
      <w:tr w:rsidR="00B2493F" w:rsidRPr="005B5C30" w14:paraId="4242B2BF" w14:textId="77777777" w:rsidTr="00515034">
        <w:trPr>
          <w:trHeight w:val="364"/>
        </w:trPr>
        <w:tc>
          <w:tcPr>
            <w:tcW w:w="2430" w:type="dxa"/>
            <w:tcBorders>
              <w:top w:val="nil"/>
              <w:left w:val="nil"/>
              <w:bottom w:val="nil"/>
              <w:right w:val="nil"/>
            </w:tcBorders>
            <w:shd w:val="clear" w:color="auto" w:fill="auto"/>
            <w:noWrap/>
            <w:vAlign w:val="bottom"/>
            <w:hideMark/>
          </w:tcPr>
          <w:p w14:paraId="60894F2D" w14:textId="77777777" w:rsidR="00B2493F" w:rsidRPr="005B5C30" w:rsidRDefault="00B2493F" w:rsidP="003A63D0">
            <w:pPr>
              <w:spacing w:after="0" w:line="240" w:lineRule="auto"/>
              <w:rPr>
                <w:rFonts w:ascii="Arial" w:eastAsia="Times New Roman" w:hAnsi="Arial" w:cs="Arial"/>
                <w:color w:val="000000"/>
                <w:sz w:val="20"/>
                <w:szCs w:val="20"/>
                <w:lang w:eastAsia="en-US"/>
              </w:rPr>
            </w:pPr>
            <w:r w:rsidRPr="005B5C30">
              <w:rPr>
                <w:rFonts w:ascii="Arial" w:eastAsia="Times New Roman" w:hAnsi="Arial" w:cs="Arial"/>
                <w:color w:val="000000"/>
                <w:sz w:val="20"/>
                <w:szCs w:val="20"/>
                <w:lang w:eastAsia="en-US"/>
              </w:rPr>
              <w:t>Mathematics Self-Efficacy</w:t>
            </w:r>
          </w:p>
        </w:tc>
        <w:tc>
          <w:tcPr>
            <w:tcW w:w="2468" w:type="dxa"/>
            <w:tcBorders>
              <w:top w:val="nil"/>
              <w:left w:val="nil"/>
              <w:bottom w:val="nil"/>
              <w:right w:val="nil"/>
            </w:tcBorders>
            <w:shd w:val="clear" w:color="auto" w:fill="auto"/>
            <w:noWrap/>
            <w:vAlign w:val="bottom"/>
            <w:hideMark/>
          </w:tcPr>
          <w:p w14:paraId="0EAF50CF" w14:textId="77777777" w:rsidR="00B2493F" w:rsidRPr="005B5C30" w:rsidRDefault="00B2493F" w:rsidP="003A63D0">
            <w:pPr>
              <w:spacing w:after="0" w:line="240" w:lineRule="auto"/>
              <w:jc w:val="right"/>
              <w:rPr>
                <w:rFonts w:ascii="Arial" w:eastAsia="Times New Roman" w:hAnsi="Arial" w:cs="Arial"/>
                <w:color w:val="000000"/>
                <w:sz w:val="20"/>
                <w:szCs w:val="20"/>
                <w:lang w:eastAsia="en-US"/>
              </w:rPr>
            </w:pPr>
            <w:r w:rsidRPr="005B5C30">
              <w:rPr>
                <w:rFonts w:ascii="Arial" w:eastAsia="Times New Roman" w:hAnsi="Arial" w:cs="Arial"/>
                <w:color w:val="000000"/>
                <w:sz w:val="20"/>
                <w:szCs w:val="20"/>
                <w:lang w:eastAsia="en-US"/>
              </w:rPr>
              <w:t>1</w:t>
            </w:r>
          </w:p>
        </w:tc>
        <w:tc>
          <w:tcPr>
            <w:tcW w:w="2123" w:type="dxa"/>
            <w:tcBorders>
              <w:top w:val="nil"/>
              <w:left w:val="nil"/>
              <w:bottom w:val="nil"/>
              <w:right w:val="nil"/>
            </w:tcBorders>
            <w:shd w:val="clear" w:color="auto" w:fill="auto"/>
            <w:noWrap/>
            <w:vAlign w:val="bottom"/>
            <w:hideMark/>
          </w:tcPr>
          <w:p w14:paraId="76BBD868" w14:textId="77777777" w:rsidR="00B2493F" w:rsidRPr="005B5C30" w:rsidRDefault="00B2493F" w:rsidP="003A63D0">
            <w:pPr>
              <w:spacing w:after="0" w:line="240" w:lineRule="auto"/>
              <w:jc w:val="right"/>
              <w:rPr>
                <w:rFonts w:ascii="Arial" w:eastAsia="Times New Roman" w:hAnsi="Arial" w:cs="Arial"/>
                <w:color w:val="000000"/>
                <w:sz w:val="20"/>
                <w:szCs w:val="20"/>
                <w:lang w:eastAsia="en-US"/>
              </w:rPr>
            </w:pPr>
          </w:p>
        </w:tc>
        <w:tc>
          <w:tcPr>
            <w:tcW w:w="2093" w:type="dxa"/>
            <w:tcBorders>
              <w:top w:val="nil"/>
              <w:left w:val="nil"/>
              <w:bottom w:val="nil"/>
              <w:right w:val="nil"/>
            </w:tcBorders>
            <w:shd w:val="clear" w:color="auto" w:fill="auto"/>
            <w:noWrap/>
            <w:vAlign w:val="bottom"/>
            <w:hideMark/>
          </w:tcPr>
          <w:p w14:paraId="1F6A0B5D" w14:textId="77777777" w:rsidR="00B2493F" w:rsidRPr="005B5C30" w:rsidRDefault="00B2493F" w:rsidP="003A63D0">
            <w:pPr>
              <w:spacing w:after="0" w:line="240" w:lineRule="auto"/>
              <w:rPr>
                <w:rFonts w:ascii="Arial" w:eastAsia="Times New Roman" w:hAnsi="Arial" w:cs="Arial"/>
                <w:sz w:val="20"/>
                <w:szCs w:val="20"/>
                <w:lang w:eastAsia="en-US"/>
              </w:rPr>
            </w:pPr>
          </w:p>
        </w:tc>
      </w:tr>
      <w:tr w:rsidR="00B2493F" w:rsidRPr="005B5C30" w14:paraId="28A0E073" w14:textId="77777777" w:rsidTr="00515034">
        <w:trPr>
          <w:trHeight w:val="364"/>
        </w:trPr>
        <w:tc>
          <w:tcPr>
            <w:tcW w:w="2430" w:type="dxa"/>
            <w:tcBorders>
              <w:top w:val="nil"/>
              <w:left w:val="nil"/>
              <w:bottom w:val="nil"/>
              <w:right w:val="nil"/>
            </w:tcBorders>
            <w:shd w:val="clear" w:color="auto" w:fill="auto"/>
            <w:noWrap/>
            <w:vAlign w:val="bottom"/>
            <w:hideMark/>
          </w:tcPr>
          <w:p w14:paraId="13D01990" w14:textId="77777777" w:rsidR="00B2493F" w:rsidRPr="005B5C30" w:rsidRDefault="00B2493F" w:rsidP="003A63D0">
            <w:pPr>
              <w:spacing w:after="0" w:line="240" w:lineRule="auto"/>
              <w:rPr>
                <w:rFonts w:ascii="Arial" w:eastAsia="Times New Roman" w:hAnsi="Arial" w:cs="Arial"/>
                <w:color w:val="000000"/>
                <w:sz w:val="20"/>
                <w:szCs w:val="20"/>
                <w:lang w:eastAsia="en-US"/>
              </w:rPr>
            </w:pPr>
            <w:r w:rsidRPr="005B5C30">
              <w:rPr>
                <w:rFonts w:ascii="Arial" w:eastAsia="Times New Roman" w:hAnsi="Arial" w:cs="Arial"/>
                <w:color w:val="000000"/>
                <w:sz w:val="20"/>
                <w:szCs w:val="20"/>
                <w:lang w:eastAsia="en-US"/>
              </w:rPr>
              <w:t>Mathematics Anxiety</w:t>
            </w:r>
          </w:p>
        </w:tc>
        <w:tc>
          <w:tcPr>
            <w:tcW w:w="2468" w:type="dxa"/>
            <w:tcBorders>
              <w:top w:val="nil"/>
              <w:left w:val="nil"/>
              <w:bottom w:val="nil"/>
              <w:right w:val="nil"/>
            </w:tcBorders>
            <w:shd w:val="clear" w:color="auto" w:fill="auto"/>
            <w:noWrap/>
            <w:vAlign w:val="bottom"/>
            <w:hideMark/>
          </w:tcPr>
          <w:p w14:paraId="31716A6D" w14:textId="77777777" w:rsidR="00B2493F" w:rsidRPr="005B5C30" w:rsidRDefault="00B2493F" w:rsidP="003A63D0">
            <w:pPr>
              <w:spacing w:after="0" w:line="240" w:lineRule="auto"/>
              <w:jc w:val="right"/>
              <w:rPr>
                <w:rFonts w:ascii="Arial" w:eastAsia="Times New Roman" w:hAnsi="Arial" w:cs="Arial"/>
                <w:color w:val="000000"/>
                <w:sz w:val="20"/>
                <w:szCs w:val="20"/>
                <w:lang w:eastAsia="en-US"/>
              </w:rPr>
            </w:pPr>
            <w:r w:rsidRPr="005B5C30">
              <w:rPr>
                <w:rFonts w:ascii="Arial" w:eastAsia="Times New Roman" w:hAnsi="Arial" w:cs="Arial"/>
                <w:color w:val="000000"/>
                <w:sz w:val="20"/>
                <w:szCs w:val="20"/>
                <w:lang w:eastAsia="en-US"/>
              </w:rPr>
              <w:t>0.65</w:t>
            </w:r>
          </w:p>
        </w:tc>
        <w:tc>
          <w:tcPr>
            <w:tcW w:w="2123" w:type="dxa"/>
            <w:tcBorders>
              <w:top w:val="nil"/>
              <w:left w:val="nil"/>
              <w:bottom w:val="nil"/>
              <w:right w:val="nil"/>
            </w:tcBorders>
            <w:shd w:val="clear" w:color="auto" w:fill="auto"/>
            <w:noWrap/>
            <w:vAlign w:val="bottom"/>
            <w:hideMark/>
          </w:tcPr>
          <w:p w14:paraId="670CAB84" w14:textId="77777777" w:rsidR="00B2493F" w:rsidRPr="005B5C30" w:rsidRDefault="00B2493F" w:rsidP="003A63D0">
            <w:pPr>
              <w:spacing w:after="0" w:line="240" w:lineRule="auto"/>
              <w:jc w:val="right"/>
              <w:rPr>
                <w:rFonts w:ascii="Arial" w:eastAsia="Times New Roman" w:hAnsi="Arial" w:cs="Arial"/>
                <w:color w:val="000000"/>
                <w:sz w:val="20"/>
                <w:szCs w:val="20"/>
                <w:lang w:eastAsia="en-US"/>
              </w:rPr>
            </w:pPr>
            <w:r w:rsidRPr="005B5C30">
              <w:rPr>
                <w:rFonts w:ascii="Arial" w:eastAsia="Times New Roman" w:hAnsi="Arial" w:cs="Arial"/>
                <w:color w:val="000000"/>
                <w:sz w:val="20"/>
                <w:szCs w:val="20"/>
                <w:lang w:eastAsia="en-US"/>
              </w:rPr>
              <w:t>1</w:t>
            </w:r>
          </w:p>
        </w:tc>
        <w:tc>
          <w:tcPr>
            <w:tcW w:w="2093" w:type="dxa"/>
            <w:tcBorders>
              <w:top w:val="nil"/>
              <w:left w:val="nil"/>
              <w:bottom w:val="nil"/>
              <w:right w:val="nil"/>
            </w:tcBorders>
            <w:shd w:val="clear" w:color="auto" w:fill="auto"/>
            <w:noWrap/>
            <w:vAlign w:val="bottom"/>
            <w:hideMark/>
          </w:tcPr>
          <w:p w14:paraId="6C1CD193" w14:textId="77777777" w:rsidR="00B2493F" w:rsidRPr="005B5C30" w:rsidRDefault="00B2493F" w:rsidP="003A63D0">
            <w:pPr>
              <w:spacing w:after="0" w:line="240" w:lineRule="auto"/>
              <w:jc w:val="right"/>
              <w:rPr>
                <w:rFonts w:ascii="Arial" w:eastAsia="Times New Roman" w:hAnsi="Arial" w:cs="Arial"/>
                <w:color w:val="000000"/>
                <w:sz w:val="20"/>
                <w:szCs w:val="20"/>
                <w:lang w:eastAsia="en-US"/>
              </w:rPr>
            </w:pPr>
          </w:p>
        </w:tc>
      </w:tr>
      <w:tr w:rsidR="00B2493F" w:rsidRPr="005B5C30" w14:paraId="44279D68" w14:textId="77777777" w:rsidTr="00515034">
        <w:trPr>
          <w:trHeight w:val="382"/>
        </w:trPr>
        <w:tc>
          <w:tcPr>
            <w:tcW w:w="2430" w:type="dxa"/>
            <w:tcBorders>
              <w:top w:val="nil"/>
              <w:left w:val="nil"/>
              <w:bottom w:val="single" w:sz="8" w:space="0" w:color="auto"/>
              <w:right w:val="nil"/>
            </w:tcBorders>
            <w:shd w:val="clear" w:color="auto" w:fill="auto"/>
            <w:noWrap/>
            <w:vAlign w:val="bottom"/>
            <w:hideMark/>
          </w:tcPr>
          <w:p w14:paraId="3ECF72EB" w14:textId="77777777" w:rsidR="00B2493F" w:rsidRPr="005B5C30" w:rsidRDefault="00B2493F" w:rsidP="003A63D0">
            <w:pPr>
              <w:spacing w:after="0" w:line="240" w:lineRule="auto"/>
              <w:rPr>
                <w:rFonts w:ascii="Arial" w:eastAsia="Times New Roman" w:hAnsi="Arial" w:cs="Arial"/>
                <w:color w:val="000000"/>
                <w:sz w:val="20"/>
                <w:szCs w:val="20"/>
                <w:lang w:eastAsia="en-US"/>
              </w:rPr>
            </w:pPr>
            <w:r w:rsidRPr="005B5C30">
              <w:rPr>
                <w:rFonts w:ascii="Arial" w:eastAsia="Times New Roman" w:hAnsi="Arial" w:cs="Arial"/>
                <w:color w:val="000000"/>
                <w:sz w:val="20"/>
                <w:szCs w:val="20"/>
                <w:lang w:eastAsia="en-US"/>
              </w:rPr>
              <w:t>Academic Performance</w:t>
            </w:r>
          </w:p>
        </w:tc>
        <w:tc>
          <w:tcPr>
            <w:tcW w:w="2468" w:type="dxa"/>
            <w:tcBorders>
              <w:top w:val="nil"/>
              <w:left w:val="nil"/>
              <w:bottom w:val="single" w:sz="8" w:space="0" w:color="auto"/>
              <w:right w:val="nil"/>
            </w:tcBorders>
            <w:shd w:val="clear" w:color="auto" w:fill="auto"/>
            <w:noWrap/>
            <w:vAlign w:val="bottom"/>
            <w:hideMark/>
          </w:tcPr>
          <w:p w14:paraId="377884BA" w14:textId="77777777" w:rsidR="00B2493F" w:rsidRPr="005B5C30" w:rsidRDefault="00B2493F" w:rsidP="003A63D0">
            <w:pPr>
              <w:spacing w:after="0" w:line="240" w:lineRule="auto"/>
              <w:jc w:val="right"/>
              <w:rPr>
                <w:rFonts w:ascii="Arial" w:eastAsia="Times New Roman" w:hAnsi="Arial" w:cs="Arial"/>
                <w:color w:val="000000"/>
                <w:sz w:val="20"/>
                <w:szCs w:val="20"/>
                <w:lang w:eastAsia="en-US"/>
              </w:rPr>
            </w:pPr>
            <w:r w:rsidRPr="005B5C30">
              <w:rPr>
                <w:rFonts w:ascii="Arial" w:eastAsia="Times New Roman" w:hAnsi="Arial" w:cs="Arial"/>
                <w:color w:val="000000"/>
                <w:sz w:val="20"/>
                <w:szCs w:val="20"/>
                <w:lang w:eastAsia="en-US"/>
              </w:rPr>
              <w:t>-0.094</w:t>
            </w:r>
          </w:p>
        </w:tc>
        <w:tc>
          <w:tcPr>
            <w:tcW w:w="2123" w:type="dxa"/>
            <w:tcBorders>
              <w:top w:val="nil"/>
              <w:left w:val="nil"/>
              <w:bottom w:val="single" w:sz="8" w:space="0" w:color="auto"/>
              <w:right w:val="nil"/>
            </w:tcBorders>
            <w:shd w:val="clear" w:color="auto" w:fill="auto"/>
            <w:noWrap/>
            <w:vAlign w:val="bottom"/>
            <w:hideMark/>
          </w:tcPr>
          <w:p w14:paraId="2588A7DE" w14:textId="77777777" w:rsidR="00B2493F" w:rsidRPr="005B5C30" w:rsidRDefault="00B2493F" w:rsidP="003A63D0">
            <w:pPr>
              <w:spacing w:after="0" w:line="240" w:lineRule="auto"/>
              <w:jc w:val="right"/>
              <w:rPr>
                <w:rFonts w:ascii="Arial" w:eastAsia="Times New Roman" w:hAnsi="Arial" w:cs="Arial"/>
                <w:color w:val="000000"/>
                <w:sz w:val="20"/>
                <w:szCs w:val="20"/>
                <w:lang w:eastAsia="en-US"/>
              </w:rPr>
            </w:pPr>
            <w:r w:rsidRPr="005B5C30">
              <w:rPr>
                <w:rFonts w:ascii="Arial" w:eastAsia="Times New Roman" w:hAnsi="Arial" w:cs="Arial"/>
                <w:color w:val="000000"/>
                <w:sz w:val="20"/>
                <w:szCs w:val="20"/>
                <w:lang w:eastAsia="en-US"/>
              </w:rPr>
              <w:t>-0.105</w:t>
            </w:r>
          </w:p>
        </w:tc>
        <w:tc>
          <w:tcPr>
            <w:tcW w:w="2093" w:type="dxa"/>
            <w:tcBorders>
              <w:top w:val="nil"/>
              <w:left w:val="nil"/>
              <w:bottom w:val="single" w:sz="8" w:space="0" w:color="auto"/>
              <w:right w:val="nil"/>
            </w:tcBorders>
            <w:shd w:val="clear" w:color="auto" w:fill="auto"/>
            <w:noWrap/>
            <w:vAlign w:val="bottom"/>
            <w:hideMark/>
          </w:tcPr>
          <w:p w14:paraId="069CB064" w14:textId="77777777" w:rsidR="00B2493F" w:rsidRPr="005B5C30" w:rsidRDefault="00B2493F" w:rsidP="003A63D0">
            <w:pPr>
              <w:spacing w:after="0" w:line="240" w:lineRule="auto"/>
              <w:jc w:val="right"/>
              <w:rPr>
                <w:rFonts w:ascii="Arial" w:eastAsia="Times New Roman" w:hAnsi="Arial" w:cs="Arial"/>
                <w:color w:val="000000"/>
                <w:sz w:val="20"/>
                <w:szCs w:val="20"/>
                <w:lang w:eastAsia="en-US"/>
              </w:rPr>
            </w:pPr>
            <w:r w:rsidRPr="005B5C30">
              <w:rPr>
                <w:rFonts w:ascii="Arial" w:eastAsia="Times New Roman" w:hAnsi="Arial" w:cs="Arial"/>
                <w:color w:val="000000"/>
                <w:sz w:val="20"/>
                <w:szCs w:val="20"/>
                <w:lang w:eastAsia="en-US"/>
              </w:rPr>
              <w:t>1</w:t>
            </w:r>
          </w:p>
        </w:tc>
      </w:tr>
    </w:tbl>
    <w:p w14:paraId="129EBC13" w14:textId="77777777" w:rsidR="00B2493F" w:rsidRPr="003A63D0" w:rsidRDefault="00B2493F" w:rsidP="005B5C30">
      <w:pPr>
        <w:spacing w:after="0" w:line="240" w:lineRule="auto"/>
        <w:jc w:val="center"/>
        <w:rPr>
          <w:rFonts w:ascii="Arial" w:hAnsi="Arial" w:cs="Arial"/>
          <w:sz w:val="20"/>
          <w:szCs w:val="20"/>
        </w:rPr>
        <w:sectPr w:rsidR="00B2493F" w:rsidRPr="003A63D0" w:rsidSect="009D0B15">
          <w:type w:val="continuous"/>
          <w:pgSz w:w="11907" w:h="16839"/>
          <w:pgMar w:top="1440" w:right="1440" w:bottom="1440" w:left="1440" w:header="720" w:footer="720" w:gutter="0"/>
          <w:cols w:space="695"/>
          <w:docGrid w:linePitch="360"/>
        </w:sectPr>
      </w:pPr>
    </w:p>
    <w:p w14:paraId="48D59D18" w14:textId="2666B981" w:rsidR="00B2493F" w:rsidRPr="003A63D0" w:rsidRDefault="00B2493F" w:rsidP="003A63D0">
      <w:pPr>
        <w:spacing w:after="0" w:line="240" w:lineRule="auto"/>
        <w:jc w:val="both"/>
        <w:rPr>
          <w:rFonts w:ascii="Arial" w:hAnsi="Arial" w:cs="Arial"/>
          <w:bCs/>
          <w:sz w:val="20"/>
          <w:szCs w:val="20"/>
        </w:rPr>
        <w:sectPr w:rsidR="00B2493F" w:rsidRPr="003A63D0" w:rsidSect="009D0B15">
          <w:type w:val="continuous"/>
          <w:pgSz w:w="11907" w:h="16839"/>
          <w:pgMar w:top="1440" w:right="1440" w:bottom="1440" w:left="1440" w:header="720" w:footer="720" w:gutter="0"/>
          <w:cols w:space="695"/>
          <w:docGrid w:linePitch="360"/>
        </w:sectPr>
      </w:pPr>
    </w:p>
    <w:p w14:paraId="6EA1D1B5" w14:textId="77777777" w:rsidR="00B2493F" w:rsidRPr="003A63D0" w:rsidRDefault="00B2493F" w:rsidP="003A63D0">
      <w:pPr>
        <w:spacing w:after="0" w:line="240" w:lineRule="auto"/>
        <w:jc w:val="both"/>
        <w:rPr>
          <w:rFonts w:ascii="Arial" w:hAnsi="Arial" w:cs="Arial"/>
          <w:sz w:val="20"/>
          <w:szCs w:val="20"/>
        </w:rPr>
        <w:sectPr w:rsidR="00B2493F" w:rsidRPr="003A63D0" w:rsidSect="009D0B15">
          <w:type w:val="continuous"/>
          <w:pgSz w:w="11907" w:h="16839"/>
          <w:pgMar w:top="1440" w:right="1440" w:bottom="1440" w:left="1440" w:header="720" w:footer="720" w:gutter="0"/>
          <w:cols w:space="695"/>
          <w:docGrid w:linePitch="360"/>
        </w:sectPr>
      </w:pPr>
    </w:p>
    <w:p w14:paraId="5578C720" w14:textId="77777777" w:rsidR="000D6247" w:rsidRPr="003A63D0" w:rsidRDefault="000D6247" w:rsidP="003A63D0">
      <w:pPr>
        <w:spacing w:after="0" w:line="240" w:lineRule="auto"/>
        <w:jc w:val="both"/>
        <w:rPr>
          <w:rFonts w:ascii="Arial" w:hAnsi="Arial" w:cs="Arial"/>
          <w:sz w:val="20"/>
          <w:szCs w:val="20"/>
        </w:rPr>
        <w:sectPr w:rsidR="000D6247" w:rsidRPr="003A63D0" w:rsidSect="009D0B15">
          <w:type w:val="continuous"/>
          <w:pgSz w:w="11907" w:h="16839"/>
          <w:pgMar w:top="1440" w:right="1440" w:bottom="1440" w:left="1440" w:header="720" w:footer="720" w:gutter="0"/>
          <w:cols w:space="695"/>
          <w:docGrid w:linePitch="360"/>
        </w:sectPr>
      </w:pPr>
    </w:p>
    <w:p w14:paraId="7CBC8949" w14:textId="092471C1" w:rsidR="005404A4" w:rsidRPr="005B5C30" w:rsidRDefault="0055051B" w:rsidP="000F5391">
      <w:pPr>
        <w:spacing w:after="0" w:line="240" w:lineRule="auto"/>
        <w:rPr>
          <w:rFonts w:ascii="Arial" w:hAnsi="Arial" w:cs="Arial"/>
          <w:b/>
        </w:rPr>
      </w:pPr>
      <w:r>
        <w:rPr>
          <w:rFonts w:ascii="Arial" w:hAnsi="Arial" w:cs="Arial"/>
          <w:b/>
        </w:rPr>
        <w:t>5</w:t>
      </w:r>
      <w:r w:rsidR="005404A4" w:rsidRPr="005B5C30">
        <w:rPr>
          <w:rFonts w:ascii="Arial" w:hAnsi="Arial" w:cs="Arial"/>
          <w:b/>
        </w:rPr>
        <w:t>. CONCLUSION</w:t>
      </w:r>
    </w:p>
    <w:p w14:paraId="2C20D875" w14:textId="77777777" w:rsidR="005404A4" w:rsidRPr="003A63D0" w:rsidRDefault="005404A4" w:rsidP="003A63D0">
      <w:pPr>
        <w:spacing w:after="0" w:line="240" w:lineRule="auto"/>
        <w:jc w:val="both"/>
        <w:rPr>
          <w:rFonts w:ascii="Arial" w:hAnsi="Arial" w:cs="Arial"/>
          <w:sz w:val="20"/>
          <w:szCs w:val="20"/>
        </w:rPr>
      </w:pPr>
    </w:p>
    <w:p w14:paraId="0B15EDB2" w14:textId="77777777" w:rsidR="005B5C30" w:rsidRPr="005B5C30" w:rsidRDefault="005404A4" w:rsidP="005B5C30">
      <w:pPr>
        <w:pStyle w:val="NormalWeb"/>
        <w:spacing w:before="0" w:beforeAutospacing="0" w:after="0" w:afterAutospacing="0"/>
        <w:jc w:val="both"/>
        <w:textAlignment w:val="baseline"/>
        <w:rPr>
          <w:rFonts w:ascii="Arial" w:hAnsi="Arial" w:cs="Arial"/>
          <w:color w:val="000000"/>
          <w:sz w:val="20"/>
          <w:szCs w:val="20"/>
        </w:rPr>
      </w:pPr>
      <w:r w:rsidRPr="003A63D0">
        <w:rPr>
          <w:rFonts w:ascii="Arial" w:hAnsi="Arial" w:cs="Arial"/>
          <w:color w:val="000000"/>
          <w:sz w:val="22"/>
          <w:szCs w:val="22"/>
        </w:rPr>
        <w:t xml:space="preserve">    </w:t>
      </w:r>
      <w:r w:rsidR="005B5C30">
        <w:rPr>
          <w:rFonts w:ascii="Arial" w:hAnsi="Arial" w:cs="Arial"/>
          <w:color w:val="000000"/>
          <w:sz w:val="22"/>
          <w:szCs w:val="22"/>
        </w:rPr>
        <w:tab/>
      </w:r>
      <w:r w:rsidR="005B5C30" w:rsidRPr="005B5C30">
        <w:rPr>
          <w:rFonts w:ascii="Arial" w:hAnsi="Arial" w:cs="Arial"/>
          <w:color w:val="000000"/>
          <w:sz w:val="20"/>
          <w:szCs w:val="20"/>
        </w:rPr>
        <w:t>The present study examined the levels of mathematics self-efficacy, mathematics anxiety, and academic performance among students, along with the interrelationships among these variables. The findings revealed that students generally exhibited a moderate level of mathematics self-efficacy, indicating a fair degree of confidence in their ability to learn, complete assignments, and apply mathematical knowledge. However, lower confidence in thinking like a mathematician or identifying as a "math person" suggests a gap in mathematical identity and mindset development.</w:t>
      </w:r>
    </w:p>
    <w:p w14:paraId="634C8A99" w14:textId="77777777" w:rsidR="005B5C30" w:rsidRPr="005B5C30" w:rsidRDefault="005B5C30" w:rsidP="005B5C30">
      <w:pPr>
        <w:pStyle w:val="NormalWeb"/>
        <w:spacing w:before="0" w:beforeAutospacing="0" w:after="0" w:afterAutospacing="0"/>
        <w:ind w:firstLine="720"/>
        <w:jc w:val="both"/>
        <w:textAlignment w:val="baseline"/>
        <w:rPr>
          <w:rFonts w:ascii="Arial" w:hAnsi="Arial" w:cs="Arial"/>
          <w:color w:val="000000"/>
          <w:sz w:val="20"/>
          <w:szCs w:val="20"/>
          <w:lang w:val="en-US"/>
        </w:rPr>
      </w:pPr>
      <w:r w:rsidRPr="005B5C30">
        <w:rPr>
          <w:rFonts w:ascii="Arial" w:hAnsi="Arial" w:cs="Arial"/>
          <w:color w:val="000000"/>
          <w:sz w:val="20"/>
          <w:szCs w:val="20"/>
          <w:lang w:val="en-US"/>
        </w:rPr>
        <w:t>Simultaneously, the respondents reported a moderate level of mathematics anxiety, particularly centered around evaluative contexts such as tests, grading, and fear of giving incorrect answers. Interestingly, instructional interactions were perceived as less anxiety-inducing, implying that anxiety is more performance-driven than content- or teacher-driven.</w:t>
      </w:r>
    </w:p>
    <w:p w14:paraId="0A6DED9F" w14:textId="77777777" w:rsidR="005B5C30" w:rsidRPr="005B5C30" w:rsidRDefault="005B5C30" w:rsidP="005B5C30">
      <w:pPr>
        <w:pStyle w:val="NormalWeb"/>
        <w:spacing w:before="0" w:beforeAutospacing="0" w:after="0" w:afterAutospacing="0"/>
        <w:jc w:val="both"/>
        <w:textAlignment w:val="baseline"/>
        <w:rPr>
          <w:rFonts w:ascii="Arial" w:hAnsi="Arial" w:cs="Arial"/>
          <w:color w:val="000000"/>
          <w:sz w:val="20"/>
          <w:szCs w:val="20"/>
          <w:lang w:val="en-US"/>
        </w:rPr>
      </w:pPr>
      <w:r w:rsidRPr="005B5C30">
        <w:rPr>
          <w:rFonts w:ascii="Arial" w:hAnsi="Arial" w:cs="Arial"/>
          <w:color w:val="000000"/>
          <w:sz w:val="20"/>
          <w:szCs w:val="20"/>
          <w:lang w:val="en-US"/>
        </w:rPr>
        <w:t>In terms of academic performance, a majority of students were clustered in the lower achievement brackets, with more than half obtaining grades in the 75–83 range. High performance was rare, and no student scored within the 96–100 range, suggesting possible academic challenges that may stem from cognitive, emotional, or instructional factors.</w:t>
      </w:r>
    </w:p>
    <w:p w14:paraId="36419EAA" w14:textId="77777777" w:rsidR="005B5C30" w:rsidRPr="005B5C30" w:rsidRDefault="005B5C30" w:rsidP="005B5C30">
      <w:pPr>
        <w:pStyle w:val="NormalWeb"/>
        <w:spacing w:before="0" w:beforeAutospacing="0" w:after="0" w:afterAutospacing="0"/>
        <w:ind w:firstLine="720"/>
        <w:jc w:val="both"/>
        <w:textAlignment w:val="baseline"/>
        <w:rPr>
          <w:rFonts w:ascii="Arial" w:hAnsi="Arial" w:cs="Arial"/>
          <w:color w:val="000000"/>
          <w:sz w:val="20"/>
          <w:szCs w:val="20"/>
          <w:lang w:val="en-US"/>
        </w:rPr>
      </w:pPr>
      <w:r w:rsidRPr="005B5C30">
        <w:rPr>
          <w:rFonts w:ascii="Arial" w:hAnsi="Arial" w:cs="Arial"/>
          <w:color w:val="000000"/>
          <w:sz w:val="20"/>
          <w:szCs w:val="20"/>
          <w:lang w:val="en-US"/>
        </w:rPr>
        <w:t>The correlation analysis revealed several unexpected patterns. Notably, mathematics self-efficacy and mathematics anxiety were positively correlated, which deviates from prevailing literature that generally supports a negative association. Both self-efficacy and anxiety demonstrated weak negative correlations with academic performance, suggesting that while these psychological constructs are relevant, they may not be strong direct predictors of achievement within this sample. The observed patterns may be influenced by contextual or cultural factors, such as pressure to perform or conflicting internal beliefs about mathematics competence.</w:t>
      </w:r>
    </w:p>
    <w:p w14:paraId="0E70B88D" w14:textId="0C17CB14" w:rsidR="005B5C30" w:rsidRDefault="005B5C30" w:rsidP="005B5C30">
      <w:pPr>
        <w:pStyle w:val="NormalWeb"/>
        <w:spacing w:before="0" w:beforeAutospacing="0" w:after="0" w:afterAutospacing="0"/>
        <w:ind w:firstLine="720"/>
        <w:jc w:val="both"/>
        <w:textAlignment w:val="baseline"/>
        <w:rPr>
          <w:rFonts w:ascii="Arial" w:hAnsi="Arial" w:cs="Arial"/>
          <w:color w:val="000000"/>
          <w:sz w:val="20"/>
          <w:szCs w:val="20"/>
          <w:lang w:val="en-US"/>
        </w:rPr>
      </w:pPr>
      <w:r w:rsidRPr="005B5C30">
        <w:rPr>
          <w:rFonts w:ascii="Arial" w:hAnsi="Arial" w:cs="Arial"/>
          <w:color w:val="000000"/>
          <w:sz w:val="20"/>
          <w:szCs w:val="20"/>
          <w:lang w:val="en-US"/>
        </w:rPr>
        <w:t>Overall, the findings underscore the complex and multifaceted nature of mathematics learning. While students may believe in their capabilities, emotional barriers such as anxiety, especially in evaluative contexts—may inhibit optimal performance. These insights point to the need for targeted interventions that not only strengthen students’ mathematical understanding and self-efficacy but also address test-related anxiety and foster positive mathematical identity. Promoting a growth mindset, integrating stress-reduction strategies, and providing supportive and reflective learning environments may collectively enhance both psychological readiness and academic outcomes in mathematics.</w:t>
      </w:r>
    </w:p>
    <w:p w14:paraId="07D673EB" w14:textId="4929B3F2" w:rsidR="00756299" w:rsidRDefault="00756299" w:rsidP="005B5C30">
      <w:pPr>
        <w:pStyle w:val="NormalWeb"/>
        <w:spacing w:before="0" w:beforeAutospacing="0" w:after="0" w:afterAutospacing="0"/>
        <w:ind w:firstLine="720"/>
        <w:jc w:val="both"/>
        <w:textAlignment w:val="baseline"/>
        <w:rPr>
          <w:rFonts w:ascii="Arial" w:hAnsi="Arial" w:cs="Arial"/>
          <w:color w:val="000000"/>
          <w:sz w:val="20"/>
          <w:szCs w:val="20"/>
          <w:lang w:val="en-US"/>
        </w:rPr>
      </w:pPr>
    </w:p>
    <w:p w14:paraId="5FE91FE2" w14:textId="0D78FA32" w:rsidR="00756299" w:rsidRDefault="00756299" w:rsidP="005B5C30">
      <w:pPr>
        <w:pStyle w:val="NormalWeb"/>
        <w:spacing w:before="0" w:beforeAutospacing="0" w:after="0" w:afterAutospacing="0"/>
        <w:ind w:firstLine="720"/>
        <w:jc w:val="both"/>
        <w:textAlignment w:val="baseline"/>
        <w:rPr>
          <w:rFonts w:ascii="Arial" w:hAnsi="Arial" w:cs="Arial"/>
          <w:color w:val="000000"/>
          <w:sz w:val="20"/>
          <w:szCs w:val="20"/>
          <w:lang w:val="en-US"/>
        </w:rPr>
      </w:pPr>
    </w:p>
    <w:p w14:paraId="5B245E30" w14:textId="77777777" w:rsidR="00756299" w:rsidRDefault="00756299" w:rsidP="00756299">
      <w:pPr>
        <w:rPr>
          <w:rFonts w:ascii="Calibri" w:eastAsia="Calibri" w:hAnsi="Calibri" w:cs="Times New Roman"/>
          <w:kern w:val="2"/>
          <w:highlight w:val="yellow"/>
        </w:rPr>
      </w:pPr>
      <w:bookmarkStart w:id="0" w:name="_Hlk193540946"/>
      <w:bookmarkStart w:id="1" w:name="_Hlk183680988"/>
      <w:bookmarkStart w:id="2" w:name="_Hlk180402183"/>
      <w:bookmarkStart w:id="3" w:name="_Hlk197173371"/>
      <w:bookmarkStart w:id="4" w:name="_Hlk192511329"/>
      <w:r>
        <w:rPr>
          <w:rFonts w:ascii="Calibri" w:eastAsia="Calibri" w:hAnsi="Calibri" w:cs="Times New Roman"/>
          <w:kern w:val="2"/>
          <w:highlight w:val="yellow"/>
        </w:rPr>
        <w:t>Disclaimer (Artificial intelligence)</w:t>
      </w:r>
    </w:p>
    <w:p w14:paraId="1D3E485B" w14:textId="77777777" w:rsidR="00756299" w:rsidRDefault="00756299" w:rsidP="00756299">
      <w:pPr>
        <w:rPr>
          <w:rFonts w:ascii="Calibri" w:eastAsia="Calibri" w:hAnsi="Calibri" w:cs="Times New Roman"/>
          <w:kern w:val="2"/>
          <w:highlight w:val="yellow"/>
        </w:rPr>
      </w:pPr>
      <w:r>
        <w:rPr>
          <w:rFonts w:ascii="Calibri" w:eastAsia="Calibri" w:hAnsi="Calibri" w:cs="Times New Roman"/>
          <w:kern w:val="2"/>
          <w:highlight w:val="yellow"/>
        </w:rPr>
        <w:t xml:space="preserve">Option 1: </w:t>
      </w:r>
    </w:p>
    <w:p w14:paraId="796A9AA1" w14:textId="77777777" w:rsidR="00756299" w:rsidRDefault="00756299" w:rsidP="00756299">
      <w:pPr>
        <w:rPr>
          <w:rFonts w:ascii="Calibri" w:eastAsia="Calibri" w:hAnsi="Calibri" w:cs="Times New Roman"/>
          <w:kern w:val="2"/>
          <w:highlight w:val="yellow"/>
        </w:rPr>
      </w:pPr>
      <w:r>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09BB0EF3" w14:textId="77777777" w:rsidR="00756299" w:rsidRDefault="00756299" w:rsidP="00756299">
      <w:pPr>
        <w:rPr>
          <w:rFonts w:ascii="Calibri" w:eastAsia="Calibri" w:hAnsi="Calibri" w:cs="Times New Roman"/>
          <w:kern w:val="2"/>
          <w:highlight w:val="yellow"/>
        </w:rPr>
      </w:pPr>
      <w:r>
        <w:rPr>
          <w:rFonts w:ascii="Calibri" w:eastAsia="Calibri" w:hAnsi="Calibri" w:cs="Times New Roman"/>
          <w:kern w:val="2"/>
          <w:highlight w:val="yellow"/>
        </w:rPr>
        <w:t xml:space="preserve">Option 2: </w:t>
      </w:r>
    </w:p>
    <w:p w14:paraId="68392883" w14:textId="77777777" w:rsidR="00756299" w:rsidRDefault="00756299" w:rsidP="00756299">
      <w:pPr>
        <w:rPr>
          <w:rFonts w:ascii="Calibri" w:eastAsia="Calibri" w:hAnsi="Calibri" w:cs="Times New Roman"/>
          <w:kern w:val="2"/>
          <w:highlight w:val="yellow"/>
        </w:rPr>
      </w:pPr>
      <w:r>
        <w:rPr>
          <w:rFonts w:ascii="Calibri" w:eastAsia="Calibri" w:hAnsi="Calibri" w:cs="Times New Roman"/>
          <w:kern w:val="2"/>
          <w:highlight w:val="yellow"/>
        </w:rPr>
        <w:t xml:space="preserve">Author(s) hereby declare that generative AI technologies such as Large Language Models, etc. have been used during the writing or editing of manuscripts. This explanation will include the name, </w:t>
      </w:r>
      <w:r>
        <w:rPr>
          <w:rFonts w:ascii="Calibri" w:eastAsia="Calibri" w:hAnsi="Calibri" w:cs="Times New Roman"/>
          <w:kern w:val="2"/>
          <w:highlight w:val="yellow"/>
        </w:rPr>
        <w:lastRenderedPageBreak/>
        <w:t>version, model, and source of the generative AI technology and as well as all input prompts provided to the generative AI technology</w:t>
      </w:r>
    </w:p>
    <w:p w14:paraId="73D4182E" w14:textId="77777777" w:rsidR="00756299" w:rsidRDefault="00756299" w:rsidP="00756299">
      <w:pPr>
        <w:rPr>
          <w:rFonts w:ascii="Calibri" w:eastAsia="Calibri" w:hAnsi="Calibri" w:cs="Times New Roman"/>
          <w:kern w:val="2"/>
          <w:highlight w:val="yellow"/>
        </w:rPr>
      </w:pPr>
      <w:r>
        <w:rPr>
          <w:rFonts w:ascii="Calibri" w:eastAsia="Calibri" w:hAnsi="Calibri" w:cs="Times New Roman"/>
          <w:kern w:val="2"/>
          <w:highlight w:val="yellow"/>
        </w:rPr>
        <w:t>Details of the AI usage are given below:</w:t>
      </w:r>
    </w:p>
    <w:p w14:paraId="2AB0A0D0" w14:textId="7258B2FE" w:rsidR="00756299" w:rsidRDefault="00756299" w:rsidP="00756299">
      <w:pPr>
        <w:rPr>
          <w:rFonts w:ascii="Calibri" w:eastAsia="Calibri" w:hAnsi="Calibri" w:cs="Times New Roman"/>
          <w:kern w:val="2"/>
          <w:highlight w:val="yellow"/>
        </w:rPr>
      </w:pPr>
      <w:r>
        <w:rPr>
          <w:rFonts w:ascii="Calibri" w:eastAsia="Calibri" w:hAnsi="Calibri" w:cs="Times New Roman"/>
          <w:kern w:val="2"/>
          <w:highlight w:val="yellow"/>
        </w:rPr>
        <w:t>1.</w:t>
      </w:r>
      <w:r w:rsidR="00E461CD">
        <w:rPr>
          <w:rFonts w:ascii="Calibri" w:eastAsia="Calibri" w:hAnsi="Calibri" w:cs="Times New Roman"/>
          <w:kern w:val="2"/>
          <w:highlight w:val="yellow"/>
        </w:rPr>
        <w:t xml:space="preserve"> </w:t>
      </w:r>
      <w:r w:rsidR="0010135D">
        <w:rPr>
          <w:rFonts w:ascii="Calibri" w:eastAsia="Calibri" w:hAnsi="Calibri" w:cs="Times New Roman"/>
          <w:kern w:val="2"/>
          <w:highlight w:val="yellow"/>
        </w:rPr>
        <w:t>Use of  ChatGPT AI generated application was use for the asking some suggestions regarding related articles and academic journals.</w:t>
      </w:r>
    </w:p>
    <w:p w14:paraId="55160807" w14:textId="77777777" w:rsidR="00756299" w:rsidRDefault="00756299" w:rsidP="00756299">
      <w:pPr>
        <w:rPr>
          <w:rFonts w:ascii="Calibri" w:eastAsia="Calibri" w:hAnsi="Calibri" w:cs="Times New Roman"/>
          <w:kern w:val="2"/>
          <w:highlight w:val="yellow"/>
        </w:rPr>
      </w:pPr>
      <w:r>
        <w:rPr>
          <w:rFonts w:ascii="Calibri" w:eastAsia="Calibri" w:hAnsi="Calibri" w:cs="Times New Roman"/>
          <w:kern w:val="2"/>
          <w:highlight w:val="yellow"/>
        </w:rPr>
        <w:t>2.</w:t>
      </w:r>
    </w:p>
    <w:p w14:paraId="493EE4C9" w14:textId="77777777" w:rsidR="00756299" w:rsidRDefault="00756299" w:rsidP="00756299">
      <w:pPr>
        <w:rPr>
          <w:rFonts w:ascii="Calibri" w:eastAsia="Calibri" w:hAnsi="Calibri" w:cs="Times New Roman"/>
          <w:kern w:val="2"/>
        </w:rPr>
      </w:pPr>
      <w:r>
        <w:rPr>
          <w:rFonts w:ascii="Calibri" w:eastAsia="Calibri" w:hAnsi="Calibri" w:cs="Times New Roman"/>
          <w:kern w:val="2"/>
          <w:highlight w:val="yellow"/>
        </w:rPr>
        <w:t>3.</w:t>
      </w:r>
      <w:bookmarkEnd w:id="0"/>
    </w:p>
    <w:bookmarkEnd w:id="1"/>
    <w:bookmarkEnd w:id="2"/>
    <w:p w14:paraId="0CDBD09C" w14:textId="77777777" w:rsidR="00756299" w:rsidRDefault="00756299" w:rsidP="00756299">
      <w:pPr>
        <w:rPr>
          <w:rFonts w:ascii="Calibri" w:eastAsia="Calibri" w:hAnsi="Calibri" w:cs="Times New Roman"/>
          <w:kern w:val="2"/>
        </w:rPr>
      </w:pPr>
      <w:r>
        <w:rPr>
          <w:rFonts w:ascii="Calibri" w:eastAsia="Calibri" w:hAnsi="Calibri" w:cs="Times New Roman"/>
          <w:kern w:val="2"/>
        </w:rPr>
        <w:tab/>
      </w:r>
      <w:bookmarkEnd w:id="3"/>
      <w:r>
        <w:rPr>
          <w:rFonts w:ascii="Calibri" w:eastAsia="Calibri" w:hAnsi="Calibri" w:cs="Times New Roman"/>
          <w:kern w:val="2"/>
        </w:rPr>
        <w:t xml:space="preserve"> </w:t>
      </w:r>
    </w:p>
    <w:bookmarkEnd w:id="4"/>
    <w:p w14:paraId="67DE9F20" w14:textId="77777777" w:rsidR="00756299" w:rsidRDefault="00756299" w:rsidP="00756299">
      <w:pPr>
        <w:rPr>
          <w:rFonts w:ascii="Calibri" w:eastAsia="Calibri" w:hAnsi="Calibri" w:cs="Times New Roman"/>
          <w:kern w:val="2"/>
        </w:rPr>
      </w:pPr>
    </w:p>
    <w:p w14:paraId="628B8024" w14:textId="77777777" w:rsidR="00756299" w:rsidRDefault="00756299" w:rsidP="00756299"/>
    <w:p w14:paraId="75230283" w14:textId="77777777" w:rsidR="00756299" w:rsidRPr="005B5C30" w:rsidRDefault="00756299" w:rsidP="005B5C30">
      <w:pPr>
        <w:pStyle w:val="NormalWeb"/>
        <w:spacing w:before="0" w:beforeAutospacing="0" w:after="0" w:afterAutospacing="0"/>
        <w:ind w:firstLine="720"/>
        <w:jc w:val="both"/>
        <w:textAlignment w:val="baseline"/>
        <w:rPr>
          <w:rFonts w:ascii="Arial" w:hAnsi="Arial" w:cs="Arial"/>
          <w:color w:val="000000"/>
          <w:sz w:val="20"/>
          <w:szCs w:val="20"/>
          <w:lang w:val="en-US"/>
        </w:rPr>
      </w:pPr>
    </w:p>
    <w:p w14:paraId="0570BA14" w14:textId="1564B611" w:rsidR="005404A4" w:rsidRDefault="005404A4" w:rsidP="005B5C30">
      <w:pPr>
        <w:pStyle w:val="NormalWeb"/>
        <w:spacing w:before="0" w:beforeAutospacing="0" w:after="0" w:afterAutospacing="0"/>
        <w:jc w:val="both"/>
        <w:textAlignment w:val="baseline"/>
        <w:rPr>
          <w:rFonts w:ascii="Arial" w:hAnsi="Arial" w:cs="Arial"/>
          <w:sz w:val="20"/>
          <w:szCs w:val="20"/>
        </w:rPr>
      </w:pPr>
    </w:p>
    <w:p w14:paraId="708BF4FA" w14:textId="77777777" w:rsidR="005B5C30" w:rsidRDefault="005B5C30" w:rsidP="005B5C30">
      <w:pPr>
        <w:pStyle w:val="NormalWeb"/>
        <w:spacing w:before="0" w:beforeAutospacing="0" w:after="0" w:afterAutospacing="0"/>
        <w:jc w:val="both"/>
        <w:textAlignment w:val="baseline"/>
        <w:rPr>
          <w:rFonts w:ascii="Arial" w:hAnsi="Arial" w:cs="Arial"/>
          <w:sz w:val="20"/>
          <w:szCs w:val="20"/>
        </w:rPr>
      </w:pPr>
    </w:p>
    <w:p w14:paraId="49E0B122" w14:textId="77777777" w:rsidR="004F36CE" w:rsidRPr="003A63D0" w:rsidRDefault="004F36CE" w:rsidP="003A63D0">
      <w:pPr>
        <w:pStyle w:val="ReferHead"/>
        <w:spacing w:after="0"/>
        <w:jc w:val="both"/>
        <w:rPr>
          <w:rFonts w:ascii="Arial" w:hAnsi="Arial" w:cs="Arial"/>
          <w:sz w:val="20"/>
        </w:rPr>
      </w:pPr>
    </w:p>
    <w:p w14:paraId="5CFC42FF" w14:textId="77777777" w:rsidR="005404A4" w:rsidRPr="0055051B" w:rsidRDefault="005404A4" w:rsidP="000F5391">
      <w:pPr>
        <w:pStyle w:val="ReferHead"/>
        <w:spacing w:after="0"/>
        <w:rPr>
          <w:rFonts w:ascii="Arial" w:hAnsi="Arial" w:cs="Arial"/>
          <w:szCs w:val="22"/>
        </w:rPr>
      </w:pPr>
      <w:r w:rsidRPr="0055051B">
        <w:rPr>
          <w:rFonts w:ascii="Arial" w:hAnsi="Arial" w:cs="Arial"/>
          <w:szCs w:val="22"/>
        </w:rPr>
        <w:t>References</w:t>
      </w:r>
    </w:p>
    <w:p w14:paraId="54A32A2B" w14:textId="77777777" w:rsidR="005404A4" w:rsidRPr="003A63D0" w:rsidRDefault="005404A4" w:rsidP="003A63D0">
      <w:pPr>
        <w:pStyle w:val="ReferHead"/>
        <w:spacing w:after="0"/>
        <w:jc w:val="both"/>
        <w:rPr>
          <w:rFonts w:ascii="Arial" w:hAnsi="Arial" w:cs="Arial"/>
          <w:sz w:val="20"/>
        </w:rPr>
      </w:pPr>
    </w:p>
    <w:p w14:paraId="257E1CF6" w14:textId="77777777" w:rsidR="00C044EA" w:rsidRDefault="00C044EA" w:rsidP="003A63D0">
      <w:pPr>
        <w:pStyle w:val="Body"/>
        <w:spacing w:after="0"/>
        <w:rPr>
          <w:rFonts w:ascii="Arial" w:hAnsi="Arial" w:cs="Arial"/>
        </w:rPr>
      </w:pPr>
    </w:p>
    <w:p w14:paraId="7229D617" w14:textId="77777777" w:rsidR="00C044EA" w:rsidRDefault="00C044EA" w:rsidP="003A63D0">
      <w:pPr>
        <w:pStyle w:val="Body"/>
        <w:spacing w:after="0"/>
        <w:rPr>
          <w:rFonts w:ascii="Arial" w:hAnsi="Arial" w:cs="Arial"/>
        </w:rPr>
      </w:pPr>
    </w:p>
    <w:p w14:paraId="745DEB67" w14:textId="521CD6B6" w:rsidR="0010135D" w:rsidRPr="00E461CD" w:rsidRDefault="00E461CD" w:rsidP="00E461CD">
      <w:pPr>
        <w:rPr>
          <w:rFonts w:ascii="Arial" w:eastAsia="Batang" w:hAnsi="Arial" w:cs="Arial"/>
          <w:sz w:val="20"/>
          <w:szCs w:val="20"/>
        </w:rPr>
      </w:pPr>
      <w:r w:rsidRPr="00E461CD">
        <w:rPr>
          <w:rFonts w:ascii="Arial" w:eastAsia="Batang" w:hAnsi="Arial" w:cs="Arial"/>
          <w:sz w:val="20"/>
          <w:szCs w:val="20"/>
        </w:rPr>
        <w:t xml:space="preserve">Ablian, M. C. R., Aringo, L. B., &amp; Samillano, M. L. S. (2021). Mathematics anxiety and self-efficacy beliefs among senior high school students. </w:t>
      </w:r>
      <w:r w:rsidRPr="00E461CD">
        <w:rPr>
          <w:rFonts w:ascii="Arial" w:eastAsia="Batang" w:hAnsi="Arial" w:cs="Arial"/>
          <w:i/>
          <w:iCs/>
          <w:sz w:val="20"/>
          <w:szCs w:val="20"/>
        </w:rPr>
        <w:t>International Journal of Multidisciplinary: Applied Business and Education Research, 2</w:t>
      </w:r>
      <w:r w:rsidRPr="00E461CD">
        <w:rPr>
          <w:rFonts w:ascii="Arial" w:eastAsia="Batang" w:hAnsi="Arial" w:cs="Arial"/>
          <w:sz w:val="20"/>
          <w:szCs w:val="20"/>
        </w:rPr>
        <w:t xml:space="preserve">(10), 1017–1027. </w:t>
      </w:r>
      <w:hyperlink r:id="rId22" w:history="1">
        <w:r w:rsidR="0010135D" w:rsidRPr="00E461CD">
          <w:rPr>
            <w:rStyle w:val="Hyperlink"/>
            <w:rFonts w:ascii="Arial" w:eastAsia="Batang" w:hAnsi="Arial" w:cs="Arial"/>
            <w:sz w:val="20"/>
            <w:szCs w:val="20"/>
          </w:rPr>
          <w:t>https://doi.org/10.11594/ijmaber.02.10.12</w:t>
        </w:r>
      </w:hyperlink>
    </w:p>
    <w:p w14:paraId="275B7F63" w14:textId="7C32B02F" w:rsidR="0010135D" w:rsidRPr="00E461CD" w:rsidRDefault="00E461CD" w:rsidP="00E461CD">
      <w:pPr>
        <w:rPr>
          <w:rFonts w:ascii="Arial" w:eastAsia="Batang" w:hAnsi="Arial" w:cs="Arial"/>
          <w:sz w:val="20"/>
          <w:szCs w:val="20"/>
        </w:rPr>
      </w:pPr>
      <w:r w:rsidRPr="00E461CD">
        <w:rPr>
          <w:rFonts w:ascii="Arial" w:eastAsia="Batang" w:hAnsi="Arial" w:cs="Arial"/>
          <w:sz w:val="20"/>
          <w:szCs w:val="20"/>
        </w:rPr>
        <w:t xml:space="preserve">Adoro, J. C., Balagtas, M. C., &amp; Mangulabnan, G. R. (2024). Attitude, prior knowledge, and critical thinking skills as predictors in solving algebraic equations. </w:t>
      </w:r>
      <w:r w:rsidRPr="00E461CD">
        <w:rPr>
          <w:rFonts w:ascii="Arial" w:eastAsia="Batang" w:hAnsi="Arial" w:cs="Arial"/>
          <w:i/>
          <w:iCs/>
          <w:sz w:val="20"/>
          <w:szCs w:val="20"/>
        </w:rPr>
        <w:t>International Journal of Scientific and Research Publications, 14</w:t>
      </w:r>
      <w:r w:rsidRPr="00E461CD">
        <w:rPr>
          <w:rFonts w:ascii="Arial" w:eastAsia="Batang" w:hAnsi="Arial" w:cs="Arial"/>
          <w:sz w:val="20"/>
          <w:szCs w:val="20"/>
        </w:rPr>
        <w:t xml:space="preserve">(3), 124–132. </w:t>
      </w:r>
      <w:hyperlink r:id="rId23" w:history="1">
        <w:r w:rsidR="0010135D" w:rsidRPr="00E461CD">
          <w:rPr>
            <w:rStyle w:val="Hyperlink"/>
            <w:rFonts w:ascii="Arial" w:eastAsia="Batang" w:hAnsi="Arial" w:cs="Arial"/>
            <w:sz w:val="20"/>
            <w:szCs w:val="20"/>
          </w:rPr>
          <w:t>https://doi.org/10.29322/IJSRP.14.03.2024.p14721</w:t>
        </w:r>
      </w:hyperlink>
    </w:p>
    <w:p w14:paraId="29FD0D22" w14:textId="6BED8BF1" w:rsidR="0010135D" w:rsidRPr="00E461CD" w:rsidRDefault="00E461CD" w:rsidP="00E461CD">
      <w:pPr>
        <w:rPr>
          <w:rFonts w:ascii="Arial" w:eastAsia="Batang" w:hAnsi="Arial" w:cs="Arial"/>
          <w:sz w:val="20"/>
          <w:szCs w:val="20"/>
        </w:rPr>
      </w:pPr>
      <w:r w:rsidRPr="00E461CD">
        <w:rPr>
          <w:rFonts w:ascii="Arial" w:eastAsia="Batang" w:hAnsi="Arial" w:cs="Arial"/>
          <w:sz w:val="20"/>
          <w:szCs w:val="20"/>
        </w:rPr>
        <w:t xml:space="preserve">Balanquit, C. A., &amp; Nobis, M. N. (2025). Conceptual knowledge and error analysis in algebra among pre-service mathematics teachers. </w:t>
      </w:r>
      <w:r w:rsidRPr="00E461CD">
        <w:rPr>
          <w:rFonts w:ascii="Arial" w:eastAsia="Batang" w:hAnsi="Arial" w:cs="Arial"/>
          <w:i/>
          <w:iCs/>
          <w:sz w:val="20"/>
          <w:szCs w:val="20"/>
        </w:rPr>
        <w:t>Philippine Journal of Mathematics Education, 12</w:t>
      </w:r>
      <w:r w:rsidRPr="00E461CD">
        <w:rPr>
          <w:rFonts w:ascii="Arial" w:eastAsia="Batang" w:hAnsi="Arial" w:cs="Arial"/>
          <w:sz w:val="20"/>
          <w:szCs w:val="20"/>
        </w:rPr>
        <w:t>(1), 25–38.</w:t>
      </w:r>
    </w:p>
    <w:p w14:paraId="4060644B" w14:textId="77777777" w:rsidR="00E461CD" w:rsidRPr="00E461CD" w:rsidRDefault="00E461CD" w:rsidP="00E461CD">
      <w:pPr>
        <w:rPr>
          <w:rFonts w:ascii="Arial" w:eastAsia="Batang" w:hAnsi="Arial" w:cs="Arial"/>
          <w:sz w:val="20"/>
          <w:szCs w:val="20"/>
        </w:rPr>
      </w:pPr>
      <w:r w:rsidRPr="00E461CD">
        <w:rPr>
          <w:rFonts w:ascii="Arial" w:eastAsia="Batang" w:hAnsi="Arial" w:cs="Arial"/>
          <w:sz w:val="20"/>
          <w:szCs w:val="20"/>
        </w:rPr>
        <w:t xml:space="preserve">Bongcac, J. A. (2021). Self-efficacy and anxiety as determinants of mathematical achievement among Grade 7 students. </w:t>
      </w:r>
      <w:r w:rsidRPr="00E461CD">
        <w:rPr>
          <w:rFonts w:ascii="Arial" w:eastAsia="Batang" w:hAnsi="Arial" w:cs="Arial"/>
          <w:i/>
          <w:iCs/>
          <w:sz w:val="20"/>
          <w:szCs w:val="20"/>
        </w:rPr>
        <w:t>Philippine Social Science Journal, 4</w:t>
      </w:r>
      <w:r w:rsidRPr="00E461CD">
        <w:rPr>
          <w:rFonts w:ascii="Arial" w:eastAsia="Batang" w:hAnsi="Arial" w:cs="Arial"/>
          <w:sz w:val="20"/>
          <w:szCs w:val="20"/>
        </w:rPr>
        <w:t>(1), 45–56.</w:t>
      </w:r>
    </w:p>
    <w:p w14:paraId="4CF46D2F" w14:textId="77777777" w:rsidR="00E461CD" w:rsidRPr="00E461CD" w:rsidRDefault="00E461CD" w:rsidP="00E461CD">
      <w:pPr>
        <w:rPr>
          <w:rFonts w:ascii="Arial" w:eastAsia="Batang" w:hAnsi="Arial" w:cs="Arial"/>
          <w:sz w:val="20"/>
          <w:szCs w:val="20"/>
        </w:rPr>
      </w:pPr>
      <w:r w:rsidRPr="00E461CD">
        <w:rPr>
          <w:rFonts w:ascii="Arial" w:eastAsia="Batang" w:hAnsi="Arial" w:cs="Arial"/>
          <w:sz w:val="20"/>
          <w:szCs w:val="20"/>
        </w:rPr>
        <w:t xml:space="preserve">Cabugwason, R. V., Alagon, G. C., &amp; Tolentino, C. R. (2024). Exploring the experiences of pre-service teachers in using mobile mathematics applications. </w:t>
      </w:r>
      <w:r w:rsidRPr="00E461CD">
        <w:rPr>
          <w:rFonts w:ascii="Arial" w:eastAsia="Batang" w:hAnsi="Arial" w:cs="Arial"/>
          <w:i/>
          <w:iCs/>
          <w:sz w:val="20"/>
          <w:szCs w:val="20"/>
        </w:rPr>
        <w:t>Asia Pacific Journal of Educational Research, 7</w:t>
      </w:r>
      <w:r w:rsidRPr="00E461CD">
        <w:rPr>
          <w:rFonts w:ascii="Arial" w:eastAsia="Batang" w:hAnsi="Arial" w:cs="Arial"/>
          <w:sz w:val="20"/>
          <w:szCs w:val="20"/>
        </w:rPr>
        <w:t>(2), 88–96.</w:t>
      </w:r>
    </w:p>
    <w:p w14:paraId="580D790B" w14:textId="77777777" w:rsidR="00E461CD" w:rsidRPr="00E461CD" w:rsidRDefault="00E461CD" w:rsidP="00E461CD">
      <w:pPr>
        <w:rPr>
          <w:rFonts w:ascii="Arial" w:eastAsia="Batang" w:hAnsi="Arial" w:cs="Arial"/>
          <w:sz w:val="20"/>
          <w:szCs w:val="20"/>
        </w:rPr>
      </w:pPr>
      <w:r w:rsidRPr="00E461CD">
        <w:rPr>
          <w:rFonts w:ascii="Arial" w:eastAsia="Batang" w:hAnsi="Arial" w:cs="Arial"/>
          <w:sz w:val="20"/>
          <w:szCs w:val="20"/>
        </w:rPr>
        <w:t xml:space="preserve">Cigario, A. C., Del Rosario, M. A., &amp; Belardo, J. L. (2025). The role of EdPuzzle and technology-based assessments in reducing mathematics anxiety. </w:t>
      </w:r>
      <w:r w:rsidRPr="00E461CD">
        <w:rPr>
          <w:rFonts w:ascii="Arial" w:eastAsia="Batang" w:hAnsi="Arial" w:cs="Arial"/>
          <w:i/>
          <w:iCs/>
          <w:sz w:val="20"/>
          <w:szCs w:val="20"/>
        </w:rPr>
        <w:t>Journal of Educational Innovation and Practice, 3</w:t>
      </w:r>
      <w:r w:rsidRPr="00E461CD">
        <w:rPr>
          <w:rFonts w:ascii="Arial" w:eastAsia="Batang" w:hAnsi="Arial" w:cs="Arial"/>
          <w:sz w:val="20"/>
          <w:szCs w:val="20"/>
        </w:rPr>
        <w:t>(1), 54–63.</w:t>
      </w:r>
    </w:p>
    <w:p w14:paraId="17E97417" w14:textId="77777777" w:rsidR="00E461CD" w:rsidRPr="00E461CD" w:rsidRDefault="00E461CD" w:rsidP="00E461CD">
      <w:pPr>
        <w:rPr>
          <w:rFonts w:ascii="Arial" w:eastAsia="Batang" w:hAnsi="Arial" w:cs="Arial"/>
          <w:sz w:val="20"/>
          <w:szCs w:val="20"/>
        </w:rPr>
      </w:pPr>
      <w:r w:rsidRPr="00E461CD">
        <w:rPr>
          <w:rFonts w:ascii="Arial" w:eastAsia="Batang" w:hAnsi="Arial" w:cs="Arial"/>
          <w:sz w:val="20"/>
          <w:szCs w:val="20"/>
        </w:rPr>
        <w:t xml:space="preserve">Cuevas, J. L., &amp; Berou, C. M. (2023). Mathematics self-efficacy and anxiety of Grade 7 Filipino students. </w:t>
      </w:r>
      <w:r w:rsidRPr="00E461CD">
        <w:rPr>
          <w:rFonts w:ascii="Arial" w:eastAsia="Batang" w:hAnsi="Arial" w:cs="Arial"/>
          <w:i/>
          <w:iCs/>
          <w:sz w:val="20"/>
          <w:szCs w:val="20"/>
        </w:rPr>
        <w:t>Southeast Asian Journal of STEM Education, 9</w:t>
      </w:r>
      <w:r w:rsidRPr="00E461CD">
        <w:rPr>
          <w:rFonts w:ascii="Arial" w:eastAsia="Batang" w:hAnsi="Arial" w:cs="Arial"/>
          <w:sz w:val="20"/>
          <w:szCs w:val="20"/>
        </w:rPr>
        <w:t>(1), 32–42.</w:t>
      </w:r>
    </w:p>
    <w:p w14:paraId="0F443CA9" w14:textId="47D7DAAA" w:rsidR="0010135D" w:rsidRPr="00E461CD" w:rsidRDefault="00E461CD" w:rsidP="00E461CD">
      <w:pPr>
        <w:rPr>
          <w:rFonts w:ascii="Arial" w:eastAsia="Batang" w:hAnsi="Arial" w:cs="Arial"/>
          <w:sz w:val="20"/>
          <w:szCs w:val="20"/>
        </w:rPr>
      </w:pPr>
      <w:r w:rsidRPr="00E461CD">
        <w:rPr>
          <w:rFonts w:ascii="Arial" w:eastAsia="Batang" w:hAnsi="Arial" w:cs="Arial"/>
          <w:sz w:val="20"/>
          <w:szCs w:val="20"/>
        </w:rPr>
        <w:t xml:space="preserve">Discover Education. (2024). </w:t>
      </w:r>
      <w:r w:rsidRPr="00E461CD">
        <w:rPr>
          <w:rFonts w:ascii="Arial" w:eastAsia="Batang" w:hAnsi="Arial" w:cs="Arial"/>
          <w:i/>
          <w:iCs/>
          <w:sz w:val="20"/>
          <w:szCs w:val="20"/>
        </w:rPr>
        <w:t>Understanding math anxiety: Causes and solutions</w:t>
      </w:r>
      <w:r w:rsidRPr="00E461CD">
        <w:rPr>
          <w:rFonts w:ascii="Arial" w:eastAsia="Batang" w:hAnsi="Arial" w:cs="Arial"/>
          <w:sz w:val="20"/>
          <w:szCs w:val="20"/>
        </w:rPr>
        <w:t xml:space="preserve">. Retrieved from </w:t>
      </w:r>
      <w:hyperlink r:id="rId24" w:history="1">
        <w:r w:rsidR="0010135D" w:rsidRPr="00E461CD">
          <w:rPr>
            <w:rStyle w:val="Hyperlink"/>
            <w:rFonts w:ascii="Arial" w:eastAsia="Batang" w:hAnsi="Arial" w:cs="Arial"/>
            <w:sz w:val="20"/>
            <w:szCs w:val="20"/>
          </w:rPr>
          <w:t>https://www.discoveredu.org/math-anxiety-report</w:t>
        </w:r>
      </w:hyperlink>
    </w:p>
    <w:p w14:paraId="024D23FF" w14:textId="77777777" w:rsidR="00E461CD" w:rsidRPr="00E461CD" w:rsidRDefault="00E461CD" w:rsidP="00E461CD">
      <w:pPr>
        <w:rPr>
          <w:rFonts w:ascii="Arial" w:eastAsia="Batang" w:hAnsi="Arial" w:cs="Arial"/>
          <w:sz w:val="20"/>
          <w:szCs w:val="20"/>
        </w:rPr>
      </w:pPr>
      <w:r w:rsidRPr="00E461CD">
        <w:rPr>
          <w:rFonts w:ascii="Arial" w:eastAsia="Batang" w:hAnsi="Arial" w:cs="Arial"/>
          <w:sz w:val="20"/>
          <w:szCs w:val="20"/>
        </w:rPr>
        <w:lastRenderedPageBreak/>
        <w:t xml:space="preserve">Fennema, E., &amp; Sherman, J. A. (1976). Fennema–Sherman Mathematics Attitudes Scales: Instruments designed to measure attitudes toward the learning of mathematics by females and males. </w:t>
      </w:r>
      <w:r w:rsidRPr="00E461CD">
        <w:rPr>
          <w:rFonts w:ascii="Arial" w:eastAsia="Batang" w:hAnsi="Arial" w:cs="Arial"/>
          <w:i/>
          <w:iCs/>
          <w:sz w:val="20"/>
          <w:szCs w:val="20"/>
        </w:rPr>
        <w:t>Journal for Research in Mathematics Education, 7</w:t>
      </w:r>
      <w:r w:rsidRPr="00E461CD">
        <w:rPr>
          <w:rFonts w:ascii="Arial" w:eastAsia="Batang" w:hAnsi="Arial" w:cs="Arial"/>
          <w:sz w:val="20"/>
          <w:szCs w:val="20"/>
        </w:rPr>
        <w:t>(5), 324–326.</w:t>
      </w:r>
    </w:p>
    <w:p w14:paraId="646A91D3" w14:textId="77777777" w:rsidR="00E461CD" w:rsidRPr="00E461CD" w:rsidRDefault="00E461CD" w:rsidP="00E461CD">
      <w:pPr>
        <w:rPr>
          <w:rFonts w:ascii="Arial" w:eastAsia="Batang" w:hAnsi="Arial" w:cs="Arial"/>
          <w:sz w:val="20"/>
          <w:szCs w:val="20"/>
        </w:rPr>
      </w:pPr>
      <w:r w:rsidRPr="00E461CD">
        <w:rPr>
          <w:rFonts w:ascii="Arial" w:eastAsia="Batang" w:hAnsi="Arial" w:cs="Arial"/>
          <w:sz w:val="20"/>
          <w:szCs w:val="20"/>
        </w:rPr>
        <w:t xml:space="preserve">Jr., M. C. P., del Castillo, J. B., &amp; Valera, R. B. (2025). Test anxiety among pre-service teachers: A qualitative analysis. </w:t>
      </w:r>
      <w:r w:rsidRPr="00E461CD">
        <w:rPr>
          <w:rFonts w:ascii="Arial" w:eastAsia="Batang" w:hAnsi="Arial" w:cs="Arial"/>
          <w:i/>
          <w:iCs/>
          <w:sz w:val="20"/>
          <w:szCs w:val="20"/>
        </w:rPr>
        <w:t>Philippine Journal of Educational Measurement and Evaluation, 18</w:t>
      </w:r>
      <w:r w:rsidRPr="00E461CD">
        <w:rPr>
          <w:rFonts w:ascii="Arial" w:eastAsia="Batang" w:hAnsi="Arial" w:cs="Arial"/>
          <w:sz w:val="20"/>
          <w:szCs w:val="20"/>
        </w:rPr>
        <w:t>(2), 72–85.</w:t>
      </w:r>
    </w:p>
    <w:p w14:paraId="67694197" w14:textId="77777777" w:rsidR="00E461CD" w:rsidRPr="00E461CD" w:rsidRDefault="00E461CD" w:rsidP="00E461CD">
      <w:pPr>
        <w:rPr>
          <w:rFonts w:ascii="Arial" w:eastAsia="Batang" w:hAnsi="Arial" w:cs="Arial"/>
          <w:sz w:val="20"/>
          <w:szCs w:val="20"/>
        </w:rPr>
      </w:pPr>
      <w:r w:rsidRPr="00E461CD">
        <w:rPr>
          <w:rFonts w:ascii="Arial" w:eastAsia="Batang" w:hAnsi="Arial" w:cs="Arial"/>
          <w:sz w:val="20"/>
          <w:szCs w:val="20"/>
        </w:rPr>
        <w:t xml:space="preserve">Magnate, A. L., &amp; Sulatra, K. J. (2023). The paradox of self-efficacy and anxiety in mathematical performance. </w:t>
      </w:r>
      <w:r w:rsidRPr="00E461CD">
        <w:rPr>
          <w:rFonts w:ascii="Arial" w:eastAsia="Batang" w:hAnsi="Arial" w:cs="Arial"/>
          <w:i/>
          <w:iCs/>
          <w:sz w:val="20"/>
          <w:szCs w:val="20"/>
        </w:rPr>
        <w:t>International Journal of Psychological Research and Education, 11</w:t>
      </w:r>
      <w:r w:rsidRPr="00E461CD">
        <w:rPr>
          <w:rFonts w:ascii="Arial" w:eastAsia="Batang" w:hAnsi="Arial" w:cs="Arial"/>
          <w:sz w:val="20"/>
          <w:szCs w:val="20"/>
        </w:rPr>
        <w:t>(3), 120–131.</w:t>
      </w:r>
    </w:p>
    <w:p w14:paraId="4C062AF3" w14:textId="77777777" w:rsidR="00E461CD" w:rsidRPr="00E461CD" w:rsidRDefault="00E461CD" w:rsidP="00E461CD">
      <w:pPr>
        <w:rPr>
          <w:rFonts w:ascii="Arial" w:eastAsia="Batang" w:hAnsi="Arial" w:cs="Arial"/>
          <w:sz w:val="20"/>
          <w:szCs w:val="20"/>
        </w:rPr>
      </w:pPr>
      <w:r w:rsidRPr="00E461CD">
        <w:rPr>
          <w:rFonts w:ascii="Arial" w:eastAsia="Batang" w:hAnsi="Arial" w:cs="Arial"/>
          <w:sz w:val="20"/>
          <w:szCs w:val="20"/>
        </w:rPr>
        <w:t xml:space="preserve">Mahmoudifar, M., &amp; Beiki, M. (2023). The effect of mathematics instructional methods on student anxiety and self-efficacy. </w:t>
      </w:r>
      <w:r w:rsidRPr="00E461CD">
        <w:rPr>
          <w:rFonts w:ascii="Arial" w:eastAsia="Batang" w:hAnsi="Arial" w:cs="Arial"/>
          <w:i/>
          <w:iCs/>
          <w:sz w:val="20"/>
          <w:szCs w:val="20"/>
        </w:rPr>
        <w:t>Journal of Mathematics and Learning, 4</w:t>
      </w:r>
      <w:r w:rsidRPr="00E461CD">
        <w:rPr>
          <w:rFonts w:ascii="Arial" w:eastAsia="Batang" w:hAnsi="Arial" w:cs="Arial"/>
          <w:sz w:val="20"/>
          <w:szCs w:val="20"/>
        </w:rPr>
        <w:t>(2), 47–59.</w:t>
      </w:r>
    </w:p>
    <w:p w14:paraId="23AA981A" w14:textId="77777777" w:rsidR="00E461CD" w:rsidRPr="00E461CD" w:rsidRDefault="00E461CD" w:rsidP="00E461CD">
      <w:pPr>
        <w:rPr>
          <w:rFonts w:ascii="Arial" w:eastAsia="Batang" w:hAnsi="Arial" w:cs="Arial"/>
          <w:sz w:val="20"/>
          <w:szCs w:val="20"/>
        </w:rPr>
      </w:pPr>
      <w:r w:rsidRPr="00E461CD">
        <w:rPr>
          <w:rFonts w:ascii="Arial" w:eastAsia="Batang" w:hAnsi="Arial" w:cs="Arial"/>
          <w:sz w:val="20"/>
          <w:szCs w:val="20"/>
        </w:rPr>
        <w:t xml:space="preserve">Nakhanu, S. B., Toili, W. W., &amp; Nyongesa, K. (2015). Application of linear programming knowledge and skills to real-life contexts by secondary school students in Kenya. </w:t>
      </w:r>
      <w:r w:rsidRPr="00E461CD">
        <w:rPr>
          <w:rFonts w:ascii="Arial" w:eastAsia="Batang" w:hAnsi="Arial" w:cs="Arial"/>
          <w:i/>
          <w:iCs/>
          <w:sz w:val="20"/>
          <w:szCs w:val="20"/>
        </w:rPr>
        <w:t>Journal of Scientific Research and Reports, 8</w:t>
      </w:r>
      <w:r w:rsidRPr="00E461CD">
        <w:rPr>
          <w:rFonts w:ascii="Arial" w:eastAsia="Batang" w:hAnsi="Arial" w:cs="Arial"/>
          <w:sz w:val="20"/>
          <w:szCs w:val="20"/>
        </w:rPr>
        <w:t xml:space="preserve">(1), 1–7. </w:t>
      </w:r>
      <w:hyperlink r:id="rId25" w:tgtFrame="_new" w:history="1">
        <w:r w:rsidRPr="00E461CD">
          <w:rPr>
            <w:rStyle w:val="Hyperlink"/>
            <w:rFonts w:ascii="Arial" w:eastAsia="Batang" w:hAnsi="Arial" w:cs="Arial"/>
            <w:sz w:val="20"/>
            <w:szCs w:val="20"/>
          </w:rPr>
          <w:t>https://doi.org/10.9734/JSRR/2015/18300</w:t>
        </w:r>
      </w:hyperlink>
    </w:p>
    <w:p w14:paraId="6299DF88" w14:textId="77777777" w:rsidR="00E461CD" w:rsidRPr="00E461CD" w:rsidRDefault="00E461CD" w:rsidP="00E461CD">
      <w:pPr>
        <w:rPr>
          <w:rFonts w:ascii="Arial" w:eastAsia="Batang" w:hAnsi="Arial" w:cs="Arial"/>
          <w:sz w:val="20"/>
          <w:szCs w:val="20"/>
        </w:rPr>
      </w:pPr>
      <w:r w:rsidRPr="00E461CD">
        <w:rPr>
          <w:rFonts w:ascii="Arial" w:eastAsia="Batang" w:hAnsi="Arial" w:cs="Arial"/>
          <w:sz w:val="20"/>
          <w:szCs w:val="20"/>
        </w:rPr>
        <w:t xml:space="preserve">Nobis, M. N. (2021). Pre-service teachers’ experiences with mobile math applications: Challenges and opportunities. </w:t>
      </w:r>
      <w:r w:rsidRPr="00E461CD">
        <w:rPr>
          <w:rFonts w:ascii="Arial" w:eastAsia="Batang" w:hAnsi="Arial" w:cs="Arial"/>
          <w:i/>
          <w:iCs/>
          <w:sz w:val="20"/>
          <w:szCs w:val="20"/>
        </w:rPr>
        <w:t>Journal of Mathematics Teacher Education, 10</w:t>
      </w:r>
      <w:r w:rsidRPr="00E461CD">
        <w:rPr>
          <w:rFonts w:ascii="Arial" w:eastAsia="Batang" w:hAnsi="Arial" w:cs="Arial"/>
          <w:sz w:val="20"/>
          <w:szCs w:val="20"/>
        </w:rPr>
        <w:t>(2), 56–64.</w:t>
      </w:r>
    </w:p>
    <w:p w14:paraId="44214630" w14:textId="77777777" w:rsidR="00E461CD" w:rsidRPr="00E461CD" w:rsidRDefault="00E461CD" w:rsidP="00E461CD">
      <w:pPr>
        <w:rPr>
          <w:rFonts w:ascii="Arial" w:eastAsia="Batang" w:hAnsi="Arial" w:cs="Arial"/>
          <w:sz w:val="20"/>
          <w:szCs w:val="20"/>
        </w:rPr>
      </w:pPr>
      <w:r w:rsidRPr="00E461CD">
        <w:rPr>
          <w:rFonts w:ascii="Arial" w:eastAsia="Batang" w:hAnsi="Arial" w:cs="Arial"/>
          <w:sz w:val="20"/>
          <w:szCs w:val="20"/>
        </w:rPr>
        <w:t xml:space="preserve">Nobis, M. N., &amp; Caparroso, R. M. (2025). Parental involvement and homework completion in mathematics among junior high students. </w:t>
      </w:r>
      <w:r w:rsidRPr="00E461CD">
        <w:rPr>
          <w:rFonts w:ascii="Arial" w:eastAsia="Batang" w:hAnsi="Arial" w:cs="Arial"/>
          <w:i/>
          <w:iCs/>
          <w:sz w:val="20"/>
          <w:szCs w:val="20"/>
        </w:rPr>
        <w:t>Journal of Family and Educational Studies, 4</w:t>
      </w:r>
      <w:r w:rsidRPr="00E461CD">
        <w:rPr>
          <w:rFonts w:ascii="Arial" w:eastAsia="Batang" w:hAnsi="Arial" w:cs="Arial"/>
          <w:sz w:val="20"/>
          <w:szCs w:val="20"/>
        </w:rPr>
        <w:t>(1), 23–31.</w:t>
      </w:r>
    </w:p>
    <w:p w14:paraId="4B8E7ADA" w14:textId="77777777" w:rsidR="00E461CD" w:rsidRPr="00E461CD" w:rsidRDefault="00E461CD" w:rsidP="00E461CD">
      <w:pPr>
        <w:rPr>
          <w:rFonts w:ascii="Arial" w:eastAsia="Batang" w:hAnsi="Arial" w:cs="Arial"/>
          <w:sz w:val="20"/>
          <w:szCs w:val="20"/>
        </w:rPr>
      </w:pPr>
      <w:r w:rsidRPr="00E461CD">
        <w:rPr>
          <w:rFonts w:ascii="Arial" w:eastAsia="Batang" w:hAnsi="Arial" w:cs="Arial"/>
          <w:sz w:val="20"/>
          <w:szCs w:val="20"/>
        </w:rPr>
        <w:t xml:space="preserve">Nobis, M. N., Adoro, J. C., &amp; Balanquit, C. A. (2024). The emotional cost of excellence: Self-efficacy and anxiety among high-performing students. </w:t>
      </w:r>
      <w:r w:rsidRPr="00E461CD">
        <w:rPr>
          <w:rFonts w:ascii="Arial" w:eastAsia="Batang" w:hAnsi="Arial" w:cs="Arial"/>
          <w:i/>
          <w:iCs/>
          <w:sz w:val="20"/>
          <w:szCs w:val="20"/>
        </w:rPr>
        <w:t>Asia Pacific Journal of Educational Psychology, 6</w:t>
      </w:r>
      <w:r w:rsidRPr="00E461CD">
        <w:rPr>
          <w:rFonts w:ascii="Arial" w:eastAsia="Batang" w:hAnsi="Arial" w:cs="Arial"/>
          <w:sz w:val="20"/>
          <w:szCs w:val="20"/>
        </w:rPr>
        <w:t>(1), 88–95.</w:t>
      </w:r>
    </w:p>
    <w:p w14:paraId="340BC7C0" w14:textId="77777777" w:rsidR="00E461CD" w:rsidRPr="00E461CD" w:rsidRDefault="00E461CD" w:rsidP="00E461CD">
      <w:pPr>
        <w:rPr>
          <w:rFonts w:ascii="Arial" w:eastAsia="Batang" w:hAnsi="Arial" w:cs="Arial"/>
          <w:sz w:val="20"/>
          <w:szCs w:val="20"/>
        </w:rPr>
      </w:pPr>
      <w:r w:rsidRPr="00E461CD">
        <w:rPr>
          <w:rFonts w:ascii="Arial" w:eastAsia="Batang" w:hAnsi="Arial" w:cs="Arial"/>
          <w:sz w:val="20"/>
          <w:szCs w:val="20"/>
        </w:rPr>
        <w:t xml:space="preserve">Pala, L. C., Domingo, A. M., &amp; Garvida, A. S. (2025). Enhancing mathematics learning through chatbot integration. </w:t>
      </w:r>
      <w:r w:rsidRPr="00E461CD">
        <w:rPr>
          <w:rFonts w:ascii="Arial" w:eastAsia="Batang" w:hAnsi="Arial" w:cs="Arial"/>
          <w:i/>
          <w:iCs/>
          <w:sz w:val="20"/>
          <w:szCs w:val="20"/>
        </w:rPr>
        <w:t>Journal of Emerging Educational Technologies, 2</w:t>
      </w:r>
      <w:r w:rsidRPr="00E461CD">
        <w:rPr>
          <w:rFonts w:ascii="Arial" w:eastAsia="Batang" w:hAnsi="Arial" w:cs="Arial"/>
          <w:sz w:val="20"/>
          <w:szCs w:val="20"/>
        </w:rPr>
        <w:t>(1), 15–27.</w:t>
      </w:r>
    </w:p>
    <w:p w14:paraId="42FAE053" w14:textId="77777777" w:rsidR="00E461CD" w:rsidRPr="00E461CD" w:rsidRDefault="00E461CD" w:rsidP="00E461CD">
      <w:pPr>
        <w:rPr>
          <w:rFonts w:ascii="Arial" w:eastAsia="Batang" w:hAnsi="Arial" w:cs="Arial"/>
          <w:sz w:val="20"/>
          <w:szCs w:val="20"/>
        </w:rPr>
      </w:pPr>
      <w:r w:rsidRPr="00E461CD">
        <w:rPr>
          <w:rFonts w:ascii="Arial" w:eastAsia="Batang" w:hAnsi="Arial" w:cs="Arial"/>
          <w:sz w:val="20"/>
          <w:szCs w:val="20"/>
        </w:rPr>
        <w:t xml:space="preserve">Pekrun, R. (2006). The control–value theory of achievement emotions: Assumptions, corollaries, and implications for educational research and practice. </w:t>
      </w:r>
      <w:r w:rsidRPr="00E461CD">
        <w:rPr>
          <w:rFonts w:ascii="Arial" w:eastAsia="Batang" w:hAnsi="Arial" w:cs="Arial"/>
          <w:i/>
          <w:iCs/>
          <w:sz w:val="20"/>
          <w:szCs w:val="20"/>
        </w:rPr>
        <w:t>Educational Psychology Review, 18</w:t>
      </w:r>
      <w:r w:rsidRPr="00E461CD">
        <w:rPr>
          <w:rFonts w:ascii="Arial" w:eastAsia="Batang" w:hAnsi="Arial" w:cs="Arial"/>
          <w:sz w:val="20"/>
          <w:szCs w:val="20"/>
        </w:rPr>
        <w:t>(4), 315–341. https://doi.org/10.1007/s10648-006-9029-9</w:t>
      </w:r>
    </w:p>
    <w:p w14:paraId="0863DBB3" w14:textId="79F022FD" w:rsidR="00E461CD" w:rsidRPr="00E461CD" w:rsidRDefault="00E461CD" w:rsidP="00E461CD">
      <w:pPr>
        <w:rPr>
          <w:rFonts w:ascii="Arial" w:eastAsia="Batang" w:hAnsi="Arial" w:cs="Arial"/>
          <w:sz w:val="20"/>
          <w:szCs w:val="20"/>
        </w:rPr>
      </w:pPr>
      <w:r w:rsidRPr="00E461CD">
        <w:rPr>
          <w:rFonts w:ascii="Arial" w:eastAsia="Batang" w:hAnsi="Arial" w:cs="Arial"/>
          <w:sz w:val="20"/>
          <w:szCs w:val="20"/>
        </w:rPr>
        <w:t xml:space="preserve">Ramirez, G., Shaw, S. T., &amp; Maloney, E. A. (2018). Math anxiety: Past research, promising interventions, and a new interpretation framework. </w:t>
      </w:r>
      <w:r w:rsidRPr="00E461CD">
        <w:rPr>
          <w:rFonts w:ascii="Arial" w:eastAsia="Batang" w:hAnsi="Arial" w:cs="Arial"/>
          <w:i/>
          <w:iCs/>
          <w:sz w:val="20"/>
          <w:szCs w:val="20"/>
        </w:rPr>
        <w:t>Educational Psychologist, 53</w:t>
      </w:r>
      <w:r w:rsidRPr="00E461CD">
        <w:rPr>
          <w:rFonts w:ascii="Arial" w:eastAsia="Batang" w:hAnsi="Arial" w:cs="Arial"/>
          <w:sz w:val="20"/>
          <w:szCs w:val="20"/>
        </w:rPr>
        <w:t xml:space="preserve">(3), 145–164. </w:t>
      </w:r>
      <w:hyperlink r:id="rId26" w:history="1">
        <w:r w:rsidRPr="00E461CD">
          <w:rPr>
            <w:rStyle w:val="Hyperlink"/>
            <w:rFonts w:ascii="Arial" w:eastAsia="Batang" w:hAnsi="Arial" w:cs="Arial"/>
            <w:sz w:val="20"/>
            <w:szCs w:val="20"/>
          </w:rPr>
          <w:t>https://doi.org/10.1080/00461520.2018.1447384</w:t>
        </w:r>
      </w:hyperlink>
    </w:p>
    <w:p w14:paraId="22028D6A" w14:textId="77777777" w:rsidR="00E461CD" w:rsidRPr="00E461CD" w:rsidRDefault="00E461CD" w:rsidP="00E461CD">
      <w:pPr>
        <w:rPr>
          <w:rFonts w:ascii="Arial" w:eastAsia="Batang" w:hAnsi="Arial" w:cs="Arial"/>
          <w:sz w:val="20"/>
          <w:szCs w:val="20"/>
        </w:rPr>
      </w:pPr>
      <w:r w:rsidRPr="00E461CD">
        <w:rPr>
          <w:rFonts w:ascii="Arial" w:eastAsia="Batang" w:hAnsi="Arial" w:cs="Arial"/>
          <w:sz w:val="20"/>
          <w:szCs w:val="20"/>
        </w:rPr>
        <w:t xml:space="preserve">Ruijia, W., Shujun, Y., &amp; Liping, L. (2023). Math interest and anxiety: A mediation model linking self-efficacy and academic achievement. </w:t>
      </w:r>
      <w:r w:rsidRPr="00E461CD">
        <w:rPr>
          <w:rFonts w:ascii="Arial" w:eastAsia="Batang" w:hAnsi="Arial" w:cs="Arial"/>
          <w:i/>
          <w:iCs/>
          <w:sz w:val="20"/>
          <w:szCs w:val="20"/>
        </w:rPr>
        <w:t>International Journal of Educational Psychology, 12</w:t>
      </w:r>
      <w:r w:rsidRPr="00E461CD">
        <w:rPr>
          <w:rFonts w:ascii="Arial" w:eastAsia="Batang" w:hAnsi="Arial" w:cs="Arial"/>
          <w:sz w:val="20"/>
          <w:szCs w:val="20"/>
        </w:rPr>
        <w:t>(1), 65–80.</w:t>
      </w:r>
    </w:p>
    <w:p w14:paraId="56F7DCC5" w14:textId="77777777" w:rsidR="00E461CD" w:rsidRPr="00E461CD" w:rsidRDefault="00E461CD" w:rsidP="00E461CD">
      <w:pPr>
        <w:rPr>
          <w:rFonts w:ascii="Arial" w:eastAsia="Batang" w:hAnsi="Arial" w:cs="Arial"/>
          <w:sz w:val="20"/>
          <w:szCs w:val="20"/>
        </w:rPr>
      </w:pPr>
      <w:r w:rsidRPr="00E461CD">
        <w:rPr>
          <w:rFonts w:ascii="Arial" w:eastAsia="Batang" w:hAnsi="Arial" w:cs="Arial"/>
          <w:sz w:val="20"/>
          <w:szCs w:val="20"/>
        </w:rPr>
        <w:t xml:space="preserve">Saadati, F., Tarmizi, R. A., &amp; Ayub, A. F. M. (2021). The role of mathematics interest and academic stress in the relationship between self-efficacy and achievement. </w:t>
      </w:r>
      <w:r w:rsidRPr="00E461CD">
        <w:rPr>
          <w:rFonts w:ascii="Arial" w:eastAsia="Batang" w:hAnsi="Arial" w:cs="Arial"/>
          <w:i/>
          <w:iCs/>
          <w:sz w:val="20"/>
          <w:szCs w:val="20"/>
        </w:rPr>
        <w:t>Journal of Mathematics Education, 14</w:t>
      </w:r>
      <w:r w:rsidRPr="00E461CD">
        <w:rPr>
          <w:rFonts w:ascii="Arial" w:eastAsia="Batang" w:hAnsi="Arial" w:cs="Arial"/>
          <w:sz w:val="20"/>
          <w:szCs w:val="20"/>
        </w:rPr>
        <w:t>(1), 21–34.</w:t>
      </w:r>
    </w:p>
    <w:p w14:paraId="7DDD536B" w14:textId="77777777" w:rsidR="00E461CD" w:rsidRPr="00E461CD" w:rsidRDefault="00E461CD" w:rsidP="00E461CD">
      <w:pPr>
        <w:rPr>
          <w:rFonts w:ascii="Arial" w:eastAsia="Batang" w:hAnsi="Arial" w:cs="Arial"/>
          <w:sz w:val="20"/>
          <w:szCs w:val="20"/>
        </w:rPr>
      </w:pPr>
      <w:r w:rsidRPr="00E461CD">
        <w:rPr>
          <w:rFonts w:ascii="Arial" w:eastAsia="Batang" w:hAnsi="Arial" w:cs="Arial"/>
          <w:sz w:val="20"/>
          <w:szCs w:val="20"/>
        </w:rPr>
        <w:t xml:space="preserve">Tshering, N., &amp; Dorji, T. (2022). Enhancing Grade Six students’ mathematics achievement through the use of cooperative learning strategy: An action research. </w:t>
      </w:r>
      <w:r w:rsidRPr="00E461CD">
        <w:rPr>
          <w:rFonts w:ascii="Arial" w:eastAsia="Batang" w:hAnsi="Arial" w:cs="Arial"/>
          <w:i/>
          <w:iCs/>
          <w:sz w:val="20"/>
          <w:szCs w:val="20"/>
        </w:rPr>
        <w:t>Asian Journal of Education and Social Studies, 31</w:t>
      </w:r>
      <w:r w:rsidRPr="00E461CD">
        <w:rPr>
          <w:rFonts w:ascii="Arial" w:eastAsia="Batang" w:hAnsi="Arial" w:cs="Arial"/>
          <w:sz w:val="20"/>
          <w:szCs w:val="20"/>
        </w:rPr>
        <w:t xml:space="preserve">(1), 31–39. </w:t>
      </w:r>
      <w:hyperlink r:id="rId27" w:tgtFrame="_new" w:history="1">
        <w:r w:rsidRPr="00E461CD">
          <w:rPr>
            <w:rStyle w:val="Hyperlink"/>
            <w:rFonts w:ascii="Arial" w:eastAsia="Batang" w:hAnsi="Arial" w:cs="Arial"/>
            <w:sz w:val="20"/>
            <w:szCs w:val="20"/>
          </w:rPr>
          <w:t>https://doi.org/10.9734/ajess/2022/v31i130738</w:t>
        </w:r>
      </w:hyperlink>
    </w:p>
    <w:p w14:paraId="2ED6389E" w14:textId="77777777" w:rsidR="00E461CD" w:rsidRPr="00E461CD" w:rsidRDefault="00E461CD" w:rsidP="00E461CD">
      <w:pPr>
        <w:rPr>
          <w:rFonts w:ascii="Arial" w:eastAsia="Batang" w:hAnsi="Arial" w:cs="Arial"/>
          <w:sz w:val="20"/>
          <w:szCs w:val="20"/>
        </w:rPr>
      </w:pPr>
      <w:r w:rsidRPr="00E461CD">
        <w:rPr>
          <w:rFonts w:ascii="Arial" w:eastAsia="Batang" w:hAnsi="Arial" w:cs="Arial"/>
          <w:sz w:val="20"/>
          <w:szCs w:val="20"/>
        </w:rPr>
        <w:t xml:space="preserve">Zakariya, Y. F. (2022). Mathematics anxiety among secondary school students: A review of recent findings and future directions. </w:t>
      </w:r>
      <w:r w:rsidRPr="00E461CD">
        <w:rPr>
          <w:rFonts w:ascii="Arial" w:eastAsia="Batang" w:hAnsi="Arial" w:cs="Arial"/>
          <w:i/>
          <w:iCs/>
          <w:sz w:val="20"/>
          <w:szCs w:val="20"/>
        </w:rPr>
        <w:t>Journal of Educational Psychology and Measurement, 11</w:t>
      </w:r>
      <w:r w:rsidRPr="00E461CD">
        <w:rPr>
          <w:rFonts w:ascii="Arial" w:eastAsia="Batang" w:hAnsi="Arial" w:cs="Arial"/>
          <w:sz w:val="20"/>
          <w:szCs w:val="20"/>
        </w:rPr>
        <w:t>(2), 101–112.</w:t>
      </w:r>
    </w:p>
    <w:p w14:paraId="7F76DF2F" w14:textId="01598FB6" w:rsidR="00C044EA" w:rsidRPr="003A63D0" w:rsidRDefault="00C044EA" w:rsidP="00E461CD">
      <w:pPr>
        <w:rPr>
          <w:rFonts w:ascii="Arial" w:hAnsi="Arial" w:cs="Arial"/>
        </w:rPr>
      </w:pPr>
    </w:p>
    <w:sectPr w:rsidR="00C044EA" w:rsidRPr="003A63D0" w:rsidSect="009D0B15">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45969" w14:textId="77777777" w:rsidR="00D50216" w:rsidRDefault="00D50216" w:rsidP="00716FEA">
      <w:pPr>
        <w:spacing w:after="0" w:line="240" w:lineRule="auto"/>
      </w:pPr>
      <w:r>
        <w:separator/>
      </w:r>
    </w:p>
  </w:endnote>
  <w:endnote w:type="continuationSeparator" w:id="0">
    <w:p w14:paraId="0FC29A62" w14:textId="77777777" w:rsidR="00D50216" w:rsidRDefault="00D50216" w:rsidP="0071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2D5A8" w14:textId="77777777" w:rsidR="008650DA" w:rsidRDefault="008650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3413439"/>
      <w:docPartObj>
        <w:docPartGallery w:val="Page Numbers (Bottom of Page)"/>
        <w:docPartUnique/>
      </w:docPartObj>
    </w:sdtPr>
    <w:sdtEndPr>
      <w:rPr>
        <w:noProof/>
      </w:rPr>
    </w:sdtEndPr>
    <w:sdtContent>
      <w:p w14:paraId="77B8A52A" w14:textId="730B5B27" w:rsidR="00DA020F" w:rsidRDefault="00DA02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102638" w14:textId="03985AA7" w:rsidR="00391F0E" w:rsidRDefault="00391F0E" w:rsidP="0055051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265E8" w14:textId="77777777" w:rsidR="008650DA" w:rsidRDefault="008650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98308" w14:textId="27F4BA8A" w:rsidR="00DA020F" w:rsidRDefault="00DA020F" w:rsidP="0055051B">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901108"/>
      <w:docPartObj>
        <w:docPartGallery w:val="Page Numbers (Bottom of Page)"/>
        <w:docPartUnique/>
      </w:docPartObj>
    </w:sdtPr>
    <w:sdtEndPr>
      <w:rPr>
        <w:noProof/>
      </w:rPr>
    </w:sdtEndPr>
    <w:sdtContent>
      <w:p w14:paraId="3FA66486" w14:textId="77777777" w:rsidR="009E0824" w:rsidRDefault="009E0824">
        <w:pPr>
          <w:pStyle w:val="Footer"/>
          <w:jc w:val="right"/>
        </w:pPr>
        <w:r>
          <w:fldChar w:fldCharType="begin"/>
        </w:r>
        <w:r>
          <w:instrText xml:space="preserve"> PAGE   \* MERGEFORMAT </w:instrText>
        </w:r>
        <w:r>
          <w:fldChar w:fldCharType="separate"/>
        </w:r>
        <w:r w:rsidR="007F2FE5">
          <w:rPr>
            <w:noProof/>
          </w:rPr>
          <w:t>3</w:t>
        </w:r>
        <w:r>
          <w:rPr>
            <w:noProof/>
          </w:rPr>
          <w:fldChar w:fldCharType="end"/>
        </w:r>
      </w:p>
    </w:sdtContent>
  </w:sdt>
  <w:p w14:paraId="6D6B2CA3" w14:textId="77777777" w:rsidR="009E0824" w:rsidRDefault="009E0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A58F3" w14:textId="77777777" w:rsidR="00D50216" w:rsidRDefault="00D50216" w:rsidP="00716FEA">
      <w:pPr>
        <w:spacing w:after="0" w:line="240" w:lineRule="auto"/>
      </w:pPr>
      <w:r>
        <w:separator/>
      </w:r>
    </w:p>
  </w:footnote>
  <w:footnote w:type="continuationSeparator" w:id="0">
    <w:p w14:paraId="687ED956" w14:textId="77777777" w:rsidR="00D50216" w:rsidRDefault="00D50216" w:rsidP="00716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3664C" w14:textId="6DE3C1AA" w:rsidR="008650DA" w:rsidRDefault="00000000">
    <w:pPr>
      <w:pStyle w:val="Header"/>
    </w:pPr>
    <w:r>
      <w:rPr>
        <w:noProof/>
      </w:rPr>
      <w:pict w14:anchorId="4FA7A7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112907" o:spid="_x0000_s1026" type="#_x0000_t136" style="position:absolute;margin-left:0;margin-top:0;width:486.2pt;height:91.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F4410" w14:textId="35F12A78" w:rsidR="008650DA" w:rsidRDefault="00000000">
    <w:pPr>
      <w:pStyle w:val="Header"/>
    </w:pPr>
    <w:r>
      <w:rPr>
        <w:noProof/>
      </w:rPr>
      <w:pict w14:anchorId="1AAE90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112908" o:spid="_x0000_s1027" type="#_x0000_t136" style="position:absolute;margin-left:0;margin-top:0;width:486.2pt;height:91.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7E0B4" w14:textId="68FE04D1" w:rsidR="008650DA" w:rsidRDefault="00000000">
    <w:pPr>
      <w:pStyle w:val="Header"/>
    </w:pPr>
    <w:r>
      <w:rPr>
        <w:noProof/>
      </w:rPr>
      <w:pict w14:anchorId="4E713B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112906" o:spid="_x0000_s1025" type="#_x0000_t136" style="position:absolute;margin-left:0;margin-top:0;width:486.2pt;height:91.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6351F" w14:textId="0F69A3B0" w:rsidR="008650DA" w:rsidRDefault="00000000">
    <w:pPr>
      <w:pStyle w:val="Header"/>
    </w:pPr>
    <w:r>
      <w:rPr>
        <w:noProof/>
      </w:rPr>
      <w:pict w14:anchorId="43E6FC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112910" o:spid="_x0000_s1029" type="#_x0000_t136" style="position:absolute;margin-left:0;margin-top:0;width:486.2pt;height:91.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A2645" w14:textId="3D6FD8E9" w:rsidR="008650DA" w:rsidRDefault="00000000">
    <w:pPr>
      <w:pStyle w:val="Header"/>
    </w:pPr>
    <w:r>
      <w:rPr>
        <w:noProof/>
      </w:rPr>
      <w:pict w14:anchorId="44D86A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112911" o:spid="_x0000_s1030" type="#_x0000_t136" style="position:absolute;margin-left:0;margin-top:0;width:486.2pt;height:91.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EE2A5" w14:textId="61D1EC58" w:rsidR="008650DA" w:rsidRDefault="00000000">
    <w:pPr>
      <w:pStyle w:val="Header"/>
    </w:pPr>
    <w:r>
      <w:rPr>
        <w:noProof/>
      </w:rPr>
      <w:pict w14:anchorId="55921F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112909" o:spid="_x0000_s1028" type="#_x0000_t136" style="position:absolute;margin-left:0;margin-top:0;width:486.2pt;height:91.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1752B" w14:textId="70C4B1FE" w:rsidR="008650DA" w:rsidRDefault="00000000">
    <w:pPr>
      <w:pStyle w:val="Header"/>
    </w:pPr>
    <w:r>
      <w:rPr>
        <w:noProof/>
      </w:rPr>
      <w:pict w14:anchorId="3B601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112913" o:spid="_x0000_s1032" type="#_x0000_t136" style="position:absolute;margin-left:0;margin-top:0;width:486.2pt;height:91.15pt;rotation:315;z-index:-25164288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59A88" w14:textId="6997569F" w:rsidR="008650DA" w:rsidRDefault="00000000">
    <w:pPr>
      <w:pStyle w:val="Header"/>
    </w:pPr>
    <w:r>
      <w:rPr>
        <w:noProof/>
      </w:rPr>
      <w:pict w14:anchorId="54E4D3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112914" o:spid="_x0000_s1033" type="#_x0000_t136" style="position:absolute;margin-left:0;margin-top:0;width:486.2pt;height:91.15pt;rotation:315;z-index:-25164083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2B1C9" w14:textId="0E7328E5" w:rsidR="008650DA" w:rsidRDefault="00000000">
    <w:pPr>
      <w:pStyle w:val="Header"/>
    </w:pPr>
    <w:r>
      <w:rPr>
        <w:noProof/>
      </w:rPr>
      <w:pict w14:anchorId="1919D0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112912" o:spid="_x0000_s1031" type="#_x0000_t136" style="position:absolute;margin-left:0;margin-top:0;width:486.2pt;height:91.1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A1C70"/>
    <w:multiLevelType w:val="multilevel"/>
    <w:tmpl w:val="637A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F0D53"/>
    <w:multiLevelType w:val="hybridMultilevel"/>
    <w:tmpl w:val="BD9EC8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05A25"/>
    <w:multiLevelType w:val="multilevel"/>
    <w:tmpl w:val="175E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976961"/>
    <w:multiLevelType w:val="hybridMultilevel"/>
    <w:tmpl w:val="91EA354C"/>
    <w:lvl w:ilvl="0" w:tplc="722EBB3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CB73F5"/>
    <w:multiLevelType w:val="multilevel"/>
    <w:tmpl w:val="7C36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570537"/>
    <w:multiLevelType w:val="multilevel"/>
    <w:tmpl w:val="75AA6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94180F"/>
    <w:multiLevelType w:val="multilevel"/>
    <w:tmpl w:val="4ACC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691DF1"/>
    <w:multiLevelType w:val="hybridMultilevel"/>
    <w:tmpl w:val="9D10E276"/>
    <w:lvl w:ilvl="0" w:tplc="E33AED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num w:numId="1" w16cid:durableId="1607033616">
    <w:abstractNumId w:val="3"/>
  </w:num>
  <w:num w:numId="2" w16cid:durableId="1358968472">
    <w:abstractNumId w:val="1"/>
  </w:num>
  <w:num w:numId="3" w16cid:durableId="548763974">
    <w:abstractNumId w:val="7"/>
  </w:num>
  <w:num w:numId="4" w16cid:durableId="1995252776">
    <w:abstractNumId w:val="6"/>
  </w:num>
  <w:num w:numId="5" w16cid:durableId="1811899906">
    <w:abstractNumId w:val="8"/>
  </w:num>
  <w:num w:numId="6" w16cid:durableId="1655645325">
    <w:abstractNumId w:val="5"/>
  </w:num>
  <w:num w:numId="7" w16cid:durableId="1388454360">
    <w:abstractNumId w:val="2"/>
  </w:num>
  <w:num w:numId="8" w16cid:durableId="1446003093">
    <w:abstractNumId w:val="4"/>
  </w:num>
  <w:num w:numId="9" w16cid:durableId="1606228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BA0"/>
    <w:rsid w:val="000033DD"/>
    <w:rsid w:val="000111F8"/>
    <w:rsid w:val="00016469"/>
    <w:rsid w:val="00016F23"/>
    <w:rsid w:val="00026365"/>
    <w:rsid w:val="00031379"/>
    <w:rsid w:val="00033391"/>
    <w:rsid w:val="00035642"/>
    <w:rsid w:val="00037D1B"/>
    <w:rsid w:val="000422E5"/>
    <w:rsid w:val="00047986"/>
    <w:rsid w:val="00050049"/>
    <w:rsid w:val="000520ED"/>
    <w:rsid w:val="00056509"/>
    <w:rsid w:val="00065DE1"/>
    <w:rsid w:val="000A178F"/>
    <w:rsid w:val="000A4E0E"/>
    <w:rsid w:val="000A75CF"/>
    <w:rsid w:val="000C69B3"/>
    <w:rsid w:val="000C6CA3"/>
    <w:rsid w:val="000D27D2"/>
    <w:rsid w:val="000D3D20"/>
    <w:rsid w:val="000D5E9C"/>
    <w:rsid w:val="000D6247"/>
    <w:rsid w:val="000E494E"/>
    <w:rsid w:val="000E6FE2"/>
    <w:rsid w:val="000F1F2C"/>
    <w:rsid w:val="000F3B71"/>
    <w:rsid w:val="000F5391"/>
    <w:rsid w:val="001006CC"/>
    <w:rsid w:val="0010135D"/>
    <w:rsid w:val="001017CB"/>
    <w:rsid w:val="001059CB"/>
    <w:rsid w:val="00105A21"/>
    <w:rsid w:val="00112FB8"/>
    <w:rsid w:val="00131B06"/>
    <w:rsid w:val="001338B3"/>
    <w:rsid w:val="00135B8C"/>
    <w:rsid w:val="00167E5C"/>
    <w:rsid w:val="0018492C"/>
    <w:rsid w:val="001875F8"/>
    <w:rsid w:val="00191A97"/>
    <w:rsid w:val="001A016C"/>
    <w:rsid w:val="001A2D78"/>
    <w:rsid w:val="001A75EF"/>
    <w:rsid w:val="001B3138"/>
    <w:rsid w:val="001B3820"/>
    <w:rsid w:val="001B56CC"/>
    <w:rsid w:val="001C3037"/>
    <w:rsid w:val="001C39B8"/>
    <w:rsid w:val="001C7920"/>
    <w:rsid w:val="001D3E70"/>
    <w:rsid w:val="001E0AD0"/>
    <w:rsid w:val="001E1353"/>
    <w:rsid w:val="001E3023"/>
    <w:rsid w:val="001F4169"/>
    <w:rsid w:val="002209F0"/>
    <w:rsid w:val="00252913"/>
    <w:rsid w:val="00255D6D"/>
    <w:rsid w:val="00276E17"/>
    <w:rsid w:val="00290F0E"/>
    <w:rsid w:val="002948EB"/>
    <w:rsid w:val="002A4F5C"/>
    <w:rsid w:val="002A5844"/>
    <w:rsid w:val="002A5FFE"/>
    <w:rsid w:val="002B78B4"/>
    <w:rsid w:val="002C3C89"/>
    <w:rsid w:val="002C5688"/>
    <w:rsid w:val="002C7925"/>
    <w:rsid w:val="002D00A3"/>
    <w:rsid w:val="002E68C5"/>
    <w:rsid w:val="002F17CF"/>
    <w:rsid w:val="002F7CFE"/>
    <w:rsid w:val="00304313"/>
    <w:rsid w:val="0031205D"/>
    <w:rsid w:val="00314F97"/>
    <w:rsid w:val="00320CC9"/>
    <w:rsid w:val="0032468F"/>
    <w:rsid w:val="00331002"/>
    <w:rsid w:val="00332083"/>
    <w:rsid w:val="00344BF2"/>
    <w:rsid w:val="00346865"/>
    <w:rsid w:val="003468FD"/>
    <w:rsid w:val="00346D76"/>
    <w:rsid w:val="00353C06"/>
    <w:rsid w:val="003549F9"/>
    <w:rsid w:val="00370E1A"/>
    <w:rsid w:val="00372579"/>
    <w:rsid w:val="00387102"/>
    <w:rsid w:val="00390A63"/>
    <w:rsid w:val="00391F0E"/>
    <w:rsid w:val="00395F9B"/>
    <w:rsid w:val="003A5806"/>
    <w:rsid w:val="003A63D0"/>
    <w:rsid w:val="003A7E94"/>
    <w:rsid w:val="003B286A"/>
    <w:rsid w:val="003B3C5D"/>
    <w:rsid w:val="003C359B"/>
    <w:rsid w:val="003C75D6"/>
    <w:rsid w:val="003E4F87"/>
    <w:rsid w:val="003E526B"/>
    <w:rsid w:val="003F0788"/>
    <w:rsid w:val="003F17C3"/>
    <w:rsid w:val="004029A2"/>
    <w:rsid w:val="00430E87"/>
    <w:rsid w:val="00434513"/>
    <w:rsid w:val="0044462F"/>
    <w:rsid w:val="004448A1"/>
    <w:rsid w:val="00446560"/>
    <w:rsid w:val="00446C9A"/>
    <w:rsid w:val="00451019"/>
    <w:rsid w:val="0046432F"/>
    <w:rsid w:val="00475740"/>
    <w:rsid w:val="00481051"/>
    <w:rsid w:val="00490049"/>
    <w:rsid w:val="00490C52"/>
    <w:rsid w:val="0049711F"/>
    <w:rsid w:val="004A364A"/>
    <w:rsid w:val="004A6F4E"/>
    <w:rsid w:val="004B188E"/>
    <w:rsid w:val="004B5BE7"/>
    <w:rsid w:val="004B65DE"/>
    <w:rsid w:val="004C1A98"/>
    <w:rsid w:val="004D4CA8"/>
    <w:rsid w:val="004F36CE"/>
    <w:rsid w:val="00505A40"/>
    <w:rsid w:val="00511810"/>
    <w:rsid w:val="00515034"/>
    <w:rsid w:val="005162C7"/>
    <w:rsid w:val="00524D9A"/>
    <w:rsid w:val="00531FD0"/>
    <w:rsid w:val="00540244"/>
    <w:rsid w:val="005404A4"/>
    <w:rsid w:val="00541E1C"/>
    <w:rsid w:val="0055051B"/>
    <w:rsid w:val="005674C7"/>
    <w:rsid w:val="0059345F"/>
    <w:rsid w:val="00596CE2"/>
    <w:rsid w:val="005A756A"/>
    <w:rsid w:val="005B5C30"/>
    <w:rsid w:val="005E0FC7"/>
    <w:rsid w:val="005E7119"/>
    <w:rsid w:val="005F325B"/>
    <w:rsid w:val="00605349"/>
    <w:rsid w:val="00607CBD"/>
    <w:rsid w:val="00614251"/>
    <w:rsid w:val="00625528"/>
    <w:rsid w:val="00653C9C"/>
    <w:rsid w:val="00660458"/>
    <w:rsid w:val="00662AA9"/>
    <w:rsid w:val="00664227"/>
    <w:rsid w:val="006764CA"/>
    <w:rsid w:val="006976EC"/>
    <w:rsid w:val="006A0760"/>
    <w:rsid w:val="006B6714"/>
    <w:rsid w:val="006C45F0"/>
    <w:rsid w:val="006E3E03"/>
    <w:rsid w:val="006E57F1"/>
    <w:rsid w:val="006E7EDE"/>
    <w:rsid w:val="006F7CB3"/>
    <w:rsid w:val="007039C6"/>
    <w:rsid w:val="00703ECD"/>
    <w:rsid w:val="00704B47"/>
    <w:rsid w:val="00713F37"/>
    <w:rsid w:val="00716FEA"/>
    <w:rsid w:val="00717010"/>
    <w:rsid w:val="0073342A"/>
    <w:rsid w:val="0074678D"/>
    <w:rsid w:val="007510D0"/>
    <w:rsid w:val="00751D09"/>
    <w:rsid w:val="00756299"/>
    <w:rsid w:val="0076322F"/>
    <w:rsid w:val="00791ABC"/>
    <w:rsid w:val="007A4F2C"/>
    <w:rsid w:val="007A6170"/>
    <w:rsid w:val="007C3343"/>
    <w:rsid w:val="007C69DC"/>
    <w:rsid w:val="007D2F5C"/>
    <w:rsid w:val="007E1425"/>
    <w:rsid w:val="007E5A59"/>
    <w:rsid w:val="007E5BE8"/>
    <w:rsid w:val="007F0C57"/>
    <w:rsid w:val="007F2FE5"/>
    <w:rsid w:val="00813D9D"/>
    <w:rsid w:val="008304CE"/>
    <w:rsid w:val="008338C1"/>
    <w:rsid w:val="0083465D"/>
    <w:rsid w:val="008448B2"/>
    <w:rsid w:val="008541AB"/>
    <w:rsid w:val="008650DA"/>
    <w:rsid w:val="008679C6"/>
    <w:rsid w:val="00882E47"/>
    <w:rsid w:val="00894A32"/>
    <w:rsid w:val="0089662C"/>
    <w:rsid w:val="008A2446"/>
    <w:rsid w:val="008A365B"/>
    <w:rsid w:val="008B0A3D"/>
    <w:rsid w:val="008B590C"/>
    <w:rsid w:val="008C7141"/>
    <w:rsid w:val="008D0C84"/>
    <w:rsid w:val="008D462C"/>
    <w:rsid w:val="008D4FC6"/>
    <w:rsid w:val="008E3B74"/>
    <w:rsid w:val="008F79BB"/>
    <w:rsid w:val="00912AD3"/>
    <w:rsid w:val="00933C2B"/>
    <w:rsid w:val="0093478B"/>
    <w:rsid w:val="009434FA"/>
    <w:rsid w:val="00946004"/>
    <w:rsid w:val="00963F67"/>
    <w:rsid w:val="009655D7"/>
    <w:rsid w:val="00983ECF"/>
    <w:rsid w:val="00987DBA"/>
    <w:rsid w:val="00990CE5"/>
    <w:rsid w:val="00993365"/>
    <w:rsid w:val="00994B27"/>
    <w:rsid w:val="009A0B21"/>
    <w:rsid w:val="009A5C9F"/>
    <w:rsid w:val="009B07CD"/>
    <w:rsid w:val="009B3A26"/>
    <w:rsid w:val="009C6E97"/>
    <w:rsid w:val="009C7E01"/>
    <w:rsid w:val="009D073F"/>
    <w:rsid w:val="009D0B15"/>
    <w:rsid w:val="009E0824"/>
    <w:rsid w:val="009F22F3"/>
    <w:rsid w:val="009F7BE9"/>
    <w:rsid w:val="00A02F4C"/>
    <w:rsid w:val="00A04455"/>
    <w:rsid w:val="00A05DDF"/>
    <w:rsid w:val="00A06FAB"/>
    <w:rsid w:val="00A07793"/>
    <w:rsid w:val="00A124DF"/>
    <w:rsid w:val="00A167A5"/>
    <w:rsid w:val="00A308C0"/>
    <w:rsid w:val="00A3145E"/>
    <w:rsid w:val="00A31ABA"/>
    <w:rsid w:val="00A324D2"/>
    <w:rsid w:val="00A37A2C"/>
    <w:rsid w:val="00A44E3C"/>
    <w:rsid w:val="00A56F54"/>
    <w:rsid w:val="00A731E3"/>
    <w:rsid w:val="00A76ABD"/>
    <w:rsid w:val="00A90712"/>
    <w:rsid w:val="00A91F5C"/>
    <w:rsid w:val="00A93496"/>
    <w:rsid w:val="00AB208F"/>
    <w:rsid w:val="00AB67D5"/>
    <w:rsid w:val="00AC5FE8"/>
    <w:rsid w:val="00AC69E9"/>
    <w:rsid w:val="00AC6AC3"/>
    <w:rsid w:val="00AE5AC7"/>
    <w:rsid w:val="00AF4DD7"/>
    <w:rsid w:val="00B13D5E"/>
    <w:rsid w:val="00B1738C"/>
    <w:rsid w:val="00B2493F"/>
    <w:rsid w:val="00B24A60"/>
    <w:rsid w:val="00B40F13"/>
    <w:rsid w:val="00B42E29"/>
    <w:rsid w:val="00B44CFB"/>
    <w:rsid w:val="00B45FCF"/>
    <w:rsid w:val="00B51CB7"/>
    <w:rsid w:val="00B62B3F"/>
    <w:rsid w:val="00B66725"/>
    <w:rsid w:val="00B72C0B"/>
    <w:rsid w:val="00B8037D"/>
    <w:rsid w:val="00B82B3D"/>
    <w:rsid w:val="00B8656F"/>
    <w:rsid w:val="00B90C0D"/>
    <w:rsid w:val="00B9120B"/>
    <w:rsid w:val="00BA2952"/>
    <w:rsid w:val="00BA43F1"/>
    <w:rsid w:val="00BA65A3"/>
    <w:rsid w:val="00BC2FC7"/>
    <w:rsid w:val="00BD11AD"/>
    <w:rsid w:val="00BD6307"/>
    <w:rsid w:val="00BD6902"/>
    <w:rsid w:val="00BE522C"/>
    <w:rsid w:val="00BE60EB"/>
    <w:rsid w:val="00BE7A65"/>
    <w:rsid w:val="00BF6A68"/>
    <w:rsid w:val="00C044EA"/>
    <w:rsid w:val="00C15A80"/>
    <w:rsid w:val="00C26933"/>
    <w:rsid w:val="00C317CD"/>
    <w:rsid w:val="00C35E03"/>
    <w:rsid w:val="00C555F3"/>
    <w:rsid w:val="00C55B95"/>
    <w:rsid w:val="00C6495B"/>
    <w:rsid w:val="00C82007"/>
    <w:rsid w:val="00C84BA0"/>
    <w:rsid w:val="00C85039"/>
    <w:rsid w:val="00CB123E"/>
    <w:rsid w:val="00CC2006"/>
    <w:rsid w:val="00CC68BB"/>
    <w:rsid w:val="00CD6948"/>
    <w:rsid w:val="00CE7B0D"/>
    <w:rsid w:val="00CF62BC"/>
    <w:rsid w:val="00D030A0"/>
    <w:rsid w:val="00D16490"/>
    <w:rsid w:val="00D30683"/>
    <w:rsid w:val="00D40BBC"/>
    <w:rsid w:val="00D50216"/>
    <w:rsid w:val="00D54658"/>
    <w:rsid w:val="00D605F8"/>
    <w:rsid w:val="00D62890"/>
    <w:rsid w:val="00D85506"/>
    <w:rsid w:val="00D90237"/>
    <w:rsid w:val="00D943B4"/>
    <w:rsid w:val="00DA020F"/>
    <w:rsid w:val="00DC3FB0"/>
    <w:rsid w:val="00DD5ED2"/>
    <w:rsid w:val="00DE46B0"/>
    <w:rsid w:val="00DF6BD2"/>
    <w:rsid w:val="00DF78F3"/>
    <w:rsid w:val="00E03078"/>
    <w:rsid w:val="00E10393"/>
    <w:rsid w:val="00E10836"/>
    <w:rsid w:val="00E14352"/>
    <w:rsid w:val="00E15794"/>
    <w:rsid w:val="00E159AD"/>
    <w:rsid w:val="00E23E80"/>
    <w:rsid w:val="00E26938"/>
    <w:rsid w:val="00E355D5"/>
    <w:rsid w:val="00E402B0"/>
    <w:rsid w:val="00E461CD"/>
    <w:rsid w:val="00E51F91"/>
    <w:rsid w:val="00E54A96"/>
    <w:rsid w:val="00E618D3"/>
    <w:rsid w:val="00E62207"/>
    <w:rsid w:val="00E6527B"/>
    <w:rsid w:val="00E70CFA"/>
    <w:rsid w:val="00E8038C"/>
    <w:rsid w:val="00E81290"/>
    <w:rsid w:val="00E8661D"/>
    <w:rsid w:val="00EA1891"/>
    <w:rsid w:val="00F06DEF"/>
    <w:rsid w:val="00F21ADC"/>
    <w:rsid w:val="00F457CE"/>
    <w:rsid w:val="00F5253F"/>
    <w:rsid w:val="00F70070"/>
    <w:rsid w:val="00F7196B"/>
    <w:rsid w:val="00F74AB3"/>
    <w:rsid w:val="00F8083D"/>
    <w:rsid w:val="00F84A5C"/>
    <w:rsid w:val="00F84FD6"/>
    <w:rsid w:val="00F85168"/>
    <w:rsid w:val="00F92DC9"/>
    <w:rsid w:val="00F9543E"/>
    <w:rsid w:val="00F97E47"/>
    <w:rsid w:val="00FB3788"/>
    <w:rsid w:val="00FE39BB"/>
    <w:rsid w:val="00FE43EA"/>
    <w:rsid w:val="00FE5223"/>
    <w:rsid w:val="00FF4B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A7AF99"/>
  <w15:docId w15:val="{3184C39B-63A5-2F43-88D6-CBFEF0F1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9C6"/>
    <w:pPr>
      <w:widowControl w:val="0"/>
      <w:wordWrap w:val="0"/>
      <w:autoSpaceDE w:val="0"/>
      <w:autoSpaceDN w:val="0"/>
      <w:ind w:leftChars="400" w:left="800"/>
      <w:jc w:val="both"/>
    </w:pPr>
    <w:rPr>
      <w:kern w:val="2"/>
      <w:sz w:val="20"/>
    </w:rPr>
  </w:style>
  <w:style w:type="character" w:styleId="LineNumber">
    <w:name w:val="line number"/>
    <w:basedOn w:val="DefaultParagraphFont"/>
    <w:uiPriority w:val="99"/>
    <w:semiHidden/>
    <w:unhideWhenUsed/>
    <w:rsid w:val="00D54658"/>
  </w:style>
  <w:style w:type="paragraph" w:styleId="Header">
    <w:name w:val="header"/>
    <w:basedOn w:val="Normal"/>
    <w:link w:val="HeaderChar"/>
    <w:uiPriority w:val="99"/>
    <w:unhideWhenUsed/>
    <w:rsid w:val="00716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EA"/>
  </w:style>
  <w:style w:type="paragraph" w:styleId="Footer">
    <w:name w:val="footer"/>
    <w:basedOn w:val="Normal"/>
    <w:link w:val="FooterChar"/>
    <w:uiPriority w:val="99"/>
    <w:unhideWhenUsed/>
    <w:rsid w:val="00716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EA"/>
  </w:style>
  <w:style w:type="character" w:styleId="Hyperlink">
    <w:name w:val="Hyperlink"/>
    <w:basedOn w:val="DefaultParagraphFont"/>
    <w:uiPriority w:val="99"/>
    <w:unhideWhenUsed/>
    <w:rsid w:val="00716FEA"/>
    <w:rPr>
      <w:color w:val="0000FF" w:themeColor="hyperlink"/>
      <w:u w:val="single"/>
    </w:rPr>
  </w:style>
  <w:style w:type="table" w:styleId="TableGrid">
    <w:name w:val="Table Grid"/>
    <w:basedOn w:val="TableNormal"/>
    <w:uiPriority w:val="59"/>
    <w:rsid w:val="008679C6"/>
    <w:pPr>
      <w:spacing w:after="0" w:line="240" w:lineRule="auto"/>
    </w:pPr>
    <w:rPr>
      <w:rFonts w:eastAsiaTheme="minorHAnsi"/>
      <w:lang w:val="en-P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51D09"/>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751D09"/>
    <w:rPr>
      <w:rFonts w:eastAsiaTheme="minorHAnsi"/>
      <w:sz w:val="20"/>
      <w:szCs w:val="20"/>
      <w:lang w:eastAsia="en-US"/>
    </w:rPr>
  </w:style>
  <w:style w:type="character" w:styleId="UnresolvedMention">
    <w:name w:val="Unresolved Mention"/>
    <w:basedOn w:val="DefaultParagraphFont"/>
    <w:uiPriority w:val="99"/>
    <w:semiHidden/>
    <w:unhideWhenUsed/>
    <w:rsid w:val="00C317CD"/>
    <w:rPr>
      <w:color w:val="605E5C"/>
      <w:shd w:val="clear" w:color="auto" w:fill="E1DFDD"/>
    </w:rPr>
  </w:style>
  <w:style w:type="paragraph" w:customStyle="1" w:styleId="Body">
    <w:name w:val="Body"/>
    <w:basedOn w:val="Normal"/>
    <w:rsid w:val="00031379"/>
    <w:pPr>
      <w:spacing w:after="240" w:line="240" w:lineRule="auto"/>
      <w:jc w:val="both"/>
    </w:pPr>
    <w:rPr>
      <w:rFonts w:ascii="Helvetica" w:eastAsia="Times New Roman" w:hAnsi="Helvetica" w:cs="Times New Roman"/>
      <w:sz w:val="20"/>
      <w:szCs w:val="20"/>
      <w:lang w:eastAsia="en-US"/>
    </w:rPr>
  </w:style>
  <w:style w:type="paragraph" w:styleId="NormalWeb">
    <w:name w:val="Normal (Web)"/>
    <w:basedOn w:val="Normal"/>
    <w:uiPriority w:val="99"/>
    <w:unhideWhenUsed/>
    <w:rsid w:val="005404A4"/>
    <w:pPr>
      <w:spacing w:before="100" w:beforeAutospacing="1" w:after="100" w:afterAutospacing="1" w:line="240" w:lineRule="auto"/>
    </w:pPr>
    <w:rPr>
      <w:rFonts w:ascii="Times New Roman" w:eastAsia="Times New Roman" w:hAnsi="Times New Roman" w:cs="Times New Roman"/>
      <w:sz w:val="24"/>
      <w:szCs w:val="24"/>
      <w:lang w:val="en-PH" w:eastAsia="en-US"/>
    </w:rPr>
  </w:style>
  <w:style w:type="paragraph" w:customStyle="1" w:styleId="ReferHead">
    <w:name w:val="Refer Head"/>
    <w:basedOn w:val="Normal"/>
    <w:rsid w:val="005404A4"/>
    <w:pPr>
      <w:keepNext/>
      <w:spacing w:after="240" w:line="240" w:lineRule="auto"/>
    </w:pPr>
    <w:rPr>
      <w:rFonts w:ascii="Helvetica" w:eastAsia="Times New Roman" w:hAnsi="Helvetica" w:cs="Times New Roman"/>
      <w:b/>
      <w:caps/>
      <w:szCs w:val="20"/>
      <w:lang w:eastAsia="en-US"/>
    </w:rPr>
  </w:style>
  <w:style w:type="paragraph" w:customStyle="1" w:styleId="DefAcrHead">
    <w:name w:val="DefAcrHead"/>
    <w:basedOn w:val="Normal"/>
    <w:rsid w:val="00AB208F"/>
    <w:pPr>
      <w:keepNext/>
      <w:spacing w:after="240" w:line="240" w:lineRule="auto"/>
    </w:pPr>
    <w:rPr>
      <w:rFonts w:ascii="Helvetica" w:eastAsia="Times New Roman" w:hAnsi="Helvetica" w:cs="Times New Roman"/>
      <w:b/>
      <w:caps/>
      <w:szCs w:val="20"/>
      <w:lang w:eastAsia="en-US"/>
    </w:rPr>
  </w:style>
  <w:style w:type="paragraph" w:customStyle="1" w:styleId="Reference">
    <w:name w:val="Reference"/>
    <w:basedOn w:val="Body"/>
    <w:rsid w:val="00AB208F"/>
    <w:pPr>
      <w:numPr>
        <w:numId w:val="5"/>
      </w:numPr>
      <w:spacing w:after="0" w:line="240" w:lineRule="exact"/>
    </w:pPr>
  </w:style>
  <w:style w:type="paragraph" w:styleId="NoSpacing">
    <w:name w:val="No Spacing"/>
    <w:uiPriority w:val="1"/>
    <w:qFormat/>
    <w:rsid w:val="003F0788"/>
    <w:pPr>
      <w:spacing w:after="0" w:line="240" w:lineRule="auto"/>
    </w:pPr>
  </w:style>
  <w:style w:type="character" w:styleId="FootnoteReference">
    <w:name w:val="footnote reference"/>
    <w:basedOn w:val="DefaultParagraphFont"/>
    <w:uiPriority w:val="99"/>
    <w:semiHidden/>
    <w:unhideWhenUsed/>
    <w:rsid w:val="00E51F91"/>
    <w:rPr>
      <w:vertAlign w:val="superscript"/>
    </w:rPr>
  </w:style>
  <w:style w:type="paragraph" w:styleId="EndnoteText">
    <w:name w:val="endnote text"/>
    <w:basedOn w:val="Normal"/>
    <w:link w:val="EndnoteTextChar"/>
    <w:uiPriority w:val="99"/>
    <w:semiHidden/>
    <w:unhideWhenUsed/>
    <w:rsid w:val="0055051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051B"/>
    <w:rPr>
      <w:sz w:val="20"/>
      <w:szCs w:val="20"/>
    </w:rPr>
  </w:style>
  <w:style w:type="character" w:styleId="EndnoteReference">
    <w:name w:val="endnote reference"/>
    <w:basedOn w:val="DefaultParagraphFont"/>
    <w:uiPriority w:val="99"/>
    <w:semiHidden/>
    <w:unhideWhenUsed/>
    <w:rsid w:val="005505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3924">
      <w:bodyDiv w:val="1"/>
      <w:marLeft w:val="0"/>
      <w:marRight w:val="0"/>
      <w:marTop w:val="0"/>
      <w:marBottom w:val="0"/>
      <w:divBdr>
        <w:top w:val="none" w:sz="0" w:space="0" w:color="auto"/>
        <w:left w:val="none" w:sz="0" w:space="0" w:color="auto"/>
        <w:bottom w:val="none" w:sz="0" w:space="0" w:color="auto"/>
        <w:right w:val="none" w:sz="0" w:space="0" w:color="auto"/>
      </w:divBdr>
    </w:div>
    <w:div w:id="85809183">
      <w:bodyDiv w:val="1"/>
      <w:marLeft w:val="0"/>
      <w:marRight w:val="0"/>
      <w:marTop w:val="0"/>
      <w:marBottom w:val="0"/>
      <w:divBdr>
        <w:top w:val="none" w:sz="0" w:space="0" w:color="auto"/>
        <w:left w:val="none" w:sz="0" w:space="0" w:color="auto"/>
        <w:bottom w:val="none" w:sz="0" w:space="0" w:color="auto"/>
        <w:right w:val="none" w:sz="0" w:space="0" w:color="auto"/>
      </w:divBdr>
    </w:div>
    <w:div w:id="106656418">
      <w:bodyDiv w:val="1"/>
      <w:marLeft w:val="0"/>
      <w:marRight w:val="0"/>
      <w:marTop w:val="0"/>
      <w:marBottom w:val="0"/>
      <w:divBdr>
        <w:top w:val="none" w:sz="0" w:space="0" w:color="auto"/>
        <w:left w:val="none" w:sz="0" w:space="0" w:color="auto"/>
        <w:bottom w:val="none" w:sz="0" w:space="0" w:color="auto"/>
        <w:right w:val="none" w:sz="0" w:space="0" w:color="auto"/>
      </w:divBdr>
    </w:div>
    <w:div w:id="127207058">
      <w:bodyDiv w:val="1"/>
      <w:marLeft w:val="0"/>
      <w:marRight w:val="0"/>
      <w:marTop w:val="0"/>
      <w:marBottom w:val="0"/>
      <w:divBdr>
        <w:top w:val="none" w:sz="0" w:space="0" w:color="auto"/>
        <w:left w:val="none" w:sz="0" w:space="0" w:color="auto"/>
        <w:bottom w:val="none" w:sz="0" w:space="0" w:color="auto"/>
        <w:right w:val="none" w:sz="0" w:space="0" w:color="auto"/>
      </w:divBdr>
    </w:div>
    <w:div w:id="141391593">
      <w:bodyDiv w:val="1"/>
      <w:marLeft w:val="0"/>
      <w:marRight w:val="0"/>
      <w:marTop w:val="0"/>
      <w:marBottom w:val="0"/>
      <w:divBdr>
        <w:top w:val="none" w:sz="0" w:space="0" w:color="auto"/>
        <w:left w:val="none" w:sz="0" w:space="0" w:color="auto"/>
        <w:bottom w:val="none" w:sz="0" w:space="0" w:color="auto"/>
        <w:right w:val="none" w:sz="0" w:space="0" w:color="auto"/>
      </w:divBdr>
    </w:div>
    <w:div w:id="151411849">
      <w:bodyDiv w:val="1"/>
      <w:marLeft w:val="0"/>
      <w:marRight w:val="0"/>
      <w:marTop w:val="0"/>
      <w:marBottom w:val="0"/>
      <w:divBdr>
        <w:top w:val="none" w:sz="0" w:space="0" w:color="auto"/>
        <w:left w:val="none" w:sz="0" w:space="0" w:color="auto"/>
        <w:bottom w:val="none" w:sz="0" w:space="0" w:color="auto"/>
        <w:right w:val="none" w:sz="0" w:space="0" w:color="auto"/>
      </w:divBdr>
    </w:div>
    <w:div w:id="156728288">
      <w:bodyDiv w:val="1"/>
      <w:marLeft w:val="0"/>
      <w:marRight w:val="0"/>
      <w:marTop w:val="0"/>
      <w:marBottom w:val="0"/>
      <w:divBdr>
        <w:top w:val="none" w:sz="0" w:space="0" w:color="auto"/>
        <w:left w:val="none" w:sz="0" w:space="0" w:color="auto"/>
        <w:bottom w:val="none" w:sz="0" w:space="0" w:color="auto"/>
        <w:right w:val="none" w:sz="0" w:space="0" w:color="auto"/>
      </w:divBdr>
    </w:div>
    <w:div w:id="159582965">
      <w:bodyDiv w:val="1"/>
      <w:marLeft w:val="0"/>
      <w:marRight w:val="0"/>
      <w:marTop w:val="0"/>
      <w:marBottom w:val="0"/>
      <w:divBdr>
        <w:top w:val="none" w:sz="0" w:space="0" w:color="auto"/>
        <w:left w:val="none" w:sz="0" w:space="0" w:color="auto"/>
        <w:bottom w:val="none" w:sz="0" w:space="0" w:color="auto"/>
        <w:right w:val="none" w:sz="0" w:space="0" w:color="auto"/>
      </w:divBdr>
    </w:div>
    <w:div w:id="163589035">
      <w:bodyDiv w:val="1"/>
      <w:marLeft w:val="0"/>
      <w:marRight w:val="0"/>
      <w:marTop w:val="0"/>
      <w:marBottom w:val="0"/>
      <w:divBdr>
        <w:top w:val="none" w:sz="0" w:space="0" w:color="auto"/>
        <w:left w:val="none" w:sz="0" w:space="0" w:color="auto"/>
        <w:bottom w:val="none" w:sz="0" w:space="0" w:color="auto"/>
        <w:right w:val="none" w:sz="0" w:space="0" w:color="auto"/>
      </w:divBdr>
    </w:div>
    <w:div w:id="179006491">
      <w:bodyDiv w:val="1"/>
      <w:marLeft w:val="0"/>
      <w:marRight w:val="0"/>
      <w:marTop w:val="0"/>
      <w:marBottom w:val="0"/>
      <w:divBdr>
        <w:top w:val="none" w:sz="0" w:space="0" w:color="auto"/>
        <w:left w:val="none" w:sz="0" w:space="0" w:color="auto"/>
        <w:bottom w:val="none" w:sz="0" w:space="0" w:color="auto"/>
        <w:right w:val="none" w:sz="0" w:space="0" w:color="auto"/>
      </w:divBdr>
    </w:div>
    <w:div w:id="190146669">
      <w:bodyDiv w:val="1"/>
      <w:marLeft w:val="0"/>
      <w:marRight w:val="0"/>
      <w:marTop w:val="0"/>
      <w:marBottom w:val="0"/>
      <w:divBdr>
        <w:top w:val="none" w:sz="0" w:space="0" w:color="auto"/>
        <w:left w:val="none" w:sz="0" w:space="0" w:color="auto"/>
        <w:bottom w:val="none" w:sz="0" w:space="0" w:color="auto"/>
        <w:right w:val="none" w:sz="0" w:space="0" w:color="auto"/>
      </w:divBdr>
    </w:div>
    <w:div w:id="227114413">
      <w:bodyDiv w:val="1"/>
      <w:marLeft w:val="0"/>
      <w:marRight w:val="0"/>
      <w:marTop w:val="0"/>
      <w:marBottom w:val="0"/>
      <w:divBdr>
        <w:top w:val="none" w:sz="0" w:space="0" w:color="auto"/>
        <w:left w:val="none" w:sz="0" w:space="0" w:color="auto"/>
        <w:bottom w:val="none" w:sz="0" w:space="0" w:color="auto"/>
        <w:right w:val="none" w:sz="0" w:space="0" w:color="auto"/>
      </w:divBdr>
    </w:div>
    <w:div w:id="257905049">
      <w:bodyDiv w:val="1"/>
      <w:marLeft w:val="0"/>
      <w:marRight w:val="0"/>
      <w:marTop w:val="0"/>
      <w:marBottom w:val="0"/>
      <w:divBdr>
        <w:top w:val="none" w:sz="0" w:space="0" w:color="auto"/>
        <w:left w:val="none" w:sz="0" w:space="0" w:color="auto"/>
        <w:bottom w:val="none" w:sz="0" w:space="0" w:color="auto"/>
        <w:right w:val="none" w:sz="0" w:space="0" w:color="auto"/>
      </w:divBdr>
    </w:div>
    <w:div w:id="300043167">
      <w:bodyDiv w:val="1"/>
      <w:marLeft w:val="0"/>
      <w:marRight w:val="0"/>
      <w:marTop w:val="0"/>
      <w:marBottom w:val="0"/>
      <w:divBdr>
        <w:top w:val="none" w:sz="0" w:space="0" w:color="auto"/>
        <w:left w:val="none" w:sz="0" w:space="0" w:color="auto"/>
        <w:bottom w:val="none" w:sz="0" w:space="0" w:color="auto"/>
        <w:right w:val="none" w:sz="0" w:space="0" w:color="auto"/>
      </w:divBdr>
    </w:div>
    <w:div w:id="322856974">
      <w:bodyDiv w:val="1"/>
      <w:marLeft w:val="0"/>
      <w:marRight w:val="0"/>
      <w:marTop w:val="0"/>
      <w:marBottom w:val="0"/>
      <w:divBdr>
        <w:top w:val="none" w:sz="0" w:space="0" w:color="auto"/>
        <w:left w:val="none" w:sz="0" w:space="0" w:color="auto"/>
        <w:bottom w:val="none" w:sz="0" w:space="0" w:color="auto"/>
        <w:right w:val="none" w:sz="0" w:space="0" w:color="auto"/>
      </w:divBdr>
    </w:div>
    <w:div w:id="373391097">
      <w:bodyDiv w:val="1"/>
      <w:marLeft w:val="0"/>
      <w:marRight w:val="0"/>
      <w:marTop w:val="0"/>
      <w:marBottom w:val="0"/>
      <w:divBdr>
        <w:top w:val="none" w:sz="0" w:space="0" w:color="auto"/>
        <w:left w:val="none" w:sz="0" w:space="0" w:color="auto"/>
        <w:bottom w:val="none" w:sz="0" w:space="0" w:color="auto"/>
        <w:right w:val="none" w:sz="0" w:space="0" w:color="auto"/>
      </w:divBdr>
    </w:div>
    <w:div w:id="381711025">
      <w:bodyDiv w:val="1"/>
      <w:marLeft w:val="0"/>
      <w:marRight w:val="0"/>
      <w:marTop w:val="0"/>
      <w:marBottom w:val="0"/>
      <w:divBdr>
        <w:top w:val="none" w:sz="0" w:space="0" w:color="auto"/>
        <w:left w:val="none" w:sz="0" w:space="0" w:color="auto"/>
        <w:bottom w:val="none" w:sz="0" w:space="0" w:color="auto"/>
        <w:right w:val="none" w:sz="0" w:space="0" w:color="auto"/>
      </w:divBdr>
    </w:div>
    <w:div w:id="407728374">
      <w:bodyDiv w:val="1"/>
      <w:marLeft w:val="0"/>
      <w:marRight w:val="0"/>
      <w:marTop w:val="0"/>
      <w:marBottom w:val="0"/>
      <w:divBdr>
        <w:top w:val="none" w:sz="0" w:space="0" w:color="auto"/>
        <w:left w:val="none" w:sz="0" w:space="0" w:color="auto"/>
        <w:bottom w:val="none" w:sz="0" w:space="0" w:color="auto"/>
        <w:right w:val="none" w:sz="0" w:space="0" w:color="auto"/>
      </w:divBdr>
    </w:div>
    <w:div w:id="419717917">
      <w:bodyDiv w:val="1"/>
      <w:marLeft w:val="0"/>
      <w:marRight w:val="0"/>
      <w:marTop w:val="0"/>
      <w:marBottom w:val="0"/>
      <w:divBdr>
        <w:top w:val="none" w:sz="0" w:space="0" w:color="auto"/>
        <w:left w:val="none" w:sz="0" w:space="0" w:color="auto"/>
        <w:bottom w:val="none" w:sz="0" w:space="0" w:color="auto"/>
        <w:right w:val="none" w:sz="0" w:space="0" w:color="auto"/>
      </w:divBdr>
    </w:div>
    <w:div w:id="466164344">
      <w:bodyDiv w:val="1"/>
      <w:marLeft w:val="0"/>
      <w:marRight w:val="0"/>
      <w:marTop w:val="0"/>
      <w:marBottom w:val="0"/>
      <w:divBdr>
        <w:top w:val="none" w:sz="0" w:space="0" w:color="auto"/>
        <w:left w:val="none" w:sz="0" w:space="0" w:color="auto"/>
        <w:bottom w:val="none" w:sz="0" w:space="0" w:color="auto"/>
        <w:right w:val="none" w:sz="0" w:space="0" w:color="auto"/>
      </w:divBdr>
    </w:div>
    <w:div w:id="468087647">
      <w:bodyDiv w:val="1"/>
      <w:marLeft w:val="0"/>
      <w:marRight w:val="0"/>
      <w:marTop w:val="0"/>
      <w:marBottom w:val="0"/>
      <w:divBdr>
        <w:top w:val="none" w:sz="0" w:space="0" w:color="auto"/>
        <w:left w:val="none" w:sz="0" w:space="0" w:color="auto"/>
        <w:bottom w:val="none" w:sz="0" w:space="0" w:color="auto"/>
        <w:right w:val="none" w:sz="0" w:space="0" w:color="auto"/>
      </w:divBdr>
    </w:div>
    <w:div w:id="471214902">
      <w:bodyDiv w:val="1"/>
      <w:marLeft w:val="0"/>
      <w:marRight w:val="0"/>
      <w:marTop w:val="0"/>
      <w:marBottom w:val="0"/>
      <w:divBdr>
        <w:top w:val="none" w:sz="0" w:space="0" w:color="auto"/>
        <w:left w:val="none" w:sz="0" w:space="0" w:color="auto"/>
        <w:bottom w:val="none" w:sz="0" w:space="0" w:color="auto"/>
        <w:right w:val="none" w:sz="0" w:space="0" w:color="auto"/>
      </w:divBdr>
    </w:div>
    <w:div w:id="512034787">
      <w:bodyDiv w:val="1"/>
      <w:marLeft w:val="0"/>
      <w:marRight w:val="0"/>
      <w:marTop w:val="0"/>
      <w:marBottom w:val="0"/>
      <w:divBdr>
        <w:top w:val="none" w:sz="0" w:space="0" w:color="auto"/>
        <w:left w:val="none" w:sz="0" w:space="0" w:color="auto"/>
        <w:bottom w:val="none" w:sz="0" w:space="0" w:color="auto"/>
        <w:right w:val="none" w:sz="0" w:space="0" w:color="auto"/>
      </w:divBdr>
    </w:div>
    <w:div w:id="556821293">
      <w:bodyDiv w:val="1"/>
      <w:marLeft w:val="0"/>
      <w:marRight w:val="0"/>
      <w:marTop w:val="0"/>
      <w:marBottom w:val="0"/>
      <w:divBdr>
        <w:top w:val="none" w:sz="0" w:space="0" w:color="auto"/>
        <w:left w:val="none" w:sz="0" w:space="0" w:color="auto"/>
        <w:bottom w:val="none" w:sz="0" w:space="0" w:color="auto"/>
        <w:right w:val="none" w:sz="0" w:space="0" w:color="auto"/>
      </w:divBdr>
    </w:div>
    <w:div w:id="614287517">
      <w:bodyDiv w:val="1"/>
      <w:marLeft w:val="0"/>
      <w:marRight w:val="0"/>
      <w:marTop w:val="0"/>
      <w:marBottom w:val="0"/>
      <w:divBdr>
        <w:top w:val="none" w:sz="0" w:space="0" w:color="auto"/>
        <w:left w:val="none" w:sz="0" w:space="0" w:color="auto"/>
        <w:bottom w:val="none" w:sz="0" w:space="0" w:color="auto"/>
        <w:right w:val="none" w:sz="0" w:space="0" w:color="auto"/>
      </w:divBdr>
    </w:div>
    <w:div w:id="682129983">
      <w:bodyDiv w:val="1"/>
      <w:marLeft w:val="0"/>
      <w:marRight w:val="0"/>
      <w:marTop w:val="0"/>
      <w:marBottom w:val="0"/>
      <w:divBdr>
        <w:top w:val="none" w:sz="0" w:space="0" w:color="auto"/>
        <w:left w:val="none" w:sz="0" w:space="0" w:color="auto"/>
        <w:bottom w:val="none" w:sz="0" w:space="0" w:color="auto"/>
        <w:right w:val="none" w:sz="0" w:space="0" w:color="auto"/>
      </w:divBdr>
    </w:div>
    <w:div w:id="686907145">
      <w:bodyDiv w:val="1"/>
      <w:marLeft w:val="0"/>
      <w:marRight w:val="0"/>
      <w:marTop w:val="0"/>
      <w:marBottom w:val="0"/>
      <w:divBdr>
        <w:top w:val="none" w:sz="0" w:space="0" w:color="auto"/>
        <w:left w:val="none" w:sz="0" w:space="0" w:color="auto"/>
        <w:bottom w:val="none" w:sz="0" w:space="0" w:color="auto"/>
        <w:right w:val="none" w:sz="0" w:space="0" w:color="auto"/>
      </w:divBdr>
    </w:div>
    <w:div w:id="734863929">
      <w:bodyDiv w:val="1"/>
      <w:marLeft w:val="0"/>
      <w:marRight w:val="0"/>
      <w:marTop w:val="0"/>
      <w:marBottom w:val="0"/>
      <w:divBdr>
        <w:top w:val="none" w:sz="0" w:space="0" w:color="auto"/>
        <w:left w:val="none" w:sz="0" w:space="0" w:color="auto"/>
        <w:bottom w:val="none" w:sz="0" w:space="0" w:color="auto"/>
        <w:right w:val="none" w:sz="0" w:space="0" w:color="auto"/>
      </w:divBdr>
    </w:div>
    <w:div w:id="750469862">
      <w:bodyDiv w:val="1"/>
      <w:marLeft w:val="0"/>
      <w:marRight w:val="0"/>
      <w:marTop w:val="0"/>
      <w:marBottom w:val="0"/>
      <w:divBdr>
        <w:top w:val="none" w:sz="0" w:space="0" w:color="auto"/>
        <w:left w:val="none" w:sz="0" w:space="0" w:color="auto"/>
        <w:bottom w:val="none" w:sz="0" w:space="0" w:color="auto"/>
        <w:right w:val="none" w:sz="0" w:space="0" w:color="auto"/>
      </w:divBdr>
    </w:div>
    <w:div w:id="772867817">
      <w:bodyDiv w:val="1"/>
      <w:marLeft w:val="0"/>
      <w:marRight w:val="0"/>
      <w:marTop w:val="0"/>
      <w:marBottom w:val="0"/>
      <w:divBdr>
        <w:top w:val="none" w:sz="0" w:space="0" w:color="auto"/>
        <w:left w:val="none" w:sz="0" w:space="0" w:color="auto"/>
        <w:bottom w:val="none" w:sz="0" w:space="0" w:color="auto"/>
        <w:right w:val="none" w:sz="0" w:space="0" w:color="auto"/>
      </w:divBdr>
    </w:div>
    <w:div w:id="795608884">
      <w:bodyDiv w:val="1"/>
      <w:marLeft w:val="0"/>
      <w:marRight w:val="0"/>
      <w:marTop w:val="0"/>
      <w:marBottom w:val="0"/>
      <w:divBdr>
        <w:top w:val="none" w:sz="0" w:space="0" w:color="auto"/>
        <w:left w:val="none" w:sz="0" w:space="0" w:color="auto"/>
        <w:bottom w:val="none" w:sz="0" w:space="0" w:color="auto"/>
        <w:right w:val="none" w:sz="0" w:space="0" w:color="auto"/>
      </w:divBdr>
    </w:div>
    <w:div w:id="807744256">
      <w:bodyDiv w:val="1"/>
      <w:marLeft w:val="0"/>
      <w:marRight w:val="0"/>
      <w:marTop w:val="0"/>
      <w:marBottom w:val="0"/>
      <w:divBdr>
        <w:top w:val="none" w:sz="0" w:space="0" w:color="auto"/>
        <w:left w:val="none" w:sz="0" w:space="0" w:color="auto"/>
        <w:bottom w:val="none" w:sz="0" w:space="0" w:color="auto"/>
        <w:right w:val="none" w:sz="0" w:space="0" w:color="auto"/>
      </w:divBdr>
    </w:div>
    <w:div w:id="808672972">
      <w:bodyDiv w:val="1"/>
      <w:marLeft w:val="0"/>
      <w:marRight w:val="0"/>
      <w:marTop w:val="0"/>
      <w:marBottom w:val="0"/>
      <w:divBdr>
        <w:top w:val="none" w:sz="0" w:space="0" w:color="auto"/>
        <w:left w:val="none" w:sz="0" w:space="0" w:color="auto"/>
        <w:bottom w:val="none" w:sz="0" w:space="0" w:color="auto"/>
        <w:right w:val="none" w:sz="0" w:space="0" w:color="auto"/>
      </w:divBdr>
    </w:div>
    <w:div w:id="835459541">
      <w:bodyDiv w:val="1"/>
      <w:marLeft w:val="0"/>
      <w:marRight w:val="0"/>
      <w:marTop w:val="0"/>
      <w:marBottom w:val="0"/>
      <w:divBdr>
        <w:top w:val="none" w:sz="0" w:space="0" w:color="auto"/>
        <w:left w:val="none" w:sz="0" w:space="0" w:color="auto"/>
        <w:bottom w:val="none" w:sz="0" w:space="0" w:color="auto"/>
        <w:right w:val="none" w:sz="0" w:space="0" w:color="auto"/>
      </w:divBdr>
    </w:div>
    <w:div w:id="851383797">
      <w:bodyDiv w:val="1"/>
      <w:marLeft w:val="0"/>
      <w:marRight w:val="0"/>
      <w:marTop w:val="0"/>
      <w:marBottom w:val="0"/>
      <w:divBdr>
        <w:top w:val="none" w:sz="0" w:space="0" w:color="auto"/>
        <w:left w:val="none" w:sz="0" w:space="0" w:color="auto"/>
        <w:bottom w:val="none" w:sz="0" w:space="0" w:color="auto"/>
        <w:right w:val="none" w:sz="0" w:space="0" w:color="auto"/>
      </w:divBdr>
    </w:div>
    <w:div w:id="887839017">
      <w:bodyDiv w:val="1"/>
      <w:marLeft w:val="0"/>
      <w:marRight w:val="0"/>
      <w:marTop w:val="0"/>
      <w:marBottom w:val="0"/>
      <w:divBdr>
        <w:top w:val="none" w:sz="0" w:space="0" w:color="auto"/>
        <w:left w:val="none" w:sz="0" w:space="0" w:color="auto"/>
        <w:bottom w:val="none" w:sz="0" w:space="0" w:color="auto"/>
        <w:right w:val="none" w:sz="0" w:space="0" w:color="auto"/>
      </w:divBdr>
    </w:div>
    <w:div w:id="960183729">
      <w:bodyDiv w:val="1"/>
      <w:marLeft w:val="0"/>
      <w:marRight w:val="0"/>
      <w:marTop w:val="0"/>
      <w:marBottom w:val="0"/>
      <w:divBdr>
        <w:top w:val="none" w:sz="0" w:space="0" w:color="auto"/>
        <w:left w:val="none" w:sz="0" w:space="0" w:color="auto"/>
        <w:bottom w:val="none" w:sz="0" w:space="0" w:color="auto"/>
        <w:right w:val="none" w:sz="0" w:space="0" w:color="auto"/>
      </w:divBdr>
    </w:div>
    <w:div w:id="963266281">
      <w:bodyDiv w:val="1"/>
      <w:marLeft w:val="0"/>
      <w:marRight w:val="0"/>
      <w:marTop w:val="0"/>
      <w:marBottom w:val="0"/>
      <w:divBdr>
        <w:top w:val="none" w:sz="0" w:space="0" w:color="auto"/>
        <w:left w:val="none" w:sz="0" w:space="0" w:color="auto"/>
        <w:bottom w:val="none" w:sz="0" w:space="0" w:color="auto"/>
        <w:right w:val="none" w:sz="0" w:space="0" w:color="auto"/>
      </w:divBdr>
    </w:div>
    <w:div w:id="1034962269">
      <w:bodyDiv w:val="1"/>
      <w:marLeft w:val="0"/>
      <w:marRight w:val="0"/>
      <w:marTop w:val="0"/>
      <w:marBottom w:val="0"/>
      <w:divBdr>
        <w:top w:val="none" w:sz="0" w:space="0" w:color="auto"/>
        <w:left w:val="none" w:sz="0" w:space="0" w:color="auto"/>
        <w:bottom w:val="none" w:sz="0" w:space="0" w:color="auto"/>
        <w:right w:val="none" w:sz="0" w:space="0" w:color="auto"/>
      </w:divBdr>
    </w:div>
    <w:div w:id="1043403900">
      <w:bodyDiv w:val="1"/>
      <w:marLeft w:val="0"/>
      <w:marRight w:val="0"/>
      <w:marTop w:val="0"/>
      <w:marBottom w:val="0"/>
      <w:divBdr>
        <w:top w:val="none" w:sz="0" w:space="0" w:color="auto"/>
        <w:left w:val="none" w:sz="0" w:space="0" w:color="auto"/>
        <w:bottom w:val="none" w:sz="0" w:space="0" w:color="auto"/>
        <w:right w:val="none" w:sz="0" w:space="0" w:color="auto"/>
      </w:divBdr>
    </w:div>
    <w:div w:id="1059673363">
      <w:bodyDiv w:val="1"/>
      <w:marLeft w:val="0"/>
      <w:marRight w:val="0"/>
      <w:marTop w:val="0"/>
      <w:marBottom w:val="0"/>
      <w:divBdr>
        <w:top w:val="none" w:sz="0" w:space="0" w:color="auto"/>
        <w:left w:val="none" w:sz="0" w:space="0" w:color="auto"/>
        <w:bottom w:val="none" w:sz="0" w:space="0" w:color="auto"/>
        <w:right w:val="none" w:sz="0" w:space="0" w:color="auto"/>
      </w:divBdr>
    </w:div>
    <w:div w:id="1075519536">
      <w:bodyDiv w:val="1"/>
      <w:marLeft w:val="0"/>
      <w:marRight w:val="0"/>
      <w:marTop w:val="0"/>
      <w:marBottom w:val="0"/>
      <w:divBdr>
        <w:top w:val="none" w:sz="0" w:space="0" w:color="auto"/>
        <w:left w:val="none" w:sz="0" w:space="0" w:color="auto"/>
        <w:bottom w:val="none" w:sz="0" w:space="0" w:color="auto"/>
        <w:right w:val="none" w:sz="0" w:space="0" w:color="auto"/>
      </w:divBdr>
    </w:div>
    <w:div w:id="1087074456">
      <w:bodyDiv w:val="1"/>
      <w:marLeft w:val="0"/>
      <w:marRight w:val="0"/>
      <w:marTop w:val="0"/>
      <w:marBottom w:val="0"/>
      <w:divBdr>
        <w:top w:val="none" w:sz="0" w:space="0" w:color="auto"/>
        <w:left w:val="none" w:sz="0" w:space="0" w:color="auto"/>
        <w:bottom w:val="none" w:sz="0" w:space="0" w:color="auto"/>
        <w:right w:val="none" w:sz="0" w:space="0" w:color="auto"/>
      </w:divBdr>
    </w:div>
    <w:div w:id="1102267471">
      <w:bodyDiv w:val="1"/>
      <w:marLeft w:val="0"/>
      <w:marRight w:val="0"/>
      <w:marTop w:val="0"/>
      <w:marBottom w:val="0"/>
      <w:divBdr>
        <w:top w:val="none" w:sz="0" w:space="0" w:color="auto"/>
        <w:left w:val="none" w:sz="0" w:space="0" w:color="auto"/>
        <w:bottom w:val="none" w:sz="0" w:space="0" w:color="auto"/>
        <w:right w:val="none" w:sz="0" w:space="0" w:color="auto"/>
      </w:divBdr>
    </w:div>
    <w:div w:id="1146050525">
      <w:bodyDiv w:val="1"/>
      <w:marLeft w:val="0"/>
      <w:marRight w:val="0"/>
      <w:marTop w:val="0"/>
      <w:marBottom w:val="0"/>
      <w:divBdr>
        <w:top w:val="none" w:sz="0" w:space="0" w:color="auto"/>
        <w:left w:val="none" w:sz="0" w:space="0" w:color="auto"/>
        <w:bottom w:val="none" w:sz="0" w:space="0" w:color="auto"/>
        <w:right w:val="none" w:sz="0" w:space="0" w:color="auto"/>
      </w:divBdr>
    </w:div>
    <w:div w:id="1190950676">
      <w:bodyDiv w:val="1"/>
      <w:marLeft w:val="0"/>
      <w:marRight w:val="0"/>
      <w:marTop w:val="0"/>
      <w:marBottom w:val="0"/>
      <w:divBdr>
        <w:top w:val="none" w:sz="0" w:space="0" w:color="auto"/>
        <w:left w:val="none" w:sz="0" w:space="0" w:color="auto"/>
        <w:bottom w:val="none" w:sz="0" w:space="0" w:color="auto"/>
        <w:right w:val="none" w:sz="0" w:space="0" w:color="auto"/>
      </w:divBdr>
    </w:div>
    <w:div w:id="1192185408">
      <w:bodyDiv w:val="1"/>
      <w:marLeft w:val="0"/>
      <w:marRight w:val="0"/>
      <w:marTop w:val="0"/>
      <w:marBottom w:val="0"/>
      <w:divBdr>
        <w:top w:val="none" w:sz="0" w:space="0" w:color="auto"/>
        <w:left w:val="none" w:sz="0" w:space="0" w:color="auto"/>
        <w:bottom w:val="none" w:sz="0" w:space="0" w:color="auto"/>
        <w:right w:val="none" w:sz="0" w:space="0" w:color="auto"/>
      </w:divBdr>
    </w:div>
    <w:div w:id="1245071301">
      <w:bodyDiv w:val="1"/>
      <w:marLeft w:val="0"/>
      <w:marRight w:val="0"/>
      <w:marTop w:val="0"/>
      <w:marBottom w:val="0"/>
      <w:divBdr>
        <w:top w:val="none" w:sz="0" w:space="0" w:color="auto"/>
        <w:left w:val="none" w:sz="0" w:space="0" w:color="auto"/>
        <w:bottom w:val="none" w:sz="0" w:space="0" w:color="auto"/>
        <w:right w:val="none" w:sz="0" w:space="0" w:color="auto"/>
      </w:divBdr>
    </w:div>
    <w:div w:id="1348941986">
      <w:bodyDiv w:val="1"/>
      <w:marLeft w:val="0"/>
      <w:marRight w:val="0"/>
      <w:marTop w:val="0"/>
      <w:marBottom w:val="0"/>
      <w:divBdr>
        <w:top w:val="none" w:sz="0" w:space="0" w:color="auto"/>
        <w:left w:val="none" w:sz="0" w:space="0" w:color="auto"/>
        <w:bottom w:val="none" w:sz="0" w:space="0" w:color="auto"/>
        <w:right w:val="none" w:sz="0" w:space="0" w:color="auto"/>
      </w:divBdr>
    </w:div>
    <w:div w:id="1351490224">
      <w:bodyDiv w:val="1"/>
      <w:marLeft w:val="0"/>
      <w:marRight w:val="0"/>
      <w:marTop w:val="0"/>
      <w:marBottom w:val="0"/>
      <w:divBdr>
        <w:top w:val="none" w:sz="0" w:space="0" w:color="auto"/>
        <w:left w:val="none" w:sz="0" w:space="0" w:color="auto"/>
        <w:bottom w:val="none" w:sz="0" w:space="0" w:color="auto"/>
        <w:right w:val="none" w:sz="0" w:space="0" w:color="auto"/>
      </w:divBdr>
    </w:div>
    <w:div w:id="1371026627">
      <w:bodyDiv w:val="1"/>
      <w:marLeft w:val="0"/>
      <w:marRight w:val="0"/>
      <w:marTop w:val="0"/>
      <w:marBottom w:val="0"/>
      <w:divBdr>
        <w:top w:val="none" w:sz="0" w:space="0" w:color="auto"/>
        <w:left w:val="none" w:sz="0" w:space="0" w:color="auto"/>
        <w:bottom w:val="none" w:sz="0" w:space="0" w:color="auto"/>
        <w:right w:val="none" w:sz="0" w:space="0" w:color="auto"/>
      </w:divBdr>
    </w:div>
    <w:div w:id="1381633718">
      <w:bodyDiv w:val="1"/>
      <w:marLeft w:val="0"/>
      <w:marRight w:val="0"/>
      <w:marTop w:val="0"/>
      <w:marBottom w:val="0"/>
      <w:divBdr>
        <w:top w:val="none" w:sz="0" w:space="0" w:color="auto"/>
        <w:left w:val="none" w:sz="0" w:space="0" w:color="auto"/>
        <w:bottom w:val="none" w:sz="0" w:space="0" w:color="auto"/>
        <w:right w:val="none" w:sz="0" w:space="0" w:color="auto"/>
      </w:divBdr>
    </w:div>
    <w:div w:id="1464344680">
      <w:bodyDiv w:val="1"/>
      <w:marLeft w:val="0"/>
      <w:marRight w:val="0"/>
      <w:marTop w:val="0"/>
      <w:marBottom w:val="0"/>
      <w:divBdr>
        <w:top w:val="none" w:sz="0" w:space="0" w:color="auto"/>
        <w:left w:val="none" w:sz="0" w:space="0" w:color="auto"/>
        <w:bottom w:val="none" w:sz="0" w:space="0" w:color="auto"/>
        <w:right w:val="none" w:sz="0" w:space="0" w:color="auto"/>
      </w:divBdr>
    </w:div>
    <w:div w:id="1491947914">
      <w:bodyDiv w:val="1"/>
      <w:marLeft w:val="0"/>
      <w:marRight w:val="0"/>
      <w:marTop w:val="0"/>
      <w:marBottom w:val="0"/>
      <w:divBdr>
        <w:top w:val="none" w:sz="0" w:space="0" w:color="auto"/>
        <w:left w:val="none" w:sz="0" w:space="0" w:color="auto"/>
        <w:bottom w:val="none" w:sz="0" w:space="0" w:color="auto"/>
        <w:right w:val="none" w:sz="0" w:space="0" w:color="auto"/>
      </w:divBdr>
    </w:div>
    <w:div w:id="1536429818">
      <w:bodyDiv w:val="1"/>
      <w:marLeft w:val="0"/>
      <w:marRight w:val="0"/>
      <w:marTop w:val="0"/>
      <w:marBottom w:val="0"/>
      <w:divBdr>
        <w:top w:val="none" w:sz="0" w:space="0" w:color="auto"/>
        <w:left w:val="none" w:sz="0" w:space="0" w:color="auto"/>
        <w:bottom w:val="none" w:sz="0" w:space="0" w:color="auto"/>
        <w:right w:val="none" w:sz="0" w:space="0" w:color="auto"/>
      </w:divBdr>
    </w:div>
    <w:div w:id="1554153026">
      <w:bodyDiv w:val="1"/>
      <w:marLeft w:val="0"/>
      <w:marRight w:val="0"/>
      <w:marTop w:val="0"/>
      <w:marBottom w:val="0"/>
      <w:divBdr>
        <w:top w:val="none" w:sz="0" w:space="0" w:color="auto"/>
        <w:left w:val="none" w:sz="0" w:space="0" w:color="auto"/>
        <w:bottom w:val="none" w:sz="0" w:space="0" w:color="auto"/>
        <w:right w:val="none" w:sz="0" w:space="0" w:color="auto"/>
      </w:divBdr>
    </w:div>
    <w:div w:id="1582132667">
      <w:bodyDiv w:val="1"/>
      <w:marLeft w:val="0"/>
      <w:marRight w:val="0"/>
      <w:marTop w:val="0"/>
      <w:marBottom w:val="0"/>
      <w:divBdr>
        <w:top w:val="none" w:sz="0" w:space="0" w:color="auto"/>
        <w:left w:val="none" w:sz="0" w:space="0" w:color="auto"/>
        <w:bottom w:val="none" w:sz="0" w:space="0" w:color="auto"/>
        <w:right w:val="none" w:sz="0" w:space="0" w:color="auto"/>
      </w:divBdr>
    </w:div>
    <w:div w:id="1584415122">
      <w:bodyDiv w:val="1"/>
      <w:marLeft w:val="0"/>
      <w:marRight w:val="0"/>
      <w:marTop w:val="0"/>
      <w:marBottom w:val="0"/>
      <w:divBdr>
        <w:top w:val="none" w:sz="0" w:space="0" w:color="auto"/>
        <w:left w:val="none" w:sz="0" w:space="0" w:color="auto"/>
        <w:bottom w:val="none" w:sz="0" w:space="0" w:color="auto"/>
        <w:right w:val="none" w:sz="0" w:space="0" w:color="auto"/>
      </w:divBdr>
    </w:div>
    <w:div w:id="1610507666">
      <w:bodyDiv w:val="1"/>
      <w:marLeft w:val="0"/>
      <w:marRight w:val="0"/>
      <w:marTop w:val="0"/>
      <w:marBottom w:val="0"/>
      <w:divBdr>
        <w:top w:val="none" w:sz="0" w:space="0" w:color="auto"/>
        <w:left w:val="none" w:sz="0" w:space="0" w:color="auto"/>
        <w:bottom w:val="none" w:sz="0" w:space="0" w:color="auto"/>
        <w:right w:val="none" w:sz="0" w:space="0" w:color="auto"/>
      </w:divBdr>
    </w:div>
    <w:div w:id="1610618893">
      <w:bodyDiv w:val="1"/>
      <w:marLeft w:val="0"/>
      <w:marRight w:val="0"/>
      <w:marTop w:val="0"/>
      <w:marBottom w:val="0"/>
      <w:divBdr>
        <w:top w:val="none" w:sz="0" w:space="0" w:color="auto"/>
        <w:left w:val="none" w:sz="0" w:space="0" w:color="auto"/>
        <w:bottom w:val="none" w:sz="0" w:space="0" w:color="auto"/>
        <w:right w:val="none" w:sz="0" w:space="0" w:color="auto"/>
      </w:divBdr>
    </w:div>
    <w:div w:id="1619070638">
      <w:bodyDiv w:val="1"/>
      <w:marLeft w:val="0"/>
      <w:marRight w:val="0"/>
      <w:marTop w:val="0"/>
      <w:marBottom w:val="0"/>
      <w:divBdr>
        <w:top w:val="none" w:sz="0" w:space="0" w:color="auto"/>
        <w:left w:val="none" w:sz="0" w:space="0" w:color="auto"/>
        <w:bottom w:val="none" w:sz="0" w:space="0" w:color="auto"/>
        <w:right w:val="none" w:sz="0" w:space="0" w:color="auto"/>
      </w:divBdr>
    </w:div>
    <w:div w:id="1753896660">
      <w:bodyDiv w:val="1"/>
      <w:marLeft w:val="0"/>
      <w:marRight w:val="0"/>
      <w:marTop w:val="0"/>
      <w:marBottom w:val="0"/>
      <w:divBdr>
        <w:top w:val="none" w:sz="0" w:space="0" w:color="auto"/>
        <w:left w:val="none" w:sz="0" w:space="0" w:color="auto"/>
        <w:bottom w:val="none" w:sz="0" w:space="0" w:color="auto"/>
        <w:right w:val="none" w:sz="0" w:space="0" w:color="auto"/>
      </w:divBdr>
      <w:divsChild>
        <w:div w:id="930965100">
          <w:marLeft w:val="-720"/>
          <w:marRight w:val="0"/>
          <w:marTop w:val="0"/>
          <w:marBottom w:val="0"/>
          <w:divBdr>
            <w:top w:val="none" w:sz="0" w:space="0" w:color="auto"/>
            <w:left w:val="none" w:sz="0" w:space="0" w:color="auto"/>
            <w:bottom w:val="none" w:sz="0" w:space="0" w:color="auto"/>
            <w:right w:val="none" w:sz="0" w:space="0" w:color="auto"/>
          </w:divBdr>
        </w:div>
      </w:divsChild>
    </w:div>
    <w:div w:id="1819491153">
      <w:bodyDiv w:val="1"/>
      <w:marLeft w:val="0"/>
      <w:marRight w:val="0"/>
      <w:marTop w:val="0"/>
      <w:marBottom w:val="0"/>
      <w:divBdr>
        <w:top w:val="none" w:sz="0" w:space="0" w:color="auto"/>
        <w:left w:val="none" w:sz="0" w:space="0" w:color="auto"/>
        <w:bottom w:val="none" w:sz="0" w:space="0" w:color="auto"/>
        <w:right w:val="none" w:sz="0" w:space="0" w:color="auto"/>
      </w:divBdr>
    </w:div>
    <w:div w:id="1855028696">
      <w:bodyDiv w:val="1"/>
      <w:marLeft w:val="0"/>
      <w:marRight w:val="0"/>
      <w:marTop w:val="0"/>
      <w:marBottom w:val="0"/>
      <w:divBdr>
        <w:top w:val="none" w:sz="0" w:space="0" w:color="auto"/>
        <w:left w:val="none" w:sz="0" w:space="0" w:color="auto"/>
        <w:bottom w:val="none" w:sz="0" w:space="0" w:color="auto"/>
        <w:right w:val="none" w:sz="0" w:space="0" w:color="auto"/>
      </w:divBdr>
    </w:div>
    <w:div w:id="1871843859">
      <w:bodyDiv w:val="1"/>
      <w:marLeft w:val="0"/>
      <w:marRight w:val="0"/>
      <w:marTop w:val="0"/>
      <w:marBottom w:val="0"/>
      <w:divBdr>
        <w:top w:val="none" w:sz="0" w:space="0" w:color="auto"/>
        <w:left w:val="none" w:sz="0" w:space="0" w:color="auto"/>
        <w:bottom w:val="none" w:sz="0" w:space="0" w:color="auto"/>
        <w:right w:val="none" w:sz="0" w:space="0" w:color="auto"/>
      </w:divBdr>
    </w:div>
    <w:div w:id="1881671317">
      <w:bodyDiv w:val="1"/>
      <w:marLeft w:val="0"/>
      <w:marRight w:val="0"/>
      <w:marTop w:val="0"/>
      <w:marBottom w:val="0"/>
      <w:divBdr>
        <w:top w:val="none" w:sz="0" w:space="0" w:color="auto"/>
        <w:left w:val="none" w:sz="0" w:space="0" w:color="auto"/>
        <w:bottom w:val="none" w:sz="0" w:space="0" w:color="auto"/>
        <w:right w:val="none" w:sz="0" w:space="0" w:color="auto"/>
      </w:divBdr>
    </w:div>
    <w:div w:id="1915359467">
      <w:bodyDiv w:val="1"/>
      <w:marLeft w:val="0"/>
      <w:marRight w:val="0"/>
      <w:marTop w:val="0"/>
      <w:marBottom w:val="0"/>
      <w:divBdr>
        <w:top w:val="none" w:sz="0" w:space="0" w:color="auto"/>
        <w:left w:val="none" w:sz="0" w:space="0" w:color="auto"/>
        <w:bottom w:val="none" w:sz="0" w:space="0" w:color="auto"/>
        <w:right w:val="none" w:sz="0" w:space="0" w:color="auto"/>
      </w:divBdr>
    </w:div>
    <w:div w:id="1918707405">
      <w:bodyDiv w:val="1"/>
      <w:marLeft w:val="0"/>
      <w:marRight w:val="0"/>
      <w:marTop w:val="0"/>
      <w:marBottom w:val="0"/>
      <w:divBdr>
        <w:top w:val="none" w:sz="0" w:space="0" w:color="auto"/>
        <w:left w:val="none" w:sz="0" w:space="0" w:color="auto"/>
        <w:bottom w:val="none" w:sz="0" w:space="0" w:color="auto"/>
        <w:right w:val="none" w:sz="0" w:space="0" w:color="auto"/>
      </w:divBdr>
    </w:div>
    <w:div w:id="1923636004">
      <w:bodyDiv w:val="1"/>
      <w:marLeft w:val="0"/>
      <w:marRight w:val="0"/>
      <w:marTop w:val="0"/>
      <w:marBottom w:val="0"/>
      <w:divBdr>
        <w:top w:val="none" w:sz="0" w:space="0" w:color="auto"/>
        <w:left w:val="none" w:sz="0" w:space="0" w:color="auto"/>
        <w:bottom w:val="none" w:sz="0" w:space="0" w:color="auto"/>
        <w:right w:val="none" w:sz="0" w:space="0" w:color="auto"/>
      </w:divBdr>
    </w:div>
    <w:div w:id="1934513918">
      <w:bodyDiv w:val="1"/>
      <w:marLeft w:val="0"/>
      <w:marRight w:val="0"/>
      <w:marTop w:val="0"/>
      <w:marBottom w:val="0"/>
      <w:divBdr>
        <w:top w:val="none" w:sz="0" w:space="0" w:color="auto"/>
        <w:left w:val="none" w:sz="0" w:space="0" w:color="auto"/>
        <w:bottom w:val="none" w:sz="0" w:space="0" w:color="auto"/>
        <w:right w:val="none" w:sz="0" w:space="0" w:color="auto"/>
      </w:divBdr>
    </w:div>
    <w:div w:id="2038118381">
      <w:bodyDiv w:val="1"/>
      <w:marLeft w:val="0"/>
      <w:marRight w:val="0"/>
      <w:marTop w:val="0"/>
      <w:marBottom w:val="0"/>
      <w:divBdr>
        <w:top w:val="none" w:sz="0" w:space="0" w:color="auto"/>
        <w:left w:val="none" w:sz="0" w:space="0" w:color="auto"/>
        <w:bottom w:val="none" w:sz="0" w:space="0" w:color="auto"/>
        <w:right w:val="none" w:sz="0" w:space="0" w:color="auto"/>
      </w:divBdr>
    </w:div>
    <w:div w:id="2049601320">
      <w:bodyDiv w:val="1"/>
      <w:marLeft w:val="0"/>
      <w:marRight w:val="0"/>
      <w:marTop w:val="0"/>
      <w:marBottom w:val="0"/>
      <w:divBdr>
        <w:top w:val="none" w:sz="0" w:space="0" w:color="auto"/>
        <w:left w:val="none" w:sz="0" w:space="0" w:color="auto"/>
        <w:bottom w:val="none" w:sz="0" w:space="0" w:color="auto"/>
        <w:right w:val="none" w:sz="0" w:space="0" w:color="auto"/>
      </w:divBdr>
    </w:div>
    <w:div w:id="2077118576">
      <w:bodyDiv w:val="1"/>
      <w:marLeft w:val="0"/>
      <w:marRight w:val="0"/>
      <w:marTop w:val="0"/>
      <w:marBottom w:val="0"/>
      <w:divBdr>
        <w:top w:val="none" w:sz="0" w:space="0" w:color="auto"/>
        <w:left w:val="none" w:sz="0" w:space="0" w:color="auto"/>
        <w:bottom w:val="none" w:sz="0" w:space="0" w:color="auto"/>
        <w:right w:val="none" w:sz="0" w:space="0" w:color="auto"/>
      </w:divBdr>
    </w:div>
    <w:div w:id="2090614323">
      <w:bodyDiv w:val="1"/>
      <w:marLeft w:val="0"/>
      <w:marRight w:val="0"/>
      <w:marTop w:val="0"/>
      <w:marBottom w:val="0"/>
      <w:divBdr>
        <w:top w:val="none" w:sz="0" w:space="0" w:color="auto"/>
        <w:left w:val="none" w:sz="0" w:space="0" w:color="auto"/>
        <w:bottom w:val="none" w:sz="0" w:space="0" w:color="auto"/>
        <w:right w:val="none" w:sz="0" w:space="0" w:color="auto"/>
      </w:divBdr>
    </w:div>
    <w:div w:id="21291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yperlink" Target="https://doi.org/10.1080/00461520.2018.1447384" TargetMode="Externa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doi.org/10.9734/JSRR/2015/18300"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discoveredu.org/math-anxiety-report"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doi.org/10.29322/IJSRP.14.03.2024.p14721"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doi.org/10.11594/ijmaber.02.10.12" TargetMode="External"/><Relationship Id="rId27" Type="http://schemas.openxmlformats.org/officeDocument/2006/relationships/hyperlink" Target="https://doi.org/10.9734/ajess/2022/v31i1307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F5759-8932-4046-AA23-06FDF1329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12</Pages>
  <Words>6208</Words>
  <Characters>35389</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Ronald Lazarra</cp:lastModifiedBy>
  <cp:revision>55</cp:revision>
  <cp:lastPrinted>2020-09-15T07:10:00Z</cp:lastPrinted>
  <dcterms:created xsi:type="dcterms:W3CDTF">2025-02-28T13:39:00Z</dcterms:created>
  <dcterms:modified xsi:type="dcterms:W3CDTF">2025-06-01T07:25:00Z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95e5f905-4eff-458a-acbc-c790f78087aa</vt:lpwstr>
  </property>
</Properties>
</file>