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23455D" w14:textId="1BC38348" w:rsidR="00732EF1" w:rsidRPr="00CC1EA3" w:rsidRDefault="006D7D3D" w:rsidP="00E83841">
      <w:pPr>
        <w:spacing w:line="360" w:lineRule="auto"/>
        <w:jc w:val="both"/>
        <w:rPr>
          <w:rFonts w:ascii="Times New Roman" w:hAnsi="Times New Roman" w:cs="Times New Roman"/>
          <w:b/>
          <w:sz w:val="24"/>
          <w:szCs w:val="24"/>
        </w:rPr>
      </w:pPr>
      <w:bookmarkStart w:id="0" w:name="_GoBack"/>
      <w:bookmarkEnd w:id="0"/>
      <w:r>
        <w:rPr>
          <w:rFonts w:ascii="Times New Roman" w:hAnsi="Times New Roman" w:cs="Times New Roman"/>
          <w:b/>
          <w:sz w:val="24"/>
          <w:szCs w:val="24"/>
        </w:rPr>
        <w:t>Role o</w:t>
      </w:r>
      <w:r w:rsidR="00B626C6" w:rsidRPr="00CC1EA3">
        <w:rPr>
          <w:rFonts w:ascii="Times New Roman" w:hAnsi="Times New Roman" w:cs="Times New Roman"/>
          <w:b/>
          <w:sz w:val="24"/>
          <w:szCs w:val="24"/>
        </w:rPr>
        <w:t>f Gender Equity</w:t>
      </w:r>
      <w:r w:rsidR="00B626C6">
        <w:rPr>
          <w:rFonts w:ascii="Times New Roman" w:hAnsi="Times New Roman" w:cs="Times New Roman"/>
          <w:b/>
          <w:sz w:val="24"/>
          <w:szCs w:val="24"/>
        </w:rPr>
        <w:t xml:space="preserve"> Policy</w:t>
      </w:r>
      <w:r>
        <w:rPr>
          <w:rFonts w:ascii="Times New Roman" w:hAnsi="Times New Roman" w:cs="Times New Roman"/>
          <w:b/>
          <w:sz w:val="24"/>
          <w:szCs w:val="24"/>
        </w:rPr>
        <w:t xml:space="preserve"> o</w:t>
      </w:r>
      <w:r w:rsidR="00B626C6" w:rsidRPr="00CC1EA3">
        <w:rPr>
          <w:rFonts w:ascii="Times New Roman" w:hAnsi="Times New Roman" w:cs="Times New Roman"/>
          <w:b/>
          <w:sz w:val="24"/>
          <w:szCs w:val="24"/>
        </w:rPr>
        <w:t xml:space="preserve">n Girls’ Completion </w:t>
      </w:r>
      <w:r w:rsidR="00B626C6">
        <w:rPr>
          <w:rFonts w:ascii="Times New Roman" w:hAnsi="Times New Roman" w:cs="Times New Roman"/>
          <w:b/>
          <w:sz w:val="24"/>
          <w:szCs w:val="24"/>
        </w:rPr>
        <w:t>Rates</w:t>
      </w:r>
      <w:r>
        <w:rPr>
          <w:rFonts w:ascii="Times New Roman" w:hAnsi="Times New Roman" w:cs="Times New Roman"/>
          <w:b/>
          <w:sz w:val="24"/>
          <w:szCs w:val="24"/>
        </w:rPr>
        <w:t xml:space="preserve"> i</w:t>
      </w:r>
      <w:r w:rsidR="00B626C6" w:rsidRPr="00CC1EA3">
        <w:rPr>
          <w:rFonts w:ascii="Times New Roman" w:hAnsi="Times New Roman" w:cs="Times New Roman"/>
          <w:b/>
          <w:sz w:val="24"/>
          <w:szCs w:val="24"/>
        </w:rPr>
        <w:t xml:space="preserve">n Public Secondary Schools </w:t>
      </w:r>
      <w:proofErr w:type="gramStart"/>
      <w:r w:rsidR="00B626C6" w:rsidRPr="00CC1EA3">
        <w:rPr>
          <w:rFonts w:ascii="Times New Roman" w:hAnsi="Times New Roman" w:cs="Times New Roman"/>
          <w:b/>
          <w:sz w:val="24"/>
          <w:szCs w:val="24"/>
        </w:rPr>
        <w:t>I</w:t>
      </w:r>
      <w:r w:rsidR="00B626C6">
        <w:rPr>
          <w:rFonts w:ascii="Times New Roman" w:hAnsi="Times New Roman" w:cs="Times New Roman"/>
          <w:b/>
          <w:sz w:val="24"/>
          <w:szCs w:val="24"/>
        </w:rPr>
        <w:t>n</w:t>
      </w:r>
      <w:proofErr w:type="gramEnd"/>
      <w:r w:rsidR="00B626C6" w:rsidRPr="00CC1EA3">
        <w:rPr>
          <w:rFonts w:ascii="Times New Roman" w:hAnsi="Times New Roman" w:cs="Times New Roman"/>
          <w:b/>
          <w:sz w:val="24"/>
          <w:szCs w:val="24"/>
        </w:rPr>
        <w:t xml:space="preserve"> Rwanda</w:t>
      </w:r>
    </w:p>
    <w:p w14:paraId="31AA3DD0" w14:textId="77777777" w:rsidR="00FF6D50" w:rsidRDefault="00732EF1" w:rsidP="00E83841">
      <w:pPr>
        <w:spacing w:after="0" w:line="360" w:lineRule="auto"/>
        <w:jc w:val="center"/>
        <w:rPr>
          <w:rFonts w:ascii="Times New Roman" w:eastAsia="Times New Roman" w:hAnsi="Times New Roman" w:cs="Times New Roman"/>
          <w:b/>
          <w:color w:val="000000"/>
          <w:sz w:val="24"/>
          <w:szCs w:val="24"/>
          <w:lang w:val="en-GB"/>
        </w:rPr>
      </w:pPr>
      <w:r w:rsidRPr="00CC1EA3">
        <w:rPr>
          <w:rFonts w:ascii="Times New Roman" w:eastAsia="Times New Roman" w:hAnsi="Times New Roman" w:cs="Times New Roman"/>
          <w:b/>
          <w:color w:val="000000"/>
          <w:sz w:val="24"/>
          <w:szCs w:val="24"/>
          <w:lang w:val="en-GB"/>
        </w:rPr>
        <w:t>ABSTRACT</w:t>
      </w:r>
    </w:p>
    <w:p w14:paraId="6B1220D6" w14:textId="7574ECB0" w:rsidR="00511EF1" w:rsidRPr="001830A1" w:rsidRDefault="00511EF1" w:rsidP="00E83841">
      <w:pPr>
        <w:spacing w:line="360" w:lineRule="auto"/>
        <w:jc w:val="both"/>
        <w:rPr>
          <w:rFonts w:ascii="Times New Roman" w:hAnsi="Times New Roman" w:cs="Times New Roman"/>
          <w:sz w:val="24"/>
          <w:szCs w:val="24"/>
        </w:rPr>
      </w:pPr>
      <w:r w:rsidRPr="001830A1">
        <w:rPr>
          <w:rFonts w:ascii="Times New Roman" w:hAnsi="Times New Roman" w:cs="Times New Roman"/>
          <w:sz w:val="24"/>
          <w:szCs w:val="24"/>
        </w:rPr>
        <w:t xml:space="preserve">This </w:t>
      </w:r>
      <w:r w:rsidR="00584DF5">
        <w:rPr>
          <w:rFonts w:ascii="Times New Roman" w:hAnsi="Times New Roman" w:cs="Times New Roman"/>
          <w:sz w:val="24"/>
          <w:szCs w:val="24"/>
        </w:rPr>
        <w:t>study</w:t>
      </w:r>
      <w:r w:rsidRPr="001830A1">
        <w:rPr>
          <w:rFonts w:ascii="Times New Roman" w:hAnsi="Times New Roman" w:cs="Times New Roman"/>
          <w:sz w:val="24"/>
          <w:szCs w:val="24"/>
        </w:rPr>
        <w:t xml:space="preserve"> assessed the role of gender equity on girls ‘completion rates in public secondary schools in </w:t>
      </w:r>
      <w:proofErr w:type="spellStart"/>
      <w:r w:rsidRPr="001830A1">
        <w:rPr>
          <w:rFonts w:ascii="Times New Roman" w:hAnsi="Times New Roman" w:cs="Times New Roman"/>
          <w:sz w:val="24"/>
          <w:szCs w:val="24"/>
        </w:rPr>
        <w:t>Kicukiro</w:t>
      </w:r>
      <w:proofErr w:type="spellEnd"/>
      <w:r w:rsidRPr="001830A1">
        <w:rPr>
          <w:rFonts w:ascii="Times New Roman" w:hAnsi="Times New Roman" w:cs="Times New Roman"/>
          <w:sz w:val="24"/>
          <w:szCs w:val="24"/>
        </w:rPr>
        <w:t xml:space="preserve"> a</w:t>
      </w:r>
      <w:r w:rsidR="00CA6308">
        <w:rPr>
          <w:rFonts w:ascii="Times New Roman" w:hAnsi="Times New Roman" w:cs="Times New Roman"/>
          <w:sz w:val="24"/>
          <w:szCs w:val="24"/>
        </w:rPr>
        <w:t xml:space="preserve">nd </w:t>
      </w:r>
      <w:proofErr w:type="spellStart"/>
      <w:r w:rsidR="00CA6308">
        <w:rPr>
          <w:rFonts w:ascii="Times New Roman" w:hAnsi="Times New Roman" w:cs="Times New Roman"/>
          <w:sz w:val="24"/>
          <w:szCs w:val="24"/>
        </w:rPr>
        <w:t>Gicumbi</w:t>
      </w:r>
      <w:proofErr w:type="spellEnd"/>
      <w:r w:rsidR="00CA6308">
        <w:rPr>
          <w:rFonts w:ascii="Times New Roman" w:hAnsi="Times New Roman" w:cs="Times New Roman"/>
          <w:sz w:val="24"/>
          <w:szCs w:val="24"/>
        </w:rPr>
        <w:t xml:space="preserve"> districts in Rwanda. </w:t>
      </w:r>
      <w:r w:rsidRPr="00CA6308">
        <w:rPr>
          <w:rFonts w:ascii="Times New Roman" w:hAnsi="Times New Roman" w:cs="Times New Roman"/>
          <w:sz w:val="24"/>
          <w:szCs w:val="24"/>
        </w:rPr>
        <w:t>Grounded</w:t>
      </w:r>
      <w:r w:rsidRPr="001830A1">
        <w:rPr>
          <w:rFonts w:ascii="Times New Roman" w:hAnsi="Times New Roman" w:cs="Times New Roman"/>
          <w:sz w:val="24"/>
          <w:szCs w:val="24"/>
        </w:rPr>
        <w:t xml:space="preserve"> </w:t>
      </w:r>
      <w:r w:rsidR="00584DF5">
        <w:rPr>
          <w:rFonts w:ascii="Times New Roman" w:hAnsi="Times New Roman" w:cs="Times New Roman"/>
          <w:sz w:val="24"/>
          <w:szCs w:val="24"/>
        </w:rPr>
        <w:t>o</w:t>
      </w:r>
      <w:r w:rsidRPr="001830A1">
        <w:rPr>
          <w:rFonts w:ascii="Times New Roman" w:hAnsi="Times New Roman" w:cs="Times New Roman"/>
          <w:sz w:val="24"/>
          <w:szCs w:val="24"/>
        </w:rPr>
        <w:t xml:space="preserve">n social justice theory, the research </w:t>
      </w:r>
      <w:r w:rsidR="00F04300">
        <w:rPr>
          <w:rFonts w:ascii="Times New Roman" w:hAnsi="Times New Roman" w:cs="Times New Roman"/>
          <w:sz w:val="24"/>
          <w:szCs w:val="24"/>
        </w:rPr>
        <w:t>adopted</w:t>
      </w:r>
      <w:r w:rsidR="00F04300" w:rsidRPr="001830A1">
        <w:rPr>
          <w:rFonts w:ascii="Times New Roman" w:hAnsi="Times New Roman" w:cs="Times New Roman"/>
          <w:sz w:val="24"/>
          <w:szCs w:val="24"/>
        </w:rPr>
        <w:t xml:space="preserve"> </w:t>
      </w:r>
      <w:r w:rsidR="00CA6308">
        <w:rPr>
          <w:rFonts w:ascii="Times New Roman" w:hAnsi="Times New Roman" w:cs="Times New Roman"/>
          <w:sz w:val="24"/>
          <w:szCs w:val="24"/>
        </w:rPr>
        <w:t xml:space="preserve">a </w:t>
      </w:r>
      <w:r w:rsidR="00F04300">
        <w:rPr>
          <w:rFonts w:ascii="Times New Roman" w:hAnsi="Times New Roman" w:cs="Times New Roman"/>
          <w:sz w:val="24"/>
          <w:szCs w:val="24"/>
        </w:rPr>
        <w:t>pragmatist</w:t>
      </w:r>
      <w:r w:rsidRPr="001830A1">
        <w:rPr>
          <w:rFonts w:ascii="Times New Roman" w:hAnsi="Times New Roman" w:cs="Times New Roman"/>
          <w:sz w:val="24"/>
          <w:szCs w:val="24"/>
        </w:rPr>
        <w:t xml:space="preserve"> paradigm</w:t>
      </w:r>
      <w:r w:rsidR="00107E31">
        <w:rPr>
          <w:rFonts w:ascii="Times New Roman" w:hAnsi="Times New Roman" w:cs="Times New Roman"/>
          <w:sz w:val="24"/>
          <w:szCs w:val="24"/>
        </w:rPr>
        <w:t>,</w:t>
      </w:r>
      <w:r w:rsidRPr="001830A1">
        <w:rPr>
          <w:rFonts w:ascii="Times New Roman" w:hAnsi="Times New Roman" w:cs="Times New Roman"/>
          <w:sz w:val="24"/>
          <w:szCs w:val="24"/>
        </w:rPr>
        <w:t xml:space="preserve"> </w:t>
      </w:r>
      <w:r w:rsidR="00462DD4">
        <w:rPr>
          <w:rFonts w:ascii="Times New Roman" w:hAnsi="Times New Roman" w:cs="Times New Roman"/>
          <w:sz w:val="24"/>
          <w:szCs w:val="24"/>
        </w:rPr>
        <w:t xml:space="preserve">a </w:t>
      </w:r>
      <w:r w:rsidRPr="001830A1">
        <w:rPr>
          <w:rFonts w:ascii="Times New Roman" w:hAnsi="Times New Roman" w:cs="Times New Roman"/>
          <w:sz w:val="24"/>
          <w:szCs w:val="24"/>
        </w:rPr>
        <w:t>quantitative research approach</w:t>
      </w:r>
      <w:r w:rsidR="00462DD4">
        <w:rPr>
          <w:rFonts w:ascii="Times New Roman" w:hAnsi="Times New Roman" w:cs="Times New Roman"/>
          <w:sz w:val="24"/>
          <w:szCs w:val="24"/>
        </w:rPr>
        <w:t xml:space="preserve">, </w:t>
      </w:r>
      <w:r w:rsidR="00107E31">
        <w:rPr>
          <w:rFonts w:ascii="Times New Roman" w:hAnsi="Times New Roman" w:cs="Times New Roman"/>
          <w:sz w:val="24"/>
          <w:szCs w:val="24"/>
        </w:rPr>
        <w:t>and</w:t>
      </w:r>
      <w:r w:rsidR="00462DD4">
        <w:rPr>
          <w:rFonts w:ascii="Times New Roman" w:hAnsi="Times New Roman" w:cs="Times New Roman"/>
          <w:sz w:val="24"/>
          <w:szCs w:val="24"/>
        </w:rPr>
        <w:t xml:space="preserve"> a descriptive </w:t>
      </w:r>
      <w:r w:rsidRPr="001830A1">
        <w:rPr>
          <w:rFonts w:ascii="Times New Roman" w:hAnsi="Times New Roman" w:cs="Times New Roman"/>
          <w:sz w:val="24"/>
          <w:szCs w:val="24"/>
        </w:rPr>
        <w:t xml:space="preserve">research design. </w:t>
      </w:r>
      <w:r w:rsidR="00CA6308" w:rsidRPr="008F17B6">
        <w:rPr>
          <w:rFonts w:ascii="Times New Roman" w:hAnsi="Times New Roman" w:cs="Times New Roman"/>
          <w:sz w:val="24"/>
          <w:szCs w:val="24"/>
        </w:rPr>
        <w:t>Data were collected through questionnaires from 260 respondents</w:t>
      </w:r>
      <w:r w:rsidR="00CA6308">
        <w:rPr>
          <w:rFonts w:ascii="Times New Roman" w:hAnsi="Times New Roman" w:cs="Times New Roman"/>
          <w:sz w:val="24"/>
          <w:szCs w:val="24"/>
        </w:rPr>
        <w:t xml:space="preserve">, who were selected as an estimated sample size </w:t>
      </w:r>
      <w:r w:rsidR="00CA6308" w:rsidRPr="008F17B6">
        <w:rPr>
          <w:rFonts w:ascii="Times New Roman" w:hAnsi="Times New Roman" w:cs="Times New Roman"/>
          <w:sz w:val="24"/>
          <w:szCs w:val="24"/>
        </w:rPr>
        <w:t xml:space="preserve">using </w:t>
      </w:r>
      <w:proofErr w:type="spellStart"/>
      <w:r w:rsidR="00CA6308" w:rsidRPr="008F17B6">
        <w:rPr>
          <w:rFonts w:ascii="Times New Roman" w:hAnsi="Times New Roman" w:cs="Times New Roman"/>
          <w:sz w:val="24"/>
          <w:szCs w:val="24"/>
        </w:rPr>
        <w:t>Slovin’</w:t>
      </w:r>
      <w:r w:rsidR="00CA6308">
        <w:rPr>
          <w:rFonts w:ascii="Times New Roman" w:hAnsi="Times New Roman" w:cs="Times New Roman"/>
          <w:sz w:val="24"/>
          <w:szCs w:val="24"/>
        </w:rPr>
        <w:t>s</w:t>
      </w:r>
      <w:proofErr w:type="spellEnd"/>
      <w:r w:rsidR="00CA6308">
        <w:rPr>
          <w:rFonts w:ascii="Times New Roman" w:hAnsi="Times New Roman" w:cs="Times New Roman"/>
          <w:sz w:val="24"/>
          <w:szCs w:val="24"/>
        </w:rPr>
        <w:t xml:space="preserve"> formula as a statistical tool</w:t>
      </w:r>
      <w:r w:rsidRPr="001830A1">
        <w:rPr>
          <w:rFonts w:ascii="Times New Roman" w:hAnsi="Times New Roman" w:cs="Times New Roman"/>
          <w:sz w:val="24"/>
          <w:szCs w:val="24"/>
        </w:rPr>
        <w:t xml:space="preserve">. </w:t>
      </w:r>
      <w:r w:rsidR="00444ABC" w:rsidRPr="00444ABC">
        <w:rPr>
          <w:rFonts w:ascii="Times New Roman" w:hAnsi="Times New Roman" w:cs="Times New Roman"/>
          <w:sz w:val="24"/>
          <w:szCs w:val="24"/>
        </w:rPr>
        <w:t xml:space="preserve">The collected data in this study </w:t>
      </w:r>
      <w:r w:rsidR="00444ABC">
        <w:rPr>
          <w:rFonts w:ascii="Times New Roman" w:hAnsi="Times New Roman" w:cs="Times New Roman"/>
          <w:sz w:val="24"/>
          <w:szCs w:val="24"/>
        </w:rPr>
        <w:t>were</w:t>
      </w:r>
      <w:r w:rsidR="00444ABC" w:rsidRPr="00444ABC">
        <w:rPr>
          <w:rFonts w:ascii="Times New Roman" w:hAnsi="Times New Roman" w:cs="Times New Roman"/>
          <w:sz w:val="24"/>
          <w:szCs w:val="24"/>
        </w:rPr>
        <w:t xml:space="preserve"> analyzed through descriptive statistics with the aid of the Statistical Package for Social Sciences (SPSS</w:t>
      </w:r>
      <w:r w:rsidR="0047146C">
        <w:rPr>
          <w:rFonts w:ascii="Times New Roman" w:hAnsi="Times New Roman" w:cs="Times New Roman"/>
          <w:sz w:val="24"/>
          <w:szCs w:val="24"/>
        </w:rPr>
        <w:t xml:space="preserve"> Version 21</w:t>
      </w:r>
      <w:r w:rsidR="00444ABC" w:rsidRPr="00444ABC">
        <w:rPr>
          <w:rFonts w:ascii="Times New Roman" w:hAnsi="Times New Roman" w:cs="Times New Roman"/>
          <w:sz w:val="24"/>
          <w:szCs w:val="24"/>
        </w:rPr>
        <w:t>).</w:t>
      </w:r>
      <w:r w:rsidR="00444ABC">
        <w:rPr>
          <w:rFonts w:ascii="Times New Roman" w:hAnsi="Times New Roman" w:cs="Times New Roman"/>
          <w:sz w:val="24"/>
          <w:szCs w:val="24"/>
        </w:rPr>
        <w:t xml:space="preserve"> </w:t>
      </w:r>
      <w:r w:rsidRPr="001830A1">
        <w:rPr>
          <w:rFonts w:ascii="Times New Roman" w:hAnsi="Times New Roman" w:cs="Times New Roman"/>
          <w:sz w:val="24"/>
          <w:szCs w:val="24"/>
        </w:rPr>
        <w:t>The findings reveal</w:t>
      </w:r>
      <w:r w:rsidR="00107E31">
        <w:rPr>
          <w:rFonts w:ascii="Times New Roman" w:hAnsi="Times New Roman" w:cs="Times New Roman"/>
          <w:sz w:val="24"/>
          <w:szCs w:val="24"/>
        </w:rPr>
        <w:t>ed</w:t>
      </w:r>
      <w:r w:rsidR="00462DD4">
        <w:rPr>
          <w:rFonts w:ascii="Times New Roman" w:hAnsi="Times New Roman" w:cs="Times New Roman"/>
          <w:sz w:val="24"/>
          <w:szCs w:val="24"/>
        </w:rPr>
        <w:t xml:space="preserve"> a </w:t>
      </w:r>
      <w:r w:rsidRPr="001830A1">
        <w:rPr>
          <w:rFonts w:ascii="Times New Roman" w:hAnsi="Times New Roman" w:cs="Times New Roman"/>
          <w:sz w:val="24"/>
          <w:szCs w:val="24"/>
        </w:rPr>
        <w:t xml:space="preserve">positive correlation between gender equity and girls' completion rates, accounting for 22.2% of the variation in completion (R² = 0.222). The study concludes that there </w:t>
      </w:r>
      <w:r w:rsidR="00107E31">
        <w:rPr>
          <w:rFonts w:ascii="Times New Roman" w:hAnsi="Times New Roman" w:cs="Times New Roman"/>
          <w:sz w:val="24"/>
          <w:szCs w:val="24"/>
        </w:rPr>
        <w:t>we</w:t>
      </w:r>
      <w:r w:rsidRPr="001830A1">
        <w:rPr>
          <w:rFonts w:ascii="Times New Roman" w:hAnsi="Times New Roman" w:cs="Times New Roman"/>
          <w:sz w:val="24"/>
          <w:szCs w:val="24"/>
        </w:rPr>
        <w:t xml:space="preserve">re positive perceptions of gender equity in public secondary schools, highlighting supportive environments for </w:t>
      </w:r>
      <w:r w:rsidR="00462DD4">
        <w:rPr>
          <w:rFonts w:ascii="Times New Roman" w:hAnsi="Times New Roman" w:cs="Times New Roman"/>
          <w:sz w:val="24"/>
          <w:szCs w:val="24"/>
        </w:rPr>
        <w:t xml:space="preserve">girls' </w:t>
      </w:r>
      <w:r w:rsidR="00107E31">
        <w:rPr>
          <w:rFonts w:ascii="Times New Roman" w:hAnsi="Times New Roman" w:cs="Times New Roman"/>
          <w:sz w:val="24"/>
          <w:szCs w:val="24"/>
        </w:rPr>
        <w:t xml:space="preserve">education </w:t>
      </w:r>
      <w:r w:rsidRPr="001830A1">
        <w:rPr>
          <w:rFonts w:ascii="Times New Roman" w:hAnsi="Times New Roman" w:cs="Times New Roman"/>
          <w:sz w:val="24"/>
          <w:szCs w:val="24"/>
        </w:rPr>
        <w:t xml:space="preserve">in Rwanda. The study recommends enforcing robust anti-harassment policies, expanding affordable education for low-income female students, </w:t>
      </w:r>
      <w:r w:rsidR="00462DD4">
        <w:rPr>
          <w:rFonts w:ascii="Times New Roman" w:hAnsi="Times New Roman" w:cs="Times New Roman"/>
          <w:sz w:val="24"/>
          <w:szCs w:val="24"/>
        </w:rPr>
        <w:t xml:space="preserve">and </w:t>
      </w:r>
      <w:r w:rsidRPr="001830A1">
        <w:rPr>
          <w:rFonts w:ascii="Times New Roman" w:hAnsi="Times New Roman" w:cs="Times New Roman"/>
          <w:sz w:val="24"/>
          <w:szCs w:val="24"/>
        </w:rPr>
        <w:t xml:space="preserve">increasing female </w:t>
      </w:r>
      <w:r w:rsidR="00462DD4">
        <w:rPr>
          <w:rFonts w:ascii="Times New Roman" w:hAnsi="Times New Roman" w:cs="Times New Roman"/>
          <w:sz w:val="24"/>
          <w:szCs w:val="24"/>
        </w:rPr>
        <w:t xml:space="preserve">teachers' </w:t>
      </w:r>
      <w:r w:rsidRPr="001830A1">
        <w:rPr>
          <w:rFonts w:ascii="Times New Roman" w:hAnsi="Times New Roman" w:cs="Times New Roman"/>
          <w:sz w:val="24"/>
          <w:szCs w:val="24"/>
        </w:rPr>
        <w:t>representation to promote gender equity</w:t>
      </w:r>
      <w:r w:rsidR="00107E31">
        <w:rPr>
          <w:rFonts w:ascii="Times New Roman" w:hAnsi="Times New Roman" w:cs="Times New Roman"/>
          <w:sz w:val="24"/>
          <w:szCs w:val="24"/>
        </w:rPr>
        <w:t xml:space="preserve"> in education.</w:t>
      </w:r>
    </w:p>
    <w:p w14:paraId="3182AE80" w14:textId="77777777" w:rsidR="00A915C2" w:rsidRPr="00FF6D50" w:rsidRDefault="00732EF1" w:rsidP="00E83841">
      <w:pPr>
        <w:spacing w:before="100" w:beforeAutospacing="1" w:after="100" w:afterAutospacing="1" w:line="360" w:lineRule="auto"/>
        <w:rPr>
          <w:rFonts w:ascii="Times New Roman" w:hAnsi="Times New Roman" w:cs="Times New Roman"/>
          <w:sz w:val="24"/>
          <w:szCs w:val="24"/>
          <w:u w:val="single"/>
        </w:rPr>
      </w:pPr>
      <w:r w:rsidRPr="00FF6D50">
        <w:rPr>
          <w:rFonts w:ascii="Times New Roman" w:hAnsi="Times New Roman" w:cs="Times New Roman"/>
          <w:b/>
          <w:i/>
          <w:sz w:val="24"/>
          <w:szCs w:val="24"/>
        </w:rPr>
        <w:t>Keywords</w:t>
      </w:r>
      <w:r w:rsidRPr="00FF6D50">
        <w:rPr>
          <w:rFonts w:ascii="Times New Roman" w:hAnsi="Times New Roman" w:cs="Times New Roman"/>
          <w:i/>
          <w:sz w:val="24"/>
          <w:szCs w:val="24"/>
        </w:rPr>
        <w:t>:</w:t>
      </w:r>
      <w:r w:rsidRPr="00FF6D50">
        <w:rPr>
          <w:rFonts w:ascii="Times New Roman" w:hAnsi="Times New Roman" w:cs="Times New Roman"/>
          <w:sz w:val="24"/>
          <w:szCs w:val="24"/>
        </w:rPr>
        <w:t xml:space="preserve"> Gender Equity, </w:t>
      </w:r>
      <w:r w:rsidR="000922A9">
        <w:rPr>
          <w:rFonts w:ascii="Times New Roman" w:hAnsi="Times New Roman" w:cs="Times New Roman"/>
          <w:sz w:val="24"/>
          <w:szCs w:val="24"/>
        </w:rPr>
        <w:t>Girls'</w:t>
      </w:r>
      <w:r w:rsidRPr="00FF6D50">
        <w:rPr>
          <w:rFonts w:ascii="Times New Roman" w:hAnsi="Times New Roman" w:cs="Times New Roman"/>
          <w:sz w:val="24"/>
          <w:szCs w:val="24"/>
        </w:rPr>
        <w:t xml:space="preserve"> Completion Rate, Public Secondary Schools</w:t>
      </w:r>
      <w:r w:rsidR="00107E31">
        <w:rPr>
          <w:rFonts w:ascii="Times New Roman" w:hAnsi="Times New Roman" w:cs="Times New Roman"/>
          <w:sz w:val="24"/>
          <w:szCs w:val="24"/>
        </w:rPr>
        <w:t>.</w:t>
      </w:r>
    </w:p>
    <w:p w14:paraId="7D6D289B" w14:textId="77777777" w:rsidR="00C66C90" w:rsidRDefault="00C66C90" w:rsidP="00E83841">
      <w:pPr>
        <w:spacing w:line="360" w:lineRule="auto"/>
        <w:rPr>
          <w:rFonts w:ascii="Times New Roman" w:hAnsi="Times New Roman" w:cs="Times New Roman"/>
          <w:b/>
          <w:sz w:val="24"/>
          <w:szCs w:val="24"/>
        </w:rPr>
        <w:sectPr w:rsidR="00C66C9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pPr>
    </w:p>
    <w:p w14:paraId="5FBBC6C8" w14:textId="77777777" w:rsidR="00344769" w:rsidRPr="00F04300" w:rsidRDefault="00710293" w:rsidP="00E83841">
      <w:pPr>
        <w:spacing w:line="360" w:lineRule="auto"/>
        <w:rPr>
          <w:rFonts w:ascii="Times New Roman" w:hAnsi="Times New Roman" w:cs="Times New Roman"/>
          <w:b/>
          <w:sz w:val="24"/>
          <w:szCs w:val="24"/>
        </w:rPr>
      </w:pPr>
      <w:r w:rsidRPr="00F04300">
        <w:rPr>
          <w:rFonts w:ascii="Times New Roman" w:hAnsi="Times New Roman" w:cs="Times New Roman"/>
          <w:b/>
          <w:sz w:val="24"/>
          <w:szCs w:val="24"/>
        </w:rPr>
        <w:t>1. INTRODUCTION</w:t>
      </w:r>
      <w:bookmarkStart w:id="1" w:name="_Toc185738551"/>
    </w:p>
    <w:p w14:paraId="41C5C5E4" w14:textId="77777777" w:rsidR="00344769" w:rsidRPr="00F04300" w:rsidRDefault="00344769" w:rsidP="00E83841">
      <w:pPr>
        <w:spacing w:line="360" w:lineRule="auto"/>
        <w:jc w:val="both"/>
        <w:rPr>
          <w:rFonts w:ascii="Times New Roman" w:hAnsi="Times New Roman" w:cs="Times New Roman"/>
          <w:sz w:val="24"/>
          <w:szCs w:val="24"/>
        </w:rPr>
      </w:pPr>
      <w:r w:rsidRPr="00F04300">
        <w:rPr>
          <w:rFonts w:ascii="Times New Roman" w:hAnsi="Times New Roman" w:cs="Times New Roman"/>
          <w:sz w:val="24"/>
          <w:szCs w:val="24"/>
        </w:rPr>
        <w:t xml:space="preserve">Gender equity in education ensures equal treatment for all individuals, regardless of gender, </w:t>
      </w:r>
      <w:r w:rsidR="00CA41C2" w:rsidRPr="00F04300">
        <w:rPr>
          <w:rFonts w:ascii="Times New Roman" w:hAnsi="Times New Roman" w:cs="Times New Roman"/>
          <w:sz w:val="24"/>
          <w:szCs w:val="24"/>
        </w:rPr>
        <w:t>to</w:t>
      </w:r>
      <w:r w:rsidRPr="00F04300">
        <w:rPr>
          <w:rFonts w:ascii="Times New Roman" w:hAnsi="Times New Roman" w:cs="Times New Roman"/>
          <w:sz w:val="24"/>
          <w:szCs w:val="24"/>
        </w:rPr>
        <w:t xml:space="preserve"> access, opportunities, and outcomes. It aims to create an environment where girls, boys, women, and men have equal opportunities to participate and benefit from educational resources, programs, and experiences (</w:t>
      </w:r>
      <w:proofErr w:type="spellStart"/>
      <w:r w:rsidRPr="00F04300">
        <w:rPr>
          <w:rFonts w:ascii="Times New Roman" w:hAnsi="Times New Roman" w:cs="Times New Roman"/>
          <w:sz w:val="24"/>
          <w:szCs w:val="24"/>
        </w:rPr>
        <w:t>Zabaniotou</w:t>
      </w:r>
      <w:proofErr w:type="spellEnd"/>
      <w:r w:rsidRPr="00F04300">
        <w:rPr>
          <w:rFonts w:ascii="Times New Roman" w:hAnsi="Times New Roman" w:cs="Times New Roman"/>
          <w:sz w:val="24"/>
          <w:szCs w:val="24"/>
        </w:rPr>
        <w:t>,</w:t>
      </w:r>
      <w:r w:rsidR="0023750F" w:rsidRPr="00F04300">
        <w:rPr>
          <w:rFonts w:ascii="Times New Roman" w:hAnsi="Times New Roman" w:cs="Times New Roman"/>
          <w:sz w:val="24"/>
          <w:szCs w:val="24"/>
        </w:rPr>
        <w:t xml:space="preserve"> </w:t>
      </w:r>
      <w:r w:rsidRPr="00F04300">
        <w:rPr>
          <w:rFonts w:ascii="Times New Roman" w:hAnsi="Times New Roman" w:cs="Times New Roman"/>
          <w:sz w:val="24"/>
          <w:szCs w:val="24"/>
        </w:rPr>
        <w:t xml:space="preserve">2020). In India, female education is strongly linked to improved health and nutrition. </w:t>
      </w:r>
      <w:proofErr w:type="spellStart"/>
      <w:r w:rsidR="00841AC1" w:rsidRPr="00F04300">
        <w:rPr>
          <w:rFonts w:ascii="Times New Roman" w:hAnsi="Times New Roman" w:cs="Times New Roman"/>
          <w:color w:val="222222"/>
          <w:sz w:val="24"/>
          <w:szCs w:val="24"/>
          <w:shd w:val="clear" w:color="auto" w:fill="FFFFFF"/>
        </w:rPr>
        <w:t>Kordom</w:t>
      </w:r>
      <w:proofErr w:type="spellEnd"/>
      <w:r w:rsidR="00841AC1" w:rsidRPr="00F04300">
        <w:rPr>
          <w:rFonts w:ascii="Times New Roman" w:hAnsi="Times New Roman" w:cs="Times New Roman"/>
          <w:color w:val="222222"/>
          <w:sz w:val="24"/>
          <w:szCs w:val="24"/>
          <w:shd w:val="clear" w:color="auto" w:fill="FFFFFF"/>
        </w:rPr>
        <w:t xml:space="preserve"> (2024) </w:t>
      </w:r>
      <w:r w:rsidRPr="00F04300">
        <w:rPr>
          <w:rFonts w:ascii="Times New Roman" w:hAnsi="Times New Roman" w:cs="Times New Roman"/>
          <w:sz w:val="24"/>
          <w:szCs w:val="24"/>
        </w:rPr>
        <w:t xml:space="preserve">found that </w:t>
      </w:r>
      <w:r w:rsidR="00C936AD" w:rsidRPr="00F04300">
        <w:rPr>
          <w:rFonts w:ascii="Times New Roman" w:hAnsi="Times New Roman" w:cs="Times New Roman"/>
          <w:sz w:val="24"/>
          <w:szCs w:val="24"/>
        </w:rPr>
        <w:t>higher-education women</w:t>
      </w:r>
      <w:r w:rsidRPr="00F04300">
        <w:rPr>
          <w:rFonts w:ascii="Times New Roman" w:hAnsi="Times New Roman" w:cs="Times New Roman"/>
          <w:sz w:val="24"/>
          <w:szCs w:val="24"/>
        </w:rPr>
        <w:t xml:space="preserve"> are less prone to malnutrition-related </w:t>
      </w:r>
      <w:r w:rsidRPr="00F04300">
        <w:rPr>
          <w:rFonts w:ascii="Times New Roman" w:hAnsi="Times New Roman" w:cs="Times New Roman"/>
          <w:sz w:val="24"/>
          <w:szCs w:val="24"/>
        </w:rPr>
        <w:t>diseases. Illiterate women have lower height and B</w:t>
      </w:r>
      <w:r w:rsidR="00462DD4" w:rsidRPr="00F04300">
        <w:rPr>
          <w:rFonts w:ascii="Times New Roman" w:hAnsi="Times New Roman" w:cs="Times New Roman"/>
          <w:sz w:val="24"/>
          <w:szCs w:val="24"/>
        </w:rPr>
        <w:t>ody Mass Index</w:t>
      </w:r>
      <w:r w:rsidRPr="00F04300">
        <w:rPr>
          <w:rFonts w:ascii="Times New Roman" w:hAnsi="Times New Roman" w:cs="Times New Roman"/>
          <w:sz w:val="24"/>
          <w:szCs w:val="24"/>
        </w:rPr>
        <w:t xml:space="preserve">, with a higher risk of nutrient deficiencies. </w:t>
      </w:r>
      <w:proofErr w:type="spellStart"/>
      <w:r w:rsidRPr="00F04300">
        <w:rPr>
          <w:rFonts w:ascii="Times New Roman" w:hAnsi="Times New Roman" w:cs="Times New Roman"/>
          <w:sz w:val="24"/>
          <w:szCs w:val="24"/>
        </w:rPr>
        <w:t>Anaemia</w:t>
      </w:r>
      <w:proofErr w:type="spellEnd"/>
      <w:r w:rsidRPr="00F04300">
        <w:rPr>
          <w:rFonts w:ascii="Times New Roman" w:hAnsi="Times New Roman" w:cs="Times New Roman"/>
          <w:sz w:val="24"/>
          <w:szCs w:val="24"/>
        </w:rPr>
        <w:t xml:space="preserve"> affects 56% of illiterate women, but only 40% of those who completed at least high school</w:t>
      </w:r>
      <w:r w:rsidR="00841AC1" w:rsidRPr="00F04300">
        <w:rPr>
          <w:rFonts w:ascii="Times New Roman" w:hAnsi="Times New Roman" w:cs="Times New Roman"/>
          <w:color w:val="222222"/>
          <w:sz w:val="24"/>
          <w:szCs w:val="24"/>
          <w:shd w:val="clear" w:color="auto" w:fill="FFFFFF"/>
        </w:rPr>
        <w:t xml:space="preserve"> (Haidar,</w:t>
      </w:r>
      <w:r w:rsidR="0023750F" w:rsidRPr="00F04300">
        <w:rPr>
          <w:rFonts w:ascii="Times New Roman" w:hAnsi="Times New Roman" w:cs="Times New Roman"/>
          <w:color w:val="222222"/>
          <w:sz w:val="24"/>
          <w:szCs w:val="24"/>
          <w:shd w:val="clear" w:color="auto" w:fill="FFFFFF"/>
        </w:rPr>
        <w:t xml:space="preserve"> </w:t>
      </w:r>
      <w:r w:rsidR="00841AC1" w:rsidRPr="00F04300">
        <w:rPr>
          <w:rFonts w:ascii="Times New Roman" w:hAnsi="Times New Roman" w:cs="Times New Roman"/>
          <w:color w:val="222222"/>
          <w:sz w:val="24"/>
          <w:szCs w:val="24"/>
          <w:shd w:val="clear" w:color="auto" w:fill="FFFFFF"/>
        </w:rPr>
        <w:t>2010).</w:t>
      </w:r>
      <w:r w:rsidR="00841AC1" w:rsidRPr="00F04300">
        <w:rPr>
          <w:rFonts w:ascii="Times New Roman" w:hAnsi="Times New Roman" w:cs="Times New Roman"/>
          <w:sz w:val="24"/>
          <w:szCs w:val="24"/>
        </w:rPr>
        <w:t xml:space="preserve"> </w:t>
      </w:r>
      <w:r w:rsidRPr="00F04300">
        <w:rPr>
          <w:rFonts w:ascii="Times New Roman" w:hAnsi="Times New Roman" w:cs="Times New Roman"/>
          <w:sz w:val="24"/>
          <w:szCs w:val="24"/>
        </w:rPr>
        <w:t xml:space="preserve">The importance of gender equity in education cannot be overstated, as it </w:t>
      </w:r>
      <w:r w:rsidR="00C936AD" w:rsidRPr="00F04300">
        <w:rPr>
          <w:rFonts w:ascii="Times New Roman" w:hAnsi="Times New Roman" w:cs="Times New Roman"/>
          <w:sz w:val="24"/>
          <w:szCs w:val="24"/>
        </w:rPr>
        <w:t>catalyzes</w:t>
      </w:r>
      <w:r w:rsidRPr="00F04300">
        <w:rPr>
          <w:rFonts w:ascii="Times New Roman" w:hAnsi="Times New Roman" w:cs="Times New Roman"/>
          <w:sz w:val="24"/>
          <w:szCs w:val="24"/>
        </w:rPr>
        <w:t xml:space="preserve"> social empowerment. When individuals, regardless of their gender, have equal access to education and opportunities to learn and succeed, it not only </w:t>
      </w:r>
      <w:r w:rsidR="00462DD4" w:rsidRPr="00F04300">
        <w:rPr>
          <w:rFonts w:ascii="Times New Roman" w:hAnsi="Times New Roman" w:cs="Times New Roman"/>
          <w:sz w:val="24"/>
          <w:szCs w:val="24"/>
        </w:rPr>
        <w:t>welfares t</w:t>
      </w:r>
      <w:r w:rsidRPr="00F04300">
        <w:rPr>
          <w:rFonts w:ascii="Times New Roman" w:hAnsi="Times New Roman" w:cs="Times New Roman"/>
          <w:sz w:val="24"/>
          <w:szCs w:val="24"/>
        </w:rPr>
        <w:t xml:space="preserve">hem personally but also contributes to the </w:t>
      </w:r>
      <w:r w:rsidRPr="00F04300">
        <w:rPr>
          <w:rFonts w:ascii="Times New Roman" w:hAnsi="Times New Roman" w:cs="Times New Roman"/>
          <w:sz w:val="24"/>
          <w:szCs w:val="24"/>
        </w:rPr>
        <w:lastRenderedPageBreak/>
        <w:t xml:space="preserve">overall development and advancement of society (Cornwall &amp; Rivas, 2015). </w:t>
      </w:r>
    </w:p>
    <w:p w14:paraId="5B45907F" w14:textId="2CED6CA4" w:rsidR="00344769" w:rsidRPr="00F04300" w:rsidRDefault="00344769" w:rsidP="00E83841">
      <w:pPr>
        <w:spacing w:line="360" w:lineRule="auto"/>
        <w:jc w:val="both"/>
        <w:rPr>
          <w:rFonts w:ascii="Times New Roman" w:hAnsi="Times New Roman" w:cs="Times New Roman"/>
          <w:sz w:val="24"/>
          <w:szCs w:val="24"/>
        </w:rPr>
      </w:pPr>
      <w:r w:rsidRPr="00F04300">
        <w:rPr>
          <w:rFonts w:ascii="Times New Roman" w:hAnsi="Times New Roman" w:cs="Times New Roman"/>
          <w:sz w:val="24"/>
          <w:szCs w:val="24"/>
        </w:rPr>
        <w:t xml:space="preserve">In </w:t>
      </w:r>
      <w:r w:rsidR="00C8012A" w:rsidRPr="00F04300">
        <w:rPr>
          <w:rFonts w:ascii="Times New Roman" w:hAnsi="Times New Roman" w:cs="Times New Roman"/>
          <w:sz w:val="24"/>
          <w:szCs w:val="24"/>
        </w:rPr>
        <w:t xml:space="preserve">the </w:t>
      </w:r>
      <w:r w:rsidRPr="00F04300">
        <w:rPr>
          <w:rFonts w:ascii="Times New Roman" w:hAnsi="Times New Roman" w:cs="Times New Roman"/>
          <w:sz w:val="24"/>
          <w:szCs w:val="24"/>
        </w:rPr>
        <w:t>African context, studies have shown that educating girls and women leads to higher economic productivity, improved health outcomes, and lower ra</w:t>
      </w:r>
      <w:r w:rsidR="00C936AD" w:rsidRPr="00F04300">
        <w:rPr>
          <w:rFonts w:ascii="Times New Roman" w:hAnsi="Times New Roman" w:cs="Times New Roman"/>
          <w:sz w:val="24"/>
          <w:szCs w:val="24"/>
        </w:rPr>
        <w:t xml:space="preserve">tes of poverty </w:t>
      </w:r>
      <w:r w:rsidR="00C8012A" w:rsidRPr="00F04300">
        <w:rPr>
          <w:rFonts w:ascii="Times New Roman" w:hAnsi="Times New Roman" w:cs="Times New Roman"/>
          <w:sz w:val="24"/>
          <w:szCs w:val="24"/>
        </w:rPr>
        <w:t>(</w:t>
      </w:r>
      <w:r w:rsidR="00C8012A" w:rsidRPr="00F04300">
        <w:rPr>
          <w:rFonts w:ascii="Times New Roman" w:hAnsi="Times New Roman" w:cs="Times New Roman"/>
          <w:color w:val="222222"/>
          <w:sz w:val="24"/>
          <w:szCs w:val="24"/>
          <w:shd w:val="clear" w:color="auto" w:fill="FFFFFF"/>
        </w:rPr>
        <w:t>Sperling &amp; Winthrop, 2015). </w:t>
      </w:r>
      <w:r w:rsidRPr="00F04300">
        <w:rPr>
          <w:rFonts w:ascii="Times New Roman" w:hAnsi="Times New Roman" w:cs="Times New Roman"/>
          <w:sz w:val="24"/>
          <w:szCs w:val="24"/>
        </w:rPr>
        <w:t>When girls are educated, they are more likely to enter the workforce, earn higher incomes, and invest in their families' well-being, breaking the cycle of poverty for future generations. Furthermore, gender equity in education promotes social cohesion and democratic value</w:t>
      </w:r>
      <w:r w:rsidR="00C8012A" w:rsidRPr="00F04300">
        <w:rPr>
          <w:rFonts w:ascii="Times New Roman" w:hAnsi="Times New Roman" w:cs="Times New Roman"/>
          <w:sz w:val="24"/>
          <w:szCs w:val="24"/>
        </w:rPr>
        <w:t>s. B</w:t>
      </w:r>
      <w:r w:rsidRPr="00F04300">
        <w:rPr>
          <w:rFonts w:ascii="Times New Roman" w:hAnsi="Times New Roman" w:cs="Times New Roman"/>
          <w:sz w:val="24"/>
          <w:szCs w:val="24"/>
        </w:rPr>
        <w:t>y providing equal opportunities for learning and participation, it fosters a sense of belonging and mutual respect among individuals of diffe</w:t>
      </w:r>
      <w:r w:rsidR="00C936AD" w:rsidRPr="00F04300">
        <w:rPr>
          <w:rFonts w:ascii="Times New Roman" w:hAnsi="Times New Roman" w:cs="Times New Roman"/>
          <w:sz w:val="24"/>
          <w:szCs w:val="24"/>
        </w:rPr>
        <w:t>rent genders</w:t>
      </w:r>
      <w:r w:rsidR="00C8012A" w:rsidRPr="00F04300">
        <w:rPr>
          <w:rFonts w:ascii="Times New Roman" w:hAnsi="Times New Roman" w:cs="Times New Roman"/>
          <w:color w:val="222222"/>
          <w:sz w:val="24"/>
          <w:szCs w:val="24"/>
          <w:shd w:val="clear" w:color="auto" w:fill="FFFFFF"/>
        </w:rPr>
        <w:t xml:space="preserve"> </w:t>
      </w:r>
      <w:r w:rsidR="00A81BF9" w:rsidRPr="00F04300">
        <w:rPr>
          <w:rFonts w:ascii="Times New Roman" w:hAnsi="Times New Roman" w:cs="Times New Roman"/>
          <w:color w:val="222222"/>
          <w:sz w:val="24"/>
          <w:szCs w:val="24"/>
          <w:shd w:val="clear" w:color="auto" w:fill="FFFFFF"/>
        </w:rPr>
        <w:t>(</w:t>
      </w:r>
      <w:r w:rsidR="00C8012A" w:rsidRPr="00F04300">
        <w:rPr>
          <w:rFonts w:ascii="Times New Roman" w:hAnsi="Times New Roman" w:cs="Times New Roman"/>
          <w:color w:val="222222"/>
          <w:sz w:val="24"/>
          <w:szCs w:val="24"/>
          <w:shd w:val="clear" w:color="auto" w:fill="FFFFFF"/>
        </w:rPr>
        <w:t xml:space="preserve">Lalas </w:t>
      </w:r>
      <w:r w:rsidR="00C8012A" w:rsidRPr="00F04300">
        <w:rPr>
          <w:rFonts w:ascii="Times New Roman" w:hAnsi="Times New Roman" w:cs="Times New Roman"/>
          <w:i/>
          <w:color w:val="222222"/>
          <w:sz w:val="24"/>
          <w:szCs w:val="24"/>
          <w:shd w:val="clear" w:color="auto" w:fill="FFFFFF"/>
        </w:rPr>
        <w:t>et al.</w:t>
      </w:r>
      <w:r w:rsidR="00462DD4" w:rsidRPr="00F04300">
        <w:rPr>
          <w:rFonts w:ascii="Times New Roman" w:hAnsi="Times New Roman" w:cs="Times New Roman"/>
          <w:color w:val="222222"/>
          <w:sz w:val="24"/>
          <w:szCs w:val="24"/>
          <w:shd w:val="clear" w:color="auto" w:fill="FFFFFF"/>
        </w:rPr>
        <w:t xml:space="preserve">, </w:t>
      </w:r>
      <w:r w:rsidR="00C8012A" w:rsidRPr="00F04300">
        <w:rPr>
          <w:rFonts w:ascii="Times New Roman" w:hAnsi="Times New Roman" w:cs="Times New Roman"/>
          <w:color w:val="222222"/>
          <w:sz w:val="24"/>
          <w:szCs w:val="24"/>
          <w:shd w:val="clear" w:color="auto" w:fill="FFFFFF"/>
        </w:rPr>
        <w:t>2019)</w:t>
      </w:r>
      <w:r w:rsidRPr="00F04300">
        <w:rPr>
          <w:rFonts w:ascii="Times New Roman" w:hAnsi="Times New Roman" w:cs="Times New Roman"/>
          <w:sz w:val="24"/>
          <w:szCs w:val="24"/>
        </w:rPr>
        <w:t>. It also challenges traditional gender roles and stereotypes, contributing to greater gender equality in all spheres of life</w:t>
      </w:r>
      <w:r w:rsidR="00CF58D3">
        <w:rPr>
          <w:rFonts w:ascii="Times New Roman" w:hAnsi="Times New Roman" w:cs="Times New Roman"/>
          <w:sz w:val="24"/>
          <w:szCs w:val="24"/>
        </w:rPr>
        <w:t xml:space="preserve"> as supported by </w:t>
      </w:r>
      <w:proofErr w:type="spellStart"/>
      <w:r w:rsidR="00CF58D3" w:rsidRPr="00CF58D3">
        <w:rPr>
          <w:rFonts w:ascii="Times New Roman" w:hAnsi="Times New Roman" w:cs="Times New Roman"/>
          <w:sz w:val="24"/>
          <w:szCs w:val="24"/>
          <w:lang w:val="en-GB"/>
        </w:rPr>
        <w:t>Ngulube</w:t>
      </w:r>
      <w:proofErr w:type="spellEnd"/>
      <w:r w:rsidR="00CF58D3" w:rsidRPr="00CF58D3">
        <w:rPr>
          <w:rFonts w:ascii="Times New Roman" w:hAnsi="Times New Roman" w:cs="Times New Roman"/>
          <w:sz w:val="24"/>
          <w:szCs w:val="24"/>
          <w:lang w:val="en-GB"/>
        </w:rPr>
        <w:t xml:space="preserve"> et al., (2024).</w:t>
      </w:r>
      <w:r w:rsidRPr="00F04300">
        <w:rPr>
          <w:rFonts w:ascii="Times New Roman" w:hAnsi="Times New Roman" w:cs="Times New Roman"/>
          <w:sz w:val="24"/>
          <w:szCs w:val="24"/>
        </w:rPr>
        <w:t xml:space="preserve"> Despite the recognized importance of gender equity in education, numerous challenges hinder its realization. One of the primary challenges is persistent gender-based discrimination and stereotypes. Cultural norms and societal expectations often dictate traditional roles for boys and girls, limiting their educational opportunities (Dost,</w:t>
      </w:r>
      <w:r w:rsidR="0023750F" w:rsidRPr="00F04300">
        <w:rPr>
          <w:rFonts w:ascii="Times New Roman" w:hAnsi="Times New Roman" w:cs="Times New Roman"/>
          <w:sz w:val="24"/>
          <w:szCs w:val="24"/>
        </w:rPr>
        <w:t xml:space="preserve"> </w:t>
      </w:r>
      <w:r w:rsidRPr="00F04300">
        <w:rPr>
          <w:rFonts w:ascii="Times New Roman" w:hAnsi="Times New Roman" w:cs="Times New Roman"/>
          <w:sz w:val="24"/>
          <w:szCs w:val="24"/>
        </w:rPr>
        <w:t>2024).</w:t>
      </w:r>
    </w:p>
    <w:p w14:paraId="16C53BB8" w14:textId="3E2594A0" w:rsidR="00344769" w:rsidRPr="00F04300" w:rsidRDefault="00CA41C2" w:rsidP="00E83841">
      <w:pPr>
        <w:spacing w:line="360" w:lineRule="auto"/>
        <w:jc w:val="both"/>
        <w:rPr>
          <w:rFonts w:ascii="Times New Roman" w:hAnsi="Times New Roman" w:cs="Times New Roman"/>
          <w:sz w:val="24"/>
          <w:szCs w:val="24"/>
        </w:rPr>
      </w:pPr>
      <w:r w:rsidRPr="00F04300">
        <w:rPr>
          <w:rFonts w:ascii="Times New Roman" w:hAnsi="Times New Roman" w:cs="Times New Roman"/>
          <w:color w:val="222222"/>
          <w:sz w:val="24"/>
          <w:szCs w:val="24"/>
          <w:shd w:val="clear" w:color="auto" w:fill="FFFFFF"/>
        </w:rPr>
        <w:t>Bizimana's</w:t>
      </w:r>
      <w:r w:rsidR="003C253F" w:rsidRPr="00F04300">
        <w:rPr>
          <w:rFonts w:ascii="Times New Roman" w:hAnsi="Times New Roman" w:cs="Times New Roman"/>
          <w:color w:val="222222"/>
          <w:sz w:val="24"/>
          <w:szCs w:val="24"/>
          <w:shd w:val="clear" w:color="auto" w:fill="FFFFFF"/>
        </w:rPr>
        <w:t xml:space="preserve"> (2018)</w:t>
      </w:r>
      <w:r w:rsidR="00692A05" w:rsidRPr="00F04300">
        <w:rPr>
          <w:rFonts w:ascii="Times New Roman" w:hAnsi="Times New Roman" w:cs="Times New Roman"/>
          <w:color w:val="222222"/>
          <w:sz w:val="24"/>
          <w:szCs w:val="24"/>
          <w:shd w:val="clear" w:color="auto" w:fill="FFFFFF"/>
        </w:rPr>
        <w:t xml:space="preserve"> </w:t>
      </w:r>
      <w:r w:rsidR="00344769" w:rsidRPr="00F04300">
        <w:rPr>
          <w:rFonts w:ascii="Times New Roman" w:hAnsi="Times New Roman" w:cs="Times New Roman"/>
          <w:sz w:val="24"/>
          <w:szCs w:val="24"/>
        </w:rPr>
        <w:t xml:space="preserve">study in Rwanda </w:t>
      </w:r>
      <w:r w:rsidR="000861A1" w:rsidRPr="00F04300">
        <w:rPr>
          <w:rFonts w:ascii="Times New Roman" w:hAnsi="Times New Roman" w:cs="Times New Roman"/>
          <w:sz w:val="24"/>
          <w:szCs w:val="24"/>
        </w:rPr>
        <w:t>analyzed factors affecting girls’ access to education in secondary schools</w:t>
      </w:r>
      <w:r w:rsidR="00344769" w:rsidRPr="00F04300">
        <w:rPr>
          <w:rFonts w:ascii="Times New Roman" w:hAnsi="Times New Roman" w:cs="Times New Roman"/>
          <w:sz w:val="24"/>
          <w:szCs w:val="24"/>
        </w:rPr>
        <w:t xml:space="preserve">, revealing significant disparities. </w:t>
      </w:r>
      <w:r w:rsidR="003C253F" w:rsidRPr="00F04300">
        <w:rPr>
          <w:rFonts w:ascii="Times New Roman" w:hAnsi="Times New Roman" w:cs="Times New Roman"/>
          <w:sz w:val="24"/>
          <w:szCs w:val="24"/>
        </w:rPr>
        <w:t>The study found that girls face lower access to education due to various cultural, community, economic, and school-related factors. Cultural issues like early marriage, pregnancy, caregiving roles, and gender bias in education contribute</w:t>
      </w:r>
      <w:r w:rsidR="00A81BF9" w:rsidRPr="00F04300">
        <w:rPr>
          <w:rFonts w:ascii="Times New Roman" w:hAnsi="Times New Roman" w:cs="Times New Roman"/>
          <w:sz w:val="24"/>
          <w:szCs w:val="24"/>
        </w:rPr>
        <w:t>d</w:t>
      </w:r>
      <w:r w:rsidR="003C253F" w:rsidRPr="00F04300">
        <w:rPr>
          <w:rFonts w:ascii="Times New Roman" w:hAnsi="Times New Roman" w:cs="Times New Roman"/>
          <w:sz w:val="24"/>
          <w:szCs w:val="24"/>
        </w:rPr>
        <w:t xml:space="preserve"> significantly. Community influence </w:t>
      </w:r>
      <w:r w:rsidR="00A81BF9" w:rsidRPr="00F04300">
        <w:rPr>
          <w:rFonts w:ascii="Times New Roman" w:hAnsi="Times New Roman" w:cs="Times New Roman"/>
          <w:sz w:val="24"/>
          <w:szCs w:val="24"/>
        </w:rPr>
        <w:t xml:space="preserve">to gender inequality </w:t>
      </w:r>
      <w:r w:rsidR="003C253F" w:rsidRPr="00F04300">
        <w:rPr>
          <w:rFonts w:ascii="Times New Roman" w:hAnsi="Times New Roman" w:cs="Times New Roman"/>
          <w:sz w:val="24"/>
          <w:szCs w:val="24"/>
        </w:rPr>
        <w:t>include poor public support, limited female involvement in development, and HIV/AIDS impacts. Economically, parental poverty and lack of necessities hinder girls’ schooling. In schools, gender-insensitive environments, the absence of role models, and harassment further discourage girls</w:t>
      </w:r>
      <w:r w:rsidR="000B745A">
        <w:rPr>
          <w:rFonts w:ascii="Times New Roman" w:hAnsi="Times New Roman" w:cs="Times New Roman"/>
          <w:sz w:val="24"/>
          <w:szCs w:val="24"/>
        </w:rPr>
        <w:t xml:space="preserve"> </w:t>
      </w:r>
      <w:r w:rsidR="000B745A" w:rsidRPr="000B745A">
        <w:rPr>
          <w:rFonts w:ascii="Times New Roman" w:hAnsi="Times New Roman" w:cs="Times New Roman"/>
          <w:sz w:val="24"/>
          <w:szCs w:val="24"/>
        </w:rPr>
        <w:t>(</w:t>
      </w:r>
      <w:r w:rsidR="005E7376" w:rsidRPr="000B745A">
        <w:rPr>
          <w:rFonts w:ascii="Times New Roman" w:hAnsi="Times New Roman" w:cs="Times New Roman"/>
          <w:sz w:val="24"/>
          <w:szCs w:val="24"/>
          <w:lang w:val="en-GB"/>
        </w:rPr>
        <w:t>Ibrahi</w:t>
      </w:r>
      <w:r w:rsidR="000B745A" w:rsidRPr="000B745A">
        <w:rPr>
          <w:rFonts w:ascii="Times New Roman" w:hAnsi="Times New Roman" w:cs="Times New Roman"/>
          <w:sz w:val="24"/>
          <w:szCs w:val="24"/>
          <w:lang w:val="en-GB"/>
        </w:rPr>
        <w:t>m et al.</w:t>
      </w:r>
      <w:r w:rsidR="000B745A">
        <w:rPr>
          <w:rFonts w:ascii="Times New Roman" w:hAnsi="Times New Roman" w:cs="Times New Roman"/>
          <w:sz w:val="24"/>
          <w:szCs w:val="24"/>
          <w:lang w:val="en-GB"/>
        </w:rPr>
        <w:t>,</w:t>
      </w:r>
      <w:r w:rsidR="005E7376" w:rsidRPr="000B745A">
        <w:rPr>
          <w:rFonts w:ascii="Times New Roman" w:hAnsi="Times New Roman" w:cs="Times New Roman"/>
          <w:sz w:val="24"/>
          <w:szCs w:val="24"/>
          <w:lang w:val="en-GB"/>
        </w:rPr>
        <w:t>2024</w:t>
      </w:r>
      <w:r w:rsidR="000B745A" w:rsidRPr="000B745A">
        <w:rPr>
          <w:rFonts w:ascii="Times New Roman" w:hAnsi="Times New Roman" w:cs="Times New Roman"/>
          <w:sz w:val="24"/>
          <w:szCs w:val="24"/>
          <w:lang w:val="en-GB"/>
        </w:rPr>
        <w:t>)</w:t>
      </w:r>
      <w:r w:rsidR="003C253F" w:rsidRPr="000B745A">
        <w:rPr>
          <w:rFonts w:ascii="Times New Roman" w:hAnsi="Times New Roman" w:cs="Times New Roman"/>
          <w:sz w:val="24"/>
          <w:szCs w:val="24"/>
        </w:rPr>
        <w:t>.</w:t>
      </w:r>
      <w:r w:rsidR="003C253F" w:rsidRPr="00F04300">
        <w:rPr>
          <w:rFonts w:ascii="Times New Roman" w:hAnsi="Times New Roman" w:cs="Times New Roman"/>
          <w:sz w:val="24"/>
          <w:szCs w:val="24"/>
        </w:rPr>
        <w:t xml:space="preserve"> Overall, girls have less access to education than boys, and these barriers are strongly linked to their educational participation. </w:t>
      </w:r>
      <w:r w:rsidR="00344769" w:rsidRPr="00F04300">
        <w:rPr>
          <w:rFonts w:ascii="Times New Roman" w:hAnsi="Times New Roman" w:cs="Times New Roman"/>
          <w:sz w:val="24"/>
          <w:szCs w:val="24"/>
        </w:rPr>
        <w:t>The study recommended policies to enhance financial support, address cultural barriers, and improve gender-sensitive educational environments in public schools.</w:t>
      </w:r>
    </w:p>
    <w:p w14:paraId="2790C4AE" w14:textId="77777777" w:rsidR="00CC1EA3" w:rsidRPr="0051773E" w:rsidRDefault="00710293" w:rsidP="00E83841">
      <w:pPr>
        <w:spacing w:line="360" w:lineRule="auto"/>
        <w:jc w:val="both"/>
        <w:rPr>
          <w:rFonts w:ascii="Times New Roman" w:hAnsi="Times New Roman" w:cs="Times New Roman"/>
          <w:b/>
          <w:color w:val="000000" w:themeColor="text1"/>
          <w:sz w:val="24"/>
          <w:szCs w:val="24"/>
          <w:shd w:val="clear" w:color="auto" w:fill="FFFFFF"/>
        </w:rPr>
      </w:pPr>
      <w:r w:rsidRPr="0051773E">
        <w:rPr>
          <w:rFonts w:ascii="Times New Roman" w:hAnsi="Times New Roman" w:cs="Times New Roman"/>
          <w:b/>
          <w:color w:val="000000" w:themeColor="text1"/>
          <w:sz w:val="24"/>
          <w:szCs w:val="24"/>
          <w:shd w:val="clear" w:color="auto" w:fill="FFFFFF"/>
        </w:rPr>
        <w:t>2.</w:t>
      </w:r>
      <w:r>
        <w:rPr>
          <w:rFonts w:ascii="Times New Roman" w:hAnsi="Times New Roman" w:cs="Times New Roman"/>
          <w:b/>
          <w:color w:val="000000" w:themeColor="text1"/>
          <w:sz w:val="24"/>
          <w:szCs w:val="24"/>
          <w:shd w:val="clear" w:color="auto" w:fill="FFFFFF"/>
        </w:rPr>
        <w:t xml:space="preserve"> </w:t>
      </w:r>
      <w:r w:rsidRPr="0051773E">
        <w:rPr>
          <w:rFonts w:ascii="Times New Roman" w:hAnsi="Times New Roman" w:cs="Times New Roman"/>
          <w:b/>
          <w:color w:val="000000" w:themeColor="text1"/>
          <w:sz w:val="24"/>
          <w:szCs w:val="24"/>
          <w:shd w:val="clear" w:color="auto" w:fill="FFFFFF"/>
        </w:rPr>
        <w:t>LITERATURE REVIEW</w:t>
      </w:r>
    </w:p>
    <w:p w14:paraId="77D621F2" w14:textId="77777777" w:rsidR="00AF48B1" w:rsidRPr="00541045" w:rsidRDefault="00AF48B1" w:rsidP="00E83841">
      <w:pPr>
        <w:spacing w:line="360" w:lineRule="auto"/>
        <w:jc w:val="both"/>
        <w:rPr>
          <w:rFonts w:ascii="Times New Roman" w:eastAsia="Calibri" w:hAnsi="Times New Roman" w:cs="Times New Roman"/>
          <w:b/>
          <w:i/>
          <w:sz w:val="24"/>
        </w:rPr>
      </w:pPr>
      <w:r w:rsidRPr="00541045">
        <w:rPr>
          <w:rFonts w:ascii="Times New Roman" w:eastAsia="Times New Roman" w:hAnsi="Times New Roman" w:cs="Times New Roman"/>
          <w:b/>
          <w:bCs/>
          <w:i/>
          <w:sz w:val="24"/>
          <w:szCs w:val="24"/>
        </w:rPr>
        <w:t>Gender Equity in Education</w:t>
      </w:r>
      <w:bookmarkEnd w:id="1"/>
      <w:r w:rsidR="00CC1EA3" w:rsidRPr="00541045">
        <w:rPr>
          <w:rFonts w:ascii="Times New Roman" w:eastAsia="Times New Roman" w:hAnsi="Times New Roman" w:cs="Times New Roman"/>
          <w:b/>
          <w:bCs/>
          <w:i/>
          <w:sz w:val="24"/>
          <w:szCs w:val="24"/>
        </w:rPr>
        <w:t xml:space="preserve"> </w:t>
      </w:r>
    </w:p>
    <w:p w14:paraId="6CE13FD7" w14:textId="77777777" w:rsidR="00344769" w:rsidRPr="00784B0D" w:rsidRDefault="00344769" w:rsidP="00E83841">
      <w:pPr>
        <w:spacing w:line="360" w:lineRule="auto"/>
        <w:jc w:val="both"/>
        <w:rPr>
          <w:rFonts w:ascii="Times New Roman" w:hAnsi="Times New Roman" w:cs="Times New Roman"/>
          <w:sz w:val="24"/>
          <w:szCs w:val="24"/>
        </w:rPr>
      </w:pPr>
      <w:r w:rsidRPr="00784B0D">
        <w:rPr>
          <w:rFonts w:ascii="Times New Roman" w:hAnsi="Times New Roman" w:cs="Times New Roman"/>
          <w:sz w:val="24"/>
          <w:szCs w:val="24"/>
        </w:rPr>
        <w:t xml:space="preserve">Gender equity in education ensures fair access, participation, and outcomes for all, regardless of gender, creating environments </w:t>
      </w:r>
      <w:r w:rsidRPr="00784B0D">
        <w:rPr>
          <w:rFonts w:ascii="Times New Roman" w:hAnsi="Times New Roman" w:cs="Times New Roman"/>
          <w:sz w:val="24"/>
          <w:szCs w:val="24"/>
        </w:rPr>
        <w:lastRenderedPageBreak/>
        <w:t>where everyone benefits equally from educati</w:t>
      </w:r>
      <w:r w:rsidR="00C936AD">
        <w:rPr>
          <w:rFonts w:ascii="Times New Roman" w:hAnsi="Times New Roman" w:cs="Times New Roman"/>
          <w:sz w:val="24"/>
          <w:szCs w:val="24"/>
        </w:rPr>
        <w:t>onal opportunities (</w:t>
      </w:r>
      <w:proofErr w:type="spellStart"/>
      <w:r w:rsidR="00C936AD">
        <w:rPr>
          <w:rFonts w:ascii="Times New Roman" w:hAnsi="Times New Roman" w:cs="Times New Roman"/>
          <w:sz w:val="24"/>
          <w:szCs w:val="24"/>
        </w:rPr>
        <w:t>Zabaniotou</w:t>
      </w:r>
      <w:proofErr w:type="spellEnd"/>
      <w:r w:rsidR="00C936AD">
        <w:rPr>
          <w:rFonts w:ascii="Times New Roman" w:hAnsi="Times New Roman" w:cs="Times New Roman"/>
          <w:sz w:val="24"/>
          <w:szCs w:val="24"/>
        </w:rPr>
        <w:t xml:space="preserve">, </w:t>
      </w:r>
      <w:r w:rsidRPr="00784B0D">
        <w:rPr>
          <w:rFonts w:ascii="Times New Roman" w:hAnsi="Times New Roman" w:cs="Times New Roman"/>
          <w:sz w:val="24"/>
          <w:szCs w:val="24"/>
        </w:rPr>
        <w:t>2020). While</w:t>
      </w:r>
      <w:r w:rsidR="0023750F">
        <w:rPr>
          <w:rFonts w:ascii="Times New Roman" w:hAnsi="Times New Roman" w:cs="Times New Roman"/>
          <w:sz w:val="24"/>
          <w:szCs w:val="24"/>
        </w:rPr>
        <w:t>,</w:t>
      </w:r>
      <w:r w:rsidRPr="00784B0D">
        <w:rPr>
          <w:rFonts w:ascii="Times New Roman" w:hAnsi="Times New Roman" w:cs="Times New Roman"/>
          <w:sz w:val="24"/>
          <w:szCs w:val="24"/>
        </w:rPr>
        <w:t xml:space="preserve"> nations like England have reduced gender gaps through targeted policies, signifi</w:t>
      </w:r>
      <w:r w:rsidR="00C936AD">
        <w:rPr>
          <w:rFonts w:ascii="Times New Roman" w:hAnsi="Times New Roman" w:cs="Times New Roman"/>
          <w:sz w:val="24"/>
          <w:szCs w:val="24"/>
        </w:rPr>
        <w:t>cant disparities remain</w:t>
      </w:r>
      <w:r w:rsidR="00A81BF9">
        <w:rPr>
          <w:rFonts w:ascii="Times New Roman" w:hAnsi="Times New Roman" w:cs="Times New Roman"/>
          <w:sz w:val="24"/>
          <w:szCs w:val="24"/>
        </w:rPr>
        <w:t>,</w:t>
      </w:r>
      <w:r w:rsidR="00C936AD">
        <w:rPr>
          <w:rFonts w:ascii="Times New Roman" w:hAnsi="Times New Roman" w:cs="Times New Roman"/>
          <w:sz w:val="24"/>
          <w:szCs w:val="24"/>
        </w:rPr>
        <w:t xml:space="preserve"> in low and middle-income countries</w:t>
      </w:r>
      <w:r w:rsidR="00836A8C" w:rsidRPr="00836A8C">
        <w:t xml:space="preserve"> </w:t>
      </w:r>
      <w:r w:rsidR="00836A8C">
        <w:t>(</w:t>
      </w:r>
      <w:r w:rsidR="00836A8C">
        <w:rPr>
          <w:rFonts w:ascii="Times New Roman" w:hAnsi="Times New Roman" w:cs="Times New Roman"/>
          <w:sz w:val="24"/>
          <w:szCs w:val="24"/>
        </w:rPr>
        <w:t xml:space="preserve">Heymann </w:t>
      </w:r>
      <w:r w:rsidR="00836A8C" w:rsidRPr="00541045">
        <w:rPr>
          <w:rFonts w:ascii="Times New Roman" w:hAnsi="Times New Roman" w:cs="Times New Roman"/>
          <w:i/>
          <w:sz w:val="24"/>
          <w:szCs w:val="24"/>
        </w:rPr>
        <w:t>et al</w:t>
      </w:r>
      <w:r w:rsidR="00836A8C">
        <w:rPr>
          <w:rFonts w:ascii="Times New Roman" w:hAnsi="Times New Roman" w:cs="Times New Roman"/>
          <w:sz w:val="24"/>
          <w:szCs w:val="24"/>
        </w:rPr>
        <w:t>.</w:t>
      </w:r>
      <w:r w:rsidR="0023750F">
        <w:rPr>
          <w:rFonts w:ascii="Times New Roman" w:hAnsi="Times New Roman" w:cs="Times New Roman"/>
          <w:sz w:val="24"/>
          <w:szCs w:val="24"/>
        </w:rPr>
        <w:t>,</w:t>
      </w:r>
      <w:r w:rsidR="00836A8C">
        <w:rPr>
          <w:rFonts w:ascii="Times New Roman" w:hAnsi="Times New Roman" w:cs="Times New Roman"/>
          <w:sz w:val="24"/>
          <w:szCs w:val="24"/>
        </w:rPr>
        <w:t xml:space="preserve"> </w:t>
      </w:r>
      <w:r w:rsidR="00836A8C" w:rsidRPr="00836A8C">
        <w:rPr>
          <w:rFonts w:ascii="Times New Roman" w:hAnsi="Times New Roman" w:cs="Times New Roman"/>
          <w:sz w:val="24"/>
          <w:szCs w:val="24"/>
        </w:rPr>
        <w:t>2019).</w:t>
      </w:r>
      <w:r w:rsidR="00836A8C">
        <w:rPr>
          <w:rFonts w:ascii="Times New Roman" w:hAnsi="Times New Roman" w:cs="Times New Roman"/>
          <w:sz w:val="24"/>
          <w:szCs w:val="24"/>
        </w:rPr>
        <w:t xml:space="preserve"> </w:t>
      </w:r>
      <w:r w:rsidRPr="00784B0D">
        <w:rPr>
          <w:rFonts w:ascii="Times New Roman" w:hAnsi="Times New Roman" w:cs="Times New Roman"/>
          <w:sz w:val="24"/>
          <w:szCs w:val="24"/>
        </w:rPr>
        <w:t xml:space="preserve">Girls in rural and conflict areas face early marriage, child labor, unsafe travel, and cultural norms that devalue their education (UNESCO, 2020). Poor sanitation also </w:t>
      </w:r>
      <w:r w:rsidR="00A81BF9">
        <w:rPr>
          <w:rFonts w:ascii="Times New Roman" w:hAnsi="Times New Roman" w:cs="Times New Roman"/>
          <w:sz w:val="24"/>
          <w:szCs w:val="24"/>
        </w:rPr>
        <w:t xml:space="preserve">has been </w:t>
      </w:r>
      <w:r w:rsidR="00A81BF9" w:rsidRPr="00784B0D">
        <w:rPr>
          <w:rFonts w:ascii="Times New Roman" w:hAnsi="Times New Roman" w:cs="Times New Roman"/>
          <w:sz w:val="24"/>
          <w:szCs w:val="24"/>
        </w:rPr>
        <w:t>contributing</w:t>
      </w:r>
      <w:r w:rsidRPr="00784B0D">
        <w:rPr>
          <w:rFonts w:ascii="Times New Roman" w:hAnsi="Times New Roman" w:cs="Times New Roman"/>
          <w:sz w:val="24"/>
          <w:szCs w:val="24"/>
        </w:rPr>
        <w:t xml:space="preserve"> to high dropout rates </w:t>
      </w:r>
      <w:r w:rsidR="00A81BF9">
        <w:rPr>
          <w:rFonts w:ascii="Times New Roman" w:hAnsi="Times New Roman" w:cs="Times New Roman"/>
          <w:sz w:val="24"/>
          <w:szCs w:val="24"/>
        </w:rPr>
        <w:t xml:space="preserve">in developing countries </w:t>
      </w:r>
      <w:r w:rsidRPr="00784B0D">
        <w:rPr>
          <w:rFonts w:ascii="Times New Roman" w:hAnsi="Times New Roman" w:cs="Times New Roman"/>
          <w:sz w:val="24"/>
          <w:szCs w:val="24"/>
        </w:rPr>
        <w:t>(World Bank, 2021).</w:t>
      </w:r>
    </w:p>
    <w:p w14:paraId="185B0FEC" w14:textId="77777777" w:rsidR="00344769" w:rsidRPr="00784B0D" w:rsidRDefault="00C26084" w:rsidP="00E8384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Gender </w:t>
      </w:r>
      <w:r w:rsidR="00E63306" w:rsidRPr="00E63306">
        <w:rPr>
          <w:rFonts w:ascii="Times New Roman" w:hAnsi="Times New Roman" w:cs="Times New Roman"/>
          <w:sz w:val="24"/>
          <w:szCs w:val="24"/>
        </w:rPr>
        <w:t>equitable education boosts economic growth, improves health, and reduces poverty, especially for women (Akinwale, 2023). It also fosters social cohesion, respect, and democratic values. Despite these benefits</w:t>
      </w:r>
      <w:r>
        <w:rPr>
          <w:rFonts w:ascii="Times New Roman" w:hAnsi="Times New Roman" w:cs="Times New Roman"/>
          <w:sz w:val="24"/>
          <w:szCs w:val="24"/>
        </w:rPr>
        <w:t>, access to secondary</w:t>
      </w:r>
      <w:r w:rsidR="00E63306" w:rsidRPr="00E63306">
        <w:rPr>
          <w:rFonts w:ascii="Times New Roman" w:hAnsi="Times New Roman" w:cs="Times New Roman"/>
          <w:sz w:val="24"/>
          <w:szCs w:val="24"/>
        </w:rPr>
        <w:t xml:space="preserve"> education remains limited for marginalized groups due to poverty, discrimination, and poor infrastructure </w:t>
      </w:r>
      <w:r w:rsidR="00A81BF9">
        <w:rPr>
          <w:rFonts w:ascii="Times New Roman" w:hAnsi="Times New Roman" w:cs="Times New Roman"/>
          <w:sz w:val="24"/>
          <w:szCs w:val="24"/>
        </w:rPr>
        <w:t xml:space="preserve">in developing countries such as Tanzania </w:t>
      </w:r>
      <w:r w:rsidR="00E63306" w:rsidRPr="00E63306">
        <w:rPr>
          <w:rFonts w:ascii="Times New Roman" w:hAnsi="Times New Roman" w:cs="Times New Roman"/>
          <w:sz w:val="24"/>
          <w:szCs w:val="24"/>
        </w:rPr>
        <w:t>(</w:t>
      </w:r>
      <w:proofErr w:type="spellStart"/>
      <w:r w:rsidR="00E63306" w:rsidRPr="00E63306">
        <w:rPr>
          <w:rFonts w:ascii="Times New Roman" w:hAnsi="Times New Roman" w:cs="Times New Roman"/>
          <w:sz w:val="24"/>
          <w:szCs w:val="24"/>
        </w:rPr>
        <w:t>Mulengeki</w:t>
      </w:r>
      <w:proofErr w:type="spellEnd"/>
      <w:r w:rsidR="00E63306" w:rsidRPr="00E63306">
        <w:rPr>
          <w:rFonts w:ascii="Times New Roman" w:hAnsi="Times New Roman" w:cs="Times New Roman"/>
          <w:sz w:val="24"/>
          <w:szCs w:val="24"/>
        </w:rPr>
        <w:t xml:space="preserve">, 2019). </w:t>
      </w:r>
      <w:r w:rsidR="00452500" w:rsidRPr="00452500">
        <w:rPr>
          <w:rFonts w:ascii="Times New Roman" w:hAnsi="Times New Roman" w:cs="Times New Roman"/>
          <w:sz w:val="24"/>
          <w:szCs w:val="24"/>
        </w:rPr>
        <w:t xml:space="preserve">Addressing educational barriers ensures equity, supports human rights, and fosters inclusive, sustainable development (Leal </w:t>
      </w:r>
      <w:r w:rsidR="00452500" w:rsidRPr="00541045">
        <w:rPr>
          <w:rFonts w:ascii="Times New Roman" w:hAnsi="Times New Roman" w:cs="Times New Roman"/>
          <w:i/>
          <w:sz w:val="24"/>
          <w:szCs w:val="24"/>
        </w:rPr>
        <w:t>et al</w:t>
      </w:r>
      <w:r w:rsidR="00452500" w:rsidRPr="00452500">
        <w:rPr>
          <w:rFonts w:ascii="Times New Roman" w:hAnsi="Times New Roman" w:cs="Times New Roman"/>
          <w:sz w:val="24"/>
          <w:szCs w:val="24"/>
        </w:rPr>
        <w:t>.</w:t>
      </w:r>
      <w:r w:rsidR="0023750F">
        <w:rPr>
          <w:rFonts w:ascii="Times New Roman" w:hAnsi="Times New Roman" w:cs="Times New Roman"/>
          <w:sz w:val="24"/>
          <w:szCs w:val="24"/>
        </w:rPr>
        <w:t>,</w:t>
      </w:r>
      <w:r w:rsidR="00452500" w:rsidRPr="00452500">
        <w:rPr>
          <w:rFonts w:ascii="Times New Roman" w:hAnsi="Times New Roman" w:cs="Times New Roman"/>
          <w:sz w:val="24"/>
          <w:szCs w:val="24"/>
        </w:rPr>
        <w:t xml:space="preserve"> 2023). Educating girls enhances economic growth, public health, and gender equality. However, gender-based discrimination and stereotypes persist. In Africa, early marriage, domestic duties, and cultural norms lower girls’ school </w:t>
      </w:r>
      <w:r w:rsidR="00452500" w:rsidRPr="00452500">
        <w:rPr>
          <w:rFonts w:ascii="Times New Roman" w:hAnsi="Times New Roman" w:cs="Times New Roman"/>
          <w:sz w:val="24"/>
          <w:szCs w:val="24"/>
        </w:rPr>
        <w:t>attendance and raise dropout rates</w:t>
      </w:r>
      <w:r w:rsidR="00452500">
        <w:rPr>
          <w:rFonts w:ascii="Times New Roman" w:hAnsi="Times New Roman" w:cs="Times New Roman"/>
          <w:sz w:val="24"/>
          <w:szCs w:val="24"/>
        </w:rPr>
        <w:t xml:space="preserve"> as supported by </w:t>
      </w:r>
      <w:proofErr w:type="spellStart"/>
      <w:r w:rsidR="00452500" w:rsidRPr="005F1523">
        <w:rPr>
          <w:rFonts w:ascii="Times New Roman" w:hAnsi="Times New Roman" w:cs="Times New Roman"/>
          <w:color w:val="222222"/>
          <w:sz w:val="24"/>
          <w:szCs w:val="24"/>
          <w:shd w:val="clear" w:color="auto" w:fill="FFFFFF"/>
        </w:rPr>
        <w:t>Si</w:t>
      </w:r>
      <w:r w:rsidR="00452500">
        <w:rPr>
          <w:rFonts w:ascii="Times New Roman" w:hAnsi="Times New Roman" w:cs="Times New Roman"/>
          <w:color w:val="222222"/>
          <w:sz w:val="24"/>
          <w:szCs w:val="24"/>
          <w:shd w:val="clear" w:color="auto" w:fill="FFFFFF"/>
        </w:rPr>
        <w:t>khwari</w:t>
      </w:r>
      <w:proofErr w:type="spellEnd"/>
      <w:r w:rsidR="00452500">
        <w:rPr>
          <w:rFonts w:ascii="Times New Roman" w:hAnsi="Times New Roman" w:cs="Times New Roman"/>
          <w:color w:val="222222"/>
          <w:sz w:val="24"/>
          <w:szCs w:val="24"/>
          <w:shd w:val="clear" w:color="auto" w:fill="FFFFFF"/>
        </w:rPr>
        <w:t xml:space="preserve"> </w:t>
      </w:r>
      <w:r w:rsidR="00452500" w:rsidRPr="005F1523">
        <w:rPr>
          <w:rFonts w:ascii="Times New Roman" w:hAnsi="Times New Roman" w:cs="Times New Roman"/>
          <w:color w:val="222222"/>
          <w:sz w:val="24"/>
          <w:szCs w:val="24"/>
          <w:shd w:val="clear" w:color="auto" w:fill="FFFFFF"/>
        </w:rPr>
        <w:t>(2024).</w:t>
      </w:r>
      <w:r w:rsidR="00452500" w:rsidRPr="00452500">
        <w:rPr>
          <w:rFonts w:ascii="Times New Roman" w:hAnsi="Times New Roman" w:cs="Times New Roman"/>
          <w:sz w:val="24"/>
          <w:szCs w:val="24"/>
        </w:rPr>
        <w:t xml:space="preserve"> Urban challenges like high transport costs and inadequate facilities also limit </w:t>
      </w:r>
      <w:r>
        <w:rPr>
          <w:rFonts w:ascii="Times New Roman" w:hAnsi="Times New Roman" w:cs="Times New Roman"/>
          <w:sz w:val="24"/>
          <w:szCs w:val="24"/>
        </w:rPr>
        <w:t xml:space="preserve">girls </w:t>
      </w:r>
      <w:r w:rsidR="00452500" w:rsidRPr="00452500">
        <w:rPr>
          <w:rFonts w:ascii="Times New Roman" w:hAnsi="Times New Roman" w:cs="Times New Roman"/>
          <w:sz w:val="24"/>
          <w:szCs w:val="24"/>
        </w:rPr>
        <w:t>access to education (</w:t>
      </w:r>
      <w:proofErr w:type="spellStart"/>
      <w:r w:rsidR="00452500" w:rsidRPr="00452500">
        <w:rPr>
          <w:rFonts w:ascii="Times New Roman" w:hAnsi="Times New Roman" w:cs="Times New Roman"/>
          <w:sz w:val="24"/>
          <w:szCs w:val="24"/>
        </w:rPr>
        <w:t>Kanake</w:t>
      </w:r>
      <w:proofErr w:type="spellEnd"/>
      <w:r w:rsidR="00452500" w:rsidRPr="00452500">
        <w:rPr>
          <w:rFonts w:ascii="Times New Roman" w:hAnsi="Times New Roman" w:cs="Times New Roman"/>
          <w:sz w:val="24"/>
          <w:szCs w:val="24"/>
        </w:rPr>
        <w:t>, 2018).</w:t>
      </w:r>
    </w:p>
    <w:p w14:paraId="787E8B1A" w14:textId="77777777" w:rsidR="00A37275" w:rsidRPr="00A37275" w:rsidRDefault="00C26084" w:rsidP="00E83841">
      <w:pPr>
        <w:spacing w:line="360" w:lineRule="auto"/>
        <w:jc w:val="both"/>
      </w:pPr>
      <w:r>
        <w:rPr>
          <w:rFonts w:ascii="Times New Roman" w:hAnsi="Times New Roman" w:cs="Times New Roman"/>
          <w:sz w:val="24"/>
          <w:szCs w:val="24"/>
        </w:rPr>
        <w:t>Gender equit</w:t>
      </w:r>
      <w:r w:rsidR="00A37275" w:rsidRPr="00A37275">
        <w:rPr>
          <w:rFonts w:ascii="Times New Roman" w:hAnsi="Times New Roman" w:cs="Times New Roman"/>
          <w:sz w:val="24"/>
          <w:szCs w:val="24"/>
        </w:rPr>
        <w:t>y in education remains obstructed by institutional challenges such as biased curricula and limited female representation in leadership. In Tanzania, efforts like teacher training and community involvement have led to some progress, though issues persist (</w:t>
      </w:r>
      <w:proofErr w:type="spellStart"/>
      <w:r w:rsidR="00A37275" w:rsidRPr="00A37275">
        <w:rPr>
          <w:rFonts w:ascii="Times New Roman" w:hAnsi="Times New Roman" w:cs="Times New Roman"/>
          <w:sz w:val="24"/>
          <w:szCs w:val="24"/>
        </w:rPr>
        <w:t>Nkya</w:t>
      </w:r>
      <w:proofErr w:type="spellEnd"/>
      <w:r w:rsidR="00A37275" w:rsidRPr="00A37275">
        <w:rPr>
          <w:rFonts w:ascii="Times New Roman" w:hAnsi="Times New Roman" w:cs="Times New Roman"/>
          <w:sz w:val="24"/>
          <w:szCs w:val="24"/>
        </w:rPr>
        <w:t xml:space="preserve"> &amp; </w:t>
      </w:r>
      <w:proofErr w:type="spellStart"/>
      <w:r w:rsidR="00A37275" w:rsidRPr="00A37275">
        <w:rPr>
          <w:rFonts w:ascii="Times New Roman" w:hAnsi="Times New Roman" w:cs="Times New Roman"/>
          <w:sz w:val="24"/>
          <w:szCs w:val="24"/>
        </w:rPr>
        <w:t>Kibona</w:t>
      </w:r>
      <w:proofErr w:type="spellEnd"/>
      <w:r w:rsidR="00A37275" w:rsidRPr="00A37275">
        <w:rPr>
          <w:rFonts w:ascii="Times New Roman" w:hAnsi="Times New Roman" w:cs="Times New Roman"/>
          <w:sz w:val="24"/>
          <w:szCs w:val="24"/>
        </w:rPr>
        <w:t xml:space="preserve">, 2024). Rwanda continues to face inequalities, requiring extensive reforms. Initiatives like </w:t>
      </w:r>
      <w:r w:rsidR="00B44403" w:rsidRPr="00541045">
        <w:rPr>
          <w:rFonts w:ascii="Times New Roman" w:hAnsi="Times New Roman" w:cs="Times New Roman"/>
          <w:sz w:val="24"/>
          <w:szCs w:val="24"/>
        </w:rPr>
        <w:t>“</w:t>
      </w:r>
      <w:proofErr w:type="spellStart"/>
      <w:r w:rsidR="00A37275" w:rsidRPr="00541045">
        <w:rPr>
          <w:rFonts w:ascii="Times New Roman" w:hAnsi="Times New Roman" w:cs="Times New Roman"/>
          <w:sz w:val="24"/>
          <w:szCs w:val="24"/>
        </w:rPr>
        <w:t>Igire</w:t>
      </w:r>
      <w:proofErr w:type="spellEnd"/>
      <w:r w:rsidR="00A37275" w:rsidRPr="00A37275">
        <w:rPr>
          <w:rFonts w:ascii="Times New Roman" w:hAnsi="Times New Roman" w:cs="Times New Roman"/>
          <w:sz w:val="24"/>
          <w:szCs w:val="24"/>
        </w:rPr>
        <w:t xml:space="preserve"> </w:t>
      </w:r>
      <w:proofErr w:type="spellStart"/>
      <w:r w:rsidR="00A37275" w:rsidRPr="00A37275">
        <w:rPr>
          <w:rFonts w:ascii="Times New Roman" w:hAnsi="Times New Roman" w:cs="Times New Roman"/>
          <w:sz w:val="24"/>
          <w:szCs w:val="24"/>
        </w:rPr>
        <w:t>Gimbuka</w:t>
      </w:r>
      <w:proofErr w:type="spellEnd"/>
      <w:r w:rsidR="00B44403">
        <w:rPr>
          <w:rFonts w:ascii="Times New Roman" w:hAnsi="Times New Roman" w:cs="Times New Roman"/>
          <w:sz w:val="24"/>
          <w:szCs w:val="24"/>
        </w:rPr>
        <w:t xml:space="preserve"> Campaign”</w:t>
      </w:r>
      <w:r w:rsidR="00A37275" w:rsidRPr="00A37275">
        <w:rPr>
          <w:rFonts w:ascii="Times New Roman" w:hAnsi="Times New Roman" w:cs="Times New Roman"/>
          <w:sz w:val="24"/>
          <w:szCs w:val="24"/>
        </w:rPr>
        <w:t xml:space="preserve"> aim</w:t>
      </w:r>
      <w:r w:rsidR="00B44403">
        <w:rPr>
          <w:rFonts w:ascii="Times New Roman" w:hAnsi="Times New Roman" w:cs="Times New Roman"/>
          <w:sz w:val="24"/>
          <w:szCs w:val="24"/>
        </w:rPr>
        <w:t>s</w:t>
      </w:r>
      <w:r w:rsidR="00A37275" w:rsidRPr="00A37275">
        <w:rPr>
          <w:rFonts w:ascii="Times New Roman" w:hAnsi="Times New Roman" w:cs="Times New Roman"/>
          <w:sz w:val="24"/>
          <w:szCs w:val="24"/>
        </w:rPr>
        <w:t xml:space="preserve"> to address these gaps and promote equal</w:t>
      </w:r>
      <w:r w:rsidR="00A37275">
        <w:rPr>
          <w:rFonts w:ascii="Times New Roman" w:hAnsi="Times New Roman" w:cs="Times New Roman"/>
          <w:sz w:val="24"/>
          <w:szCs w:val="24"/>
        </w:rPr>
        <w:t xml:space="preserve">ity </w:t>
      </w:r>
      <w:r w:rsidR="00B44403">
        <w:rPr>
          <w:rFonts w:ascii="Times New Roman" w:hAnsi="Times New Roman" w:cs="Times New Roman"/>
          <w:sz w:val="24"/>
          <w:szCs w:val="24"/>
        </w:rPr>
        <w:t xml:space="preserve">in Rwandan society </w:t>
      </w:r>
      <w:r w:rsidR="00A37275">
        <w:rPr>
          <w:rFonts w:ascii="Times New Roman" w:hAnsi="Times New Roman" w:cs="Times New Roman"/>
          <w:sz w:val="24"/>
          <w:szCs w:val="24"/>
        </w:rPr>
        <w:t>(</w:t>
      </w:r>
      <w:proofErr w:type="spellStart"/>
      <w:r w:rsidR="00A37275">
        <w:rPr>
          <w:rFonts w:ascii="Times New Roman" w:hAnsi="Times New Roman" w:cs="Times New Roman"/>
          <w:sz w:val="24"/>
          <w:szCs w:val="24"/>
        </w:rPr>
        <w:t>Nyiransabimana</w:t>
      </w:r>
      <w:proofErr w:type="spellEnd"/>
      <w:r w:rsidR="00A37275">
        <w:rPr>
          <w:rFonts w:ascii="Times New Roman" w:hAnsi="Times New Roman" w:cs="Times New Roman"/>
          <w:sz w:val="24"/>
          <w:szCs w:val="24"/>
        </w:rPr>
        <w:t xml:space="preserve"> &amp; </w:t>
      </w:r>
      <w:proofErr w:type="spellStart"/>
      <w:r w:rsidR="00A37275">
        <w:rPr>
          <w:rFonts w:ascii="Times New Roman" w:hAnsi="Times New Roman" w:cs="Times New Roman"/>
          <w:sz w:val="24"/>
          <w:szCs w:val="24"/>
        </w:rPr>
        <w:t>Uwimpuhwe</w:t>
      </w:r>
      <w:proofErr w:type="spellEnd"/>
      <w:r w:rsidR="00A37275" w:rsidRPr="00A37275">
        <w:rPr>
          <w:rFonts w:ascii="Times New Roman" w:hAnsi="Times New Roman" w:cs="Times New Roman"/>
          <w:sz w:val="24"/>
          <w:szCs w:val="24"/>
        </w:rPr>
        <w:t xml:space="preserve">, 2024). </w:t>
      </w:r>
      <w:r w:rsidR="00B44403">
        <w:rPr>
          <w:rFonts w:ascii="Times New Roman" w:hAnsi="Times New Roman" w:cs="Times New Roman"/>
          <w:sz w:val="24"/>
          <w:szCs w:val="24"/>
        </w:rPr>
        <w:t>The issue of a</w:t>
      </w:r>
      <w:r w:rsidR="00A37275" w:rsidRPr="00A37275">
        <w:rPr>
          <w:rFonts w:ascii="Times New Roman" w:hAnsi="Times New Roman" w:cs="Times New Roman"/>
          <w:sz w:val="24"/>
          <w:szCs w:val="24"/>
        </w:rPr>
        <w:t>chieving inclusive and sustainable educational development demands coordinated and comprehensive strategies (</w:t>
      </w:r>
      <w:proofErr w:type="spellStart"/>
      <w:r w:rsidR="00A37275" w:rsidRPr="00A37275">
        <w:rPr>
          <w:rFonts w:ascii="Times New Roman" w:hAnsi="Times New Roman" w:cs="Times New Roman"/>
          <w:sz w:val="24"/>
          <w:szCs w:val="24"/>
        </w:rPr>
        <w:t>Andiema</w:t>
      </w:r>
      <w:proofErr w:type="spellEnd"/>
      <w:r w:rsidR="00A37275" w:rsidRPr="00A37275">
        <w:rPr>
          <w:rFonts w:ascii="Times New Roman" w:hAnsi="Times New Roman" w:cs="Times New Roman"/>
          <w:sz w:val="24"/>
          <w:szCs w:val="24"/>
        </w:rPr>
        <w:t>, 2021).</w:t>
      </w:r>
    </w:p>
    <w:p w14:paraId="29AB5165" w14:textId="77777777" w:rsidR="00344769" w:rsidRDefault="00344769" w:rsidP="00E83841">
      <w:pPr>
        <w:spacing w:line="360" w:lineRule="auto"/>
        <w:jc w:val="both"/>
        <w:rPr>
          <w:rFonts w:ascii="Times New Roman" w:hAnsi="Times New Roman" w:cs="Times New Roman"/>
          <w:sz w:val="24"/>
          <w:szCs w:val="24"/>
        </w:rPr>
      </w:pPr>
      <w:r w:rsidRPr="007C440D">
        <w:rPr>
          <w:rFonts w:ascii="Times New Roman" w:hAnsi="Times New Roman" w:cs="Times New Roman"/>
          <w:sz w:val="24"/>
          <w:szCs w:val="24"/>
        </w:rPr>
        <w:t xml:space="preserve">Otieno (2016) explored the role of school matrons in South Africa, emphasizing their impact on improving girls’ educational experiences. Through qualitative research, the study found that matrons play a vital role in creating nurturing, supportive environments that help girls navigate challenges like bullying, sexual harassment, and limited resources. By offering emotional </w:t>
      </w:r>
      <w:r w:rsidRPr="007C440D">
        <w:rPr>
          <w:rFonts w:ascii="Times New Roman" w:hAnsi="Times New Roman" w:cs="Times New Roman"/>
          <w:sz w:val="24"/>
          <w:szCs w:val="24"/>
        </w:rPr>
        <w:lastRenderedPageBreak/>
        <w:t xml:space="preserve">support and managing essential supplies, matrons </w:t>
      </w:r>
      <w:r w:rsidR="00B44403">
        <w:rPr>
          <w:rFonts w:ascii="Times New Roman" w:hAnsi="Times New Roman" w:cs="Times New Roman"/>
          <w:sz w:val="24"/>
          <w:szCs w:val="24"/>
        </w:rPr>
        <w:t xml:space="preserve">would </w:t>
      </w:r>
      <w:r w:rsidRPr="007C440D">
        <w:rPr>
          <w:rFonts w:ascii="Times New Roman" w:hAnsi="Times New Roman" w:cs="Times New Roman"/>
          <w:sz w:val="24"/>
          <w:szCs w:val="24"/>
        </w:rPr>
        <w:t xml:space="preserve">help girls focus on academics and serve as positive role models. </w:t>
      </w:r>
      <w:r w:rsidR="00B44403">
        <w:rPr>
          <w:rFonts w:ascii="Times New Roman" w:hAnsi="Times New Roman" w:cs="Times New Roman"/>
          <w:sz w:val="24"/>
          <w:szCs w:val="24"/>
        </w:rPr>
        <w:t>Otieno</w:t>
      </w:r>
      <w:r w:rsidRPr="007C440D">
        <w:rPr>
          <w:rFonts w:ascii="Times New Roman" w:hAnsi="Times New Roman" w:cs="Times New Roman"/>
          <w:sz w:val="24"/>
          <w:szCs w:val="24"/>
        </w:rPr>
        <w:t xml:space="preserve"> advocated for hiring more female teachers and matrons to foster inclusive and empowering school settings.</w:t>
      </w:r>
      <w:r w:rsidR="00B44403">
        <w:rPr>
          <w:rFonts w:ascii="Times New Roman" w:hAnsi="Times New Roman" w:cs="Times New Roman"/>
          <w:sz w:val="24"/>
          <w:szCs w:val="24"/>
        </w:rPr>
        <w:t xml:space="preserve"> Likewise, </w:t>
      </w:r>
      <w:proofErr w:type="spellStart"/>
      <w:r w:rsidRPr="007C440D">
        <w:rPr>
          <w:rFonts w:ascii="Times New Roman" w:hAnsi="Times New Roman" w:cs="Times New Roman"/>
          <w:sz w:val="24"/>
          <w:szCs w:val="24"/>
        </w:rPr>
        <w:t>Andiema</w:t>
      </w:r>
      <w:proofErr w:type="spellEnd"/>
      <w:r w:rsidRPr="007C440D">
        <w:rPr>
          <w:rFonts w:ascii="Times New Roman" w:hAnsi="Times New Roman" w:cs="Times New Roman"/>
          <w:sz w:val="24"/>
          <w:szCs w:val="24"/>
        </w:rPr>
        <w:t xml:space="preserve"> (2021) examined the cultural barriers to girls' education in Kenya’s Central Pokot Sub County, highlighting the detrimental effects of early marriage, female genital mutilation (FGM), and child labor. These practices </w:t>
      </w:r>
      <w:r w:rsidR="00B44403">
        <w:rPr>
          <w:rFonts w:ascii="Times New Roman" w:hAnsi="Times New Roman" w:cs="Times New Roman"/>
          <w:sz w:val="24"/>
          <w:szCs w:val="24"/>
        </w:rPr>
        <w:t xml:space="preserve">seemed </w:t>
      </w:r>
      <w:r w:rsidRPr="007C440D">
        <w:rPr>
          <w:rFonts w:ascii="Times New Roman" w:hAnsi="Times New Roman" w:cs="Times New Roman"/>
          <w:sz w:val="24"/>
          <w:szCs w:val="24"/>
        </w:rPr>
        <w:t>negatively impact</w:t>
      </w:r>
      <w:r w:rsidR="00B44403">
        <w:rPr>
          <w:rFonts w:ascii="Times New Roman" w:hAnsi="Times New Roman" w:cs="Times New Roman"/>
          <w:sz w:val="24"/>
          <w:szCs w:val="24"/>
        </w:rPr>
        <w:t>ing</w:t>
      </w:r>
      <w:r w:rsidRPr="007C440D">
        <w:rPr>
          <w:rFonts w:ascii="Times New Roman" w:hAnsi="Times New Roman" w:cs="Times New Roman"/>
          <w:sz w:val="24"/>
          <w:szCs w:val="24"/>
        </w:rPr>
        <w:t xml:space="preserve"> </w:t>
      </w:r>
      <w:r w:rsidR="00B44403">
        <w:rPr>
          <w:rFonts w:ascii="Times New Roman" w:hAnsi="Times New Roman" w:cs="Times New Roman"/>
          <w:sz w:val="24"/>
          <w:szCs w:val="24"/>
        </w:rPr>
        <w:t xml:space="preserve">children </w:t>
      </w:r>
      <w:r w:rsidRPr="007C440D">
        <w:rPr>
          <w:rFonts w:ascii="Times New Roman" w:hAnsi="Times New Roman" w:cs="Times New Roman"/>
          <w:sz w:val="24"/>
          <w:szCs w:val="24"/>
        </w:rPr>
        <w:t>academic performance and hinder transitions to higher education. The study called for collective action from communities, governments, and education authorities to eliminate harmful traditions</w:t>
      </w:r>
      <w:r w:rsidR="00B44403">
        <w:rPr>
          <w:rFonts w:ascii="Times New Roman" w:hAnsi="Times New Roman" w:cs="Times New Roman"/>
          <w:sz w:val="24"/>
          <w:szCs w:val="24"/>
        </w:rPr>
        <w:t>,</w:t>
      </w:r>
      <w:r w:rsidRPr="007C440D">
        <w:rPr>
          <w:rFonts w:ascii="Times New Roman" w:hAnsi="Times New Roman" w:cs="Times New Roman"/>
          <w:sz w:val="24"/>
          <w:szCs w:val="24"/>
        </w:rPr>
        <w:t xml:space="preserve"> promote awareness of girls’ educational rights, </w:t>
      </w:r>
      <w:r w:rsidR="00B44403">
        <w:rPr>
          <w:rFonts w:ascii="Times New Roman" w:hAnsi="Times New Roman" w:cs="Times New Roman"/>
          <w:sz w:val="24"/>
          <w:szCs w:val="24"/>
        </w:rPr>
        <w:t xml:space="preserve">and </w:t>
      </w:r>
      <w:r w:rsidRPr="007C440D">
        <w:rPr>
          <w:rFonts w:ascii="Times New Roman" w:hAnsi="Times New Roman" w:cs="Times New Roman"/>
          <w:sz w:val="24"/>
          <w:szCs w:val="24"/>
        </w:rPr>
        <w:t>increas</w:t>
      </w:r>
      <w:r w:rsidR="00B44403">
        <w:rPr>
          <w:rFonts w:ascii="Times New Roman" w:hAnsi="Times New Roman" w:cs="Times New Roman"/>
          <w:sz w:val="24"/>
          <w:szCs w:val="24"/>
        </w:rPr>
        <w:t>e</w:t>
      </w:r>
      <w:r w:rsidRPr="007C440D">
        <w:rPr>
          <w:rFonts w:ascii="Times New Roman" w:hAnsi="Times New Roman" w:cs="Times New Roman"/>
          <w:sz w:val="24"/>
          <w:szCs w:val="24"/>
        </w:rPr>
        <w:t xml:space="preserve"> their chances of completing school</w:t>
      </w:r>
      <w:r w:rsidR="00B44403">
        <w:rPr>
          <w:rFonts w:ascii="Times New Roman" w:hAnsi="Times New Roman" w:cs="Times New Roman"/>
          <w:sz w:val="24"/>
          <w:szCs w:val="24"/>
        </w:rPr>
        <w:t>s</w:t>
      </w:r>
      <w:r w:rsidRPr="007C440D">
        <w:rPr>
          <w:rFonts w:ascii="Times New Roman" w:hAnsi="Times New Roman" w:cs="Times New Roman"/>
          <w:sz w:val="24"/>
          <w:szCs w:val="24"/>
        </w:rPr>
        <w:t>.</w:t>
      </w:r>
    </w:p>
    <w:p w14:paraId="2C5E475D" w14:textId="77777777" w:rsidR="00C936AD" w:rsidRPr="00A91511" w:rsidRDefault="00344769" w:rsidP="00E83841">
      <w:pPr>
        <w:spacing w:line="360" w:lineRule="auto"/>
        <w:jc w:val="both"/>
        <w:rPr>
          <w:rFonts w:ascii="Times New Roman" w:hAnsi="Times New Roman" w:cs="Times New Roman"/>
          <w:sz w:val="24"/>
          <w:szCs w:val="24"/>
        </w:rPr>
      </w:pPr>
      <w:proofErr w:type="spellStart"/>
      <w:r w:rsidRPr="007C440D">
        <w:rPr>
          <w:rFonts w:ascii="Times New Roman" w:hAnsi="Times New Roman" w:cs="Times New Roman"/>
          <w:sz w:val="24"/>
          <w:szCs w:val="24"/>
        </w:rPr>
        <w:t>Niyonzima</w:t>
      </w:r>
      <w:proofErr w:type="spellEnd"/>
      <w:r w:rsidRPr="007C440D">
        <w:rPr>
          <w:rFonts w:ascii="Times New Roman" w:hAnsi="Times New Roman" w:cs="Times New Roman"/>
          <w:sz w:val="24"/>
          <w:szCs w:val="24"/>
        </w:rPr>
        <w:t xml:space="preserve"> and </w:t>
      </w:r>
      <w:proofErr w:type="spellStart"/>
      <w:r w:rsidRPr="007C440D">
        <w:rPr>
          <w:rFonts w:ascii="Times New Roman" w:hAnsi="Times New Roman" w:cs="Times New Roman"/>
          <w:sz w:val="24"/>
          <w:szCs w:val="24"/>
        </w:rPr>
        <w:t>Buyu</w:t>
      </w:r>
      <w:proofErr w:type="spellEnd"/>
      <w:r w:rsidRPr="007C440D">
        <w:rPr>
          <w:rFonts w:ascii="Times New Roman" w:hAnsi="Times New Roman" w:cs="Times New Roman"/>
          <w:sz w:val="24"/>
          <w:szCs w:val="24"/>
        </w:rPr>
        <w:t xml:space="preserve"> (2023) reviewed literature on gender equity policies in Rwanda and their influence on secondary school completion among girls. The findings showed improved </w:t>
      </w:r>
      <w:r w:rsidR="00C936AD">
        <w:rPr>
          <w:rFonts w:ascii="Times New Roman" w:hAnsi="Times New Roman" w:cs="Times New Roman"/>
          <w:sz w:val="24"/>
          <w:szCs w:val="24"/>
        </w:rPr>
        <w:t xml:space="preserve">completion </w:t>
      </w:r>
      <w:r w:rsidRPr="007C440D">
        <w:rPr>
          <w:rFonts w:ascii="Times New Roman" w:hAnsi="Times New Roman" w:cs="Times New Roman"/>
          <w:sz w:val="24"/>
          <w:szCs w:val="24"/>
        </w:rPr>
        <w:t xml:space="preserve">due to policy reforms, yet persistent challenges such as economic hardship, early marriage, and cultural pressures still obstruct girls’ educational progress, especially in the later stages. The study recommended stronger policy enforcement and expanded support </w:t>
      </w:r>
      <w:r w:rsidRPr="007C440D">
        <w:rPr>
          <w:rFonts w:ascii="Times New Roman" w:hAnsi="Times New Roman" w:cs="Times New Roman"/>
          <w:sz w:val="24"/>
          <w:szCs w:val="24"/>
        </w:rPr>
        <w:t>system</w:t>
      </w:r>
      <w:r w:rsidR="00A91511">
        <w:rPr>
          <w:rFonts w:ascii="Times New Roman" w:hAnsi="Times New Roman" w:cs="Times New Roman"/>
          <w:sz w:val="24"/>
          <w:szCs w:val="24"/>
        </w:rPr>
        <w:t>s, particularly in rural areas.</w:t>
      </w:r>
      <w:r w:rsidR="00B44403">
        <w:rPr>
          <w:rFonts w:ascii="Times New Roman" w:hAnsi="Times New Roman" w:cs="Times New Roman"/>
          <w:sz w:val="24"/>
          <w:szCs w:val="24"/>
        </w:rPr>
        <w:t xml:space="preserve"> </w:t>
      </w:r>
      <w:r w:rsidR="00A91511">
        <w:rPr>
          <w:rFonts w:ascii="Times New Roman" w:hAnsi="Times New Roman" w:cs="Times New Roman"/>
          <w:color w:val="222222"/>
          <w:sz w:val="24"/>
          <w:szCs w:val="24"/>
          <w:shd w:val="clear" w:color="auto" w:fill="FFFFFF"/>
        </w:rPr>
        <w:t xml:space="preserve">Tusiime (2017) </w:t>
      </w:r>
      <w:r w:rsidRPr="007C440D">
        <w:rPr>
          <w:rFonts w:ascii="Times New Roman" w:hAnsi="Times New Roman" w:cs="Times New Roman"/>
          <w:sz w:val="24"/>
          <w:szCs w:val="24"/>
        </w:rPr>
        <w:t>investigated disparities in girls’ access to</w:t>
      </w:r>
      <w:r w:rsidR="00A91511">
        <w:rPr>
          <w:rFonts w:ascii="Times New Roman" w:hAnsi="Times New Roman" w:cs="Times New Roman"/>
          <w:sz w:val="24"/>
          <w:szCs w:val="24"/>
        </w:rPr>
        <w:t xml:space="preserve"> public versus private </w:t>
      </w:r>
      <w:r w:rsidR="00A91511" w:rsidRPr="007C440D">
        <w:rPr>
          <w:rFonts w:ascii="Times New Roman" w:hAnsi="Times New Roman" w:cs="Times New Roman"/>
          <w:sz w:val="24"/>
          <w:szCs w:val="24"/>
        </w:rPr>
        <w:t>schools</w:t>
      </w:r>
      <w:r w:rsidRPr="007C440D">
        <w:rPr>
          <w:rFonts w:ascii="Times New Roman" w:hAnsi="Times New Roman" w:cs="Times New Roman"/>
          <w:sz w:val="24"/>
          <w:szCs w:val="24"/>
        </w:rPr>
        <w:t xml:space="preserve"> in Rwanda, finding lower access and higher dropout rates in public schools due to financial and societal challenges. Private schools offered better conditions, underscoring the need for gender-sensitive policies to improve girls’ access to public education. </w:t>
      </w:r>
      <w:r w:rsidR="00B44403">
        <w:rPr>
          <w:rFonts w:ascii="Times New Roman" w:hAnsi="Times New Roman" w:cs="Times New Roman"/>
          <w:sz w:val="24"/>
          <w:szCs w:val="24"/>
        </w:rPr>
        <w:t>Hence</w:t>
      </w:r>
      <w:r w:rsidRPr="007C440D">
        <w:rPr>
          <w:rFonts w:ascii="Times New Roman" w:hAnsi="Times New Roman" w:cs="Times New Roman"/>
          <w:sz w:val="24"/>
          <w:szCs w:val="24"/>
        </w:rPr>
        <w:t>, these studies emphasize the importance of systemic, cultural, and institutional reforms to foster inclusive educational environments that support girls' academic success and long-term empowerment.</w:t>
      </w:r>
    </w:p>
    <w:p w14:paraId="37E4930D" w14:textId="77777777" w:rsidR="00CC1EA3" w:rsidRPr="00590763" w:rsidRDefault="00CC1EA3" w:rsidP="00E83841">
      <w:pPr>
        <w:pStyle w:val="NormalWeb"/>
        <w:spacing w:line="360" w:lineRule="auto"/>
        <w:jc w:val="both"/>
        <w:rPr>
          <w:b/>
          <w:i/>
          <w:color w:val="000000" w:themeColor="text1"/>
          <w:shd w:val="clear" w:color="auto" w:fill="FFFFFF"/>
        </w:rPr>
      </w:pPr>
      <w:r w:rsidRPr="00590763">
        <w:rPr>
          <w:b/>
          <w:i/>
          <w:color w:val="000000" w:themeColor="text1"/>
          <w:shd w:val="clear" w:color="auto" w:fill="FFFFFF"/>
        </w:rPr>
        <w:t>Social Justice Theory</w:t>
      </w:r>
    </w:p>
    <w:p w14:paraId="56EA3283" w14:textId="77777777" w:rsidR="00C936AD" w:rsidRPr="00390B36" w:rsidRDefault="00E02693" w:rsidP="00E83841">
      <w:pPr>
        <w:spacing w:line="360" w:lineRule="auto"/>
        <w:jc w:val="both"/>
        <w:rPr>
          <w:rFonts w:ascii="Times New Roman" w:hAnsi="Times New Roman" w:cs="Times New Roman"/>
          <w:sz w:val="24"/>
          <w:szCs w:val="24"/>
        </w:rPr>
      </w:pPr>
      <w:r w:rsidRPr="00E02693">
        <w:rPr>
          <w:rFonts w:ascii="Times New Roman" w:hAnsi="Times New Roman" w:cs="Times New Roman"/>
          <w:sz w:val="24"/>
          <w:szCs w:val="24"/>
        </w:rPr>
        <w:t>The theory of social justice was introduced by John Rawls in 1971</w:t>
      </w:r>
      <w:r w:rsidR="00B44403">
        <w:rPr>
          <w:rFonts w:ascii="Times New Roman" w:hAnsi="Times New Roman" w:cs="Times New Roman"/>
          <w:sz w:val="24"/>
          <w:szCs w:val="24"/>
        </w:rPr>
        <w:t>.</w:t>
      </w:r>
      <w:r w:rsidRPr="00E02693">
        <w:rPr>
          <w:rFonts w:ascii="Times New Roman" w:hAnsi="Times New Roman" w:cs="Times New Roman"/>
          <w:sz w:val="24"/>
          <w:szCs w:val="24"/>
        </w:rPr>
        <w:t xml:space="preserve"> </w:t>
      </w:r>
      <w:r w:rsidR="00B44403">
        <w:rPr>
          <w:rFonts w:ascii="Times New Roman" w:hAnsi="Times New Roman" w:cs="Times New Roman"/>
          <w:sz w:val="24"/>
          <w:szCs w:val="24"/>
        </w:rPr>
        <w:t>It</w:t>
      </w:r>
      <w:r w:rsidRPr="00E02693">
        <w:rPr>
          <w:rFonts w:ascii="Times New Roman" w:hAnsi="Times New Roman" w:cs="Times New Roman"/>
          <w:sz w:val="24"/>
          <w:szCs w:val="24"/>
        </w:rPr>
        <w:t xml:space="preserve"> is concerned with the fair and equitable distribution of resources and opportunities in society. In the context of education, it emphasizes the need for policies that ensure all students, regardless of gender, have equal access to quality education. Addi</w:t>
      </w:r>
      <w:r w:rsidR="001C2FBC">
        <w:rPr>
          <w:rFonts w:ascii="Times New Roman" w:hAnsi="Times New Roman" w:cs="Times New Roman"/>
          <w:sz w:val="24"/>
          <w:szCs w:val="24"/>
        </w:rPr>
        <w:t>tionally, improving gender equ</w:t>
      </w:r>
      <w:r w:rsidRPr="00E02693">
        <w:rPr>
          <w:rFonts w:ascii="Times New Roman" w:hAnsi="Times New Roman" w:cs="Times New Roman"/>
          <w:sz w:val="24"/>
          <w:szCs w:val="24"/>
        </w:rPr>
        <w:t xml:space="preserve">ity in education can include measures to prevent gender-based violence and harassment within schools, ensuring that girls feel safe and secure in their learning environments. </w:t>
      </w:r>
      <w:r w:rsidR="00B44403">
        <w:rPr>
          <w:rFonts w:ascii="Times New Roman" w:hAnsi="Times New Roman" w:cs="Times New Roman"/>
          <w:sz w:val="24"/>
          <w:szCs w:val="24"/>
        </w:rPr>
        <w:t>It is important to u</w:t>
      </w:r>
      <w:r w:rsidRPr="00E02693">
        <w:rPr>
          <w:rFonts w:ascii="Times New Roman" w:hAnsi="Times New Roman" w:cs="Times New Roman"/>
          <w:sz w:val="24"/>
          <w:szCs w:val="24"/>
        </w:rPr>
        <w:t xml:space="preserve">nderstand that </w:t>
      </w:r>
      <w:r w:rsidR="00CF0198" w:rsidRPr="00CF0198">
        <w:rPr>
          <w:rFonts w:ascii="Times New Roman" w:hAnsi="Times New Roman" w:cs="Times New Roman"/>
          <w:sz w:val="24"/>
          <w:szCs w:val="24"/>
        </w:rPr>
        <w:t xml:space="preserve">education extends beyond academics; policies may integrate support services such </w:t>
      </w:r>
      <w:r w:rsidR="00CF0198" w:rsidRPr="00CF0198">
        <w:rPr>
          <w:rFonts w:ascii="Times New Roman" w:hAnsi="Times New Roman" w:cs="Times New Roman"/>
          <w:sz w:val="24"/>
          <w:szCs w:val="24"/>
        </w:rPr>
        <w:lastRenderedPageBreak/>
        <w:t>as counseling, health education, and mentorship programs, which address the comprehensive needs of female students</w:t>
      </w:r>
      <w:r w:rsidR="00CF0198">
        <w:rPr>
          <w:rFonts w:ascii="Times New Roman" w:hAnsi="Times New Roman" w:cs="Times New Roman"/>
          <w:sz w:val="24"/>
          <w:szCs w:val="24"/>
        </w:rPr>
        <w:t xml:space="preserve"> in schools (Bains &amp; Mendelson, </w:t>
      </w:r>
      <w:r w:rsidR="00590763">
        <w:rPr>
          <w:rFonts w:ascii="Times New Roman" w:hAnsi="Times New Roman" w:cs="Times New Roman"/>
          <w:sz w:val="24"/>
          <w:szCs w:val="24"/>
        </w:rPr>
        <w:t>2019)</w:t>
      </w:r>
      <w:r w:rsidRPr="00E02693">
        <w:rPr>
          <w:rFonts w:ascii="Times New Roman" w:hAnsi="Times New Roman" w:cs="Times New Roman"/>
          <w:sz w:val="24"/>
          <w:szCs w:val="24"/>
        </w:rPr>
        <w:t xml:space="preserve">. These initiatives help empower girls, offering them not only academic support but also personal and emotional guidance. Social justice theory advocates for active collaboration among educators, policymakers, parents, and communities to create a supportive network that works together to promote the well-being and success of female students. This collective approach is essential for fostering an inclusive and equitable educational environment. This collective approach can enhance advocacy efforts for girls’ education at </w:t>
      </w:r>
      <w:r w:rsidR="00C936AD">
        <w:rPr>
          <w:rFonts w:ascii="Times New Roman" w:hAnsi="Times New Roman" w:cs="Times New Roman"/>
          <w:sz w:val="24"/>
          <w:szCs w:val="24"/>
        </w:rPr>
        <w:t xml:space="preserve">the </w:t>
      </w:r>
      <w:r w:rsidRPr="00E02693">
        <w:rPr>
          <w:rFonts w:ascii="Times New Roman" w:hAnsi="Times New Roman" w:cs="Times New Roman"/>
          <w:sz w:val="24"/>
          <w:szCs w:val="24"/>
        </w:rPr>
        <w:t>local, national, and international levels.</w:t>
      </w:r>
      <w:r w:rsidR="00390B36">
        <w:rPr>
          <w:rFonts w:ascii="Times New Roman" w:hAnsi="Times New Roman" w:cs="Times New Roman"/>
          <w:sz w:val="24"/>
          <w:szCs w:val="24"/>
        </w:rPr>
        <w:t xml:space="preserve"> </w:t>
      </w:r>
      <w:r w:rsidR="001C2FBC" w:rsidRPr="001C2FBC">
        <w:rPr>
          <w:rFonts w:ascii="Times New Roman" w:hAnsi="Times New Roman" w:cs="Times New Roman"/>
          <w:sz w:val="24"/>
          <w:szCs w:val="24"/>
        </w:rPr>
        <w:t xml:space="preserve">Gender equity, rooted in social justice principles, can drive long-term systemic changes that address inequality's root causes, </w:t>
      </w:r>
      <w:r w:rsidR="001C2FBC" w:rsidRPr="001C2FBC">
        <w:rPr>
          <w:rFonts w:ascii="Times New Roman" w:hAnsi="Times New Roman" w:cs="Times New Roman"/>
          <w:sz w:val="24"/>
          <w:szCs w:val="24"/>
        </w:rPr>
        <w:t>leading to improvements in girls' education and empowerment. It promotes fairness</w:t>
      </w:r>
      <w:r w:rsidR="00390B36">
        <w:rPr>
          <w:rFonts w:ascii="Times New Roman" w:hAnsi="Times New Roman" w:cs="Times New Roman"/>
          <w:sz w:val="24"/>
          <w:szCs w:val="24"/>
        </w:rPr>
        <w:t>,</w:t>
      </w:r>
      <w:r w:rsidR="001C2FBC" w:rsidRPr="001C2FBC">
        <w:rPr>
          <w:rFonts w:ascii="Times New Roman" w:hAnsi="Times New Roman" w:cs="Times New Roman"/>
          <w:sz w:val="24"/>
          <w:szCs w:val="24"/>
        </w:rPr>
        <w:t xml:space="preserve"> </w:t>
      </w:r>
      <w:r w:rsidR="00390B36" w:rsidRPr="00390B36">
        <w:rPr>
          <w:rFonts w:ascii="Times New Roman" w:hAnsi="Times New Roman" w:cs="Times New Roman"/>
          <w:sz w:val="24"/>
          <w:szCs w:val="24"/>
        </w:rPr>
        <w:t>empowerment, and addressing systemic barriers that affect girls' ability to thrive</w:t>
      </w:r>
      <w:r w:rsidR="00390B36">
        <w:rPr>
          <w:rFonts w:ascii="Times New Roman" w:hAnsi="Times New Roman" w:cs="Times New Roman"/>
          <w:sz w:val="24"/>
          <w:szCs w:val="24"/>
        </w:rPr>
        <w:t xml:space="preserve"> </w:t>
      </w:r>
      <w:r w:rsidR="001C2FBC" w:rsidRPr="001C2FBC">
        <w:rPr>
          <w:rFonts w:ascii="Times New Roman" w:hAnsi="Times New Roman" w:cs="Times New Roman"/>
          <w:sz w:val="24"/>
          <w:szCs w:val="24"/>
        </w:rPr>
        <w:t>as boys</w:t>
      </w:r>
      <w:r w:rsidR="00390B36">
        <w:t xml:space="preserve"> </w:t>
      </w:r>
      <w:r w:rsidR="00390B36" w:rsidRPr="00792410">
        <w:rPr>
          <w:rFonts w:ascii="Times New Roman" w:hAnsi="Times New Roman" w:cs="Times New Roman"/>
          <w:sz w:val="24"/>
          <w:szCs w:val="24"/>
        </w:rPr>
        <w:t>(</w:t>
      </w:r>
      <w:proofErr w:type="spellStart"/>
      <w:r w:rsidR="00390B36" w:rsidRPr="00792410">
        <w:rPr>
          <w:rFonts w:ascii="Times New Roman" w:hAnsi="Times New Roman" w:cs="Times New Roman"/>
          <w:sz w:val="24"/>
          <w:szCs w:val="24"/>
        </w:rPr>
        <w:t>Unterhalter</w:t>
      </w:r>
      <w:proofErr w:type="spellEnd"/>
      <w:r w:rsidR="00390B36" w:rsidRPr="00792410">
        <w:rPr>
          <w:rFonts w:ascii="Times New Roman" w:hAnsi="Times New Roman" w:cs="Times New Roman"/>
          <w:sz w:val="24"/>
          <w:szCs w:val="24"/>
        </w:rPr>
        <w:t>, 2015)</w:t>
      </w:r>
      <w:r w:rsidR="001C2FBC" w:rsidRPr="00792410">
        <w:rPr>
          <w:rFonts w:ascii="Times New Roman" w:hAnsi="Times New Roman" w:cs="Times New Roman"/>
          <w:sz w:val="24"/>
          <w:szCs w:val="24"/>
        </w:rPr>
        <w:t>.</w:t>
      </w:r>
      <w:r w:rsidR="001C2FBC" w:rsidRPr="001C2FBC">
        <w:rPr>
          <w:rFonts w:ascii="Times New Roman" w:hAnsi="Times New Roman" w:cs="Times New Roman"/>
          <w:sz w:val="24"/>
          <w:szCs w:val="24"/>
        </w:rPr>
        <w:t xml:space="preserve"> By improving completion rates, gender equity tackles systemic barriers, helping create an educational environment that empowers girls and supports their academic and personal growth (Fraser, 1997</w:t>
      </w:r>
      <w:r w:rsidR="001C2FBC">
        <w:t>).</w:t>
      </w:r>
    </w:p>
    <w:p w14:paraId="71A0AECB" w14:textId="77777777" w:rsidR="00C936AD" w:rsidRPr="00390B36" w:rsidRDefault="00C936AD" w:rsidP="00E83841">
      <w:pPr>
        <w:spacing w:line="360" w:lineRule="auto"/>
        <w:jc w:val="both"/>
        <w:rPr>
          <w:rFonts w:ascii="Times New Roman" w:hAnsi="Times New Roman" w:cs="Times New Roman"/>
          <w:b/>
          <w:i/>
          <w:sz w:val="24"/>
          <w:szCs w:val="24"/>
        </w:rPr>
      </w:pPr>
      <w:r w:rsidRPr="00390B36">
        <w:rPr>
          <w:rFonts w:ascii="Times New Roman" w:hAnsi="Times New Roman" w:cs="Times New Roman"/>
          <w:b/>
          <w:i/>
          <w:sz w:val="24"/>
          <w:szCs w:val="24"/>
        </w:rPr>
        <w:t>Conceptual Framework</w:t>
      </w:r>
    </w:p>
    <w:p w14:paraId="3C5E8E78" w14:textId="77777777" w:rsidR="00492163" w:rsidRDefault="00E70A24" w:rsidP="00E83841">
      <w:pPr>
        <w:spacing w:line="360" w:lineRule="auto"/>
        <w:jc w:val="both"/>
        <w:rPr>
          <w:rFonts w:ascii="Times New Roman" w:hAnsi="Times New Roman" w:cs="Times New Roman"/>
          <w:b/>
          <w:sz w:val="24"/>
          <w:szCs w:val="24"/>
        </w:rPr>
        <w:sectPr w:rsidR="00492163" w:rsidSect="00492163">
          <w:type w:val="continuous"/>
          <w:pgSz w:w="12240" w:h="15840"/>
          <w:pgMar w:top="1440" w:right="1440" w:bottom="1440" w:left="1440" w:header="720" w:footer="720" w:gutter="0"/>
          <w:cols w:num="2" w:space="720"/>
          <w:docGrid w:linePitch="360"/>
        </w:sectPr>
      </w:pPr>
      <w:r w:rsidRPr="00E70A24">
        <w:rPr>
          <w:rFonts w:ascii="Times New Roman" w:hAnsi="Times New Roman" w:cs="Times New Roman"/>
          <w:sz w:val="24"/>
          <w:szCs w:val="24"/>
        </w:rPr>
        <w:t>This study examines the link between gender equity policy and girls’ completion rates in public secondary schools, highlighting the connection between the two variables. Gender equity policy is treated as the independent variable influencing the dependent variable, girls’ completion rates</w:t>
      </w:r>
      <w:r w:rsidR="00390B36">
        <w:rPr>
          <w:rFonts w:ascii="Times New Roman" w:hAnsi="Times New Roman" w:cs="Times New Roman"/>
          <w:sz w:val="24"/>
          <w:szCs w:val="24"/>
        </w:rPr>
        <w:t xml:space="preserve"> Figure 1</w:t>
      </w:r>
      <w:r w:rsidRPr="00E70A24">
        <w:rPr>
          <w:rFonts w:ascii="Times New Roman" w:hAnsi="Times New Roman" w:cs="Times New Roman"/>
          <w:sz w:val="24"/>
          <w:szCs w:val="24"/>
        </w:rPr>
        <w:t>.</w:t>
      </w:r>
      <w:r w:rsidR="00492163">
        <w:rPr>
          <w:rFonts w:ascii="Times New Roman" w:hAnsi="Times New Roman" w:cs="Times New Roman"/>
          <w:b/>
          <w:sz w:val="24"/>
          <w:szCs w:val="24"/>
        </w:rPr>
        <w:t xml:space="preserve">     </w:t>
      </w:r>
    </w:p>
    <w:p w14:paraId="128C5AA7" w14:textId="77777777" w:rsidR="00C936AD" w:rsidRPr="00E70A24" w:rsidRDefault="00C936AD" w:rsidP="00E83841">
      <w:pPr>
        <w:spacing w:line="360" w:lineRule="auto"/>
        <w:jc w:val="both"/>
        <w:rPr>
          <w:rFonts w:ascii="Times New Roman" w:hAnsi="Times New Roman" w:cs="Times New Roman"/>
          <w:sz w:val="24"/>
          <w:szCs w:val="24"/>
        </w:rPr>
      </w:pPr>
    </w:p>
    <w:p w14:paraId="2D7E6FF7" w14:textId="77777777" w:rsidR="00C936AD" w:rsidRDefault="00390B36" w:rsidP="00E83841">
      <w:pPr>
        <w:spacing w:line="360" w:lineRule="auto"/>
        <w:jc w:val="center"/>
        <w:rPr>
          <w:rFonts w:ascii="Times New Roman" w:hAnsi="Times New Roman" w:cs="Times New Roman"/>
          <w:b/>
          <w:sz w:val="24"/>
          <w:szCs w:val="24"/>
        </w:rPr>
      </w:pPr>
      <w:r w:rsidRPr="00390B36">
        <w:rPr>
          <w:rFonts w:ascii="Times New Roman" w:hAnsi="Times New Roman" w:cs="Times New Roman"/>
          <w:b/>
          <w:noProof/>
          <w:sz w:val="24"/>
          <w:szCs w:val="24"/>
        </w:rPr>
        <w:drawing>
          <wp:inline distT="0" distB="0" distL="0" distR="0" wp14:anchorId="27924D64" wp14:editId="32AFB3D2">
            <wp:extent cx="4519559" cy="21463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536452" cy="2154322"/>
                    </a:xfrm>
                    <a:prstGeom prst="rect">
                      <a:avLst/>
                    </a:prstGeom>
                  </pic:spPr>
                </pic:pic>
              </a:graphicData>
            </a:graphic>
          </wp:inline>
        </w:drawing>
      </w:r>
    </w:p>
    <w:p w14:paraId="669A3284" w14:textId="77777777" w:rsidR="00492163" w:rsidRDefault="00492163" w:rsidP="00E83841">
      <w:pPr>
        <w:spacing w:line="360" w:lineRule="auto"/>
        <w:jc w:val="both"/>
        <w:rPr>
          <w:rFonts w:ascii="Times New Roman" w:hAnsi="Times New Roman" w:cs="Times New Roman"/>
          <w:i/>
          <w:sz w:val="24"/>
          <w:szCs w:val="24"/>
        </w:rPr>
        <w:sectPr w:rsidR="00492163" w:rsidSect="00841AC1">
          <w:type w:val="continuous"/>
          <w:pgSz w:w="12240" w:h="15840"/>
          <w:pgMar w:top="1440" w:right="1440" w:bottom="1440" w:left="1440" w:header="720" w:footer="720" w:gutter="0"/>
          <w:cols w:space="720"/>
          <w:docGrid w:linePitch="360"/>
        </w:sectPr>
      </w:pPr>
    </w:p>
    <w:p w14:paraId="4490DF59" w14:textId="77777777" w:rsidR="00000DFA" w:rsidRPr="00000DFA" w:rsidRDefault="00000DFA" w:rsidP="00E83841">
      <w:pPr>
        <w:spacing w:line="360" w:lineRule="auto"/>
        <w:jc w:val="both"/>
        <w:rPr>
          <w:rFonts w:ascii="Times New Roman" w:hAnsi="Times New Roman" w:cs="Times New Roman"/>
          <w:b/>
          <w:sz w:val="24"/>
          <w:szCs w:val="24"/>
        </w:rPr>
      </w:pPr>
      <w:r w:rsidRPr="00000DFA">
        <w:rPr>
          <w:rFonts w:ascii="Times New Roman" w:hAnsi="Times New Roman" w:cs="Times New Roman"/>
          <w:i/>
          <w:sz w:val="24"/>
          <w:szCs w:val="24"/>
        </w:rPr>
        <w:lastRenderedPageBreak/>
        <w:t>Figure 1</w:t>
      </w:r>
      <w:r w:rsidRPr="00000DFA">
        <w:rPr>
          <w:rFonts w:ascii="Times New Roman" w:hAnsi="Times New Roman" w:cs="Times New Roman"/>
          <w:b/>
          <w:sz w:val="24"/>
          <w:szCs w:val="24"/>
        </w:rPr>
        <w:t xml:space="preserve"> </w:t>
      </w:r>
      <w:r>
        <w:rPr>
          <w:rFonts w:ascii="Times New Roman" w:hAnsi="Times New Roman" w:cs="Times New Roman"/>
          <w:b/>
          <w:sz w:val="24"/>
          <w:szCs w:val="24"/>
        </w:rPr>
        <w:t>Gender Equity</w:t>
      </w:r>
      <w:r w:rsidRPr="00000DFA">
        <w:rPr>
          <w:rFonts w:ascii="Times New Roman" w:hAnsi="Times New Roman" w:cs="Times New Roman"/>
          <w:b/>
          <w:sz w:val="24"/>
          <w:szCs w:val="24"/>
        </w:rPr>
        <w:t xml:space="preserve"> Policy</w:t>
      </w:r>
      <w:r>
        <w:rPr>
          <w:rFonts w:ascii="Times New Roman" w:hAnsi="Times New Roman" w:cs="Times New Roman"/>
          <w:b/>
          <w:sz w:val="24"/>
          <w:szCs w:val="24"/>
        </w:rPr>
        <w:t xml:space="preserve"> On Girls ‘completion</w:t>
      </w:r>
      <w:r w:rsidRPr="00000DFA">
        <w:rPr>
          <w:rFonts w:ascii="Times New Roman" w:hAnsi="Times New Roman" w:cs="Times New Roman"/>
          <w:b/>
          <w:sz w:val="24"/>
          <w:szCs w:val="24"/>
        </w:rPr>
        <w:t xml:space="preserve"> Rates</w:t>
      </w:r>
    </w:p>
    <w:p w14:paraId="04D53AAB" w14:textId="3941C6F8" w:rsidR="00E70A24" w:rsidRDefault="00E70A24" w:rsidP="00E83841">
      <w:pPr>
        <w:spacing w:line="360" w:lineRule="auto"/>
        <w:jc w:val="both"/>
        <w:rPr>
          <w:rFonts w:ascii="Times New Roman" w:hAnsi="Times New Roman" w:cs="Times New Roman"/>
          <w:sz w:val="24"/>
          <w:szCs w:val="24"/>
        </w:rPr>
      </w:pPr>
      <w:r w:rsidRPr="00E70A24">
        <w:rPr>
          <w:rFonts w:ascii="Times New Roman" w:hAnsi="Times New Roman" w:cs="Times New Roman"/>
          <w:sz w:val="24"/>
          <w:szCs w:val="24"/>
        </w:rPr>
        <w:t>Figure 1 illustrates the relationship between the independent, dependent, and intervening variable in th</w:t>
      </w:r>
      <w:r w:rsidR="00390B36">
        <w:rPr>
          <w:rFonts w:ascii="Times New Roman" w:hAnsi="Times New Roman" w:cs="Times New Roman"/>
          <w:sz w:val="24"/>
          <w:szCs w:val="24"/>
        </w:rPr>
        <w:t>is study</w:t>
      </w:r>
      <w:r w:rsidRPr="00E70A24">
        <w:rPr>
          <w:rFonts w:ascii="Times New Roman" w:hAnsi="Times New Roman" w:cs="Times New Roman"/>
          <w:sz w:val="24"/>
          <w:szCs w:val="24"/>
        </w:rPr>
        <w:t xml:space="preserve">. Gender equity policy is the independent variable, while girls’ completion rates serve as the dependent variable. The intervening variable </w:t>
      </w:r>
      <w:r w:rsidR="00390B36">
        <w:rPr>
          <w:rFonts w:ascii="Times New Roman" w:hAnsi="Times New Roman" w:cs="Times New Roman"/>
          <w:sz w:val="24"/>
          <w:szCs w:val="24"/>
        </w:rPr>
        <w:t xml:space="preserve">(i.e. educational policy and school </w:t>
      </w:r>
      <w:r w:rsidR="00792410">
        <w:rPr>
          <w:rFonts w:ascii="Times New Roman" w:hAnsi="Times New Roman" w:cs="Times New Roman"/>
          <w:sz w:val="24"/>
          <w:szCs w:val="24"/>
        </w:rPr>
        <w:t>rules</w:t>
      </w:r>
      <w:r w:rsidR="00390B36">
        <w:rPr>
          <w:rFonts w:ascii="Times New Roman" w:hAnsi="Times New Roman" w:cs="Times New Roman"/>
          <w:sz w:val="24"/>
          <w:szCs w:val="24"/>
        </w:rPr>
        <w:t xml:space="preserve"> and regulations) </w:t>
      </w:r>
      <w:r w:rsidRPr="00E70A24">
        <w:rPr>
          <w:rFonts w:ascii="Times New Roman" w:hAnsi="Times New Roman" w:cs="Times New Roman"/>
          <w:sz w:val="24"/>
          <w:szCs w:val="24"/>
        </w:rPr>
        <w:t xml:space="preserve">explains how the effective implementation of the policy enhances </w:t>
      </w:r>
      <w:r w:rsidR="00390B36">
        <w:rPr>
          <w:rFonts w:ascii="Times New Roman" w:hAnsi="Times New Roman" w:cs="Times New Roman"/>
          <w:sz w:val="24"/>
          <w:szCs w:val="24"/>
        </w:rPr>
        <w:t xml:space="preserve">girls’ </w:t>
      </w:r>
      <w:r w:rsidRPr="00E70A24">
        <w:rPr>
          <w:rFonts w:ascii="Times New Roman" w:hAnsi="Times New Roman" w:cs="Times New Roman"/>
          <w:sz w:val="24"/>
          <w:szCs w:val="24"/>
        </w:rPr>
        <w:t xml:space="preserve">completion rates. Overall, when gender equity measures, such as political empowerment, educational attainment, health, and economic participation, are effectively </w:t>
      </w:r>
      <w:r w:rsidR="00390B36">
        <w:rPr>
          <w:rFonts w:ascii="Times New Roman" w:hAnsi="Times New Roman" w:cs="Times New Roman"/>
          <w:sz w:val="24"/>
          <w:szCs w:val="24"/>
        </w:rPr>
        <w:t>implemented or enhanced</w:t>
      </w:r>
      <w:r w:rsidRPr="00E70A24">
        <w:rPr>
          <w:rFonts w:ascii="Times New Roman" w:hAnsi="Times New Roman" w:cs="Times New Roman"/>
          <w:sz w:val="24"/>
          <w:szCs w:val="24"/>
        </w:rPr>
        <w:t xml:space="preserve">, they </w:t>
      </w:r>
      <w:r w:rsidR="00390B36">
        <w:rPr>
          <w:rFonts w:ascii="Times New Roman" w:hAnsi="Times New Roman" w:cs="Times New Roman"/>
          <w:sz w:val="24"/>
          <w:szCs w:val="24"/>
        </w:rPr>
        <w:t xml:space="preserve">would </w:t>
      </w:r>
      <w:r w:rsidRPr="00E70A24">
        <w:rPr>
          <w:rFonts w:ascii="Times New Roman" w:hAnsi="Times New Roman" w:cs="Times New Roman"/>
          <w:sz w:val="24"/>
          <w:szCs w:val="24"/>
        </w:rPr>
        <w:t xml:space="preserve">positively </w:t>
      </w:r>
      <w:r w:rsidR="00B84A69">
        <w:rPr>
          <w:rFonts w:ascii="Times New Roman" w:hAnsi="Times New Roman" w:cs="Times New Roman"/>
          <w:sz w:val="24"/>
          <w:szCs w:val="24"/>
        </w:rPr>
        <w:t>have influenced</w:t>
      </w:r>
      <w:r w:rsidR="00390B36">
        <w:rPr>
          <w:rFonts w:ascii="Times New Roman" w:hAnsi="Times New Roman" w:cs="Times New Roman"/>
          <w:sz w:val="24"/>
          <w:szCs w:val="24"/>
        </w:rPr>
        <w:t xml:space="preserve"> by country educational policy environment, </w:t>
      </w:r>
      <w:r w:rsidR="00B84A69">
        <w:rPr>
          <w:rFonts w:ascii="Times New Roman" w:hAnsi="Times New Roman" w:cs="Times New Roman"/>
          <w:sz w:val="24"/>
          <w:szCs w:val="24"/>
        </w:rPr>
        <w:t>schools’</w:t>
      </w:r>
      <w:r w:rsidR="00390B36">
        <w:rPr>
          <w:rFonts w:ascii="Times New Roman" w:hAnsi="Times New Roman" w:cs="Times New Roman"/>
          <w:sz w:val="24"/>
          <w:szCs w:val="24"/>
        </w:rPr>
        <w:t xml:space="preserve"> rules and regulations to </w:t>
      </w:r>
      <w:r w:rsidRPr="00E70A24">
        <w:rPr>
          <w:rFonts w:ascii="Times New Roman" w:hAnsi="Times New Roman" w:cs="Times New Roman"/>
          <w:sz w:val="24"/>
          <w:szCs w:val="24"/>
        </w:rPr>
        <w:t>impact and increase girls’ completion rates in secondary education.</w:t>
      </w:r>
    </w:p>
    <w:p w14:paraId="033863BA" w14:textId="77777777" w:rsidR="00CC1EA3" w:rsidRDefault="00CC1EA3" w:rsidP="00E83841">
      <w:pPr>
        <w:spacing w:line="360" w:lineRule="auto"/>
        <w:jc w:val="both"/>
        <w:rPr>
          <w:rFonts w:ascii="Times New Roman" w:eastAsia="Calibri" w:hAnsi="Times New Roman" w:cs="Times New Roman"/>
          <w:b/>
          <w:sz w:val="24"/>
        </w:rPr>
      </w:pPr>
      <w:r w:rsidRPr="00455EE8">
        <w:rPr>
          <w:rFonts w:ascii="Times New Roman" w:eastAsia="Calibri" w:hAnsi="Times New Roman" w:cs="Times New Roman"/>
          <w:b/>
          <w:sz w:val="24"/>
        </w:rPr>
        <w:t>3.</w:t>
      </w:r>
      <w:r w:rsidR="00E70A24">
        <w:rPr>
          <w:rFonts w:ascii="Times New Roman" w:eastAsia="Calibri" w:hAnsi="Times New Roman" w:cs="Times New Roman"/>
          <w:b/>
          <w:sz w:val="24"/>
        </w:rPr>
        <w:t xml:space="preserve"> </w:t>
      </w:r>
      <w:r w:rsidR="00E70A24" w:rsidRPr="00455EE8">
        <w:rPr>
          <w:rFonts w:ascii="Times New Roman" w:eastAsia="Calibri" w:hAnsi="Times New Roman" w:cs="Times New Roman"/>
          <w:b/>
          <w:sz w:val="24"/>
        </w:rPr>
        <w:t>RESEARCH METHODOLOGY</w:t>
      </w:r>
    </w:p>
    <w:p w14:paraId="2556937D" w14:textId="77777777" w:rsidR="005C3279" w:rsidRPr="005C3279" w:rsidRDefault="005C3279" w:rsidP="00E83841">
      <w:pPr>
        <w:spacing w:line="360" w:lineRule="auto"/>
        <w:jc w:val="both"/>
        <w:rPr>
          <w:rFonts w:ascii="Times New Roman" w:hAnsi="Times New Roman" w:cs="Times New Roman"/>
          <w:sz w:val="24"/>
          <w:szCs w:val="24"/>
        </w:rPr>
      </w:pPr>
      <w:r w:rsidRPr="005C3279">
        <w:rPr>
          <w:rFonts w:ascii="Times New Roman" w:hAnsi="Times New Roman" w:cs="Times New Roman"/>
          <w:sz w:val="24"/>
          <w:szCs w:val="24"/>
        </w:rPr>
        <w:t xml:space="preserve">This study used a quantitative research approach and a descriptive research design. The quantitative approach was chosen for its ability to gather objective data suitable for </w:t>
      </w:r>
      <w:r w:rsidRPr="005C3279">
        <w:rPr>
          <w:rFonts w:ascii="Times New Roman" w:hAnsi="Times New Roman" w:cs="Times New Roman"/>
          <w:sz w:val="24"/>
          <w:szCs w:val="24"/>
        </w:rPr>
        <w:t>statistical analysis, helping identify trends between gender equity policy and girls' school completion</w:t>
      </w:r>
      <w:r w:rsidR="003D5A1A">
        <w:rPr>
          <w:rFonts w:ascii="Times New Roman" w:hAnsi="Times New Roman" w:cs="Times New Roman"/>
          <w:sz w:val="24"/>
          <w:szCs w:val="24"/>
        </w:rPr>
        <w:t xml:space="preserve"> rates</w:t>
      </w:r>
      <w:r w:rsidRPr="005C3279">
        <w:rPr>
          <w:rFonts w:ascii="Times New Roman" w:hAnsi="Times New Roman" w:cs="Times New Roman"/>
          <w:sz w:val="24"/>
          <w:szCs w:val="24"/>
        </w:rPr>
        <w:t xml:space="preserve">. The descriptive design allowed for systematic observation of the population without altering variables, focusing on the policy's impact on girls’ completion rates in Rwandan public secondary schools. </w:t>
      </w:r>
      <w:proofErr w:type="spellStart"/>
      <w:r w:rsidRPr="005C3279">
        <w:rPr>
          <w:rFonts w:ascii="Times New Roman" w:hAnsi="Times New Roman" w:cs="Times New Roman"/>
          <w:sz w:val="24"/>
          <w:szCs w:val="24"/>
        </w:rPr>
        <w:t>Solvin’s</w:t>
      </w:r>
      <w:proofErr w:type="spellEnd"/>
      <w:r w:rsidRPr="005C3279">
        <w:rPr>
          <w:rFonts w:ascii="Times New Roman" w:hAnsi="Times New Roman" w:cs="Times New Roman"/>
          <w:sz w:val="24"/>
          <w:szCs w:val="24"/>
        </w:rPr>
        <w:t xml:space="preserve"> formula determined a manageable sample size of 260 respondents. Data was primarily gathered using questionnaire, which served as the main research instrument throughout the study.</w:t>
      </w:r>
    </w:p>
    <w:p w14:paraId="0564EFBE" w14:textId="77777777" w:rsidR="00E02693" w:rsidRDefault="005C3279" w:rsidP="00E83841">
      <w:pPr>
        <w:spacing w:before="100" w:beforeAutospacing="1" w:after="100" w:afterAutospacing="1"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r w:rsidR="003D5A1A">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RESULTS</w:t>
      </w:r>
    </w:p>
    <w:p w14:paraId="0C4E0187" w14:textId="77777777" w:rsidR="00BE7412" w:rsidRDefault="005C3279" w:rsidP="00E83841">
      <w:pPr>
        <w:spacing w:before="100" w:beforeAutospacing="1" w:after="100" w:afterAutospacing="1" w:line="360" w:lineRule="auto"/>
        <w:jc w:val="both"/>
        <w:rPr>
          <w:rStyle w:val="fontstyle01"/>
          <w:rFonts w:ascii="Times New Roman" w:hAnsi="Times New Roman" w:cs="Times New Roman"/>
          <w:sz w:val="24"/>
          <w:szCs w:val="24"/>
        </w:rPr>
      </w:pPr>
      <w:r>
        <w:rPr>
          <w:rFonts w:ascii="Times New Roman" w:eastAsia="Times New Roman" w:hAnsi="Times New Roman" w:cs="Times New Roman"/>
          <w:sz w:val="24"/>
          <w:szCs w:val="24"/>
        </w:rPr>
        <w:t>This study aimed</w:t>
      </w:r>
      <w:r w:rsidR="00E0269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to assess</w:t>
      </w:r>
      <w:r w:rsidR="00E02693">
        <w:rPr>
          <w:rFonts w:ascii="Times New Roman" w:eastAsia="Times New Roman" w:hAnsi="Times New Roman" w:cs="Times New Roman"/>
          <w:sz w:val="24"/>
          <w:szCs w:val="24"/>
        </w:rPr>
        <w:t xml:space="preserve"> the role of gender equity</w:t>
      </w:r>
      <w:r w:rsidR="00A369A6">
        <w:rPr>
          <w:rFonts w:ascii="Times New Roman" w:eastAsia="Times New Roman" w:hAnsi="Times New Roman" w:cs="Times New Roman"/>
          <w:sz w:val="24"/>
          <w:szCs w:val="24"/>
        </w:rPr>
        <w:t xml:space="preserve"> policy</w:t>
      </w:r>
      <w:r w:rsidR="00E02693">
        <w:rPr>
          <w:rFonts w:ascii="Times New Roman" w:eastAsia="Times New Roman" w:hAnsi="Times New Roman" w:cs="Times New Roman"/>
          <w:sz w:val="24"/>
          <w:szCs w:val="24"/>
        </w:rPr>
        <w:t xml:space="preserve"> on </w:t>
      </w:r>
      <w:r w:rsidR="00256879" w:rsidRPr="00780677">
        <w:rPr>
          <w:rFonts w:ascii="Times New Roman" w:hAnsi="Times New Roman" w:cs="Times New Roman"/>
          <w:sz w:val="24"/>
          <w:szCs w:val="24"/>
        </w:rPr>
        <w:t>girls’</w:t>
      </w:r>
      <w:r w:rsidR="00256879">
        <w:rPr>
          <w:rFonts w:ascii="Times New Roman" w:hAnsi="Times New Roman" w:cs="Times New Roman"/>
          <w:sz w:val="24"/>
          <w:szCs w:val="24"/>
        </w:rPr>
        <w:t xml:space="preserve"> </w:t>
      </w:r>
      <w:r w:rsidR="00E02693">
        <w:rPr>
          <w:rFonts w:ascii="Times New Roman" w:hAnsi="Times New Roman" w:cs="Times New Roman"/>
          <w:sz w:val="24"/>
          <w:szCs w:val="24"/>
        </w:rPr>
        <w:t xml:space="preserve">completion </w:t>
      </w:r>
      <w:r>
        <w:rPr>
          <w:rFonts w:ascii="Times New Roman" w:hAnsi="Times New Roman" w:cs="Times New Roman"/>
          <w:sz w:val="24"/>
          <w:szCs w:val="24"/>
        </w:rPr>
        <w:t>rates</w:t>
      </w:r>
      <w:r w:rsidR="00E02693">
        <w:rPr>
          <w:rFonts w:ascii="Times New Roman" w:hAnsi="Times New Roman" w:cs="Times New Roman"/>
          <w:sz w:val="24"/>
          <w:szCs w:val="24"/>
        </w:rPr>
        <w:t xml:space="preserve"> </w:t>
      </w:r>
      <w:r w:rsidR="00E02693" w:rsidRPr="00780677">
        <w:rPr>
          <w:rFonts w:ascii="Times New Roman" w:hAnsi="Times New Roman" w:cs="Times New Roman"/>
          <w:sz w:val="24"/>
          <w:szCs w:val="24"/>
        </w:rPr>
        <w:t>in public secondary</w:t>
      </w:r>
      <w:r w:rsidR="00E02693">
        <w:rPr>
          <w:rFonts w:ascii="Times New Roman" w:hAnsi="Times New Roman" w:cs="Times New Roman"/>
          <w:sz w:val="24"/>
          <w:szCs w:val="24"/>
        </w:rPr>
        <w:t xml:space="preserve"> schools</w:t>
      </w:r>
      <w:r w:rsidR="00E02693" w:rsidRPr="00780677">
        <w:rPr>
          <w:rFonts w:ascii="Times New Roman" w:hAnsi="Times New Roman" w:cs="Times New Roman"/>
          <w:sz w:val="24"/>
          <w:szCs w:val="24"/>
        </w:rPr>
        <w:t>.</w:t>
      </w:r>
      <w:r w:rsidR="00E02693" w:rsidRPr="00D157E8">
        <w:rPr>
          <w:rStyle w:val="uv3um"/>
        </w:rPr>
        <w:t xml:space="preserve"> </w:t>
      </w:r>
      <w:r w:rsidR="00E02693">
        <w:rPr>
          <w:rStyle w:val="fontstyle01"/>
          <w:rFonts w:ascii="Times New Roman" w:hAnsi="Times New Roman" w:cs="Times New Roman"/>
          <w:sz w:val="24"/>
          <w:szCs w:val="24"/>
        </w:rPr>
        <w:t>In this section</w:t>
      </w:r>
      <w:r>
        <w:rPr>
          <w:rStyle w:val="fontstyle01"/>
          <w:rFonts w:ascii="Times New Roman" w:hAnsi="Times New Roman" w:cs="Times New Roman"/>
          <w:sz w:val="24"/>
          <w:szCs w:val="24"/>
        </w:rPr>
        <w:t>,</w:t>
      </w:r>
      <w:r w:rsidR="00E02693">
        <w:rPr>
          <w:rStyle w:val="fontstyle01"/>
          <w:rFonts w:ascii="Times New Roman" w:hAnsi="Times New Roman" w:cs="Times New Roman"/>
          <w:sz w:val="24"/>
          <w:szCs w:val="24"/>
        </w:rPr>
        <w:t xml:space="preserve"> the researcher</w:t>
      </w:r>
      <w:r w:rsidR="00E02693" w:rsidRPr="00D157E8">
        <w:rPr>
          <w:rStyle w:val="fontstyle01"/>
          <w:rFonts w:ascii="Times New Roman" w:hAnsi="Times New Roman" w:cs="Times New Roman"/>
          <w:sz w:val="24"/>
          <w:szCs w:val="24"/>
        </w:rPr>
        <w:t xml:space="preserve"> present</w:t>
      </w:r>
      <w:r w:rsidR="00E02693">
        <w:rPr>
          <w:rStyle w:val="fontstyle01"/>
          <w:rFonts w:ascii="Times New Roman" w:hAnsi="Times New Roman" w:cs="Times New Roman"/>
          <w:sz w:val="24"/>
          <w:szCs w:val="24"/>
        </w:rPr>
        <w:t xml:space="preserve">ed </w:t>
      </w:r>
      <w:r w:rsidR="00E02693" w:rsidRPr="00D157E8">
        <w:rPr>
          <w:rStyle w:val="fontstyle01"/>
          <w:rFonts w:ascii="Times New Roman" w:hAnsi="Times New Roman" w:cs="Times New Roman"/>
          <w:sz w:val="24"/>
          <w:szCs w:val="24"/>
        </w:rPr>
        <w:t>both descriptive and inferential statistics of this study.</w:t>
      </w:r>
    </w:p>
    <w:p w14:paraId="279D3FAF" w14:textId="77777777" w:rsidR="005C3279" w:rsidRPr="00127755" w:rsidRDefault="005C3279" w:rsidP="00E83841">
      <w:pPr>
        <w:spacing w:after="0" w:line="360" w:lineRule="auto"/>
        <w:jc w:val="both"/>
        <w:rPr>
          <w:rFonts w:ascii="Times New Roman" w:eastAsia="Times New Roman" w:hAnsi="Times New Roman" w:cs="Times New Roman"/>
          <w:b/>
          <w:sz w:val="24"/>
          <w:szCs w:val="24"/>
        </w:rPr>
      </w:pPr>
      <w:r w:rsidRPr="00127755">
        <w:rPr>
          <w:rFonts w:ascii="Times New Roman" w:eastAsia="Times New Roman" w:hAnsi="Times New Roman" w:cs="Times New Roman"/>
          <w:b/>
          <w:sz w:val="24"/>
          <w:szCs w:val="24"/>
        </w:rPr>
        <w:t>Descriptive Statistical Analysis</w:t>
      </w:r>
    </w:p>
    <w:p w14:paraId="56A0D36C" w14:textId="77777777" w:rsidR="00E02693" w:rsidRPr="00E02693" w:rsidRDefault="00E02693" w:rsidP="00E83841">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Findings presented in </w:t>
      </w:r>
      <w:r w:rsidR="005C3279">
        <w:rPr>
          <w:rFonts w:ascii="Times New Roman" w:eastAsia="Times New Roman" w:hAnsi="Times New Roman" w:cs="Times New Roman"/>
          <w:sz w:val="24"/>
          <w:szCs w:val="24"/>
        </w:rPr>
        <w:t>Table</w:t>
      </w:r>
      <w:r w:rsidR="007E03F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1 </w:t>
      </w:r>
      <w:r w:rsidR="007E03FA">
        <w:rPr>
          <w:rFonts w:ascii="Times New Roman" w:eastAsia="Times New Roman" w:hAnsi="Times New Roman" w:cs="Times New Roman"/>
          <w:sz w:val="24"/>
          <w:szCs w:val="24"/>
        </w:rPr>
        <w:t>show</w:t>
      </w:r>
      <w:r>
        <w:rPr>
          <w:rFonts w:ascii="Times New Roman" w:eastAsia="Times New Roman" w:hAnsi="Times New Roman" w:cs="Times New Roman"/>
          <w:sz w:val="24"/>
          <w:szCs w:val="24"/>
        </w:rPr>
        <w:t xml:space="preserve"> the role of gender equity</w:t>
      </w:r>
      <w:r w:rsidR="00A369A6">
        <w:rPr>
          <w:rFonts w:ascii="Times New Roman" w:eastAsia="Times New Roman" w:hAnsi="Times New Roman" w:cs="Times New Roman"/>
          <w:sz w:val="24"/>
          <w:szCs w:val="24"/>
        </w:rPr>
        <w:t xml:space="preserve"> policy</w:t>
      </w:r>
      <w:r>
        <w:rPr>
          <w:rFonts w:ascii="Times New Roman" w:eastAsia="Times New Roman" w:hAnsi="Times New Roman" w:cs="Times New Roman"/>
          <w:sz w:val="24"/>
          <w:szCs w:val="24"/>
        </w:rPr>
        <w:t xml:space="preserve"> on girls’ completion rate</w:t>
      </w:r>
      <w:r w:rsidR="005C3279">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in </w:t>
      </w:r>
      <w:r w:rsidR="003D5A1A">
        <w:rPr>
          <w:rFonts w:ascii="Times New Roman" w:eastAsia="Times New Roman" w:hAnsi="Times New Roman" w:cs="Times New Roman"/>
          <w:sz w:val="24"/>
          <w:szCs w:val="24"/>
        </w:rPr>
        <w:t xml:space="preserve">public </w:t>
      </w:r>
      <w:r>
        <w:rPr>
          <w:rFonts w:ascii="Times New Roman" w:eastAsia="Times New Roman" w:hAnsi="Times New Roman" w:cs="Times New Roman"/>
          <w:sz w:val="24"/>
          <w:szCs w:val="24"/>
        </w:rPr>
        <w:t>secondary schools.</w:t>
      </w:r>
    </w:p>
    <w:p w14:paraId="72DBAE92" w14:textId="77777777" w:rsidR="00492163" w:rsidRDefault="00492163" w:rsidP="00E83841">
      <w:pPr>
        <w:pStyle w:val="Caption"/>
        <w:spacing w:line="360" w:lineRule="auto"/>
        <w:rPr>
          <w:b w:val="0"/>
          <w:i/>
          <w:sz w:val="24"/>
          <w:szCs w:val="24"/>
        </w:rPr>
        <w:sectPr w:rsidR="00492163" w:rsidSect="00492163">
          <w:type w:val="continuous"/>
          <w:pgSz w:w="12240" w:h="15840"/>
          <w:pgMar w:top="1440" w:right="1440" w:bottom="1440" w:left="1440" w:header="720" w:footer="720" w:gutter="0"/>
          <w:cols w:num="2" w:space="720"/>
          <w:docGrid w:linePitch="360"/>
        </w:sectPr>
      </w:pPr>
      <w:bookmarkStart w:id="2" w:name="_Toc186357843"/>
    </w:p>
    <w:p w14:paraId="70C51D28" w14:textId="77777777" w:rsidR="00E02693" w:rsidRDefault="007E03FA" w:rsidP="00E83841">
      <w:pPr>
        <w:pStyle w:val="Caption"/>
        <w:spacing w:line="360" w:lineRule="auto"/>
        <w:rPr>
          <w:bCs w:val="0"/>
          <w:sz w:val="24"/>
          <w:szCs w:val="24"/>
        </w:rPr>
      </w:pPr>
      <w:r>
        <w:rPr>
          <w:b w:val="0"/>
          <w:i/>
          <w:sz w:val="24"/>
          <w:szCs w:val="24"/>
        </w:rPr>
        <w:t xml:space="preserve">Table </w:t>
      </w:r>
      <w:r w:rsidR="005C3279">
        <w:rPr>
          <w:b w:val="0"/>
          <w:i/>
          <w:sz w:val="24"/>
          <w:szCs w:val="24"/>
        </w:rPr>
        <w:t>1</w:t>
      </w:r>
      <w:r w:rsidR="00E02693" w:rsidRPr="0085407D">
        <w:rPr>
          <w:bCs w:val="0"/>
          <w:kern w:val="2"/>
          <w:sz w:val="24"/>
          <w:szCs w:val="24"/>
          <w:lang w:eastAsia="sw-KE"/>
        </w:rPr>
        <w:t xml:space="preserve"> </w:t>
      </w:r>
      <w:r w:rsidR="00E02693">
        <w:rPr>
          <w:bCs w:val="0"/>
          <w:sz w:val="24"/>
          <w:szCs w:val="24"/>
        </w:rPr>
        <w:t>Gender Equ</w:t>
      </w:r>
      <w:r w:rsidR="00E02693" w:rsidRPr="002D0D07">
        <w:rPr>
          <w:bCs w:val="0"/>
          <w:sz w:val="24"/>
          <w:szCs w:val="24"/>
        </w:rPr>
        <w:t xml:space="preserve">ity </w:t>
      </w:r>
      <w:r w:rsidR="003D5A1A">
        <w:rPr>
          <w:bCs w:val="0"/>
          <w:sz w:val="24"/>
          <w:szCs w:val="24"/>
        </w:rPr>
        <w:t>on Girls’ Completion R</w:t>
      </w:r>
      <w:r w:rsidR="003D5A1A" w:rsidRPr="003D5A1A">
        <w:rPr>
          <w:bCs w:val="0"/>
          <w:sz w:val="24"/>
          <w:szCs w:val="24"/>
        </w:rPr>
        <w:t xml:space="preserve">ates </w:t>
      </w:r>
      <w:r w:rsidR="00E02693" w:rsidRPr="002D0D07">
        <w:rPr>
          <w:bCs w:val="0"/>
          <w:sz w:val="24"/>
          <w:szCs w:val="24"/>
        </w:rPr>
        <w:t>(N= 260)</w:t>
      </w:r>
      <w:bookmarkEnd w:id="2"/>
    </w:p>
    <w:tbl>
      <w:tblPr>
        <w:tblW w:w="10060" w:type="dxa"/>
        <w:tblBorders>
          <w:top w:val="single" w:sz="4" w:space="0" w:color="auto"/>
          <w:bottom w:val="single" w:sz="4" w:space="0" w:color="auto"/>
        </w:tblBorders>
        <w:tblLayout w:type="fixed"/>
        <w:tblLook w:val="04A0" w:firstRow="1" w:lastRow="0" w:firstColumn="1" w:lastColumn="0" w:noHBand="0" w:noVBand="1"/>
      </w:tblPr>
      <w:tblGrid>
        <w:gridCol w:w="562"/>
        <w:gridCol w:w="2552"/>
        <w:gridCol w:w="850"/>
        <w:gridCol w:w="851"/>
        <w:gridCol w:w="850"/>
        <w:gridCol w:w="851"/>
        <w:gridCol w:w="992"/>
        <w:gridCol w:w="709"/>
        <w:gridCol w:w="709"/>
        <w:gridCol w:w="1134"/>
      </w:tblGrid>
      <w:tr w:rsidR="00D20029" w:rsidRPr="00257550" w14:paraId="5863E734" w14:textId="77777777" w:rsidTr="009D434E">
        <w:tc>
          <w:tcPr>
            <w:tcW w:w="562" w:type="dxa"/>
            <w:tcBorders>
              <w:top w:val="single" w:sz="4" w:space="0" w:color="auto"/>
              <w:bottom w:val="single" w:sz="4" w:space="0" w:color="auto"/>
            </w:tcBorders>
          </w:tcPr>
          <w:p w14:paraId="54FC8D21" w14:textId="77777777" w:rsidR="00D20029" w:rsidRPr="00257550" w:rsidRDefault="00D20029" w:rsidP="00E83841">
            <w:pPr>
              <w:spacing w:after="0" w:line="360" w:lineRule="auto"/>
              <w:jc w:val="both"/>
              <w:rPr>
                <w:rFonts w:ascii="Times New Roman" w:eastAsia="Calibri" w:hAnsi="Times New Roman" w:cs="Times New Roman"/>
                <w:b/>
                <w:sz w:val="18"/>
                <w:szCs w:val="18"/>
              </w:rPr>
            </w:pPr>
            <w:r w:rsidRPr="00257550">
              <w:rPr>
                <w:rFonts w:ascii="Times New Roman" w:eastAsia="Calibri" w:hAnsi="Times New Roman" w:cs="Times New Roman"/>
                <w:b/>
                <w:sz w:val="18"/>
                <w:szCs w:val="18"/>
              </w:rPr>
              <w:t>S/N</w:t>
            </w:r>
          </w:p>
        </w:tc>
        <w:tc>
          <w:tcPr>
            <w:tcW w:w="2552" w:type="dxa"/>
            <w:tcBorders>
              <w:top w:val="single" w:sz="4" w:space="0" w:color="auto"/>
              <w:bottom w:val="single" w:sz="4" w:space="0" w:color="auto"/>
            </w:tcBorders>
            <w:shd w:val="clear" w:color="auto" w:fill="auto"/>
          </w:tcPr>
          <w:p w14:paraId="77BEFFBB" w14:textId="77777777" w:rsidR="00D20029" w:rsidRPr="00257550" w:rsidRDefault="00D20029" w:rsidP="00E83841">
            <w:pPr>
              <w:spacing w:after="0" w:line="360" w:lineRule="auto"/>
              <w:jc w:val="both"/>
              <w:rPr>
                <w:rFonts w:ascii="Times New Roman" w:eastAsia="Calibri" w:hAnsi="Times New Roman" w:cs="Times New Roman"/>
                <w:b/>
                <w:sz w:val="18"/>
                <w:szCs w:val="18"/>
              </w:rPr>
            </w:pPr>
            <w:r w:rsidRPr="00257550">
              <w:rPr>
                <w:rFonts w:ascii="Times New Roman" w:eastAsia="Calibri" w:hAnsi="Times New Roman" w:cs="Times New Roman"/>
                <w:b/>
                <w:sz w:val="18"/>
                <w:szCs w:val="18"/>
              </w:rPr>
              <w:t>Statements</w:t>
            </w:r>
          </w:p>
        </w:tc>
        <w:tc>
          <w:tcPr>
            <w:tcW w:w="850" w:type="dxa"/>
            <w:tcBorders>
              <w:top w:val="single" w:sz="4" w:space="0" w:color="auto"/>
              <w:bottom w:val="single" w:sz="4" w:space="0" w:color="auto"/>
            </w:tcBorders>
            <w:shd w:val="clear" w:color="auto" w:fill="auto"/>
          </w:tcPr>
          <w:p w14:paraId="7565937B" w14:textId="77777777" w:rsidR="00D20029" w:rsidRPr="00257550" w:rsidRDefault="00D20029" w:rsidP="00E83841">
            <w:pPr>
              <w:spacing w:after="0" w:line="360" w:lineRule="auto"/>
              <w:jc w:val="center"/>
              <w:rPr>
                <w:rFonts w:ascii="Times New Roman" w:eastAsia="Calibri" w:hAnsi="Times New Roman" w:cs="Times New Roman"/>
                <w:b/>
                <w:sz w:val="18"/>
                <w:szCs w:val="18"/>
              </w:rPr>
            </w:pPr>
            <w:r w:rsidRPr="00257550">
              <w:rPr>
                <w:rFonts w:ascii="Times New Roman" w:eastAsia="Calibri" w:hAnsi="Times New Roman" w:cs="Times New Roman"/>
                <w:b/>
                <w:sz w:val="18"/>
                <w:szCs w:val="18"/>
              </w:rPr>
              <w:t>STD</w:t>
            </w:r>
          </w:p>
        </w:tc>
        <w:tc>
          <w:tcPr>
            <w:tcW w:w="851" w:type="dxa"/>
            <w:tcBorders>
              <w:top w:val="single" w:sz="4" w:space="0" w:color="auto"/>
              <w:bottom w:val="single" w:sz="4" w:space="0" w:color="auto"/>
            </w:tcBorders>
            <w:shd w:val="clear" w:color="auto" w:fill="auto"/>
          </w:tcPr>
          <w:p w14:paraId="54D7BAE9" w14:textId="77777777" w:rsidR="00D20029" w:rsidRPr="00257550" w:rsidRDefault="00D20029" w:rsidP="00E83841">
            <w:pPr>
              <w:spacing w:after="0" w:line="360" w:lineRule="auto"/>
              <w:jc w:val="center"/>
              <w:rPr>
                <w:rFonts w:ascii="Times New Roman" w:eastAsia="Calibri" w:hAnsi="Times New Roman" w:cs="Times New Roman"/>
                <w:b/>
                <w:sz w:val="18"/>
                <w:szCs w:val="18"/>
              </w:rPr>
            </w:pPr>
            <w:r w:rsidRPr="00257550">
              <w:rPr>
                <w:rFonts w:ascii="Times New Roman" w:eastAsia="Calibri" w:hAnsi="Times New Roman" w:cs="Times New Roman"/>
                <w:b/>
                <w:sz w:val="18"/>
                <w:szCs w:val="18"/>
              </w:rPr>
              <w:t>D</w:t>
            </w:r>
          </w:p>
        </w:tc>
        <w:tc>
          <w:tcPr>
            <w:tcW w:w="850" w:type="dxa"/>
            <w:tcBorders>
              <w:top w:val="single" w:sz="4" w:space="0" w:color="auto"/>
              <w:bottom w:val="single" w:sz="4" w:space="0" w:color="auto"/>
            </w:tcBorders>
            <w:shd w:val="clear" w:color="auto" w:fill="auto"/>
          </w:tcPr>
          <w:p w14:paraId="732A65C4" w14:textId="77777777" w:rsidR="00D20029" w:rsidRPr="00257550" w:rsidRDefault="00D20029" w:rsidP="00E83841">
            <w:pPr>
              <w:spacing w:after="0" w:line="360" w:lineRule="auto"/>
              <w:jc w:val="center"/>
              <w:rPr>
                <w:rFonts w:ascii="Times New Roman" w:eastAsia="Calibri" w:hAnsi="Times New Roman" w:cs="Times New Roman"/>
                <w:b/>
                <w:sz w:val="18"/>
                <w:szCs w:val="18"/>
              </w:rPr>
            </w:pPr>
            <w:r w:rsidRPr="00257550">
              <w:rPr>
                <w:rFonts w:ascii="Times New Roman" w:eastAsia="Calibri" w:hAnsi="Times New Roman" w:cs="Times New Roman"/>
                <w:b/>
                <w:sz w:val="18"/>
                <w:szCs w:val="18"/>
              </w:rPr>
              <w:t>N</w:t>
            </w:r>
          </w:p>
        </w:tc>
        <w:tc>
          <w:tcPr>
            <w:tcW w:w="851" w:type="dxa"/>
            <w:tcBorders>
              <w:top w:val="single" w:sz="4" w:space="0" w:color="auto"/>
              <w:bottom w:val="single" w:sz="4" w:space="0" w:color="auto"/>
            </w:tcBorders>
            <w:shd w:val="clear" w:color="auto" w:fill="auto"/>
          </w:tcPr>
          <w:p w14:paraId="3C8F0A56" w14:textId="77777777" w:rsidR="00D20029" w:rsidRPr="00257550" w:rsidRDefault="00D20029" w:rsidP="00E83841">
            <w:pPr>
              <w:spacing w:after="0" w:line="360" w:lineRule="auto"/>
              <w:jc w:val="center"/>
              <w:rPr>
                <w:rFonts w:ascii="Times New Roman" w:eastAsia="Calibri" w:hAnsi="Times New Roman" w:cs="Times New Roman"/>
                <w:b/>
                <w:sz w:val="18"/>
                <w:szCs w:val="18"/>
              </w:rPr>
            </w:pPr>
            <w:r w:rsidRPr="00257550">
              <w:rPr>
                <w:rFonts w:ascii="Times New Roman" w:eastAsia="Calibri" w:hAnsi="Times New Roman" w:cs="Times New Roman"/>
                <w:b/>
                <w:sz w:val="18"/>
                <w:szCs w:val="18"/>
              </w:rPr>
              <w:t>A</w:t>
            </w:r>
          </w:p>
        </w:tc>
        <w:tc>
          <w:tcPr>
            <w:tcW w:w="992" w:type="dxa"/>
            <w:tcBorders>
              <w:top w:val="single" w:sz="4" w:space="0" w:color="auto"/>
              <w:bottom w:val="single" w:sz="4" w:space="0" w:color="auto"/>
            </w:tcBorders>
            <w:shd w:val="clear" w:color="auto" w:fill="auto"/>
          </w:tcPr>
          <w:p w14:paraId="568C6214" w14:textId="77777777" w:rsidR="00D20029" w:rsidRPr="00257550" w:rsidRDefault="00D20029" w:rsidP="00E83841">
            <w:pPr>
              <w:spacing w:after="0" w:line="360" w:lineRule="auto"/>
              <w:jc w:val="center"/>
              <w:rPr>
                <w:rFonts w:ascii="Times New Roman" w:eastAsia="Calibri" w:hAnsi="Times New Roman" w:cs="Times New Roman"/>
                <w:b/>
                <w:sz w:val="18"/>
                <w:szCs w:val="18"/>
              </w:rPr>
            </w:pPr>
            <w:r w:rsidRPr="00257550">
              <w:rPr>
                <w:rFonts w:ascii="Times New Roman" w:eastAsia="Calibri" w:hAnsi="Times New Roman" w:cs="Times New Roman"/>
                <w:b/>
                <w:sz w:val="18"/>
                <w:szCs w:val="18"/>
              </w:rPr>
              <w:t>SA</w:t>
            </w:r>
          </w:p>
        </w:tc>
        <w:tc>
          <w:tcPr>
            <w:tcW w:w="709" w:type="dxa"/>
            <w:tcBorders>
              <w:top w:val="single" w:sz="4" w:space="0" w:color="auto"/>
              <w:bottom w:val="single" w:sz="4" w:space="0" w:color="auto"/>
            </w:tcBorders>
            <w:shd w:val="clear" w:color="auto" w:fill="auto"/>
          </w:tcPr>
          <w:p w14:paraId="629B7520" w14:textId="77777777" w:rsidR="00D20029" w:rsidRPr="00257550" w:rsidRDefault="00D20029" w:rsidP="00E83841">
            <w:pPr>
              <w:spacing w:after="0" w:line="360" w:lineRule="auto"/>
              <w:jc w:val="center"/>
              <w:rPr>
                <w:rFonts w:ascii="Times New Roman" w:eastAsia="Calibri" w:hAnsi="Times New Roman" w:cs="Times New Roman"/>
                <w:b/>
                <w:sz w:val="18"/>
                <w:szCs w:val="18"/>
              </w:rPr>
            </w:pPr>
            <w:r w:rsidRPr="00257550">
              <w:rPr>
                <w:rFonts w:ascii="Times New Roman" w:eastAsia="Calibri" w:hAnsi="Times New Roman" w:cs="Times New Roman"/>
                <w:b/>
                <w:sz w:val="18"/>
                <w:szCs w:val="18"/>
              </w:rPr>
              <w:t>Mean</w:t>
            </w:r>
          </w:p>
        </w:tc>
        <w:tc>
          <w:tcPr>
            <w:tcW w:w="709" w:type="dxa"/>
            <w:tcBorders>
              <w:top w:val="single" w:sz="4" w:space="0" w:color="auto"/>
              <w:bottom w:val="single" w:sz="4" w:space="0" w:color="auto"/>
            </w:tcBorders>
            <w:shd w:val="clear" w:color="auto" w:fill="auto"/>
          </w:tcPr>
          <w:p w14:paraId="00E940FE" w14:textId="77777777" w:rsidR="00D20029" w:rsidRPr="00257550" w:rsidRDefault="00D20029" w:rsidP="00E83841">
            <w:pPr>
              <w:spacing w:after="0" w:line="360" w:lineRule="auto"/>
              <w:jc w:val="center"/>
              <w:rPr>
                <w:rFonts w:ascii="Times New Roman" w:eastAsia="Calibri" w:hAnsi="Times New Roman" w:cs="Times New Roman"/>
                <w:b/>
                <w:sz w:val="18"/>
                <w:szCs w:val="18"/>
              </w:rPr>
            </w:pPr>
            <w:r w:rsidRPr="00257550">
              <w:rPr>
                <w:rFonts w:ascii="Times New Roman" w:eastAsia="Calibri" w:hAnsi="Times New Roman" w:cs="Times New Roman"/>
                <w:b/>
                <w:sz w:val="18"/>
                <w:szCs w:val="18"/>
              </w:rPr>
              <w:t>SD</w:t>
            </w:r>
          </w:p>
        </w:tc>
        <w:tc>
          <w:tcPr>
            <w:tcW w:w="1134" w:type="dxa"/>
            <w:tcBorders>
              <w:top w:val="single" w:sz="4" w:space="0" w:color="auto"/>
              <w:bottom w:val="single" w:sz="4" w:space="0" w:color="auto"/>
            </w:tcBorders>
            <w:shd w:val="clear" w:color="auto" w:fill="auto"/>
          </w:tcPr>
          <w:p w14:paraId="0F6F0720" w14:textId="77777777" w:rsidR="00D20029" w:rsidRPr="00257550" w:rsidRDefault="00D20029" w:rsidP="00E83841">
            <w:pPr>
              <w:spacing w:after="0" w:line="360" w:lineRule="auto"/>
              <w:jc w:val="both"/>
              <w:rPr>
                <w:rFonts w:ascii="Times New Roman" w:eastAsia="Calibri" w:hAnsi="Times New Roman" w:cs="Times New Roman"/>
                <w:b/>
                <w:sz w:val="18"/>
                <w:szCs w:val="18"/>
              </w:rPr>
            </w:pPr>
            <w:r w:rsidRPr="00257550">
              <w:rPr>
                <w:rFonts w:ascii="Times New Roman" w:eastAsia="Calibri" w:hAnsi="Times New Roman" w:cs="Times New Roman"/>
                <w:b/>
                <w:sz w:val="18"/>
                <w:szCs w:val="18"/>
              </w:rPr>
              <w:t>Remarks</w:t>
            </w:r>
          </w:p>
          <w:p w14:paraId="3171089B" w14:textId="77777777" w:rsidR="009D434E" w:rsidRPr="00257550" w:rsidRDefault="009D434E" w:rsidP="00E83841">
            <w:pPr>
              <w:spacing w:after="0" w:line="360" w:lineRule="auto"/>
              <w:jc w:val="both"/>
              <w:rPr>
                <w:rFonts w:ascii="Times New Roman" w:eastAsia="Calibri" w:hAnsi="Times New Roman" w:cs="Times New Roman"/>
                <w:b/>
                <w:sz w:val="18"/>
                <w:szCs w:val="18"/>
              </w:rPr>
            </w:pPr>
          </w:p>
        </w:tc>
      </w:tr>
      <w:tr w:rsidR="00D20029" w:rsidRPr="00257550" w14:paraId="699DB5E6" w14:textId="77777777" w:rsidTr="009D434E">
        <w:trPr>
          <w:trHeight w:val="472"/>
        </w:trPr>
        <w:tc>
          <w:tcPr>
            <w:tcW w:w="562" w:type="dxa"/>
            <w:tcBorders>
              <w:top w:val="single" w:sz="4" w:space="0" w:color="auto"/>
            </w:tcBorders>
          </w:tcPr>
          <w:p w14:paraId="0BA9A3A0" w14:textId="77777777" w:rsidR="00D20029" w:rsidRPr="00257550" w:rsidRDefault="00D20029" w:rsidP="00E83841">
            <w:pPr>
              <w:spacing w:after="0" w:line="360" w:lineRule="auto"/>
              <w:jc w:val="both"/>
              <w:rPr>
                <w:rFonts w:ascii="Times New Roman" w:eastAsia="Calibri" w:hAnsi="Times New Roman" w:cs="Times New Roman"/>
                <w:sz w:val="18"/>
                <w:szCs w:val="18"/>
              </w:rPr>
            </w:pPr>
            <w:r w:rsidRPr="00257550">
              <w:rPr>
                <w:rFonts w:ascii="Times New Roman" w:eastAsia="Calibri" w:hAnsi="Times New Roman" w:cs="Times New Roman"/>
                <w:sz w:val="18"/>
                <w:szCs w:val="18"/>
              </w:rPr>
              <w:lastRenderedPageBreak/>
              <w:t>1.</w:t>
            </w:r>
          </w:p>
        </w:tc>
        <w:tc>
          <w:tcPr>
            <w:tcW w:w="2552" w:type="dxa"/>
            <w:tcBorders>
              <w:top w:val="single" w:sz="4" w:space="0" w:color="auto"/>
            </w:tcBorders>
            <w:shd w:val="clear" w:color="auto" w:fill="auto"/>
          </w:tcPr>
          <w:p w14:paraId="05F6F850" w14:textId="77777777" w:rsidR="00D20029" w:rsidRPr="00257550" w:rsidRDefault="00D20029" w:rsidP="00E83841">
            <w:pPr>
              <w:spacing w:after="0" w:line="360" w:lineRule="auto"/>
              <w:jc w:val="both"/>
              <w:rPr>
                <w:rFonts w:ascii="Times New Roman" w:eastAsia="Calibri" w:hAnsi="Times New Roman" w:cs="Times New Roman"/>
                <w:sz w:val="18"/>
                <w:szCs w:val="18"/>
              </w:rPr>
            </w:pPr>
            <w:r w:rsidRPr="00257550">
              <w:rPr>
                <w:rFonts w:ascii="Times New Roman" w:eastAsia="Calibri" w:hAnsi="Times New Roman" w:cs="Times New Roman"/>
                <w:sz w:val="18"/>
                <w:szCs w:val="18"/>
              </w:rPr>
              <w:t>Government supports girls’ education.</w:t>
            </w:r>
          </w:p>
        </w:tc>
        <w:tc>
          <w:tcPr>
            <w:tcW w:w="850" w:type="dxa"/>
            <w:tcBorders>
              <w:top w:val="single" w:sz="4" w:space="0" w:color="auto"/>
            </w:tcBorders>
            <w:shd w:val="clear" w:color="auto" w:fill="auto"/>
          </w:tcPr>
          <w:p w14:paraId="6EA0B79A" w14:textId="77777777" w:rsidR="00D20029" w:rsidRPr="00257550" w:rsidRDefault="00D20029" w:rsidP="00E83841">
            <w:pPr>
              <w:spacing w:after="0" w:line="360" w:lineRule="auto"/>
              <w:jc w:val="center"/>
              <w:rPr>
                <w:rFonts w:ascii="Times New Roman" w:eastAsia="Calibri" w:hAnsi="Times New Roman" w:cs="Times New Roman"/>
                <w:sz w:val="18"/>
                <w:szCs w:val="18"/>
              </w:rPr>
            </w:pPr>
            <w:r w:rsidRPr="00257550">
              <w:rPr>
                <w:rFonts w:ascii="Times New Roman" w:eastAsia="Calibri" w:hAnsi="Times New Roman" w:cs="Times New Roman"/>
                <w:sz w:val="18"/>
                <w:szCs w:val="18"/>
              </w:rPr>
              <w:t>8</w:t>
            </w:r>
          </w:p>
          <w:p w14:paraId="26B08509" w14:textId="77777777" w:rsidR="00D20029" w:rsidRPr="00257550" w:rsidRDefault="00D20029" w:rsidP="00E83841">
            <w:pPr>
              <w:spacing w:after="0" w:line="360" w:lineRule="auto"/>
              <w:jc w:val="center"/>
              <w:rPr>
                <w:rFonts w:ascii="Times New Roman" w:eastAsia="Calibri" w:hAnsi="Times New Roman" w:cs="Times New Roman"/>
                <w:sz w:val="18"/>
                <w:szCs w:val="18"/>
              </w:rPr>
            </w:pPr>
            <w:r w:rsidRPr="00257550">
              <w:rPr>
                <w:rFonts w:ascii="Times New Roman" w:eastAsia="Calibri" w:hAnsi="Times New Roman" w:cs="Times New Roman"/>
                <w:sz w:val="18"/>
                <w:szCs w:val="18"/>
              </w:rPr>
              <w:t>(3.1%)</w:t>
            </w:r>
          </w:p>
        </w:tc>
        <w:tc>
          <w:tcPr>
            <w:tcW w:w="851" w:type="dxa"/>
            <w:tcBorders>
              <w:top w:val="single" w:sz="4" w:space="0" w:color="auto"/>
            </w:tcBorders>
            <w:shd w:val="clear" w:color="auto" w:fill="auto"/>
          </w:tcPr>
          <w:p w14:paraId="5CEC67EF" w14:textId="77777777" w:rsidR="00D20029" w:rsidRPr="00257550" w:rsidRDefault="00D20029" w:rsidP="00E83841">
            <w:pPr>
              <w:spacing w:after="0" w:line="360" w:lineRule="auto"/>
              <w:jc w:val="center"/>
              <w:rPr>
                <w:rFonts w:ascii="Times New Roman" w:eastAsia="Calibri" w:hAnsi="Times New Roman" w:cs="Times New Roman"/>
                <w:sz w:val="18"/>
                <w:szCs w:val="18"/>
              </w:rPr>
            </w:pPr>
            <w:r w:rsidRPr="00257550">
              <w:rPr>
                <w:rFonts w:ascii="Times New Roman" w:eastAsia="Calibri" w:hAnsi="Times New Roman" w:cs="Times New Roman"/>
                <w:sz w:val="18"/>
                <w:szCs w:val="18"/>
              </w:rPr>
              <w:t>9</w:t>
            </w:r>
          </w:p>
          <w:p w14:paraId="745C2878" w14:textId="77777777" w:rsidR="00D20029" w:rsidRPr="00257550" w:rsidRDefault="00D20029" w:rsidP="00E83841">
            <w:pPr>
              <w:spacing w:after="0" w:line="360" w:lineRule="auto"/>
              <w:jc w:val="center"/>
              <w:rPr>
                <w:rFonts w:ascii="Times New Roman" w:eastAsia="Calibri" w:hAnsi="Times New Roman" w:cs="Times New Roman"/>
                <w:sz w:val="18"/>
                <w:szCs w:val="18"/>
              </w:rPr>
            </w:pPr>
            <w:r w:rsidRPr="00257550">
              <w:rPr>
                <w:rFonts w:ascii="Times New Roman" w:eastAsia="Calibri" w:hAnsi="Times New Roman" w:cs="Times New Roman"/>
                <w:sz w:val="18"/>
                <w:szCs w:val="18"/>
              </w:rPr>
              <w:t>(3.5%)</w:t>
            </w:r>
          </w:p>
        </w:tc>
        <w:tc>
          <w:tcPr>
            <w:tcW w:w="850" w:type="dxa"/>
            <w:tcBorders>
              <w:top w:val="single" w:sz="4" w:space="0" w:color="auto"/>
            </w:tcBorders>
            <w:shd w:val="clear" w:color="auto" w:fill="auto"/>
          </w:tcPr>
          <w:p w14:paraId="0E896BF9" w14:textId="77777777" w:rsidR="00D20029" w:rsidRPr="00257550" w:rsidRDefault="00D20029" w:rsidP="00E83841">
            <w:pPr>
              <w:spacing w:after="0" w:line="360" w:lineRule="auto"/>
              <w:jc w:val="center"/>
              <w:rPr>
                <w:rFonts w:ascii="Times New Roman" w:eastAsia="Calibri" w:hAnsi="Times New Roman" w:cs="Times New Roman"/>
                <w:sz w:val="18"/>
                <w:szCs w:val="18"/>
              </w:rPr>
            </w:pPr>
            <w:r w:rsidRPr="00257550">
              <w:rPr>
                <w:rFonts w:ascii="Times New Roman" w:eastAsia="Calibri" w:hAnsi="Times New Roman" w:cs="Times New Roman"/>
                <w:sz w:val="18"/>
                <w:szCs w:val="18"/>
              </w:rPr>
              <w:t>14</w:t>
            </w:r>
          </w:p>
          <w:p w14:paraId="48FFE3FB" w14:textId="77777777" w:rsidR="00D20029" w:rsidRPr="00257550" w:rsidRDefault="00D20029" w:rsidP="00E83841">
            <w:pPr>
              <w:spacing w:after="0" w:line="360" w:lineRule="auto"/>
              <w:jc w:val="center"/>
              <w:rPr>
                <w:rFonts w:ascii="Times New Roman" w:eastAsia="Calibri" w:hAnsi="Times New Roman" w:cs="Times New Roman"/>
                <w:sz w:val="18"/>
                <w:szCs w:val="18"/>
              </w:rPr>
            </w:pPr>
            <w:r w:rsidRPr="00257550">
              <w:rPr>
                <w:rFonts w:ascii="Times New Roman" w:eastAsia="Calibri" w:hAnsi="Times New Roman" w:cs="Times New Roman"/>
                <w:sz w:val="18"/>
                <w:szCs w:val="18"/>
              </w:rPr>
              <w:t>(5.4%)</w:t>
            </w:r>
          </w:p>
        </w:tc>
        <w:tc>
          <w:tcPr>
            <w:tcW w:w="851" w:type="dxa"/>
            <w:tcBorders>
              <w:top w:val="single" w:sz="4" w:space="0" w:color="auto"/>
            </w:tcBorders>
            <w:shd w:val="clear" w:color="auto" w:fill="auto"/>
          </w:tcPr>
          <w:p w14:paraId="1BD9FAB0" w14:textId="77777777" w:rsidR="00D20029" w:rsidRPr="00257550" w:rsidRDefault="00D20029" w:rsidP="00E83841">
            <w:pPr>
              <w:spacing w:after="0" w:line="360" w:lineRule="auto"/>
              <w:jc w:val="center"/>
              <w:rPr>
                <w:rFonts w:ascii="Times New Roman" w:eastAsia="Calibri" w:hAnsi="Times New Roman" w:cs="Times New Roman"/>
                <w:sz w:val="18"/>
                <w:szCs w:val="18"/>
              </w:rPr>
            </w:pPr>
            <w:r w:rsidRPr="00257550">
              <w:rPr>
                <w:rFonts w:ascii="Times New Roman" w:eastAsia="Calibri" w:hAnsi="Times New Roman" w:cs="Times New Roman"/>
                <w:sz w:val="18"/>
                <w:szCs w:val="18"/>
              </w:rPr>
              <w:t>60</w:t>
            </w:r>
          </w:p>
          <w:p w14:paraId="1472F800" w14:textId="77777777" w:rsidR="00D20029" w:rsidRPr="00257550" w:rsidRDefault="00D20029" w:rsidP="00E83841">
            <w:pPr>
              <w:spacing w:after="0" w:line="360" w:lineRule="auto"/>
              <w:jc w:val="center"/>
              <w:rPr>
                <w:rFonts w:ascii="Times New Roman" w:eastAsia="Calibri" w:hAnsi="Times New Roman" w:cs="Times New Roman"/>
                <w:sz w:val="18"/>
                <w:szCs w:val="18"/>
              </w:rPr>
            </w:pPr>
            <w:r w:rsidRPr="00257550">
              <w:rPr>
                <w:rFonts w:ascii="Times New Roman" w:eastAsia="Calibri" w:hAnsi="Times New Roman" w:cs="Times New Roman"/>
                <w:sz w:val="18"/>
                <w:szCs w:val="18"/>
              </w:rPr>
              <w:t>(23.5%)</w:t>
            </w:r>
          </w:p>
        </w:tc>
        <w:tc>
          <w:tcPr>
            <w:tcW w:w="992" w:type="dxa"/>
            <w:tcBorders>
              <w:top w:val="single" w:sz="4" w:space="0" w:color="auto"/>
            </w:tcBorders>
            <w:shd w:val="clear" w:color="auto" w:fill="auto"/>
          </w:tcPr>
          <w:p w14:paraId="19A0C51C" w14:textId="77777777" w:rsidR="00D20029" w:rsidRPr="00257550" w:rsidRDefault="00D20029" w:rsidP="00E83841">
            <w:pPr>
              <w:spacing w:after="0" w:line="360" w:lineRule="auto"/>
              <w:jc w:val="center"/>
              <w:rPr>
                <w:rFonts w:ascii="Times New Roman" w:eastAsia="Calibri" w:hAnsi="Times New Roman" w:cs="Times New Roman"/>
                <w:sz w:val="18"/>
                <w:szCs w:val="18"/>
              </w:rPr>
            </w:pPr>
            <w:r w:rsidRPr="00257550">
              <w:rPr>
                <w:rFonts w:ascii="Times New Roman" w:eastAsia="Calibri" w:hAnsi="Times New Roman" w:cs="Times New Roman"/>
                <w:sz w:val="18"/>
                <w:szCs w:val="18"/>
              </w:rPr>
              <w:t>169</w:t>
            </w:r>
          </w:p>
          <w:p w14:paraId="47B683FC" w14:textId="77777777" w:rsidR="00D20029" w:rsidRPr="00257550" w:rsidRDefault="00D20029" w:rsidP="00E83841">
            <w:pPr>
              <w:spacing w:after="0" w:line="360" w:lineRule="auto"/>
              <w:jc w:val="center"/>
              <w:rPr>
                <w:rFonts w:ascii="Times New Roman" w:eastAsia="Calibri" w:hAnsi="Times New Roman" w:cs="Times New Roman"/>
                <w:sz w:val="18"/>
                <w:szCs w:val="18"/>
              </w:rPr>
            </w:pPr>
            <w:r w:rsidRPr="00257550">
              <w:rPr>
                <w:rFonts w:ascii="Times New Roman" w:eastAsia="Calibri" w:hAnsi="Times New Roman" w:cs="Times New Roman"/>
                <w:sz w:val="18"/>
                <w:szCs w:val="18"/>
              </w:rPr>
              <w:t>(65.0%)</w:t>
            </w:r>
          </w:p>
        </w:tc>
        <w:tc>
          <w:tcPr>
            <w:tcW w:w="709" w:type="dxa"/>
            <w:tcBorders>
              <w:top w:val="single" w:sz="4" w:space="0" w:color="auto"/>
            </w:tcBorders>
            <w:shd w:val="clear" w:color="auto" w:fill="auto"/>
            <w:vAlign w:val="center"/>
          </w:tcPr>
          <w:p w14:paraId="3FF238F5" w14:textId="77777777" w:rsidR="00D20029" w:rsidRPr="00257550" w:rsidRDefault="00D20029" w:rsidP="00E83841">
            <w:pPr>
              <w:spacing w:after="0" w:line="360" w:lineRule="auto"/>
              <w:jc w:val="center"/>
              <w:rPr>
                <w:rFonts w:ascii="Times New Roman" w:eastAsia="Times New Roman" w:hAnsi="Times New Roman" w:cs="Times New Roman"/>
                <w:color w:val="000000"/>
                <w:sz w:val="18"/>
                <w:szCs w:val="18"/>
              </w:rPr>
            </w:pPr>
            <w:r w:rsidRPr="00257550">
              <w:rPr>
                <w:rFonts w:ascii="Times New Roman" w:eastAsia="Times New Roman" w:hAnsi="Times New Roman" w:cs="Times New Roman"/>
                <w:color w:val="000000"/>
                <w:sz w:val="18"/>
                <w:szCs w:val="18"/>
              </w:rPr>
              <w:t>4.43</w:t>
            </w:r>
          </w:p>
        </w:tc>
        <w:tc>
          <w:tcPr>
            <w:tcW w:w="709" w:type="dxa"/>
            <w:tcBorders>
              <w:top w:val="single" w:sz="4" w:space="0" w:color="auto"/>
            </w:tcBorders>
            <w:shd w:val="clear" w:color="auto" w:fill="auto"/>
            <w:vAlign w:val="center"/>
          </w:tcPr>
          <w:p w14:paraId="4A7FE3BF" w14:textId="77777777" w:rsidR="00D20029" w:rsidRPr="00257550" w:rsidRDefault="00D20029" w:rsidP="00E83841">
            <w:pPr>
              <w:spacing w:after="0" w:line="360" w:lineRule="auto"/>
              <w:jc w:val="center"/>
              <w:rPr>
                <w:rFonts w:ascii="Times New Roman" w:eastAsia="Times New Roman" w:hAnsi="Times New Roman" w:cs="Times New Roman"/>
                <w:color w:val="000000"/>
                <w:sz w:val="18"/>
                <w:szCs w:val="18"/>
              </w:rPr>
            </w:pPr>
            <w:r w:rsidRPr="00257550">
              <w:rPr>
                <w:rFonts w:ascii="Times New Roman" w:eastAsia="Times New Roman" w:hAnsi="Times New Roman" w:cs="Times New Roman"/>
                <w:color w:val="000000"/>
                <w:sz w:val="18"/>
                <w:szCs w:val="18"/>
              </w:rPr>
              <w:t>.966</w:t>
            </w:r>
          </w:p>
        </w:tc>
        <w:tc>
          <w:tcPr>
            <w:tcW w:w="1134" w:type="dxa"/>
            <w:tcBorders>
              <w:top w:val="single" w:sz="4" w:space="0" w:color="auto"/>
            </w:tcBorders>
            <w:shd w:val="clear" w:color="auto" w:fill="auto"/>
          </w:tcPr>
          <w:p w14:paraId="275100F0" w14:textId="77777777" w:rsidR="00D20029" w:rsidRPr="00257550" w:rsidRDefault="00D20029" w:rsidP="00E83841">
            <w:pPr>
              <w:spacing w:after="0" w:line="360" w:lineRule="auto"/>
              <w:jc w:val="both"/>
              <w:rPr>
                <w:rFonts w:ascii="Times New Roman" w:eastAsia="Calibri" w:hAnsi="Times New Roman" w:cs="Times New Roman"/>
                <w:sz w:val="18"/>
                <w:szCs w:val="18"/>
              </w:rPr>
            </w:pPr>
            <w:r w:rsidRPr="00257550">
              <w:rPr>
                <w:rFonts w:ascii="Times New Roman" w:eastAsia="Calibri" w:hAnsi="Times New Roman" w:cs="Times New Roman"/>
                <w:sz w:val="18"/>
                <w:szCs w:val="18"/>
              </w:rPr>
              <w:t xml:space="preserve">Very High </w:t>
            </w:r>
          </w:p>
        </w:tc>
      </w:tr>
      <w:tr w:rsidR="00D20029" w:rsidRPr="00257550" w14:paraId="69AE1FD2" w14:textId="77777777" w:rsidTr="009D434E">
        <w:tc>
          <w:tcPr>
            <w:tcW w:w="562" w:type="dxa"/>
          </w:tcPr>
          <w:p w14:paraId="62583A07" w14:textId="77777777" w:rsidR="00D20029" w:rsidRPr="00257550" w:rsidRDefault="00D20029" w:rsidP="00E83841">
            <w:pPr>
              <w:spacing w:after="0" w:line="360" w:lineRule="auto"/>
              <w:jc w:val="both"/>
              <w:rPr>
                <w:rFonts w:ascii="Times New Roman" w:eastAsia="Calibri" w:hAnsi="Times New Roman" w:cs="Times New Roman"/>
                <w:sz w:val="18"/>
                <w:szCs w:val="18"/>
              </w:rPr>
            </w:pPr>
            <w:r w:rsidRPr="00257550">
              <w:rPr>
                <w:rFonts w:ascii="Times New Roman" w:eastAsia="Calibri" w:hAnsi="Times New Roman" w:cs="Times New Roman"/>
                <w:sz w:val="18"/>
                <w:szCs w:val="18"/>
              </w:rPr>
              <w:t>2.</w:t>
            </w:r>
          </w:p>
        </w:tc>
        <w:tc>
          <w:tcPr>
            <w:tcW w:w="2552" w:type="dxa"/>
            <w:shd w:val="clear" w:color="auto" w:fill="auto"/>
          </w:tcPr>
          <w:p w14:paraId="6DB719F3" w14:textId="77777777" w:rsidR="00D20029" w:rsidRPr="00257550" w:rsidRDefault="00D20029" w:rsidP="00E83841">
            <w:pPr>
              <w:spacing w:after="0" w:line="360" w:lineRule="auto"/>
              <w:jc w:val="both"/>
              <w:rPr>
                <w:rFonts w:ascii="Times New Roman" w:eastAsia="Calibri" w:hAnsi="Times New Roman" w:cs="Times New Roman"/>
                <w:sz w:val="18"/>
                <w:szCs w:val="18"/>
              </w:rPr>
            </w:pPr>
            <w:r w:rsidRPr="00257550">
              <w:rPr>
                <w:rFonts w:ascii="Times New Roman" w:eastAsia="Calibri" w:hAnsi="Times New Roman" w:cs="Times New Roman"/>
                <w:sz w:val="18"/>
                <w:szCs w:val="18"/>
              </w:rPr>
              <w:t>Government fulfills its responsibility related to girls’ education.</w:t>
            </w:r>
          </w:p>
        </w:tc>
        <w:tc>
          <w:tcPr>
            <w:tcW w:w="850" w:type="dxa"/>
            <w:shd w:val="clear" w:color="auto" w:fill="auto"/>
          </w:tcPr>
          <w:p w14:paraId="246B5F56" w14:textId="77777777" w:rsidR="00D20029" w:rsidRPr="00257550" w:rsidRDefault="00D20029" w:rsidP="00E83841">
            <w:pPr>
              <w:spacing w:after="0" w:line="360" w:lineRule="auto"/>
              <w:jc w:val="center"/>
              <w:rPr>
                <w:rFonts w:ascii="Times New Roman" w:eastAsia="Calibri" w:hAnsi="Times New Roman" w:cs="Times New Roman"/>
                <w:sz w:val="18"/>
                <w:szCs w:val="18"/>
              </w:rPr>
            </w:pPr>
            <w:r w:rsidRPr="00257550">
              <w:rPr>
                <w:rFonts w:ascii="Times New Roman" w:eastAsia="Calibri" w:hAnsi="Times New Roman" w:cs="Times New Roman"/>
                <w:sz w:val="18"/>
                <w:szCs w:val="18"/>
              </w:rPr>
              <w:t>9</w:t>
            </w:r>
          </w:p>
          <w:p w14:paraId="46353AFC" w14:textId="77777777" w:rsidR="00D20029" w:rsidRPr="00257550" w:rsidRDefault="00D20029" w:rsidP="00E83841">
            <w:pPr>
              <w:spacing w:after="0" w:line="360" w:lineRule="auto"/>
              <w:jc w:val="center"/>
              <w:rPr>
                <w:rFonts w:ascii="Times New Roman" w:eastAsia="Calibri" w:hAnsi="Times New Roman" w:cs="Times New Roman"/>
                <w:sz w:val="18"/>
                <w:szCs w:val="18"/>
              </w:rPr>
            </w:pPr>
            <w:r w:rsidRPr="00257550">
              <w:rPr>
                <w:rFonts w:ascii="Times New Roman" w:eastAsia="Calibri" w:hAnsi="Times New Roman" w:cs="Times New Roman"/>
                <w:sz w:val="18"/>
                <w:szCs w:val="18"/>
              </w:rPr>
              <w:t>(3.5%)</w:t>
            </w:r>
          </w:p>
        </w:tc>
        <w:tc>
          <w:tcPr>
            <w:tcW w:w="851" w:type="dxa"/>
            <w:shd w:val="clear" w:color="auto" w:fill="auto"/>
          </w:tcPr>
          <w:p w14:paraId="0324C019" w14:textId="77777777" w:rsidR="00D20029" w:rsidRPr="00257550" w:rsidRDefault="00D20029" w:rsidP="00E83841">
            <w:pPr>
              <w:spacing w:after="0" w:line="360" w:lineRule="auto"/>
              <w:jc w:val="center"/>
              <w:rPr>
                <w:rFonts w:ascii="Times New Roman" w:eastAsia="Calibri" w:hAnsi="Times New Roman" w:cs="Times New Roman"/>
                <w:sz w:val="18"/>
                <w:szCs w:val="18"/>
              </w:rPr>
            </w:pPr>
            <w:r w:rsidRPr="00257550">
              <w:rPr>
                <w:rFonts w:ascii="Times New Roman" w:eastAsia="Calibri" w:hAnsi="Times New Roman" w:cs="Times New Roman"/>
                <w:sz w:val="18"/>
                <w:szCs w:val="18"/>
              </w:rPr>
              <w:t>8</w:t>
            </w:r>
          </w:p>
          <w:p w14:paraId="33EA3DCC" w14:textId="77777777" w:rsidR="00D20029" w:rsidRPr="00257550" w:rsidRDefault="00D20029" w:rsidP="00E83841">
            <w:pPr>
              <w:spacing w:after="0" w:line="360" w:lineRule="auto"/>
              <w:jc w:val="center"/>
              <w:rPr>
                <w:rFonts w:ascii="Times New Roman" w:eastAsia="Calibri" w:hAnsi="Times New Roman" w:cs="Times New Roman"/>
                <w:sz w:val="18"/>
                <w:szCs w:val="18"/>
              </w:rPr>
            </w:pPr>
            <w:r w:rsidRPr="00257550">
              <w:rPr>
                <w:rFonts w:ascii="Times New Roman" w:eastAsia="Calibri" w:hAnsi="Times New Roman" w:cs="Times New Roman"/>
                <w:sz w:val="18"/>
                <w:szCs w:val="18"/>
              </w:rPr>
              <w:t>(3.1%)</w:t>
            </w:r>
          </w:p>
        </w:tc>
        <w:tc>
          <w:tcPr>
            <w:tcW w:w="850" w:type="dxa"/>
            <w:shd w:val="clear" w:color="auto" w:fill="auto"/>
          </w:tcPr>
          <w:p w14:paraId="3C51963A" w14:textId="77777777" w:rsidR="00D20029" w:rsidRPr="00257550" w:rsidRDefault="00D20029" w:rsidP="00E83841">
            <w:pPr>
              <w:spacing w:after="0" w:line="360" w:lineRule="auto"/>
              <w:jc w:val="center"/>
              <w:rPr>
                <w:rFonts w:ascii="Times New Roman" w:eastAsia="Calibri" w:hAnsi="Times New Roman" w:cs="Times New Roman"/>
                <w:sz w:val="18"/>
                <w:szCs w:val="18"/>
              </w:rPr>
            </w:pPr>
            <w:r w:rsidRPr="00257550">
              <w:rPr>
                <w:rFonts w:ascii="Times New Roman" w:eastAsia="Calibri" w:hAnsi="Times New Roman" w:cs="Times New Roman"/>
                <w:sz w:val="18"/>
                <w:szCs w:val="18"/>
              </w:rPr>
              <w:t>33</w:t>
            </w:r>
          </w:p>
          <w:p w14:paraId="20FCF4C1" w14:textId="77777777" w:rsidR="00D20029" w:rsidRPr="00257550" w:rsidRDefault="00D20029" w:rsidP="00E83841">
            <w:pPr>
              <w:spacing w:after="0" w:line="360" w:lineRule="auto"/>
              <w:jc w:val="center"/>
              <w:rPr>
                <w:rFonts w:ascii="Times New Roman" w:eastAsia="Calibri" w:hAnsi="Times New Roman" w:cs="Times New Roman"/>
                <w:sz w:val="18"/>
                <w:szCs w:val="18"/>
              </w:rPr>
            </w:pPr>
            <w:r w:rsidRPr="00257550">
              <w:rPr>
                <w:rFonts w:ascii="Times New Roman" w:eastAsia="Calibri" w:hAnsi="Times New Roman" w:cs="Times New Roman"/>
                <w:sz w:val="18"/>
                <w:szCs w:val="18"/>
              </w:rPr>
              <w:t>(12.7%)</w:t>
            </w:r>
          </w:p>
        </w:tc>
        <w:tc>
          <w:tcPr>
            <w:tcW w:w="851" w:type="dxa"/>
            <w:shd w:val="clear" w:color="auto" w:fill="auto"/>
          </w:tcPr>
          <w:p w14:paraId="2346671B" w14:textId="77777777" w:rsidR="00D20029" w:rsidRPr="00257550" w:rsidRDefault="00D20029" w:rsidP="00E83841">
            <w:pPr>
              <w:spacing w:after="0" w:line="360" w:lineRule="auto"/>
              <w:jc w:val="center"/>
              <w:rPr>
                <w:rFonts w:ascii="Times New Roman" w:eastAsia="Calibri" w:hAnsi="Times New Roman" w:cs="Times New Roman"/>
                <w:sz w:val="18"/>
                <w:szCs w:val="18"/>
              </w:rPr>
            </w:pPr>
            <w:r w:rsidRPr="00257550">
              <w:rPr>
                <w:rFonts w:ascii="Times New Roman" w:eastAsia="Calibri" w:hAnsi="Times New Roman" w:cs="Times New Roman"/>
                <w:sz w:val="18"/>
                <w:szCs w:val="18"/>
              </w:rPr>
              <w:t>92</w:t>
            </w:r>
          </w:p>
          <w:p w14:paraId="5EEE4C3A" w14:textId="77777777" w:rsidR="00D20029" w:rsidRPr="00257550" w:rsidRDefault="00D20029" w:rsidP="00E83841">
            <w:pPr>
              <w:spacing w:after="0" w:line="360" w:lineRule="auto"/>
              <w:jc w:val="center"/>
              <w:rPr>
                <w:rFonts w:ascii="Times New Roman" w:eastAsia="Calibri" w:hAnsi="Times New Roman" w:cs="Times New Roman"/>
                <w:sz w:val="18"/>
                <w:szCs w:val="18"/>
              </w:rPr>
            </w:pPr>
            <w:r w:rsidRPr="00257550">
              <w:rPr>
                <w:rFonts w:ascii="Times New Roman" w:eastAsia="Calibri" w:hAnsi="Times New Roman" w:cs="Times New Roman"/>
                <w:sz w:val="18"/>
                <w:szCs w:val="18"/>
              </w:rPr>
              <w:t>(35.4%)</w:t>
            </w:r>
          </w:p>
        </w:tc>
        <w:tc>
          <w:tcPr>
            <w:tcW w:w="992" w:type="dxa"/>
            <w:shd w:val="clear" w:color="auto" w:fill="auto"/>
          </w:tcPr>
          <w:p w14:paraId="76EF299B" w14:textId="77777777" w:rsidR="00D20029" w:rsidRPr="00257550" w:rsidRDefault="00D20029" w:rsidP="00E83841">
            <w:pPr>
              <w:spacing w:after="0" w:line="360" w:lineRule="auto"/>
              <w:jc w:val="center"/>
              <w:rPr>
                <w:rFonts w:ascii="Times New Roman" w:eastAsia="Calibri" w:hAnsi="Times New Roman" w:cs="Times New Roman"/>
                <w:sz w:val="18"/>
                <w:szCs w:val="18"/>
              </w:rPr>
            </w:pPr>
            <w:r w:rsidRPr="00257550">
              <w:rPr>
                <w:rFonts w:ascii="Times New Roman" w:eastAsia="Calibri" w:hAnsi="Times New Roman" w:cs="Times New Roman"/>
                <w:sz w:val="18"/>
                <w:szCs w:val="18"/>
              </w:rPr>
              <w:t>117</w:t>
            </w:r>
          </w:p>
          <w:p w14:paraId="501C05A9" w14:textId="77777777" w:rsidR="00D20029" w:rsidRPr="00257550" w:rsidRDefault="00D20029" w:rsidP="00E83841">
            <w:pPr>
              <w:spacing w:after="0" w:line="360" w:lineRule="auto"/>
              <w:jc w:val="center"/>
              <w:rPr>
                <w:rFonts w:ascii="Times New Roman" w:eastAsia="Calibri" w:hAnsi="Times New Roman" w:cs="Times New Roman"/>
                <w:sz w:val="18"/>
                <w:szCs w:val="18"/>
              </w:rPr>
            </w:pPr>
            <w:r w:rsidRPr="00257550">
              <w:rPr>
                <w:rFonts w:ascii="Times New Roman" w:eastAsia="Calibri" w:hAnsi="Times New Roman" w:cs="Times New Roman"/>
                <w:sz w:val="18"/>
                <w:szCs w:val="18"/>
              </w:rPr>
              <w:t>(45.0%)</w:t>
            </w:r>
          </w:p>
        </w:tc>
        <w:tc>
          <w:tcPr>
            <w:tcW w:w="709" w:type="dxa"/>
            <w:shd w:val="clear" w:color="auto" w:fill="auto"/>
            <w:vAlign w:val="center"/>
          </w:tcPr>
          <w:p w14:paraId="5E120307" w14:textId="77777777" w:rsidR="00D20029" w:rsidRPr="00257550" w:rsidRDefault="00D20029" w:rsidP="00E83841">
            <w:pPr>
              <w:spacing w:after="0" w:line="360" w:lineRule="auto"/>
              <w:jc w:val="center"/>
              <w:rPr>
                <w:rFonts w:ascii="Times New Roman" w:eastAsia="Times New Roman" w:hAnsi="Times New Roman" w:cs="Times New Roman"/>
                <w:color w:val="000000"/>
                <w:sz w:val="18"/>
                <w:szCs w:val="18"/>
              </w:rPr>
            </w:pPr>
            <w:r w:rsidRPr="00257550">
              <w:rPr>
                <w:rFonts w:ascii="Times New Roman" w:eastAsia="Times New Roman" w:hAnsi="Times New Roman" w:cs="Times New Roman"/>
                <w:color w:val="000000"/>
                <w:sz w:val="18"/>
                <w:szCs w:val="18"/>
              </w:rPr>
              <w:t>4.20</w:t>
            </w:r>
          </w:p>
        </w:tc>
        <w:tc>
          <w:tcPr>
            <w:tcW w:w="709" w:type="dxa"/>
            <w:shd w:val="clear" w:color="auto" w:fill="auto"/>
            <w:vAlign w:val="center"/>
          </w:tcPr>
          <w:p w14:paraId="740B0D30" w14:textId="77777777" w:rsidR="00D20029" w:rsidRPr="00257550" w:rsidRDefault="00D20029" w:rsidP="00E83841">
            <w:pPr>
              <w:spacing w:after="0" w:line="360" w:lineRule="auto"/>
              <w:jc w:val="center"/>
              <w:rPr>
                <w:rFonts w:ascii="Times New Roman" w:eastAsia="Times New Roman" w:hAnsi="Times New Roman" w:cs="Times New Roman"/>
                <w:color w:val="000000"/>
                <w:sz w:val="18"/>
                <w:szCs w:val="18"/>
              </w:rPr>
            </w:pPr>
            <w:r w:rsidRPr="00257550">
              <w:rPr>
                <w:rFonts w:ascii="Times New Roman" w:eastAsia="Times New Roman" w:hAnsi="Times New Roman" w:cs="Times New Roman"/>
                <w:color w:val="000000"/>
                <w:sz w:val="18"/>
                <w:szCs w:val="18"/>
              </w:rPr>
              <w:t>1.201</w:t>
            </w:r>
          </w:p>
        </w:tc>
        <w:tc>
          <w:tcPr>
            <w:tcW w:w="1134" w:type="dxa"/>
            <w:shd w:val="clear" w:color="auto" w:fill="auto"/>
          </w:tcPr>
          <w:p w14:paraId="6705EEFC" w14:textId="77777777" w:rsidR="00D20029" w:rsidRPr="00257550" w:rsidRDefault="00D20029" w:rsidP="00E83841">
            <w:pPr>
              <w:spacing w:after="0" w:line="360" w:lineRule="auto"/>
              <w:jc w:val="both"/>
              <w:rPr>
                <w:rFonts w:ascii="Times New Roman" w:eastAsia="Calibri" w:hAnsi="Times New Roman" w:cs="Times New Roman"/>
                <w:sz w:val="18"/>
                <w:szCs w:val="18"/>
              </w:rPr>
            </w:pPr>
            <w:r w:rsidRPr="00257550">
              <w:rPr>
                <w:rFonts w:ascii="Times New Roman" w:eastAsia="Calibri" w:hAnsi="Times New Roman" w:cs="Times New Roman"/>
                <w:sz w:val="18"/>
                <w:szCs w:val="18"/>
              </w:rPr>
              <w:t xml:space="preserve">High </w:t>
            </w:r>
          </w:p>
        </w:tc>
      </w:tr>
      <w:tr w:rsidR="00D20029" w:rsidRPr="00257550" w14:paraId="2E52F57B" w14:textId="77777777" w:rsidTr="009D434E">
        <w:tc>
          <w:tcPr>
            <w:tcW w:w="562" w:type="dxa"/>
          </w:tcPr>
          <w:p w14:paraId="5807B92B" w14:textId="77777777" w:rsidR="00D20029" w:rsidRPr="00257550" w:rsidRDefault="00D20029" w:rsidP="00E83841">
            <w:pPr>
              <w:spacing w:after="0" w:line="360" w:lineRule="auto"/>
              <w:jc w:val="both"/>
              <w:rPr>
                <w:rFonts w:ascii="Times New Roman" w:eastAsia="Calibri" w:hAnsi="Times New Roman" w:cs="Times New Roman"/>
                <w:sz w:val="18"/>
                <w:szCs w:val="18"/>
              </w:rPr>
            </w:pPr>
            <w:r w:rsidRPr="00257550">
              <w:rPr>
                <w:rFonts w:ascii="Times New Roman" w:eastAsia="Calibri" w:hAnsi="Times New Roman" w:cs="Times New Roman"/>
                <w:sz w:val="18"/>
                <w:szCs w:val="18"/>
              </w:rPr>
              <w:t>3.</w:t>
            </w:r>
          </w:p>
        </w:tc>
        <w:tc>
          <w:tcPr>
            <w:tcW w:w="2552" w:type="dxa"/>
            <w:shd w:val="clear" w:color="auto" w:fill="auto"/>
          </w:tcPr>
          <w:p w14:paraId="3B578674" w14:textId="77777777" w:rsidR="00D20029" w:rsidRPr="00257550" w:rsidRDefault="00D20029" w:rsidP="00E83841">
            <w:pPr>
              <w:spacing w:after="0" w:line="360" w:lineRule="auto"/>
              <w:jc w:val="both"/>
              <w:rPr>
                <w:rFonts w:ascii="Times New Roman" w:eastAsia="Calibri" w:hAnsi="Times New Roman" w:cs="Times New Roman"/>
                <w:sz w:val="18"/>
                <w:szCs w:val="18"/>
              </w:rPr>
            </w:pPr>
            <w:r w:rsidRPr="00257550">
              <w:rPr>
                <w:rFonts w:ascii="Times New Roman" w:eastAsia="Calibri" w:hAnsi="Times New Roman" w:cs="Times New Roman"/>
                <w:sz w:val="18"/>
                <w:szCs w:val="18"/>
              </w:rPr>
              <w:t>The limited participation of women in development  activities correlates to girls’ completion rate.</w:t>
            </w:r>
          </w:p>
        </w:tc>
        <w:tc>
          <w:tcPr>
            <w:tcW w:w="850" w:type="dxa"/>
            <w:shd w:val="clear" w:color="auto" w:fill="auto"/>
          </w:tcPr>
          <w:p w14:paraId="27CDF632" w14:textId="77777777" w:rsidR="00D20029" w:rsidRPr="00257550" w:rsidRDefault="00D20029" w:rsidP="00E83841">
            <w:pPr>
              <w:spacing w:after="0" w:line="360" w:lineRule="auto"/>
              <w:jc w:val="center"/>
              <w:rPr>
                <w:rFonts w:ascii="Times New Roman" w:eastAsia="Calibri" w:hAnsi="Times New Roman" w:cs="Times New Roman"/>
                <w:sz w:val="18"/>
                <w:szCs w:val="18"/>
              </w:rPr>
            </w:pPr>
            <w:r w:rsidRPr="00257550">
              <w:rPr>
                <w:rFonts w:ascii="Times New Roman" w:eastAsia="Calibri" w:hAnsi="Times New Roman" w:cs="Times New Roman"/>
                <w:sz w:val="18"/>
                <w:szCs w:val="18"/>
              </w:rPr>
              <w:t>24</w:t>
            </w:r>
          </w:p>
          <w:p w14:paraId="236A9EC7" w14:textId="77777777" w:rsidR="00D20029" w:rsidRPr="00257550" w:rsidRDefault="00D20029" w:rsidP="00E83841">
            <w:pPr>
              <w:spacing w:after="0" w:line="360" w:lineRule="auto"/>
              <w:jc w:val="center"/>
              <w:rPr>
                <w:rFonts w:ascii="Times New Roman" w:eastAsia="Calibri" w:hAnsi="Times New Roman" w:cs="Times New Roman"/>
                <w:sz w:val="18"/>
                <w:szCs w:val="18"/>
              </w:rPr>
            </w:pPr>
            <w:r w:rsidRPr="00257550">
              <w:rPr>
                <w:rFonts w:ascii="Times New Roman" w:eastAsia="Calibri" w:hAnsi="Times New Roman" w:cs="Times New Roman"/>
                <w:sz w:val="18"/>
                <w:szCs w:val="18"/>
              </w:rPr>
              <w:t>(9.2%)</w:t>
            </w:r>
          </w:p>
        </w:tc>
        <w:tc>
          <w:tcPr>
            <w:tcW w:w="851" w:type="dxa"/>
            <w:shd w:val="clear" w:color="auto" w:fill="auto"/>
          </w:tcPr>
          <w:p w14:paraId="4C59FE20" w14:textId="77777777" w:rsidR="00D20029" w:rsidRPr="00257550" w:rsidRDefault="00D20029" w:rsidP="00E83841">
            <w:pPr>
              <w:spacing w:after="0" w:line="360" w:lineRule="auto"/>
              <w:jc w:val="center"/>
              <w:rPr>
                <w:rFonts w:ascii="Times New Roman" w:eastAsia="Calibri" w:hAnsi="Times New Roman" w:cs="Times New Roman"/>
                <w:sz w:val="18"/>
                <w:szCs w:val="18"/>
              </w:rPr>
            </w:pPr>
            <w:r w:rsidRPr="00257550">
              <w:rPr>
                <w:rFonts w:ascii="Times New Roman" w:eastAsia="Calibri" w:hAnsi="Times New Roman" w:cs="Times New Roman"/>
                <w:sz w:val="18"/>
                <w:szCs w:val="18"/>
              </w:rPr>
              <w:t>21</w:t>
            </w:r>
          </w:p>
          <w:p w14:paraId="3376F68E" w14:textId="77777777" w:rsidR="00D20029" w:rsidRPr="00257550" w:rsidRDefault="00D20029" w:rsidP="00E83841">
            <w:pPr>
              <w:spacing w:after="0" w:line="360" w:lineRule="auto"/>
              <w:jc w:val="center"/>
              <w:rPr>
                <w:rFonts w:ascii="Times New Roman" w:eastAsia="Calibri" w:hAnsi="Times New Roman" w:cs="Times New Roman"/>
                <w:sz w:val="18"/>
                <w:szCs w:val="18"/>
              </w:rPr>
            </w:pPr>
            <w:r w:rsidRPr="00257550">
              <w:rPr>
                <w:rFonts w:ascii="Times New Roman" w:eastAsia="Calibri" w:hAnsi="Times New Roman" w:cs="Times New Roman"/>
                <w:sz w:val="18"/>
                <w:szCs w:val="18"/>
              </w:rPr>
              <w:t>(8.1%)</w:t>
            </w:r>
          </w:p>
        </w:tc>
        <w:tc>
          <w:tcPr>
            <w:tcW w:w="850" w:type="dxa"/>
            <w:shd w:val="clear" w:color="auto" w:fill="auto"/>
          </w:tcPr>
          <w:p w14:paraId="75DD72C2" w14:textId="77777777" w:rsidR="00D20029" w:rsidRPr="00257550" w:rsidRDefault="00D20029" w:rsidP="00E83841">
            <w:pPr>
              <w:spacing w:after="0" w:line="360" w:lineRule="auto"/>
              <w:jc w:val="center"/>
              <w:rPr>
                <w:rFonts w:ascii="Times New Roman" w:eastAsia="Calibri" w:hAnsi="Times New Roman" w:cs="Times New Roman"/>
                <w:sz w:val="18"/>
                <w:szCs w:val="18"/>
              </w:rPr>
            </w:pPr>
            <w:r w:rsidRPr="00257550">
              <w:rPr>
                <w:rFonts w:ascii="Times New Roman" w:eastAsia="Calibri" w:hAnsi="Times New Roman" w:cs="Times New Roman"/>
                <w:sz w:val="18"/>
                <w:szCs w:val="18"/>
              </w:rPr>
              <w:t>50</w:t>
            </w:r>
          </w:p>
          <w:p w14:paraId="4B888020" w14:textId="77777777" w:rsidR="00D20029" w:rsidRPr="00257550" w:rsidRDefault="00D20029" w:rsidP="00E83841">
            <w:pPr>
              <w:spacing w:after="0" w:line="360" w:lineRule="auto"/>
              <w:jc w:val="center"/>
              <w:rPr>
                <w:rFonts w:ascii="Times New Roman" w:eastAsia="Calibri" w:hAnsi="Times New Roman" w:cs="Times New Roman"/>
                <w:sz w:val="18"/>
                <w:szCs w:val="18"/>
              </w:rPr>
            </w:pPr>
            <w:r w:rsidRPr="00257550">
              <w:rPr>
                <w:rFonts w:ascii="Times New Roman" w:eastAsia="Calibri" w:hAnsi="Times New Roman" w:cs="Times New Roman"/>
                <w:sz w:val="18"/>
                <w:szCs w:val="18"/>
              </w:rPr>
              <w:t>(19.2%)</w:t>
            </w:r>
          </w:p>
        </w:tc>
        <w:tc>
          <w:tcPr>
            <w:tcW w:w="851" w:type="dxa"/>
            <w:shd w:val="clear" w:color="auto" w:fill="auto"/>
          </w:tcPr>
          <w:p w14:paraId="4EA82B02" w14:textId="77777777" w:rsidR="00D20029" w:rsidRPr="00257550" w:rsidRDefault="00D20029" w:rsidP="00E83841">
            <w:pPr>
              <w:spacing w:after="0" w:line="360" w:lineRule="auto"/>
              <w:jc w:val="center"/>
              <w:rPr>
                <w:rFonts w:ascii="Times New Roman" w:eastAsia="Calibri" w:hAnsi="Times New Roman" w:cs="Times New Roman"/>
                <w:sz w:val="18"/>
                <w:szCs w:val="18"/>
              </w:rPr>
            </w:pPr>
            <w:r w:rsidRPr="00257550">
              <w:rPr>
                <w:rFonts w:ascii="Times New Roman" w:eastAsia="Calibri" w:hAnsi="Times New Roman" w:cs="Times New Roman"/>
                <w:sz w:val="18"/>
                <w:szCs w:val="18"/>
              </w:rPr>
              <w:t>83</w:t>
            </w:r>
          </w:p>
          <w:p w14:paraId="2486CE56" w14:textId="77777777" w:rsidR="00D20029" w:rsidRPr="00257550" w:rsidRDefault="00D20029" w:rsidP="00E83841">
            <w:pPr>
              <w:spacing w:after="0" w:line="360" w:lineRule="auto"/>
              <w:jc w:val="center"/>
              <w:rPr>
                <w:rFonts w:ascii="Times New Roman" w:eastAsia="Calibri" w:hAnsi="Times New Roman" w:cs="Times New Roman"/>
                <w:sz w:val="18"/>
                <w:szCs w:val="18"/>
              </w:rPr>
            </w:pPr>
            <w:r w:rsidRPr="00257550">
              <w:rPr>
                <w:rFonts w:ascii="Times New Roman" w:eastAsia="Calibri" w:hAnsi="Times New Roman" w:cs="Times New Roman"/>
                <w:sz w:val="18"/>
                <w:szCs w:val="18"/>
              </w:rPr>
              <w:t>(31.9%)</w:t>
            </w:r>
          </w:p>
        </w:tc>
        <w:tc>
          <w:tcPr>
            <w:tcW w:w="992" w:type="dxa"/>
            <w:shd w:val="clear" w:color="auto" w:fill="auto"/>
          </w:tcPr>
          <w:p w14:paraId="62A66E37" w14:textId="77777777" w:rsidR="00D20029" w:rsidRPr="00257550" w:rsidRDefault="00D20029" w:rsidP="00E83841">
            <w:pPr>
              <w:spacing w:after="0" w:line="360" w:lineRule="auto"/>
              <w:jc w:val="center"/>
              <w:rPr>
                <w:rFonts w:ascii="Times New Roman" w:eastAsia="Calibri" w:hAnsi="Times New Roman" w:cs="Times New Roman"/>
                <w:sz w:val="18"/>
                <w:szCs w:val="18"/>
              </w:rPr>
            </w:pPr>
            <w:r w:rsidRPr="00257550">
              <w:rPr>
                <w:rFonts w:ascii="Times New Roman" w:eastAsia="Calibri" w:hAnsi="Times New Roman" w:cs="Times New Roman"/>
                <w:sz w:val="18"/>
                <w:szCs w:val="18"/>
              </w:rPr>
              <w:t>82</w:t>
            </w:r>
          </w:p>
          <w:p w14:paraId="25DF1DEE" w14:textId="77777777" w:rsidR="00D20029" w:rsidRPr="00257550" w:rsidRDefault="00D20029" w:rsidP="00E83841">
            <w:pPr>
              <w:spacing w:after="0" w:line="360" w:lineRule="auto"/>
              <w:jc w:val="center"/>
              <w:rPr>
                <w:rFonts w:ascii="Times New Roman" w:eastAsia="Calibri" w:hAnsi="Times New Roman" w:cs="Times New Roman"/>
                <w:sz w:val="18"/>
                <w:szCs w:val="18"/>
              </w:rPr>
            </w:pPr>
            <w:r w:rsidRPr="00257550">
              <w:rPr>
                <w:rFonts w:ascii="Times New Roman" w:eastAsia="Calibri" w:hAnsi="Times New Roman" w:cs="Times New Roman"/>
                <w:sz w:val="18"/>
                <w:szCs w:val="18"/>
              </w:rPr>
              <w:t>(31.5%)</w:t>
            </w:r>
          </w:p>
        </w:tc>
        <w:tc>
          <w:tcPr>
            <w:tcW w:w="709" w:type="dxa"/>
            <w:shd w:val="clear" w:color="auto" w:fill="auto"/>
            <w:vAlign w:val="center"/>
          </w:tcPr>
          <w:p w14:paraId="7B8C0727" w14:textId="77777777" w:rsidR="00D20029" w:rsidRPr="00257550" w:rsidRDefault="00D20029" w:rsidP="00E83841">
            <w:pPr>
              <w:spacing w:after="0" w:line="360" w:lineRule="auto"/>
              <w:jc w:val="center"/>
              <w:rPr>
                <w:rFonts w:ascii="Times New Roman" w:eastAsia="Times New Roman" w:hAnsi="Times New Roman" w:cs="Times New Roman"/>
                <w:color w:val="000000"/>
                <w:sz w:val="18"/>
                <w:szCs w:val="18"/>
              </w:rPr>
            </w:pPr>
            <w:r w:rsidRPr="00257550">
              <w:rPr>
                <w:rFonts w:ascii="Times New Roman" w:eastAsia="Times New Roman" w:hAnsi="Times New Roman" w:cs="Times New Roman"/>
                <w:color w:val="000000"/>
                <w:sz w:val="18"/>
                <w:szCs w:val="18"/>
              </w:rPr>
              <w:t>3.68</w:t>
            </w:r>
          </w:p>
        </w:tc>
        <w:tc>
          <w:tcPr>
            <w:tcW w:w="709" w:type="dxa"/>
            <w:shd w:val="clear" w:color="auto" w:fill="auto"/>
            <w:vAlign w:val="center"/>
          </w:tcPr>
          <w:p w14:paraId="45FB5F40" w14:textId="77777777" w:rsidR="00D20029" w:rsidRPr="00257550" w:rsidRDefault="00D20029" w:rsidP="00E83841">
            <w:pPr>
              <w:spacing w:after="0" w:line="360" w:lineRule="auto"/>
              <w:jc w:val="center"/>
              <w:rPr>
                <w:rFonts w:ascii="Times New Roman" w:eastAsia="Times New Roman" w:hAnsi="Times New Roman" w:cs="Times New Roman"/>
                <w:color w:val="000000"/>
                <w:sz w:val="18"/>
                <w:szCs w:val="18"/>
              </w:rPr>
            </w:pPr>
            <w:r w:rsidRPr="00257550">
              <w:rPr>
                <w:rFonts w:ascii="Times New Roman" w:eastAsia="Times New Roman" w:hAnsi="Times New Roman" w:cs="Times New Roman"/>
                <w:color w:val="000000"/>
                <w:sz w:val="18"/>
                <w:szCs w:val="18"/>
              </w:rPr>
              <w:t>1.252</w:t>
            </w:r>
          </w:p>
        </w:tc>
        <w:tc>
          <w:tcPr>
            <w:tcW w:w="1134" w:type="dxa"/>
            <w:shd w:val="clear" w:color="auto" w:fill="auto"/>
          </w:tcPr>
          <w:p w14:paraId="5781EC4C" w14:textId="77777777" w:rsidR="00D20029" w:rsidRPr="00257550" w:rsidRDefault="00D20029" w:rsidP="00E83841">
            <w:pPr>
              <w:spacing w:after="0" w:line="360" w:lineRule="auto"/>
              <w:jc w:val="both"/>
              <w:rPr>
                <w:rFonts w:ascii="Times New Roman" w:eastAsia="Calibri" w:hAnsi="Times New Roman" w:cs="Times New Roman"/>
                <w:sz w:val="18"/>
                <w:szCs w:val="18"/>
              </w:rPr>
            </w:pPr>
            <w:r w:rsidRPr="00257550">
              <w:rPr>
                <w:rFonts w:ascii="Times New Roman" w:eastAsia="Calibri" w:hAnsi="Times New Roman" w:cs="Times New Roman"/>
                <w:sz w:val="18"/>
                <w:szCs w:val="18"/>
              </w:rPr>
              <w:t xml:space="preserve"> High </w:t>
            </w:r>
          </w:p>
        </w:tc>
      </w:tr>
      <w:tr w:rsidR="00D20029" w:rsidRPr="00257550" w14:paraId="61355FE7" w14:textId="77777777" w:rsidTr="009D434E">
        <w:tc>
          <w:tcPr>
            <w:tcW w:w="562" w:type="dxa"/>
          </w:tcPr>
          <w:p w14:paraId="3FA0294E" w14:textId="77777777" w:rsidR="00D20029" w:rsidRPr="00257550" w:rsidRDefault="00D20029" w:rsidP="00E83841">
            <w:pPr>
              <w:spacing w:after="0" w:line="360" w:lineRule="auto"/>
              <w:jc w:val="both"/>
              <w:rPr>
                <w:rFonts w:ascii="Times New Roman" w:eastAsia="Calibri" w:hAnsi="Times New Roman" w:cs="Times New Roman"/>
                <w:sz w:val="18"/>
                <w:szCs w:val="18"/>
              </w:rPr>
            </w:pPr>
            <w:r w:rsidRPr="00257550">
              <w:rPr>
                <w:rFonts w:ascii="Times New Roman" w:eastAsia="Calibri" w:hAnsi="Times New Roman" w:cs="Times New Roman"/>
                <w:sz w:val="18"/>
                <w:szCs w:val="18"/>
              </w:rPr>
              <w:t>4.</w:t>
            </w:r>
          </w:p>
        </w:tc>
        <w:tc>
          <w:tcPr>
            <w:tcW w:w="2552" w:type="dxa"/>
            <w:shd w:val="clear" w:color="auto" w:fill="auto"/>
          </w:tcPr>
          <w:p w14:paraId="7E5D62F5" w14:textId="77777777" w:rsidR="00D20029" w:rsidRPr="00257550" w:rsidRDefault="00D20029" w:rsidP="00E83841">
            <w:pPr>
              <w:spacing w:after="0" w:line="360" w:lineRule="auto"/>
              <w:jc w:val="both"/>
              <w:rPr>
                <w:rFonts w:ascii="Times New Roman" w:eastAsia="Calibri" w:hAnsi="Times New Roman" w:cs="Times New Roman"/>
                <w:sz w:val="18"/>
                <w:szCs w:val="18"/>
              </w:rPr>
            </w:pPr>
            <w:r w:rsidRPr="00257550">
              <w:rPr>
                <w:rFonts w:ascii="Times New Roman" w:eastAsia="Calibri" w:hAnsi="Times New Roman" w:cs="Times New Roman"/>
                <w:sz w:val="18"/>
                <w:szCs w:val="18"/>
              </w:rPr>
              <w:t>Political instability can highly affect girls’ completion rate.</w:t>
            </w:r>
          </w:p>
        </w:tc>
        <w:tc>
          <w:tcPr>
            <w:tcW w:w="850" w:type="dxa"/>
            <w:shd w:val="clear" w:color="auto" w:fill="auto"/>
          </w:tcPr>
          <w:p w14:paraId="5FAA5819" w14:textId="77777777" w:rsidR="00D20029" w:rsidRPr="00257550" w:rsidRDefault="00D20029" w:rsidP="00E83841">
            <w:pPr>
              <w:spacing w:after="0" w:line="360" w:lineRule="auto"/>
              <w:jc w:val="center"/>
              <w:rPr>
                <w:rFonts w:ascii="Times New Roman" w:eastAsia="Calibri" w:hAnsi="Times New Roman" w:cs="Times New Roman"/>
                <w:sz w:val="18"/>
                <w:szCs w:val="18"/>
              </w:rPr>
            </w:pPr>
            <w:r w:rsidRPr="00257550">
              <w:rPr>
                <w:rFonts w:ascii="Times New Roman" w:eastAsia="Calibri" w:hAnsi="Times New Roman" w:cs="Times New Roman"/>
                <w:sz w:val="18"/>
                <w:szCs w:val="18"/>
              </w:rPr>
              <w:t>21</w:t>
            </w:r>
          </w:p>
          <w:p w14:paraId="2502A41B" w14:textId="77777777" w:rsidR="00D20029" w:rsidRPr="00257550" w:rsidRDefault="00D20029" w:rsidP="00E83841">
            <w:pPr>
              <w:spacing w:after="0" w:line="360" w:lineRule="auto"/>
              <w:jc w:val="center"/>
              <w:rPr>
                <w:rFonts w:ascii="Times New Roman" w:eastAsia="Calibri" w:hAnsi="Times New Roman" w:cs="Times New Roman"/>
                <w:sz w:val="18"/>
                <w:szCs w:val="18"/>
              </w:rPr>
            </w:pPr>
            <w:r w:rsidRPr="00257550">
              <w:rPr>
                <w:rFonts w:ascii="Times New Roman" w:eastAsia="Calibri" w:hAnsi="Times New Roman" w:cs="Times New Roman"/>
                <w:sz w:val="18"/>
                <w:szCs w:val="18"/>
              </w:rPr>
              <w:t>(8.1%)</w:t>
            </w:r>
          </w:p>
        </w:tc>
        <w:tc>
          <w:tcPr>
            <w:tcW w:w="851" w:type="dxa"/>
            <w:shd w:val="clear" w:color="auto" w:fill="auto"/>
          </w:tcPr>
          <w:p w14:paraId="715E5E4C" w14:textId="77777777" w:rsidR="00D20029" w:rsidRPr="00257550" w:rsidRDefault="00D20029" w:rsidP="00E83841">
            <w:pPr>
              <w:spacing w:after="0" w:line="360" w:lineRule="auto"/>
              <w:jc w:val="center"/>
              <w:rPr>
                <w:rFonts w:ascii="Times New Roman" w:eastAsia="Calibri" w:hAnsi="Times New Roman" w:cs="Times New Roman"/>
                <w:sz w:val="18"/>
                <w:szCs w:val="18"/>
              </w:rPr>
            </w:pPr>
            <w:r w:rsidRPr="00257550">
              <w:rPr>
                <w:rFonts w:ascii="Times New Roman" w:eastAsia="Calibri" w:hAnsi="Times New Roman" w:cs="Times New Roman"/>
                <w:sz w:val="18"/>
                <w:szCs w:val="18"/>
              </w:rPr>
              <w:t>22</w:t>
            </w:r>
          </w:p>
          <w:p w14:paraId="4C54762E" w14:textId="77777777" w:rsidR="00D20029" w:rsidRPr="00257550" w:rsidRDefault="00D20029" w:rsidP="00E83841">
            <w:pPr>
              <w:spacing w:after="0" w:line="360" w:lineRule="auto"/>
              <w:jc w:val="center"/>
              <w:rPr>
                <w:rFonts w:ascii="Times New Roman" w:eastAsia="Calibri" w:hAnsi="Times New Roman" w:cs="Times New Roman"/>
                <w:sz w:val="18"/>
                <w:szCs w:val="18"/>
              </w:rPr>
            </w:pPr>
            <w:r w:rsidRPr="00257550">
              <w:rPr>
                <w:rFonts w:ascii="Times New Roman" w:eastAsia="Calibri" w:hAnsi="Times New Roman" w:cs="Times New Roman"/>
                <w:sz w:val="18"/>
                <w:szCs w:val="18"/>
              </w:rPr>
              <w:t>(8.5%)</w:t>
            </w:r>
          </w:p>
        </w:tc>
        <w:tc>
          <w:tcPr>
            <w:tcW w:w="850" w:type="dxa"/>
            <w:shd w:val="clear" w:color="auto" w:fill="auto"/>
          </w:tcPr>
          <w:p w14:paraId="5F46A431" w14:textId="77777777" w:rsidR="00D20029" w:rsidRPr="00257550" w:rsidRDefault="00D20029" w:rsidP="00E83841">
            <w:pPr>
              <w:spacing w:after="0" w:line="360" w:lineRule="auto"/>
              <w:jc w:val="center"/>
              <w:rPr>
                <w:rFonts w:ascii="Times New Roman" w:eastAsia="Calibri" w:hAnsi="Times New Roman" w:cs="Times New Roman"/>
                <w:sz w:val="18"/>
                <w:szCs w:val="18"/>
              </w:rPr>
            </w:pPr>
            <w:r w:rsidRPr="00257550">
              <w:rPr>
                <w:rFonts w:ascii="Times New Roman" w:eastAsia="Calibri" w:hAnsi="Times New Roman" w:cs="Times New Roman"/>
                <w:sz w:val="18"/>
                <w:szCs w:val="18"/>
              </w:rPr>
              <w:t>26</w:t>
            </w:r>
          </w:p>
          <w:p w14:paraId="3415D1B4" w14:textId="77777777" w:rsidR="00D20029" w:rsidRPr="00257550" w:rsidRDefault="00D20029" w:rsidP="00E83841">
            <w:pPr>
              <w:spacing w:after="0" w:line="360" w:lineRule="auto"/>
              <w:jc w:val="center"/>
              <w:rPr>
                <w:rFonts w:ascii="Times New Roman" w:eastAsia="Calibri" w:hAnsi="Times New Roman" w:cs="Times New Roman"/>
                <w:sz w:val="18"/>
                <w:szCs w:val="18"/>
              </w:rPr>
            </w:pPr>
            <w:r w:rsidRPr="00257550">
              <w:rPr>
                <w:rFonts w:ascii="Times New Roman" w:eastAsia="Calibri" w:hAnsi="Times New Roman" w:cs="Times New Roman"/>
                <w:sz w:val="18"/>
                <w:szCs w:val="18"/>
              </w:rPr>
              <w:t>(10.0%)</w:t>
            </w:r>
          </w:p>
        </w:tc>
        <w:tc>
          <w:tcPr>
            <w:tcW w:w="851" w:type="dxa"/>
            <w:shd w:val="clear" w:color="auto" w:fill="auto"/>
          </w:tcPr>
          <w:p w14:paraId="441AC16E" w14:textId="77777777" w:rsidR="00D20029" w:rsidRPr="00257550" w:rsidRDefault="00D20029" w:rsidP="00E83841">
            <w:pPr>
              <w:spacing w:after="0" w:line="360" w:lineRule="auto"/>
              <w:jc w:val="center"/>
              <w:rPr>
                <w:rFonts w:ascii="Times New Roman" w:eastAsia="Calibri" w:hAnsi="Times New Roman" w:cs="Times New Roman"/>
                <w:sz w:val="18"/>
                <w:szCs w:val="18"/>
              </w:rPr>
            </w:pPr>
            <w:r w:rsidRPr="00257550">
              <w:rPr>
                <w:rFonts w:ascii="Times New Roman" w:eastAsia="Calibri" w:hAnsi="Times New Roman" w:cs="Times New Roman"/>
                <w:sz w:val="18"/>
                <w:szCs w:val="18"/>
              </w:rPr>
              <w:t>75</w:t>
            </w:r>
          </w:p>
          <w:p w14:paraId="517B6709" w14:textId="77777777" w:rsidR="00D20029" w:rsidRPr="00257550" w:rsidRDefault="00D20029" w:rsidP="00E83841">
            <w:pPr>
              <w:spacing w:after="0" w:line="360" w:lineRule="auto"/>
              <w:jc w:val="center"/>
              <w:rPr>
                <w:rFonts w:ascii="Times New Roman" w:eastAsia="Calibri" w:hAnsi="Times New Roman" w:cs="Times New Roman"/>
                <w:sz w:val="18"/>
                <w:szCs w:val="18"/>
              </w:rPr>
            </w:pPr>
            <w:r w:rsidRPr="00257550">
              <w:rPr>
                <w:rFonts w:ascii="Times New Roman" w:eastAsia="Calibri" w:hAnsi="Times New Roman" w:cs="Times New Roman"/>
                <w:sz w:val="18"/>
                <w:szCs w:val="18"/>
              </w:rPr>
              <w:t>(28.8%)</w:t>
            </w:r>
          </w:p>
        </w:tc>
        <w:tc>
          <w:tcPr>
            <w:tcW w:w="992" w:type="dxa"/>
            <w:shd w:val="clear" w:color="auto" w:fill="auto"/>
          </w:tcPr>
          <w:p w14:paraId="062CA874" w14:textId="77777777" w:rsidR="00D20029" w:rsidRPr="00257550" w:rsidRDefault="00D20029" w:rsidP="00E83841">
            <w:pPr>
              <w:spacing w:after="0" w:line="360" w:lineRule="auto"/>
              <w:jc w:val="center"/>
              <w:rPr>
                <w:rFonts w:ascii="Times New Roman" w:eastAsia="Calibri" w:hAnsi="Times New Roman" w:cs="Times New Roman"/>
                <w:sz w:val="18"/>
                <w:szCs w:val="18"/>
              </w:rPr>
            </w:pPr>
            <w:r w:rsidRPr="00257550">
              <w:rPr>
                <w:rFonts w:ascii="Times New Roman" w:eastAsia="Calibri" w:hAnsi="Times New Roman" w:cs="Times New Roman"/>
                <w:sz w:val="18"/>
                <w:szCs w:val="18"/>
              </w:rPr>
              <w:t>116</w:t>
            </w:r>
          </w:p>
          <w:p w14:paraId="7A4717FE" w14:textId="77777777" w:rsidR="00D20029" w:rsidRPr="00257550" w:rsidRDefault="00D20029" w:rsidP="00E83841">
            <w:pPr>
              <w:spacing w:after="0" w:line="360" w:lineRule="auto"/>
              <w:jc w:val="center"/>
              <w:rPr>
                <w:rFonts w:ascii="Times New Roman" w:eastAsia="Calibri" w:hAnsi="Times New Roman" w:cs="Times New Roman"/>
                <w:sz w:val="18"/>
                <w:szCs w:val="18"/>
              </w:rPr>
            </w:pPr>
            <w:r w:rsidRPr="00257550">
              <w:rPr>
                <w:rFonts w:ascii="Times New Roman" w:eastAsia="Calibri" w:hAnsi="Times New Roman" w:cs="Times New Roman"/>
                <w:sz w:val="18"/>
                <w:szCs w:val="18"/>
              </w:rPr>
              <w:t>(44.6%)</w:t>
            </w:r>
          </w:p>
        </w:tc>
        <w:tc>
          <w:tcPr>
            <w:tcW w:w="709" w:type="dxa"/>
            <w:shd w:val="clear" w:color="auto" w:fill="auto"/>
            <w:vAlign w:val="center"/>
          </w:tcPr>
          <w:p w14:paraId="147071C6" w14:textId="77777777" w:rsidR="00D20029" w:rsidRPr="00257550" w:rsidRDefault="00D20029" w:rsidP="00E83841">
            <w:pPr>
              <w:spacing w:after="0" w:line="360" w:lineRule="auto"/>
              <w:jc w:val="center"/>
              <w:rPr>
                <w:rFonts w:ascii="Times New Roman" w:eastAsia="Times New Roman" w:hAnsi="Times New Roman" w:cs="Times New Roman"/>
                <w:color w:val="000000"/>
                <w:sz w:val="18"/>
                <w:szCs w:val="18"/>
              </w:rPr>
            </w:pPr>
            <w:r w:rsidRPr="00257550">
              <w:rPr>
                <w:rFonts w:ascii="Times New Roman" w:eastAsia="Times New Roman" w:hAnsi="Times New Roman" w:cs="Times New Roman"/>
                <w:color w:val="000000"/>
                <w:sz w:val="18"/>
                <w:szCs w:val="18"/>
              </w:rPr>
              <w:t>3.93</w:t>
            </w:r>
          </w:p>
        </w:tc>
        <w:tc>
          <w:tcPr>
            <w:tcW w:w="709" w:type="dxa"/>
            <w:shd w:val="clear" w:color="auto" w:fill="auto"/>
            <w:vAlign w:val="center"/>
          </w:tcPr>
          <w:p w14:paraId="38C96E34" w14:textId="77777777" w:rsidR="00D20029" w:rsidRPr="00257550" w:rsidRDefault="00D20029" w:rsidP="00E83841">
            <w:pPr>
              <w:spacing w:after="0" w:line="360" w:lineRule="auto"/>
              <w:jc w:val="center"/>
              <w:rPr>
                <w:rFonts w:ascii="Times New Roman" w:eastAsia="Times New Roman" w:hAnsi="Times New Roman" w:cs="Times New Roman"/>
                <w:color w:val="000000"/>
                <w:sz w:val="18"/>
                <w:szCs w:val="18"/>
              </w:rPr>
            </w:pPr>
            <w:r w:rsidRPr="00257550">
              <w:rPr>
                <w:rFonts w:ascii="Times New Roman" w:eastAsia="Times New Roman" w:hAnsi="Times New Roman" w:cs="Times New Roman"/>
                <w:color w:val="000000"/>
                <w:sz w:val="18"/>
                <w:szCs w:val="18"/>
              </w:rPr>
              <w:t>1.270</w:t>
            </w:r>
          </w:p>
        </w:tc>
        <w:tc>
          <w:tcPr>
            <w:tcW w:w="1134" w:type="dxa"/>
            <w:shd w:val="clear" w:color="auto" w:fill="auto"/>
          </w:tcPr>
          <w:p w14:paraId="2295A05A" w14:textId="77777777" w:rsidR="00D20029" w:rsidRPr="00257550" w:rsidRDefault="00D20029" w:rsidP="00E83841">
            <w:pPr>
              <w:spacing w:after="0" w:line="360" w:lineRule="auto"/>
              <w:jc w:val="both"/>
              <w:rPr>
                <w:rFonts w:ascii="Times New Roman" w:eastAsia="Calibri" w:hAnsi="Times New Roman" w:cs="Times New Roman"/>
                <w:sz w:val="18"/>
                <w:szCs w:val="18"/>
              </w:rPr>
            </w:pPr>
            <w:r w:rsidRPr="00257550">
              <w:rPr>
                <w:rFonts w:ascii="Times New Roman" w:eastAsia="Calibri" w:hAnsi="Times New Roman" w:cs="Times New Roman"/>
                <w:sz w:val="18"/>
                <w:szCs w:val="18"/>
              </w:rPr>
              <w:t xml:space="preserve">High </w:t>
            </w:r>
          </w:p>
        </w:tc>
      </w:tr>
      <w:tr w:rsidR="00D20029" w:rsidRPr="00257550" w14:paraId="47AB6FA5" w14:textId="77777777" w:rsidTr="009D434E">
        <w:tc>
          <w:tcPr>
            <w:tcW w:w="562" w:type="dxa"/>
          </w:tcPr>
          <w:p w14:paraId="57AD1E7F" w14:textId="77777777" w:rsidR="00D20029" w:rsidRPr="00257550" w:rsidRDefault="00D20029" w:rsidP="00E83841">
            <w:pPr>
              <w:spacing w:after="0" w:line="360" w:lineRule="auto"/>
              <w:jc w:val="both"/>
              <w:rPr>
                <w:rFonts w:ascii="Times New Roman" w:eastAsia="Calibri" w:hAnsi="Times New Roman" w:cs="Times New Roman"/>
                <w:sz w:val="18"/>
                <w:szCs w:val="18"/>
              </w:rPr>
            </w:pPr>
            <w:r w:rsidRPr="00257550">
              <w:rPr>
                <w:rFonts w:ascii="Times New Roman" w:eastAsia="Calibri" w:hAnsi="Times New Roman" w:cs="Times New Roman"/>
                <w:sz w:val="18"/>
                <w:szCs w:val="18"/>
              </w:rPr>
              <w:t>5.</w:t>
            </w:r>
          </w:p>
        </w:tc>
        <w:tc>
          <w:tcPr>
            <w:tcW w:w="2552" w:type="dxa"/>
            <w:shd w:val="clear" w:color="auto" w:fill="auto"/>
          </w:tcPr>
          <w:p w14:paraId="2777D876" w14:textId="77777777" w:rsidR="00D20029" w:rsidRPr="00257550" w:rsidRDefault="00D20029" w:rsidP="00E83841">
            <w:pPr>
              <w:spacing w:after="0" w:line="360" w:lineRule="auto"/>
              <w:jc w:val="both"/>
              <w:rPr>
                <w:rFonts w:ascii="Times New Roman" w:eastAsia="Calibri" w:hAnsi="Times New Roman" w:cs="Times New Roman"/>
                <w:sz w:val="18"/>
                <w:szCs w:val="18"/>
              </w:rPr>
            </w:pPr>
            <w:r w:rsidRPr="00257550">
              <w:rPr>
                <w:rFonts w:ascii="Times New Roman" w:eastAsia="Calibri" w:hAnsi="Times New Roman" w:cs="Times New Roman"/>
                <w:sz w:val="18"/>
                <w:szCs w:val="18"/>
              </w:rPr>
              <w:t>The constitution proclaimed education for all.</w:t>
            </w:r>
          </w:p>
        </w:tc>
        <w:tc>
          <w:tcPr>
            <w:tcW w:w="850" w:type="dxa"/>
            <w:shd w:val="clear" w:color="auto" w:fill="auto"/>
          </w:tcPr>
          <w:p w14:paraId="3BB7F70B" w14:textId="77777777" w:rsidR="00D20029" w:rsidRPr="00257550" w:rsidRDefault="00D20029" w:rsidP="00E83841">
            <w:pPr>
              <w:spacing w:after="0" w:line="360" w:lineRule="auto"/>
              <w:jc w:val="center"/>
              <w:rPr>
                <w:rFonts w:ascii="Times New Roman" w:eastAsia="Calibri" w:hAnsi="Times New Roman" w:cs="Times New Roman"/>
                <w:sz w:val="18"/>
                <w:szCs w:val="18"/>
              </w:rPr>
            </w:pPr>
            <w:r w:rsidRPr="00257550">
              <w:rPr>
                <w:rFonts w:ascii="Times New Roman" w:eastAsia="Calibri" w:hAnsi="Times New Roman" w:cs="Times New Roman"/>
                <w:sz w:val="18"/>
                <w:szCs w:val="18"/>
              </w:rPr>
              <w:t>6</w:t>
            </w:r>
          </w:p>
          <w:p w14:paraId="1B8D221D" w14:textId="77777777" w:rsidR="00D20029" w:rsidRPr="00257550" w:rsidRDefault="00D20029" w:rsidP="00E83841">
            <w:pPr>
              <w:spacing w:after="0" w:line="360" w:lineRule="auto"/>
              <w:jc w:val="center"/>
              <w:rPr>
                <w:rFonts w:ascii="Times New Roman" w:eastAsia="Calibri" w:hAnsi="Times New Roman" w:cs="Times New Roman"/>
                <w:sz w:val="18"/>
                <w:szCs w:val="18"/>
              </w:rPr>
            </w:pPr>
            <w:r w:rsidRPr="00257550">
              <w:rPr>
                <w:rFonts w:ascii="Times New Roman" w:eastAsia="Calibri" w:hAnsi="Times New Roman" w:cs="Times New Roman"/>
                <w:sz w:val="18"/>
                <w:szCs w:val="18"/>
              </w:rPr>
              <w:t>(2.3%)</w:t>
            </w:r>
          </w:p>
        </w:tc>
        <w:tc>
          <w:tcPr>
            <w:tcW w:w="851" w:type="dxa"/>
            <w:shd w:val="clear" w:color="auto" w:fill="auto"/>
          </w:tcPr>
          <w:p w14:paraId="10626018" w14:textId="77777777" w:rsidR="00D20029" w:rsidRPr="00257550" w:rsidRDefault="00D20029" w:rsidP="00E83841">
            <w:pPr>
              <w:spacing w:after="0" w:line="360" w:lineRule="auto"/>
              <w:jc w:val="center"/>
              <w:rPr>
                <w:rFonts w:ascii="Times New Roman" w:eastAsia="Calibri" w:hAnsi="Times New Roman" w:cs="Times New Roman"/>
                <w:sz w:val="18"/>
                <w:szCs w:val="18"/>
              </w:rPr>
            </w:pPr>
            <w:r w:rsidRPr="00257550">
              <w:rPr>
                <w:rFonts w:ascii="Times New Roman" w:eastAsia="Calibri" w:hAnsi="Times New Roman" w:cs="Times New Roman"/>
                <w:sz w:val="18"/>
                <w:szCs w:val="18"/>
              </w:rPr>
              <w:t>10</w:t>
            </w:r>
          </w:p>
          <w:p w14:paraId="290D3CFB" w14:textId="77777777" w:rsidR="00D20029" w:rsidRPr="00257550" w:rsidRDefault="00D20029" w:rsidP="00E83841">
            <w:pPr>
              <w:spacing w:after="0" w:line="360" w:lineRule="auto"/>
              <w:jc w:val="center"/>
              <w:rPr>
                <w:rFonts w:ascii="Times New Roman" w:eastAsia="Calibri" w:hAnsi="Times New Roman" w:cs="Times New Roman"/>
                <w:sz w:val="18"/>
                <w:szCs w:val="18"/>
              </w:rPr>
            </w:pPr>
            <w:r w:rsidRPr="00257550">
              <w:rPr>
                <w:rFonts w:ascii="Times New Roman" w:eastAsia="Calibri" w:hAnsi="Times New Roman" w:cs="Times New Roman"/>
                <w:sz w:val="18"/>
                <w:szCs w:val="18"/>
              </w:rPr>
              <w:t>(3.8%)</w:t>
            </w:r>
          </w:p>
        </w:tc>
        <w:tc>
          <w:tcPr>
            <w:tcW w:w="850" w:type="dxa"/>
            <w:shd w:val="clear" w:color="auto" w:fill="auto"/>
          </w:tcPr>
          <w:p w14:paraId="7BE92EDD" w14:textId="77777777" w:rsidR="00D20029" w:rsidRPr="00257550" w:rsidRDefault="00D20029" w:rsidP="00E83841">
            <w:pPr>
              <w:spacing w:after="0" w:line="360" w:lineRule="auto"/>
              <w:jc w:val="center"/>
              <w:rPr>
                <w:rFonts w:ascii="Times New Roman" w:eastAsia="Calibri" w:hAnsi="Times New Roman" w:cs="Times New Roman"/>
                <w:sz w:val="18"/>
                <w:szCs w:val="18"/>
              </w:rPr>
            </w:pPr>
            <w:r w:rsidRPr="00257550">
              <w:rPr>
                <w:rFonts w:ascii="Times New Roman" w:eastAsia="Calibri" w:hAnsi="Times New Roman" w:cs="Times New Roman"/>
                <w:sz w:val="18"/>
                <w:szCs w:val="18"/>
              </w:rPr>
              <w:t>39</w:t>
            </w:r>
          </w:p>
          <w:p w14:paraId="3BB7D1A4" w14:textId="77777777" w:rsidR="00D20029" w:rsidRPr="00257550" w:rsidRDefault="00D20029" w:rsidP="00E83841">
            <w:pPr>
              <w:spacing w:after="0" w:line="360" w:lineRule="auto"/>
              <w:jc w:val="center"/>
              <w:rPr>
                <w:rFonts w:ascii="Times New Roman" w:eastAsia="Calibri" w:hAnsi="Times New Roman" w:cs="Times New Roman"/>
                <w:sz w:val="18"/>
                <w:szCs w:val="18"/>
              </w:rPr>
            </w:pPr>
            <w:r w:rsidRPr="00257550">
              <w:rPr>
                <w:rFonts w:ascii="Times New Roman" w:eastAsia="Calibri" w:hAnsi="Times New Roman" w:cs="Times New Roman"/>
                <w:sz w:val="18"/>
                <w:szCs w:val="18"/>
              </w:rPr>
              <w:t>(15%)</w:t>
            </w:r>
          </w:p>
        </w:tc>
        <w:tc>
          <w:tcPr>
            <w:tcW w:w="851" w:type="dxa"/>
            <w:shd w:val="clear" w:color="auto" w:fill="auto"/>
          </w:tcPr>
          <w:p w14:paraId="15F25613" w14:textId="77777777" w:rsidR="00D20029" w:rsidRPr="00257550" w:rsidRDefault="00D20029" w:rsidP="00E83841">
            <w:pPr>
              <w:spacing w:after="0" w:line="360" w:lineRule="auto"/>
              <w:jc w:val="center"/>
              <w:rPr>
                <w:rFonts w:ascii="Times New Roman" w:eastAsia="Calibri" w:hAnsi="Times New Roman" w:cs="Times New Roman"/>
                <w:sz w:val="18"/>
                <w:szCs w:val="18"/>
              </w:rPr>
            </w:pPr>
            <w:r w:rsidRPr="00257550">
              <w:rPr>
                <w:rFonts w:ascii="Times New Roman" w:eastAsia="Calibri" w:hAnsi="Times New Roman" w:cs="Times New Roman"/>
                <w:sz w:val="18"/>
                <w:szCs w:val="18"/>
              </w:rPr>
              <w:t>79</w:t>
            </w:r>
          </w:p>
          <w:p w14:paraId="0CDCD40C" w14:textId="77777777" w:rsidR="00D20029" w:rsidRPr="00257550" w:rsidRDefault="00D20029" w:rsidP="00E83841">
            <w:pPr>
              <w:spacing w:after="0" w:line="360" w:lineRule="auto"/>
              <w:jc w:val="center"/>
              <w:rPr>
                <w:rFonts w:ascii="Times New Roman" w:eastAsia="Calibri" w:hAnsi="Times New Roman" w:cs="Times New Roman"/>
                <w:sz w:val="18"/>
                <w:szCs w:val="18"/>
              </w:rPr>
            </w:pPr>
            <w:r w:rsidRPr="00257550">
              <w:rPr>
                <w:rFonts w:ascii="Times New Roman" w:eastAsia="Calibri" w:hAnsi="Times New Roman" w:cs="Times New Roman"/>
                <w:sz w:val="18"/>
                <w:szCs w:val="18"/>
              </w:rPr>
              <w:t>(29.2%)</w:t>
            </w:r>
          </w:p>
        </w:tc>
        <w:tc>
          <w:tcPr>
            <w:tcW w:w="992" w:type="dxa"/>
            <w:shd w:val="clear" w:color="auto" w:fill="auto"/>
          </w:tcPr>
          <w:p w14:paraId="0EBF8C3B" w14:textId="77777777" w:rsidR="00D20029" w:rsidRPr="00257550" w:rsidRDefault="00D20029" w:rsidP="00E83841">
            <w:pPr>
              <w:spacing w:after="0" w:line="360" w:lineRule="auto"/>
              <w:jc w:val="center"/>
              <w:rPr>
                <w:rFonts w:ascii="Times New Roman" w:eastAsia="Calibri" w:hAnsi="Times New Roman" w:cs="Times New Roman"/>
                <w:sz w:val="18"/>
                <w:szCs w:val="18"/>
              </w:rPr>
            </w:pPr>
            <w:r w:rsidRPr="00257550">
              <w:rPr>
                <w:rFonts w:ascii="Times New Roman" w:eastAsia="Calibri" w:hAnsi="Times New Roman" w:cs="Times New Roman"/>
                <w:sz w:val="18"/>
                <w:szCs w:val="18"/>
              </w:rPr>
              <w:t>129</w:t>
            </w:r>
          </w:p>
          <w:p w14:paraId="65736BED" w14:textId="77777777" w:rsidR="00D20029" w:rsidRPr="00257550" w:rsidRDefault="00D20029" w:rsidP="00E83841">
            <w:pPr>
              <w:spacing w:after="0" w:line="360" w:lineRule="auto"/>
              <w:jc w:val="center"/>
              <w:rPr>
                <w:rFonts w:ascii="Times New Roman" w:eastAsia="Calibri" w:hAnsi="Times New Roman" w:cs="Times New Roman"/>
                <w:sz w:val="18"/>
                <w:szCs w:val="18"/>
              </w:rPr>
            </w:pPr>
            <w:r w:rsidRPr="00257550">
              <w:rPr>
                <w:rFonts w:ascii="Times New Roman" w:eastAsia="Calibri" w:hAnsi="Times New Roman" w:cs="Times New Roman"/>
                <w:sz w:val="18"/>
                <w:szCs w:val="18"/>
              </w:rPr>
              <w:t>(49.6%)</w:t>
            </w:r>
          </w:p>
        </w:tc>
        <w:tc>
          <w:tcPr>
            <w:tcW w:w="709" w:type="dxa"/>
            <w:shd w:val="clear" w:color="auto" w:fill="auto"/>
            <w:vAlign w:val="center"/>
          </w:tcPr>
          <w:p w14:paraId="180061A8" w14:textId="77777777" w:rsidR="00D20029" w:rsidRPr="00257550" w:rsidRDefault="00D20029" w:rsidP="00E83841">
            <w:pPr>
              <w:spacing w:after="0" w:line="360" w:lineRule="auto"/>
              <w:jc w:val="center"/>
              <w:rPr>
                <w:rFonts w:ascii="Times New Roman" w:eastAsia="Times New Roman" w:hAnsi="Times New Roman" w:cs="Times New Roman"/>
                <w:color w:val="000000"/>
                <w:sz w:val="18"/>
                <w:szCs w:val="18"/>
              </w:rPr>
            </w:pPr>
            <w:r w:rsidRPr="00257550">
              <w:rPr>
                <w:rFonts w:ascii="Times New Roman" w:eastAsia="Times New Roman" w:hAnsi="Times New Roman" w:cs="Times New Roman"/>
                <w:color w:val="000000"/>
                <w:sz w:val="18"/>
                <w:szCs w:val="18"/>
              </w:rPr>
              <w:t>4.20</w:t>
            </w:r>
          </w:p>
        </w:tc>
        <w:tc>
          <w:tcPr>
            <w:tcW w:w="709" w:type="dxa"/>
            <w:shd w:val="clear" w:color="auto" w:fill="auto"/>
            <w:vAlign w:val="center"/>
          </w:tcPr>
          <w:p w14:paraId="61AF157D" w14:textId="77777777" w:rsidR="00D20029" w:rsidRPr="00257550" w:rsidRDefault="00D20029" w:rsidP="00E83841">
            <w:pPr>
              <w:spacing w:after="0" w:line="360" w:lineRule="auto"/>
              <w:jc w:val="center"/>
              <w:rPr>
                <w:rFonts w:ascii="Times New Roman" w:eastAsia="Times New Roman" w:hAnsi="Times New Roman" w:cs="Times New Roman"/>
                <w:color w:val="000000"/>
                <w:sz w:val="18"/>
                <w:szCs w:val="18"/>
              </w:rPr>
            </w:pPr>
            <w:r w:rsidRPr="00257550">
              <w:rPr>
                <w:rFonts w:ascii="Times New Roman" w:eastAsia="Times New Roman" w:hAnsi="Times New Roman" w:cs="Times New Roman"/>
                <w:color w:val="000000"/>
                <w:sz w:val="18"/>
                <w:szCs w:val="18"/>
              </w:rPr>
              <w:t>.986</w:t>
            </w:r>
          </w:p>
        </w:tc>
        <w:tc>
          <w:tcPr>
            <w:tcW w:w="1134" w:type="dxa"/>
            <w:shd w:val="clear" w:color="auto" w:fill="auto"/>
          </w:tcPr>
          <w:p w14:paraId="14D843BD" w14:textId="77777777" w:rsidR="00D20029" w:rsidRPr="00257550" w:rsidRDefault="00D20029" w:rsidP="00E83841">
            <w:pPr>
              <w:spacing w:after="0" w:line="360" w:lineRule="auto"/>
              <w:jc w:val="both"/>
              <w:rPr>
                <w:rFonts w:ascii="Times New Roman" w:eastAsia="Calibri" w:hAnsi="Times New Roman" w:cs="Times New Roman"/>
                <w:sz w:val="18"/>
                <w:szCs w:val="18"/>
              </w:rPr>
            </w:pPr>
            <w:r w:rsidRPr="00257550">
              <w:rPr>
                <w:rFonts w:ascii="Times New Roman" w:eastAsia="Calibri" w:hAnsi="Times New Roman" w:cs="Times New Roman"/>
                <w:sz w:val="18"/>
                <w:szCs w:val="18"/>
              </w:rPr>
              <w:t xml:space="preserve">High </w:t>
            </w:r>
          </w:p>
        </w:tc>
      </w:tr>
      <w:tr w:rsidR="00D20029" w:rsidRPr="00257550" w14:paraId="4FC9F70E" w14:textId="77777777" w:rsidTr="009D434E">
        <w:tc>
          <w:tcPr>
            <w:tcW w:w="562" w:type="dxa"/>
          </w:tcPr>
          <w:p w14:paraId="16E6D972" w14:textId="77777777" w:rsidR="00D20029" w:rsidRPr="00257550" w:rsidRDefault="00D20029" w:rsidP="00E83841">
            <w:pPr>
              <w:spacing w:after="0" w:line="360" w:lineRule="auto"/>
              <w:jc w:val="both"/>
              <w:rPr>
                <w:rFonts w:ascii="Times New Roman" w:eastAsia="Calibri" w:hAnsi="Times New Roman" w:cs="Times New Roman"/>
                <w:sz w:val="18"/>
                <w:szCs w:val="18"/>
              </w:rPr>
            </w:pPr>
            <w:r w:rsidRPr="00257550">
              <w:rPr>
                <w:rFonts w:ascii="Times New Roman" w:eastAsia="Calibri" w:hAnsi="Times New Roman" w:cs="Times New Roman"/>
                <w:sz w:val="18"/>
                <w:szCs w:val="18"/>
              </w:rPr>
              <w:t>6.</w:t>
            </w:r>
          </w:p>
        </w:tc>
        <w:tc>
          <w:tcPr>
            <w:tcW w:w="2552" w:type="dxa"/>
            <w:shd w:val="clear" w:color="auto" w:fill="auto"/>
          </w:tcPr>
          <w:p w14:paraId="3130AF59" w14:textId="77777777" w:rsidR="00D20029" w:rsidRPr="00257550" w:rsidRDefault="00D20029" w:rsidP="00E83841">
            <w:pPr>
              <w:spacing w:after="0" w:line="360" w:lineRule="auto"/>
              <w:jc w:val="both"/>
              <w:rPr>
                <w:rFonts w:ascii="Times New Roman" w:eastAsia="Calibri" w:hAnsi="Times New Roman" w:cs="Times New Roman"/>
                <w:sz w:val="18"/>
                <w:szCs w:val="18"/>
              </w:rPr>
            </w:pPr>
            <w:r w:rsidRPr="00257550">
              <w:rPr>
                <w:rFonts w:ascii="Times New Roman" w:eastAsia="Calibri" w:hAnsi="Times New Roman" w:cs="Times New Roman"/>
                <w:sz w:val="18"/>
                <w:szCs w:val="18"/>
              </w:rPr>
              <w:t>The government provides adequate girls’ room.</w:t>
            </w:r>
          </w:p>
        </w:tc>
        <w:tc>
          <w:tcPr>
            <w:tcW w:w="850" w:type="dxa"/>
            <w:shd w:val="clear" w:color="auto" w:fill="auto"/>
          </w:tcPr>
          <w:p w14:paraId="33C3C75E" w14:textId="77777777" w:rsidR="00D20029" w:rsidRPr="00257550" w:rsidRDefault="00D20029" w:rsidP="00E83841">
            <w:pPr>
              <w:spacing w:after="0" w:line="360" w:lineRule="auto"/>
              <w:jc w:val="center"/>
              <w:rPr>
                <w:rFonts w:ascii="Times New Roman" w:eastAsia="Calibri" w:hAnsi="Times New Roman" w:cs="Times New Roman"/>
                <w:sz w:val="18"/>
                <w:szCs w:val="18"/>
              </w:rPr>
            </w:pPr>
            <w:r w:rsidRPr="00257550">
              <w:rPr>
                <w:rFonts w:ascii="Times New Roman" w:eastAsia="Calibri" w:hAnsi="Times New Roman" w:cs="Times New Roman"/>
                <w:sz w:val="18"/>
                <w:szCs w:val="18"/>
              </w:rPr>
              <w:t>20</w:t>
            </w:r>
          </w:p>
          <w:p w14:paraId="78C43969" w14:textId="77777777" w:rsidR="00D20029" w:rsidRPr="00257550" w:rsidRDefault="00D20029" w:rsidP="00E83841">
            <w:pPr>
              <w:spacing w:after="0" w:line="360" w:lineRule="auto"/>
              <w:jc w:val="center"/>
              <w:rPr>
                <w:rFonts w:ascii="Times New Roman" w:eastAsia="Calibri" w:hAnsi="Times New Roman" w:cs="Times New Roman"/>
                <w:sz w:val="18"/>
                <w:szCs w:val="18"/>
              </w:rPr>
            </w:pPr>
            <w:r w:rsidRPr="00257550">
              <w:rPr>
                <w:rFonts w:ascii="Times New Roman" w:eastAsia="Calibri" w:hAnsi="Times New Roman" w:cs="Times New Roman"/>
                <w:sz w:val="18"/>
                <w:szCs w:val="18"/>
              </w:rPr>
              <w:t>(7.7%)</w:t>
            </w:r>
          </w:p>
        </w:tc>
        <w:tc>
          <w:tcPr>
            <w:tcW w:w="851" w:type="dxa"/>
            <w:shd w:val="clear" w:color="auto" w:fill="auto"/>
          </w:tcPr>
          <w:p w14:paraId="1ADB704D" w14:textId="77777777" w:rsidR="00D20029" w:rsidRPr="00257550" w:rsidRDefault="00D20029" w:rsidP="00E83841">
            <w:pPr>
              <w:spacing w:after="0" w:line="360" w:lineRule="auto"/>
              <w:jc w:val="center"/>
              <w:rPr>
                <w:rFonts w:ascii="Times New Roman" w:eastAsia="Calibri" w:hAnsi="Times New Roman" w:cs="Times New Roman"/>
                <w:sz w:val="18"/>
                <w:szCs w:val="18"/>
              </w:rPr>
            </w:pPr>
            <w:r w:rsidRPr="00257550">
              <w:rPr>
                <w:rFonts w:ascii="Times New Roman" w:eastAsia="Calibri" w:hAnsi="Times New Roman" w:cs="Times New Roman"/>
                <w:sz w:val="18"/>
                <w:szCs w:val="18"/>
              </w:rPr>
              <w:t>30</w:t>
            </w:r>
          </w:p>
          <w:p w14:paraId="6F6FF6E3" w14:textId="77777777" w:rsidR="00D20029" w:rsidRPr="00257550" w:rsidRDefault="00D20029" w:rsidP="00E83841">
            <w:pPr>
              <w:spacing w:after="0" w:line="360" w:lineRule="auto"/>
              <w:jc w:val="center"/>
              <w:rPr>
                <w:rFonts w:ascii="Times New Roman" w:eastAsia="Calibri" w:hAnsi="Times New Roman" w:cs="Times New Roman"/>
                <w:sz w:val="18"/>
                <w:szCs w:val="18"/>
              </w:rPr>
            </w:pPr>
            <w:r w:rsidRPr="00257550">
              <w:rPr>
                <w:rFonts w:ascii="Times New Roman" w:eastAsia="Calibri" w:hAnsi="Times New Roman" w:cs="Times New Roman"/>
                <w:sz w:val="18"/>
                <w:szCs w:val="18"/>
              </w:rPr>
              <w:t>(11.6%)</w:t>
            </w:r>
          </w:p>
        </w:tc>
        <w:tc>
          <w:tcPr>
            <w:tcW w:w="850" w:type="dxa"/>
            <w:shd w:val="clear" w:color="auto" w:fill="auto"/>
          </w:tcPr>
          <w:p w14:paraId="355F5628" w14:textId="77777777" w:rsidR="00D20029" w:rsidRPr="00257550" w:rsidRDefault="00D20029" w:rsidP="00E83841">
            <w:pPr>
              <w:spacing w:after="0" w:line="360" w:lineRule="auto"/>
              <w:jc w:val="center"/>
              <w:rPr>
                <w:rFonts w:ascii="Times New Roman" w:eastAsia="Calibri" w:hAnsi="Times New Roman" w:cs="Times New Roman"/>
                <w:sz w:val="18"/>
                <w:szCs w:val="18"/>
              </w:rPr>
            </w:pPr>
            <w:r w:rsidRPr="00257550">
              <w:rPr>
                <w:rFonts w:ascii="Times New Roman" w:eastAsia="Calibri" w:hAnsi="Times New Roman" w:cs="Times New Roman"/>
                <w:sz w:val="18"/>
                <w:szCs w:val="18"/>
              </w:rPr>
              <w:t>40</w:t>
            </w:r>
          </w:p>
          <w:p w14:paraId="25790164" w14:textId="77777777" w:rsidR="00D20029" w:rsidRPr="00257550" w:rsidRDefault="00D20029" w:rsidP="00E83841">
            <w:pPr>
              <w:spacing w:after="0" w:line="360" w:lineRule="auto"/>
              <w:jc w:val="center"/>
              <w:rPr>
                <w:rFonts w:ascii="Times New Roman" w:eastAsia="Calibri" w:hAnsi="Times New Roman" w:cs="Times New Roman"/>
                <w:sz w:val="18"/>
                <w:szCs w:val="18"/>
              </w:rPr>
            </w:pPr>
            <w:r w:rsidRPr="00257550">
              <w:rPr>
                <w:rFonts w:ascii="Times New Roman" w:eastAsia="Calibri" w:hAnsi="Times New Roman" w:cs="Times New Roman"/>
                <w:sz w:val="18"/>
                <w:szCs w:val="18"/>
              </w:rPr>
              <w:t>(15.4%)</w:t>
            </w:r>
          </w:p>
        </w:tc>
        <w:tc>
          <w:tcPr>
            <w:tcW w:w="851" w:type="dxa"/>
            <w:shd w:val="clear" w:color="auto" w:fill="auto"/>
          </w:tcPr>
          <w:p w14:paraId="2E373065" w14:textId="77777777" w:rsidR="00D20029" w:rsidRPr="00257550" w:rsidRDefault="00D20029" w:rsidP="00E83841">
            <w:pPr>
              <w:spacing w:after="0" w:line="360" w:lineRule="auto"/>
              <w:jc w:val="center"/>
              <w:rPr>
                <w:rFonts w:ascii="Times New Roman" w:eastAsia="Calibri" w:hAnsi="Times New Roman" w:cs="Times New Roman"/>
                <w:sz w:val="18"/>
                <w:szCs w:val="18"/>
              </w:rPr>
            </w:pPr>
            <w:r w:rsidRPr="00257550">
              <w:rPr>
                <w:rFonts w:ascii="Times New Roman" w:eastAsia="Calibri" w:hAnsi="Times New Roman" w:cs="Times New Roman"/>
                <w:sz w:val="18"/>
                <w:szCs w:val="18"/>
              </w:rPr>
              <w:t>78</w:t>
            </w:r>
          </w:p>
          <w:p w14:paraId="16486F15" w14:textId="77777777" w:rsidR="00D20029" w:rsidRPr="00257550" w:rsidRDefault="00D20029" w:rsidP="00E83841">
            <w:pPr>
              <w:spacing w:after="0" w:line="360" w:lineRule="auto"/>
              <w:jc w:val="center"/>
              <w:rPr>
                <w:rFonts w:ascii="Times New Roman" w:eastAsia="Calibri" w:hAnsi="Times New Roman" w:cs="Times New Roman"/>
                <w:sz w:val="18"/>
                <w:szCs w:val="18"/>
              </w:rPr>
            </w:pPr>
            <w:r w:rsidRPr="00257550">
              <w:rPr>
                <w:rFonts w:ascii="Times New Roman" w:eastAsia="Calibri" w:hAnsi="Times New Roman" w:cs="Times New Roman"/>
                <w:sz w:val="18"/>
                <w:szCs w:val="18"/>
              </w:rPr>
              <w:t>(30%)</w:t>
            </w:r>
          </w:p>
        </w:tc>
        <w:tc>
          <w:tcPr>
            <w:tcW w:w="992" w:type="dxa"/>
            <w:shd w:val="clear" w:color="auto" w:fill="auto"/>
          </w:tcPr>
          <w:p w14:paraId="73DA2AAE" w14:textId="77777777" w:rsidR="00D20029" w:rsidRPr="00257550" w:rsidRDefault="00D20029" w:rsidP="00E83841">
            <w:pPr>
              <w:spacing w:after="0" w:line="360" w:lineRule="auto"/>
              <w:jc w:val="center"/>
              <w:rPr>
                <w:rFonts w:ascii="Times New Roman" w:eastAsia="Calibri" w:hAnsi="Times New Roman" w:cs="Times New Roman"/>
                <w:sz w:val="18"/>
                <w:szCs w:val="18"/>
              </w:rPr>
            </w:pPr>
            <w:r w:rsidRPr="00257550">
              <w:rPr>
                <w:rFonts w:ascii="Times New Roman" w:eastAsia="Calibri" w:hAnsi="Times New Roman" w:cs="Times New Roman"/>
                <w:sz w:val="18"/>
                <w:szCs w:val="18"/>
              </w:rPr>
              <w:t>92</w:t>
            </w:r>
          </w:p>
          <w:p w14:paraId="13A43BF1" w14:textId="77777777" w:rsidR="00D20029" w:rsidRPr="00257550" w:rsidRDefault="00D20029" w:rsidP="00E83841">
            <w:pPr>
              <w:spacing w:after="0" w:line="360" w:lineRule="auto"/>
              <w:jc w:val="center"/>
              <w:rPr>
                <w:rFonts w:ascii="Times New Roman" w:eastAsia="Calibri" w:hAnsi="Times New Roman" w:cs="Times New Roman"/>
                <w:sz w:val="18"/>
                <w:szCs w:val="18"/>
              </w:rPr>
            </w:pPr>
            <w:r w:rsidRPr="00257550">
              <w:rPr>
                <w:rFonts w:ascii="Times New Roman" w:eastAsia="Calibri" w:hAnsi="Times New Roman" w:cs="Times New Roman"/>
                <w:sz w:val="18"/>
                <w:szCs w:val="18"/>
              </w:rPr>
              <w:t>(35.4%)</w:t>
            </w:r>
          </w:p>
        </w:tc>
        <w:tc>
          <w:tcPr>
            <w:tcW w:w="709" w:type="dxa"/>
            <w:shd w:val="clear" w:color="auto" w:fill="auto"/>
            <w:vAlign w:val="center"/>
          </w:tcPr>
          <w:p w14:paraId="1E9C413A" w14:textId="77777777" w:rsidR="00D20029" w:rsidRPr="00257550" w:rsidRDefault="00D20029" w:rsidP="00E83841">
            <w:pPr>
              <w:spacing w:after="0" w:line="360" w:lineRule="auto"/>
              <w:jc w:val="center"/>
              <w:rPr>
                <w:rFonts w:ascii="Times New Roman" w:eastAsia="Times New Roman" w:hAnsi="Times New Roman" w:cs="Times New Roman"/>
                <w:color w:val="000000"/>
                <w:sz w:val="18"/>
                <w:szCs w:val="18"/>
              </w:rPr>
            </w:pPr>
            <w:r w:rsidRPr="00257550">
              <w:rPr>
                <w:rFonts w:ascii="Times New Roman" w:eastAsia="Times New Roman" w:hAnsi="Times New Roman" w:cs="Times New Roman"/>
                <w:color w:val="000000"/>
                <w:sz w:val="18"/>
                <w:szCs w:val="18"/>
              </w:rPr>
              <w:t>3.74</w:t>
            </w:r>
          </w:p>
        </w:tc>
        <w:tc>
          <w:tcPr>
            <w:tcW w:w="709" w:type="dxa"/>
            <w:shd w:val="clear" w:color="auto" w:fill="auto"/>
            <w:vAlign w:val="center"/>
          </w:tcPr>
          <w:p w14:paraId="6B7F1C25" w14:textId="77777777" w:rsidR="00D20029" w:rsidRPr="00257550" w:rsidRDefault="00D20029" w:rsidP="00E83841">
            <w:pPr>
              <w:spacing w:after="0" w:line="360" w:lineRule="auto"/>
              <w:jc w:val="center"/>
              <w:rPr>
                <w:rFonts w:ascii="Times New Roman" w:eastAsia="Times New Roman" w:hAnsi="Times New Roman" w:cs="Times New Roman"/>
                <w:color w:val="000000"/>
                <w:sz w:val="18"/>
                <w:szCs w:val="18"/>
              </w:rPr>
            </w:pPr>
            <w:r w:rsidRPr="00257550">
              <w:rPr>
                <w:rFonts w:ascii="Times New Roman" w:eastAsia="Times New Roman" w:hAnsi="Times New Roman" w:cs="Times New Roman"/>
                <w:color w:val="000000"/>
                <w:sz w:val="18"/>
                <w:szCs w:val="18"/>
              </w:rPr>
              <w:t>1.265</w:t>
            </w:r>
          </w:p>
        </w:tc>
        <w:tc>
          <w:tcPr>
            <w:tcW w:w="1134" w:type="dxa"/>
            <w:shd w:val="clear" w:color="auto" w:fill="auto"/>
          </w:tcPr>
          <w:p w14:paraId="06679BA0" w14:textId="77777777" w:rsidR="00D20029" w:rsidRPr="00257550" w:rsidRDefault="00D20029" w:rsidP="00E83841">
            <w:pPr>
              <w:spacing w:after="0" w:line="360" w:lineRule="auto"/>
              <w:jc w:val="both"/>
              <w:rPr>
                <w:rFonts w:ascii="Times New Roman" w:eastAsia="Calibri" w:hAnsi="Times New Roman" w:cs="Times New Roman"/>
                <w:sz w:val="18"/>
                <w:szCs w:val="18"/>
              </w:rPr>
            </w:pPr>
            <w:r w:rsidRPr="00257550">
              <w:rPr>
                <w:rFonts w:ascii="Times New Roman" w:eastAsia="Calibri" w:hAnsi="Times New Roman" w:cs="Times New Roman"/>
                <w:sz w:val="18"/>
                <w:szCs w:val="18"/>
              </w:rPr>
              <w:t xml:space="preserve"> High</w:t>
            </w:r>
          </w:p>
        </w:tc>
      </w:tr>
      <w:tr w:rsidR="00D20029" w:rsidRPr="00257550" w14:paraId="57746C42" w14:textId="77777777" w:rsidTr="009D434E">
        <w:tc>
          <w:tcPr>
            <w:tcW w:w="562" w:type="dxa"/>
          </w:tcPr>
          <w:p w14:paraId="1217BB31" w14:textId="77777777" w:rsidR="00D20029" w:rsidRPr="00257550" w:rsidRDefault="00D20029" w:rsidP="00E83841">
            <w:pPr>
              <w:spacing w:after="0" w:line="360" w:lineRule="auto"/>
              <w:jc w:val="both"/>
              <w:rPr>
                <w:rFonts w:ascii="Times New Roman" w:eastAsia="Calibri" w:hAnsi="Times New Roman" w:cs="Times New Roman"/>
                <w:sz w:val="18"/>
                <w:szCs w:val="18"/>
              </w:rPr>
            </w:pPr>
            <w:r w:rsidRPr="00257550">
              <w:rPr>
                <w:rFonts w:ascii="Times New Roman" w:eastAsia="Calibri" w:hAnsi="Times New Roman" w:cs="Times New Roman"/>
                <w:sz w:val="18"/>
                <w:szCs w:val="18"/>
              </w:rPr>
              <w:t>7.</w:t>
            </w:r>
          </w:p>
        </w:tc>
        <w:tc>
          <w:tcPr>
            <w:tcW w:w="2552" w:type="dxa"/>
            <w:shd w:val="clear" w:color="auto" w:fill="auto"/>
          </w:tcPr>
          <w:p w14:paraId="3374F7E1" w14:textId="77777777" w:rsidR="00D20029" w:rsidRPr="00257550" w:rsidRDefault="00D20029" w:rsidP="00E83841">
            <w:pPr>
              <w:spacing w:after="0" w:line="360" w:lineRule="auto"/>
              <w:ind w:right="68"/>
              <w:jc w:val="both"/>
              <w:rPr>
                <w:rFonts w:ascii="Times New Roman" w:eastAsia="Calibri" w:hAnsi="Times New Roman" w:cs="Times New Roman"/>
                <w:sz w:val="18"/>
                <w:szCs w:val="18"/>
              </w:rPr>
            </w:pPr>
            <w:r w:rsidRPr="00257550">
              <w:rPr>
                <w:rFonts w:ascii="Times New Roman" w:eastAsia="Calibri" w:hAnsi="Times New Roman" w:cs="Times New Roman"/>
                <w:sz w:val="18"/>
                <w:szCs w:val="18"/>
              </w:rPr>
              <w:t>The government provides adequate toilets for girls in my school.</w:t>
            </w:r>
          </w:p>
        </w:tc>
        <w:tc>
          <w:tcPr>
            <w:tcW w:w="850" w:type="dxa"/>
            <w:shd w:val="clear" w:color="auto" w:fill="auto"/>
          </w:tcPr>
          <w:p w14:paraId="29564B9B" w14:textId="77777777" w:rsidR="00D20029" w:rsidRPr="00257550" w:rsidRDefault="00D20029" w:rsidP="00E83841">
            <w:pPr>
              <w:spacing w:after="0" w:line="360" w:lineRule="auto"/>
              <w:jc w:val="center"/>
              <w:rPr>
                <w:rFonts w:ascii="Times New Roman" w:eastAsia="Calibri" w:hAnsi="Times New Roman" w:cs="Times New Roman"/>
                <w:sz w:val="18"/>
                <w:szCs w:val="18"/>
              </w:rPr>
            </w:pPr>
            <w:r w:rsidRPr="00257550">
              <w:rPr>
                <w:rFonts w:ascii="Times New Roman" w:eastAsia="Calibri" w:hAnsi="Times New Roman" w:cs="Times New Roman"/>
                <w:sz w:val="18"/>
                <w:szCs w:val="18"/>
              </w:rPr>
              <w:t>10</w:t>
            </w:r>
          </w:p>
          <w:p w14:paraId="6E9F3D1E" w14:textId="77777777" w:rsidR="00D20029" w:rsidRPr="00257550" w:rsidRDefault="00D20029" w:rsidP="00E83841">
            <w:pPr>
              <w:spacing w:after="0" w:line="360" w:lineRule="auto"/>
              <w:jc w:val="center"/>
              <w:rPr>
                <w:rFonts w:ascii="Times New Roman" w:eastAsia="Calibri" w:hAnsi="Times New Roman" w:cs="Times New Roman"/>
                <w:sz w:val="18"/>
                <w:szCs w:val="18"/>
              </w:rPr>
            </w:pPr>
            <w:r w:rsidRPr="00257550">
              <w:rPr>
                <w:rFonts w:ascii="Times New Roman" w:eastAsia="Calibri" w:hAnsi="Times New Roman" w:cs="Times New Roman"/>
                <w:sz w:val="18"/>
                <w:szCs w:val="18"/>
              </w:rPr>
              <w:t>(3.8%)</w:t>
            </w:r>
          </w:p>
        </w:tc>
        <w:tc>
          <w:tcPr>
            <w:tcW w:w="851" w:type="dxa"/>
            <w:shd w:val="clear" w:color="auto" w:fill="auto"/>
          </w:tcPr>
          <w:p w14:paraId="6DF8907F" w14:textId="77777777" w:rsidR="00D20029" w:rsidRPr="00257550" w:rsidRDefault="00D20029" w:rsidP="00E83841">
            <w:pPr>
              <w:spacing w:after="0" w:line="360" w:lineRule="auto"/>
              <w:jc w:val="center"/>
              <w:rPr>
                <w:rFonts w:ascii="Times New Roman" w:eastAsia="Calibri" w:hAnsi="Times New Roman" w:cs="Times New Roman"/>
                <w:sz w:val="18"/>
                <w:szCs w:val="18"/>
              </w:rPr>
            </w:pPr>
            <w:r w:rsidRPr="00257550">
              <w:rPr>
                <w:rFonts w:ascii="Times New Roman" w:eastAsia="Calibri" w:hAnsi="Times New Roman" w:cs="Times New Roman"/>
                <w:sz w:val="18"/>
                <w:szCs w:val="18"/>
              </w:rPr>
              <w:t>10</w:t>
            </w:r>
          </w:p>
          <w:p w14:paraId="73CC47DA" w14:textId="77777777" w:rsidR="00D20029" w:rsidRPr="00257550" w:rsidRDefault="00D20029" w:rsidP="00E83841">
            <w:pPr>
              <w:spacing w:after="0" w:line="360" w:lineRule="auto"/>
              <w:jc w:val="center"/>
              <w:rPr>
                <w:rFonts w:ascii="Times New Roman" w:eastAsia="Calibri" w:hAnsi="Times New Roman" w:cs="Times New Roman"/>
                <w:sz w:val="18"/>
                <w:szCs w:val="18"/>
              </w:rPr>
            </w:pPr>
            <w:r w:rsidRPr="00257550">
              <w:rPr>
                <w:rFonts w:ascii="Times New Roman" w:eastAsia="Calibri" w:hAnsi="Times New Roman" w:cs="Times New Roman"/>
                <w:sz w:val="18"/>
                <w:szCs w:val="18"/>
              </w:rPr>
              <w:t>(3.8%)</w:t>
            </w:r>
          </w:p>
        </w:tc>
        <w:tc>
          <w:tcPr>
            <w:tcW w:w="850" w:type="dxa"/>
            <w:shd w:val="clear" w:color="auto" w:fill="auto"/>
          </w:tcPr>
          <w:p w14:paraId="7EED6FCD" w14:textId="77777777" w:rsidR="00D20029" w:rsidRPr="00257550" w:rsidRDefault="00D20029" w:rsidP="00E83841">
            <w:pPr>
              <w:spacing w:after="0" w:line="360" w:lineRule="auto"/>
              <w:jc w:val="center"/>
              <w:rPr>
                <w:rFonts w:ascii="Times New Roman" w:eastAsia="Calibri" w:hAnsi="Times New Roman" w:cs="Times New Roman"/>
                <w:sz w:val="18"/>
                <w:szCs w:val="18"/>
              </w:rPr>
            </w:pPr>
            <w:r w:rsidRPr="00257550">
              <w:rPr>
                <w:rFonts w:ascii="Times New Roman" w:eastAsia="Calibri" w:hAnsi="Times New Roman" w:cs="Times New Roman"/>
                <w:sz w:val="18"/>
                <w:szCs w:val="18"/>
              </w:rPr>
              <w:t>15</w:t>
            </w:r>
          </w:p>
          <w:p w14:paraId="75E7042E" w14:textId="77777777" w:rsidR="00D20029" w:rsidRPr="00257550" w:rsidRDefault="00D20029" w:rsidP="00E83841">
            <w:pPr>
              <w:spacing w:after="0" w:line="360" w:lineRule="auto"/>
              <w:jc w:val="center"/>
              <w:rPr>
                <w:rFonts w:ascii="Times New Roman" w:eastAsia="Calibri" w:hAnsi="Times New Roman" w:cs="Times New Roman"/>
                <w:sz w:val="18"/>
                <w:szCs w:val="18"/>
              </w:rPr>
            </w:pPr>
            <w:r w:rsidRPr="00257550">
              <w:rPr>
                <w:rFonts w:ascii="Times New Roman" w:eastAsia="Calibri" w:hAnsi="Times New Roman" w:cs="Times New Roman"/>
                <w:sz w:val="18"/>
                <w:szCs w:val="18"/>
              </w:rPr>
              <w:t>(5.8%)</w:t>
            </w:r>
          </w:p>
        </w:tc>
        <w:tc>
          <w:tcPr>
            <w:tcW w:w="851" w:type="dxa"/>
            <w:shd w:val="clear" w:color="auto" w:fill="auto"/>
          </w:tcPr>
          <w:p w14:paraId="3A984A87" w14:textId="77777777" w:rsidR="00D20029" w:rsidRPr="00257550" w:rsidRDefault="00D20029" w:rsidP="00E83841">
            <w:pPr>
              <w:spacing w:after="0" w:line="360" w:lineRule="auto"/>
              <w:jc w:val="center"/>
              <w:rPr>
                <w:rFonts w:ascii="Times New Roman" w:eastAsia="Calibri" w:hAnsi="Times New Roman" w:cs="Times New Roman"/>
                <w:sz w:val="18"/>
                <w:szCs w:val="18"/>
              </w:rPr>
            </w:pPr>
            <w:r w:rsidRPr="00257550">
              <w:rPr>
                <w:rFonts w:ascii="Times New Roman" w:eastAsia="Calibri" w:hAnsi="Times New Roman" w:cs="Times New Roman"/>
                <w:sz w:val="18"/>
                <w:szCs w:val="18"/>
              </w:rPr>
              <w:t>88</w:t>
            </w:r>
          </w:p>
          <w:p w14:paraId="7F6FF395" w14:textId="77777777" w:rsidR="00D20029" w:rsidRPr="00257550" w:rsidRDefault="00D20029" w:rsidP="00E83841">
            <w:pPr>
              <w:spacing w:after="0" w:line="360" w:lineRule="auto"/>
              <w:jc w:val="center"/>
              <w:rPr>
                <w:rFonts w:ascii="Times New Roman" w:eastAsia="Calibri" w:hAnsi="Times New Roman" w:cs="Times New Roman"/>
                <w:sz w:val="18"/>
                <w:szCs w:val="18"/>
              </w:rPr>
            </w:pPr>
            <w:r w:rsidRPr="00257550">
              <w:rPr>
                <w:rFonts w:ascii="Times New Roman" w:eastAsia="Calibri" w:hAnsi="Times New Roman" w:cs="Times New Roman"/>
                <w:sz w:val="18"/>
                <w:szCs w:val="18"/>
              </w:rPr>
              <w:t>(33.8%)</w:t>
            </w:r>
          </w:p>
        </w:tc>
        <w:tc>
          <w:tcPr>
            <w:tcW w:w="992" w:type="dxa"/>
            <w:shd w:val="clear" w:color="auto" w:fill="auto"/>
          </w:tcPr>
          <w:p w14:paraId="04E09378" w14:textId="77777777" w:rsidR="00D20029" w:rsidRPr="00257550" w:rsidRDefault="00D20029" w:rsidP="00E83841">
            <w:pPr>
              <w:spacing w:after="0" w:line="360" w:lineRule="auto"/>
              <w:jc w:val="center"/>
              <w:rPr>
                <w:rFonts w:ascii="Times New Roman" w:eastAsia="Calibri" w:hAnsi="Times New Roman" w:cs="Times New Roman"/>
                <w:sz w:val="18"/>
                <w:szCs w:val="18"/>
              </w:rPr>
            </w:pPr>
            <w:r w:rsidRPr="00257550">
              <w:rPr>
                <w:rFonts w:ascii="Times New Roman" w:eastAsia="Calibri" w:hAnsi="Times New Roman" w:cs="Times New Roman"/>
                <w:sz w:val="18"/>
                <w:szCs w:val="18"/>
              </w:rPr>
              <w:t>137</w:t>
            </w:r>
          </w:p>
          <w:p w14:paraId="36860B48" w14:textId="77777777" w:rsidR="00D20029" w:rsidRPr="00257550" w:rsidRDefault="00D20029" w:rsidP="00E83841">
            <w:pPr>
              <w:spacing w:after="0" w:line="360" w:lineRule="auto"/>
              <w:jc w:val="center"/>
              <w:rPr>
                <w:rFonts w:ascii="Times New Roman" w:eastAsia="Calibri" w:hAnsi="Times New Roman" w:cs="Times New Roman"/>
                <w:sz w:val="18"/>
                <w:szCs w:val="18"/>
              </w:rPr>
            </w:pPr>
            <w:r w:rsidRPr="00257550">
              <w:rPr>
                <w:rFonts w:ascii="Times New Roman" w:eastAsia="Calibri" w:hAnsi="Times New Roman" w:cs="Times New Roman"/>
                <w:sz w:val="18"/>
                <w:szCs w:val="18"/>
              </w:rPr>
              <w:t>(52.7%)</w:t>
            </w:r>
          </w:p>
        </w:tc>
        <w:tc>
          <w:tcPr>
            <w:tcW w:w="709" w:type="dxa"/>
            <w:shd w:val="clear" w:color="auto" w:fill="auto"/>
            <w:vAlign w:val="center"/>
          </w:tcPr>
          <w:p w14:paraId="4F6B94D5" w14:textId="77777777" w:rsidR="00D20029" w:rsidRPr="00257550" w:rsidRDefault="00D20029" w:rsidP="00E83841">
            <w:pPr>
              <w:spacing w:after="0" w:line="360" w:lineRule="auto"/>
              <w:jc w:val="center"/>
              <w:rPr>
                <w:rFonts w:ascii="Times New Roman" w:eastAsia="Times New Roman" w:hAnsi="Times New Roman" w:cs="Times New Roman"/>
                <w:color w:val="000000"/>
                <w:sz w:val="18"/>
                <w:szCs w:val="18"/>
              </w:rPr>
            </w:pPr>
            <w:r w:rsidRPr="00257550">
              <w:rPr>
                <w:rFonts w:ascii="Times New Roman" w:eastAsia="Times New Roman" w:hAnsi="Times New Roman" w:cs="Times New Roman"/>
                <w:color w:val="000000"/>
                <w:sz w:val="18"/>
                <w:szCs w:val="18"/>
              </w:rPr>
              <w:t>4.28</w:t>
            </w:r>
          </w:p>
        </w:tc>
        <w:tc>
          <w:tcPr>
            <w:tcW w:w="709" w:type="dxa"/>
            <w:shd w:val="clear" w:color="auto" w:fill="auto"/>
            <w:vAlign w:val="center"/>
          </w:tcPr>
          <w:p w14:paraId="6D399AC0" w14:textId="77777777" w:rsidR="00D20029" w:rsidRPr="00257550" w:rsidRDefault="00D20029" w:rsidP="00E83841">
            <w:pPr>
              <w:spacing w:after="0" w:line="360" w:lineRule="auto"/>
              <w:jc w:val="center"/>
              <w:rPr>
                <w:rFonts w:ascii="Times New Roman" w:eastAsia="Times New Roman" w:hAnsi="Times New Roman" w:cs="Times New Roman"/>
                <w:color w:val="000000"/>
                <w:sz w:val="18"/>
                <w:szCs w:val="18"/>
              </w:rPr>
            </w:pPr>
            <w:r w:rsidRPr="00257550">
              <w:rPr>
                <w:rFonts w:ascii="Times New Roman" w:eastAsia="Times New Roman" w:hAnsi="Times New Roman" w:cs="Times New Roman"/>
                <w:color w:val="000000"/>
                <w:sz w:val="18"/>
                <w:szCs w:val="18"/>
              </w:rPr>
              <w:t>1.006</w:t>
            </w:r>
          </w:p>
        </w:tc>
        <w:tc>
          <w:tcPr>
            <w:tcW w:w="1134" w:type="dxa"/>
            <w:shd w:val="clear" w:color="auto" w:fill="auto"/>
          </w:tcPr>
          <w:p w14:paraId="55F29CC1" w14:textId="77777777" w:rsidR="00D20029" w:rsidRPr="00257550" w:rsidRDefault="00D20029" w:rsidP="00E83841">
            <w:pPr>
              <w:spacing w:after="0" w:line="360" w:lineRule="auto"/>
              <w:jc w:val="both"/>
              <w:rPr>
                <w:rFonts w:ascii="Times New Roman" w:eastAsia="Calibri" w:hAnsi="Times New Roman" w:cs="Times New Roman"/>
                <w:sz w:val="18"/>
                <w:szCs w:val="18"/>
              </w:rPr>
            </w:pPr>
            <w:r w:rsidRPr="00257550">
              <w:rPr>
                <w:rFonts w:ascii="Times New Roman" w:eastAsia="Calibri" w:hAnsi="Times New Roman" w:cs="Times New Roman"/>
                <w:sz w:val="18"/>
                <w:szCs w:val="18"/>
              </w:rPr>
              <w:t xml:space="preserve"> Very High </w:t>
            </w:r>
          </w:p>
        </w:tc>
      </w:tr>
      <w:tr w:rsidR="00D20029" w:rsidRPr="00257550" w14:paraId="424A0018" w14:textId="77777777" w:rsidTr="009D434E">
        <w:tc>
          <w:tcPr>
            <w:tcW w:w="562" w:type="dxa"/>
          </w:tcPr>
          <w:p w14:paraId="2869F925" w14:textId="77777777" w:rsidR="00D20029" w:rsidRPr="00257550" w:rsidRDefault="00D20029" w:rsidP="00E83841">
            <w:pPr>
              <w:spacing w:after="0" w:line="360" w:lineRule="auto"/>
              <w:jc w:val="both"/>
              <w:rPr>
                <w:rFonts w:ascii="Times New Roman" w:eastAsia="Calibri" w:hAnsi="Times New Roman" w:cs="Times New Roman"/>
                <w:sz w:val="18"/>
                <w:szCs w:val="18"/>
              </w:rPr>
            </w:pPr>
            <w:r w:rsidRPr="00257550">
              <w:rPr>
                <w:rFonts w:ascii="Times New Roman" w:eastAsia="Calibri" w:hAnsi="Times New Roman" w:cs="Times New Roman"/>
                <w:sz w:val="18"/>
                <w:szCs w:val="18"/>
              </w:rPr>
              <w:t>8.</w:t>
            </w:r>
          </w:p>
        </w:tc>
        <w:tc>
          <w:tcPr>
            <w:tcW w:w="2552" w:type="dxa"/>
            <w:shd w:val="clear" w:color="auto" w:fill="auto"/>
          </w:tcPr>
          <w:p w14:paraId="0487B9C4" w14:textId="77777777" w:rsidR="00D20029" w:rsidRPr="00257550" w:rsidRDefault="00D20029" w:rsidP="00E83841">
            <w:pPr>
              <w:spacing w:after="0" w:line="360" w:lineRule="auto"/>
              <w:ind w:right="68"/>
              <w:jc w:val="both"/>
              <w:rPr>
                <w:rFonts w:ascii="Times New Roman" w:eastAsia="Calibri" w:hAnsi="Times New Roman" w:cs="Times New Roman"/>
                <w:sz w:val="18"/>
                <w:szCs w:val="18"/>
              </w:rPr>
            </w:pPr>
            <w:r w:rsidRPr="00257550">
              <w:rPr>
                <w:rFonts w:ascii="Times New Roman" w:eastAsia="Calibri" w:hAnsi="Times New Roman" w:cs="Times New Roman"/>
                <w:sz w:val="18"/>
                <w:szCs w:val="18"/>
              </w:rPr>
              <w:t>The government provides water and electricity adequately in my school.</w:t>
            </w:r>
          </w:p>
        </w:tc>
        <w:tc>
          <w:tcPr>
            <w:tcW w:w="850" w:type="dxa"/>
            <w:shd w:val="clear" w:color="auto" w:fill="auto"/>
          </w:tcPr>
          <w:p w14:paraId="65EE45F4" w14:textId="77777777" w:rsidR="00D20029" w:rsidRPr="00257550" w:rsidRDefault="00D20029" w:rsidP="00E83841">
            <w:pPr>
              <w:spacing w:after="0" w:line="360" w:lineRule="auto"/>
              <w:jc w:val="center"/>
              <w:rPr>
                <w:rFonts w:ascii="Times New Roman" w:eastAsia="Calibri" w:hAnsi="Times New Roman" w:cs="Times New Roman"/>
                <w:sz w:val="18"/>
                <w:szCs w:val="18"/>
              </w:rPr>
            </w:pPr>
            <w:r w:rsidRPr="00257550">
              <w:rPr>
                <w:rFonts w:ascii="Times New Roman" w:eastAsia="Calibri" w:hAnsi="Times New Roman" w:cs="Times New Roman"/>
                <w:sz w:val="18"/>
                <w:szCs w:val="18"/>
              </w:rPr>
              <w:t>6</w:t>
            </w:r>
          </w:p>
          <w:p w14:paraId="00FE92DD" w14:textId="77777777" w:rsidR="00D20029" w:rsidRPr="00257550" w:rsidRDefault="00D20029" w:rsidP="00E83841">
            <w:pPr>
              <w:spacing w:after="0" w:line="360" w:lineRule="auto"/>
              <w:jc w:val="center"/>
              <w:rPr>
                <w:rFonts w:ascii="Times New Roman" w:eastAsia="Calibri" w:hAnsi="Times New Roman" w:cs="Times New Roman"/>
                <w:sz w:val="18"/>
                <w:szCs w:val="18"/>
              </w:rPr>
            </w:pPr>
            <w:r w:rsidRPr="00257550">
              <w:rPr>
                <w:rFonts w:ascii="Times New Roman" w:eastAsia="Calibri" w:hAnsi="Times New Roman" w:cs="Times New Roman"/>
                <w:sz w:val="18"/>
                <w:szCs w:val="18"/>
              </w:rPr>
              <w:t>(2.3%)</w:t>
            </w:r>
          </w:p>
        </w:tc>
        <w:tc>
          <w:tcPr>
            <w:tcW w:w="851" w:type="dxa"/>
            <w:shd w:val="clear" w:color="auto" w:fill="auto"/>
          </w:tcPr>
          <w:p w14:paraId="4154C702" w14:textId="77777777" w:rsidR="00D20029" w:rsidRPr="00257550" w:rsidRDefault="00D20029" w:rsidP="00E83841">
            <w:pPr>
              <w:spacing w:after="0" w:line="360" w:lineRule="auto"/>
              <w:jc w:val="center"/>
              <w:rPr>
                <w:rFonts w:ascii="Times New Roman" w:eastAsia="Calibri" w:hAnsi="Times New Roman" w:cs="Times New Roman"/>
                <w:sz w:val="18"/>
                <w:szCs w:val="18"/>
              </w:rPr>
            </w:pPr>
            <w:r w:rsidRPr="00257550">
              <w:rPr>
                <w:rFonts w:ascii="Times New Roman" w:eastAsia="Calibri" w:hAnsi="Times New Roman" w:cs="Times New Roman"/>
                <w:sz w:val="18"/>
                <w:szCs w:val="18"/>
              </w:rPr>
              <w:t>12</w:t>
            </w:r>
          </w:p>
          <w:p w14:paraId="6C635D55" w14:textId="77777777" w:rsidR="00D20029" w:rsidRPr="00257550" w:rsidRDefault="00D20029" w:rsidP="00E83841">
            <w:pPr>
              <w:spacing w:after="0" w:line="360" w:lineRule="auto"/>
              <w:jc w:val="center"/>
              <w:rPr>
                <w:rFonts w:ascii="Times New Roman" w:eastAsia="Calibri" w:hAnsi="Times New Roman" w:cs="Times New Roman"/>
                <w:sz w:val="18"/>
                <w:szCs w:val="18"/>
              </w:rPr>
            </w:pPr>
            <w:r w:rsidRPr="00257550">
              <w:rPr>
                <w:rFonts w:ascii="Times New Roman" w:eastAsia="Calibri" w:hAnsi="Times New Roman" w:cs="Times New Roman"/>
                <w:sz w:val="18"/>
                <w:szCs w:val="18"/>
              </w:rPr>
              <w:t>(4.6%)</w:t>
            </w:r>
          </w:p>
        </w:tc>
        <w:tc>
          <w:tcPr>
            <w:tcW w:w="850" w:type="dxa"/>
            <w:shd w:val="clear" w:color="auto" w:fill="auto"/>
          </w:tcPr>
          <w:p w14:paraId="3B0087BB" w14:textId="77777777" w:rsidR="00D20029" w:rsidRPr="00257550" w:rsidRDefault="00D20029" w:rsidP="00E83841">
            <w:pPr>
              <w:spacing w:after="0" w:line="360" w:lineRule="auto"/>
              <w:jc w:val="center"/>
              <w:rPr>
                <w:rFonts w:ascii="Times New Roman" w:eastAsia="Calibri" w:hAnsi="Times New Roman" w:cs="Times New Roman"/>
                <w:sz w:val="18"/>
                <w:szCs w:val="18"/>
              </w:rPr>
            </w:pPr>
            <w:r w:rsidRPr="00257550">
              <w:rPr>
                <w:rFonts w:ascii="Times New Roman" w:eastAsia="Calibri" w:hAnsi="Times New Roman" w:cs="Times New Roman"/>
                <w:sz w:val="18"/>
                <w:szCs w:val="18"/>
              </w:rPr>
              <w:t>33</w:t>
            </w:r>
          </w:p>
          <w:p w14:paraId="1E63E288" w14:textId="77777777" w:rsidR="00D20029" w:rsidRPr="00257550" w:rsidRDefault="00D20029" w:rsidP="00E83841">
            <w:pPr>
              <w:spacing w:after="0" w:line="360" w:lineRule="auto"/>
              <w:jc w:val="center"/>
              <w:rPr>
                <w:rFonts w:ascii="Times New Roman" w:eastAsia="Calibri" w:hAnsi="Times New Roman" w:cs="Times New Roman"/>
                <w:sz w:val="18"/>
                <w:szCs w:val="18"/>
              </w:rPr>
            </w:pPr>
            <w:r w:rsidRPr="00257550">
              <w:rPr>
                <w:rFonts w:ascii="Times New Roman" w:eastAsia="Calibri" w:hAnsi="Times New Roman" w:cs="Times New Roman"/>
                <w:sz w:val="18"/>
                <w:szCs w:val="18"/>
              </w:rPr>
              <w:t>(12.7%)</w:t>
            </w:r>
          </w:p>
        </w:tc>
        <w:tc>
          <w:tcPr>
            <w:tcW w:w="851" w:type="dxa"/>
            <w:shd w:val="clear" w:color="auto" w:fill="auto"/>
          </w:tcPr>
          <w:p w14:paraId="78F64DD3" w14:textId="77777777" w:rsidR="00D20029" w:rsidRPr="00257550" w:rsidRDefault="00D20029" w:rsidP="00E83841">
            <w:pPr>
              <w:spacing w:after="0" w:line="360" w:lineRule="auto"/>
              <w:jc w:val="center"/>
              <w:rPr>
                <w:rFonts w:ascii="Times New Roman" w:eastAsia="Calibri" w:hAnsi="Times New Roman" w:cs="Times New Roman"/>
                <w:sz w:val="18"/>
                <w:szCs w:val="18"/>
              </w:rPr>
            </w:pPr>
            <w:r w:rsidRPr="00257550">
              <w:rPr>
                <w:rFonts w:ascii="Times New Roman" w:eastAsia="Calibri" w:hAnsi="Times New Roman" w:cs="Times New Roman"/>
                <w:sz w:val="18"/>
                <w:szCs w:val="18"/>
              </w:rPr>
              <w:t>83</w:t>
            </w:r>
          </w:p>
          <w:p w14:paraId="1C14905D" w14:textId="77777777" w:rsidR="00D20029" w:rsidRPr="00257550" w:rsidRDefault="00D20029" w:rsidP="00E83841">
            <w:pPr>
              <w:spacing w:after="0" w:line="360" w:lineRule="auto"/>
              <w:jc w:val="center"/>
              <w:rPr>
                <w:rFonts w:ascii="Times New Roman" w:eastAsia="Calibri" w:hAnsi="Times New Roman" w:cs="Times New Roman"/>
                <w:sz w:val="18"/>
                <w:szCs w:val="18"/>
              </w:rPr>
            </w:pPr>
            <w:r w:rsidRPr="00257550">
              <w:rPr>
                <w:rFonts w:ascii="Times New Roman" w:eastAsia="Calibri" w:hAnsi="Times New Roman" w:cs="Times New Roman"/>
                <w:sz w:val="18"/>
                <w:szCs w:val="18"/>
              </w:rPr>
              <w:t>(31.9%)</w:t>
            </w:r>
          </w:p>
        </w:tc>
        <w:tc>
          <w:tcPr>
            <w:tcW w:w="992" w:type="dxa"/>
            <w:shd w:val="clear" w:color="auto" w:fill="auto"/>
          </w:tcPr>
          <w:p w14:paraId="5BF30B3D" w14:textId="77777777" w:rsidR="00D20029" w:rsidRPr="00257550" w:rsidRDefault="00D20029" w:rsidP="00E83841">
            <w:pPr>
              <w:spacing w:after="0" w:line="360" w:lineRule="auto"/>
              <w:jc w:val="center"/>
              <w:rPr>
                <w:rFonts w:ascii="Times New Roman" w:eastAsia="Calibri" w:hAnsi="Times New Roman" w:cs="Times New Roman"/>
                <w:sz w:val="18"/>
                <w:szCs w:val="18"/>
              </w:rPr>
            </w:pPr>
            <w:r w:rsidRPr="00257550">
              <w:rPr>
                <w:rFonts w:ascii="Times New Roman" w:eastAsia="Calibri" w:hAnsi="Times New Roman" w:cs="Times New Roman"/>
                <w:sz w:val="18"/>
                <w:szCs w:val="18"/>
              </w:rPr>
              <w:t>126</w:t>
            </w:r>
          </w:p>
          <w:p w14:paraId="1602F9A1" w14:textId="77777777" w:rsidR="00D20029" w:rsidRPr="00257550" w:rsidRDefault="00D20029" w:rsidP="00E83841">
            <w:pPr>
              <w:spacing w:after="0" w:line="360" w:lineRule="auto"/>
              <w:jc w:val="center"/>
              <w:rPr>
                <w:rFonts w:ascii="Times New Roman" w:eastAsia="Calibri" w:hAnsi="Times New Roman" w:cs="Times New Roman"/>
                <w:sz w:val="18"/>
                <w:szCs w:val="18"/>
              </w:rPr>
            </w:pPr>
            <w:r w:rsidRPr="00257550">
              <w:rPr>
                <w:rFonts w:ascii="Times New Roman" w:eastAsia="Calibri" w:hAnsi="Times New Roman" w:cs="Times New Roman"/>
                <w:sz w:val="18"/>
                <w:szCs w:val="18"/>
              </w:rPr>
              <w:t>(48.5%)</w:t>
            </w:r>
          </w:p>
        </w:tc>
        <w:tc>
          <w:tcPr>
            <w:tcW w:w="709" w:type="dxa"/>
            <w:shd w:val="clear" w:color="auto" w:fill="auto"/>
            <w:vAlign w:val="center"/>
          </w:tcPr>
          <w:p w14:paraId="0B2F607F" w14:textId="77777777" w:rsidR="00D20029" w:rsidRPr="00257550" w:rsidRDefault="00D20029" w:rsidP="00E83841">
            <w:pPr>
              <w:spacing w:after="0" w:line="360" w:lineRule="auto"/>
              <w:jc w:val="center"/>
              <w:rPr>
                <w:rFonts w:ascii="Times New Roman" w:eastAsia="Times New Roman" w:hAnsi="Times New Roman" w:cs="Times New Roman"/>
                <w:color w:val="000000"/>
                <w:sz w:val="18"/>
                <w:szCs w:val="18"/>
              </w:rPr>
            </w:pPr>
            <w:r w:rsidRPr="00257550">
              <w:rPr>
                <w:rFonts w:ascii="Times New Roman" w:eastAsia="Times New Roman" w:hAnsi="Times New Roman" w:cs="Times New Roman"/>
                <w:color w:val="000000"/>
                <w:sz w:val="18"/>
                <w:szCs w:val="18"/>
              </w:rPr>
              <w:t>4.20</w:t>
            </w:r>
          </w:p>
        </w:tc>
        <w:tc>
          <w:tcPr>
            <w:tcW w:w="709" w:type="dxa"/>
            <w:shd w:val="clear" w:color="auto" w:fill="auto"/>
            <w:vAlign w:val="center"/>
          </w:tcPr>
          <w:p w14:paraId="339594CC" w14:textId="77777777" w:rsidR="00D20029" w:rsidRPr="00257550" w:rsidRDefault="00D20029" w:rsidP="00E83841">
            <w:pPr>
              <w:spacing w:after="0" w:line="360" w:lineRule="auto"/>
              <w:jc w:val="center"/>
              <w:rPr>
                <w:rFonts w:ascii="Times New Roman" w:eastAsia="Times New Roman" w:hAnsi="Times New Roman" w:cs="Times New Roman"/>
                <w:color w:val="000000"/>
                <w:sz w:val="18"/>
                <w:szCs w:val="18"/>
              </w:rPr>
            </w:pPr>
            <w:r w:rsidRPr="00257550">
              <w:rPr>
                <w:rFonts w:ascii="Times New Roman" w:eastAsia="Times New Roman" w:hAnsi="Times New Roman" w:cs="Times New Roman"/>
                <w:color w:val="000000"/>
                <w:sz w:val="18"/>
                <w:szCs w:val="18"/>
              </w:rPr>
              <w:t>.984</w:t>
            </w:r>
          </w:p>
        </w:tc>
        <w:tc>
          <w:tcPr>
            <w:tcW w:w="1134" w:type="dxa"/>
            <w:shd w:val="clear" w:color="auto" w:fill="auto"/>
          </w:tcPr>
          <w:p w14:paraId="0C7A137B" w14:textId="77777777" w:rsidR="00D20029" w:rsidRPr="00257550" w:rsidRDefault="00D20029" w:rsidP="00E83841">
            <w:pPr>
              <w:spacing w:after="0" w:line="360" w:lineRule="auto"/>
              <w:jc w:val="both"/>
              <w:rPr>
                <w:rFonts w:ascii="Times New Roman" w:eastAsia="Calibri" w:hAnsi="Times New Roman" w:cs="Times New Roman"/>
                <w:sz w:val="18"/>
                <w:szCs w:val="18"/>
              </w:rPr>
            </w:pPr>
            <w:r w:rsidRPr="00257550">
              <w:rPr>
                <w:rFonts w:ascii="Times New Roman" w:eastAsia="Calibri" w:hAnsi="Times New Roman" w:cs="Times New Roman"/>
                <w:sz w:val="18"/>
                <w:szCs w:val="18"/>
              </w:rPr>
              <w:t xml:space="preserve">High </w:t>
            </w:r>
          </w:p>
        </w:tc>
      </w:tr>
      <w:tr w:rsidR="00D20029" w:rsidRPr="00257550" w14:paraId="6AF85934" w14:textId="77777777" w:rsidTr="009D434E">
        <w:tc>
          <w:tcPr>
            <w:tcW w:w="562" w:type="dxa"/>
          </w:tcPr>
          <w:p w14:paraId="2BF26B37" w14:textId="77777777" w:rsidR="00D20029" w:rsidRPr="00257550" w:rsidRDefault="00D20029" w:rsidP="00E83841">
            <w:pPr>
              <w:spacing w:after="0" w:line="360" w:lineRule="auto"/>
              <w:jc w:val="both"/>
              <w:rPr>
                <w:rFonts w:ascii="Times New Roman" w:eastAsia="Calibri" w:hAnsi="Times New Roman" w:cs="Times New Roman"/>
                <w:sz w:val="18"/>
                <w:szCs w:val="18"/>
              </w:rPr>
            </w:pPr>
            <w:r w:rsidRPr="00257550">
              <w:rPr>
                <w:rFonts w:ascii="Times New Roman" w:eastAsia="Calibri" w:hAnsi="Times New Roman" w:cs="Times New Roman"/>
                <w:sz w:val="18"/>
                <w:szCs w:val="18"/>
              </w:rPr>
              <w:t>9.</w:t>
            </w:r>
          </w:p>
        </w:tc>
        <w:tc>
          <w:tcPr>
            <w:tcW w:w="2552" w:type="dxa"/>
            <w:shd w:val="clear" w:color="auto" w:fill="auto"/>
          </w:tcPr>
          <w:p w14:paraId="0E07F64C" w14:textId="77777777" w:rsidR="00D20029" w:rsidRPr="00257550" w:rsidRDefault="00D20029" w:rsidP="00E83841">
            <w:pPr>
              <w:spacing w:after="0" w:line="360" w:lineRule="auto"/>
              <w:ind w:right="68"/>
              <w:jc w:val="both"/>
              <w:rPr>
                <w:rFonts w:ascii="Times New Roman" w:eastAsia="Calibri" w:hAnsi="Times New Roman" w:cs="Times New Roman"/>
                <w:sz w:val="18"/>
                <w:szCs w:val="18"/>
              </w:rPr>
            </w:pPr>
            <w:r w:rsidRPr="00257550">
              <w:rPr>
                <w:rFonts w:ascii="Times New Roman" w:eastAsia="Calibri" w:hAnsi="Times New Roman" w:cs="Times New Roman"/>
                <w:sz w:val="18"/>
                <w:szCs w:val="18"/>
              </w:rPr>
              <w:t>Educational facilities for greater female participation are adequately provided by the government.</w:t>
            </w:r>
          </w:p>
        </w:tc>
        <w:tc>
          <w:tcPr>
            <w:tcW w:w="850" w:type="dxa"/>
            <w:shd w:val="clear" w:color="auto" w:fill="auto"/>
          </w:tcPr>
          <w:p w14:paraId="628088DD" w14:textId="77777777" w:rsidR="00D20029" w:rsidRPr="00257550" w:rsidRDefault="00D20029" w:rsidP="00E83841">
            <w:pPr>
              <w:spacing w:after="0" w:line="360" w:lineRule="auto"/>
              <w:jc w:val="center"/>
              <w:rPr>
                <w:rFonts w:ascii="Times New Roman" w:eastAsia="Calibri" w:hAnsi="Times New Roman" w:cs="Times New Roman"/>
                <w:sz w:val="18"/>
                <w:szCs w:val="18"/>
              </w:rPr>
            </w:pPr>
            <w:r w:rsidRPr="00257550">
              <w:rPr>
                <w:rFonts w:ascii="Times New Roman" w:eastAsia="Calibri" w:hAnsi="Times New Roman" w:cs="Times New Roman"/>
                <w:sz w:val="18"/>
                <w:szCs w:val="18"/>
              </w:rPr>
              <w:t>9</w:t>
            </w:r>
          </w:p>
          <w:p w14:paraId="780F7C85" w14:textId="77777777" w:rsidR="00D20029" w:rsidRPr="00257550" w:rsidRDefault="00D20029" w:rsidP="00E83841">
            <w:pPr>
              <w:spacing w:after="0" w:line="360" w:lineRule="auto"/>
              <w:jc w:val="center"/>
              <w:rPr>
                <w:rFonts w:ascii="Times New Roman" w:eastAsia="Calibri" w:hAnsi="Times New Roman" w:cs="Times New Roman"/>
                <w:sz w:val="18"/>
                <w:szCs w:val="18"/>
              </w:rPr>
            </w:pPr>
            <w:r w:rsidRPr="00257550">
              <w:rPr>
                <w:rFonts w:ascii="Times New Roman" w:eastAsia="Calibri" w:hAnsi="Times New Roman" w:cs="Times New Roman"/>
                <w:sz w:val="18"/>
                <w:szCs w:val="18"/>
              </w:rPr>
              <w:t>(3.5%)</w:t>
            </w:r>
          </w:p>
        </w:tc>
        <w:tc>
          <w:tcPr>
            <w:tcW w:w="851" w:type="dxa"/>
            <w:shd w:val="clear" w:color="auto" w:fill="auto"/>
          </w:tcPr>
          <w:p w14:paraId="0528EC49" w14:textId="77777777" w:rsidR="00D20029" w:rsidRPr="00257550" w:rsidRDefault="00D20029" w:rsidP="00E83841">
            <w:pPr>
              <w:spacing w:after="0" w:line="360" w:lineRule="auto"/>
              <w:jc w:val="center"/>
              <w:rPr>
                <w:rFonts w:ascii="Times New Roman" w:eastAsia="Calibri" w:hAnsi="Times New Roman" w:cs="Times New Roman"/>
                <w:sz w:val="18"/>
                <w:szCs w:val="18"/>
              </w:rPr>
            </w:pPr>
            <w:r w:rsidRPr="00257550">
              <w:rPr>
                <w:rFonts w:ascii="Times New Roman" w:eastAsia="Calibri" w:hAnsi="Times New Roman" w:cs="Times New Roman"/>
                <w:sz w:val="18"/>
                <w:szCs w:val="18"/>
              </w:rPr>
              <w:t>33</w:t>
            </w:r>
          </w:p>
          <w:p w14:paraId="0DFD6AA3" w14:textId="77777777" w:rsidR="00D20029" w:rsidRPr="00257550" w:rsidRDefault="00D20029" w:rsidP="00E83841">
            <w:pPr>
              <w:spacing w:after="0" w:line="360" w:lineRule="auto"/>
              <w:jc w:val="center"/>
              <w:rPr>
                <w:rFonts w:ascii="Times New Roman" w:eastAsia="Calibri" w:hAnsi="Times New Roman" w:cs="Times New Roman"/>
                <w:sz w:val="18"/>
                <w:szCs w:val="18"/>
              </w:rPr>
            </w:pPr>
            <w:r w:rsidRPr="00257550">
              <w:rPr>
                <w:rFonts w:ascii="Times New Roman" w:eastAsia="Calibri" w:hAnsi="Times New Roman" w:cs="Times New Roman"/>
                <w:sz w:val="18"/>
                <w:szCs w:val="18"/>
              </w:rPr>
              <w:t>(12.7%)</w:t>
            </w:r>
          </w:p>
        </w:tc>
        <w:tc>
          <w:tcPr>
            <w:tcW w:w="850" w:type="dxa"/>
            <w:shd w:val="clear" w:color="auto" w:fill="auto"/>
          </w:tcPr>
          <w:p w14:paraId="4DF0B8F2" w14:textId="77777777" w:rsidR="00D20029" w:rsidRPr="00257550" w:rsidRDefault="00D20029" w:rsidP="00E83841">
            <w:pPr>
              <w:spacing w:after="0" w:line="360" w:lineRule="auto"/>
              <w:jc w:val="center"/>
              <w:rPr>
                <w:rFonts w:ascii="Times New Roman" w:eastAsia="Calibri" w:hAnsi="Times New Roman" w:cs="Times New Roman"/>
                <w:sz w:val="18"/>
                <w:szCs w:val="18"/>
              </w:rPr>
            </w:pPr>
            <w:r w:rsidRPr="00257550">
              <w:rPr>
                <w:rFonts w:ascii="Times New Roman" w:eastAsia="Calibri" w:hAnsi="Times New Roman" w:cs="Times New Roman"/>
                <w:sz w:val="18"/>
                <w:szCs w:val="18"/>
              </w:rPr>
              <w:t>44</w:t>
            </w:r>
          </w:p>
          <w:p w14:paraId="26F3EB91" w14:textId="77777777" w:rsidR="00D20029" w:rsidRPr="00257550" w:rsidRDefault="00D20029" w:rsidP="00E83841">
            <w:pPr>
              <w:spacing w:after="0" w:line="360" w:lineRule="auto"/>
              <w:jc w:val="center"/>
              <w:rPr>
                <w:rFonts w:ascii="Times New Roman" w:eastAsia="Calibri" w:hAnsi="Times New Roman" w:cs="Times New Roman"/>
                <w:sz w:val="18"/>
                <w:szCs w:val="18"/>
              </w:rPr>
            </w:pPr>
            <w:r w:rsidRPr="00257550">
              <w:rPr>
                <w:rFonts w:ascii="Times New Roman" w:eastAsia="Calibri" w:hAnsi="Times New Roman" w:cs="Times New Roman"/>
                <w:sz w:val="18"/>
                <w:szCs w:val="18"/>
              </w:rPr>
              <w:t>(16.9%)</w:t>
            </w:r>
          </w:p>
        </w:tc>
        <w:tc>
          <w:tcPr>
            <w:tcW w:w="851" w:type="dxa"/>
            <w:shd w:val="clear" w:color="auto" w:fill="auto"/>
          </w:tcPr>
          <w:p w14:paraId="76A0D05F" w14:textId="77777777" w:rsidR="00D20029" w:rsidRPr="00257550" w:rsidRDefault="00D20029" w:rsidP="00E83841">
            <w:pPr>
              <w:spacing w:after="0" w:line="360" w:lineRule="auto"/>
              <w:jc w:val="center"/>
              <w:rPr>
                <w:rFonts w:ascii="Times New Roman" w:eastAsia="Calibri" w:hAnsi="Times New Roman" w:cs="Times New Roman"/>
                <w:sz w:val="18"/>
                <w:szCs w:val="18"/>
              </w:rPr>
            </w:pPr>
            <w:r w:rsidRPr="00257550">
              <w:rPr>
                <w:rFonts w:ascii="Times New Roman" w:eastAsia="Calibri" w:hAnsi="Times New Roman" w:cs="Times New Roman"/>
                <w:sz w:val="18"/>
                <w:szCs w:val="18"/>
              </w:rPr>
              <w:t>80</w:t>
            </w:r>
          </w:p>
          <w:p w14:paraId="1266BD48" w14:textId="77777777" w:rsidR="00D20029" w:rsidRPr="00257550" w:rsidRDefault="00D20029" w:rsidP="00E83841">
            <w:pPr>
              <w:spacing w:after="0" w:line="360" w:lineRule="auto"/>
              <w:jc w:val="center"/>
              <w:rPr>
                <w:rFonts w:ascii="Times New Roman" w:eastAsia="Calibri" w:hAnsi="Times New Roman" w:cs="Times New Roman"/>
                <w:sz w:val="18"/>
                <w:szCs w:val="18"/>
              </w:rPr>
            </w:pPr>
            <w:r w:rsidRPr="00257550">
              <w:rPr>
                <w:rFonts w:ascii="Times New Roman" w:eastAsia="Calibri" w:hAnsi="Times New Roman" w:cs="Times New Roman"/>
                <w:sz w:val="18"/>
                <w:szCs w:val="18"/>
              </w:rPr>
              <w:t>(30.8%)</w:t>
            </w:r>
          </w:p>
        </w:tc>
        <w:tc>
          <w:tcPr>
            <w:tcW w:w="992" w:type="dxa"/>
            <w:shd w:val="clear" w:color="auto" w:fill="auto"/>
          </w:tcPr>
          <w:p w14:paraId="0A7834DF" w14:textId="77777777" w:rsidR="00D20029" w:rsidRPr="00257550" w:rsidRDefault="00D20029" w:rsidP="00E83841">
            <w:pPr>
              <w:spacing w:after="0" w:line="360" w:lineRule="auto"/>
              <w:jc w:val="center"/>
              <w:rPr>
                <w:rFonts w:ascii="Times New Roman" w:eastAsia="Calibri" w:hAnsi="Times New Roman" w:cs="Times New Roman"/>
                <w:sz w:val="18"/>
                <w:szCs w:val="18"/>
              </w:rPr>
            </w:pPr>
            <w:r w:rsidRPr="00257550">
              <w:rPr>
                <w:rFonts w:ascii="Times New Roman" w:eastAsia="Calibri" w:hAnsi="Times New Roman" w:cs="Times New Roman"/>
                <w:sz w:val="18"/>
                <w:szCs w:val="18"/>
              </w:rPr>
              <w:t>94</w:t>
            </w:r>
          </w:p>
          <w:p w14:paraId="40910DF4" w14:textId="77777777" w:rsidR="00D20029" w:rsidRPr="00257550" w:rsidRDefault="00D20029" w:rsidP="00E83841">
            <w:pPr>
              <w:spacing w:after="0" w:line="360" w:lineRule="auto"/>
              <w:jc w:val="center"/>
              <w:rPr>
                <w:rFonts w:ascii="Times New Roman" w:eastAsia="Calibri" w:hAnsi="Times New Roman" w:cs="Times New Roman"/>
                <w:sz w:val="18"/>
                <w:szCs w:val="18"/>
              </w:rPr>
            </w:pPr>
            <w:r w:rsidRPr="00257550">
              <w:rPr>
                <w:rFonts w:ascii="Times New Roman" w:eastAsia="Calibri" w:hAnsi="Times New Roman" w:cs="Times New Roman"/>
                <w:sz w:val="18"/>
                <w:szCs w:val="18"/>
              </w:rPr>
              <w:t>(36.2%)</w:t>
            </w:r>
          </w:p>
        </w:tc>
        <w:tc>
          <w:tcPr>
            <w:tcW w:w="709" w:type="dxa"/>
            <w:shd w:val="clear" w:color="auto" w:fill="auto"/>
            <w:vAlign w:val="center"/>
          </w:tcPr>
          <w:p w14:paraId="17D1134C" w14:textId="77777777" w:rsidR="00D20029" w:rsidRPr="00257550" w:rsidRDefault="00D20029" w:rsidP="00E83841">
            <w:pPr>
              <w:spacing w:after="0" w:line="360" w:lineRule="auto"/>
              <w:jc w:val="center"/>
              <w:rPr>
                <w:rFonts w:ascii="Times New Roman" w:eastAsia="Times New Roman" w:hAnsi="Times New Roman" w:cs="Times New Roman"/>
                <w:color w:val="000000"/>
                <w:sz w:val="18"/>
                <w:szCs w:val="18"/>
              </w:rPr>
            </w:pPr>
            <w:r w:rsidRPr="00257550">
              <w:rPr>
                <w:rFonts w:ascii="Times New Roman" w:eastAsia="Times New Roman" w:hAnsi="Times New Roman" w:cs="Times New Roman"/>
                <w:color w:val="000000"/>
                <w:sz w:val="18"/>
                <w:szCs w:val="18"/>
              </w:rPr>
              <w:t>3.83</w:t>
            </w:r>
          </w:p>
        </w:tc>
        <w:tc>
          <w:tcPr>
            <w:tcW w:w="709" w:type="dxa"/>
            <w:shd w:val="clear" w:color="auto" w:fill="auto"/>
            <w:vAlign w:val="center"/>
          </w:tcPr>
          <w:p w14:paraId="4ADE134A" w14:textId="77777777" w:rsidR="00D20029" w:rsidRPr="00257550" w:rsidRDefault="00D20029" w:rsidP="00E83841">
            <w:pPr>
              <w:spacing w:after="0" w:line="360" w:lineRule="auto"/>
              <w:jc w:val="center"/>
              <w:rPr>
                <w:rFonts w:ascii="Times New Roman" w:eastAsia="Times New Roman" w:hAnsi="Times New Roman" w:cs="Times New Roman"/>
                <w:color w:val="000000"/>
                <w:sz w:val="18"/>
                <w:szCs w:val="18"/>
              </w:rPr>
            </w:pPr>
            <w:r w:rsidRPr="00257550">
              <w:rPr>
                <w:rFonts w:ascii="Times New Roman" w:eastAsia="Times New Roman" w:hAnsi="Times New Roman" w:cs="Times New Roman"/>
                <w:color w:val="000000"/>
                <w:sz w:val="18"/>
                <w:szCs w:val="18"/>
              </w:rPr>
              <w:t>1.152</w:t>
            </w:r>
          </w:p>
        </w:tc>
        <w:tc>
          <w:tcPr>
            <w:tcW w:w="1134" w:type="dxa"/>
            <w:shd w:val="clear" w:color="auto" w:fill="auto"/>
          </w:tcPr>
          <w:p w14:paraId="4496DF11" w14:textId="77777777" w:rsidR="00D20029" w:rsidRPr="00257550" w:rsidRDefault="00D20029" w:rsidP="00E83841">
            <w:pPr>
              <w:spacing w:after="0" w:line="360" w:lineRule="auto"/>
              <w:jc w:val="both"/>
              <w:rPr>
                <w:rFonts w:ascii="Times New Roman" w:eastAsia="Calibri" w:hAnsi="Times New Roman" w:cs="Times New Roman"/>
                <w:sz w:val="18"/>
                <w:szCs w:val="18"/>
              </w:rPr>
            </w:pPr>
            <w:r w:rsidRPr="00257550">
              <w:rPr>
                <w:rFonts w:ascii="Times New Roman" w:eastAsia="Calibri" w:hAnsi="Times New Roman" w:cs="Times New Roman"/>
                <w:sz w:val="18"/>
                <w:szCs w:val="18"/>
              </w:rPr>
              <w:t xml:space="preserve">High </w:t>
            </w:r>
          </w:p>
        </w:tc>
      </w:tr>
      <w:tr w:rsidR="00D20029" w:rsidRPr="00257550" w14:paraId="7A5879D0" w14:textId="77777777" w:rsidTr="009D434E">
        <w:tc>
          <w:tcPr>
            <w:tcW w:w="562" w:type="dxa"/>
          </w:tcPr>
          <w:p w14:paraId="54830B69" w14:textId="77777777" w:rsidR="00D20029" w:rsidRPr="00257550" w:rsidRDefault="00D20029" w:rsidP="00E83841">
            <w:pPr>
              <w:spacing w:after="0" w:line="360" w:lineRule="auto"/>
              <w:jc w:val="both"/>
              <w:rPr>
                <w:rFonts w:ascii="Times New Roman" w:eastAsia="Calibri" w:hAnsi="Times New Roman" w:cs="Times New Roman"/>
                <w:sz w:val="18"/>
                <w:szCs w:val="18"/>
              </w:rPr>
            </w:pPr>
            <w:r w:rsidRPr="00257550">
              <w:rPr>
                <w:rFonts w:ascii="Times New Roman" w:eastAsia="Calibri" w:hAnsi="Times New Roman" w:cs="Times New Roman"/>
                <w:sz w:val="18"/>
                <w:szCs w:val="18"/>
              </w:rPr>
              <w:t>10.</w:t>
            </w:r>
          </w:p>
        </w:tc>
        <w:tc>
          <w:tcPr>
            <w:tcW w:w="2552" w:type="dxa"/>
            <w:shd w:val="clear" w:color="auto" w:fill="auto"/>
          </w:tcPr>
          <w:p w14:paraId="4259AE29" w14:textId="77777777" w:rsidR="00D20029" w:rsidRPr="00257550" w:rsidRDefault="00D20029" w:rsidP="00E83841">
            <w:pPr>
              <w:spacing w:after="0" w:line="360" w:lineRule="auto"/>
              <w:ind w:right="68"/>
              <w:jc w:val="both"/>
              <w:rPr>
                <w:rFonts w:ascii="Times New Roman" w:eastAsia="Calibri" w:hAnsi="Times New Roman" w:cs="Times New Roman"/>
                <w:sz w:val="18"/>
                <w:szCs w:val="18"/>
              </w:rPr>
            </w:pPr>
            <w:r w:rsidRPr="00257550">
              <w:rPr>
                <w:rFonts w:ascii="Times New Roman" w:eastAsia="Calibri" w:hAnsi="Times New Roman" w:cs="Times New Roman"/>
                <w:sz w:val="18"/>
                <w:szCs w:val="18"/>
              </w:rPr>
              <w:t>The government played paramount roles in addressing the menace.</w:t>
            </w:r>
          </w:p>
        </w:tc>
        <w:tc>
          <w:tcPr>
            <w:tcW w:w="850" w:type="dxa"/>
            <w:shd w:val="clear" w:color="auto" w:fill="auto"/>
          </w:tcPr>
          <w:p w14:paraId="057B2DC5" w14:textId="77777777" w:rsidR="00D20029" w:rsidRPr="00257550" w:rsidRDefault="00D20029" w:rsidP="00E83841">
            <w:pPr>
              <w:spacing w:after="0" w:line="360" w:lineRule="auto"/>
              <w:jc w:val="center"/>
              <w:rPr>
                <w:rFonts w:ascii="Times New Roman" w:eastAsia="Calibri" w:hAnsi="Times New Roman" w:cs="Times New Roman"/>
                <w:sz w:val="18"/>
                <w:szCs w:val="18"/>
              </w:rPr>
            </w:pPr>
            <w:r w:rsidRPr="00257550">
              <w:rPr>
                <w:rFonts w:ascii="Times New Roman" w:eastAsia="Calibri" w:hAnsi="Times New Roman" w:cs="Times New Roman"/>
                <w:sz w:val="18"/>
                <w:szCs w:val="18"/>
              </w:rPr>
              <w:t>15</w:t>
            </w:r>
          </w:p>
          <w:p w14:paraId="61978DFF" w14:textId="77777777" w:rsidR="00D20029" w:rsidRPr="00257550" w:rsidRDefault="00D20029" w:rsidP="00E83841">
            <w:pPr>
              <w:spacing w:after="0" w:line="360" w:lineRule="auto"/>
              <w:jc w:val="center"/>
              <w:rPr>
                <w:rFonts w:ascii="Times New Roman" w:eastAsia="Calibri" w:hAnsi="Times New Roman" w:cs="Times New Roman"/>
                <w:sz w:val="18"/>
                <w:szCs w:val="18"/>
              </w:rPr>
            </w:pPr>
            <w:r w:rsidRPr="00257550">
              <w:rPr>
                <w:rFonts w:ascii="Times New Roman" w:eastAsia="Calibri" w:hAnsi="Times New Roman" w:cs="Times New Roman"/>
                <w:sz w:val="18"/>
                <w:szCs w:val="18"/>
              </w:rPr>
              <w:t>(5.8%)</w:t>
            </w:r>
          </w:p>
        </w:tc>
        <w:tc>
          <w:tcPr>
            <w:tcW w:w="851" w:type="dxa"/>
            <w:shd w:val="clear" w:color="auto" w:fill="auto"/>
          </w:tcPr>
          <w:p w14:paraId="0E2F48A8" w14:textId="77777777" w:rsidR="00D20029" w:rsidRPr="00257550" w:rsidRDefault="00D20029" w:rsidP="00E83841">
            <w:pPr>
              <w:spacing w:after="0" w:line="360" w:lineRule="auto"/>
              <w:jc w:val="center"/>
              <w:rPr>
                <w:rFonts w:ascii="Times New Roman" w:eastAsia="Calibri" w:hAnsi="Times New Roman" w:cs="Times New Roman"/>
                <w:sz w:val="18"/>
                <w:szCs w:val="18"/>
              </w:rPr>
            </w:pPr>
            <w:r w:rsidRPr="00257550">
              <w:rPr>
                <w:rFonts w:ascii="Times New Roman" w:eastAsia="Calibri" w:hAnsi="Times New Roman" w:cs="Times New Roman"/>
                <w:sz w:val="18"/>
                <w:szCs w:val="18"/>
              </w:rPr>
              <w:t>27</w:t>
            </w:r>
          </w:p>
          <w:p w14:paraId="4703006A" w14:textId="77777777" w:rsidR="00D20029" w:rsidRPr="00257550" w:rsidRDefault="00D20029" w:rsidP="00E83841">
            <w:pPr>
              <w:spacing w:after="0" w:line="360" w:lineRule="auto"/>
              <w:jc w:val="center"/>
              <w:rPr>
                <w:rFonts w:ascii="Times New Roman" w:eastAsia="Calibri" w:hAnsi="Times New Roman" w:cs="Times New Roman"/>
                <w:sz w:val="18"/>
                <w:szCs w:val="18"/>
              </w:rPr>
            </w:pPr>
            <w:r w:rsidRPr="00257550">
              <w:rPr>
                <w:rFonts w:ascii="Times New Roman" w:eastAsia="Calibri" w:hAnsi="Times New Roman" w:cs="Times New Roman"/>
                <w:sz w:val="18"/>
                <w:szCs w:val="18"/>
              </w:rPr>
              <w:t>(10.4%)</w:t>
            </w:r>
          </w:p>
        </w:tc>
        <w:tc>
          <w:tcPr>
            <w:tcW w:w="850" w:type="dxa"/>
            <w:shd w:val="clear" w:color="auto" w:fill="auto"/>
          </w:tcPr>
          <w:p w14:paraId="5933C2DD" w14:textId="77777777" w:rsidR="00D20029" w:rsidRPr="00257550" w:rsidRDefault="00D20029" w:rsidP="00E83841">
            <w:pPr>
              <w:spacing w:after="0" w:line="360" w:lineRule="auto"/>
              <w:jc w:val="center"/>
              <w:rPr>
                <w:rFonts w:ascii="Times New Roman" w:eastAsia="Calibri" w:hAnsi="Times New Roman" w:cs="Times New Roman"/>
                <w:sz w:val="18"/>
                <w:szCs w:val="18"/>
              </w:rPr>
            </w:pPr>
            <w:r w:rsidRPr="00257550">
              <w:rPr>
                <w:rFonts w:ascii="Times New Roman" w:eastAsia="Calibri" w:hAnsi="Times New Roman" w:cs="Times New Roman"/>
                <w:sz w:val="18"/>
                <w:szCs w:val="18"/>
              </w:rPr>
              <w:t>51</w:t>
            </w:r>
          </w:p>
          <w:p w14:paraId="31C788C1" w14:textId="77777777" w:rsidR="00D20029" w:rsidRPr="00257550" w:rsidRDefault="00D20029" w:rsidP="00E83841">
            <w:pPr>
              <w:spacing w:after="0" w:line="360" w:lineRule="auto"/>
              <w:jc w:val="center"/>
              <w:rPr>
                <w:rFonts w:ascii="Times New Roman" w:eastAsia="Calibri" w:hAnsi="Times New Roman" w:cs="Times New Roman"/>
                <w:sz w:val="18"/>
                <w:szCs w:val="18"/>
              </w:rPr>
            </w:pPr>
            <w:r w:rsidRPr="00257550">
              <w:rPr>
                <w:rFonts w:ascii="Times New Roman" w:eastAsia="Calibri" w:hAnsi="Times New Roman" w:cs="Times New Roman"/>
                <w:sz w:val="18"/>
                <w:szCs w:val="18"/>
              </w:rPr>
              <w:t>(19.6%)</w:t>
            </w:r>
          </w:p>
        </w:tc>
        <w:tc>
          <w:tcPr>
            <w:tcW w:w="851" w:type="dxa"/>
            <w:shd w:val="clear" w:color="auto" w:fill="auto"/>
          </w:tcPr>
          <w:p w14:paraId="4ED6203D" w14:textId="77777777" w:rsidR="00D20029" w:rsidRPr="00257550" w:rsidRDefault="00D20029" w:rsidP="00E83841">
            <w:pPr>
              <w:spacing w:after="0" w:line="360" w:lineRule="auto"/>
              <w:jc w:val="center"/>
              <w:rPr>
                <w:rFonts w:ascii="Times New Roman" w:eastAsia="Calibri" w:hAnsi="Times New Roman" w:cs="Times New Roman"/>
                <w:sz w:val="18"/>
                <w:szCs w:val="18"/>
              </w:rPr>
            </w:pPr>
            <w:r w:rsidRPr="00257550">
              <w:rPr>
                <w:rFonts w:ascii="Times New Roman" w:eastAsia="Calibri" w:hAnsi="Times New Roman" w:cs="Times New Roman"/>
                <w:sz w:val="18"/>
                <w:szCs w:val="18"/>
              </w:rPr>
              <w:t>84</w:t>
            </w:r>
          </w:p>
          <w:p w14:paraId="079FB2FC" w14:textId="77777777" w:rsidR="00D20029" w:rsidRPr="00257550" w:rsidRDefault="00D20029" w:rsidP="00E83841">
            <w:pPr>
              <w:spacing w:after="0" w:line="360" w:lineRule="auto"/>
              <w:jc w:val="center"/>
              <w:rPr>
                <w:rFonts w:ascii="Times New Roman" w:eastAsia="Calibri" w:hAnsi="Times New Roman" w:cs="Times New Roman"/>
                <w:sz w:val="18"/>
                <w:szCs w:val="18"/>
              </w:rPr>
            </w:pPr>
            <w:r w:rsidRPr="00257550">
              <w:rPr>
                <w:rFonts w:ascii="Times New Roman" w:eastAsia="Calibri" w:hAnsi="Times New Roman" w:cs="Times New Roman"/>
                <w:sz w:val="18"/>
                <w:szCs w:val="18"/>
              </w:rPr>
              <w:t>(32.3%)</w:t>
            </w:r>
          </w:p>
        </w:tc>
        <w:tc>
          <w:tcPr>
            <w:tcW w:w="992" w:type="dxa"/>
            <w:shd w:val="clear" w:color="auto" w:fill="auto"/>
          </w:tcPr>
          <w:p w14:paraId="14A21377" w14:textId="77777777" w:rsidR="00D20029" w:rsidRPr="00257550" w:rsidRDefault="00D20029" w:rsidP="00E83841">
            <w:pPr>
              <w:spacing w:after="0" w:line="360" w:lineRule="auto"/>
              <w:jc w:val="center"/>
              <w:rPr>
                <w:rFonts w:ascii="Times New Roman" w:eastAsia="Calibri" w:hAnsi="Times New Roman" w:cs="Times New Roman"/>
                <w:sz w:val="18"/>
                <w:szCs w:val="18"/>
              </w:rPr>
            </w:pPr>
            <w:r w:rsidRPr="00257550">
              <w:rPr>
                <w:rFonts w:ascii="Times New Roman" w:eastAsia="Calibri" w:hAnsi="Times New Roman" w:cs="Times New Roman"/>
                <w:sz w:val="18"/>
                <w:szCs w:val="18"/>
              </w:rPr>
              <w:t>83</w:t>
            </w:r>
          </w:p>
          <w:p w14:paraId="28D16C43" w14:textId="77777777" w:rsidR="00D20029" w:rsidRPr="00257550" w:rsidRDefault="00D20029" w:rsidP="00E83841">
            <w:pPr>
              <w:spacing w:after="0" w:line="360" w:lineRule="auto"/>
              <w:jc w:val="center"/>
              <w:rPr>
                <w:rFonts w:ascii="Times New Roman" w:eastAsia="Calibri" w:hAnsi="Times New Roman" w:cs="Times New Roman"/>
                <w:sz w:val="18"/>
                <w:szCs w:val="18"/>
              </w:rPr>
            </w:pPr>
            <w:r w:rsidRPr="00257550">
              <w:rPr>
                <w:rFonts w:ascii="Times New Roman" w:eastAsia="Calibri" w:hAnsi="Times New Roman" w:cs="Times New Roman"/>
                <w:sz w:val="18"/>
                <w:szCs w:val="18"/>
              </w:rPr>
              <w:t>(31.9%)</w:t>
            </w:r>
          </w:p>
        </w:tc>
        <w:tc>
          <w:tcPr>
            <w:tcW w:w="709" w:type="dxa"/>
            <w:shd w:val="clear" w:color="auto" w:fill="auto"/>
            <w:vAlign w:val="center"/>
          </w:tcPr>
          <w:p w14:paraId="05330A61" w14:textId="77777777" w:rsidR="00D20029" w:rsidRPr="00257550" w:rsidRDefault="00D20029" w:rsidP="00E83841">
            <w:pPr>
              <w:spacing w:after="0" w:line="360" w:lineRule="auto"/>
              <w:jc w:val="center"/>
              <w:rPr>
                <w:rFonts w:ascii="Times New Roman" w:eastAsia="Times New Roman" w:hAnsi="Times New Roman" w:cs="Times New Roman"/>
                <w:color w:val="000000"/>
                <w:sz w:val="18"/>
                <w:szCs w:val="18"/>
              </w:rPr>
            </w:pPr>
          </w:p>
          <w:p w14:paraId="1221DC05" w14:textId="77777777" w:rsidR="00D20029" w:rsidRPr="00257550" w:rsidRDefault="00D20029" w:rsidP="00E83841">
            <w:pPr>
              <w:spacing w:after="0" w:line="360" w:lineRule="auto"/>
              <w:jc w:val="center"/>
              <w:rPr>
                <w:rFonts w:ascii="Times New Roman" w:eastAsia="Times New Roman" w:hAnsi="Times New Roman" w:cs="Times New Roman"/>
                <w:color w:val="000000"/>
                <w:sz w:val="18"/>
                <w:szCs w:val="18"/>
              </w:rPr>
            </w:pPr>
            <w:r w:rsidRPr="00257550">
              <w:rPr>
                <w:rFonts w:ascii="Times New Roman" w:eastAsia="Times New Roman" w:hAnsi="Times New Roman" w:cs="Times New Roman"/>
                <w:color w:val="000000"/>
                <w:sz w:val="18"/>
                <w:szCs w:val="18"/>
              </w:rPr>
              <w:t>3.74</w:t>
            </w:r>
          </w:p>
        </w:tc>
        <w:tc>
          <w:tcPr>
            <w:tcW w:w="709" w:type="dxa"/>
            <w:shd w:val="clear" w:color="auto" w:fill="auto"/>
            <w:vAlign w:val="center"/>
          </w:tcPr>
          <w:p w14:paraId="380268CF" w14:textId="77777777" w:rsidR="00D20029" w:rsidRPr="00257550" w:rsidRDefault="00D20029" w:rsidP="00E83841">
            <w:pPr>
              <w:spacing w:after="0" w:line="360" w:lineRule="auto"/>
              <w:jc w:val="center"/>
              <w:rPr>
                <w:rFonts w:ascii="Times New Roman" w:eastAsia="Times New Roman" w:hAnsi="Times New Roman" w:cs="Times New Roman"/>
                <w:color w:val="000000"/>
                <w:sz w:val="18"/>
                <w:szCs w:val="18"/>
              </w:rPr>
            </w:pPr>
          </w:p>
          <w:p w14:paraId="4F7BA17E" w14:textId="77777777" w:rsidR="00D20029" w:rsidRPr="00257550" w:rsidRDefault="00D20029" w:rsidP="00E83841">
            <w:pPr>
              <w:spacing w:after="0" w:line="360" w:lineRule="auto"/>
              <w:jc w:val="center"/>
              <w:rPr>
                <w:rFonts w:ascii="Times New Roman" w:eastAsia="Times New Roman" w:hAnsi="Times New Roman" w:cs="Times New Roman"/>
                <w:color w:val="000000"/>
                <w:sz w:val="18"/>
                <w:szCs w:val="18"/>
              </w:rPr>
            </w:pPr>
            <w:r w:rsidRPr="00257550">
              <w:rPr>
                <w:rFonts w:ascii="Times New Roman" w:eastAsia="Times New Roman" w:hAnsi="Times New Roman" w:cs="Times New Roman"/>
                <w:color w:val="000000"/>
                <w:sz w:val="18"/>
                <w:szCs w:val="18"/>
              </w:rPr>
              <w:t>1.179</w:t>
            </w:r>
          </w:p>
        </w:tc>
        <w:tc>
          <w:tcPr>
            <w:tcW w:w="1134" w:type="dxa"/>
            <w:shd w:val="clear" w:color="auto" w:fill="auto"/>
          </w:tcPr>
          <w:p w14:paraId="54EF45E0" w14:textId="77777777" w:rsidR="00D20029" w:rsidRPr="00257550" w:rsidRDefault="00D20029" w:rsidP="00E83841">
            <w:pPr>
              <w:spacing w:after="0" w:line="360" w:lineRule="auto"/>
              <w:jc w:val="both"/>
              <w:rPr>
                <w:rFonts w:ascii="Times New Roman" w:eastAsia="Calibri" w:hAnsi="Times New Roman" w:cs="Times New Roman"/>
                <w:sz w:val="18"/>
                <w:szCs w:val="18"/>
              </w:rPr>
            </w:pPr>
            <w:r w:rsidRPr="00257550">
              <w:rPr>
                <w:rFonts w:ascii="Times New Roman" w:eastAsia="Calibri" w:hAnsi="Times New Roman" w:cs="Times New Roman"/>
                <w:sz w:val="18"/>
                <w:szCs w:val="18"/>
              </w:rPr>
              <w:t xml:space="preserve">High </w:t>
            </w:r>
          </w:p>
        </w:tc>
      </w:tr>
      <w:tr w:rsidR="00D20029" w:rsidRPr="00257550" w14:paraId="1CA2CFCD" w14:textId="77777777" w:rsidTr="009D434E">
        <w:tc>
          <w:tcPr>
            <w:tcW w:w="562" w:type="dxa"/>
          </w:tcPr>
          <w:p w14:paraId="2F461FCB" w14:textId="77777777" w:rsidR="00D20029" w:rsidRPr="00257550" w:rsidRDefault="00D20029" w:rsidP="00E83841">
            <w:pPr>
              <w:spacing w:after="0" w:line="360" w:lineRule="auto"/>
              <w:jc w:val="both"/>
              <w:rPr>
                <w:rFonts w:ascii="Times New Roman" w:eastAsia="Calibri" w:hAnsi="Times New Roman" w:cs="Times New Roman"/>
                <w:sz w:val="18"/>
                <w:szCs w:val="18"/>
              </w:rPr>
            </w:pPr>
            <w:r w:rsidRPr="00257550">
              <w:rPr>
                <w:rFonts w:ascii="Times New Roman" w:eastAsia="Calibri" w:hAnsi="Times New Roman" w:cs="Times New Roman"/>
                <w:sz w:val="18"/>
                <w:szCs w:val="18"/>
              </w:rPr>
              <w:t>11.</w:t>
            </w:r>
          </w:p>
        </w:tc>
        <w:tc>
          <w:tcPr>
            <w:tcW w:w="2552" w:type="dxa"/>
            <w:shd w:val="clear" w:color="auto" w:fill="auto"/>
          </w:tcPr>
          <w:p w14:paraId="303E72B5" w14:textId="77777777" w:rsidR="00D20029" w:rsidRPr="00257550" w:rsidRDefault="00D20029" w:rsidP="00E83841">
            <w:pPr>
              <w:spacing w:after="0" w:line="360" w:lineRule="auto"/>
              <w:ind w:right="68"/>
              <w:jc w:val="both"/>
              <w:rPr>
                <w:rFonts w:ascii="Times New Roman" w:eastAsia="Calibri" w:hAnsi="Times New Roman" w:cs="Times New Roman"/>
                <w:sz w:val="18"/>
                <w:szCs w:val="18"/>
              </w:rPr>
            </w:pPr>
            <w:r w:rsidRPr="00257550">
              <w:rPr>
                <w:rFonts w:ascii="Times New Roman" w:eastAsia="Calibri" w:hAnsi="Times New Roman" w:cs="Times New Roman"/>
                <w:sz w:val="18"/>
                <w:szCs w:val="18"/>
              </w:rPr>
              <w:t>The government fix the school fees for secondary schools which is affordable for the parents.</w:t>
            </w:r>
          </w:p>
        </w:tc>
        <w:tc>
          <w:tcPr>
            <w:tcW w:w="850" w:type="dxa"/>
            <w:shd w:val="clear" w:color="auto" w:fill="auto"/>
          </w:tcPr>
          <w:p w14:paraId="66C359ED" w14:textId="77777777" w:rsidR="00D20029" w:rsidRPr="00257550" w:rsidRDefault="00D20029" w:rsidP="00E83841">
            <w:pPr>
              <w:spacing w:after="0" w:line="360" w:lineRule="auto"/>
              <w:jc w:val="center"/>
              <w:rPr>
                <w:rFonts w:ascii="Times New Roman" w:eastAsia="Calibri" w:hAnsi="Times New Roman" w:cs="Times New Roman"/>
                <w:sz w:val="18"/>
                <w:szCs w:val="18"/>
              </w:rPr>
            </w:pPr>
            <w:r w:rsidRPr="00257550">
              <w:rPr>
                <w:rFonts w:ascii="Times New Roman" w:eastAsia="Calibri" w:hAnsi="Times New Roman" w:cs="Times New Roman"/>
                <w:sz w:val="18"/>
                <w:szCs w:val="18"/>
              </w:rPr>
              <w:t>54</w:t>
            </w:r>
          </w:p>
          <w:p w14:paraId="6F5DC092" w14:textId="77777777" w:rsidR="00D20029" w:rsidRPr="00257550" w:rsidRDefault="00D20029" w:rsidP="00E83841">
            <w:pPr>
              <w:spacing w:after="0" w:line="360" w:lineRule="auto"/>
              <w:jc w:val="center"/>
              <w:rPr>
                <w:rFonts w:ascii="Times New Roman" w:eastAsia="Calibri" w:hAnsi="Times New Roman" w:cs="Times New Roman"/>
                <w:sz w:val="18"/>
                <w:szCs w:val="18"/>
              </w:rPr>
            </w:pPr>
            <w:r w:rsidRPr="00257550">
              <w:rPr>
                <w:rFonts w:ascii="Times New Roman" w:eastAsia="Calibri" w:hAnsi="Times New Roman" w:cs="Times New Roman"/>
                <w:sz w:val="18"/>
                <w:szCs w:val="18"/>
              </w:rPr>
              <w:t>(20.8%)</w:t>
            </w:r>
          </w:p>
        </w:tc>
        <w:tc>
          <w:tcPr>
            <w:tcW w:w="851" w:type="dxa"/>
            <w:shd w:val="clear" w:color="auto" w:fill="auto"/>
          </w:tcPr>
          <w:p w14:paraId="7AB19B52" w14:textId="77777777" w:rsidR="00D20029" w:rsidRPr="00257550" w:rsidRDefault="00D20029" w:rsidP="00E83841">
            <w:pPr>
              <w:spacing w:after="0" w:line="360" w:lineRule="auto"/>
              <w:jc w:val="center"/>
              <w:rPr>
                <w:rFonts w:ascii="Times New Roman" w:eastAsia="Calibri" w:hAnsi="Times New Roman" w:cs="Times New Roman"/>
                <w:sz w:val="18"/>
                <w:szCs w:val="18"/>
              </w:rPr>
            </w:pPr>
            <w:r w:rsidRPr="00257550">
              <w:rPr>
                <w:rFonts w:ascii="Times New Roman" w:eastAsia="Calibri" w:hAnsi="Times New Roman" w:cs="Times New Roman"/>
                <w:sz w:val="18"/>
                <w:szCs w:val="18"/>
              </w:rPr>
              <w:t>30</w:t>
            </w:r>
          </w:p>
          <w:p w14:paraId="0AA0836A" w14:textId="77777777" w:rsidR="00D20029" w:rsidRPr="00257550" w:rsidRDefault="00D20029" w:rsidP="00E83841">
            <w:pPr>
              <w:spacing w:after="0" w:line="360" w:lineRule="auto"/>
              <w:jc w:val="center"/>
              <w:rPr>
                <w:rFonts w:ascii="Times New Roman" w:eastAsia="Calibri" w:hAnsi="Times New Roman" w:cs="Times New Roman"/>
                <w:sz w:val="18"/>
                <w:szCs w:val="18"/>
              </w:rPr>
            </w:pPr>
            <w:r w:rsidRPr="00257550">
              <w:rPr>
                <w:rFonts w:ascii="Times New Roman" w:eastAsia="Calibri" w:hAnsi="Times New Roman" w:cs="Times New Roman"/>
                <w:sz w:val="18"/>
                <w:szCs w:val="18"/>
              </w:rPr>
              <w:t>(11.5%)</w:t>
            </w:r>
          </w:p>
        </w:tc>
        <w:tc>
          <w:tcPr>
            <w:tcW w:w="850" w:type="dxa"/>
            <w:shd w:val="clear" w:color="auto" w:fill="auto"/>
          </w:tcPr>
          <w:p w14:paraId="4ADE3F44" w14:textId="77777777" w:rsidR="00D20029" w:rsidRPr="00257550" w:rsidRDefault="00D20029" w:rsidP="00E83841">
            <w:pPr>
              <w:spacing w:after="0" w:line="360" w:lineRule="auto"/>
              <w:jc w:val="center"/>
              <w:rPr>
                <w:rFonts w:ascii="Times New Roman" w:eastAsia="Calibri" w:hAnsi="Times New Roman" w:cs="Times New Roman"/>
                <w:sz w:val="18"/>
                <w:szCs w:val="18"/>
              </w:rPr>
            </w:pPr>
            <w:r w:rsidRPr="00257550">
              <w:rPr>
                <w:rFonts w:ascii="Times New Roman" w:eastAsia="Calibri" w:hAnsi="Times New Roman" w:cs="Times New Roman"/>
                <w:sz w:val="18"/>
                <w:szCs w:val="18"/>
              </w:rPr>
              <w:t>22</w:t>
            </w:r>
          </w:p>
          <w:p w14:paraId="4B2DF1AA" w14:textId="77777777" w:rsidR="00D20029" w:rsidRPr="00257550" w:rsidRDefault="00D20029" w:rsidP="00E83841">
            <w:pPr>
              <w:spacing w:after="0" w:line="360" w:lineRule="auto"/>
              <w:jc w:val="center"/>
              <w:rPr>
                <w:rFonts w:ascii="Times New Roman" w:eastAsia="Calibri" w:hAnsi="Times New Roman" w:cs="Times New Roman"/>
                <w:sz w:val="18"/>
                <w:szCs w:val="18"/>
              </w:rPr>
            </w:pPr>
            <w:r w:rsidRPr="00257550">
              <w:rPr>
                <w:rFonts w:ascii="Times New Roman" w:eastAsia="Calibri" w:hAnsi="Times New Roman" w:cs="Times New Roman"/>
                <w:sz w:val="18"/>
                <w:szCs w:val="18"/>
              </w:rPr>
              <w:t>(8.5%)</w:t>
            </w:r>
          </w:p>
        </w:tc>
        <w:tc>
          <w:tcPr>
            <w:tcW w:w="851" w:type="dxa"/>
            <w:shd w:val="clear" w:color="auto" w:fill="auto"/>
          </w:tcPr>
          <w:p w14:paraId="3C9CD80E" w14:textId="77777777" w:rsidR="00D20029" w:rsidRPr="00257550" w:rsidRDefault="00D20029" w:rsidP="00E83841">
            <w:pPr>
              <w:spacing w:after="0" w:line="360" w:lineRule="auto"/>
              <w:jc w:val="center"/>
              <w:rPr>
                <w:rFonts w:ascii="Times New Roman" w:eastAsia="Calibri" w:hAnsi="Times New Roman" w:cs="Times New Roman"/>
                <w:sz w:val="18"/>
                <w:szCs w:val="18"/>
              </w:rPr>
            </w:pPr>
            <w:r w:rsidRPr="00257550">
              <w:rPr>
                <w:rFonts w:ascii="Times New Roman" w:eastAsia="Calibri" w:hAnsi="Times New Roman" w:cs="Times New Roman"/>
                <w:sz w:val="18"/>
                <w:szCs w:val="18"/>
              </w:rPr>
              <w:t>75</w:t>
            </w:r>
          </w:p>
          <w:p w14:paraId="68196DFF" w14:textId="77777777" w:rsidR="00D20029" w:rsidRPr="00257550" w:rsidRDefault="00D20029" w:rsidP="00E83841">
            <w:pPr>
              <w:spacing w:after="0" w:line="360" w:lineRule="auto"/>
              <w:jc w:val="center"/>
              <w:rPr>
                <w:rFonts w:ascii="Times New Roman" w:eastAsia="Calibri" w:hAnsi="Times New Roman" w:cs="Times New Roman"/>
                <w:sz w:val="18"/>
                <w:szCs w:val="18"/>
              </w:rPr>
            </w:pPr>
            <w:r w:rsidRPr="00257550">
              <w:rPr>
                <w:rFonts w:ascii="Times New Roman" w:eastAsia="Calibri" w:hAnsi="Times New Roman" w:cs="Times New Roman"/>
                <w:sz w:val="18"/>
                <w:szCs w:val="18"/>
              </w:rPr>
              <w:t>(28.8%)</w:t>
            </w:r>
          </w:p>
        </w:tc>
        <w:tc>
          <w:tcPr>
            <w:tcW w:w="992" w:type="dxa"/>
            <w:shd w:val="clear" w:color="auto" w:fill="auto"/>
          </w:tcPr>
          <w:p w14:paraId="329DB278" w14:textId="77777777" w:rsidR="00D20029" w:rsidRPr="00257550" w:rsidRDefault="00D20029" w:rsidP="00E83841">
            <w:pPr>
              <w:spacing w:after="0" w:line="360" w:lineRule="auto"/>
              <w:jc w:val="center"/>
              <w:rPr>
                <w:rFonts w:ascii="Times New Roman" w:eastAsia="Calibri" w:hAnsi="Times New Roman" w:cs="Times New Roman"/>
                <w:sz w:val="18"/>
                <w:szCs w:val="18"/>
              </w:rPr>
            </w:pPr>
            <w:r w:rsidRPr="00257550">
              <w:rPr>
                <w:rFonts w:ascii="Times New Roman" w:eastAsia="Calibri" w:hAnsi="Times New Roman" w:cs="Times New Roman"/>
                <w:sz w:val="18"/>
                <w:szCs w:val="18"/>
              </w:rPr>
              <w:t>79</w:t>
            </w:r>
          </w:p>
          <w:p w14:paraId="66D46F79" w14:textId="77777777" w:rsidR="00D20029" w:rsidRPr="00257550" w:rsidRDefault="00D20029" w:rsidP="00E83841">
            <w:pPr>
              <w:spacing w:after="0" w:line="360" w:lineRule="auto"/>
              <w:jc w:val="center"/>
              <w:rPr>
                <w:rFonts w:ascii="Times New Roman" w:eastAsia="Calibri" w:hAnsi="Times New Roman" w:cs="Times New Roman"/>
                <w:sz w:val="18"/>
                <w:szCs w:val="18"/>
              </w:rPr>
            </w:pPr>
            <w:r w:rsidRPr="00257550">
              <w:rPr>
                <w:rFonts w:ascii="Times New Roman" w:eastAsia="Calibri" w:hAnsi="Times New Roman" w:cs="Times New Roman"/>
                <w:sz w:val="18"/>
                <w:szCs w:val="18"/>
              </w:rPr>
              <w:t>(30.4%)</w:t>
            </w:r>
          </w:p>
        </w:tc>
        <w:tc>
          <w:tcPr>
            <w:tcW w:w="709" w:type="dxa"/>
            <w:shd w:val="clear" w:color="auto" w:fill="auto"/>
            <w:vAlign w:val="center"/>
          </w:tcPr>
          <w:p w14:paraId="7EC5528A" w14:textId="77777777" w:rsidR="00D20029" w:rsidRPr="00257550" w:rsidRDefault="00D20029" w:rsidP="00E83841">
            <w:pPr>
              <w:spacing w:after="0" w:line="360" w:lineRule="auto"/>
              <w:jc w:val="center"/>
              <w:rPr>
                <w:rFonts w:ascii="Times New Roman" w:eastAsia="Times New Roman" w:hAnsi="Times New Roman" w:cs="Times New Roman"/>
                <w:color w:val="000000"/>
                <w:sz w:val="18"/>
                <w:szCs w:val="18"/>
              </w:rPr>
            </w:pPr>
            <w:r w:rsidRPr="00257550">
              <w:rPr>
                <w:rFonts w:ascii="Times New Roman" w:eastAsia="Times New Roman" w:hAnsi="Times New Roman" w:cs="Times New Roman"/>
                <w:color w:val="000000"/>
                <w:sz w:val="18"/>
                <w:szCs w:val="18"/>
              </w:rPr>
              <w:t>3.37</w:t>
            </w:r>
          </w:p>
        </w:tc>
        <w:tc>
          <w:tcPr>
            <w:tcW w:w="709" w:type="dxa"/>
            <w:shd w:val="clear" w:color="auto" w:fill="auto"/>
            <w:vAlign w:val="center"/>
          </w:tcPr>
          <w:p w14:paraId="72FC7350" w14:textId="77777777" w:rsidR="00D20029" w:rsidRPr="00257550" w:rsidRDefault="00D20029" w:rsidP="00E83841">
            <w:pPr>
              <w:spacing w:after="0" w:line="360" w:lineRule="auto"/>
              <w:jc w:val="center"/>
              <w:rPr>
                <w:rFonts w:ascii="Times New Roman" w:eastAsia="Times New Roman" w:hAnsi="Times New Roman" w:cs="Times New Roman"/>
                <w:color w:val="000000"/>
                <w:sz w:val="18"/>
                <w:szCs w:val="18"/>
              </w:rPr>
            </w:pPr>
            <w:r w:rsidRPr="00257550">
              <w:rPr>
                <w:rFonts w:ascii="Times New Roman" w:eastAsia="Times New Roman" w:hAnsi="Times New Roman" w:cs="Times New Roman"/>
                <w:color w:val="000000"/>
                <w:sz w:val="18"/>
                <w:szCs w:val="18"/>
              </w:rPr>
              <w:t>1.525</w:t>
            </w:r>
          </w:p>
        </w:tc>
        <w:tc>
          <w:tcPr>
            <w:tcW w:w="1134" w:type="dxa"/>
            <w:shd w:val="clear" w:color="auto" w:fill="auto"/>
          </w:tcPr>
          <w:p w14:paraId="59E0B594" w14:textId="77777777" w:rsidR="00D20029" w:rsidRPr="00257550" w:rsidRDefault="00D20029" w:rsidP="00E83841">
            <w:pPr>
              <w:spacing w:after="0" w:line="360" w:lineRule="auto"/>
              <w:jc w:val="both"/>
              <w:rPr>
                <w:rFonts w:ascii="Times New Roman" w:eastAsia="Calibri" w:hAnsi="Times New Roman" w:cs="Times New Roman"/>
                <w:sz w:val="18"/>
                <w:szCs w:val="18"/>
              </w:rPr>
            </w:pPr>
            <w:proofErr w:type="spellStart"/>
            <w:r w:rsidRPr="00257550">
              <w:rPr>
                <w:rFonts w:ascii="Times New Roman" w:eastAsia="Calibri" w:hAnsi="Times New Roman" w:cs="Times New Roman"/>
                <w:sz w:val="18"/>
                <w:szCs w:val="18"/>
              </w:rPr>
              <w:t>Avarage</w:t>
            </w:r>
            <w:proofErr w:type="spellEnd"/>
          </w:p>
        </w:tc>
      </w:tr>
      <w:tr w:rsidR="00D20029" w:rsidRPr="00257550" w14:paraId="427EBC26" w14:textId="77777777" w:rsidTr="009D434E">
        <w:tc>
          <w:tcPr>
            <w:tcW w:w="562" w:type="dxa"/>
          </w:tcPr>
          <w:p w14:paraId="2D0AA791" w14:textId="77777777" w:rsidR="00D20029" w:rsidRPr="00257550" w:rsidRDefault="00D20029" w:rsidP="00E83841">
            <w:pPr>
              <w:spacing w:after="0" w:line="360" w:lineRule="auto"/>
              <w:jc w:val="both"/>
              <w:rPr>
                <w:rFonts w:ascii="Times New Roman" w:eastAsia="Calibri" w:hAnsi="Times New Roman" w:cs="Times New Roman"/>
                <w:sz w:val="18"/>
                <w:szCs w:val="18"/>
              </w:rPr>
            </w:pPr>
            <w:r w:rsidRPr="00257550">
              <w:rPr>
                <w:rFonts w:ascii="Times New Roman" w:eastAsia="Calibri" w:hAnsi="Times New Roman" w:cs="Times New Roman"/>
                <w:sz w:val="18"/>
                <w:szCs w:val="18"/>
              </w:rPr>
              <w:t>12.</w:t>
            </w:r>
          </w:p>
        </w:tc>
        <w:tc>
          <w:tcPr>
            <w:tcW w:w="2552" w:type="dxa"/>
            <w:shd w:val="clear" w:color="auto" w:fill="auto"/>
          </w:tcPr>
          <w:p w14:paraId="0CCB3315" w14:textId="77777777" w:rsidR="00D20029" w:rsidRPr="00257550" w:rsidRDefault="00D20029" w:rsidP="00E83841">
            <w:pPr>
              <w:spacing w:after="0" w:line="360" w:lineRule="auto"/>
              <w:ind w:right="68"/>
              <w:jc w:val="both"/>
              <w:rPr>
                <w:rFonts w:ascii="Times New Roman" w:eastAsia="Calibri" w:hAnsi="Times New Roman" w:cs="Times New Roman"/>
                <w:sz w:val="18"/>
                <w:szCs w:val="18"/>
              </w:rPr>
            </w:pPr>
            <w:r w:rsidRPr="00257550">
              <w:rPr>
                <w:rFonts w:ascii="Times New Roman" w:eastAsia="Calibri" w:hAnsi="Times New Roman" w:cs="Times New Roman"/>
                <w:sz w:val="18"/>
                <w:szCs w:val="18"/>
              </w:rPr>
              <w:t xml:space="preserve">The economic situation </w:t>
            </w:r>
            <w:r w:rsidR="005C3279" w:rsidRPr="00257550">
              <w:rPr>
                <w:rFonts w:ascii="Times New Roman" w:eastAsia="Calibri" w:hAnsi="Times New Roman" w:cs="Times New Roman"/>
                <w:sz w:val="18"/>
                <w:szCs w:val="18"/>
              </w:rPr>
              <w:t>discourages</w:t>
            </w:r>
            <w:r w:rsidRPr="00257550">
              <w:rPr>
                <w:rFonts w:ascii="Times New Roman" w:eastAsia="Calibri" w:hAnsi="Times New Roman" w:cs="Times New Roman"/>
                <w:sz w:val="18"/>
                <w:szCs w:val="18"/>
              </w:rPr>
              <w:t xml:space="preserve"> parents from sponsoring their female children in school.</w:t>
            </w:r>
          </w:p>
        </w:tc>
        <w:tc>
          <w:tcPr>
            <w:tcW w:w="850" w:type="dxa"/>
            <w:shd w:val="clear" w:color="auto" w:fill="auto"/>
          </w:tcPr>
          <w:p w14:paraId="6A735217" w14:textId="77777777" w:rsidR="00D20029" w:rsidRPr="00257550" w:rsidRDefault="00D20029" w:rsidP="00E83841">
            <w:pPr>
              <w:spacing w:after="0" w:line="360" w:lineRule="auto"/>
              <w:jc w:val="center"/>
              <w:rPr>
                <w:rFonts w:ascii="Times New Roman" w:eastAsia="Calibri" w:hAnsi="Times New Roman" w:cs="Times New Roman"/>
                <w:sz w:val="18"/>
                <w:szCs w:val="18"/>
              </w:rPr>
            </w:pPr>
            <w:r w:rsidRPr="00257550">
              <w:rPr>
                <w:rFonts w:ascii="Times New Roman" w:eastAsia="Calibri" w:hAnsi="Times New Roman" w:cs="Times New Roman"/>
                <w:sz w:val="18"/>
                <w:szCs w:val="18"/>
              </w:rPr>
              <w:t>35</w:t>
            </w:r>
          </w:p>
          <w:p w14:paraId="652135AA" w14:textId="77777777" w:rsidR="00D20029" w:rsidRPr="00257550" w:rsidRDefault="00D20029" w:rsidP="00E83841">
            <w:pPr>
              <w:spacing w:after="0" w:line="360" w:lineRule="auto"/>
              <w:jc w:val="center"/>
              <w:rPr>
                <w:rFonts w:ascii="Times New Roman" w:eastAsia="Calibri" w:hAnsi="Times New Roman" w:cs="Times New Roman"/>
                <w:sz w:val="18"/>
                <w:szCs w:val="18"/>
              </w:rPr>
            </w:pPr>
            <w:r w:rsidRPr="00257550">
              <w:rPr>
                <w:rFonts w:ascii="Times New Roman" w:eastAsia="Calibri" w:hAnsi="Times New Roman" w:cs="Times New Roman"/>
                <w:sz w:val="18"/>
                <w:szCs w:val="18"/>
              </w:rPr>
              <w:t>(13.5%)</w:t>
            </w:r>
          </w:p>
        </w:tc>
        <w:tc>
          <w:tcPr>
            <w:tcW w:w="851" w:type="dxa"/>
            <w:shd w:val="clear" w:color="auto" w:fill="auto"/>
          </w:tcPr>
          <w:p w14:paraId="46149785" w14:textId="77777777" w:rsidR="00D20029" w:rsidRPr="00257550" w:rsidRDefault="00D20029" w:rsidP="00E83841">
            <w:pPr>
              <w:spacing w:after="0" w:line="360" w:lineRule="auto"/>
              <w:jc w:val="center"/>
              <w:rPr>
                <w:rFonts w:ascii="Times New Roman" w:eastAsia="Calibri" w:hAnsi="Times New Roman" w:cs="Times New Roman"/>
                <w:sz w:val="18"/>
                <w:szCs w:val="18"/>
              </w:rPr>
            </w:pPr>
            <w:r w:rsidRPr="00257550">
              <w:rPr>
                <w:rFonts w:ascii="Times New Roman" w:eastAsia="Calibri" w:hAnsi="Times New Roman" w:cs="Times New Roman"/>
                <w:sz w:val="18"/>
                <w:szCs w:val="18"/>
              </w:rPr>
              <w:t>34</w:t>
            </w:r>
          </w:p>
          <w:p w14:paraId="1F059E36" w14:textId="77777777" w:rsidR="00D20029" w:rsidRPr="00257550" w:rsidRDefault="00D20029" w:rsidP="00E83841">
            <w:pPr>
              <w:spacing w:after="0" w:line="360" w:lineRule="auto"/>
              <w:jc w:val="center"/>
              <w:rPr>
                <w:rFonts w:ascii="Times New Roman" w:eastAsia="Calibri" w:hAnsi="Times New Roman" w:cs="Times New Roman"/>
                <w:sz w:val="18"/>
                <w:szCs w:val="18"/>
              </w:rPr>
            </w:pPr>
            <w:r w:rsidRPr="00257550">
              <w:rPr>
                <w:rFonts w:ascii="Times New Roman" w:eastAsia="Calibri" w:hAnsi="Times New Roman" w:cs="Times New Roman"/>
                <w:sz w:val="18"/>
                <w:szCs w:val="18"/>
              </w:rPr>
              <w:t>(13.1%)</w:t>
            </w:r>
          </w:p>
        </w:tc>
        <w:tc>
          <w:tcPr>
            <w:tcW w:w="850" w:type="dxa"/>
            <w:shd w:val="clear" w:color="auto" w:fill="auto"/>
          </w:tcPr>
          <w:p w14:paraId="35934FBD" w14:textId="77777777" w:rsidR="00D20029" w:rsidRPr="00257550" w:rsidRDefault="00D20029" w:rsidP="00E83841">
            <w:pPr>
              <w:spacing w:after="0" w:line="360" w:lineRule="auto"/>
              <w:jc w:val="center"/>
              <w:rPr>
                <w:rFonts w:ascii="Times New Roman" w:eastAsia="Calibri" w:hAnsi="Times New Roman" w:cs="Times New Roman"/>
                <w:sz w:val="18"/>
                <w:szCs w:val="18"/>
              </w:rPr>
            </w:pPr>
            <w:r w:rsidRPr="00257550">
              <w:rPr>
                <w:rFonts w:ascii="Times New Roman" w:eastAsia="Calibri" w:hAnsi="Times New Roman" w:cs="Times New Roman"/>
                <w:sz w:val="18"/>
                <w:szCs w:val="18"/>
              </w:rPr>
              <w:t>41</w:t>
            </w:r>
          </w:p>
          <w:p w14:paraId="6F66E27E" w14:textId="77777777" w:rsidR="00D20029" w:rsidRPr="00257550" w:rsidRDefault="00D20029" w:rsidP="00E83841">
            <w:pPr>
              <w:spacing w:after="0" w:line="360" w:lineRule="auto"/>
              <w:jc w:val="center"/>
              <w:rPr>
                <w:rFonts w:ascii="Times New Roman" w:eastAsia="Calibri" w:hAnsi="Times New Roman" w:cs="Times New Roman"/>
                <w:sz w:val="18"/>
                <w:szCs w:val="18"/>
              </w:rPr>
            </w:pPr>
            <w:r w:rsidRPr="00257550">
              <w:rPr>
                <w:rFonts w:ascii="Times New Roman" w:eastAsia="Calibri" w:hAnsi="Times New Roman" w:cs="Times New Roman"/>
                <w:sz w:val="18"/>
                <w:szCs w:val="18"/>
              </w:rPr>
              <w:t>(15.8%)</w:t>
            </w:r>
          </w:p>
        </w:tc>
        <w:tc>
          <w:tcPr>
            <w:tcW w:w="851" w:type="dxa"/>
            <w:shd w:val="clear" w:color="auto" w:fill="auto"/>
          </w:tcPr>
          <w:p w14:paraId="590BFDFF" w14:textId="77777777" w:rsidR="00D20029" w:rsidRPr="00257550" w:rsidRDefault="00D20029" w:rsidP="00E83841">
            <w:pPr>
              <w:spacing w:after="0" w:line="360" w:lineRule="auto"/>
              <w:jc w:val="center"/>
              <w:rPr>
                <w:rFonts w:ascii="Times New Roman" w:eastAsia="Calibri" w:hAnsi="Times New Roman" w:cs="Times New Roman"/>
                <w:sz w:val="18"/>
                <w:szCs w:val="18"/>
              </w:rPr>
            </w:pPr>
            <w:r w:rsidRPr="00257550">
              <w:rPr>
                <w:rFonts w:ascii="Times New Roman" w:eastAsia="Calibri" w:hAnsi="Times New Roman" w:cs="Times New Roman"/>
                <w:sz w:val="18"/>
                <w:szCs w:val="18"/>
              </w:rPr>
              <w:t>72</w:t>
            </w:r>
          </w:p>
          <w:p w14:paraId="3C1C1427" w14:textId="77777777" w:rsidR="00D20029" w:rsidRPr="00257550" w:rsidRDefault="00D20029" w:rsidP="00E83841">
            <w:pPr>
              <w:spacing w:after="0" w:line="360" w:lineRule="auto"/>
              <w:jc w:val="center"/>
              <w:rPr>
                <w:rFonts w:ascii="Times New Roman" w:eastAsia="Calibri" w:hAnsi="Times New Roman" w:cs="Times New Roman"/>
                <w:sz w:val="18"/>
                <w:szCs w:val="18"/>
              </w:rPr>
            </w:pPr>
            <w:r w:rsidRPr="00257550">
              <w:rPr>
                <w:rFonts w:ascii="Times New Roman" w:eastAsia="Calibri" w:hAnsi="Times New Roman" w:cs="Times New Roman"/>
                <w:sz w:val="18"/>
                <w:szCs w:val="18"/>
              </w:rPr>
              <w:t>(27.7%)</w:t>
            </w:r>
          </w:p>
        </w:tc>
        <w:tc>
          <w:tcPr>
            <w:tcW w:w="992" w:type="dxa"/>
            <w:shd w:val="clear" w:color="auto" w:fill="auto"/>
          </w:tcPr>
          <w:p w14:paraId="1C3DE0F4" w14:textId="77777777" w:rsidR="00D20029" w:rsidRPr="00257550" w:rsidRDefault="00D20029" w:rsidP="00E83841">
            <w:pPr>
              <w:spacing w:after="0" w:line="360" w:lineRule="auto"/>
              <w:jc w:val="center"/>
              <w:rPr>
                <w:rFonts w:ascii="Times New Roman" w:eastAsia="Calibri" w:hAnsi="Times New Roman" w:cs="Times New Roman"/>
                <w:sz w:val="18"/>
                <w:szCs w:val="18"/>
              </w:rPr>
            </w:pPr>
            <w:r w:rsidRPr="00257550">
              <w:rPr>
                <w:rFonts w:ascii="Times New Roman" w:eastAsia="Calibri" w:hAnsi="Times New Roman" w:cs="Times New Roman"/>
                <w:sz w:val="18"/>
                <w:szCs w:val="18"/>
              </w:rPr>
              <w:t>78</w:t>
            </w:r>
          </w:p>
          <w:p w14:paraId="0CEBC0BE" w14:textId="77777777" w:rsidR="00D20029" w:rsidRPr="00257550" w:rsidRDefault="00D20029" w:rsidP="00E83841">
            <w:pPr>
              <w:spacing w:after="0" w:line="360" w:lineRule="auto"/>
              <w:jc w:val="center"/>
              <w:rPr>
                <w:rFonts w:ascii="Times New Roman" w:eastAsia="Calibri" w:hAnsi="Times New Roman" w:cs="Times New Roman"/>
                <w:sz w:val="18"/>
                <w:szCs w:val="18"/>
              </w:rPr>
            </w:pPr>
            <w:r w:rsidRPr="00257550">
              <w:rPr>
                <w:rFonts w:ascii="Times New Roman" w:eastAsia="Calibri" w:hAnsi="Times New Roman" w:cs="Times New Roman"/>
                <w:sz w:val="18"/>
                <w:szCs w:val="18"/>
              </w:rPr>
              <w:t>(30.0%)</w:t>
            </w:r>
          </w:p>
        </w:tc>
        <w:tc>
          <w:tcPr>
            <w:tcW w:w="709" w:type="dxa"/>
            <w:shd w:val="clear" w:color="auto" w:fill="auto"/>
            <w:vAlign w:val="center"/>
          </w:tcPr>
          <w:p w14:paraId="4B4DF32B" w14:textId="77777777" w:rsidR="00D20029" w:rsidRPr="00257550" w:rsidRDefault="00D20029" w:rsidP="00E83841">
            <w:pPr>
              <w:spacing w:after="0" w:line="360" w:lineRule="auto"/>
              <w:jc w:val="center"/>
              <w:rPr>
                <w:rFonts w:ascii="Times New Roman" w:eastAsia="Times New Roman" w:hAnsi="Times New Roman" w:cs="Times New Roman"/>
                <w:color w:val="000000"/>
                <w:sz w:val="18"/>
                <w:szCs w:val="18"/>
              </w:rPr>
            </w:pPr>
            <w:r w:rsidRPr="00257550">
              <w:rPr>
                <w:rFonts w:ascii="Times New Roman" w:eastAsia="Times New Roman" w:hAnsi="Times New Roman" w:cs="Times New Roman"/>
                <w:color w:val="000000"/>
                <w:sz w:val="18"/>
                <w:szCs w:val="18"/>
              </w:rPr>
              <w:t>3.48</w:t>
            </w:r>
          </w:p>
        </w:tc>
        <w:tc>
          <w:tcPr>
            <w:tcW w:w="709" w:type="dxa"/>
            <w:shd w:val="clear" w:color="auto" w:fill="auto"/>
            <w:vAlign w:val="center"/>
          </w:tcPr>
          <w:p w14:paraId="087690AA" w14:textId="77777777" w:rsidR="00D20029" w:rsidRPr="00257550" w:rsidRDefault="00D20029" w:rsidP="00E83841">
            <w:pPr>
              <w:spacing w:after="0" w:line="360" w:lineRule="auto"/>
              <w:jc w:val="center"/>
              <w:rPr>
                <w:rFonts w:ascii="Times New Roman" w:eastAsia="Times New Roman" w:hAnsi="Times New Roman" w:cs="Times New Roman"/>
                <w:color w:val="000000"/>
                <w:sz w:val="18"/>
                <w:szCs w:val="18"/>
              </w:rPr>
            </w:pPr>
            <w:r w:rsidRPr="00257550">
              <w:rPr>
                <w:rFonts w:ascii="Times New Roman" w:eastAsia="Times New Roman" w:hAnsi="Times New Roman" w:cs="Times New Roman"/>
                <w:color w:val="000000"/>
                <w:sz w:val="18"/>
                <w:szCs w:val="18"/>
              </w:rPr>
              <w:t>1.388</w:t>
            </w:r>
          </w:p>
        </w:tc>
        <w:tc>
          <w:tcPr>
            <w:tcW w:w="1134" w:type="dxa"/>
            <w:shd w:val="clear" w:color="auto" w:fill="auto"/>
          </w:tcPr>
          <w:p w14:paraId="47988DA5" w14:textId="77777777" w:rsidR="00D20029" w:rsidRPr="00257550" w:rsidRDefault="00D20029" w:rsidP="00E83841">
            <w:pPr>
              <w:spacing w:after="0" w:line="360" w:lineRule="auto"/>
              <w:jc w:val="both"/>
              <w:rPr>
                <w:rFonts w:ascii="Times New Roman" w:eastAsia="Calibri" w:hAnsi="Times New Roman" w:cs="Times New Roman"/>
                <w:sz w:val="18"/>
                <w:szCs w:val="18"/>
              </w:rPr>
            </w:pPr>
            <w:proofErr w:type="spellStart"/>
            <w:r w:rsidRPr="00257550">
              <w:rPr>
                <w:rFonts w:ascii="Times New Roman" w:eastAsia="Calibri" w:hAnsi="Times New Roman" w:cs="Times New Roman"/>
                <w:sz w:val="18"/>
                <w:szCs w:val="18"/>
              </w:rPr>
              <w:t>Avarage</w:t>
            </w:r>
            <w:proofErr w:type="spellEnd"/>
            <w:r w:rsidRPr="00257550">
              <w:rPr>
                <w:rFonts w:ascii="Times New Roman" w:eastAsia="Calibri" w:hAnsi="Times New Roman" w:cs="Times New Roman"/>
                <w:sz w:val="18"/>
                <w:szCs w:val="18"/>
              </w:rPr>
              <w:t xml:space="preserve"> </w:t>
            </w:r>
          </w:p>
        </w:tc>
      </w:tr>
      <w:tr w:rsidR="00D20029" w:rsidRPr="00257550" w14:paraId="66A182A0" w14:textId="77777777" w:rsidTr="009D434E">
        <w:tc>
          <w:tcPr>
            <w:tcW w:w="562" w:type="dxa"/>
          </w:tcPr>
          <w:p w14:paraId="1304C30B" w14:textId="77777777" w:rsidR="00D20029" w:rsidRPr="00257550" w:rsidRDefault="00D20029" w:rsidP="00E83841">
            <w:pPr>
              <w:spacing w:after="0" w:line="360" w:lineRule="auto"/>
              <w:jc w:val="both"/>
              <w:rPr>
                <w:rFonts w:ascii="Times New Roman" w:eastAsia="Calibri" w:hAnsi="Times New Roman" w:cs="Times New Roman"/>
                <w:sz w:val="18"/>
                <w:szCs w:val="18"/>
              </w:rPr>
            </w:pPr>
            <w:r w:rsidRPr="00257550">
              <w:rPr>
                <w:rFonts w:ascii="Times New Roman" w:eastAsia="Calibri" w:hAnsi="Times New Roman" w:cs="Times New Roman"/>
                <w:sz w:val="18"/>
                <w:szCs w:val="18"/>
              </w:rPr>
              <w:t>13.</w:t>
            </w:r>
          </w:p>
        </w:tc>
        <w:tc>
          <w:tcPr>
            <w:tcW w:w="2552" w:type="dxa"/>
            <w:shd w:val="clear" w:color="auto" w:fill="auto"/>
          </w:tcPr>
          <w:p w14:paraId="38BB2A2E" w14:textId="77777777" w:rsidR="00D20029" w:rsidRPr="00257550" w:rsidRDefault="00D20029" w:rsidP="00E83841">
            <w:pPr>
              <w:spacing w:after="0" w:line="360" w:lineRule="auto"/>
              <w:ind w:right="68"/>
              <w:jc w:val="both"/>
              <w:rPr>
                <w:rFonts w:ascii="Times New Roman" w:eastAsia="Calibri" w:hAnsi="Times New Roman" w:cs="Times New Roman"/>
                <w:sz w:val="18"/>
                <w:szCs w:val="18"/>
              </w:rPr>
            </w:pPr>
            <w:r w:rsidRPr="00257550">
              <w:rPr>
                <w:rFonts w:ascii="Times New Roman" w:eastAsia="Calibri" w:hAnsi="Times New Roman" w:cs="Times New Roman"/>
                <w:sz w:val="18"/>
                <w:szCs w:val="18"/>
              </w:rPr>
              <w:t>Educating the girl-child is educating a potential mother and educating the mother is educating the Nation.</w:t>
            </w:r>
          </w:p>
        </w:tc>
        <w:tc>
          <w:tcPr>
            <w:tcW w:w="850" w:type="dxa"/>
            <w:shd w:val="clear" w:color="auto" w:fill="auto"/>
          </w:tcPr>
          <w:p w14:paraId="7F4DEE7D" w14:textId="77777777" w:rsidR="00D20029" w:rsidRPr="00257550" w:rsidRDefault="00D20029" w:rsidP="00E83841">
            <w:pPr>
              <w:spacing w:after="0" w:line="360" w:lineRule="auto"/>
              <w:jc w:val="center"/>
              <w:rPr>
                <w:rFonts w:ascii="Times New Roman" w:eastAsia="Calibri" w:hAnsi="Times New Roman" w:cs="Times New Roman"/>
                <w:sz w:val="18"/>
                <w:szCs w:val="18"/>
              </w:rPr>
            </w:pPr>
            <w:r w:rsidRPr="00257550">
              <w:rPr>
                <w:rFonts w:ascii="Times New Roman" w:eastAsia="Calibri" w:hAnsi="Times New Roman" w:cs="Times New Roman"/>
                <w:sz w:val="18"/>
                <w:szCs w:val="18"/>
              </w:rPr>
              <w:t>7(2.7%)</w:t>
            </w:r>
          </w:p>
        </w:tc>
        <w:tc>
          <w:tcPr>
            <w:tcW w:w="851" w:type="dxa"/>
            <w:shd w:val="clear" w:color="auto" w:fill="auto"/>
          </w:tcPr>
          <w:p w14:paraId="6BC3320F" w14:textId="77777777" w:rsidR="00D20029" w:rsidRPr="00257550" w:rsidRDefault="00D20029" w:rsidP="00E83841">
            <w:pPr>
              <w:spacing w:after="0" w:line="360" w:lineRule="auto"/>
              <w:jc w:val="center"/>
              <w:rPr>
                <w:rFonts w:ascii="Times New Roman" w:eastAsia="Calibri" w:hAnsi="Times New Roman" w:cs="Times New Roman"/>
                <w:sz w:val="18"/>
                <w:szCs w:val="18"/>
              </w:rPr>
            </w:pPr>
            <w:r w:rsidRPr="00257550">
              <w:rPr>
                <w:rFonts w:ascii="Times New Roman" w:eastAsia="Calibri" w:hAnsi="Times New Roman" w:cs="Times New Roman"/>
                <w:sz w:val="18"/>
                <w:szCs w:val="18"/>
              </w:rPr>
              <w:t>7(2.7%)</w:t>
            </w:r>
          </w:p>
        </w:tc>
        <w:tc>
          <w:tcPr>
            <w:tcW w:w="850" w:type="dxa"/>
            <w:shd w:val="clear" w:color="auto" w:fill="auto"/>
          </w:tcPr>
          <w:p w14:paraId="3A646502" w14:textId="77777777" w:rsidR="00D20029" w:rsidRPr="00257550" w:rsidRDefault="00D20029" w:rsidP="00E83841">
            <w:pPr>
              <w:spacing w:after="0" w:line="360" w:lineRule="auto"/>
              <w:jc w:val="center"/>
              <w:rPr>
                <w:rFonts w:ascii="Times New Roman" w:eastAsia="Calibri" w:hAnsi="Times New Roman" w:cs="Times New Roman"/>
                <w:sz w:val="18"/>
                <w:szCs w:val="18"/>
              </w:rPr>
            </w:pPr>
            <w:r w:rsidRPr="00257550">
              <w:rPr>
                <w:rFonts w:ascii="Times New Roman" w:eastAsia="Calibri" w:hAnsi="Times New Roman" w:cs="Times New Roman"/>
                <w:sz w:val="18"/>
                <w:szCs w:val="18"/>
              </w:rPr>
              <w:t>26(10.0%)</w:t>
            </w:r>
          </w:p>
        </w:tc>
        <w:tc>
          <w:tcPr>
            <w:tcW w:w="851" w:type="dxa"/>
            <w:shd w:val="clear" w:color="auto" w:fill="auto"/>
          </w:tcPr>
          <w:p w14:paraId="3883C56F" w14:textId="77777777" w:rsidR="00D20029" w:rsidRPr="00257550" w:rsidRDefault="00D20029" w:rsidP="00E83841">
            <w:pPr>
              <w:spacing w:after="0" w:line="360" w:lineRule="auto"/>
              <w:jc w:val="center"/>
              <w:rPr>
                <w:rFonts w:ascii="Times New Roman" w:eastAsia="Calibri" w:hAnsi="Times New Roman" w:cs="Times New Roman"/>
                <w:sz w:val="18"/>
                <w:szCs w:val="18"/>
              </w:rPr>
            </w:pPr>
            <w:r w:rsidRPr="00257550">
              <w:rPr>
                <w:rFonts w:ascii="Times New Roman" w:eastAsia="Calibri" w:hAnsi="Times New Roman" w:cs="Times New Roman"/>
                <w:sz w:val="18"/>
                <w:szCs w:val="18"/>
              </w:rPr>
              <w:t>61(23.5%)</w:t>
            </w:r>
          </w:p>
        </w:tc>
        <w:tc>
          <w:tcPr>
            <w:tcW w:w="992" w:type="dxa"/>
            <w:shd w:val="clear" w:color="auto" w:fill="auto"/>
          </w:tcPr>
          <w:p w14:paraId="323A06A5" w14:textId="77777777" w:rsidR="00D20029" w:rsidRPr="00257550" w:rsidRDefault="00D20029" w:rsidP="00E83841">
            <w:pPr>
              <w:spacing w:after="0" w:line="360" w:lineRule="auto"/>
              <w:jc w:val="center"/>
              <w:rPr>
                <w:rFonts w:ascii="Times New Roman" w:eastAsia="Calibri" w:hAnsi="Times New Roman" w:cs="Times New Roman"/>
                <w:sz w:val="18"/>
                <w:szCs w:val="18"/>
              </w:rPr>
            </w:pPr>
            <w:r w:rsidRPr="00257550">
              <w:rPr>
                <w:rFonts w:ascii="Times New Roman" w:eastAsia="Calibri" w:hAnsi="Times New Roman" w:cs="Times New Roman"/>
                <w:sz w:val="18"/>
                <w:szCs w:val="18"/>
              </w:rPr>
              <w:t>159(61.2%)</w:t>
            </w:r>
          </w:p>
        </w:tc>
        <w:tc>
          <w:tcPr>
            <w:tcW w:w="709" w:type="dxa"/>
            <w:shd w:val="clear" w:color="auto" w:fill="auto"/>
            <w:vAlign w:val="center"/>
          </w:tcPr>
          <w:p w14:paraId="771DC12E" w14:textId="77777777" w:rsidR="00D20029" w:rsidRPr="00257550" w:rsidRDefault="00D20029" w:rsidP="00E83841">
            <w:pPr>
              <w:spacing w:after="0" w:line="360" w:lineRule="auto"/>
              <w:jc w:val="center"/>
              <w:rPr>
                <w:rFonts w:ascii="Times New Roman" w:eastAsia="Times New Roman" w:hAnsi="Times New Roman" w:cs="Times New Roman"/>
                <w:color w:val="000000"/>
                <w:sz w:val="18"/>
                <w:szCs w:val="18"/>
              </w:rPr>
            </w:pPr>
            <w:r w:rsidRPr="00257550">
              <w:rPr>
                <w:rFonts w:ascii="Times New Roman" w:eastAsia="Times New Roman" w:hAnsi="Times New Roman" w:cs="Times New Roman"/>
                <w:color w:val="000000"/>
                <w:sz w:val="18"/>
                <w:szCs w:val="18"/>
              </w:rPr>
              <w:t>4.38</w:t>
            </w:r>
          </w:p>
        </w:tc>
        <w:tc>
          <w:tcPr>
            <w:tcW w:w="709" w:type="dxa"/>
            <w:shd w:val="clear" w:color="auto" w:fill="auto"/>
            <w:vAlign w:val="center"/>
          </w:tcPr>
          <w:p w14:paraId="4B88E85D" w14:textId="77777777" w:rsidR="00D20029" w:rsidRPr="00257550" w:rsidRDefault="00D20029" w:rsidP="00E83841">
            <w:pPr>
              <w:spacing w:after="0" w:line="360" w:lineRule="auto"/>
              <w:jc w:val="center"/>
              <w:rPr>
                <w:rFonts w:ascii="Times New Roman" w:eastAsia="Times New Roman" w:hAnsi="Times New Roman" w:cs="Times New Roman"/>
                <w:color w:val="000000"/>
                <w:sz w:val="18"/>
                <w:szCs w:val="18"/>
              </w:rPr>
            </w:pPr>
            <w:r w:rsidRPr="00257550">
              <w:rPr>
                <w:rFonts w:ascii="Times New Roman" w:eastAsia="Times New Roman" w:hAnsi="Times New Roman" w:cs="Times New Roman"/>
                <w:color w:val="000000"/>
                <w:sz w:val="18"/>
                <w:szCs w:val="18"/>
              </w:rPr>
              <w:t>.961</w:t>
            </w:r>
          </w:p>
        </w:tc>
        <w:tc>
          <w:tcPr>
            <w:tcW w:w="1134" w:type="dxa"/>
            <w:shd w:val="clear" w:color="auto" w:fill="auto"/>
          </w:tcPr>
          <w:p w14:paraId="5E470BEE" w14:textId="77777777" w:rsidR="00D20029" w:rsidRPr="00257550" w:rsidRDefault="00D20029" w:rsidP="00E83841">
            <w:pPr>
              <w:spacing w:after="0" w:line="360" w:lineRule="auto"/>
              <w:jc w:val="both"/>
              <w:rPr>
                <w:rFonts w:ascii="Times New Roman" w:eastAsia="Calibri" w:hAnsi="Times New Roman" w:cs="Times New Roman"/>
                <w:sz w:val="18"/>
                <w:szCs w:val="18"/>
              </w:rPr>
            </w:pPr>
            <w:r w:rsidRPr="00257550">
              <w:rPr>
                <w:rFonts w:ascii="Times New Roman" w:eastAsia="Calibri" w:hAnsi="Times New Roman" w:cs="Times New Roman"/>
                <w:sz w:val="18"/>
                <w:szCs w:val="18"/>
              </w:rPr>
              <w:t xml:space="preserve">Very High </w:t>
            </w:r>
          </w:p>
        </w:tc>
      </w:tr>
      <w:tr w:rsidR="00D20029" w:rsidRPr="00257550" w14:paraId="108EA9F8" w14:textId="77777777" w:rsidTr="009D434E">
        <w:tc>
          <w:tcPr>
            <w:tcW w:w="562" w:type="dxa"/>
            <w:tcBorders>
              <w:bottom w:val="single" w:sz="4" w:space="0" w:color="auto"/>
            </w:tcBorders>
          </w:tcPr>
          <w:p w14:paraId="5D1D13CF" w14:textId="77777777" w:rsidR="00D20029" w:rsidRPr="00257550" w:rsidRDefault="00D20029" w:rsidP="00E83841">
            <w:pPr>
              <w:spacing w:after="0" w:line="360" w:lineRule="auto"/>
              <w:jc w:val="both"/>
              <w:rPr>
                <w:rFonts w:ascii="Times New Roman" w:eastAsia="Calibri" w:hAnsi="Times New Roman" w:cs="Times New Roman"/>
                <w:sz w:val="18"/>
                <w:szCs w:val="18"/>
              </w:rPr>
            </w:pPr>
            <w:r w:rsidRPr="00257550">
              <w:rPr>
                <w:rFonts w:ascii="Times New Roman" w:eastAsia="Calibri" w:hAnsi="Times New Roman" w:cs="Times New Roman"/>
                <w:sz w:val="18"/>
                <w:szCs w:val="18"/>
              </w:rPr>
              <w:lastRenderedPageBreak/>
              <w:t>14.</w:t>
            </w:r>
          </w:p>
        </w:tc>
        <w:tc>
          <w:tcPr>
            <w:tcW w:w="2552" w:type="dxa"/>
            <w:tcBorders>
              <w:bottom w:val="single" w:sz="4" w:space="0" w:color="auto"/>
            </w:tcBorders>
            <w:shd w:val="clear" w:color="auto" w:fill="auto"/>
          </w:tcPr>
          <w:p w14:paraId="3F8DC451" w14:textId="77777777" w:rsidR="00D20029" w:rsidRPr="00257550" w:rsidRDefault="00D20029" w:rsidP="00E83841">
            <w:pPr>
              <w:spacing w:after="0" w:line="360" w:lineRule="auto"/>
              <w:ind w:right="68"/>
              <w:jc w:val="both"/>
              <w:rPr>
                <w:rFonts w:ascii="Times New Roman" w:eastAsia="Calibri" w:hAnsi="Times New Roman" w:cs="Times New Roman"/>
                <w:sz w:val="18"/>
                <w:szCs w:val="18"/>
              </w:rPr>
            </w:pPr>
            <w:r w:rsidRPr="00257550">
              <w:rPr>
                <w:rFonts w:ascii="Times New Roman" w:eastAsia="Calibri" w:hAnsi="Times New Roman" w:cs="Times New Roman"/>
                <w:sz w:val="18"/>
                <w:szCs w:val="18"/>
              </w:rPr>
              <w:t xml:space="preserve">There is </w:t>
            </w:r>
            <w:r w:rsidR="005C3279" w:rsidRPr="00257550">
              <w:rPr>
                <w:rFonts w:ascii="Times New Roman" w:eastAsia="Calibri" w:hAnsi="Times New Roman" w:cs="Times New Roman"/>
                <w:sz w:val="18"/>
                <w:szCs w:val="18"/>
              </w:rPr>
              <w:t xml:space="preserve">an </w:t>
            </w:r>
            <w:r w:rsidRPr="00257550">
              <w:rPr>
                <w:rFonts w:ascii="Times New Roman" w:eastAsia="Calibri" w:hAnsi="Times New Roman" w:cs="Times New Roman"/>
                <w:sz w:val="18"/>
                <w:szCs w:val="18"/>
              </w:rPr>
              <w:t>educational commitment of parents to girls’ education.</w:t>
            </w:r>
          </w:p>
        </w:tc>
        <w:tc>
          <w:tcPr>
            <w:tcW w:w="850" w:type="dxa"/>
            <w:tcBorders>
              <w:bottom w:val="single" w:sz="4" w:space="0" w:color="auto"/>
            </w:tcBorders>
            <w:shd w:val="clear" w:color="auto" w:fill="auto"/>
          </w:tcPr>
          <w:p w14:paraId="3CB12248" w14:textId="77777777" w:rsidR="00D20029" w:rsidRPr="00257550" w:rsidRDefault="00D20029" w:rsidP="00E83841">
            <w:pPr>
              <w:spacing w:after="0" w:line="360" w:lineRule="auto"/>
              <w:jc w:val="center"/>
              <w:rPr>
                <w:rFonts w:ascii="Times New Roman" w:eastAsia="Calibri" w:hAnsi="Times New Roman" w:cs="Times New Roman"/>
                <w:sz w:val="18"/>
                <w:szCs w:val="18"/>
              </w:rPr>
            </w:pPr>
            <w:r w:rsidRPr="00257550">
              <w:rPr>
                <w:rFonts w:ascii="Times New Roman" w:eastAsia="Calibri" w:hAnsi="Times New Roman" w:cs="Times New Roman"/>
                <w:sz w:val="18"/>
                <w:szCs w:val="18"/>
              </w:rPr>
              <w:t>10</w:t>
            </w:r>
          </w:p>
          <w:p w14:paraId="727CE93D" w14:textId="77777777" w:rsidR="00D20029" w:rsidRPr="00257550" w:rsidRDefault="00D20029" w:rsidP="00E83841">
            <w:pPr>
              <w:spacing w:after="0" w:line="360" w:lineRule="auto"/>
              <w:jc w:val="center"/>
              <w:rPr>
                <w:rFonts w:ascii="Times New Roman" w:eastAsia="Calibri" w:hAnsi="Times New Roman" w:cs="Times New Roman"/>
                <w:sz w:val="18"/>
                <w:szCs w:val="18"/>
              </w:rPr>
            </w:pPr>
            <w:r w:rsidRPr="00257550">
              <w:rPr>
                <w:rFonts w:ascii="Times New Roman" w:eastAsia="Calibri" w:hAnsi="Times New Roman" w:cs="Times New Roman"/>
                <w:sz w:val="18"/>
                <w:szCs w:val="18"/>
              </w:rPr>
              <w:t>(3.8%)</w:t>
            </w:r>
          </w:p>
        </w:tc>
        <w:tc>
          <w:tcPr>
            <w:tcW w:w="851" w:type="dxa"/>
            <w:tcBorders>
              <w:bottom w:val="single" w:sz="4" w:space="0" w:color="auto"/>
            </w:tcBorders>
            <w:shd w:val="clear" w:color="auto" w:fill="auto"/>
          </w:tcPr>
          <w:p w14:paraId="3D0CB522" w14:textId="77777777" w:rsidR="00D20029" w:rsidRPr="00257550" w:rsidRDefault="00D20029" w:rsidP="00E83841">
            <w:pPr>
              <w:spacing w:after="0" w:line="360" w:lineRule="auto"/>
              <w:jc w:val="center"/>
              <w:rPr>
                <w:rFonts w:ascii="Times New Roman" w:eastAsia="Calibri" w:hAnsi="Times New Roman" w:cs="Times New Roman"/>
                <w:sz w:val="18"/>
                <w:szCs w:val="18"/>
              </w:rPr>
            </w:pPr>
            <w:r w:rsidRPr="00257550">
              <w:rPr>
                <w:rFonts w:ascii="Times New Roman" w:eastAsia="Calibri" w:hAnsi="Times New Roman" w:cs="Times New Roman"/>
                <w:sz w:val="18"/>
                <w:szCs w:val="18"/>
              </w:rPr>
              <w:t>16</w:t>
            </w:r>
          </w:p>
          <w:p w14:paraId="2B8DA974" w14:textId="77777777" w:rsidR="00D20029" w:rsidRPr="00257550" w:rsidRDefault="00D20029" w:rsidP="00E83841">
            <w:pPr>
              <w:spacing w:after="0" w:line="360" w:lineRule="auto"/>
              <w:jc w:val="center"/>
              <w:rPr>
                <w:rFonts w:ascii="Times New Roman" w:eastAsia="Calibri" w:hAnsi="Times New Roman" w:cs="Times New Roman"/>
                <w:sz w:val="18"/>
                <w:szCs w:val="18"/>
              </w:rPr>
            </w:pPr>
            <w:r w:rsidRPr="00257550">
              <w:rPr>
                <w:rFonts w:ascii="Times New Roman" w:eastAsia="Calibri" w:hAnsi="Times New Roman" w:cs="Times New Roman"/>
                <w:sz w:val="18"/>
                <w:szCs w:val="18"/>
              </w:rPr>
              <w:t>(6.2%)</w:t>
            </w:r>
          </w:p>
        </w:tc>
        <w:tc>
          <w:tcPr>
            <w:tcW w:w="850" w:type="dxa"/>
            <w:tcBorders>
              <w:bottom w:val="single" w:sz="4" w:space="0" w:color="auto"/>
            </w:tcBorders>
            <w:shd w:val="clear" w:color="auto" w:fill="auto"/>
          </w:tcPr>
          <w:p w14:paraId="74AA8148" w14:textId="77777777" w:rsidR="00D20029" w:rsidRPr="00257550" w:rsidRDefault="00D20029" w:rsidP="00E83841">
            <w:pPr>
              <w:spacing w:after="0" w:line="360" w:lineRule="auto"/>
              <w:jc w:val="center"/>
              <w:rPr>
                <w:rFonts w:ascii="Times New Roman" w:eastAsia="Calibri" w:hAnsi="Times New Roman" w:cs="Times New Roman"/>
                <w:sz w:val="18"/>
                <w:szCs w:val="18"/>
              </w:rPr>
            </w:pPr>
            <w:r w:rsidRPr="00257550">
              <w:rPr>
                <w:rFonts w:ascii="Times New Roman" w:eastAsia="Calibri" w:hAnsi="Times New Roman" w:cs="Times New Roman"/>
                <w:sz w:val="18"/>
                <w:szCs w:val="18"/>
              </w:rPr>
              <w:t>26</w:t>
            </w:r>
          </w:p>
          <w:p w14:paraId="4C2EA58F" w14:textId="77777777" w:rsidR="00D20029" w:rsidRPr="00257550" w:rsidRDefault="00D20029" w:rsidP="00E83841">
            <w:pPr>
              <w:spacing w:after="0" w:line="360" w:lineRule="auto"/>
              <w:jc w:val="center"/>
              <w:rPr>
                <w:rFonts w:ascii="Times New Roman" w:eastAsia="Calibri" w:hAnsi="Times New Roman" w:cs="Times New Roman"/>
                <w:sz w:val="18"/>
                <w:szCs w:val="18"/>
              </w:rPr>
            </w:pPr>
            <w:r w:rsidRPr="00257550">
              <w:rPr>
                <w:rFonts w:ascii="Times New Roman" w:eastAsia="Calibri" w:hAnsi="Times New Roman" w:cs="Times New Roman"/>
                <w:sz w:val="18"/>
                <w:szCs w:val="18"/>
              </w:rPr>
              <w:t>(10.0%)</w:t>
            </w:r>
          </w:p>
        </w:tc>
        <w:tc>
          <w:tcPr>
            <w:tcW w:w="851" w:type="dxa"/>
            <w:tcBorders>
              <w:bottom w:val="single" w:sz="4" w:space="0" w:color="auto"/>
            </w:tcBorders>
            <w:shd w:val="clear" w:color="auto" w:fill="auto"/>
          </w:tcPr>
          <w:p w14:paraId="34924946" w14:textId="77777777" w:rsidR="00D20029" w:rsidRPr="00257550" w:rsidRDefault="00D20029" w:rsidP="00E83841">
            <w:pPr>
              <w:spacing w:after="0" w:line="360" w:lineRule="auto"/>
              <w:jc w:val="center"/>
              <w:rPr>
                <w:rFonts w:ascii="Times New Roman" w:eastAsia="Calibri" w:hAnsi="Times New Roman" w:cs="Times New Roman"/>
                <w:sz w:val="18"/>
                <w:szCs w:val="18"/>
              </w:rPr>
            </w:pPr>
            <w:r w:rsidRPr="00257550">
              <w:rPr>
                <w:rFonts w:ascii="Times New Roman" w:eastAsia="Calibri" w:hAnsi="Times New Roman" w:cs="Times New Roman"/>
                <w:sz w:val="18"/>
                <w:szCs w:val="18"/>
              </w:rPr>
              <w:t>97</w:t>
            </w:r>
          </w:p>
          <w:p w14:paraId="6B11D29A" w14:textId="77777777" w:rsidR="00D20029" w:rsidRPr="00257550" w:rsidRDefault="00D20029" w:rsidP="00E83841">
            <w:pPr>
              <w:spacing w:after="0" w:line="360" w:lineRule="auto"/>
              <w:jc w:val="center"/>
              <w:rPr>
                <w:rFonts w:ascii="Times New Roman" w:eastAsia="Calibri" w:hAnsi="Times New Roman" w:cs="Times New Roman"/>
                <w:sz w:val="18"/>
                <w:szCs w:val="18"/>
              </w:rPr>
            </w:pPr>
            <w:r w:rsidRPr="00257550">
              <w:rPr>
                <w:rFonts w:ascii="Times New Roman" w:eastAsia="Calibri" w:hAnsi="Times New Roman" w:cs="Times New Roman"/>
                <w:sz w:val="18"/>
                <w:szCs w:val="18"/>
              </w:rPr>
              <w:t>(37.3%)</w:t>
            </w:r>
          </w:p>
        </w:tc>
        <w:tc>
          <w:tcPr>
            <w:tcW w:w="992" w:type="dxa"/>
            <w:tcBorders>
              <w:bottom w:val="single" w:sz="4" w:space="0" w:color="auto"/>
            </w:tcBorders>
            <w:shd w:val="clear" w:color="auto" w:fill="auto"/>
          </w:tcPr>
          <w:p w14:paraId="25C9456C" w14:textId="77777777" w:rsidR="00D20029" w:rsidRPr="00257550" w:rsidRDefault="00D20029" w:rsidP="00E83841">
            <w:pPr>
              <w:spacing w:after="0" w:line="360" w:lineRule="auto"/>
              <w:jc w:val="center"/>
              <w:rPr>
                <w:rFonts w:ascii="Times New Roman" w:eastAsia="Calibri" w:hAnsi="Times New Roman" w:cs="Times New Roman"/>
                <w:sz w:val="18"/>
                <w:szCs w:val="18"/>
              </w:rPr>
            </w:pPr>
            <w:r w:rsidRPr="00257550">
              <w:rPr>
                <w:rFonts w:ascii="Times New Roman" w:eastAsia="Calibri" w:hAnsi="Times New Roman" w:cs="Times New Roman"/>
                <w:sz w:val="18"/>
                <w:szCs w:val="18"/>
              </w:rPr>
              <w:t>110</w:t>
            </w:r>
          </w:p>
          <w:p w14:paraId="3579143B" w14:textId="77777777" w:rsidR="00D20029" w:rsidRPr="00257550" w:rsidRDefault="00D20029" w:rsidP="00E83841">
            <w:pPr>
              <w:spacing w:after="0" w:line="360" w:lineRule="auto"/>
              <w:jc w:val="center"/>
              <w:rPr>
                <w:rFonts w:ascii="Times New Roman" w:eastAsia="Calibri" w:hAnsi="Times New Roman" w:cs="Times New Roman"/>
                <w:sz w:val="18"/>
                <w:szCs w:val="18"/>
              </w:rPr>
            </w:pPr>
            <w:r w:rsidRPr="00257550">
              <w:rPr>
                <w:rFonts w:ascii="Times New Roman" w:eastAsia="Calibri" w:hAnsi="Times New Roman" w:cs="Times New Roman"/>
                <w:sz w:val="18"/>
                <w:szCs w:val="18"/>
              </w:rPr>
              <w:t>(42.3%)</w:t>
            </w:r>
          </w:p>
        </w:tc>
        <w:tc>
          <w:tcPr>
            <w:tcW w:w="709" w:type="dxa"/>
            <w:tcBorders>
              <w:bottom w:val="single" w:sz="4" w:space="0" w:color="auto"/>
            </w:tcBorders>
            <w:shd w:val="clear" w:color="auto" w:fill="auto"/>
            <w:vAlign w:val="center"/>
          </w:tcPr>
          <w:p w14:paraId="0109E6AA" w14:textId="77777777" w:rsidR="00D20029" w:rsidRPr="00257550" w:rsidRDefault="00D20029" w:rsidP="00E83841">
            <w:pPr>
              <w:spacing w:after="0" w:line="360" w:lineRule="auto"/>
              <w:jc w:val="center"/>
              <w:rPr>
                <w:rFonts w:ascii="Times New Roman" w:eastAsia="Times New Roman" w:hAnsi="Times New Roman" w:cs="Times New Roman"/>
                <w:color w:val="000000"/>
                <w:sz w:val="18"/>
                <w:szCs w:val="18"/>
              </w:rPr>
            </w:pPr>
            <w:r w:rsidRPr="00257550">
              <w:rPr>
                <w:rFonts w:ascii="Times New Roman" w:eastAsia="Times New Roman" w:hAnsi="Times New Roman" w:cs="Times New Roman"/>
                <w:color w:val="000000"/>
                <w:sz w:val="18"/>
                <w:szCs w:val="18"/>
              </w:rPr>
              <w:t>4.08</w:t>
            </w:r>
          </w:p>
        </w:tc>
        <w:tc>
          <w:tcPr>
            <w:tcW w:w="709" w:type="dxa"/>
            <w:tcBorders>
              <w:bottom w:val="single" w:sz="4" w:space="0" w:color="auto"/>
            </w:tcBorders>
            <w:shd w:val="clear" w:color="auto" w:fill="auto"/>
            <w:vAlign w:val="center"/>
          </w:tcPr>
          <w:p w14:paraId="73E2C951" w14:textId="77777777" w:rsidR="00D20029" w:rsidRPr="00257550" w:rsidRDefault="00D20029" w:rsidP="00E83841">
            <w:pPr>
              <w:spacing w:after="0" w:line="360" w:lineRule="auto"/>
              <w:jc w:val="center"/>
              <w:rPr>
                <w:rFonts w:ascii="Times New Roman" w:eastAsia="Times New Roman" w:hAnsi="Times New Roman" w:cs="Times New Roman"/>
                <w:color w:val="000000"/>
                <w:sz w:val="18"/>
                <w:szCs w:val="18"/>
              </w:rPr>
            </w:pPr>
            <w:r w:rsidRPr="00257550">
              <w:rPr>
                <w:rFonts w:ascii="Times New Roman" w:eastAsia="Times New Roman" w:hAnsi="Times New Roman" w:cs="Times New Roman"/>
                <w:color w:val="000000"/>
                <w:sz w:val="18"/>
                <w:szCs w:val="18"/>
              </w:rPr>
              <w:t>1.057</w:t>
            </w:r>
          </w:p>
        </w:tc>
        <w:tc>
          <w:tcPr>
            <w:tcW w:w="1134" w:type="dxa"/>
            <w:tcBorders>
              <w:bottom w:val="single" w:sz="4" w:space="0" w:color="auto"/>
            </w:tcBorders>
            <w:shd w:val="clear" w:color="auto" w:fill="auto"/>
          </w:tcPr>
          <w:p w14:paraId="5E522628" w14:textId="77777777" w:rsidR="00D20029" w:rsidRPr="00257550" w:rsidRDefault="00D20029" w:rsidP="00E83841">
            <w:pPr>
              <w:spacing w:after="0" w:line="360" w:lineRule="auto"/>
              <w:jc w:val="both"/>
              <w:rPr>
                <w:rFonts w:ascii="Times New Roman" w:eastAsia="Calibri" w:hAnsi="Times New Roman" w:cs="Times New Roman"/>
                <w:sz w:val="18"/>
                <w:szCs w:val="18"/>
              </w:rPr>
            </w:pPr>
            <w:r w:rsidRPr="00257550">
              <w:rPr>
                <w:rFonts w:ascii="Times New Roman" w:eastAsia="Calibri" w:hAnsi="Times New Roman" w:cs="Times New Roman"/>
                <w:sz w:val="18"/>
                <w:szCs w:val="18"/>
              </w:rPr>
              <w:t xml:space="preserve">High </w:t>
            </w:r>
          </w:p>
        </w:tc>
      </w:tr>
      <w:tr w:rsidR="00D20029" w:rsidRPr="00257550" w14:paraId="3AE12DA0" w14:textId="77777777" w:rsidTr="009D434E">
        <w:tc>
          <w:tcPr>
            <w:tcW w:w="562" w:type="dxa"/>
            <w:tcBorders>
              <w:top w:val="single" w:sz="4" w:space="0" w:color="auto"/>
              <w:bottom w:val="single" w:sz="4" w:space="0" w:color="auto"/>
            </w:tcBorders>
          </w:tcPr>
          <w:p w14:paraId="4C1B55FA" w14:textId="77777777" w:rsidR="00D20029" w:rsidRPr="00257550" w:rsidRDefault="00D20029" w:rsidP="00E83841">
            <w:pPr>
              <w:spacing w:after="0" w:line="360" w:lineRule="auto"/>
              <w:jc w:val="both"/>
              <w:rPr>
                <w:rFonts w:ascii="Times New Roman" w:eastAsia="Calibri" w:hAnsi="Times New Roman" w:cs="Times New Roman"/>
                <w:b/>
                <w:sz w:val="18"/>
                <w:szCs w:val="18"/>
              </w:rPr>
            </w:pPr>
          </w:p>
        </w:tc>
        <w:tc>
          <w:tcPr>
            <w:tcW w:w="2552" w:type="dxa"/>
            <w:tcBorders>
              <w:top w:val="single" w:sz="4" w:space="0" w:color="auto"/>
              <w:bottom w:val="single" w:sz="4" w:space="0" w:color="auto"/>
            </w:tcBorders>
            <w:shd w:val="clear" w:color="auto" w:fill="auto"/>
          </w:tcPr>
          <w:p w14:paraId="4FBE2B37" w14:textId="77777777" w:rsidR="00D20029" w:rsidRPr="00257550" w:rsidRDefault="00D20029" w:rsidP="00E83841">
            <w:pPr>
              <w:spacing w:after="0" w:line="360" w:lineRule="auto"/>
              <w:jc w:val="both"/>
              <w:rPr>
                <w:rFonts w:ascii="Times New Roman" w:eastAsia="Calibri" w:hAnsi="Times New Roman" w:cs="Times New Roman"/>
                <w:b/>
                <w:sz w:val="18"/>
                <w:szCs w:val="18"/>
              </w:rPr>
            </w:pPr>
            <w:r w:rsidRPr="00257550">
              <w:rPr>
                <w:rFonts w:ascii="Times New Roman" w:eastAsia="Calibri" w:hAnsi="Times New Roman" w:cs="Times New Roman"/>
                <w:b/>
                <w:sz w:val="18"/>
                <w:szCs w:val="18"/>
              </w:rPr>
              <w:t xml:space="preserve">Grand Mean/SD                                                          </w:t>
            </w:r>
          </w:p>
        </w:tc>
        <w:tc>
          <w:tcPr>
            <w:tcW w:w="850" w:type="dxa"/>
            <w:tcBorders>
              <w:top w:val="single" w:sz="4" w:space="0" w:color="auto"/>
              <w:bottom w:val="single" w:sz="4" w:space="0" w:color="auto"/>
            </w:tcBorders>
            <w:shd w:val="clear" w:color="auto" w:fill="auto"/>
          </w:tcPr>
          <w:p w14:paraId="4D8CBD30" w14:textId="77777777" w:rsidR="00D20029" w:rsidRPr="00257550" w:rsidRDefault="00D20029" w:rsidP="00E83841">
            <w:pPr>
              <w:spacing w:after="0" w:line="360" w:lineRule="auto"/>
              <w:jc w:val="center"/>
              <w:rPr>
                <w:rFonts w:ascii="Times New Roman" w:eastAsia="Calibri" w:hAnsi="Times New Roman" w:cs="Times New Roman"/>
                <w:b/>
                <w:sz w:val="18"/>
                <w:szCs w:val="18"/>
              </w:rPr>
            </w:pPr>
          </w:p>
        </w:tc>
        <w:tc>
          <w:tcPr>
            <w:tcW w:w="851" w:type="dxa"/>
            <w:tcBorders>
              <w:top w:val="single" w:sz="4" w:space="0" w:color="auto"/>
              <w:bottom w:val="single" w:sz="4" w:space="0" w:color="auto"/>
            </w:tcBorders>
            <w:shd w:val="clear" w:color="auto" w:fill="auto"/>
          </w:tcPr>
          <w:p w14:paraId="2B42BCF8" w14:textId="77777777" w:rsidR="00D20029" w:rsidRPr="00257550" w:rsidRDefault="00D20029" w:rsidP="00E83841">
            <w:pPr>
              <w:spacing w:after="0" w:line="360" w:lineRule="auto"/>
              <w:jc w:val="center"/>
              <w:rPr>
                <w:rFonts w:ascii="Times New Roman" w:eastAsia="Calibri" w:hAnsi="Times New Roman" w:cs="Times New Roman"/>
                <w:b/>
                <w:sz w:val="18"/>
                <w:szCs w:val="18"/>
              </w:rPr>
            </w:pPr>
          </w:p>
        </w:tc>
        <w:tc>
          <w:tcPr>
            <w:tcW w:w="850" w:type="dxa"/>
            <w:tcBorders>
              <w:top w:val="single" w:sz="4" w:space="0" w:color="auto"/>
              <w:bottom w:val="single" w:sz="4" w:space="0" w:color="auto"/>
            </w:tcBorders>
            <w:shd w:val="clear" w:color="auto" w:fill="auto"/>
          </w:tcPr>
          <w:p w14:paraId="3A584A77" w14:textId="77777777" w:rsidR="00D20029" w:rsidRPr="00257550" w:rsidRDefault="00D20029" w:rsidP="00E83841">
            <w:pPr>
              <w:spacing w:after="0" w:line="360" w:lineRule="auto"/>
              <w:jc w:val="center"/>
              <w:rPr>
                <w:rFonts w:ascii="Times New Roman" w:eastAsia="Calibri" w:hAnsi="Times New Roman" w:cs="Times New Roman"/>
                <w:b/>
                <w:sz w:val="18"/>
                <w:szCs w:val="18"/>
              </w:rPr>
            </w:pPr>
          </w:p>
        </w:tc>
        <w:tc>
          <w:tcPr>
            <w:tcW w:w="851" w:type="dxa"/>
            <w:tcBorders>
              <w:top w:val="single" w:sz="4" w:space="0" w:color="auto"/>
              <w:bottom w:val="single" w:sz="4" w:space="0" w:color="auto"/>
            </w:tcBorders>
            <w:shd w:val="clear" w:color="auto" w:fill="auto"/>
          </w:tcPr>
          <w:p w14:paraId="682D7EEF" w14:textId="77777777" w:rsidR="00D20029" w:rsidRPr="00257550" w:rsidRDefault="00D20029" w:rsidP="00E83841">
            <w:pPr>
              <w:spacing w:after="0" w:line="360" w:lineRule="auto"/>
              <w:jc w:val="center"/>
              <w:rPr>
                <w:rFonts w:ascii="Times New Roman" w:eastAsia="Calibri" w:hAnsi="Times New Roman" w:cs="Times New Roman"/>
                <w:b/>
                <w:sz w:val="18"/>
                <w:szCs w:val="18"/>
              </w:rPr>
            </w:pPr>
          </w:p>
        </w:tc>
        <w:tc>
          <w:tcPr>
            <w:tcW w:w="992" w:type="dxa"/>
            <w:tcBorders>
              <w:top w:val="single" w:sz="4" w:space="0" w:color="auto"/>
              <w:bottom w:val="single" w:sz="4" w:space="0" w:color="auto"/>
            </w:tcBorders>
            <w:shd w:val="clear" w:color="auto" w:fill="auto"/>
          </w:tcPr>
          <w:p w14:paraId="346B9082" w14:textId="77777777" w:rsidR="00D20029" w:rsidRPr="00257550" w:rsidRDefault="00D20029" w:rsidP="00E83841">
            <w:pPr>
              <w:spacing w:after="0" w:line="360" w:lineRule="auto"/>
              <w:jc w:val="center"/>
              <w:rPr>
                <w:rFonts w:ascii="Times New Roman" w:eastAsia="Calibri" w:hAnsi="Times New Roman" w:cs="Times New Roman"/>
                <w:b/>
                <w:sz w:val="18"/>
                <w:szCs w:val="18"/>
              </w:rPr>
            </w:pPr>
          </w:p>
        </w:tc>
        <w:tc>
          <w:tcPr>
            <w:tcW w:w="709" w:type="dxa"/>
            <w:tcBorders>
              <w:top w:val="single" w:sz="4" w:space="0" w:color="auto"/>
              <w:bottom w:val="single" w:sz="4" w:space="0" w:color="auto"/>
            </w:tcBorders>
            <w:shd w:val="clear" w:color="auto" w:fill="auto"/>
            <w:vAlign w:val="center"/>
          </w:tcPr>
          <w:p w14:paraId="1D93A478" w14:textId="77777777" w:rsidR="00D20029" w:rsidRPr="00257550" w:rsidRDefault="00D20029" w:rsidP="00E83841">
            <w:pPr>
              <w:spacing w:after="0" w:line="360" w:lineRule="auto"/>
              <w:jc w:val="right"/>
              <w:rPr>
                <w:rFonts w:ascii="Times New Roman" w:eastAsia="Times New Roman" w:hAnsi="Times New Roman" w:cs="Times New Roman"/>
                <w:b/>
                <w:color w:val="000000"/>
                <w:sz w:val="18"/>
                <w:szCs w:val="18"/>
              </w:rPr>
            </w:pPr>
            <w:r w:rsidRPr="00257550">
              <w:rPr>
                <w:rFonts w:ascii="Times New Roman" w:eastAsia="Times New Roman" w:hAnsi="Times New Roman" w:cs="Times New Roman"/>
                <w:b/>
                <w:color w:val="000000"/>
                <w:sz w:val="18"/>
                <w:szCs w:val="18"/>
              </w:rPr>
              <w:t>3.97</w:t>
            </w:r>
          </w:p>
        </w:tc>
        <w:tc>
          <w:tcPr>
            <w:tcW w:w="709" w:type="dxa"/>
            <w:tcBorders>
              <w:top w:val="single" w:sz="4" w:space="0" w:color="auto"/>
              <w:bottom w:val="single" w:sz="4" w:space="0" w:color="auto"/>
            </w:tcBorders>
            <w:shd w:val="clear" w:color="auto" w:fill="auto"/>
            <w:vAlign w:val="center"/>
          </w:tcPr>
          <w:p w14:paraId="44194FE2" w14:textId="77777777" w:rsidR="00D20029" w:rsidRPr="00257550" w:rsidRDefault="00D20029" w:rsidP="00E83841">
            <w:pPr>
              <w:spacing w:after="0" w:line="360" w:lineRule="auto"/>
              <w:jc w:val="right"/>
              <w:rPr>
                <w:rFonts w:ascii="Times New Roman" w:eastAsia="Times New Roman" w:hAnsi="Times New Roman" w:cs="Times New Roman"/>
                <w:b/>
                <w:color w:val="000000"/>
                <w:sz w:val="18"/>
                <w:szCs w:val="18"/>
              </w:rPr>
            </w:pPr>
            <w:r w:rsidRPr="00257550">
              <w:rPr>
                <w:rFonts w:ascii="Times New Roman" w:eastAsia="Times New Roman" w:hAnsi="Times New Roman" w:cs="Times New Roman"/>
                <w:b/>
                <w:color w:val="000000"/>
                <w:sz w:val="18"/>
                <w:szCs w:val="18"/>
              </w:rPr>
              <w:t>1.16</w:t>
            </w:r>
          </w:p>
        </w:tc>
        <w:tc>
          <w:tcPr>
            <w:tcW w:w="1134" w:type="dxa"/>
            <w:tcBorders>
              <w:top w:val="single" w:sz="4" w:space="0" w:color="auto"/>
              <w:bottom w:val="single" w:sz="4" w:space="0" w:color="auto"/>
            </w:tcBorders>
            <w:shd w:val="clear" w:color="auto" w:fill="auto"/>
          </w:tcPr>
          <w:p w14:paraId="1A1A6519" w14:textId="77777777" w:rsidR="00D20029" w:rsidRPr="00257550" w:rsidRDefault="00D20029" w:rsidP="00E83841">
            <w:pPr>
              <w:spacing w:after="0" w:line="360" w:lineRule="auto"/>
              <w:jc w:val="both"/>
              <w:rPr>
                <w:rFonts w:ascii="Times New Roman" w:eastAsia="Calibri" w:hAnsi="Times New Roman" w:cs="Times New Roman"/>
                <w:b/>
                <w:sz w:val="18"/>
                <w:szCs w:val="18"/>
              </w:rPr>
            </w:pPr>
          </w:p>
          <w:p w14:paraId="01A53B50" w14:textId="77777777" w:rsidR="009D434E" w:rsidRPr="00257550" w:rsidRDefault="009D434E" w:rsidP="00E83841">
            <w:pPr>
              <w:spacing w:after="0" w:line="360" w:lineRule="auto"/>
              <w:jc w:val="both"/>
              <w:rPr>
                <w:rFonts w:ascii="Times New Roman" w:eastAsia="Calibri" w:hAnsi="Times New Roman" w:cs="Times New Roman"/>
                <w:b/>
                <w:sz w:val="18"/>
                <w:szCs w:val="18"/>
              </w:rPr>
            </w:pPr>
          </w:p>
        </w:tc>
      </w:tr>
    </w:tbl>
    <w:p w14:paraId="6BA02A7D" w14:textId="77777777" w:rsidR="00D20029" w:rsidRPr="00D20029" w:rsidRDefault="00D20029" w:rsidP="00E83841">
      <w:pPr>
        <w:spacing w:after="0" w:line="360" w:lineRule="auto"/>
        <w:rPr>
          <w:rFonts w:ascii="Times New Roman" w:hAnsi="Times New Roman" w:cs="Times New Roman"/>
          <w:sz w:val="24"/>
          <w:szCs w:val="24"/>
        </w:rPr>
      </w:pPr>
      <w:r w:rsidRPr="00D20029">
        <w:rPr>
          <w:rFonts w:ascii="Times New Roman" w:hAnsi="Times New Roman" w:cs="Times New Roman"/>
          <w:b/>
          <w:sz w:val="24"/>
          <w:szCs w:val="24"/>
        </w:rPr>
        <w:t>Source:</w:t>
      </w:r>
      <w:r w:rsidR="008421CD">
        <w:rPr>
          <w:rFonts w:ascii="Times New Roman" w:hAnsi="Times New Roman" w:cs="Times New Roman"/>
          <w:sz w:val="24"/>
          <w:szCs w:val="24"/>
        </w:rPr>
        <w:t xml:space="preserve"> Field Data (2025</w:t>
      </w:r>
      <w:r w:rsidRPr="00D20029">
        <w:rPr>
          <w:rFonts w:ascii="Times New Roman" w:hAnsi="Times New Roman" w:cs="Times New Roman"/>
          <w:sz w:val="24"/>
          <w:szCs w:val="24"/>
        </w:rPr>
        <w:t>).</w:t>
      </w:r>
    </w:p>
    <w:p w14:paraId="7A8B0121" w14:textId="77777777" w:rsidR="00492163" w:rsidRDefault="00492163" w:rsidP="00E83841">
      <w:pPr>
        <w:spacing w:line="360" w:lineRule="auto"/>
        <w:jc w:val="both"/>
        <w:rPr>
          <w:rFonts w:ascii="Times New Roman" w:hAnsi="Times New Roman" w:cs="Times New Roman"/>
          <w:sz w:val="24"/>
          <w:szCs w:val="24"/>
        </w:rPr>
        <w:sectPr w:rsidR="00492163" w:rsidSect="00841AC1">
          <w:type w:val="continuous"/>
          <w:pgSz w:w="12240" w:h="15840"/>
          <w:pgMar w:top="1440" w:right="1440" w:bottom="1440" w:left="1440" w:header="720" w:footer="720" w:gutter="0"/>
          <w:cols w:space="720"/>
          <w:docGrid w:linePitch="360"/>
        </w:sectPr>
      </w:pPr>
    </w:p>
    <w:p w14:paraId="41B75BC7" w14:textId="77777777" w:rsidR="00A369A6" w:rsidRPr="00A369A6" w:rsidRDefault="00A369A6" w:rsidP="00E83841">
      <w:pPr>
        <w:spacing w:line="360" w:lineRule="auto"/>
        <w:jc w:val="both"/>
        <w:rPr>
          <w:rFonts w:ascii="Times New Roman" w:hAnsi="Times New Roman" w:cs="Times New Roman"/>
          <w:sz w:val="24"/>
          <w:szCs w:val="24"/>
        </w:rPr>
      </w:pPr>
      <w:r w:rsidRPr="00A369A6">
        <w:rPr>
          <w:rFonts w:ascii="Times New Roman" w:hAnsi="Times New Roman" w:cs="Times New Roman"/>
          <w:sz w:val="24"/>
          <w:szCs w:val="24"/>
        </w:rPr>
        <w:t>The findings, as shown in Table 1, highlighted the differing views on the effectiveness of gender equity measures and their effect on the completion rates of female students. This analysis focuses on the mean scores of the statements, with high perception indicating a positive view of gender equity efforts and average perception highlighting areas of concern for a policy on gender equity and girls’ completion rates.</w:t>
      </w:r>
    </w:p>
    <w:p w14:paraId="3248C6D2" w14:textId="77777777" w:rsidR="00A369A6" w:rsidRPr="00A369A6" w:rsidRDefault="00A369A6" w:rsidP="00E83841">
      <w:pPr>
        <w:spacing w:line="360" w:lineRule="auto"/>
        <w:jc w:val="both"/>
        <w:rPr>
          <w:rFonts w:ascii="Times New Roman" w:hAnsi="Times New Roman" w:cs="Times New Roman"/>
          <w:sz w:val="24"/>
          <w:szCs w:val="24"/>
        </w:rPr>
      </w:pPr>
      <w:r w:rsidRPr="00A369A6">
        <w:rPr>
          <w:rFonts w:ascii="Times New Roman" w:hAnsi="Times New Roman" w:cs="Times New Roman"/>
          <w:sz w:val="24"/>
          <w:szCs w:val="24"/>
        </w:rPr>
        <w:t xml:space="preserve">Respondents strongly believe </w:t>
      </w:r>
      <w:r w:rsidR="00257550">
        <w:rPr>
          <w:rFonts w:ascii="Times New Roman" w:hAnsi="Times New Roman" w:cs="Times New Roman"/>
          <w:sz w:val="24"/>
          <w:szCs w:val="24"/>
        </w:rPr>
        <w:t xml:space="preserve">that </w:t>
      </w:r>
      <w:r w:rsidRPr="00A369A6">
        <w:rPr>
          <w:rFonts w:ascii="Times New Roman" w:hAnsi="Times New Roman" w:cs="Times New Roman"/>
          <w:sz w:val="24"/>
          <w:szCs w:val="24"/>
        </w:rPr>
        <w:t xml:space="preserve">the government supports girls' education, with a high perception score of 4.43, indicating active </w:t>
      </w:r>
      <w:r w:rsidR="00257550">
        <w:rPr>
          <w:rFonts w:ascii="Times New Roman" w:hAnsi="Times New Roman" w:cs="Times New Roman"/>
          <w:sz w:val="24"/>
          <w:szCs w:val="24"/>
        </w:rPr>
        <w:t xml:space="preserve">government </w:t>
      </w:r>
      <w:r w:rsidRPr="00A369A6">
        <w:rPr>
          <w:rFonts w:ascii="Times New Roman" w:hAnsi="Times New Roman" w:cs="Times New Roman"/>
          <w:sz w:val="24"/>
          <w:szCs w:val="24"/>
        </w:rPr>
        <w:t>involvement through policies, scholarships, and resources. Similarly, the statement</w:t>
      </w:r>
      <w:r w:rsidR="00257550">
        <w:rPr>
          <w:rFonts w:ascii="Times New Roman" w:hAnsi="Times New Roman" w:cs="Times New Roman"/>
          <w:sz w:val="24"/>
          <w:szCs w:val="24"/>
        </w:rPr>
        <w:t>:</w:t>
      </w:r>
      <w:r w:rsidRPr="00A369A6">
        <w:rPr>
          <w:rFonts w:ascii="Times New Roman" w:hAnsi="Times New Roman" w:cs="Times New Roman"/>
          <w:sz w:val="24"/>
          <w:szCs w:val="24"/>
        </w:rPr>
        <w:t xml:space="preserve"> "The government provides adequate toilets for girls in my school" scored </w:t>
      </w:r>
      <w:r w:rsidR="00257550">
        <w:rPr>
          <w:rFonts w:ascii="Times New Roman" w:hAnsi="Times New Roman" w:cs="Times New Roman"/>
          <w:sz w:val="24"/>
          <w:szCs w:val="24"/>
        </w:rPr>
        <w:t xml:space="preserve">a mean </w:t>
      </w:r>
      <w:r w:rsidRPr="00A369A6">
        <w:rPr>
          <w:rFonts w:ascii="Times New Roman" w:hAnsi="Times New Roman" w:cs="Times New Roman"/>
          <w:sz w:val="24"/>
          <w:szCs w:val="24"/>
        </w:rPr>
        <w:t xml:space="preserve">4.28, reflecting the importance of sanitation in reducing absenteeism and dropout rates. These findings suggest that the government's efforts in promoting education and providing necessary facilities are seen as effective in supporting girls' educational success. </w:t>
      </w:r>
      <w:r w:rsidR="00257550">
        <w:rPr>
          <w:rFonts w:ascii="Times New Roman" w:hAnsi="Times New Roman" w:cs="Times New Roman"/>
          <w:sz w:val="24"/>
          <w:szCs w:val="24"/>
        </w:rPr>
        <w:t>Moreover, t</w:t>
      </w:r>
      <w:r w:rsidRPr="00A369A6">
        <w:rPr>
          <w:rFonts w:ascii="Times New Roman" w:hAnsi="Times New Roman" w:cs="Times New Roman"/>
          <w:sz w:val="24"/>
          <w:szCs w:val="24"/>
        </w:rPr>
        <w:t>he statement</w:t>
      </w:r>
      <w:r w:rsidR="00257550">
        <w:rPr>
          <w:rFonts w:ascii="Times New Roman" w:hAnsi="Times New Roman" w:cs="Times New Roman"/>
          <w:sz w:val="24"/>
          <w:szCs w:val="24"/>
        </w:rPr>
        <w:t>:</w:t>
      </w:r>
      <w:r w:rsidRPr="00A369A6">
        <w:rPr>
          <w:rFonts w:ascii="Times New Roman" w:hAnsi="Times New Roman" w:cs="Times New Roman"/>
          <w:sz w:val="24"/>
          <w:szCs w:val="24"/>
        </w:rPr>
        <w:t xml:space="preserve"> "Educating the girl-child is educating a potential mother and </w:t>
      </w:r>
      <w:r w:rsidRPr="00A369A6">
        <w:rPr>
          <w:rFonts w:ascii="Times New Roman" w:hAnsi="Times New Roman" w:cs="Times New Roman"/>
          <w:sz w:val="24"/>
          <w:szCs w:val="24"/>
        </w:rPr>
        <w:t xml:space="preserve">educating the mother is educating the nation" received a high perception </w:t>
      </w:r>
      <w:r w:rsidR="00257550">
        <w:rPr>
          <w:rFonts w:ascii="Times New Roman" w:hAnsi="Times New Roman" w:cs="Times New Roman"/>
          <w:sz w:val="24"/>
          <w:szCs w:val="24"/>
        </w:rPr>
        <w:t xml:space="preserve">mean </w:t>
      </w:r>
      <w:r w:rsidRPr="00A369A6">
        <w:rPr>
          <w:rFonts w:ascii="Times New Roman" w:hAnsi="Times New Roman" w:cs="Times New Roman"/>
          <w:sz w:val="24"/>
          <w:szCs w:val="24"/>
        </w:rPr>
        <w:t>score of 4.38, reflecting belief in the long-term societal benefits of girls' education. Additionally, the statement</w:t>
      </w:r>
      <w:r w:rsidR="00257550">
        <w:rPr>
          <w:rFonts w:ascii="Times New Roman" w:hAnsi="Times New Roman" w:cs="Times New Roman"/>
          <w:sz w:val="24"/>
          <w:szCs w:val="24"/>
        </w:rPr>
        <w:t xml:space="preserve"> that</w:t>
      </w:r>
      <w:r w:rsidRPr="00A369A6">
        <w:rPr>
          <w:rFonts w:ascii="Times New Roman" w:hAnsi="Times New Roman" w:cs="Times New Roman"/>
          <w:sz w:val="24"/>
          <w:szCs w:val="24"/>
        </w:rPr>
        <w:t xml:space="preserve"> "Government fulfills its responsibility related to girls' education" scored </w:t>
      </w:r>
      <w:r w:rsidR="00257550">
        <w:rPr>
          <w:rFonts w:ascii="Times New Roman" w:hAnsi="Times New Roman" w:cs="Times New Roman"/>
          <w:sz w:val="24"/>
          <w:szCs w:val="24"/>
        </w:rPr>
        <w:t xml:space="preserve">a mean of </w:t>
      </w:r>
      <w:r w:rsidRPr="00A369A6">
        <w:rPr>
          <w:rFonts w:ascii="Times New Roman" w:hAnsi="Times New Roman" w:cs="Times New Roman"/>
          <w:sz w:val="24"/>
          <w:szCs w:val="24"/>
        </w:rPr>
        <w:t>4.20, indicating respondents' confidence in the government's commitment to supporting girls' education. This fosters trust, promoting higher completion rates through various initiatives and policies. The statement linking limited women’s participation in development to lower girls' completion rates</w:t>
      </w:r>
      <w:r w:rsidR="00257550">
        <w:rPr>
          <w:rFonts w:ascii="Times New Roman" w:hAnsi="Times New Roman" w:cs="Times New Roman"/>
          <w:sz w:val="24"/>
          <w:szCs w:val="24"/>
        </w:rPr>
        <w:t>,</w:t>
      </w:r>
      <w:r w:rsidRPr="00A369A6">
        <w:rPr>
          <w:rFonts w:ascii="Times New Roman" w:hAnsi="Times New Roman" w:cs="Times New Roman"/>
          <w:sz w:val="24"/>
          <w:szCs w:val="24"/>
        </w:rPr>
        <w:t xml:space="preserve"> scored </w:t>
      </w:r>
      <w:r w:rsidR="00257550">
        <w:rPr>
          <w:rFonts w:ascii="Times New Roman" w:hAnsi="Times New Roman" w:cs="Times New Roman"/>
          <w:sz w:val="24"/>
          <w:szCs w:val="24"/>
        </w:rPr>
        <w:t xml:space="preserve">a mean of </w:t>
      </w:r>
      <w:r w:rsidRPr="00A369A6">
        <w:rPr>
          <w:rFonts w:ascii="Times New Roman" w:hAnsi="Times New Roman" w:cs="Times New Roman"/>
          <w:sz w:val="24"/>
          <w:szCs w:val="24"/>
        </w:rPr>
        <w:t>3.68</w:t>
      </w:r>
      <w:r w:rsidR="00257550">
        <w:rPr>
          <w:rFonts w:ascii="Times New Roman" w:hAnsi="Times New Roman" w:cs="Times New Roman"/>
          <w:sz w:val="24"/>
          <w:szCs w:val="24"/>
        </w:rPr>
        <w:t>. This</w:t>
      </w:r>
      <w:r w:rsidRPr="00A369A6">
        <w:rPr>
          <w:rFonts w:ascii="Times New Roman" w:hAnsi="Times New Roman" w:cs="Times New Roman"/>
          <w:sz w:val="24"/>
          <w:szCs w:val="24"/>
        </w:rPr>
        <w:t xml:space="preserve"> suggest that increased female involvement can inspire role models and improve girls' educational outcomes.</w:t>
      </w:r>
    </w:p>
    <w:p w14:paraId="2D0044DA" w14:textId="77777777" w:rsidR="00A369A6" w:rsidRPr="00A369A6" w:rsidRDefault="00A369A6" w:rsidP="00E83841">
      <w:pPr>
        <w:spacing w:line="360" w:lineRule="auto"/>
        <w:jc w:val="both"/>
        <w:rPr>
          <w:rFonts w:ascii="Times New Roman" w:hAnsi="Times New Roman" w:cs="Times New Roman"/>
          <w:sz w:val="24"/>
          <w:szCs w:val="24"/>
        </w:rPr>
      </w:pPr>
      <w:r w:rsidRPr="00A369A6">
        <w:rPr>
          <w:rFonts w:ascii="Times New Roman" w:hAnsi="Times New Roman" w:cs="Times New Roman"/>
          <w:sz w:val="24"/>
          <w:szCs w:val="24"/>
        </w:rPr>
        <w:t xml:space="preserve">The statement </w:t>
      </w:r>
      <w:r w:rsidR="00257550">
        <w:rPr>
          <w:rFonts w:ascii="Times New Roman" w:hAnsi="Times New Roman" w:cs="Times New Roman"/>
          <w:sz w:val="24"/>
          <w:szCs w:val="24"/>
        </w:rPr>
        <w:t xml:space="preserve">on </w:t>
      </w:r>
      <w:r w:rsidRPr="00A369A6">
        <w:rPr>
          <w:rFonts w:ascii="Times New Roman" w:hAnsi="Times New Roman" w:cs="Times New Roman"/>
          <w:sz w:val="24"/>
          <w:szCs w:val="24"/>
        </w:rPr>
        <w:t xml:space="preserve">"Political instability can highly affect girls' completion rate" scored </w:t>
      </w:r>
      <w:r w:rsidR="00257550">
        <w:rPr>
          <w:rFonts w:ascii="Times New Roman" w:hAnsi="Times New Roman" w:cs="Times New Roman"/>
          <w:sz w:val="24"/>
          <w:szCs w:val="24"/>
        </w:rPr>
        <w:t xml:space="preserve">a mean of </w:t>
      </w:r>
      <w:r w:rsidRPr="00A369A6">
        <w:rPr>
          <w:rFonts w:ascii="Times New Roman" w:hAnsi="Times New Roman" w:cs="Times New Roman"/>
          <w:sz w:val="24"/>
          <w:szCs w:val="24"/>
        </w:rPr>
        <w:t xml:space="preserve">3.93, indicating concern that instability disrupts education, impacting girls' schooling. Resources may be diverted, schools closed, and safety prioritized. The statement </w:t>
      </w:r>
      <w:r w:rsidR="006C5ED5">
        <w:rPr>
          <w:rFonts w:ascii="Times New Roman" w:hAnsi="Times New Roman" w:cs="Times New Roman"/>
          <w:sz w:val="24"/>
          <w:szCs w:val="24"/>
        </w:rPr>
        <w:t xml:space="preserve">on </w:t>
      </w:r>
      <w:r w:rsidRPr="00A369A6">
        <w:rPr>
          <w:rFonts w:ascii="Times New Roman" w:hAnsi="Times New Roman" w:cs="Times New Roman"/>
          <w:sz w:val="24"/>
          <w:szCs w:val="24"/>
        </w:rPr>
        <w:t xml:space="preserve">"The government provides adequate girls' rooms" scored </w:t>
      </w:r>
      <w:r w:rsidR="006C5ED5">
        <w:rPr>
          <w:rFonts w:ascii="Times New Roman" w:hAnsi="Times New Roman" w:cs="Times New Roman"/>
          <w:sz w:val="24"/>
          <w:szCs w:val="24"/>
        </w:rPr>
        <w:t xml:space="preserve">a mean of </w:t>
      </w:r>
      <w:r w:rsidRPr="00A369A6">
        <w:rPr>
          <w:rFonts w:ascii="Times New Roman" w:hAnsi="Times New Roman" w:cs="Times New Roman"/>
          <w:sz w:val="24"/>
          <w:szCs w:val="24"/>
        </w:rPr>
        <w:t xml:space="preserve">3.74, </w:t>
      </w:r>
      <w:r w:rsidRPr="00A369A6">
        <w:rPr>
          <w:rFonts w:ascii="Times New Roman" w:hAnsi="Times New Roman" w:cs="Times New Roman"/>
          <w:sz w:val="24"/>
          <w:szCs w:val="24"/>
        </w:rPr>
        <w:lastRenderedPageBreak/>
        <w:t xml:space="preserve">reflecting a positive yet insufficient perception, suggesting that more dedicated spaces, like study areas or common rooms, are needed to create supportive environments for girls' education. The statement </w:t>
      </w:r>
      <w:r w:rsidR="006C5ED5">
        <w:rPr>
          <w:rFonts w:ascii="Times New Roman" w:hAnsi="Times New Roman" w:cs="Times New Roman"/>
          <w:sz w:val="24"/>
          <w:szCs w:val="24"/>
        </w:rPr>
        <w:t xml:space="preserve">on </w:t>
      </w:r>
      <w:r w:rsidRPr="00A369A6">
        <w:rPr>
          <w:rFonts w:ascii="Times New Roman" w:hAnsi="Times New Roman" w:cs="Times New Roman"/>
          <w:sz w:val="24"/>
          <w:szCs w:val="24"/>
        </w:rPr>
        <w:t xml:space="preserve">"Educational facilities for greater female participation are adequately provided by the government" scored </w:t>
      </w:r>
      <w:r w:rsidR="006C5ED5">
        <w:rPr>
          <w:rFonts w:ascii="Times New Roman" w:hAnsi="Times New Roman" w:cs="Times New Roman"/>
          <w:sz w:val="24"/>
          <w:szCs w:val="24"/>
        </w:rPr>
        <w:t xml:space="preserve">a mean of </w:t>
      </w:r>
      <w:r w:rsidRPr="00A369A6">
        <w:rPr>
          <w:rFonts w:ascii="Times New Roman" w:hAnsi="Times New Roman" w:cs="Times New Roman"/>
          <w:sz w:val="24"/>
          <w:szCs w:val="24"/>
        </w:rPr>
        <w:t xml:space="preserve">3.83, suggesting that while respondents recognize government efforts, improvements are needed. These facilities, such as libraries and sports amenities, help maintain girls' educational interest. The statement </w:t>
      </w:r>
      <w:r w:rsidR="006C5ED5">
        <w:rPr>
          <w:rFonts w:ascii="Times New Roman" w:hAnsi="Times New Roman" w:cs="Times New Roman"/>
          <w:sz w:val="24"/>
          <w:szCs w:val="24"/>
        </w:rPr>
        <w:t xml:space="preserve">on </w:t>
      </w:r>
      <w:r w:rsidRPr="00A369A6">
        <w:rPr>
          <w:rFonts w:ascii="Times New Roman" w:hAnsi="Times New Roman" w:cs="Times New Roman"/>
          <w:sz w:val="24"/>
          <w:szCs w:val="24"/>
        </w:rPr>
        <w:t xml:space="preserve">"The government played paramount roles in addressing the menace" scored </w:t>
      </w:r>
      <w:r w:rsidR="006C5ED5">
        <w:rPr>
          <w:rFonts w:ascii="Times New Roman" w:hAnsi="Times New Roman" w:cs="Times New Roman"/>
          <w:sz w:val="24"/>
          <w:szCs w:val="24"/>
        </w:rPr>
        <w:t xml:space="preserve">a mean of </w:t>
      </w:r>
      <w:r w:rsidRPr="00A369A6">
        <w:rPr>
          <w:rFonts w:ascii="Times New Roman" w:hAnsi="Times New Roman" w:cs="Times New Roman"/>
          <w:sz w:val="24"/>
          <w:szCs w:val="24"/>
        </w:rPr>
        <w:t>3.74, indicating that respondents believe the government needs to do more to tackle obstacles like cultural, economic, and social barriers to girls' education.</w:t>
      </w:r>
    </w:p>
    <w:p w14:paraId="7E5E1B82" w14:textId="77777777" w:rsidR="00A369A6" w:rsidRPr="00A369A6" w:rsidRDefault="00A369A6" w:rsidP="00E83841">
      <w:pPr>
        <w:spacing w:line="360" w:lineRule="auto"/>
        <w:jc w:val="both"/>
        <w:rPr>
          <w:rFonts w:ascii="Times New Roman" w:hAnsi="Times New Roman" w:cs="Times New Roman"/>
          <w:sz w:val="24"/>
          <w:szCs w:val="24"/>
        </w:rPr>
      </w:pPr>
      <w:r w:rsidRPr="00A369A6">
        <w:rPr>
          <w:rFonts w:ascii="Times New Roman" w:hAnsi="Times New Roman" w:cs="Times New Roman"/>
          <w:sz w:val="24"/>
          <w:szCs w:val="24"/>
        </w:rPr>
        <w:t xml:space="preserve">Several statements received moderate perception scores, indicating areas needing improvement. The statement </w:t>
      </w:r>
      <w:r w:rsidR="006C5ED5">
        <w:rPr>
          <w:rFonts w:ascii="Times New Roman" w:hAnsi="Times New Roman" w:cs="Times New Roman"/>
          <w:sz w:val="24"/>
          <w:szCs w:val="24"/>
        </w:rPr>
        <w:t xml:space="preserve">that </w:t>
      </w:r>
      <w:r w:rsidRPr="00A369A6">
        <w:rPr>
          <w:rFonts w:ascii="Times New Roman" w:hAnsi="Times New Roman" w:cs="Times New Roman"/>
          <w:sz w:val="24"/>
          <w:szCs w:val="24"/>
        </w:rPr>
        <w:t xml:space="preserve">"The government fixes affordable school fees for secondary schools" scored </w:t>
      </w:r>
      <w:r w:rsidR="006C5ED5">
        <w:rPr>
          <w:rFonts w:ascii="Times New Roman" w:hAnsi="Times New Roman" w:cs="Times New Roman"/>
          <w:sz w:val="24"/>
          <w:szCs w:val="24"/>
        </w:rPr>
        <w:t xml:space="preserve">a mean of </w:t>
      </w:r>
      <w:r w:rsidRPr="00A369A6">
        <w:rPr>
          <w:rFonts w:ascii="Times New Roman" w:hAnsi="Times New Roman" w:cs="Times New Roman"/>
          <w:sz w:val="24"/>
          <w:szCs w:val="24"/>
        </w:rPr>
        <w:t>3.37, suggesting fees remain a</w:t>
      </w:r>
      <w:r w:rsidR="006C5ED5">
        <w:rPr>
          <w:rFonts w:ascii="Times New Roman" w:hAnsi="Times New Roman" w:cs="Times New Roman"/>
          <w:sz w:val="24"/>
          <w:szCs w:val="24"/>
        </w:rPr>
        <w:t>s a</w:t>
      </w:r>
      <w:r w:rsidRPr="00A369A6">
        <w:rPr>
          <w:rFonts w:ascii="Times New Roman" w:hAnsi="Times New Roman" w:cs="Times New Roman"/>
          <w:sz w:val="24"/>
          <w:szCs w:val="24"/>
        </w:rPr>
        <w:t xml:space="preserve"> barrier to</w:t>
      </w:r>
      <w:r w:rsidR="006C5ED5">
        <w:rPr>
          <w:rFonts w:ascii="Times New Roman" w:hAnsi="Times New Roman" w:cs="Times New Roman"/>
          <w:sz w:val="24"/>
          <w:szCs w:val="24"/>
        </w:rPr>
        <w:t>wards</w:t>
      </w:r>
      <w:r w:rsidRPr="00A369A6">
        <w:rPr>
          <w:rFonts w:ascii="Times New Roman" w:hAnsi="Times New Roman" w:cs="Times New Roman"/>
          <w:sz w:val="24"/>
          <w:szCs w:val="24"/>
        </w:rPr>
        <w:t xml:space="preserve"> </w:t>
      </w:r>
      <w:r w:rsidRPr="00A369A6">
        <w:rPr>
          <w:rFonts w:ascii="Times New Roman" w:hAnsi="Times New Roman" w:cs="Times New Roman"/>
          <w:sz w:val="24"/>
          <w:szCs w:val="24"/>
        </w:rPr>
        <w:t xml:space="preserve">girls' education. Additionally, </w:t>
      </w:r>
      <w:r w:rsidR="006C5ED5">
        <w:rPr>
          <w:rFonts w:ascii="Times New Roman" w:hAnsi="Times New Roman" w:cs="Times New Roman"/>
          <w:sz w:val="24"/>
          <w:szCs w:val="24"/>
        </w:rPr>
        <w:t xml:space="preserve">the statement on whether </w:t>
      </w:r>
      <w:r w:rsidRPr="00A369A6">
        <w:rPr>
          <w:rFonts w:ascii="Times New Roman" w:hAnsi="Times New Roman" w:cs="Times New Roman"/>
          <w:sz w:val="24"/>
          <w:szCs w:val="24"/>
        </w:rPr>
        <w:t>"The economic situation discourages parents from sponsoring their female children in school"</w:t>
      </w:r>
      <w:r w:rsidR="006C5ED5">
        <w:rPr>
          <w:rFonts w:ascii="Times New Roman" w:hAnsi="Times New Roman" w:cs="Times New Roman"/>
          <w:sz w:val="24"/>
          <w:szCs w:val="24"/>
        </w:rPr>
        <w:t>, the responses</w:t>
      </w:r>
      <w:r w:rsidRPr="00A369A6">
        <w:rPr>
          <w:rFonts w:ascii="Times New Roman" w:hAnsi="Times New Roman" w:cs="Times New Roman"/>
          <w:sz w:val="24"/>
          <w:szCs w:val="24"/>
        </w:rPr>
        <w:t xml:space="preserve"> scored </w:t>
      </w:r>
      <w:r w:rsidR="006C5ED5">
        <w:rPr>
          <w:rFonts w:ascii="Times New Roman" w:hAnsi="Times New Roman" w:cs="Times New Roman"/>
          <w:sz w:val="24"/>
          <w:szCs w:val="24"/>
        </w:rPr>
        <w:t xml:space="preserve">a mean of </w:t>
      </w:r>
      <w:r w:rsidRPr="00A369A6">
        <w:rPr>
          <w:rFonts w:ascii="Times New Roman" w:hAnsi="Times New Roman" w:cs="Times New Roman"/>
          <w:sz w:val="24"/>
          <w:szCs w:val="24"/>
        </w:rPr>
        <w:t>3.48, reflecting the economic hardships that hinder girls' education, often leading to early marriages or increased household labor for girls.</w:t>
      </w:r>
    </w:p>
    <w:p w14:paraId="7B5252E4" w14:textId="77777777" w:rsidR="00A369A6" w:rsidRPr="00A369A6" w:rsidRDefault="00A369A6" w:rsidP="00E83841">
      <w:pPr>
        <w:spacing w:line="360" w:lineRule="auto"/>
        <w:jc w:val="both"/>
        <w:rPr>
          <w:rFonts w:ascii="Times New Roman" w:hAnsi="Times New Roman" w:cs="Times New Roman"/>
          <w:sz w:val="24"/>
          <w:szCs w:val="24"/>
        </w:rPr>
      </w:pPr>
      <w:r w:rsidRPr="00A369A6">
        <w:rPr>
          <w:rFonts w:ascii="Times New Roman" w:hAnsi="Times New Roman" w:cs="Times New Roman"/>
          <w:sz w:val="24"/>
          <w:szCs w:val="24"/>
        </w:rPr>
        <w:t>The grand mean score of 3.97 reflects a generally positive view of government support for girls' education, though improvements are needed in infrastructure, economic barriers, and targeted facilities. While</w:t>
      </w:r>
      <w:r w:rsidR="006C5ED5">
        <w:rPr>
          <w:rFonts w:ascii="Times New Roman" w:hAnsi="Times New Roman" w:cs="Times New Roman"/>
          <w:sz w:val="24"/>
          <w:szCs w:val="24"/>
        </w:rPr>
        <w:t>,</w:t>
      </w:r>
      <w:r w:rsidRPr="00A369A6">
        <w:rPr>
          <w:rFonts w:ascii="Times New Roman" w:hAnsi="Times New Roman" w:cs="Times New Roman"/>
          <w:sz w:val="24"/>
          <w:szCs w:val="24"/>
        </w:rPr>
        <w:t xml:space="preserve"> there’s strong recognition of government efforts, the variability in responses highlights diverse community experiences. Addressing these gaps can enhance government policies, ensuring equal educational opportunities for girls, contributing to national development and gender equality.</w:t>
      </w:r>
    </w:p>
    <w:p w14:paraId="20430105" w14:textId="77777777" w:rsidR="00493CE7" w:rsidRDefault="00493CE7" w:rsidP="00E83841">
      <w:pPr>
        <w:spacing w:line="360" w:lineRule="auto"/>
        <w:jc w:val="both"/>
        <w:rPr>
          <w:rFonts w:ascii="Times New Roman" w:eastAsia="Times New Roman" w:hAnsi="Times New Roman" w:cs="Times New Roman"/>
          <w:color w:val="000000"/>
          <w:sz w:val="24"/>
          <w:szCs w:val="24"/>
        </w:rPr>
      </w:pPr>
      <w:r w:rsidRPr="00493CE7">
        <w:rPr>
          <w:rFonts w:ascii="Times New Roman" w:eastAsia="Times New Roman" w:hAnsi="Times New Roman" w:cs="Times New Roman"/>
          <w:color w:val="000000"/>
          <w:sz w:val="24"/>
          <w:szCs w:val="24"/>
        </w:rPr>
        <w:t>In the review of the documents in school heads’ office, the data shows comple</w:t>
      </w:r>
      <w:r w:rsidR="007E03FA">
        <w:rPr>
          <w:rFonts w:ascii="Times New Roman" w:eastAsia="Times New Roman" w:hAnsi="Times New Roman" w:cs="Times New Roman"/>
          <w:color w:val="000000"/>
          <w:sz w:val="24"/>
          <w:szCs w:val="24"/>
        </w:rPr>
        <w:t xml:space="preserve">tion rates of students, Table </w:t>
      </w:r>
      <w:r w:rsidR="00B026E0">
        <w:rPr>
          <w:rFonts w:ascii="Times New Roman" w:eastAsia="Times New Roman" w:hAnsi="Times New Roman" w:cs="Times New Roman"/>
          <w:color w:val="000000"/>
          <w:sz w:val="24"/>
          <w:szCs w:val="24"/>
        </w:rPr>
        <w:t>2</w:t>
      </w:r>
      <w:r w:rsidRPr="00493CE7">
        <w:rPr>
          <w:rFonts w:ascii="Times New Roman" w:eastAsia="Times New Roman" w:hAnsi="Times New Roman" w:cs="Times New Roman"/>
          <w:color w:val="000000"/>
          <w:sz w:val="24"/>
          <w:szCs w:val="24"/>
        </w:rPr>
        <w:t xml:space="preserve">. </w:t>
      </w:r>
    </w:p>
    <w:p w14:paraId="458AF0F6" w14:textId="77777777" w:rsidR="00492163" w:rsidRDefault="00492163" w:rsidP="00E83841">
      <w:pPr>
        <w:pStyle w:val="Caption"/>
        <w:spacing w:line="360" w:lineRule="auto"/>
        <w:rPr>
          <w:b w:val="0"/>
          <w:i/>
          <w:sz w:val="24"/>
          <w:szCs w:val="24"/>
        </w:rPr>
        <w:sectPr w:rsidR="00492163" w:rsidSect="00492163">
          <w:type w:val="continuous"/>
          <w:pgSz w:w="12240" w:h="15840"/>
          <w:pgMar w:top="1440" w:right="1440" w:bottom="1440" w:left="1440" w:header="720" w:footer="720" w:gutter="0"/>
          <w:cols w:num="2" w:space="720"/>
          <w:docGrid w:linePitch="360"/>
        </w:sectPr>
      </w:pPr>
      <w:bookmarkStart w:id="3" w:name="_Toc186357847"/>
    </w:p>
    <w:p w14:paraId="7E4AE687" w14:textId="77777777" w:rsidR="00493CE7" w:rsidRPr="00FC592D" w:rsidRDefault="00493CE7" w:rsidP="00E83841">
      <w:pPr>
        <w:pStyle w:val="Caption"/>
        <w:spacing w:line="360" w:lineRule="auto"/>
        <w:rPr>
          <w:bCs w:val="0"/>
          <w:sz w:val="24"/>
          <w:szCs w:val="24"/>
        </w:rPr>
      </w:pPr>
      <w:r w:rsidRPr="00B026E0">
        <w:rPr>
          <w:b w:val="0"/>
          <w:i/>
          <w:sz w:val="24"/>
          <w:szCs w:val="24"/>
        </w:rPr>
        <w:t>Tab</w:t>
      </w:r>
      <w:r w:rsidR="007E03FA">
        <w:rPr>
          <w:b w:val="0"/>
          <w:i/>
          <w:sz w:val="24"/>
          <w:szCs w:val="24"/>
        </w:rPr>
        <w:t xml:space="preserve">le </w:t>
      </w:r>
      <w:r w:rsidR="00B026E0" w:rsidRPr="00B026E0">
        <w:rPr>
          <w:b w:val="0"/>
          <w:i/>
          <w:sz w:val="24"/>
          <w:szCs w:val="24"/>
        </w:rPr>
        <w:t>2</w:t>
      </w:r>
      <w:r w:rsidRPr="00CF1F84">
        <w:rPr>
          <w:sz w:val="24"/>
          <w:szCs w:val="24"/>
        </w:rPr>
        <w:t xml:space="preserve"> </w:t>
      </w:r>
      <w:r w:rsidRPr="00CF1F84">
        <w:rPr>
          <w:bCs w:val="0"/>
          <w:sz w:val="24"/>
          <w:szCs w:val="24"/>
        </w:rPr>
        <w:t>Students’</w:t>
      </w:r>
      <w:r w:rsidRPr="00FC592D">
        <w:rPr>
          <w:bCs w:val="0"/>
          <w:sz w:val="24"/>
          <w:szCs w:val="24"/>
        </w:rPr>
        <w:t xml:space="preserve"> Completion Rates in Schools</w:t>
      </w:r>
      <w:bookmarkEnd w:id="3"/>
    </w:p>
    <w:tbl>
      <w:tblPr>
        <w:tblW w:w="9498"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1265"/>
        <w:gridCol w:w="1996"/>
        <w:gridCol w:w="1275"/>
        <w:gridCol w:w="1134"/>
        <w:gridCol w:w="851"/>
        <w:gridCol w:w="1134"/>
        <w:gridCol w:w="850"/>
        <w:gridCol w:w="993"/>
      </w:tblGrid>
      <w:tr w:rsidR="00493CE7" w:rsidRPr="006C5ED5" w14:paraId="5D38E31D" w14:textId="77777777" w:rsidTr="00CC1EA3">
        <w:trPr>
          <w:cantSplit/>
        </w:trPr>
        <w:tc>
          <w:tcPr>
            <w:tcW w:w="3261" w:type="dxa"/>
            <w:gridSpan w:val="2"/>
            <w:tcBorders>
              <w:top w:val="single" w:sz="4" w:space="0" w:color="auto"/>
              <w:bottom w:val="single" w:sz="4" w:space="0" w:color="auto"/>
            </w:tcBorders>
            <w:shd w:val="clear" w:color="auto" w:fill="FFFFFF"/>
          </w:tcPr>
          <w:p w14:paraId="1A7ACF18" w14:textId="77777777" w:rsidR="00493CE7" w:rsidRPr="006C5ED5" w:rsidRDefault="00493CE7" w:rsidP="00E83841">
            <w:pPr>
              <w:autoSpaceDE w:val="0"/>
              <w:autoSpaceDN w:val="0"/>
              <w:adjustRightInd w:val="0"/>
              <w:spacing w:after="0" w:line="360" w:lineRule="auto"/>
              <w:ind w:left="60" w:right="60"/>
              <w:jc w:val="both"/>
              <w:rPr>
                <w:rFonts w:ascii="Times New Roman" w:eastAsia="Calibri" w:hAnsi="Times New Roman" w:cs="Times New Roman"/>
                <w:b/>
                <w:color w:val="000000"/>
              </w:rPr>
            </w:pPr>
            <w:r w:rsidRPr="006C5ED5">
              <w:rPr>
                <w:rFonts w:ascii="Times New Roman" w:eastAsia="Calibri" w:hAnsi="Times New Roman" w:cs="Times New Roman"/>
                <w:b/>
                <w:color w:val="000000"/>
              </w:rPr>
              <w:t>Students’ sections</w:t>
            </w:r>
          </w:p>
        </w:tc>
        <w:tc>
          <w:tcPr>
            <w:tcW w:w="2409" w:type="dxa"/>
            <w:gridSpan w:val="2"/>
            <w:tcBorders>
              <w:top w:val="single" w:sz="4" w:space="0" w:color="auto"/>
              <w:bottom w:val="single" w:sz="4" w:space="0" w:color="auto"/>
            </w:tcBorders>
            <w:shd w:val="clear" w:color="auto" w:fill="FFFFFF"/>
          </w:tcPr>
          <w:p w14:paraId="74677D8B" w14:textId="77777777" w:rsidR="00493CE7" w:rsidRPr="006C5ED5" w:rsidRDefault="00493CE7" w:rsidP="00E83841">
            <w:pPr>
              <w:autoSpaceDE w:val="0"/>
              <w:autoSpaceDN w:val="0"/>
              <w:adjustRightInd w:val="0"/>
              <w:spacing w:after="0" w:line="360" w:lineRule="auto"/>
              <w:ind w:left="60" w:right="60"/>
              <w:jc w:val="center"/>
              <w:rPr>
                <w:rFonts w:ascii="Times New Roman" w:eastAsia="Calibri" w:hAnsi="Times New Roman" w:cs="Times New Roman"/>
                <w:b/>
                <w:color w:val="000000"/>
              </w:rPr>
            </w:pPr>
            <w:r w:rsidRPr="006C5ED5">
              <w:rPr>
                <w:rFonts w:ascii="Times New Roman" w:eastAsia="Calibri" w:hAnsi="Times New Roman" w:cs="Times New Roman"/>
                <w:b/>
                <w:color w:val="000000"/>
              </w:rPr>
              <w:t>2020/2021</w:t>
            </w:r>
          </w:p>
        </w:tc>
        <w:tc>
          <w:tcPr>
            <w:tcW w:w="1985" w:type="dxa"/>
            <w:gridSpan w:val="2"/>
            <w:tcBorders>
              <w:top w:val="single" w:sz="4" w:space="0" w:color="auto"/>
              <w:bottom w:val="single" w:sz="4" w:space="0" w:color="auto"/>
            </w:tcBorders>
            <w:shd w:val="clear" w:color="auto" w:fill="FFFFFF"/>
          </w:tcPr>
          <w:p w14:paraId="414835AE" w14:textId="77777777" w:rsidR="00493CE7" w:rsidRPr="006C5ED5" w:rsidRDefault="00493CE7" w:rsidP="00E83841">
            <w:pPr>
              <w:autoSpaceDE w:val="0"/>
              <w:autoSpaceDN w:val="0"/>
              <w:adjustRightInd w:val="0"/>
              <w:spacing w:after="0" w:line="360" w:lineRule="auto"/>
              <w:ind w:left="60" w:right="60"/>
              <w:jc w:val="center"/>
              <w:rPr>
                <w:rFonts w:ascii="Times New Roman" w:eastAsia="Calibri" w:hAnsi="Times New Roman" w:cs="Times New Roman"/>
                <w:b/>
                <w:color w:val="000000"/>
              </w:rPr>
            </w:pPr>
            <w:r w:rsidRPr="006C5ED5">
              <w:rPr>
                <w:rFonts w:ascii="Times New Roman" w:eastAsia="Calibri" w:hAnsi="Times New Roman" w:cs="Times New Roman"/>
                <w:b/>
                <w:color w:val="000000"/>
              </w:rPr>
              <w:t>2021/2022</w:t>
            </w:r>
          </w:p>
        </w:tc>
        <w:tc>
          <w:tcPr>
            <w:tcW w:w="1843" w:type="dxa"/>
            <w:gridSpan w:val="2"/>
            <w:tcBorders>
              <w:top w:val="single" w:sz="4" w:space="0" w:color="auto"/>
              <w:bottom w:val="single" w:sz="4" w:space="0" w:color="auto"/>
            </w:tcBorders>
            <w:shd w:val="clear" w:color="auto" w:fill="FFFFFF"/>
          </w:tcPr>
          <w:p w14:paraId="0A403B8A" w14:textId="77777777" w:rsidR="00493CE7" w:rsidRPr="006C5ED5" w:rsidRDefault="00493CE7" w:rsidP="00E83841">
            <w:pPr>
              <w:autoSpaceDE w:val="0"/>
              <w:autoSpaceDN w:val="0"/>
              <w:adjustRightInd w:val="0"/>
              <w:spacing w:after="0" w:line="360" w:lineRule="auto"/>
              <w:ind w:left="60" w:right="60"/>
              <w:jc w:val="center"/>
              <w:rPr>
                <w:rFonts w:ascii="Times New Roman" w:eastAsia="Calibri" w:hAnsi="Times New Roman" w:cs="Times New Roman"/>
                <w:b/>
                <w:color w:val="000000"/>
              </w:rPr>
            </w:pPr>
            <w:r w:rsidRPr="006C5ED5">
              <w:rPr>
                <w:rFonts w:ascii="Times New Roman" w:eastAsia="Calibri" w:hAnsi="Times New Roman" w:cs="Times New Roman"/>
                <w:b/>
                <w:color w:val="000000"/>
              </w:rPr>
              <w:t>2022/2023</w:t>
            </w:r>
          </w:p>
        </w:tc>
      </w:tr>
      <w:tr w:rsidR="00493CE7" w:rsidRPr="006C5ED5" w14:paraId="61F54D72" w14:textId="77777777" w:rsidTr="00CC1EA3">
        <w:trPr>
          <w:cantSplit/>
        </w:trPr>
        <w:tc>
          <w:tcPr>
            <w:tcW w:w="1265" w:type="dxa"/>
            <w:vMerge w:val="restart"/>
            <w:tcBorders>
              <w:top w:val="single" w:sz="4" w:space="0" w:color="auto"/>
              <w:bottom w:val="nil"/>
            </w:tcBorders>
            <w:shd w:val="clear" w:color="auto" w:fill="FFFFFF"/>
            <w:vAlign w:val="center"/>
          </w:tcPr>
          <w:p w14:paraId="6A6DC266" w14:textId="77777777" w:rsidR="00493CE7" w:rsidRPr="006C5ED5" w:rsidRDefault="00493CE7" w:rsidP="00E83841">
            <w:pPr>
              <w:autoSpaceDE w:val="0"/>
              <w:autoSpaceDN w:val="0"/>
              <w:adjustRightInd w:val="0"/>
              <w:spacing w:after="0" w:line="360" w:lineRule="auto"/>
              <w:ind w:left="60" w:right="60"/>
              <w:jc w:val="both"/>
              <w:rPr>
                <w:rFonts w:ascii="Times New Roman" w:eastAsia="Calibri" w:hAnsi="Times New Roman" w:cs="Times New Roman"/>
                <w:b/>
                <w:color w:val="000000"/>
              </w:rPr>
            </w:pPr>
            <w:r w:rsidRPr="006C5ED5">
              <w:rPr>
                <w:rFonts w:ascii="Times New Roman" w:eastAsia="Calibri" w:hAnsi="Times New Roman" w:cs="Times New Roman"/>
                <w:b/>
                <w:color w:val="000000"/>
              </w:rPr>
              <w:t>Senior 3</w:t>
            </w:r>
          </w:p>
        </w:tc>
        <w:tc>
          <w:tcPr>
            <w:tcW w:w="1996" w:type="dxa"/>
            <w:tcBorders>
              <w:top w:val="single" w:sz="4" w:space="0" w:color="auto"/>
              <w:bottom w:val="nil"/>
            </w:tcBorders>
            <w:shd w:val="clear" w:color="auto" w:fill="FFFFFF"/>
            <w:vAlign w:val="center"/>
          </w:tcPr>
          <w:p w14:paraId="0FC7AE5B" w14:textId="77777777" w:rsidR="00493CE7" w:rsidRPr="006C5ED5" w:rsidRDefault="00493CE7" w:rsidP="00E83841">
            <w:pPr>
              <w:autoSpaceDE w:val="0"/>
              <w:autoSpaceDN w:val="0"/>
              <w:adjustRightInd w:val="0"/>
              <w:spacing w:after="0" w:line="360" w:lineRule="auto"/>
              <w:ind w:left="60" w:right="60"/>
              <w:jc w:val="both"/>
              <w:rPr>
                <w:rFonts w:ascii="Times New Roman" w:eastAsia="Calibri" w:hAnsi="Times New Roman" w:cs="Times New Roman"/>
                <w:b/>
                <w:color w:val="000000"/>
              </w:rPr>
            </w:pPr>
            <w:r w:rsidRPr="006C5ED5">
              <w:rPr>
                <w:rFonts w:ascii="Times New Roman" w:eastAsia="Calibri" w:hAnsi="Times New Roman" w:cs="Times New Roman"/>
                <w:b/>
                <w:color w:val="000000"/>
              </w:rPr>
              <w:t>Observations</w:t>
            </w:r>
          </w:p>
        </w:tc>
        <w:tc>
          <w:tcPr>
            <w:tcW w:w="2409" w:type="dxa"/>
            <w:gridSpan w:val="2"/>
            <w:tcBorders>
              <w:top w:val="single" w:sz="4" w:space="0" w:color="auto"/>
              <w:bottom w:val="nil"/>
            </w:tcBorders>
            <w:shd w:val="clear" w:color="auto" w:fill="FFFFFF"/>
          </w:tcPr>
          <w:p w14:paraId="7A7890BA" w14:textId="77777777" w:rsidR="00493CE7" w:rsidRPr="006C5ED5" w:rsidRDefault="00493CE7" w:rsidP="00E83841">
            <w:pPr>
              <w:autoSpaceDE w:val="0"/>
              <w:autoSpaceDN w:val="0"/>
              <w:adjustRightInd w:val="0"/>
              <w:spacing w:after="0" w:line="360" w:lineRule="auto"/>
              <w:ind w:left="60" w:right="60"/>
              <w:jc w:val="center"/>
              <w:rPr>
                <w:rFonts w:ascii="Times New Roman" w:eastAsia="Calibri" w:hAnsi="Times New Roman" w:cs="Times New Roman"/>
                <w:color w:val="000000"/>
              </w:rPr>
            </w:pPr>
            <w:r w:rsidRPr="006C5ED5">
              <w:rPr>
                <w:rFonts w:ascii="Times New Roman" w:eastAsia="Calibri" w:hAnsi="Times New Roman" w:cs="Times New Roman"/>
                <w:color w:val="000000"/>
              </w:rPr>
              <w:t xml:space="preserve">             45</w:t>
            </w:r>
          </w:p>
        </w:tc>
        <w:tc>
          <w:tcPr>
            <w:tcW w:w="1985" w:type="dxa"/>
            <w:gridSpan w:val="2"/>
            <w:tcBorders>
              <w:top w:val="single" w:sz="4" w:space="0" w:color="auto"/>
              <w:bottom w:val="nil"/>
            </w:tcBorders>
            <w:shd w:val="clear" w:color="auto" w:fill="FFFFFF"/>
          </w:tcPr>
          <w:p w14:paraId="7E552E32" w14:textId="77777777" w:rsidR="00493CE7" w:rsidRPr="006C5ED5" w:rsidRDefault="00493CE7" w:rsidP="00E83841">
            <w:pPr>
              <w:autoSpaceDE w:val="0"/>
              <w:autoSpaceDN w:val="0"/>
              <w:adjustRightInd w:val="0"/>
              <w:spacing w:after="0" w:line="360" w:lineRule="auto"/>
              <w:ind w:left="60" w:right="60"/>
              <w:jc w:val="center"/>
              <w:rPr>
                <w:rFonts w:ascii="Times New Roman" w:eastAsia="Calibri" w:hAnsi="Times New Roman" w:cs="Times New Roman"/>
                <w:color w:val="000000"/>
              </w:rPr>
            </w:pPr>
            <w:r w:rsidRPr="006C5ED5">
              <w:rPr>
                <w:rFonts w:ascii="Times New Roman" w:eastAsia="Calibri" w:hAnsi="Times New Roman" w:cs="Times New Roman"/>
                <w:color w:val="000000"/>
              </w:rPr>
              <w:t xml:space="preserve">     45</w:t>
            </w:r>
          </w:p>
        </w:tc>
        <w:tc>
          <w:tcPr>
            <w:tcW w:w="1843" w:type="dxa"/>
            <w:gridSpan w:val="2"/>
            <w:tcBorders>
              <w:top w:val="single" w:sz="4" w:space="0" w:color="auto"/>
              <w:bottom w:val="nil"/>
            </w:tcBorders>
            <w:shd w:val="clear" w:color="auto" w:fill="FFFFFF"/>
          </w:tcPr>
          <w:p w14:paraId="24DA3378" w14:textId="77777777" w:rsidR="00493CE7" w:rsidRPr="006C5ED5" w:rsidRDefault="00493CE7" w:rsidP="00E83841">
            <w:pPr>
              <w:autoSpaceDE w:val="0"/>
              <w:autoSpaceDN w:val="0"/>
              <w:adjustRightInd w:val="0"/>
              <w:spacing w:after="0" w:line="360" w:lineRule="auto"/>
              <w:ind w:left="60" w:right="60"/>
              <w:jc w:val="center"/>
              <w:rPr>
                <w:rFonts w:ascii="Times New Roman" w:eastAsia="Calibri" w:hAnsi="Times New Roman" w:cs="Times New Roman"/>
                <w:color w:val="000000"/>
              </w:rPr>
            </w:pPr>
            <w:r w:rsidRPr="006C5ED5">
              <w:rPr>
                <w:rFonts w:ascii="Times New Roman" w:eastAsia="Calibri" w:hAnsi="Times New Roman" w:cs="Times New Roman"/>
                <w:color w:val="000000"/>
              </w:rPr>
              <w:t xml:space="preserve">      45</w:t>
            </w:r>
          </w:p>
        </w:tc>
      </w:tr>
      <w:tr w:rsidR="00493CE7" w:rsidRPr="006C5ED5" w14:paraId="311B9FDE" w14:textId="77777777" w:rsidTr="00CC1EA3">
        <w:trPr>
          <w:cantSplit/>
        </w:trPr>
        <w:tc>
          <w:tcPr>
            <w:tcW w:w="1265" w:type="dxa"/>
            <w:vMerge/>
            <w:tcBorders>
              <w:top w:val="nil"/>
              <w:bottom w:val="nil"/>
            </w:tcBorders>
            <w:shd w:val="clear" w:color="auto" w:fill="FFFFFF"/>
            <w:vAlign w:val="center"/>
          </w:tcPr>
          <w:p w14:paraId="1AA8F9DD" w14:textId="77777777" w:rsidR="00493CE7" w:rsidRPr="006C5ED5" w:rsidRDefault="00493CE7" w:rsidP="00E83841">
            <w:pPr>
              <w:autoSpaceDE w:val="0"/>
              <w:autoSpaceDN w:val="0"/>
              <w:adjustRightInd w:val="0"/>
              <w:spacing w:after="0" w:line="360" w:lineRule="auto"/>
              <w:ind w:left="60" w:right="60"/>
              <w:jc w:val="both"/>
              <w:rPr>
                <w:rFonts w:ascii="Times New Roman" w:eastAsia="Calibri" w:hAnsi="Times New Roman" w:cs="Times New Roman"/>
                <w:b/>
                <w:color w:val="000000"/>
              </w:rPr>
            </w:pPr>
          </w:p>
        </w:tc>
        <w:tc>
          <w:tcPr>
            <w:tcW w:w="1996" w:type="dxa"/>
            <w:tcBorders>
              <w:top w:val="nil"/>
              <w:bottom w:val="nil"/>
            </w:tcBorders>
            <w:shd w:val="clear" w:color="auto" w:fill="FFFFFF"/>
            <w:vAlign w:val="center"/>
          </w:tcPr>
          <w:p w14:paraId="5F8658E4" w14:textId="77777777" w:rsidR="00493CE7" w:rsidRPr="006C5ED5" w:rsidRDefault="00493CE7" w:rsidP="00E83841">
            <w:pPr>
              <w:autoSpaceDE w:val="0"/>
              <w:autoSpaceDN w:val="0"/>
              <w:adjustRightInd w:val="0"/>
              <w:spacing w:after="0" w:line="360" w:lineRule="auto"/>
              <w:ind w:left="60" w:right="60"/>
              <w:jc w:val="both"/>
              <w:rPr>
                <w:rFonts w:ascii="Times New Roman" w:eastAsia="Calibri" w:hAnsi="Times New Roman" w:cs="Times New Roman"/>
                <w:b/>
                <w:color w:val="000000"/>
              </w:rPr>
            </w:pPr>
            <w:r w:rsidRPr="006C5ED5">
              <w:rPr>
                <w:rFonts w:ascii="Times New Roman" w:eastAsia="Calibri" w:hAnsi="Times New Roman" w:cs="Times New Roman"/>
                <w:b/>
                <w:color w:val="000000"/>
              </w:rPr>
              <w:t>Gender</w:t>
            </w:r>
          </w:p>
        </w:tc>
        <w:tc>
          <w:tcPr>
            <w:tcW w:w="1275" w:type="dxa"/>
            <w:tcBorders>
              <w:top w:val="nil"/>
              <w:bottom w:val="nil"/>
            </w:tcBorders>
            <w:shd w:val="clear" w:color="auto" w:fill="FFFFFF"/>
          </w:tcPr>
          <w:p w14:paraId="400D1937" w14:textId="77777777" w:rsidR="00493CE7" w:rsidRPr="006C5ED5" w:rsidRDefault="00493CE7" w:rsidP="00E83841">
            <w:pPr>
              <w:autoSpaceDE w:val="0"/>
              <w:autoSpaceDN w:val="0"/>
              <w:adjustRightInd w:val="0"/>
              <w:spacing w:after="0" w:line="360" w:lineRule="auto"/>
              <w:ind w:left="60" w:right="60"/>
              <w:jc w:val="center"/>
              <w:rPr>
                <w:rFonts w:ascii="Times New Roman" w:eastAsia="Calibri" w:hAnsi="Times New Roman" w:cs="Times New Roman"/>
                <w:color w:val="000000"/>
              </w:rPr>
            </w:pPr>
            <w:r w:rsidRPr="006C5ED5">
              <w:rPr>
                <w:rFonts w:ascii="Times New Roman" w:eastAsia="Calibri" w:hAnsi="Times New Roman" w:cs="Times New Roman"/>
                <w:color w:val="000000"/>
              </w:rPr>
              <w:t xml:space="preserve">        M</w:t>
            </w:r>
          </w:p>
        </w:tc>
        <w:tc>
          <w:tcPr>
            <w:tcW w:w="1134" w:type="dxa"/>
            <w:tcBorders>
              <w:top w:val="nil"/>
              <w:bottom w:val="nil"/>
            </w:tcBorders>
            <w:shd w:val="clear" w:color="auto" w:fill="FFFFFF"/>
          </w:tcPr>
          <w:p w14:paraId="518D2C85" w14:textId="77777777" w:rsidR="00493CE7" w:rsidRPr="006C5ED5" w:rsidRDefault="00493CE7" w:rsidP="00E83841">
            <w:pPr>
              <w:autoSpaceDE w:val="0"/>
              <w:autoSpaceDN w:val="0"/>
              <w:adjustRightInd w:val="0"/>
              <w:spacing w:after="0" w:line="360" w:lineRule="auto"/>
              <w:ind w:left="60" w:right="60"/>
              <w:jc w:val="center"/>
              <w:rPr>
                <w:rFonts w:ascii="Times New Roman" w:eastAsia="Calibri" w:hAnsi="Times New Roman" w:cs="Times New Roman"/>
                <w:color w:val="000000"/>
              </w:rPr>
            </w:pPr>
            <w:r w:rsidRPr="006C5ED5">
              <w:rPr>
                <w:rFonts w:ascii="Times New Roman" w:eastAsia="Calibri" w:hAnsi="Times New Roman" w:cs="Times New Roman"/>
                <w:color w:val="000000"/>
              </w:rPr>
              <w:t xml:space="preserve">     F</w:t>
            </w:r>
          </w:p>
        </w:tc>
        <w:tc>
          <w:tcPr>
            <w:tcW w:w="851" w:type="dxa"/>
            <w:tcBorders>
              <w:top w:val="nil"/>
              <w:bottom w:val="nil"/>
            </w:tcBorders>
            <w:shd w:val="clear" w:color="auto" w:fill="FFFFFF"/>
          </w:tcPr>
          <w:p w14:paraId="2FF1C67B" w14:textId="77777777" w:rsidR="00493CE7" w:rsidRPr="006C5ED5" w:rsidRDefault="00493CE7" w:rsidP="00E83841">
            <w:pPr>
              <w:autoSpaceDE w:val="0"/>
              <w:autoSpaceDN w:val="0"/>
              <w:adjustRightInd w:val="0"/>
              <w:spacing w:after="0" w:line="360" w:lineRule="auto"/>
              <w:ind w:left="60" w:right="60"/>
              <w:jc w:val="center"/>
              <w:rPr>
                <w:rFonts w:ascii="Times New Roman" w:eastAsia="Calibri" w:hAnsi="Times New Roman" w:cs="Times New Roman"/>
                <w:color w:val="000000"/>
              </w:rPr>
            </w:pPr>
            <w:r w:rsidRPr="006C5ED5">
              <w:rPr>
                <w:rFonts w:ascii="Times New Roman" w:eastAsia="Calibri" w:hAnsi="Times New Roman" w:cs="Times New Roman"/>
                <w:color w:val="000000"/>
              </w:rPr>
              <w:t xml:space="preserve">  M</w:t>
            </w:r>
          </w:p>
        </w:tc>
        <w:tc>
          <w:tcPr>
            <w:tcW w:w="1134" w:type="dxa"/>
            <w:tcBorders>
              <w:top w:val="nil"/>
              <w:bottom w:val="nil"/>
            </w:tcBorders>
            <w:shd w:val="clear" w:color="auto" w:fill="FFFFFF"/>
          </w:tcPr>
          <w:p w14:paraId="69582031" w14:textId="77777777" w:rsidR="00493CE7" w:rsidRPr="006C5ED5" w:rsidRDefault="00493CE7" w:rsidP="00E83841">
            <w:pPr>
              <w:autoSpaceDE w:val="0"/>
              <w:autoSpaceDN w:val="0"/>
              <w:adjustRightInd w:val="0"/>
              <w:spacing w:after="0" w:line="360" w:lineRule="auto"/>
              <w:ind w:left="60" w:right="60"/>
              <w:jc w:val="center"/>
              <w:rPr>
                <w:rFonts w:ascii="Times New Roman" w:eastAsia="Calibri" w:hAnsi="Times New Roman" w:cs="Times New Roman"/>
                <w:color w:val="000000"/>
              </w:rPr>
            </w:pPr>
            <w:r w:rsidRPr="006C5ED5">
              <w:rPr>
                <w:rFonts w:ascii="Times New Roman" w:eastAsia="Calibri" w:hAnsi="Times New Roman" w:cs="Times New Roman"/>
                <w:color w:val="000000"/>
              </w:rPr>
              <w:t xml:space="preserve">    F</w:t>
            </w:r>
          </w:p>
        </w:tc>
        <w:tc>
          <w:tcPr>
            <w:tcW w:w="850" w:type="dxa"/>
            <w:tcBorders>
              <w:top w:val="nil"/>
              <w:bottom w:val="nil"/>
            </w:tcBorders>
            <w:shd w:val="clear" w:color="auto" w:fill="FFFFFF"/>
          </w:tcPr>
          <w:p w14:paraId="74D7EAE3" w14:textId="77777777" w:rsidR="00493CE7" w:rsidRPr="006C5ED5" w:rsidRDefault="00493CE7" w:rsidP="00E83841">
            <w:pPr>
              <w:autoSpaceDE w:val="0"/>
              <w:autoSpaceDN w:val="0"/>
              <w:adjustRightInd w:val="0"/>
              <w:spacing w:after="0" w:line="360" w:lineRule="auto"/>
              <w:ind w:left="60" w:right="60"/>
              <w:jc w:val="center"/>
              <w:rPr>
                <w:rFonts w:ascii="Times New Roman" w:eastAsia="Calibri" w:hAnsi="Times New Roman" w:cs="Times New Roman"/>
                <w:color w:val="000000"/>
              </w:rPr>
            </w:pPr>
            <w:r w:rsidRPr="006C5ED5">
              <w:rPr>
                <w:rFonts w:ascii="Times New Roman" w:eastAsia="Calibri" w:hAnsi="Times New Roman" w:cs="Times New Roman"/>
                <w:color w:val="000000"/>
              </w:rPr>
              <w:t xml:space="preserve">  M</w:t>
            </w:r>
          </w:p>
        </w:tc>
        <w:tc>
          <w:tcPr>
            <w:tcW w:w="993" w:type="dxa"/>
            <w:tcBorders>
              <w:top w:val="nil"/>
              <w:bottom w:val="nil"/>
            </w:tcBorders>
            <w:shd w:val="clear" w:color="auto" w:fill="FFFFFF"/>
          </w:tcPr>
          <w:p w14:paraId="1A5B06AB" w14:textId="77777777" w:rsidR="00493CE7" w:rsidRPr="006C5ED5" w:rsidRDefault="00493CE7" w:rsidP="00E83841">
            <w:pPr>
              <w:autoSpaceDE w:val="0"/>
              <w:autoSpaceDN w:val="0"/>
              <w:adjustRightInd w:val="0"/>
              <w:spacing w:after="0" w:line="360" w:lineRule="auto"/>
              <w:ind w:left="60" w:right="60"/>
              <w:jc w:val="center"/>
              <w:rPr>
                <w:rFonts w:ascii="Times New Roman" w:eastAsia="Calibri" w:hAnsi="Times New Roman" w:cs="Times New Roman"/>
                <w:color w:val="000000"/>
              </w:rPr>
            </w:pPr>
            <w:r w:rsidRPr="006C5ED5">
              <w:rPr>
                <w:rFonts w:ascii="Times New Roman" w:eastAsia="Calibri" w:hAnsi="Times New Roman" w:cs="Times New Roman"/>
                <w:color w:val="000000"/>
              </w:rPr>
              <w:t xml:space="preserve">    F</w:t>
            </w:r>
          </w:p>
        </w:tc>
      </w:tr>
      <w:tr w:rsidR="00493CE7" w:rsidRPr="006C5ED5" w14:paraId="7051FBD1" w14:textId="77777777" w:rsidTr="00CC1EA3">
        <w:trPr>
          <w:cantSplit/>
        </w:trPr>
        <w:tc>
          <w:tcPr>
            <w:tcW w:w="1265" w:type="dxa"/>
            <w:vMerge/>
            <w:tcBorders>
              <w:top w:val="nil"/>
              <w:bottom w:val="nil"/>
            </w:tcBorders>
            <w:shd w:val="clear" w:color="auto" w:fill="FFFFFF"/>
            <w:vAlign w:val="center"/>
          </w:tcPr>
          <w:p w14:paraId="0BD0E802" w14:textId="77777777" w:rsidR="00493CE7" w:rsidRPr="006C5ED5" w:rsidRDefault="00493CE7" w:rsidP="00E83841">
            <w:pPr>
              <w:autoSpaceDE w:val="0"/>
              <w:autoSpaceDN w:val="0"/>
              <w:adjustRightInd w:val="0"/>
              <w:spacing w:after="0" w:line="360" w:lineRule="auto"/>
              <w:jc w:val="both"/>
              <w:rPr>
                <w:rFonts w:ascii="Times New Roman" w:eastAsia="Calibri" w:hAnsi="Times New Roman" w:cs="Times New Roman"/>
                <w:b/>
                <w:color w:val="000000"/>
              </w:rPr>
            </w:pPr>
          </w:p>
        </w:tc>
        <w:tc>
          <w:tcPr>
            <w:tcW w:w="1996" w:type="dxa"/>
            <w:tcBorders>
              <w:top w:val="nil"/>
              <w:bottom w:val="nil"/>
            </w:tcBorders>
            <w:shd w:val="clear" w:color="auto" w:fill="FFFFFF"/>
            <w:vAlign w:val="center"/>
          </w:tcPr>
          <w:p w14:paraId="68615ED4" w14:textId="77777777" w:rsidR="00493CE7" w:rsidRPr="006C5ED5" w:rsidRDefault="00493CE7" w:rsidP="00E83841">
            <w:pPr>
              <w:autoSpaceDE w:val="0"/>
              <w:autoSpaceDN w:val="0"/>
              <w:adjustRightInd w:val="0"/>
              <w:spacing w:after="0" w:line="360" w:lineRule="auto"/>
              <w:ind w:left="60" w:right="60"/>
              <w:jc w:val="both"/>
              <w:rPr>
                <w:rFonts w:ascii="Times New Roman" w:eastAsia="Calibri" w:hAnsi="Times New Roman" w:cs="Times New Roman"/>
                <w:b/>
                <w:color w:val="000000"/>
              </w:rPr>
            </w:pPr>
            <w:r w:rsidRPr="006C5ED5">
              <w:rPr>
                <w:rFonts w:ascii="Times New Roman" w:eastAsia="Calibri" w:hAnsi="Times New Roman" w:cs="Times New Roman"/>
                <w:b/>
                <w:color w:val="000000"/>
              </w:rPr>
              <w:t>Mean</w:t>
            </w:r>
          </w:p>
        </w:tc>
        <w:tc>
          <w:tcPr>
            <w:tcW w:w="1275" w:type="dxa"/>
            <w:tcBorders>
              <w:top w:val="nil"/>
              <w:bottom w:val="nil"/>
            </w:tcBorders>
            <w:shd w:val="clear" w:color="auto" w:fill="FFFFFF"/>
          </w:tcPr>
          <w:p w14:paraId="7A7FDD81" w14:textId="77777777" w:rsidR="00493CE7" w:rsidRPr="006C5ED5" w:rsidRDefault="00493CE7" w:rsidP="00E83841">
            <w:pPr>
              <w:autoSpaceDE w:val="0"/>
              <w:autoSpaceDN w:val="0"/>
              <w:adjustRightInd w:val="0"/>
              <w:spacing w:after="0" w:line="360" w:lineRule="auto"/>
              <w:ind w:right="60"/>
              <w:jc w:val="right"/>
              <w:rPr>
                <w:rFonts w:ascii="Times New Roman" w:eastAsia="Calibri" w:hAnsi="Times New Roman" w:cs="Times New Roman"/>
                <w:color w:val="000000"/>
              </w:rPr>
            </w:pPr>
            <w:r w:rsidRPr="006C5ED5">
              <w:rPr>
                <w:rFonts w:ascii="Times New Roman" w:eastAsia="Calibri" w:hAnsi="Times New Roman" w:cs="Times New Roman"/>
                <w:color w:val="000000"/>
              </w:rPr>
              <w:t>98.23</w:t>
            </w:r>
          </w:p>
        </w:tc>
        <w:tc>
          <w:tcPr>
            <w:tcW w:w="1134" w:type="dxa"/>
            <w:tcBorders>
              <w:top w:val="nil"/>
              <w:bottom w:val="nil"/>
            </w:tcBorders>
            <w:shd w:val="clear" w:color="auto" w:fill="FFFFFF"/>
          </w:tcPr>
          <w:p w14:paraId="16618CAF" w14:textId="77777777" w:rsidR="00493CE7" w:rsidRPr="006C5ED5" w:rsidRDefault="00493CE7" w:rsidP="00E83841">
            <w:pPr>
              <w:autoSpaceDE w:val="0"/>
              <w:autoSpaceDN w:val="0"/>
              <w:adjustRightInd w:val="0"/>
              <w:spacing w:after="0" w:line="360" w:lineRule="auto"/>
              <w:ind w:right="60"/>
              <w:jc w:val="right"/>
              <w:rPr>
                <w:rFonts w:ascii="Times New Roman" w:eastAsia="Calibri" w:hAnsi="Times New Roman" w:cs="Times New Roman"/>
                <w:color w:val="000000"/>
              </w:rPr>
            </w:pPr>
            <w:r w:rsidRPr="006C5ED5">
              <w:rPr>
                <w:rFonts w:ascii="Times New Roman" w:eastAsia="Calibri" w:hAnsi="Times New Roman" w:cs="Times New Roman"/>
                <w:color w:val="000000"/>
              </w:rPr>
              <w:t>97.7000</w:t>
            </w:r>
          </w:p>
        </w:tc>
        <w:tc>
          <w:tcPr>
            <w:tcW w:w="851" w:type="dxa"/>
            <w:tcBorders>
              <w:top w:val="nil"/>
              <w:bottom w:val="nil"/>
            </w:tcBorders>
            <w:shd w:val="clear" w:color="auto" w:fill="FFFFFF"/>
          </w:tcPr>
          <w:p w14:paraId="375EE1ED" w14:textId="77777777" w:rsidR="00493CE7" w:rsidRPr="006C5ED5" w:rsidRDefault="00493CE7" w:rsidP="00E83841">
            <w:pPr>
              <w:autoSpaceDE w:val="0"/>
              <w:autoSpaceDN w:val="0"/>
              <w:adjustRightInd w:val="0"/>
              <w:spacing w:after="0" w:line="360" w:lineRule="auto"/>
              <w:ind w:right="60"/>
              <w:jc w:val="right"/>
              <w:rPr>
                <w:rFonts w:ascii="Times New Roman" w:eastAsia="Calibri" w:hAnsi="Times New Roman" w:cs="Times New Roman"/>
                <w:color w:val="000000"/>
              </w:rPr>
            </w:pPr>
            <w:r w:rsidRPr="006C5ED5">
              <w:rPr>
                <w:rFonts w:ascii="Times New Roman" w:eastAsia="Calibri" w:hAnsi="Times New Roman" w:cs="Times New Roman"/>
                <w:color w:val="000000"/>
              </w:rPr>
              <w:t>99.42</w:t>
            </w:r>
          </w:p>
        </w:tc>
        <w:tc>
          <w:tcPr>
            <w:tcW w:w="1134" w:type="dxa"/>
            <w:tcBorders>
              <w:top w:val="nil"/>
              <w:bottom w:val="nil"/>
            </w:tcBorders>
            <w:shd w:val="clear" w:color="auto" w:fill="FFFFFF"/>
          </w:tcPr>
          <w:p w14:paraId="4E0E1E75" w14:textId="77777777" w:rsidR="00493CE7" w:rsidRPr="006C5ED5" w:rsidRDefault="00493CE7" w:rsidP="00E83841">
            <w:pPr>
              <w:autoSpaceDE w:val="0"/>
              <w:autoSpaceDN w:val="0"/>
              <w:adjustRightInd w:val="0"/>
              <w:spacing w:after="0" w:line="360" w:lineRule="auto"/>
              <w:ind w:right="60"/>
              <w:jc w:val="right"/>
              <w:rPr>
                <w:rFonts w:ascii="Times New Roman" w:eastAsia="Calibri" w:hAnsi="Times New Roman" w:cs="Times New Roman"/>
                <w:color w:val="000000"/>
              </w:rPr>
            </w:pPr>
            <w:r w:rsidRPr="006C5ED5">
              <w:rPr>
                <w:rFonts w:ascii="Times New Roman" w:eastAsia="Calibri" w:hAnsi="Times New Roman" w:cs="Times New Roman"/>
                <w:color w:val="000000"/>
              </w:rPr>
              <w:t>98.975</w:t>
            </w:r>
          </w:p>
        </w:tc>
        <w:tc>
          <w:tcPr>
            <w:tcW w:w="850" w:type="dxa"/>
            <w:tcBorders>
              <w:top w:val="nil"/>
              <w:bottom w:val="nil"/>
            </w:tcBorders>
            <w:shd w:val="clear" w:color="auto" w:fill="FFFFFF"/>
          </w:tcPr>
          <w:p w14:paraId="0EB354C9" w14:textId="77777777" w:rsidR="00493CE7" w:rsidRPr="006C5ED5" w:rsidRDefault="00493CE7" w:rsidP="00E83841">
            <w:pPr>
              <w:autoSpaceDE w:val="0"/>
              <w:autoSpaceDN w:val="0"/>
              <w:adjustRightInd w:val="0"/>
              <w:spacing w:after="0" w:line="360" w:lineRule="auto"/>
              <w:ind w:right="60"/>
              <w:jc w:val="right"/>
              <w:rPr>
                <w:rFonts w:ascii="Times New Roman" w:eastAsia="Calibri" w:hAnsi="Times New Roman" w:cs="Times New Roman"/>
                <w:color w:val="000000"/>
              </w:rPr>
            </w:pPr>
            <w:r w:rsidRPr="006C5ED5">
              <w:rPr>
                <w:rFonts w:ascii="Times New Roman" w:eastAsia="Calibri" w:hAnsi="Times New Roman" w:cs="Times New Roman"/>
                <w:color w:val="000000"/>
              </w:rPr>
              <w:t>99.67</w:t>
            </w:r>
          </w:p>
        </w:tc>
        <w:tc>
          <w:tcPr>
            <w:tcW w:w="993" w:type="dxa"/>
            <w:tcBorders>
              <w:top w:val="nil"/>
              <w:bottom w:val="nil"/>
            </w:tcBorders>
            <w:shd w:val="clear" w:color="auto" w:fill="FFFFFF"/>
          </w:tcPr>
          <w:p w14:paraId="10C8542D" w14:textId="77777777" w:rsidR="00493CE7" w:rsidRPr="006C5ED5" w:rsidRDefault="00493CE7" w:rsidP="00E83841">
            <w:pPr>
              <w:autoSpaceDE w:val="0"/>
              <w:autoSpaceDN w:val="0"/>
              <w:adjustRightInd w:val="0"/>
              <w:spacing w:after="0" w:line="360" w:lineRule="auto"/>
              <w:ind w:right="60"/>
              <w:jc w:val="right"/>
              <w:rPr>
                <w:rFonts w:ascii="Times New Roman" w:eastAsia="Calibri" w:hAnsi="Times New Roman" w:cs="Times New Roman"/>
                <w:color w:val="000000"/>
              </w:rPr>
            </w:pPr>
            <w:r w:rsidRPr="006C5ED5">
              <w:rPr>
                <w:rFonts w:ascii="Times New Roman" w:eastAsia="Calibri" w:hAnsi="Times New Roman" w:cs="Times New Roman"/>
                <w:color w:val="000000"/>
              </w:rPr>
              <w:t xml:space="preserve">84.66 </w:t>
            </w:r>
          </w:p>
        </w:tc>
      </w:tr>
      <w:tr w:rsidR="00493CE7" w:rsidRPr="006C5ED5" w14:paraId="6438E495" w14:textId="77777777" w:rsidTr="00CC1EA3">
        <w:trPr>
          <w:cantSplit/>
        </w:trPr>
        <w:tc>
          <w:tcPr>
            <w:tcW w:w="1265" w:type="dxa"/>
            <w:vMerge/>
            <w:tcBorders>
              <w:top w:val="nil"/>
              <w:bottom w:val="nil"/>
            </w:tcBorders>
            <w:shd w:val="clear" w:color="auto" w:fill="FFFFFF"/>
            <w:vAlign w:val="center"/>
          </w:tcPr>
          <w:p w14:paraId="143666FB" w14:textId="77777777" w:rsidR="00493CE7" w:rsidRPr="006C5ED5" w:rsidRDefault="00493CE7" w:rsidP="00E83841">
            <w:pPr>
              <w:autoSpaceDE w:val="0"/>
              <w:autoSpaceDN w:val="0"/>
              <w:adjustRightInd w:val="0"/>
              <w:spacing w:after="0" w:line="360" w:lineRule="auto"/>
              <w:jc w:val="both"/>
              <w:rPr>
                <w:rFonts w:ascii="Times New Roman" w:eastAsia="Calibri" w:hAnsi="Times New Roman" w:cs="Times New Roman"/>
                <w:b/>
                <w:color w:val="000000"/>
              </w:rPr>
            </w:pPr>
          </w:p>
        </w:tc>
        <w:tc>
          <w:tcPr>
            <w:tcW w:w="1996" w:type="dxa"/>
            <w:tcBorders>
              <w:top w:val="nil"/>
              <w:bottom w:val="nil"/>
            </w:tcBorders>
            <w:shd w:val="clear" w:color="auto" w:fill="FFFFFF"/>
            <w:vAlign w:val="center"/>
          </w:tcPr>
          <w:p w14:paraId="06196DF3" w14:textId="77777777" w:rsidR="00493CE7" w:rsidRPr="006C5ED5" w:rsidRDefault="00493CE7" w:rsidP="00E83841">
            <w:pPr>
              <w:autoSpaceDE w:val="0"/>
              <w:autoSpaceDN w:val="0"/>
              <w:adjustRightInd w:val="0"/>
              <w:spacing w:after="0" w:line="360" w:lineRule="auto"/>
              <w:ind w:left="60" w:right="60"/>
              <w:jc w:val="both"/>
              <w:rPr>
                <w:rFonts w:ascii="Times New Roman" w:eastAsia="Calibri" w:hAnsi="Times New Roman" w:cs="Times New Roman"/>
                <w:b/>
                <w:color w:val="000000"/>
              </w:rPr>
            </w:pPr>
            <w:r w:rsidRPr="006C5ED5">
              <w:rPr>
                <w:rFonts w:ascii="Times New Roman" w:eastAsia="Calibri" w:hAnsi="Times New Roman" w:cs="Times New Roman"/>
                <w:b/>
                <w:color w:val="000000"/>
              </w:rPr>
              <w:t>Std. Deviation</w:t>
            </w:r>
          </w:p>
        </w:tc>
        <w:tc>
          <w:tcPr>
            <w:tcW w:w="1275" w:type="dxa"/>
            <w:tcBorders>
              <w:top w:val="nil"/>
              <w:bottom w:val="nil"/>
            </w:tcBorders>
            <w:shd w:val="clear" w:color="auto" w:fill="FFFFFF"/>
          </w:tcPr>
          <w:p w14:paraId="189BB0B0" w14:textId="77777777" w:rsidR="00493CE7" w:rsidRPr="006C5ED5" w:rsidRDefault="00493CE7" w:rsidP="00E83841">
            <w:pPr>
              <w:autoSpaceDE w:val="0"/>
              <w:autoSpaceDN w:val="0"/>
              <w:adjustRightInd w:val="0"/>
              <w:spacing w:after="0" w:line="360" w:lineRule="auto"/>
              <w:ind w:right="60"/>
              <w:jc w:val="right"/>
              <w:rPr>
                <w:rFonts w:ascii="Times New Roman" w:eastAsia="Calibri" w:hAnsi="Times New Roman" w:cs="Times New Roman"/>
                <w:color w:val="000000"/>
              </w:rPr>
            </w:pPr>
            <w:r w:rsidRPr="006C5ED5">
              <w:rPr>
                <w:rFonts w:ascii="Times New Roman" w:eastAsia="Calibri" w:hAnsi="Times New Roman" w:cs="Times New Roman"/>
                <w:color w:val="000000"/>
              </w:rPr>
              <w:t>23.9.25</w:t>
            </w:r>
          </w:p>
        </w:tc>
        <w:tc>
          <w:tcPr>
            <w:tcW w:w="1134" w:type="dxa"/>
            <w:tcBorders>
              <w:top w:val="nil"/>
              <w:bottom w:val="nil"/>
            </w:tcBorders>
            <w:shd w:val="clear" w:color="auto" w:fill="FFFFFF"/>
          </w:tcPr>
          <w:p w14:paraId="27D60643" w14:textId="77777777" w:rsidR="00493CE7" w:rsidRPr="006C5ED5" w:rsidRDefault="00493CE7" w:rsidP="00E83841">
            <w:pPr>
              <w:autoSpaceDE w:val="0"/>
              <w:autoSpaceDN w:val="0"/>
              <w:adjustRightInd w:val="0"/>
              <w:spacing w:after="0" w:line="360" w:lineRule="auto"/>
              <w:ind w:right="60"/>
              <w:jc w:val="right"/>
              <w:rPr>
                <w:rFonts w:ascii="Times New Roman" w:eastAsia="Calibri" w:hAnsi="Times New Roman" w:cs="Times New Roman"/>
                <w:color w:val="000000"/>
              </w:rPr>
            </w:pPr>
            <w:r w:rsidRPr="006C5ED5">
              <w:rPr>
                <w:rFonts w:ascii="Times New Roman" w:eastAsia="Calibri" w:hAnsi="Times New Roman" w:cs="Times New Roman"/>
                <w:color w:val="000000"/>
              </w:rPr>
              <w:t>24.05241</w:t>
            </w:r>
          </w:p>
        </w:tc>
        <w:tc>
          <w:tcPr>
            <w:tcW w:w="851" w:type="dxa"/>
            <w:tcBorders>
              <w:top w:val="nil"/>
              <w:bottom w:val="nil"/>
            </w:tcBorders>
            <w:shd w:val="clear" w:color="auto" w:fill="FFFFFF"/>
          </w:tcPr>
          <w:p w14:paraId="58BB0644" w14:textId="77777777" w:rsidR="00493CE7" w:rsidRPr="006C5ED5" w:rsidRDefault="00493CE7" w:rsidP="00E83841">
            <w:pPr>
              <w:autoSpaceDE w:val="0"/>
              <w:autoSpaceDN w:val="0"/>
              <w:adjustRightInd w:val="0"/>
              <w:spacing w:after="0" w:line="360" w:lineRule="auto"/>
              <w:ind w:right="60"/>
              <w:jc w:val="right"/>
              <w:rPr>
                <w:rFonts w:ascii="Times New Roman" w:eastAsia="Calibri" w:hAnsi="Times New Roman" w:cs="Times New Roman"/>
                <w:color w:val="000000"/>
              </w:rPr>
            </w:pPr>
            <w:r w:rsidRPr="006C5ED5">
              <w:rPr>
                <w:rFonts w:ascii="Times New Roman" w:eastAsia="Calibri" w:hAnsi="Times New Roman" w:cs="Times New Roman"/>
                <w:color w:val="000000"/>
              </w:rPr>
              <w:t>23.321</w:t>
            </w:r>
          </w:p>
        </w:tc>
        <w:tc>
          <w:tcPr>
            <w:tcW w:w="1134" w:type="dxa"/>
            <w:tcBorders>
              <w:top w:val="nil"/>
              <w:bottom w:val="nil"/>
            </w:tcBorders>
            <w:shd w:val="clear" w:color="auto" w:fill="FFFFFF"/>
          </w:tcPr>
          <w:p w14:paraId="19EC34F3" w14:textId="77777777" w:rsidR="00493CE7" w:rsidRPr="006C5ED5" w:rsidRDefault="00493CE7" w:rsidP="00E83841">
            <w:pPr>
              <w:autoSpaceDE w:val="0"/>
              <w:autoSpaceDN w:val="0"/>
              <w:adjustRightInd w:val="0"/>
              <w:spacing w:after="0" w:line="360" w:lineRule="auto"/>
              <w:ind w:right="60"/>
              <w:jc w:val="right"/>
              <w:rPr>
                <w:rFonts w:ascii="Times New Roman" w:eastAsia="Calibri" w:hAnsi="Times New Roman" w:cs="Times New Roman"/>
                <w:color w:val="000000"/>
              </w:rPr>
            </w:pPr>
            <w:r w:rsidRPr="006C5ED5">
              <w:rPr>
                <w:rFonts w:ascii="Times New Roman" w:eastAsia="Calibri" w:hAnsi="Times New Roman" w:cs="Times New Roman"/>
                <w:color w:val="000000"/>
              </w:rPr>
              <w:t>22.36446</w:t>
            </w:r>
          </w:p>
        </w:tc>
        <w:tc>
          <w:tcPr>
            <w:tcW w:w="850" w:type="dxa"/>
            <w:tcBorders>
              <w:top w:val="nil"/>
              <w:bottom w:val="nil"/>
            </w:tcBorders>
            <w:shd w:val="clear" w:color="auto" w:fill="FFFFFF"/>
          </w:tcPr>
          <w:p w14:paraId="15B80461" w14:textId="77777777" w:rsidR="00493CE7" w:rsidRPr="006C5ED5" w:rsidRDefault="00493CE7" w:rsidP="00E83841">
            <w:pPr>
              <w:autoSpaceDE w:val="0"/>
              <w:autoSpaceDN w:val="0"/>
              <w:adjustRightInd w:val="0"/>
              <w:spacing w:after="0" w:line="360" w:lineRule="auto"/>
              <w:ind w:right="60"/>
              <w:jc w:val="right"/>
              <w:rPr>
                <w:rFonts w:ascii="Times New Roman" w:eastAsia="Calibri" w:hAnsi="Times New Roman" w:cs="Times New Roman"/>
                <w:color w:val="000000"/>
              </w:rPr>
            </w:pPr>
            <w:r w:rsidRPr="006C5ED5">
              <w:rPr>
                <w:rFonts w:ascii="Times New Roman" w:eastAsia="Calibri" w:hAnsi="Times New Roman" w:cs="Times New Roman"/>
                <w:color w:val="000000"/>
              </w:rPr>
              <w:t>23.121</w:t>
            </w:r>
          </w:p>
        </w:tc>
        <w:tc>
          <w:tcPr>
            <w:tcW w:w="993" w:type="dxa"/>
            <w:tcBorders>
              <w:top w:val="nil"/>
              <w:bottom w:val="nil"/>
            </w:tcBorders>
            <w:shd w:val="clear" w:color="auto" w:fill="FFFFFF"/>
          </w:tcPr>
          <w:p w14:paraId="4F8CB642" w14:textId="77777777" w:rsidR="00493CE7" w:rsidRPr="006C5ED5" w:rsidRDefault="00493CE7" w:rsidP="00E83841">
            <w:pPr>
              <w:autoSpaceDE w:val="0"/>
              <w:autoSpaceDN w:val="0"/>
              <w:adjustRightInd w:val="0"/>
              <w:spacing w:after="0" w:line="360" w:lineRule="auto"/>
              <w:ind w:right="60"/>
              <w:jc w:val="right"/>
              <w:rPr>
                <w:rFonts w:ascii="Times New Roman" w:eastAsia="Calibri" w:hAnsi="Times New Roman" w:cs="Times New Roman"/>
                <w:color w:val="000000"/>
              </w:rPr>
            </w:pPr>
            <w:r w:rsidRPr="006C5ED5">
              <w:rPr>
                <w:rFonts w:ascii="Times New Roman" w:eastAsia="Calibri" w:hAnsi="Times New Roman" w:cs="Times New Roman"/>
                <w:color w:val="000000"/>
              </w:rPr>
              <w:t xml:space="preserve">36.16380 </w:t>
            </w:r>
          </w:p>
        </w:tc>
      </w:tr>
      <w:tr w:rsidR="00493CE7" w:rsidRPr="006C5ED5" w14:paraId="5A24F890" w14:textId="77777777" w:rsidTr="00CC1EA3">
        <w:trPr>
          <w:cantSplit/>
        </w:trPr>
        <w:tc>
          <w:tcPr>
            <w:tcW w:w="1265" w:type="dxa"/>
            <w:vMerge/>
            <w:tcBorders>
              <w:top w:val="nil"/>
              <w:bottom w:val="nil"/>
            </w:tcBorders>
            <w:shd w:val="clear" w:color="auto" w:fill="FFFFFF"/>
            <w:vAlign w:val="center"/>
          </w:tcPr>
          <w:p w14:paraId="75A60377" w14:textId="77777777" w:rsidR="00493CE7" w:rsidRPr="006C5ED5" w:rsidRDefault="00493CE7" w:rsidP="00E83841">
            <w:pPr>
              <w:autoSpaceDE w:val="0"/>
              <w:autoSpaceDN w:val="0"/>
              <w:adjustRightInd w:val="0"/>
              <w:spacing w:after="0" w:line="360" w:lineRule="auto"/>
              <w:jc w:val="both"/>
              <w:rPr>
                <w:rFonts w:ascii="Times New Roman" w:eastAsia="Calibri" w:hAnsi="Times New Roman" w:cs="Times New Roman"/>
                <w:b/>
                <w:color w:val="000000"/>
              </w:rPr>
            </w:pPr>
          </w:p>
        </w:tc>
        <w:tc>
          <w:tcPr>
            <w:tcW w:w="1996" w:type="dxa"/>
            <w:tcBorders>
              <w:top w:val="nil"/>
              <w:bottom w:val="nil"/>
            </w:tcBorders>
            <w:shd w:val="clear" w:color="auto" w:fill="FFFFFF"/>
            <w:vAlign w:val="center"/>
          </w:tcPr>
          <w:p w14:paraId="7CDFD62D" w14:textId="77777777" w:rsidR="00493CE7" w:rsidRPr="006C5ED5" w:rsidRDefault="00493CE7" w:rsidP="00E83841">
            <w:pPr>
              <w:autoSpaceDE w:val="0"/>
              <w:autoSpaceDN w:val="0"/>
              <w:adjustRightInd w:val="0"/>
              <w:spacing w:after="0" w:line="360" w:lineRule="auto"/>
              <w:ind w:left="60" w:right="60"/>
              <w:jc w:val="both"/>
              <w:rPr>
                <w:rFonts w:ascii="Times New Roman" w:eastAsia="Calibri" w:hAnsi="Times New Roman" w:cs="Times New Roman"/>
                <w:b/>
                <w:color w:val="000000"/>
              </w:rPr>
            </w:pPr>
            <w:r w:rsidRPr="006C5ED5">
              <w:rPr>
                <w:rFonts w:ascii="Times New Roman" w:eastAsia="Calibri" w:hAnsi="Times New Roman" w:cs="Times New Roman"/>
                <w:b/>
                <w:color w:val="000000"/>
              </w:rPr>
              <w:t>Minimum</w:t>
            </w:r>
          </w:p>
        </w:tc>
        <w:tc>
          <w:tcPr>
            <w:tcW w:w="1275" w:type="dxa"/>
            <w:tcBorders>
              <w:top w:val="nil"/>
              <w:bottom w:val="nil"/>
            </w:tcBorders>
            <w:shd w:val="clear" w:color="auto" w:fill="FFFFFF"/>
          </w:tcPr>
          <w:p w14:paraId="3228768F" w14:textId="77777777" w:rsidR="00493CE7" w:rsidRPr="006C5ED5" w:rsidRDefault="00493CE7" w:rsidP="00E83841">
            <w:pPr>
              <w:autoSpaceDE w:val="0"/>
              <w:autoSpaceDN w:val="0"/>
              <w:adjustRightInd w:val="0"/>
              <w:spacing w:after="0" w:line="360" w:lineRule="auto"/>
              <w:ind w:right="60"/>
              <w:jc w:val="right"/>
              <w:rPr>
                <w:rFonts w:ascii="Times New Roman" w:eastAsia="Calibri" w:hAnsi="Times New Roman" w:cs="Times New Roman"/>
                <w:color w:val="000000"/>
              </w:rPr>
            </w:pPr>
            <w:r w:rsidRPr="006C5ED5">
              <w:rPr>
                <w:rFonts w:ascii="Times New Roman" w:eastAsia="Calibri" w:hAnsi="Times New Roman" w:cs="Times New Roman"/>
                <w:color w:val="000000"/>
              </w:rPr>
              <w:t>46.00</w:t>
            </w:r>
          </w:p>
        </w:tc>
        <w:tc>
          <w:tcPr>
            <w:tcW w:w="1134" w:type="dxa"/>
            <w:tcBorders>
              <w:top w:val="nil"/>
              <w:bottom w:val="nil"/>
            </w:tcBorders>
            <w:shd w:val="clear" w:color="auto" w:fill="FFFFFF"/>
          </w:tcPr>
          <w:p w14:paraId="55590951" w14:textId="77777777" w:rsidR="00493CE7" w:rsidRPr="006C5ED5" w:rsidRDefault="00493CE7" w:rsidP="00E83841">
            <w:pPr>
              <w:autoSpaceDE w:val="0"/>
              <w:autoSpaceDN w:val="0"/>
              <w:adjustRightInd w:val="0"/>
              <w:spacing w:after="0" w:line="360" w:lineRule="auto"/>
              <w:ind w:right="60"/>
              <w:jc w:val="right"/>
              <w:rPr>
                <w:rFonts w:ascii="Times New Roman" w:eastAsia="Calibri" w:hAnsi="Times New Roman" w:cs="Times New Roman"/>
                <w:color w:val="000000"/>
              </w:rPr>
            </w:pPr>
            <w:r w:rsidRPr="006C5ED5">
              <w:rPr>
                <w:rFonts w:ascii="Times New Roman" w:eastAsia="Calibri" w:hAnsi="Times New Roman" w:cs="Times New Roman"/>
                <w:color w:val="000000"/>
              </w:rPr>
              <w:t>45.00</w:t>
            </w:r>
          </w:p>
        </w:tc>
        <w:tc>
          <w:tcPr>
            <w:tcW w:w="851" w:type="dxa"/>
            <w:tcBorders>
              <w:top w:val="nil"/>
              <w:bottom w:val="nil"/>
            </w:tcBorders>
            <w:shd w:val="clear" w:color="auto" w:fill="FFFFFF"/>
          </w:tcPr>
          <w:p w14:paraId="53C73933" w14:textId="77777777" w:rsidR="00493CE7" w:rsidRPr="006C5ED5" w:rsidRDefault="00493CE7" w:rsidP="00E83841">
            <w:pPr>
              <w:autoSpaceDE w:val="0"/>
              <w:autoSpaceDN w:val="0"/>
              <w:adjustRightInd w:val="0"/>
              <w:spacing w:after="0" w:line="360" w:lineRule="auto"/>
              <w:ind w:right="60"/>
              <w:jc w:val="right"/>
              <w:rPr>
                <w:rFonts w:ascii="Times New Roman" w:eastAsia="Calibri" w:hAnsi="Times New Roman" w:cs="Times New Roman"/>
                <w:color w:val="000000"/>
              </w:rPr>
            </w:pPr>
            <w:r w:rsidRPr="006C5ED5">
              <w:rPr>
                <w:rFonts w:ascii="Times New Roman" w:eastAsia="Calibri" w:hAnsi="Times New Roman" w:cs="Times New Roman"/>
                <w:color w:val="000000"/>
              </w:rPr>
              <w:t>51.00</w:t>
            </w:r>
          </w:p>
        </w:tc>
        <w:tc>
          <w:tcPr>
            <w:tcW w:w="1134" w:type="dxa"/>
            <w:tcBorders>
              <w:top w:val="nil"/>
              <w:bottom w:val="nil"/>
            </w:tcBorders>
            <w:shd w:val="clear" w:color="auto" w:fill="FFFFFF"/>
          </w:tcPr>
          <w:p w14:paraId="1CEA2C07" w14:textId="77777777" w:rsidR="00493CE7" w:rsidRPr="006C5ED5" w:rsidRDefault="00493CE7" w:rsidP="00E83841">
            <w:pPr>
              <w:autoSpaceDE w:val="0"/>
              <w:autoSpaceDN w:val="0"/>
              <w:adjustRightInd w:val="0"/>
              <w:spacing w:after="0" w:line="360" w:lineRule="auto"/>
              <w:ind w:right="60"/>
              <w:jc w:val="right"/>
              <w:rPr>
                <w:rFonts w:ascii="Times New Roman" w:eastAsia="Calibri" w:hAnsi="Times New Roman" w:cs="Times New Roman"/>
                <w:color w:val="000000"/>
              </w:rPr>
            </w:pPr>
            <w:r w:rsidRPr="006C5ED5">
              <w:rPr>
                <w:rFonts w:ascii="Times New Roman" w:eastAsia="Calibri" w:hAnsi="Times New Roman" w:cs="Times New Roman"/>
                <w:color w:val="000000"/>
              </w:rPr>
              <w:t>47.00</w:t>
            </w:r>
          </w:p>
        </w:tc>
        <w:tc>
          <w:tcPr>
            <w:tcW w:w="850" w:type="dxa"/>
            <w:tcBorders>
              <w:top w:val="nil"/>
              <w:bottom w:val="nil"/>
            </w:tcBorders>
            <w:shd w:val="clear" w:color="auto" w:fill="FFFFFF"/>
          </w:tcPr>
          <w:p w14:paraId="5EA7BB7E" w14:textId="77777777" w:rsidR="00493CE7" w:rsidRPr="006C5ED5" w:rsidRDefault="00493CE7" w:rsidP="00E83841">
            <w:pPr>
              <w:autoSpaceDE w:val="0"/>
              <w:autoSpaceDN w:val="0"/>
              <w:adjustRightInd w:val="0"/>
              <w:spacing w:after="0" w:line="360" w:lineRule="auto"/>
              <w:ind w:right="60"/>
              <w:jc w:val="right"/>
              <w:rPr>
                <w:rFonts w:ascii="Times New Roman" w:eastAsia="Calibri" w:hAnsi="Times New Roman" w:cs="Times New Roman"/>
                <w:color w:val="000000"/>
              </w:rPr>
            </w:pPr>
            <w:r w:rsidRPr="006C5ED5">
              <w:rPr>
                <w:rFonts w:ascii="Times New Roman" w:eastAsia="Calibri" w:hAnsi="Times New Roman" w:cs="Times New Roman"/>
                <w:color w:val="000000"/>
              </w:rPr>
              <w:t>56.00</w:t>
            </w:r>
          </w:p>
        </w:tc>
        <w:tc>
          <w:tcPr>
            <w:tcW w:w="993" w:type="dxa"/>
            <w:tcBorders>
              <w:top w:val="nil"/>
              <w:bottom w:val="nil"/>
            </w:tcBorders>
            <w:shd w:val="clear" w:color="auto" w:fill="FFFFFF"/>
          </w:tcPr>
          <w:p w14:paraId="63D0BE64" w14:textId="77777777" w:rsidR="00493CE7" w:rsidRPr="006C5ED5" w:rsidRDefault="00493CE7" w:rsidP="00E83841">
            <w:pPr>
              <w:autoSpaceDE w:val="0"/>
              <w:autoSpaceDN w:val="0"/>
              <w:adjustRightInd w:val="0"/>
              <w:spacing w:after="0" w:line="360" w:lineRule="auto"/>
              <w:ind w:right="60"/>
              <w:jc w:val="right"/>
              <w:rPr>
                <w:rFonts w:ascii="Times New Roman" w:eastAsia="Calibri" w:hAnsi="Times New Roman" w:cs="Times New Roman"/>
                <w:color w:val="000000"/>
              </w:rPr>
            </w:pPr>
            <w:r w:rsidRPr="006C5ED5">
              <w:rPr>
                <w:rFonts w:ascii="Times New Roman" w:eastAsia="Calibri" w:hAnsi="Times New Roman" w:cs="Times New Roman"/>
                <w:color w:val="000000"/>
              </w:rPr>
              <w:t xml:space="preserve">43.00 </w:t>
            </w:r>
          </w:p>
        </w:tc>
      </w:tr>
      <w:tr w:rsidR="00493CE7" w:rsidRPr="006C5ED5" w14:paraId="16F431BD" w14:textId="77777777" w:rsidTr="00CC1EA3">
        <w:trPr>
          <w:cantSplit/>
        </w:trPr>
        <w:tc>
          <w:tcPr>
            <w:tcW w:w="1265" w:type="dxa"/>
            <w:vMerge/>
            <w:tcBorders>
              <w:top w:val="nil"/>
              <w:bottom w:val="single" w:sz="4" w:space="0" w:color="auto"/>
            </w:tcBorders>
            <w:shd w:val="clear" w:color="auto" w:fill="FFFFFF"/>
            <w:vAlign w:val="center"/>
          </w:tcPr>
          <w:p w14:paraId="57609E47" w14:textId="77777777" w:rsidR="00493CE7" w:rsidRPr="006C5ED5" w:rsidRDefault="00493CE7" w:rsidP="00E83841">
            <w:pPr>
              <w:autoSpaceDE w:val="0"/>
              <w:autoSpaceDN w:val="0"/>
              <w:adjustRightInd w:val="0"/>
              <w:spacing w:after="0" w:line="360" w:lineRule="auto"/>
              <w:jc w:val="both"/>
              <w:rPr>
                <w:rFonts w:ascii="Times New Roman" w:eastAsia="Calibri" w:hAnsi="Times New Roman" w:cs="Times New Roman"/>
                <w:b/>
                <w:color w:val="000000"/>
              </w:rPr>
            </w:pPr>
          </w:p>
        </w:tc>
        <w:tc>
          <w:tcPr>
            <w:tcW w:w="1996" w:type="dxa"/>
            <w:tcBorders>
              <w:top w:val="nil"/>
              <w:bottom w:val="single" w:sz="4" w:space="0" w:color="auto"/>
            </w:tcBorders>
            <w:shd w:val="clear" w:color="auto" w:fill="FFFFFF"/>
            <w:vAlign w:val="center"/>
          </w:tcPr>
          <w:p w14:paraId="30A4EE33" w14:textId="77777777" w:rsidR="00493CE7" w:rsidRPr="006C5ED5" w:rsidRDefault="00493CE7" w:rsidP="00E83841">
            <w:pPr>
              <w:autoSpaceDE w:val="0"/>
              <w:autoSpaceDN w:val="0"/>
              <w:adjustRightInd w:val="0"/>
              <w:spacing w:after="0" w:line="360" w:lineRule="auto"/>
              <w:ind w:left="60" w:right="60"/>
              <w:jc w:val="both"/>
              <w:rPr>
                <w:rFonts w:ascii="Times New Roman" w:eastAsia="Calibri" w:hAnsi="Times New Roman" w:cs="Times New Roman"/>
                <w:b/>
                <w:color w:val="000000"/>
              </w:rPr>
            </w:pPr>
            <w:r w:rsidRPr="006C5ED5">
              <w:rPr>
                <w:rFonts w:ascii="Times New Roman" w:eastAsia="Calibri" w:hAnsi="Times New Roman" w:cs="Times New Roman"/>
                <w:b/>
                <w:color w:val="000000"/>
              </w:rPr>
              <w:t>Maximum</w:t>
            </w:r>
          </w:p>
        </w:tc>
        <w:tc>
          <w:tcPr>
            <w:tcW w:w="1275" w:type="dxa"/>
            <w:tcBorders>
              <w:top w:val="nil"/>
              <w:bottom w:val="single" w:sz="4" w:space="0" w:color="auto"/>
            </w:tcBorders>
            <w:shd w:val="clear" w:color="auto" w:fill="FFFFFF"/>
          </w:tcPr>
          <w:p w14:paraId="4252DD4A" w14:textId="77777777" w:rsidR="00493CE7" w:rsidRPr="006C5ED5" w:rsidRDefault="00493CE7" w:rsidP="00E83841">
            <w:pPr>
              <w:autoSpaceDE w:val="0"/>
              <w:autoSpaceDN w:val="0"/>
              <w:adjustRightInd w:val="0"/>
              <w:spacing w:after="0" w:line="360" w:lineRule="auto"/>
              <w:ind w:right="60"/>
              <w:jc w:val="right"/>
              <w:rPr>
                <w:rFonts w:ascii="Times New Roman" w:eastAsia="Calibri" w:hAnsi="Times New Roman" w:cs="Times New Roman"/>
                <w:color w:val="000000"/>
              </w:rPr>
            </w:pPr>
            <w:r w:rsidRPr="006C5ED5">
              <w:rPr>
                <w:rFonts w:ascii="Times New Roman" w:eastAsia="Calibri" w:hAnsi="Times New Roman" w:cs="Times New Roman"/>
                <w:color w:val="000000"/>
              </w:rPr>
              <w:t>147.00</w:t>
            </w:r>
          </w:p>
        </w:tc>
        <w:tc>
          <w:tcPr>
            <w:tcW w:w="1134" w:type="dxa"/>
            <w:tcBorders>
              <w:top w:val="nil"/>
              <w:bottom w:val="single" w:sz="4" w:space="0" w:color="auto"/>
            </w:tcBorders>
            <w:shd w:val="clear" w:color="auto" w:fill="FFFFFF"/>
          </w:tcPr>
          <w:p w14:paraId="000033A8" w14:textId="77777777" w:rsidR="00493CE7" w:rsidRPr="006C5ED5" w:rsidRDefault="00493CE7" w:rsidP="00E83841">
            <w:pPr>
              <w:autoSpaceDE w:val="0"/>
              <w:autoSpaceDN w:val="0"/>
              <w:adjustRightInd w:val="0"/>
              <w:spacing w:after="0" w:line="360" w:lineRule="auto"/>
              <w:ind w:right="60"/>
              <w:jc w:val="right"/>
              <w:rPr>
                <w:rFonts w:ascii="Times New Roman" w:eastAsia="Calibri" w:hAnsi="Times New Roman" w:cs="Times New Roman"/>
                <w:color w:val="000000"/>
              </w:rPr>
            </w:pPr>
            <w:r w:rsidRPr="006C5ED5">
              <w:rPr>
                <w:rFonts w:ascii="Times New Roman" w:eastAsia="Calibri" w:hAnsi="Times New Roman" w:cs="Times New Roman"/>
                <w:color w:val="000000"/>
              </w:rPr>
              <w:t>146.00</w:t>
            </w:r>
          </w:p>
        </w:tc>
        <w:tc>
          <w:tcPr>
            <w:tcW w:w="851" w:type="dxa"/>
            <w:tcBorders>
              <w:top w:val="nil"/>
              <w:bottom w:val="single" w:sz="4" w:space="0" w:color="auto"/>
            </w:tcBorders>
            <w:shd w:val="clear" w:color="auto" w:fill="FFFFFF"/>
          </w:tcPr>
          <w:p w14:paraId="22CA6A5B" w14:textId="77777777" w:rsidR="00493CE7" w:rsidRPr="006C5ED5" w:rsidRDefault="00493CE7" w:rsidP="00E83841">
            <w:pPr>
              <w:autoSpaceDE w:val="0"/>
              <w:autoSpaceDN w:val="0"/>
              <w:adjustRightInd w:val="0"/>
              <w:spacing w:after="0" w:line="360" w:lineRule="auto"/>
              <w:ind w:right="60"/>
              <w:jc w:val="right"/>
              <w:rPr>
                <w:rFonts w:ascii="Times New Roman" w:eastAsia="Calibri" w:hAnsi="Times New Roman" w:cs="Times New Roman"/>
                <w:color w:val="000000"/>
              </w:rPr>
            </w:pPr>
            <w:r w:rsidRPr="006C5ED5">
              <w:rPr>
                <w:rFonts w:ascii="Times New Roman" w:eastAsia="Calibri" w:hAnsi="Times New Roman" w:cs="Times New Roman"/>
                <w:color w:val="000000"/>
              </w:rPr>
              <w:t>152.00</w:t>
            </w:r>
          </w:p>
        </w:tc>
        <w:tc>
          <w:tcPr>
            <w:tcW w:w="1134" w:type="dxa"/>
            <w:tcBorders>
              <w:top w:val="nil"/>
              <w:bottom w:val="single" w:sz="4" w:space="0" w:color="auto"/>
            </w:tcBorders>
            <w:shd w:val="clear" w:color="auto" w:fill="FFFFFF"/>
          </w:tcPr>
          <w:p w14:paraId="4A5EF2FC" w14:textId="77777777" w:rsidR="00493CE7" w:rsidRPr="006C5ED5" w:rsidRDefault="00493CE7" w:rsidP="00E83841">
            <w:pPr>
              <w:autoSpaceDE w:val="0"/>
              <w:autoSpaceDN w:val="0"/>
              <w:adjustRightInd w:val="0"/>
              <w:spacing w:after="0" w:line="360" w:lineRule="auto"/>
              <w:ind w:right="60"/>
              <w:jc w:val="right"/>
              <w:rPr>
                <w:rFonts w:ascii="Times New Roman" w:eastAsia="Calibri" w:hAnsi="Times New Roman" w:cs="Times New Roman"/>
                <w:color w:val="000000"/>
              </w:rPr>
            </w:pPr>
            <w:r w:rsidRPr="006C5ED5">
              <w:rPr>
                <w:rFonts w:ascii="Times New Roman" w:eastAsia="Calibri" w:hAnsi="Times New Roman" w:cs="Times New Roman"/>
                <w:color w:val="000000"/>
              </w:rPr>
              <w:t>149.00</w:t>
            </w:r>
          </w:p>
        </w:tc>
        <w:tc>
          <w:tcPr>
            <w:tcW w:w="850" w:type="dxa"/>
            <w:tcBorders>
              <w:top w:val="nil"/>
              <w:bottom w:val="single" w:sz="4" w:space="0" w:color="auto"/>
            </w:tcBorders>
            <w:shd w:val="clear" w:color="auto" w:fill="FFFFFF"/>
          </w:tcPr>
          <w:p w14:paraId="379C9194" w14:textId="77777777" w:rsidR="00493CE7" w:rsidRPr="006C5ED5" w:rsidRDefault="00493CE7" w:rsidP="00E83841">
            <w:pPr>
              <w:autoSpaceDE w:val="0"/>
              <w:autoSpaceDN w:val="0"/>
              <w:adjustRightInd w:val="0"/>
              <w:spacing w:after="0" w:line="360" w:lineRule="auto"/>
              <w:ind w:right="60"/>
              <w:jc w:val="right"/>
              <w:rPr>
                <w:rFonts w:ascii="Times New Roman" w:eastAsia="Calibri" w:hAnsi="Times New Roman" w:cs="Times New Roman"/>
                <w:color w:val="000000"/>
              </w:rPr>
            </w:pPr>
            <w:r w:rsidRPr="006C5ED5">
              <w:rPr>
                <w:rFonts w:ascii="Times New Roman" w:eastAsia="Calibri" w:hAnsi="Times New Roman" w:cs="Times New Roman"/>
                <w:color w:val="000000"/>
              </w:rPr>
              <w:t>162.00</w:t>
            </w:r>
          </w:p>
        </w:tc>
        <w:tc>
          <w:tcPr>
            <w:tcW w:w="993" w:type="dxa"/>
            <w:tcBorders>
              <w:top w:val="nil"/>
              <w:bottom w:val="single" w:sz="4" w:space="0" w:color="auto"/>
            </w:tcBorders>
            <w:shd w:val="clear" w:color="auto" w:fill="FFFFFF"/>
          </w:tcPr>
          <w:p w14:paraId="0C89A10D" w14:textId="77777777" w:rsidR="00493CE7" w:rsidRPr="006C5ED5" w:rsidRDefault="00493CE7" w:rsidP="00E83841">
            <w:pPr>
              <w:autoSpaceDE w:val="0"/>
              <w:autoSpaceDN w:val="0"/>
              <w:adjustRightInd w:val="0"/>
              <w:spacing w:after="0" w:line="360" w:lineRule="auto"/>
              <w:ind w:right="60"/>
              <w:jc w:val="right"/>
              <w:rPr>
                <w:rFonts w:ascii="Times New Roman" w:eastAsia="Calibri" w:hAnsi="Times New Roman" w:cs="Times New Roman"/>
                <w:color w:val="000000"/>
              </w:rPr>
            </w:pPr>
            <w:r w:rsidRPr="006C5ED5">
              <w:rPr>
                <w:rFonts w:ascii="Times New Roman" w:eastAsia="Calibri" w:hAnsi="Times New Roman" w:cs="Times New Roman"/>
                <w:color w:val="000000"/>
              </w:rPr>
              <w:t xml:space="preserve">134.00 </w:t>
            </w:r>
          </w:p>
        </w:tc>
      </w:tr>
      <w:tr w:rsidR="00493CE7" w:rsidRPr="006C5ED5" w14:paraId="560C39D7" w14:textId="77777777" w:rsidTr="00CC1EA3">
        <w:trPr>
          <w:cantSplit/>
        </w:trPr>
        <w:tc>
          <w:tcPr>
            <w:tcW w:w="1265" w:type="dxa"/>
            <w:vMerge w:val="restart"/>
            <w:shd w:val="clear" w:color="auto" w:fill="FFFFFF"/>
            <w:vAlign w:val="center"/>
          </w:tcPr>
          <w:p w14:paraId="3124D41C" w14:textId="77777777" w:rsidR="00493CE7" w:rsidRPr="006C5ED5" w:rsidRDefault="00493CE7" w:rsidP="00E83841">
            <w:pPr>
              <w:autoSpaceDE w:val="0"/>
              <w:autoSpaceDN w:val="0"/>
              <w:adjustRightInd w:val="0"/>
              <w:spacing w:after="0" w:line="360" w:lineRule="auto"/>
              <w:ind w:right="60"/>
              <w:jc w:val="both"/>
              <w:rPr>
                <w:rFonts w:ascii="Times New Roman" w:eastAsia="Calibri" w:hAnsi="Times New Roman" w:cs="Times New Roman"/>
                <w:b/>
                <w:color w:val="000000"/>
              </w:rPr>
            </w:pPr>
            <w:r w:rsidRPr="006C5ED5">
              <w:rPr>
                <w:rFonts w:ascii="Times New Roman" w:eastAsia="Calibri" w:hAnsi="Times New Roman" w:cs="Times New Roman"/>
                <w:b/>
                <w:color w:val="000000"/>
              </w:rPr>
              <w:t>Senior 6</w:t>
            </w:r>
          </w:p>
        </w:tc>
        <w:tc>
          <w:tcPr>
            <w:tcW w:w="1996" w:type="dxa"/>
            <w:tcBorders>
              <w:top w:val="single" w:sz="4" w:space="0" w:color="auto"/>
              <w:bottom w:val="nil"/>
            </w:tcBorders>
            <w:shd w:val="clear" w:color="auto" w:fill="FFFFFF"/>
            <w:vAlign w:val="center"/>
          </w:tcPr>
          <w:p w14:paraId="6CEA15B4" w14:textId="77777777" w:rsidR="00493CE7" w:rsidRPr="006C5ED5" w:rsidRDefault="00493CE7" w:rsidP="00E83841">
            <w:pPr>
              <w:autoSpaceDE w:val="0"/>
              <w:autoSpaceDN w:val="0"/>
              <w:adjustRightInd w:val="0"/>
              <w:spacing w:after="0" w:line="360" w:lineRule="auto"/>
              <w:ind w:left="60" w:right="60"/>
              <w:jc w:val="both"/>
              <w:rPr>
                <w:rFonts w:ascii="Times New Roman" w:eastAsia="Calibri" w:hAnsi="Times New Roman" w:cs="Times New Roman"/>
                <w:b/>
                <w:color w:val="000000"/>
              </w:rPr>
            </w:pPr>
            <w:r w:rsidRPr="006C5ED5">
              <w:rPr>
                <w:rFonts w:ascii="Times New Roman" w:eastAsia="Calibri" w:hAnsi="Times New Roman" w:cs="Times New Roman"/>
                <w:b/>
                <w:color w:val="000000"/>
              </w:rPr>
              <w:t>Observations</w:t>
            </w:r>
          </w:p>
        </w:tc>
        <w:tc>
          <w:tcPr>
            <w:tcW w:w="2409" w:type="dxa"/>
            <w:gridSpan w:val="2"/>
            <w:tcBorders>
              <w:top w:val="single" w:sz="4" w:space="0" w:color="auto"/>
              <w:bottom w:val="nil"/>
            </w:tcBorders>
            <w:shd w:val="clear" w:color="auto" w:fill="FFFFFF"/>
          </w:tcPr>
          <w:p w14:paraId="6B4F8AEE" w14:textId="77777777" w:rsidR="00493CE7" w:rsidRPr="006C5ED5" w:rsidRDefault="00493CE7" w:rsidP="00E83841">
            <w:pPr>
              <w:autoSpaceDE w:val="0"/>
              <w:autoSpaceDN w:val="0"/>
              <w:adjustRightInd w:val="0"/>
              <w:spacing w:after="0" w:line="360" w:lineRule="auto"/>
              <w:ind w:right="60"/>
              <w:jc w:val="center"/>
              <w:rPr>
                <w:rFonts w:ascii="Times New Roman" w:eastAsia="Calibri" w:hAnsi="Times New Roman" w:cs="Times New Roman"/>
                <w:color w:val="000000"/>
              </w:rPr>
            </w:pPr>
            <w:r w:rsidRPr="006C5ED5">
              <w:rPr>
                <w:rFonts w:ascii="Times New Roman" w:eastAsia="Calibri" w:hAnsi="Times New Roman" w:cs="Times New Roman"/>
                <w:color w:val="000000"/>
              </w:rPr>
              <w:t xml:space="preserve">                45</w:t>
            </w:r>
          </w:p>
        </w:tc>
        <w:tc>
          <w:tcPr>
            <w:tcW w:w="1985" w:type="dxa"/>
            <w:gridSpan w:val="2"/>
            <w:tcBorders>
              <w:top w:val="single" w:sz="4" w:space="0" w:color="auto"/>
              <w:bottom w:val="nil"/>
            </w:tcBorders>
            <w:shd w:val="clear" w:color="auto" w:fill="FFFFFF"/>
          </w:tcPr>
          <w:p w14:paraId="6591C611" w14:textId="77777777" w:rsidR="00493CE7" w:rsidRPr="006C5ED5" w:rsidRDefault="00493CE7" w:rsidP="00E83841">
            <w:pPr>
              <w:autoSpaceDE w:val="0"/>
              <w:autoSpaceDN w:val="0"/>
              <w:adjustRightInd w:val="0"/>
              <w:spacing w:after="0" w:line="360" w:lineRule="auto"/>
              <w:ind w:right="60"/>
              <w:jc w:val="center"/>
              <w:rPr>
                <w:rFonts w:ascii="Times New Roman" w:eastAsia="Calibri" w:hAnsi="Times New Roman" w:cs="Times New Roman"/>
                <w:color w:val="000000"/>
              </w:rPr>
            </w:pPr>
            <w:r w:rsidRPr="006C5ED5">
              <w:rPr>
                <w:rFonts w:ascii="Times New Roman" w:eastAsia="Calibri" w:hAnsi="Times New Roman" w:cs="Times New Roman"/>
                <w:color w:val="000000"/>
              </w:rPr>
              <w:t xml:space="preserve">      45</w:t>
            </w:r>
          </w:p>
        </w:tc>
        <w:tc>
          <w:tcPr>
            <w:tcW w:w="1843" w:type="dxa"/>
            <w:gridSpan w:val="2"/>
            <w:tcBorders>
              <w:top w:val="single" w:sz="4" w:space="0" w:color="auto"/>
              <w:bottom w:val="nil"/>
            </w:tcBorders>
            <w:shd w:val="clear" w:color="auto" w:fill="FFFFFF"/>
          </w:tcPr>
          <w:p w14:paraId="246872E3" w14:textId="77777777" w:rsidR="00493CE7" w:rsidRPr="006C5ED5" w:rsidRDefault="00493CE7" w:rsidP="00E83841">
            <w:pPr>
              <w:autoSpaceDE w:val="0"/>
              <w:autoSpaceDN w:val="0"/>
              <w:adjustRightInd w:val="0"/>
              <w:spacing w:after="0" w:line="360" w:lineRule="auto"/>
              <w:ind w:right="60"/>
              <w:jc w:val="center"/>
              <w:rPr>
                <w:rFonts w:ascii="Times New Roman" w:eastAsia="Calibri" w:hAnsi="Times New Roman" w:cs="Times New Roman"/>
                <w:color w:val="000000"/>
              </w:rPr>
            </w:pPr>
            <w:r w:rsidRPr="006C5ED5">
              <w:rPr>
                <w:rFonts w:ascii="Times New Roman" w:eastAsia="Calibri" w:hAnsi="Times New Roman" w:cs="Times New Roman"/>
                <w:color w:val="000000"/>
              </w:rPr>
              <w:t xml:space="preserve">       45</w:t>
            </w:r>
          </w:p>
        </w:tc>
      </w:tr>
      <w:tr w:rsidR="00493CE7" w:rsidRPr="006C5ED5" w14:paraId="2833AAE1" w14:textId="77777777" w:rsidTr="00CC1EA3">
        <w:trPr>
          <w:cantSplit/>
        </w:trPr>
        <w:tc>
          <w:tcPr>
            <w:tcW w:w="1265" w:type="dxa"/>
            <w:vMerge/>
            <w:shd w:val="clear" w:color="auto" w:fill="FFFFFF"/>
            <w:vAlign w:val="center"/>
          </w:tcPr>
          <w:p w14:paraId="2E13E2F8" w14:textId="77777777" w:rsidR="00493CE7" w:rsidRPr="006C5ED5" w:rsidRDefault="00493CE7" w:rsidP="00E83841">
            <w:pPr>
              <w:autoSpaceDE w:val="0"/>
              <w:autoSpaceDN w:val="0"/>
              <w:adjustRightInd w:val="0"/>
              <w:spacing w:after="0" w:line="360" w:lineRule="auto"/>
              <w:ind w:left="60" w:right="60"/>
              <w:jc w:val="both"/>
              <w:rPr>
                <w:rFonts w:ascii="Times New Roman" w:eastAsia="Calibri" w:hAnsi="Times New Roman" w:cs="Times New Roman"/>
                <w:b/>
                <w:color w:val="000000"/>
              </w:rPr>
            </w:pPr>
          </w:p>
        </w:tc>
        <w:tc>
          <w:tcPr>
            <w:tcW w:w="1996" w:type="dxa"/>
            <w:tcBorders>
              <w:top w:val="nil"/>
              <w:bottom w:val="nil"/>
            </w:tcBorders>
            <w:shd w:val="clear" w:color="auto" w:fill="FFFFFF"/>
            <w:vAlign w:val="center"/>
          </w:tcPr>
          <w:p w14:paraId="4BF71338" w14:textId="77777777" w:rsidR="00493CE7" w:rsidRPr="006C5ED5" w:rsidRDefault="00493CE7" w:rsidP="00E83841">
            <w:pPr>
              <w:autoSpaceDE w:val="0"/>
              <w:autoSpaceDN w:val="0"/>
              <w:adjustRightInd w:val="0"/>
              <w:spacing w:after="0" w:line="360" w:lineRule="auto"/>
              <w:ind w:left="60" w:right="60"/>
              <w:jc w:val="both"/>
              <w:rPr>
                <w:rFonts w:ascii="Times New Roman" w:eastAsia="Calibri" w:hAnsi="Times New Roman" w:cs="Times New Roman"/>
                <w:b/>
                <w:color w:val="000000"/>
              </w:rPr>
            </w:pPr>
            <w:r w:rsidRPr="006C5ED5">
              <w:rPr>
                <w:rFonts w:ascii="Times New Roman" w:eastAsia="Calibri" w:hAnsi="Times New Roman" w:cs="Times New Roman"/>
                <w:b/>
                <w:color w:val="000000"/>
              </w:rPr>
              <w:t>Gender</w:t>
            </w:r>
          </w:p>
        </w:tc>
        <w:tc>
          <w:tcPr>
            <w:tcW w:w="1275" w:type="dxa"/>
            <w:tcBorders>
              <w:top w:val="nil"/>
              <w:bottom w:val="nil"/>
            </w:tcBorders>
            <w:shd w:val="clear" w:color="auto" w:fill="FFFFFF"/>
          </w:tcPr>
          <w:p w14:paraId="60A91DFD" w14:textId="77777777" w:rsidR="00493CE7" w:rsidRPr="006C5ED5" w:rsidRDefault="00493CE7" w:rsidP="00E83841">
            <w:pPr>
              <w:autoSpaceDE w:val="0"/>
              <w:autoSpaceDN w:val="0"/>
              <w:adjustRightInd w:val="0"/>
              <w:spacing w:after="0" w:line="360" w:lineRule="auto"/>
              <w:ind w:left="60" w:right="60"/>
              <w:jc w:val="center"/>
              <w:rPr>
                <w:rFonts w:ascii="Times New Roman" w:eastAsia="Calibri" w:hAnsi="Times New Roman" w:cs="Times New Roman"/>
                <w:color w:val="000000"/>
              </w:rPr>
            </w:pPr>
            <w:r w:rsidRPr="006C5ED5">
              <w:rPr>
                <w:rFonts w:ascii="Times New Roman" w:eastAsia="Calibri" w:hAnsi="Times New Roman" w:cs="Times New Roman"/>
                <w:color w:val="000000"/>
              </w:rPr>
              <w:t xml:space="preserve">           M</w:t>
            </w:r>
          </w:p>
        </w:tc>
        <w:tc>
          <w:tcPr>
            <w:tcW w:w="1134" w:type="dxa"/>
            <w:tcBorders>
              <w:top w:val="nil"/>
              <w:bottom w:val="nil"/>
            </w:tcBorders>
            <w:shd w:val="clear" w:color="auto" w:fill="FFFFFF"/>
          </w:tcPr>
          <w:p w14:paraId="52F05A29" w14:textId="77777777" w:rsidR="00493CE7" w:rsidRPr="006C5ED5" w:rsidRDefault="00493CE7" w:rsidP="00E83841">
            <w:pPr>
              <w:autoSpaceDE w:val="0"/>
              <w:autoSpaceDN w:val="0"/>
              <w:adjustRightInd w:val="0"/>
              <w:spacing w:after="0" w:line="360" w:lineRule="auto"/>
              <w:ind w:left="60" w:right="60"/>
              <w:jc w:val="center"/>
              <w:rPr>
                <w:rFonts w:ascii="Times New Roman" w:eastAsia="Calibri" w:hAnsi="Times New Roman" w:cs="Times New Roman"/>
                <w:color w:val="000000"/>
              </w:rPr>
            </w:pPr>
            <w:r w:rsidRPr="006C5ED5">
              <w:rPr>
                <w:rFonts w:ascii="Times New Roman" w:eastAsia="Calibri" w:hAnsi="Times New Roman" w:cs="Times New Roman"/>
                <w:color w:val="000000"/>
              </w:rPr>
              <w:t xml:space="preserve">  F</w:t>
            </w:r>
          </w:p>
        </w:tc>
        <w:tc>
          <w:tcPr>
            <w:tcW w:w="851" w:type="dxa"/>
            <w:tcBorders>
              <w:top w:val="nil"/>
              <w:bottom w:val="nil"/>
            </w:tcBorders>
            <w:shd w:val="clear" w:color="auto" w:fill="FFFFFF"/>
          </w:tcPr>
          <w:p w14:paraId="69BFBC45" w14:textId="77777777" w:rsidR="00493CE7" w:rsidRPr="006C5ED5" w:rsidRDefault="00493CE7" w:rsidP="00E83841">
            <w:pPr>
              <w:autoSpaceDE w:val="0"/>
              <w:autoSpaceDN w:val="0"/>
              <w:adjustRightInd w:val="0"/>
              <w:spacing w:after="0" w:line="360" w:lineRule="auto"/>
              <w:ind w:left="60" w:right="60"/>
              <w:jc w:val="center"/>
              <w:rPr>
                <w:rFonts w:ascii="Times New Roman" w:eastAsia="Calibri" w:hAnsi="Times New Roman" w:cs="Times New Roman"/>
                <w:color w:val="000000"/>
              </w:rPr>
            </w:pPr>
            <w:r w:rsidRPr="006C5ED5">
              <w:rPr>
                <w:rFonts w:ascii="Times New Roman" w:eastAsia="Calibri" w:hAnsi="Times New Roman" w:cs="Times New Roman"/>
                <w:color w:val="000000"/>
              </w:rPr>
              <w:t xml:space="preserve">   M</w:t>
            </w:r>
          </w:p>
        </w:tc>
        <w:tc>
          <w:tcPr>
            <w:tcW w:w="1134" w:type="dxa"/>
            <w:tcBorders>
              <w:top w:val="nil"/>
              <w:bottom w:val="nil"/>
            </w:tcBorders>
            <w:shd w:val="clear" w:color="auto" w:fill="FFFFFF"/>
          </w:tcPr>
          <w:p w14:paraId="7BA69A0D" w14:textId="77777777" w:rsidR="00493CE7" w:rsidRPr="006C5ED5" w:rsidRDefault="00493CE7" w:rsidP="00E83841">
            <w:pPr>
              <w:autoSpaceDE w:val="0"/>
              <w:autoSpaceDN w:val="0"/>
              <w:adjustRightInd w:val="0"/>
              <w:spacing w:after="0" w:line="360" w:lineRule="auto"/>
              <w:ind w:left="60" w:right="60"/>
              <w:jc w:val="center"/>
              <w:rPr>
                <w:rFonts w:ascii="Times New Roman" w:eastAsia="Calibri" w:hAnsi="Times New Roman" w:cs="Times New Roman"/>
                <w:color w:val="000000"/>
              </w:rPr>
            </w:pPr>
            <w:r w:rsidRPr="006C5ED5">
              <w:rPr>
                <w:rFonts w:ascii="Times New Roman" w:eastAsia="Calibri" w:hAnsi="Times New Roman" w:cs="Times New Roman"/>
                <w:color w:val="000000"/>
              </w:rPr>
              <w:t xml:space="preserve">      F</w:t>
            </w:r>
          </w:p>
        </w:tc>
        <w:tc>
          <w:tcPr>
            <w:tcW w:w="850" w:type="dxa"/>
            <w:tcBorders>
              <w:top w:val="nil"/>
              <w:bottom w:val="nil"/>
            </w:tcBorders>
            <w:shd w:val="clear" w:color="auto" w:fill="FFFFFF"/>
          </w:tcPr>
          <w:p w14:paraId="4170CFA5" w14:textId="77777777" w:rsidR="00493CE7" w:rsidRPr="006C5ED5" w:rsidRDefault="00493CE7" w:rsidP="00E83841">
            <w:pPr>
              <w:autoSpaceDE w:val="0"/>
              <w:autoSpaceDN w:val="0"/>
              <w:adjustRightInd w:val="0"/>
              <w:spacing w:after="0" w:line="360" w:lineRule="auto"/>
              <w:ind w:left="60" w:right="60"/>
              <w:jc w:val="center"/>
              <w:rPr>
                <w:rFonts w:ascii="Times New Roman" w:eastAsia="Calibri" w:hAnsi="Times New Roman" w:cs="Times New Roman"/>
                <w:color w:val="000000"/>
              </w:rPr>
            </w:pPr>
            <w:r w:rsidRPr="006C5ED5">
              <w:rPr>
                <w:rFonts w:ascii="Times New Roman" w:eastAsia="Calibri" w:hAnsi="Times New Roman" w:cs="Times New Roman"/>
                <w:color w:val="000000"/>
              </w:rPr>
              <w:t xml:space="preserve">     M</w:t>
            </w:r>
          </w:p>
        </w:tc>
        <w:tc>
          <w:tcPr>
            <w:tcW w:w="993" w:type="dxa"/>
            <w:tcBorders>
              <w:top w:val="nil"/>
              <w:bottom w:val="nil"/>
            </w:tcBorders>
            <w:shd w:val="clear" w:color="auto" w:fill="FFFFFF"/>
          </w:tcPr>
          <w:p w14:paraId="1FDACE93" w14:textId="77777777" w:rsidR="00493CE7" w:rsidRPr="006C5ED5" w:rsidRDefault="00493CE7" w:rsidP="00E83841">
            <w:pPr>
              <w:autoSpaceDE w:val="0"/>
              <w:autoSpaceDN w:val="0"/>
              <w:adjustRightInd w:val="0"/>
              <w:spacing w:after="0" w:line="360" w:lineRule="auto"/>
              <w:ind w:left="60" w:right="60"/>
              <w:jc w:val="center"/>
              <w:rPr>
                <w:rFonts w:ascii="Times New Roman" w:eastAsia="Calibri" w:hAnsi="Times New Roman" w:cs="Times New Roman"/>
                <w:color w:val="000000"/>
              </w:rPr>
            </w:pPr>
            <w:r w:rsidRPr="006C5ED5">
              <w:rPr>
                <w:rFonts w:ascii="Times New Roman" w:eastAsia="Calibri" w:hAnsi="Times New Roman" w:cs="Times New Roman"/>
                <w:color w:val="000000"/>
              </w:rPr>
              <w:t xml:space="preserve">     F</w:t>
            </w:r>
          </w:p>
        </w:tc>
      </w:tr>
      <w:tr w:rsidR="00493CE7" w:rsidRPr="006C5ED5" w14:paraId="4C11166A" w14:textId="77777777" w:rsidTr="00CC1EA3">
        <w:trPr>
          <w:cantSplit/>
        </w:trPr>
        <w:tc>
          <w:tcPr>
            <w:tcW w:w="1265" w:type="dxa"/>
            <w:vMerge/>
            <w:shd w:val="clear" w:color="auto" w:fill="FFFFFF"/>
            <w:vAlign w:val="center"/>
          </w:tcPr>
          <w:p w14:paraId="612F4C88" w14:textId="77777777" w:rsidR="00493CE7" w:rsidRPr="006C5ED5" w:rsidRDefault="00493CE7" w:rsidP="00E83841">
            <w:pPr>
              <w:autoSpaceDE w:val="0"/>
              <w:autoSpaceDN w:val="0"/>
              <w:adjustRightInd w:val="0"/>
              <w:spacing w:after="0" w:line="360" w:lineRule="auto"/>
              <w:jc w:val="both"/>
              <w:rPr>
                <w:rFonts w:ascii="Times New Roman" w:eastAsia="Calibri" w:hAnsi="Times New Roman" w:cs="Times New Roman"/>
                <w:b/>
                <w:color w:val="000000"/>
              </w:rPr>
            </w:pPr>
          </w:p>
        </w:tc>
        <w:tc>
          <w:tcPr>
            <w:tcW w:w="1996" w:type="dxa"/>
            <w:tcBorders>
              <w:top w:val="nil"/>
              <w:bottom w:val="nil"/>
            </w:tcBorders>
            <w:shd w:val="clear" w:color="auto" w:fill="FFFFFF"/>
            <w:vAlign w:val="center"/>
          </w:tcPr>
          <w:p w14:paraId="6E97F297" w14:textId="77777777" w:rsidR="00493CE7" w:rsidRPr="006C5ED5" w:rsidRDefault="00493CE7" w:rsidP="00E83841">
            <w:pPr>
              <w:autoSpaceDE w:val="0"/>
              <w:autoSpaceDN w:val="0"/>
              <w:adjustRightInd w:val="0"/>
              <w:spacing w:after="0" w:line="360" w:lineRule="auto"/>
              <w:ind w:left="60" w:right="60"/>
              <w:jc w:val="both"/>
              <w:rPr>
                <w:rFonts w:ascii="Times New Roman" w:eastAsia="Calibri" w:hAnsi="Times New Roman" w:cs="Times New Roman"/>
                <w:b/>
                <w:color w:val="000000"/>
              </w:rPr>
            </w:pPr>
            <w:r w:rsidRPr="006C5ED5">
              <w:rPr>
                <w:rFonts w:ascii="Times New Roman" w:eastAsia="Calibri" w:hAnsi="Times New Roman" w:cs="Times New Roman"/>
                <w:b/>
                <w:color w:val="000000"/>
              </w:rPr>
              <w:t>Mean</w:t>
            </w:r>
          </w:p>
        </w:tc>
        <w:tc>
          <w:tcPr>
            <w:tcW w:w="1275" w:type="dxa"/>
            <w:tcBorders>
              <w:top w:val="nil"/>
              <w:bottom w:val="nil"/>
            </w:tcBorders>
            <w:shd w:val="clear" w:color="auto" w:fill="FFFFFF"/>
          </w:tcPr>
          <w:p w14:paraId="56428E5B" w14:textId="77777777" w:rsidR="00493CE7" w:rsidRPr="006C5ED5" w:rsidRDefault="00493CE7" w:rsidP="00E83841">
            <w:pPr>
              <w:autoSpaceDE w:val="0"/>
              <w:autoSpaceDN w:val="0"/>
              <w:adjustRightInd w:val="0"/>
              <w:spacing w:after="0" w:line="360" w:lineRule="auto"/>
              <w:ind w:right="60"/>
              <w:jc w:val="right"/>
              <w:rPr>
                <w:rFonts w:ascii="Times New Roman" w:eastAsia="Calibri" w:hAnsi="Times New Roman" w:cs="Times New Roman"/>
                <w:color w:val="000000"/>
              </w:rPr>
            </w:pPr>
            <w:r w:rsidRPr="006C5ED5">
              <w:rPr>
                <w:rFonts w:ascii="Times New Roman" w:eastAsia="Calibri" w:hAnsi="Times New Roman" w:cs="Times New Roman"/>
                <w:color w:val="000000"/>
              </w:rPr>
              <w:t>97.6</w:t>
            </w:r>
          </w:p>
        </w:tc>
        <w:tc>
          <w:tcPr>
            <w:tcW w:w="1134" w:type="dxa"/>
            <w:tcBorders>
              <w:top w:val="nil"/>
              <w:bottom w:val="nil"/>
            </w:tcBorders>
            <w:shd w:val="clear" w:color="auto" w:fill="FFFFFF"/>
          </w:tcPr>
          <w:p w14:paraId="525C0A81" w14:textId="77777777" w:rsidR="00493CE7" w:rsidRPr="006C5ED5" w:rsidRDefault="00493CE7" w:rsidP="00E83841">
            <w:pPr>
              <w:autoSpaceDE w:val="0"/>
              <w:autoSpaceDN w:val="0"/>
              <w:adjustRightInd w:val="0"/>
              <w:spacing w:after="0" w:line="360" w:lineRule="auto"/>
              <w:ind w:right="60"/>
              <w:jc w:val="center"/>
              <w:rPr>
                <w:rFonts w:ascii="Times New Roman" w:eastAsia="Calibri" w:hAnsi="Times New Roman" w:cs="Times New Roman"/>
                <w:color w:val="000000"/>
              </w:rPr>
            </w:pPr>
            <w:r w:rsidRPr="006C5ED5">
              <w:rPr>
                <w:rFonts w:ascii="Times New Roman" w:eastAsia="Calibri" w:hAnsi="Times New Roman" w:cs="Times New Roman"/>
                <w:color w:val="000000"/>
              </w:rPr>
              <w:t>98.2</w:t>
            </w:r>
          </w:p>
        </w:tc>
        <w:tc>
          <w:tcPr>
            <w:tcW w:w="851" w:type="dxa"/>
            <w:tcBorders>
              <w:top w:val="nil"/>
              <w:bottom w:val="nil"/>
            </w:tcBorders>
            <w:shd w:val="clear" w:color="auto" w:fill="FFFFFF"/>
          </w:tcPr>
          <w:p w14:paraId="300BE1B6" w14:textId="77777777" w:rsidR="00493CE7" w:rsidRPr="006C5ED5" w:rsidRDefault="00493CE7" w:rsidP="00E83841">
            <w:pPr>
              <w:autoSpaceDE w:val="0"/>
              <w:autoSpaceDN w:val="0"/>
              <w:adjustRightInd w:val="0"/>
              <w:spacing w:after="0" w:line="360" w:lineRule="auto"/>
              <w:ind w:right="60"/>
              <w:jc w:val="right"/>
              <w:rPr>
                <w:rFonts w:ascii="Times New Roman" w:eastAsia="Calibri" w:hAnsi="Times New Roman" w:cs="Times New Roman"/>
                <w:color w:val="000000"/>
              </w:rPr>
            </w:pPr>
            <w:r w:rsidRPr="006C5ED5">
              <w:rPr>
                <w:rFonts w:ascii="Times New Roman" w:eastAsia="Calibri" w:hAnsi="Times New Roman" w:cs="Times New Roman"/>
                <w:color w:val="000000"/>
              </w:rPr>
              <w:t>99.66</w:t>
            </w:r>
          </w:p>
        </w:tc>
        <w:tc>
          <w:tcPr>
            <w:tcW w:w="1134" w:type="dxa"/>
            <w:tcBorders>
              <w:top w:val="nil"/>
              <w:bottom w:val="nil"/>
            </w:tcBorders>
            <w:shd w:val="clear" w:color="auto" w:fill="FFFFFF"/>
          </w:tcPr>
          <w:p w14:paraId="52DEDDB4" w14:textId="77777777" w:rsidR="00493CE7" w:rsidRPr="006C5ED5" w:rsidRDefault="00493CE7" w:rsidP="00E83841">
            <w:pPr>
              <w:autoSpaceDE w:val="0"/>
              <w:autoSpaceDN w:val="0"/>
              <w:adjustRightInd w:val="0"/>
              <w:spacing w:after="0" w:line="360" w:lineRule="auto"/>
              <w:ind w:right="60"/>
              <w:jc w:val="right"/>
              <w:rPr>
                <w:rFonts w:ascii="Times New Roman" w:eastAsia="Calibri" w:hAnsi="Times New Roman" w:cs="Times New Roman"/>
                <w:color w:val="000000"/>
              </w:rPr>
            </w:pPr>
            <w:r w:rsidRPr="006C5ED5">
              <w:rPr>
                <w:rFonts w:ascii="Times New Roman" w:eastAsia="Calibri" w:hAnsi="Times New Roman" w:cs="Times New Roman"/>
                <w:color w:val="000000"/>
              </w:rPr>
              <w:t>98.66</w:t>
            </w:r>
          </w:p>
        </w:tc>
        <w:tc>
          <w:tcPr>
            <w:tcW w:w="850" w:type="dxa"/>
            <w:tcBorders>
              <w:top w:val="nil"/>
              <w:bottom w:val="nil"/>
            </w:tcBorders>
            <w:shd w:val="clear" w:color="auto" w:fill="FFFFFF"/>
          </w:tcPr>
          <w:p w14:paraId="4AEC3362" w14:textId="77777777" w:rsidR="00493CE7" w:rsidRPr="006C5ED5" w:rsidRDefault="00493CE7" w:rsidP="00E83841">
            <w:pPr>
              <w:autoSpaceDE w:val="0"/>
              <w:autoSpaceDN w:val="0"/>
              <w:adjustRightInd w:val="0"/>
              <w:spacing w:after="0" w:line="360" w:lineRule="auto"/>
              <w:ind w:right="60"/>
              <w:jc w:val="right"/>
              <w:rPr>
                <w:rFonts w:ascii="Times New Roman" w:eastAsia="Calibri" w:hAnsi="Times New Roman" w:cs="Times New Roman"/>
                <w:color w:val="000000"/>
              </w:rPr>
            </w:pPr>
            <w:r w:rsidRPr="006C5ED5">
              <w:rPr>
                <w:rFonts w:ascii="Times New Roman" w:eastAsia="Calibri" w:hAnsi="Times New Roman" w:cs="Times New Roman"/>
                <w:color w:val="000000"/>
              </w:rPr>
              <w:t>99.96</w:t>
            </w:r>
          </w:p>
        </w:tc>
        <w:tc>
          <w:tcPr>
            <w:tcW w:w="993" w:type="dxa"/>
            <w:tcBorders>
              <w:top w:val="nil"/>
              <w:bottom w:val="nil"/>
            </w:tcBorders>
            <w:shd w:val="clear" w:color="auto" w:fill="FFFFFF"/>
          </w:tcPr>
          <w:p w14:paraId="627C0D24" w14:textId="77777777" w:rsidR="00493CE7" w:rsidRPr="006C5ED5" w:rsidRDefault="00493CE7" w:rsidP="00E83841">
            <w:pPr>
              <w:autoSpaceDE w:val="0"/>
              <w:autoSpaceDN w:val="0"/>
              <w:adjustRightInd w:val="0"/>
              <w:spacing w:after="0" w:line="360" w:lineRule="auto"/>
              <w:ind w:right="60"/>
              <w:jc w:val="right"/>
              <w:rPr>
                <w:rFonts w:ascii="Times New Roman" w:eastAsia="Calibri" w:hAnsi="Times New Roman" w:cs="Times New Roman"/>
                <w:color w:val="000000"/>
              </w:rPr>
            </w:pPr>
            <w:r w:rsidRPr="006C5ED5">
              <w:rPr>
                <w:rFonts w:ascii="Times New Roman" w:eastAsia="Calibri" w:hAnsi="Times New Roman" w:cs="Times New Roman"/>
                <w:color w:val="000000"/>
              </w:rPr>
              <w:t>91.33</w:t>
            </w:r>
          </w:p>
        </w:tc>
      </w:tr>
      <w:tr w:rsidR="00493CE7" w:rsidRPr="006C5ED5" w14:paraId="1ACC42D3" w14:textId="77777777" w:rsidTr="00CC1EA3">
        <w:trPr>
          <w:cantSplit/>
        </w:trPr>
        <w:tc>
          <w:tcPr>
            <w:tcW w:w="1265" w:type="dxa"/>
            <w:vMerge/>
            <w:shd w:val="clear" w:color="auto" w:fill="FFFFFF"/>
            <w:vAlign w:val="center"/>
          </w:tcPr>
          <w:p w14:paraId="4695AF68" w14:textId="77777777" w:rsidR="00493CE7" w:rsidRPr="006C5ED5" w:rsidRDefault="00493CE7" w:rsidP="00E83841">
            <w:pPr>
              <w:autoSpaceDE w:val="0"/>
              <w:autoSpaceDN w:val="0"/>
              <w:adjustRightInd w:val="0"/>
              <w:spacing w:after="0" w:line="360" w:lineRule="auto"/>
              <w:jc w:val="both"/>
              <w:rPr>
                <w:rFonts w:ascii="Times New Roman" w:eastAsia="Calibri" w:hAnsi="Times New Roman" w:cs="Times New Roman"/>
                <w:b/>
                <w:color w:val="000000"/>
              </w:rPr>
            </w:pPr>
          </w:p>
        </w:tc>
        <w:tc>
          <w:tcPr>
            <w:tcW w:w="1996" w:type="dxa"/>
            <w:tcBorders>
              <w:top w:val="nil"/>
              <w:bottom w:val="nil"/>
            </w:tcBorders>
            <w:shd w:val="clear" w:color="auto" w:fill="FFFFFF"/>
            <w:vAlign w:val="center"/>
          </w:tcPr>
          <w:p w14:paraId="77770CE2" w14:textId="77777777" w:rsidR="00493CE7" w:rsidRPr="006C5ED5" w:rsidRDefault="00493CE7" w:rsidP="00E83841">
            <w:pPr>
              <w:autoSpaceDE w:val="0"/>
              <w:autoSpaceDN w:val="0"/>
              <w:adjustRightInd w:val="0"/>
              <w:spacing w:after="0" w:line="360" w:lineRule="auto"/>
              <w:ind w:left="60" w:right="60"/>
              <w:jc w:val="both"/>
              <w:rPr>
                <w:rFonts w:ascii="Times New Roman" w:eastAsia="Calibri" w:hAnsi="Times New Roman" w:cs="Times New Roman"/>
                <w:b/>
                <w:color w:val="000000"/>
              </w:rPr>
            </w:pPr>
            <w:r w:rsidRPr="006C5ED5">
              <w:rPr>
                <w:rFonts w:ascii="Times New Roman" w:eastAsia="Calibri" w:hAnsi="Times New Roman" w:cs="Times New Roman"/>
                <w:b/>
                <w:color w:val="000000"/>
              </w:rPr>
              <w:t>Std. Dev.</w:t>
            </w:r>
          </w:p>
        </w:tc>
        <w:tc>
          <w:tcPr>
            <w:tcW w:w="1275" w:type="dxa"/>
            <w:tcBorders>
              <w:top w:val="nil"/>
              <w:bottom w:val="nil"/>
            </w:tcBorders>
            <w:shd w:val="clear" w:color="auto" w:fill="FFFFFF"/>
          </w:tcPr>
          <w:p w14:paraId="2D362DB8" w14:textId="77777777" w:rsidR="00493CE7" w:rsidRPr="006C5ED5" w:rsidRDefault="00493CE7" w:rsidP="00E83841">
            <w:pPr>
              <w:autoSpaceDE w:val="0"/>
              <w:autoSpaceDN w:val="0"/>
              <w:adjustRightInd w:val="0"/>
              <w:spacing w:after="0" w:line="360" w:lineRule="auto"/>
              <w:ind w:right="60"/>
              <w:jc w:val="right"/>
              <w:rPr>
                <w:rFonts w:ascii="Times New Roman" w:eastAsia="Calibri" w:hAnsi="Times New Roman" w:cs="Times New Roman"/>
                <w:color w:val="000000"/>
              </w:rPr>
            </w:pPr>
            <w:r w:rsidRPr="006C5ED5">
              <w:rPr>
                <w:rFonts w:ascii="Times New Roman" w:eastAsia="Calibri" w:hAnsi="Times New Roman" w:cs="Times New Roman"/>
                <w:color w:val="000000"/>
              </w:rPr>
              <w:t>24.153</w:t>
            </w:r>
          </w:p>
        </w:tc>
        <w:tc>
          <w:tcPr>
            <w:tcW w:w="1134" w:type="dxa"/>
            <w:tcBorders>
              <w:top w:val="nil"/>
              <w:bottom w:val="nil"/>
            </w:tcBorders>
            <w:shd w:val="clear" w:color="auto" w:fill="FFFFFF"/>
          </w:tcPr>
          <w:p w14:paraId="1284A9D0" w14:textId="77777777" w:rsidR="00493CE7" w:rsidRPr="006C5ED5" w:rsidRDefault="00493CE7" w:rsidP="00E83841">
            <w:pPr>
              <w:autoSpaceDE w:val="0"/>
              <w:autoSpaceDN w:val="0"/>
              <w:adjustRightInd w:val="0"/>
              <w:spacing w:after="0" w:line="360" w:lineRule="auto"/>
              <w:ind w:right="60"/>
              <w:jc w:val="right"/>
              <w:rPr>
                <w:rFonts w:ascii="Times New Roman" w:eastAsia="Calibri" w:hAnsi="Times New Roman" w:cs="Times New Roman"/>
                <w:color w:val="000000"/>
              </w:rPr>
            </w:pPr>
            <w:r w:rsidRPr="006C5ED5">
              <w:rPr>
                <w:rFonts w:ascii="Times New Roman" w:eastAsia="Calibri" w:hAnsi="Times New Roman" w:cs="Times New Roman"/>
                <w:color w:val="000000"/>
              </w:rPr>
              <w:t>23.44009</w:t>
            </w:r>
          </w:p>
        </w:tc>
        <w:tc>
          <w:tcPr>
            <w:tcW w:w="851" w:type="dxa"/>
            <w:tcBorders>
              <w:top w:val="nil"/>
              <w:bottom w:val="nil"/>
            </w:tcBorders>
            <w:shd w:val="clear" w:color="auto" w:fill="FFFFFF"/>
          </w:tcPr>
          <w:p w14:paraId="06734C5C" w14:textId="77777777" w:rsidR="00493CE7" w:rsidRPr="006C5ED5" w:rsidRDefault="00493CE7" w:rsidP="00E83841">
            <w:pPr>
              <w:autoSpaceDE w:val="0"/>
              <w:autoSpaceDN w:val="0"/>
              <w:adjustRightInd w:val="0"/>
              <w:spacing w:after="0" w:line="360" w:lineRule="auto"/>
              <w:ind w:right="60"/>
              <w:jc w:val="right"/>
              <w:rPr>
                <w:rFonts w:ascii="Times New Roman" w:eastAsia="Calibri" w:hAnsi="Times New Roman" w:cs="Times New Roman"/>
                <w:color w:val="000000"/>
              </w:rPr>
            </w:pPr>
            <w:r w:rsidRPr="006C5ED5">
              <w:rPr>
                <w:rFonts w:ascii="Times New Roman" w:eastAsia="Calibri" w:hAnsi="Times New Roman" w:cs="Times New Roman"/>
                <w:color w:val="000000"/>
              </w:rPr>
              <w:t>23.234</w:t>
            </w:r>
          </w:p>
        </w:tc>
        <w:tc>
          <w:tcPr>
            <w:tcW w:w="1134" w:type="dxa"/>
            <w:tcBorders>
              <w:top w:val="nil"/>
              <w:bottom w:val="nil"/>
            </w:tcBorders>
            <w:shd w:val="clear" w:color="auto" w:fill="FFFFFF"/>
          </w:tcPr>
          <w:p w14:paraId="104516F4" w14:textId="77777777" w:rsidR="00493CE7" w:rsidRPr="006C5ED5" w:rsidRDefault="00493CE7" w:rsidP="00E83841">
            <w:pPr>
              <w:autoSpaceDE w:val="0"/>
              <w:autoSpaceDN w:val="0"/>
              <w:adjustRightInd w:val="0"/>
              <w:spacing w:after="0" w:line="360" w:lineRule="auto"/>
              <w:ind w:right="60"/>
              <w:jc w:val="right"/>
              <w:rPr>
                <w:rFonts w:ascii="Times New Roman" w:eastAsia="Calibri" w:hAnsi="Times New Roman" w:cs="Times New Roman"/>
                <w:color w:val="000000"/>
              </w:rPr>
            </w:pPr>
            <w:r w:rsidRPr="006C5ED5">
              <w:rPr>
                <w:rFonts w:ascii="Times New Roman" w:eastAsia="Calibri" w:hAnsi="Times New Roman" w:cs="Times New Roman"/>
                <w:color w:val="000000"/>
              </w:rPr>
              <w:t>23.06487</w:t>
            </w:r>
          </w:p>
        </w:tc>
        <w:tc>
          <w:tcPr>
            <w:tcW w:w="850" w:type="dxa"/>
            <w:tcBorders>
              <w:top w:val="nil"/>
              <w:bottom w:val="nil"/>
            </w:tcBorders>
            <w:shd w:val="clear" w:color="auto" w:fill="FFFFFF"/>
          </w:tcPr>
          <w:p w14:paraId="458E4497" w14:textId="77777777" w:rsidR="00493CE7" w:rsidRPr="006C5ED5" w:rsidRDefault="00493CE7" w:rsidP="00E83841">
            <w:pPr>
              <w:autoSpaceDE w:val="0"/>
              <w:autoSpaceDN w:val="0"/>
              <w:adjustRightInd w:val="0"/>
              <w:spacing w:after="0" w:line="360" w:lineRule="auto"/>
              <w:ind w:right="60"/>
              <w:jc w:val="right"/>
              <w:rPr>
                <w:rFonts w:ascii="Times New Roman" w:eastAsia="Calibri" w:hAnsi="Times New Roman" w:cs="Times New Roman"/>
                <w:color w:val="000000"/>
              </w:rPr>
            </w:pPr>
            <w:r w:rsidRPr="006C5ED5">
              <w:rPr>
                <w:rFonts w:ascii="Times New Roman" w:eastAsia="Calibri" w:hAnsi="Times New Roman" w:cs="Times New Roman"/>
                <w:color w:val="000000"/>
              </w:rPr>
              <w:t>21.013</w:t>
            </w:r>
          </w:p>
        </w:tc>
        <w:tc>
          <w:tcPr>
            <w:tcW w:w="993" w:type="dxa"/>
            <w:tcBorders>
              <w:top w:val="nil"/>
              <w:bottom w:val="nil"/>
            </w:tcBorders>
            <w:shd w:val="clear" w:color="auto" w:fill="FFFFFF"/>
          </w:tcPr>
          <w:p w14:paraId="7DEA264D" w14:textId="77777777" w:rsidR="00493CE7" w:rsidRPr="006C5ED5" w:rsidRDefault="00493CE7" w:rsidP="00E83841">
            <w:pPr>
              <w:autoSpaceDE w:val="0"/>
              <w:autoSpaceDN w:val="0"/>
              <w:adjustRightInd w:val="0"/>
              <w:spacing w:after="0" w:line="360" w:lineRule="auto"/>
              <w:ind w:right="60"/>
              <w:jc w:val="right"/>
              <w:rPr>
                <w:rFonts w:ascii="Times New Roman" w:eastAsia="Calibri" w:hAnsi="Times New Roman" w:cs="Times New Roman"/>
                <w:color w:val="000000"/>
              </w:rPr>
            </w:pPr>
            <w:r w:rsidRPr="006C5ED5">
              <w:rPr>
                <w:rFonts w:ascii="Times New Roman" w:eastAsia="Calibri" w:hAnsi="Times New Roman" w:cs="Times New Roman"/>
                <w:color w:val="000000"/>
              </w:rPr>
              <w:t>28.99138</w:t>
            </w:r>
          </w:p>
        </w:tc>
      </w:tr>
      <w:tr w:rsidR="00493CE7" w:rsidRPr="006C5ED5" w14:paraId="4DF642C0" w14:textId="77777777" w:rsidTr="00CC1EA3">
        <w:trPr>
          <w:cantSplit/>
        </w:trPr>
        <w:tc>
          <w:tcPr>
            <w:tcW w:w="1265" w:type="dxa"/>
            <w:vMerge/>
            <w:shd w:val="clear" w:color="auto" w:fill="FFFFFF"/>
            <w:vAlign w:val="center"/>
          </w:tcPr>
          <w:p w14:paraId="292C4D07" w14:textId="77777777" w:rsidR="00493CE7" w:rsidRPr="006C5ED5" w:rsidRDefault="00493CE7" w:rsidP="00E83841">
            <w:pPr>
              <w:autoSpaceDE w:val="0"/>
              <w:autoSpaceDN w:val="0"/>
              <w:adjustRightInd w:val="0"/>
              <w:spacing w:after="0" w:line="360" w:lineRule="auto"/>
              <w:jc w:val="both"/>
              <w:rPr>
                <w:rFonts w:ascii="Times New Roman" w:eastAsia="Calibri" w:hAnsi="Times New Roman" w:cs="Times New Roman"/>
                <w:b/>
                <w:color w:val="000000"/>
              </w:rPr>
            </w:pPr>
          </w:p>
        </w:tc>
        <w:tc>
          <w:tcPr>
            <w:tcW w:w="1996" w:type="dxa"/>
            <w:tcBorders>
              <w:top w:val="nil"/>
              <w:bottom w:val="nil"/>
            </w:tcBorders>
            <w:shd w:val="clear" w:color="auto" w:fill="FFFFFF"/>
            <w:vAlign w:val="center"/>
          </w:tcPr>
          <w:p w14:paraId="2393DE1C" w14:textId="77777777" w:rsidR="00493CE7" w:rsidRPr="006C5ED5" w:rsidRDefault="00493CE7" w:rsidP="00E83841">
            <w:pPr>
              <w:autoSpaceDE w:val="0"/>
              <w:autoSpaceDN w:val="0"/>
              <w:adjustRightInd w:val="0"/>
              <w:spacing w:after="0" w:line="360" w:lineRule="auto"/>
              <w:ind w:left="60" w:right="60"/>
              <w:jc w:val="both"/>
              <w:rPr>
                <w:rFonts w:ascii="Times New Roman" w:eastAsia="Calibri" w:hAnsi="Times New Roman" w:cs="Times New Roman"/>
                <w:b/>
                <w:color w:val="000000"/>
              </w:rPr>
            </w:pPr>
            <w:r w:rsidRPr="006C5ED5">
              <w:rPr>
                <w:rFonts w:ascii="Times New Roman" w:eastAsia="Calibri" w:hAnsi="Times New Roman" w:cs="Times New Roman"/>
                <w:b/>
                <w:color w:val="000000"/>
              </w:rPr>
              <w:t>Min</w:t>
            </w:r>
          </w:p>
        </w:tc>
        <w:tc>
          <w:tcPr>
            <w:tcW w:w="1275" w:type="dxa"/>
            <w:tcBorders>
              <w:top w:val="nil"/>
              <w:bottom w:val="nil"/>
            </w:tcBorders>
            <w:shd w:val="clear" w:color="auto" w:fill="FFFFFF"/>
          </w:tcPr>
          <w:p w14:paraId="7ABCA678" w14:textId="77777777" w:rsidR="00493CE7" w:rsidRPr="006C5ED5" w:rsidRDefault="00493CE7" w:rsidP="00E83841">
            <w:pPr>
              <w:autoSpaceDE w:val="0"/>
              <w:autoSpaceDN w:val="0"/>
              <w:adjustRightInd w:val="0"/>
              <w:spacing w:after="0" w:line="360" w:lineRule="auto"/>
              <w:ind w:right="60"/>
              <w:jc w:val="right"/>
              <w:rPr>
                <w:rFonts w:ascii="Times New Roman" w:eastAsia="Calibri" w:hAnsi="Times New Roman" w:cs="Times New Roman"/>
                <w:color w:val="000000"/>
              </w:rPr>
            </w:pPr>
            <w:r w:rsidRPr="006C5ED5">
              <w:rPr>
                <w:rFonts w:ascii="Times New Roman" w:eastAsia="Calibri" w:hAnsi="Times New Roman" w:cs="Times New Roman"/>
                <w:color w:val="000000"/>
              </w:rPr>
              <w:t>45.00</w:t>
            </w:r>
          </w:p>
        </w:tc>
        <w:tc>
          <w:tcPr>
            <w:tcW w:w="1134" w:type="dxa"/>
            <w:tcBorders>
              <w:top w:val="nil"/>
              <w:bottom w:val="nil"/>
            </w:tcBorders>
            <w:shd w:val="clear" w:color="auto" w:fill="FFFFFF"/>
          </w:tcPr>
          <w:p w14:paraId="324B42AE" w14:textId="77777777" w:rsidR="00493CE7" w:rsidRPr="006C5ED5" w:rsidRDefault="00493CE7" w:rsidP="00E83841">
            <w:pPr>
              <w:autoSpaceDE w:val="0"/>
              <w:autoSpaceDN w:val="0"/>
              <w:adjustRightInd w:val="0"/>
              <w:spacing w:after="0" w:line="360" w:lineRule="auto"/>
              <w:ind w:right="60"/>
              <w:jc w:val="right"/>
              <w:rPr>
                <w:rFonts w:ascii="Times New Roman" w:eastAsia="Calibri" w:hAnsi="Times New Roman" w:cs="Times New Roman"/>
                <w:color w:val="000000"/>
              </w:rPr>
            </w:pPr>
            <w:r w:rsidRPr="006C5ED5">
              <w:rPr>
                <w:rFonts w:ascii="Times New Roman" w:eastAsia="Calibri" w:hAnsi="Times New Roman" w:cs="Times New Roman"/>
                <w:color w:val="000000"/>
              </w:rPr>
              <w:t>46.00</w:t>
            </w:r>
          </w:p>
        </w:tc>
        <w:tc>
          <w:tcPr>
            <w:tcW w:w="851" w:type="dxa"/>
            <w:tcBorders>
              <w:top w:val="nil"/>
              <w:bottom w:val="nil"/>
            </w:tcBorders>
            <w:shd w:val="clear" w:color="auto" w:fill="FFFFFF"/>
          </w:tcPr>
          <w:p w14:paraId="0C49D512" w14:textId="77777777" w:rsidR="00493CE7" w:rsidRPr="006C5ED5" w:rsidRDefault="00493CE7" w:rsidP="00E83841">
            <w:pPr>
              <w:autoSpaceDE w:val="0"/>
              <w:autoSpaceDN w:val="0"/>
              <w:adjustRightInd w:val="0"/>
              <w:spacing w:after="0" w:line="360" w:lineRule="auto"/>
              <w:ind w:right="60"/>
              <w:jc w:val="right"/>
              <w:rPr>
                <w:rFonts w:ascii="Times New Roman" w:eastAsia="Calibri" w:hAnsi="Times New Roman" w:cs="Times New Roman"/>
                <w:color w:val="000000"/>
              </w:rPr>
            </w:pPr>
            <w:r w:rsidRPr="006C5ED5">
              <w:rPr>
                <w:rFonts w:ascii="Times New Roman" w:eastAsia="Calibri" w:hAnsi="Times New Roman" w:cs="Times New Roman"/>
                <w:color w:val="000000"/>
              </w:rPr>
              <w:t>56.00</w:t>
            </w:r>
          </w:p>
        </w:tc>
        <w:tc>
          <w:tcPr>
            <w:tcW w:w="1134" w:type="dxa"/>
            <w:tcBorders>
              <w:top w:val="nil"/>
              <w:bottom w:val="nil"/>
            </w:tcBorders>
            <w:shd w:val="clear" w:color="auto" w:fill="FFFFFF"/>
          </w:tcPr>
          <w:p w14:paraId="077FCE70" w14:textId="77777777" w:rsidR="00493CE7" w:rsidRPr="006C5ED5" w:rsidRDefault="00493CE7" w:rsidP="00E83841">
            <w:pPr>
              <w:autoSpaceDE w:val="0"/>
              <w:autoSpaceDN w:val="0"/>
              <w:adjustRightInd w:val="0"/>
              <w:spacing w:after="0" w:line="360" w:lineRule="auto"/>
              <w:ind w:right="60"/>
              <w:jc w:val="center"/>
              <w:rPr>
                <w:rFonts w:ascii="Times New Roman" w:eastAsia="Calibri" w:hAnsi="Times New Roman" w:cs="Times New Roman"/>
                <w:color w:val="000000"/>
              </w:rPr>
            </w:pPr>
            <w:r w:rsidRPr="006C5ED5">
              <w:rPr>
                <w:rFonts w:ascii="Times New Roman" w:eastAsia="Calibri" w:hAnsi="Times New Roman" w:cs="Times New Roman"/>
                <w:color w:val="000000"/>
              </w:rPr>
              <w:t>47.00</w:t>
            </w:r>
          </w:p>
        </w:tc>
        <w:tc>
          <w:tcPr>
            <w:tcW w:w="850" w:type="dxa"/>
            <w:tcBorders>
              <w:top w:val="nil"/>
              <w:bottom w:val="nil"/>
            </w:tcBorders>
            <w:shd w:val="clear" w:color="auto" w:fill="FFFFFF"/>
          </w:tcPr>
          <w:p w14:paraId="4D1F4952" w14:textId="77777777" w:rsidR="00493CE7" w:rsidRPr="006C5ED5" w:rsidRDefault="00493CE7" w:rsidP="00E83841">
            <w:pPr>
              <w:autoSpaceDE w:val="0"/>
              <w:autoSpaceDN w:val="0"/>
              <w:adjustRightInd w:val="0"/>
              <w:spacing w:after="0" w:line="360" w:lineRule="auto"/>
              <w:ind w:right="60"/>
              <w:jc w:val="right"/>
              <w:rPr>
                <w:rFonts w:ascii="Times New Roman" w:eastAsia="Calibri" w:hAnsi="Times New Roman" w:cs="Times New Roman"/>
                <w:color w:val="000000"/>
              </w:rPr>
            </w:pPr>
            <w:r w:rsidRPr="006C5ED5">
              <w:rPr>
                <w:rFonts w:ascii="Times New Roman" w:eastAsia="Calibri" w:hAnsi="Times New Roman" w:cs="Times New Roman"/>
                <w:color w:val="000000"/>
              </w:rPr>
              <w:t>56.00</w:t>
            </w:r>
          </w:p>
        </w:tc>
        <w:tc>
          <w:tcPr>
            <w:tcW w:w="993" w:type="dxa"/>
            <w:tcBorders>
              <w:top w:val="nil"/>
              <w:bottom w:val="nil"/>
            </w:tcBorders>
            <w:shd w:val="clear" w:color="auto" w:fill="FFFFFF"/>
          </w:tcPr>
          <w:p w14:paraId="444CB631" w14:textId="77777777" w:rsidR="00493CE7" w:rsidRPr="006C5ED5" w:rsidRDefault="00493CE7" w:rsidP="00E83841">
            <w:pPr>
              <w:autoSpaceDE w:val="0"/>
              <w:autoSpaceDN w:val="0"/>
              <w:adjustRightInd w:val="0"/>
              <w:spacing w:after="0" w:line="360" w:lineRule="auto"/>
              <w:ind w:right="60"/>
              <w:jc w:val="right"/>
              <w:rPr>
                <w:rFonts w:ascii="Times New Roman" w:eastAsia="Calibri" w:hAnsi="Times New Roman" w:cs="Times New Roman"/>
                <w:color w:val="000000"/>
              </w:rPr>
            </w:pPr>
            <w:r w:rsidRPr="006C5ED5">
              <w:rPr>
                <w:rFonts w:ascii="Times New Roman" w:eastAsia="Calibri" w:hAnsi="Times New Roman" w:cs="Times New Roman"/>
                <w:color w:val="000000"/>
              </w:rPr>
              <w:t>45.00</w:t>
            </w:r>
          </w:p>
        </w:tc>
      </w:tr>
      <w:tr w:rsidR="00493CE7" w:rsidRPr="006C5ED5" w14:paraId="43CCA316" w14:textId="77777777" w:rsidTr="00CC1EA3">
        <w:trPr>
          <w:cantSplit/>
        </w:trPr>
        <w:tc>
          <w:tcPr>
            <w:tcW w:w="1265" w:type="dxa"/>
            <w:vMerge/>
            <w:shd w:val="clear" w:color="auto" w:fill="FFFFFF"/>
            <w:vAlign w:val="center"/>
          </w:tcPr>
          <w:p w14:paraId="7B6BAE7E" w14:textId="77777777" w:rsidR="00493CE7" w:rsidRPr="006C5ED5" w:rsidRDefault="00493CE7" w:rsidP="00E83841">
            <w:pPr>
              <w:autoSpaceDE w:val="0"/>
              <w:autoSpaceDN w:val="0"/>
              <w:adjustRightInd w:val="0"/>
              <w:spacing w:after="0" w:line="360" w:lineRule="auto"/>
              <w:jc w:val="both"/>
              <w:rPr>
                <w:rFonts w:ascii="Times New Roman" w:eastAsia="Calibri" w:hAnsi="Times New Roman" w:cs="Times New Roman"/>
                <w:b/>
                <w:color w:val="000000"/>
              </w:rPr>
            </w:pPr>
          </w:p>
        </w:tc>
        <w:tc>
          <w:tcPr>
            <w:tcW w:w="1996" w:type="dxa"/>
            <w:tcBorders>
              <w:top w:val="nil"/>
              <w:bottom w:val="single" w:sz="4" w:space="0" w:color="auto"/>
            </w:tcBorders>
            <w:shd w:val="clear" w:color="auto" w:fill="FFFFFF"/>
            <w:vAlign w:val="center"/>
          </w:tcPr>
          <w:p w14:paraId="6D120371" w14:textId="77777777" w:rsidR="00493CE7" w:rsidRPr="006C5ED5" w:rsidRDefault="00493CE7" w:rsidP="00E83841">
            <w:pPr>
              <w:autoSpaceDE w:val="0"/>
              <w:autoSpaceDN w:val="0"/>
              <w:adjustRightInd w:val="0"/>
              <w:spacing w:after="0" w:line="360" w:lineRule="auto"/>
              <w:ind w:left="60" w:right="60"/>
              <w:jc w:val="both"/>
              <w:rPr>
                <w:rFonts w:ascii="Times New Roman" w:eastAsia="Calibri" w:hAnsi="Times New Roman" w:cs="Times New Roman"/>
                <w:b/>
                <w:color w:val="000000"/>
              </w:rPr>
            </w:pPr>
            <w:r w:rsidRPr="006C5ED5">
              <w:rPr>
                <w:rFonts w:ascii="Times New Roman" w:eastAsia="Calibri" w:hAnsi="Times New Roman" w:cs="Times New Roman"/>
                <w:b/>
                <w:color w:val="000000"/>
              </w:rPr>
              <w:t>Max</w:t>
            </w:r>
          </w:p>
        </w:tc>
        <w:tc>
          <w:tcPr>
            <w:tcW w:w="1275" w:type="dxa"/>
            <w:tcBorders>
              <w:top w:val="nil"/>
              <w:bottom w:val="single" w:sz="4" w:space="0" w:color="auto"/>
            </w:tcBorders>
            <w:shd w:val="clear" w:color="auto" w:fill="FFFFFF"/>
          </w:tcPr>
          <w:p w14:paraId="671B0700" w14:textId="77777777" w:rsidR="00493CE7" w:rsidRPr="006C5ED5" w:rsidRDefault="00493CE7" w:rsidP="00E83841">
            <w:pPr>
              <w:autoSpaceDE w:val="0"/>
              <w:autoSpaceDN w:val="0"/>
              <w:adjustRightInd w:val="0"/>
              <w:spacing w:after="0" w:line="360" w:lineRule="auto"/>
              <w:ind w:right="60"/>
              <w:jc w:val="right"/>
              <w:rPr>
                <w:rFonts w:ascii="Times New Roman" w:eastAsia="Calibri" w:hAnsi="Times New Roman" w:cs="Times New Roman"/>
                <w:color w:val="000000"/>
              </w:rPr>
            </w:pPr>
            <w:r w:rsidRPr="006C5ED5">
              <w:rPr>
                <w:rFonts w:ascii="Times New Roman" w:eastAsia="Calibri" w:hAnsi="Times New Roman" w:cs="Times New Roman"/>
                <w:color w:val="000000"/>
              </w:rPr>
              <w:t>147.00</w:t>
            </w:r>
          </w:p>
        </w:tc>
        <w:tc>
          <w:tcPr>
            <w:tcW w:w="1134" w:type="dxa"/>
            <w:tcBorders>
              <w:top w:val="nil"/>
              <w:bottom w:val="single" w:sz="4" w:space="0" w:color="auto"/>
            </w:tcBorders>
            <w:shd w:val="clear" w:color="auto" w:fill="FFFFFF"/>
          </w:tcPr>
          <w:p w14:paraId="12E87C12" w14:textId="77777777" w:rsidR="00493CE7" w:rsidRPr="006C5ED5" w:rsidRDefault="00493CE7" w:rsidP="00E83841">
            <w:pPr>
              <w:autoSpaceDE w:val="0"/>
              <w:autoSpaceDN w:val="0"/>
              <w:adjustRightInd w:val="0"/>
              <w:spacing w:after="0" w:line="360" w:lineRule="auto"/>
              <w:ind w:right="60"/>
              <w:jc w:val="right"/>
              <w:rPr>
                <w:rFonts w:ascii="Times New Roman" w:eastAsia="Calibri" w:hAnsi="Times New Roman" w:cs="Times New Roman"/>
                <w:color w:val="000000"/>
              </w:rPr>
            </w:pPr>
            <w:r w:rsidRPr="006C5ED5">
              <w:rPr>
                <w:rFonts w:ascii="Times New Roman" w:eastAsia="Calibri" w:hAnsi="Times New Roman" w:cs="Times New Roman"/>
                <w:color w:val="000000"/>
              </w:rPr>
              <w:t>148.00</w:t>
            </w:r>
          </w:p>
        </w:tc>
        <w:tc>
          <w:tcPr>
            <w:tcW w:w="851" w:type="dxa"/>
            <w:tcBorders>
              <w:top w:val="nil"/>
              <w:bottom w:val="single" w:sz="4" w:space="0" w:color="auto"/>
            </w:tcBorders>
            <w:shd w:val="clear" w:color="auto" w:fill="FFFFFF"/>
          </w:tcPr>
          <w:p w14:paraId="7BEC75AF" w14:textId="77777777" w:rsidR="00493CE7" w:rsidRPr="006C5ED5" w:rsidRDefault="00493CE7" w:rsidP="00E83841">
            <w:pPr>
              <w:autoSpaceDE w:val="0"/>
              <w:autoSpaceDN w:val="0"/>
              <w:adjustRightInd w:val="0"/>
              <w:spacing w:after="0" w:line="360" w:lineRule="auto"/>
              <w:ind w:right="60"/>
              <w:jc w:val="right"/>
              <w:rPr>
                <w:rFonts w:ascii="Times New Roman" w:eastAsia="Calibri" w:hAnsi="Times New Roman" w:cs="Times New Roman"/>
                <w:color w:val="000000"/>
              </w:rPr>
            </w:pPr>
            <w:r w:rsidRPr="006C5ED5">
              <w:rPr>
                <w:rFonts w:ascii="Times New Roman" w:eastAsia="Calibri" w:hAnsi="Times New Roman" w:cs="Times New Roman"/>
                <w:color w:val="000000"/>
              </w:rPr>
              <w:t>161.00</w:t>
            </w:r>
          </w:p>
        </w:tc>
        <w:tc>
          <w:tcPr>
            <w:tcW w:w="1134" w:type="dxa"/>
            <w:tcBorders>
              <w:top w:val="nil"/>
              <w:bottom w:val="single" w:sz="4" w:space="0" w:color="auto"/>
            </w:tcBorders>
            <w:shd w:val="clear" w:color="auto" w:fill="FFFFFF"/>
          </w:tcPr>
          <w:p w14:paraId="396BAECA" w14:textId="77777777" w:rsidR="00493CE7" w:rsidRPr="006C5ED5" w:rsidRDefault="00493CE7" w:rsidP="00E83841">
            <w:pPr>
              <w:autoSpaceDE w:val="0"/>
              <w:autoSpaceDN w:val="0"/>
              <w:adjustRightInd w:val="0"/>
              <w:spacing w:after="0" w:line="360" w:lineRule="auto"/>
              <w:ind w:right="60"/>
              <w:jc w:val="right"/>
              <w:rPr>
                <w:rFonts w:ascii="Times New Roman" w:eastAsia="Calibri" w:hAnsi="Times New Roman" w:cs="Times New Roman"/>
                <w:color w:val="000000"/>
              </w:rPr>
            </w:pPr>
            <w:r w:rsidRPr="006C5ED5">
              <w:rPr>
                <w:rFonts w:ascii="Times New Roman" w:eastAsia="Calibri" w:hAnsi="Times New Roman" w:cs="Times New Roman"/>
                <w:color w:val="000000"/>
              </w:rPr>
              <w:t>156.00</w:t>
            </w:r>
          </w:p>
        </w:tc>
        <w:tc>
          <w:tcPr>
            <w:tcW w:w="850" w:type="dxa"/>
            <w:tcBorders>
              <w:top w:val="nil"/>
              <w:bottom w:val="single" w:sz="4" w:space="0" w:color="auto"/>
            </w:tcBorders>
            <w:shd w:val="clear" w:color="auto" w:fill="FFFFFF"/>
          </w:tcPr>
          <w:p w14:paraId="731D4ABB" w14:textId="77777777" w:rsidR="00493CE7" w:rsidRPr="006C5ED5" w:rsidRDefault="00493CE7" w:rsidP="00E83841">
            <w:pPr>
              <w:autoSpaceDE w:val="0"/>
              <w:autoSpaceDN w:val="0"/>
              <w:adjustRightInd w:val="0"/>
              <w:spacing w:after="0" w:line="360" w:lineRule="auto"/>
              <w:ind w:right="60"/>
              <w:jc w:val="right"/>
              <w:rPr>
                <w:rFonts w:ascii="Times New Roman" w:eastAsia="Calibri" w:hAnsi="Times New Roman" w:cs="Times New Roman"/>
                <w:color w:val="000000"/>
              </w:rPr>
            </w:pPr>
            <w:r w:rsidRPr="006C5ED5">
              <w:rPr>
                <w:rFonts w:ascii="Times New Roman" w:eastAsia="Calibri" w:hAnsi="Times New Roman" w:cs="Times New Roman"/>
                <w:color w:val="000000"/>
              </w:rPr>
              <w:t>163.00</w:t>
            </w:r>
          </w:p>
        </w:tc>
        <w:tc>
          <w:tcPr>
            <w:tcW w:w="993" w:type="dxa"/>
            <w:tcBorders>
              <w:top w:val="nil"/>
              <w:bottom w:val="single" w:sz="4" w:space="0" w:color="auto"/>
            </w:tcBorders>
            <w:shd w:val="clear" w:color="auto" w:fill="FFFFFF"/>
          </w:tcPr>
          <w:p w14:paraId="45C8CF7C" w14:textId="77777777" w:rsidR="00493CE7" w:rsidRPr="006C5ED5" w:rsidRDefault="00493CE7" w:rsidP="00E83841">
            <w:pPr>
              <w:autoSpaceDE w:val="0"/>
              <w:autoSpaceDN w:val="0"/>
              <w:adjustRightInd w:val="0"/>
              <w:spacing w:after="0" w:line="360" w:lineRule="auto"/>
              <w:ind w:right="60"/>
              <w:jc w:val="right"/>
              <w:rPr>
                <w:rFonts w:ascii="Times New Roman" w:eastAsia="Calibri" w:hAnsi="Times New Roman" w:cs="Times New Roman"/>
                <w:color w:val="000000"/>
              </w:rPr>
            </w:pPr>
            <w:r w:rsidRPr="006C5ED5">
              <w:rPr>
                <w:rFonts w:ascii="Times New Roman" w:eastAsia="Calibri" w:hAnsi="Times New Roman" w:cs="Times New Roman"/>
                <w:color w:val="000000"/>
              </w:rPr>
              <w:t>140.00</w:t>
            </w:r>
          </w:p>
        </w:tc>
      </w:tr>
    </w:tbl>
    <w:p w14:paraId="1C995112" w14:textId="77777777" w:rsidR="00493CE7" w:rsidRDefault="00493CE7" w:rsidP="00E83841">
      <w:pPr>
        <w:spacing w:line="360" w:lineRule="auto"/>
        <w:jc w:val="both"/>
        <w:rPr>
          <w:rFonts w:ascii="Times New Roman" w:eastAsia="Times New Roman" w:hAnsi="Times New Roman" w:cs="Times New Roman"/>
          <w:color w:val="000000"/>
          <w:sz w:val="24"/>
          <w:szCs w:val="24"/>
        </w:rPr>
      </w:pPr>
    </w:p>
    <w:p w14:paraId="40C7DD5B" w14:textId="77777777" w:rsidR="00492163" w:rsidRDefault="00492163" w:rsidP="00E83841">
      <w:pPr>
        <w:spacing w:line="360" w:lineRule="auto"/>
        <w:jc w:val="both"/>
        <w:rPr>
          <w:rFonts w:ascii="Times New Roman" w:hAnsi="Times New Roman" w:cs="Times New Roman"/>
          <w:sz w:val="24"/>
          <w:szCs w:val="24"/>
        </w:rPr>
        <w:sectPr w:rsidR="00492163" w:rsidSect="00841AC1">
          <w:type w:val="continuous"/>
          <w:pgSz w:w="12240" w:h="15840"/>
          <w:pgMar w:top="1440" w:right="1440" w:bottom="1440" w:left="1440" w:header="720" w:footer="720" w:gutter="0"/>
          <w:cols w:space="720"/>
          <w:docGrid w:linePitch="360"/>
        </w:sectPr>
      </w:pPr>
    </w:p>
    <w:p w14:paraId="4E83C047" w14:textId="77777777" w:rsidR="00492163" w:rsidRPr="00285C5B" w:rsidRDefault="00285C5B" w:rsidP="00E83841">
      <w:pPr>
        <w:spacing w:line="360" w:lineRule="auto"/>
        <w:jc w:val="both"/>
        <w:rPr>
          <w:rFonts w:ascii="Times New Roman" w:hAnsi="Times New Roman" w:cs="Times New Roman"/>
          <w:sz w:val="24"/>
          <w:szCs w:val="24"/>
        </w:rPr>
      </w:pPr>
      <w:r w:rsidRPr="00285C5B">
        <w:rPr>
          <w:rFonts w:ascii="Times New Roman" w:hAnsi="Times New Roman" w:cs="Times New Roman"/>
          <w:sz w:val="24"/>
          <w:szCs w:val="24"/>
        </w:rPr>
        <w:t xml:space="preserve">The findings show that female student completion in senior three and senior six public secondary schools in </w:t>
      </w:r>
      <w:proofErr w:type="spellStart"/>
      <w:r w:rsidRPr="00285C5B">
        <w:rPr>
          <w:rFonts w:ascii="Times New Roman" w:hAnsi="Times New Roman" w:cs="Times New Roman"/>
          <w:sz w:val="24"/>
          <w:szCs w:val="24"/>
        </w:rPr>
        <w:t>Kicukiro</w:t>
      </w:r>
      <w:proofErr w:type="spellEnd"/>
      <w:r w:rsidRPr="00285C5B">
        <w:rPr>
          <w:rFonts w:ascii="Times New Roman" w:hAnsi="Times New Roman" w:cs="Times New Roman"/>
          <w:sz w:val="24"/>
          <w:szCs w:val="24"/>
        </w:rPr>
        <w:t xml:space="preserve"> and </w:t>
      </w:r>
      <w:proofErr w:type="spellStart"/>
      <w:r w:rsidRPr="00285C5B">
        <w:rPr>
          <w:rFonts w:ascii="Times New Roman" w:hAnsi="Times New Roman" w:cs="Times New Roman"/>
          <w:sz w:val="24"/>
          <w:szCs w:val="24"/>
        </w:rPr>
        <w:t>Gicumbi</w:t>
      </w:r>
      <w:proofErr w:type="spellEnd"/>
      <w:r w:rsidRPr="00285C5B">
        <w:rPr>
          <w:rFonts w:ascii="Times New Roman" w:hAnsi="Times New Roman" w:cs="Times New Roman"/>
          <w:sz w:val="24"/>
          <w:szCs w:val="24"/>
        </w:rPr>
        <w:t xml:space="preserve"> </w:t>
      </w:r>
      <w:r w:rsidR="00F45A40">
        <w:rPr>
          <w:rFonts w:ascii="Times New Roman" w:hAnsi="Times New Roman" w:cs="Times New Roman"/>
          <w:sz w:val="24"/>
          <w:szCs w:val="24"/>
        </w:rPr>
        <w:t>D</w:t>
      </w:r>
      <w:r w:rsidRPr="00285C5B">
        <w:rPr>
          <w:rFonts w:ascii="Times New Roman" w:hAnsi="Times New Roman" w:cs="Times New Roman"/>
          <w:sz w:val="24"/>
          <w:szCs w:val="24"/>
        </w:rPr>
        <w:t>istricts, Rwanda, decreased over the years. In senior three, completion declined by 7.79% from 2021/2022 to 2022/2023, with a larger drop compared to senior six, which decreased by 3.85%. Senior six students had higher completion rates, attributed to academic maturity and stronger family support. The decline in senior three completions could be attributed to financial challenges, early pregnancies, and a lack of motivation.</w:t>
      </w:r>
    </w:p>
    <w:p w14:paraId="2F7443ED" w14:textId="77777777" w:rsidR="007E03FA" w:rsidRPr="00C8519A" w:rsidRDefault="007E03FA" w:rsidP="00E83841">
      <w:pPr>
        <w:spacing w:line="360" w:lineRule="auto"/>
        <w:jc w:val="both"/>
        <w:rPr>
          <w:rFonts w:ascii="Times New Roman" w:hAnsi="Times New Roman" w:cs="Times New Roman"/>
          <w:i/>
          <w:sz w:val="24"/>
          <w:szCs w:val="24"/>
        </w:rPr>
      </w:pPr>
      <w:r w:rsidRPr="00C8519A">
        <w:rPr>
          <w:rFonts w:ascii="Times New Roman" w:hAnsi="Times New Roman" w:cs="Times New Roman"/>
          <w:b/>
          <w:i/>
          <w:sz w:val="24"/>
          <w:szCs w:val="24"/>
        </w:rPr>
        <w:t>Inferential Statistical Analyses</w:t>
      </w:r>
    </w:p>
    <w:p w14:paraId="1A5EB6AA" w14:textId="77777777" w:rsidR="007E03FA" w:rsidRDefault="00DC22D3" w:rsidP="00E83841">
      <w:pPr>
        <w:spacing w:line="360" w:lineRule="auto"/>
        <w:jc w:val="both"/>
        <w:rPr>
          <w:rFonts w:ascii="Times New Roman" w:hAnsi="Times New Roman" w:cs="Times New Roman"/>
          <w:sz w:val="24"/>
          <w:szCs w:val="24"/>
        </w:rPr>
      </w:pPr>
      <w:r w:rsidRPr="00DC22D3">
        <w:rPr>
          <w:rFonts w:ascii="Times New Roman" w:hAnsi="Times New Roman" w:cs="Times New Roman"/>
          <w:sz w:val="24"/>
          <w:szCs w:val="24"/>
        </w:rPr>
        <w:t xml:space="preserve">Before performing the regression analysis, a pairwise correlation analysis was conducted </w:t>
      </w:r>
      <w:r w:rsidRPr="00DC22D3">
        <w:rPr>
          <w:rFonts w:ascii="Times New Roman" w:hAnsi="Times New Roman" w:cs="Times New Roman"/>
          <w:sz w:val="24"/>
          <w:szCs w:val="24"/>
        </w:rPr>
        <w:t>to ensure greater reliability. This analysis aimed to determine whether the variables were correlated. The results revealed a positive and significant correlation between gender equity and girls’ completion rates, with a coefficient of r = 0.387 and a p-value less than 0.05. According to Hair et al. (2006), item to total correlation should exceed 0.03 and be statistically significant. Thus, the study found a meaningful positive relationship between gender equity and girls’ completion rates in Rwanda public secondary schools.</w:t>
      </w:r>
    </w:p>
    <w:p w14:paraId="3E9249E3" w14:textId="77777777" w:rsidR="006F04B4" w:rsidRPr="006F04B4" w:rsidRDefault="006F04B4" w:rsidP="00E83841">
      <w:pPr>
        <w:spacing w:line="360" w:lineRule="auto"/>
        <w:jc w:val="both"/>
        <w:rPr>
          <w:rFonts w:ascii="Times New Roman" w:hAnsi="Times New Roman" w:cs="Times New Roman"/>
          <w:sz w:val="24"/>
          <w:szCs w:val="24"/>
        </w:rPr>
      </w:pPr>
      <w:r w:rsidRPr="006F04B4">
        <w:rPr>
          <w:rFonts w:ascii="Times New Roman" w:hAnsi="Times New Roman" w:cs="Times New Roman"/>
          <w:sz w:val="24"/>
          <w:szCs w:val="24"/>
        </w:rPr>
        <w:t xml:space="preserve">The same results are obtained with </w:t>
      </w:r>
      <w:r w:rsidR="007E03FA">
        <w:rPr>
          <w:rFonts w:ascii="Times New Roman" w:hAnsi="Times New Roman" w:cs="Times New Roman"/>
          <w:sz w:val="24"/>
          <w:szCs w:val="24"/>
        </w:rPr>
        <w:t xml:space="preserve">a </w:t>
      </w:r>
      <w:r w:rsidRPr="006F04B4">
        <w:rPr>
          <w:rFonts w:ascii="Times New Roman" w:hAnsi="Times New Roman" w:cs="Times New Roman"/>
          <w:sz w:val="24"/>
          <w:szCs w:val="24"/>
        </w:rPr>
        <w:t>parametric test</w:t>
      </w:r>
      <w:r w:rsidR="00F45A40">
        <w:rPr>
          <w:rFonts w:ascii="Times New Roman" w:hAnsi="Times New Roman" w:cs="Times New Roman"/>
          <w:sz w:val="24"/>
          <w:szCs w:val="24"/>
        </w:rPr>
        <w:t>,</w:t>
      </w:r>
      <w:r w:rsidRPr="006F04B4">
        <w:rPr>
          <w:rFonts w:ascii="Times New Roman" w:hAnsi="Times New Roman" w:cs="Times New Roman"/>
          <w:sz w:val="24"/>
          <w:szCs w:val="24"/>
        </w:rPr>
        <w:t xml:space="preserve"> </w:t>
      </w:r>
      <w:r w:rsidR="007E03FA">
        <w:rPr>
          <w:rFonts w:ascii="Times New Roman" w:hAnsi="Times New Roman" w:cs="Times New Roman"/>
          <w:sz w:val="24"/>
          <w:szCs w:val="24"/>
        </w:rPr>
        <w:t>Table 3</w:t>
      </w:r>
      <w:r w:rsidRPr="006F04B4">
        <w:rPr>
          <w:rFonts w:ascii="Times New Roman" w:hAnsi="Times New Roman" w:cs="Times New Roman"/>
          <w:sz w:val="24"/>
          <w:szCs w:val="24"/>
        </w:rPr>
        <w:t>.</w:t>
      </w:r>
    </w:p>
    <w:p w14:paraId="0D2950CD" w14:textId="77777777" w:rsidR="00492163" w:rsidRDefault="00492163" w:rsidP="00E83841">
      <w:pPr>
        <w:pStyle w:val="Caption"/>
        <w:spacing w:line="360" w:lineRule="auto"/>
        <w:rPr>
          <w:b w:val="0"/>
          <w:i/>
          <w:sz w:val="24"/>
          <w:szCs w:val="24"/>
        </w:rPr>
        <w:sectPr w:rsidR="00492163" w:rsidSect="00492163">
          <w:type w:val="continuous"/>
          <w:pgSz w:w="12240" w:h="15840"/>
          <w:pgMar w:top="1440" w:right="1440" w:bottom="1440" w:left="1440" w:header="720" w:footer="720" w:gutter="0"/>
          <w:cols w:num="2" w:space="720"/>
          <w:docGrid w:linePitch="360"/>
        </w:sectPr>
      </w:pPr>
      <w:bookmarkStart w:id="4" w:name="_Toc186357853"/>
    </w:p>
    <w:p w14:paraId="050D78F5" w14:textId="77777777" w:rsidR="00352037" w:rsidRPr="008615BB" w:rsidRDefault="007E03FA" w:rsidP="00E83841">
      <w:pPr>
        <w:pStyle w:val="Caption"/>
        <w:spacing w:line="360" w:lineRule="auto"/>
        <w:rPr>
          <w:rFonts w:eastAsia="Times New Roman"/>
          <w:bCs w:val="0"/>
          <w:color w:val="000000"/>
          <w:sz w:val="24"/>
          <w:szCs w:val="24"/>
          <w:lang w:val="en-GB"/>
        </w:rPr>
      </w:pPr>
      <w:r>
        <w:rPr>
          <w:b w:val="0"/>
          <w:i/>
          <w:sz w:val="24"/>
          <w:szCs w:val="24"/>
        </w:rPr>
        <w:t xml:space="preserve">Table 3 </w:t>
      </w:r>
      <w:r w:rsidR="00352037" w:rsidRPr="00723090">
        <w:rPr>
          <w:rFonts w:eastAsia="Times New Roman"/>
          <w:bCs w:val="0"/>
          <w:color w:val="000000"/>
          <w:sz w:val="24"/>
          <w:szCs w:val="24"/>
        </w:rPr>
        <w:t>Correlations</w:t>
      </w:r>
      <w:r w:rsidR="00352037" w:rsidRPr="00723090">
        <w:rPr>
          <w:rFonts w:eastAsia="Times New Roman"/>
          <w:bCs w:val="0"/>
          <w:color w:val="000000"/>
          <w:sz w:val="24"/>
          <w:szCs w:val="24"/>
          <w:lang w:val="en-GB"/>
        </w:rPr>
        <w:t xml:space="preserve"> (Non-parametric)</w:t>
      </w:r>
      <w:bookmarkEnd w:id="4"/>
      <w:r w:rsidR="00352037" w:rsidRPr="00723090">
        <w:rPr>
          <w:rFonts w:eastAsia="Times New Roman"/>
          <w:bCs w:val="0"/>
          <w:color w:val="000000"/>
          <w:sz w:val="24"/>
          <w:szCs w:val="24"/>
          <w:lang w:val="en-GB"/>
        </w:rPr>
        <w:t xml:space="preserve"> </w:t>
      </w:r>
    </w:p>
    <w:tbl>
      <w:tblPr>
        <w:tblW w:w="5000" w:type="pct"/>
        <w:tblLook w:val="04A0" w:firstRow="1" w:lastRow="0" w:firstColumn="1" w:lastColumn="0" w:noHBand="0" w:noVBand="1"/>
      </w:tblPr>
      <w:tblGrid>
        <w:gridCol w:w="1923"/>
        <w:gridCol w:w="3027"/>
        <w:gridCol w:w="4410"/>
      </w:tblGrid>
      <w:tr w:rsidR="00352037" w:rsidRPr="00F45A40" w14:paraId="4039BA0A" w14:textId="77777777" w:rsidTr="00F45A40">
        <w:trPr>
          <w:trHeight w:val="272"/>
        </w:trPr>
        <w:tc>
          <w:tcPr>
            <w:tcW w:w="5000" w:type="pct"/>
            <w:gridSpan w:val="3"/>
            <w:tcBorders>
              <w:bottom w:val="single" w:sz="4" w:space="0" w:color="auto"/>
            </w:tcBorders>
            <w:shd w:val="clear" w:color="auto" w:fill="auto"/>
          </w:tcPr>
          <w:p w14:paraId="70E5F01F" w14:textId="77777777" w:rsidR="00352037" w:rsidRPr="00F45A40" w:rsidRDefault="00352037" w:rsidP="00E83841">
            <w:pPr>
              <w:spacing w:after="0" w:line="360" w:lineRule="auto"/>
              <w:jc w:val="center"/>
              <w:rPr>
                <w:rFonts w:ascii="Times New Roman" w:eastAsia="Times New Roman" w:hAnsi="Times New Roman" w:cs="Times New Roman"/>
                <w:b/>
                <w:color w:val="000000"/>
              </w:rPr>
            </w:pPr>
            <w:r w:rsidRPr="00F45A40">
              <w:rPr>
                <w:rFonts w:ascii="Times New Roman" w:eastAsia="Times New Roman" w:hAnsi="Times New Roman" w:cs="Times New Roman"/>
                <w:b/>
                <w:bCs/>
                <w:color w:val="000000"/>
              </w:rPr>
              <w:t>Correlations</w:t>
            </w:r>
            <w:r w:rsidRPr="00F45A40">
              <w:rPr>
                <w:rFonts w:ascii="Times New Roman" w:eastAsia="Times New Roman" w:hAnsi="Times New Roman" w:cs="Times New Roman"/>
                <w:b/>
                <w:bCs/>
                <w:color w:val="000000"/>
                <w:lang w:val="en-GB"/>
              </w:rPr>
              <w:t xml:space="preserve"> (non-parametric)</w:t>
            </w:r>
          </w:p>
        </w:tc>
      </w:tr>
      <w:tr w:rsidR="005114B8" w:rsidRPr="00F45A40" w14:paraId="7026E876" w14:textId="77777777" w:rsidTr="00F45A40">
        <w:trPr>
          <w:trHeight w:val="272"/>
        </w:trPr>
        <w:tc>
          <w:tcPr>
            <w:tcW w:w="2644" w:type="pct"/>
            <w:gridSpan w:val="2"/>
            <w:tcBorders>
              <w:top w:val="single" w:sz="4" w:space="0" w:color="auto"/>
              <w:bottom w:val="single" w:sz="4" w:space="0" w:color="auto"/>
            </w:tcBorders>
            <w:shd w:val="clear" w:color="auto" w:fill="auto"/>
            <w:vAlign w:val="bottom"/>
            <w:hideMark/>
          </w:tcPr>
          <w:p w14:paraId="01A2F751" w14:textId="77777777" w:rsidR="005114B8" w:rsidRPr="00F45A40" w:rsidRDefault="005114B8" w:rsidP="00E83841">
            <w:pPr>
              <w:spacing w:after="0" w:line="360" w:lineRule="auto"/>
              <w:jc w:val="both"/>
              <w:rPr>
                <w:rFonts w:ascii="Times New Roman" w:eastAsia="Times New Roman" w:hAnsi="Times New Roman" w:cs="Times New Roman"/>
                <w:color w:val="000000"/>
                <w:lang w:val="en-GB"/>
              </w:rPr>
            </w:pPr>
            <w:r w:rsidRPr="00F45A40">
              <w:rPr>
                <w:rFonts w:ascii="Times New Roman" w:eastAsia="Times New Roman" w:hAnsi="Times New Roman" w:cs="Times New Roman"/>
                <w:color w:val="000000"/>
              </w:rPr>
              <w:t> </w:t>
            </w:r>
            <w:r w:rsidRPr="00F45A40">
              <w:rPr>
                <w:rFonts w:ascii="Times New Roman" w:eastAsia="Times New Roman" w:hAnsi="Times New Roman" w:cs="Times New Roman"/>
                <w:color w:val="000000"/>
                <w:lang w:val="en-GB"/>
              </w:rPr>
              <w:t>Testing Variables</w:t>
            </w:r>
          </w:p>
        </w:tc>
        <w:tc>
          <w:tcPr>
            <w:tcW w:w="2356" w:type="pct"/>
            <w:tcBorders>
              <w:top w:val="single" w:sz="4" w:space="0" w:color="auto"/>
              <w:bottom w:val="single" w:sz="4" w:space="0" w:color="auto"/>
            </w:tcBorders>
            <w:shd w:val="clear" w:color="auto" w:fill="auto"/>
            <w:vAlign w:val="bottom"/>
            <w:hideMark/>
          </w:tcPr>
          <w:p w14:paraId="63F67E32" w14:textId="77777777" w:rsidR="005114B8" w:rsidRPr="00F45A40" w:rsidRDefault="009D434E" w:rsidP="00E83841">
            <w:pPr>
              <w:spacing w:after="0" w:line="360" w:lineRule="auto"/>
              <w:rPr>
                <w:rFonts w:ascii="Times New Roman" w:eastAsia="Times New Roman" w:hAnsi="Times New Roman" w:cs="Times New Roman"/>
                <w:b/>
                <w:color w:val="000000"/>
              </w:rPr>
            </w:pPr>
            <w:r w:rsidRPr="00F45A40">
              <w:rPr>
                <w:rFonts w:ascii="Times New Roman" w:eastAsia="Times New Roman" w:hAnsi="Times New Roman" w:cs="Times New Roman"/>
                <w:b/>
                <w:color w:val="000000"/>
              </w:rPr>
              <w:t xml:space="preserve">                </w:t>
            </w:r>
            <w:r w:rsidR="005114B8" w:rsidRPr="00F45A40">
              <w:rPr>
                <w:rFonts w:ascii="Times New Roman" w:eastAsia="Times New Roman" w:hAnsi="Times New Roman" w:cs="Times New Roman"/>
                <w:b/>
                <w:color w:val="000000"/>
              </w:rPr>
              <w:t xml:space="preserve">Gender Equity </w:t>
            </w:r>
          </w:p>
          <w:p w14:paraId="02541E9C" w14:textId="77777777" w:rsidR="005114B8" w:rsidRPr="00F45A40" w:rsidRDefault="005114B8" w:rsidP="00E83841">
            <w:pPr>
              <w:spacing w:after="0" w:line="360" w:lineRule="auto"/>
              <w:jc w:val="both"/>
              <w:rPr>
                <w:rFonts w:ascii="Times New Roman" w:eastAsia="Times New Roman" w:hAnsi="Times New Roman" w:cs="Times New Roman"/>
                <w:b/>
                <w:color w:val="000000"/>
              </w:rPr>
            </w:pPr>
          </w:p>
        </w:tc>
      </w:tr>
      <w:tr w:rsidR="005114B8" w:rsidRPr="00F45A40" w14:paraId="56FCACF6" w14:textId="77777777" w:rsidTr="00F45A40">
        <w:trPr>
          <w:trHeight w:val="272"/>
        </w:trPr>
        <w:tc>
          <w:tcPr>
            <w:tcW w:w="1027" w:type="pct"/>
            <w:vMerge w:val="restart"/>
            <w:tcBorders>
              <w:top w:val="single" w:sz="4" w:space="0" w:color="auto"/>
            </w:tcBorders>
            <w:shd w:val="clear" w:color="auto" w:fill="auto"/>
            <w:hideMark/>
          </w:tcPr>
          <w:p w14:paraId="1FB0F401" w14:textId="77777777" w:rsidR="005114B8" w:rsidRPr="00F45A40" w:rsidRDefault="005114B8" w:rsidP="00E83841">
            <w:pPr>
              <w:spacing w:after="0" w:line="360" w:lineRule="auto"/>
              <w:jc w:val="both"/>
              <w:rPr>
                <w:rFonts w:ascii="Times New Roman" w:eastAsia="Times New Roman" w:hAnsi="Times New Roman" w:cs="Times New Roman"/>
                <w:b/>
                <w:color w:val="000000"/>
              </w:rPr>
            </w:pPr>
            <w:r w:rsidRPr="00F45A40">
              <w:rPr>
                <w:rFonts w:ascii="Times New Roman" w:eastAsia="Times New Roman" w:hAnsi="Times New Roman" w:cs="Times New Roman"/>
                <w:b/>
                <w:color w:val="000000"/>
              </w:rPr>
              <w:lastRenderedPageBreak/>
              <w:t xml:space="preserve">Internal efficiency </w:t>
            </w:r>
          </w:p>
        </w:tc>
        <w:tc>
          <w:tcPr>
            <w:tcW w:w="1617" w:type="pct"/>
            <w:tcBorders>
              <w:top w:val="single" w:sz="4" w:space="0" w:color="auto"/>
            </w:tcBorders>
            <w:shd w:val="clear" w:color="auto" w:fill="auto"/>
            <w:hideMark/>
          </w:tcPr>
          <w:p w14:paraId="628D7B97" w14:textId="77777777" w:rsidR="005114B8" w:rsidRPr="00F45A40" w:rsidRDefault="005114B8" w:rsidP="00E83841">
            <w:pPr>
              <w:spacing w:after="0" w:line="360" w:lineRule="auto"/>
              <w:jc w:val="both"/>
              <w:rPr>
                <w:rFonts w:ascii="Times New Roman" w:eastAsia="Times New Roman" w:hAnsi="Times New Roman" w:cs="Times New Roman"/>
                <w:color w:val="000000"/>
              </w:rPr>
            </w:pPr>
            <w:r w:rsidRPr="00F45A40">
              <w:rPr>
                <w:rFonts w:ascii="Times New Roman" w:eastAsia="Times New Roman" w:hAnsi="Times New Roman" w:cs="Times New Roman"/>
                <w:color w:val="000000"/>
              </w:rPr>
              <w:t>Spearman's rho Correlation</w:t>
            </w:r>
          </w:p>
        </w:tc>
        <w:tc>
          <w:tcPr>
            <w:tcW w:w="2356" w:type="pct"/>
            <w:tcBorders>
              <w:top w:val="single" w:sz="4" w:space="0" w:color="auto"/>
            </w:tcBorders>
            <w:shd w:val="clear" w:color="auto" w:fill="auto"/>
            <w:noWrap/>
            <w:vAlign w:val="center"/>
            <w:hideMark/>
          </w:tcPr>
          <w:p w14:paraId="68CB36A8" w14:textId="77777777" w:rsidR="005114B8" w:rsidRPr="00F45A40" w:rsidRDefault="009D434E" w:rsidP="00E83841">
            <w:pPr>
              <w:spacing w:after="0" w:line="360" w:lineRule="auto"/>
              <w:jc w:val="both"/>
              <w:rPr>
                <w:rFonts w:ascii="Times New Roman" w:eastAsia="Times New Roman" w:hAnsi="Times New Roman" w:cs="Times New Roman"/>
                <w:b/>
                <w:color w:val="000000"/>
              </w:rPr>
            </w:pPr>
            <w:r w:rsidRPr="00F45A40">
              <w:rPr>
                <w:rFonts w:ascii="Times New Roman" w:eastAsia="Times New Roman" w:hAnsi="Times New Roman" w:cs="Times New Roman"/>
                <w:b/>
                <w:color w:val="000000"/>
                <w:lang w:val="en-GB"/>
              </w:rPr>
              <w:t xml:space="preserve">                  </w:t>
            </w:r>
            <w:r w:rsidR="005114B8" w:rsidRPr="00F45A40">
              <w:rPr>
                <w:rFonts w:ascii="Times New Roman" w:eastAsia="Times New Roman" w:hAnsi="Times New Roman" w:cs="Times New Roman"/>
                <w:b/>
                <w:color w:val="000000"/>
                <w:lang w:val="en-GB"/>
              </w:rPr>
              <w:t>0</w:t>
            </w:r>
            <w:r w:rsidR="005114B8" w:rsidRPr="00F45A40">
              <w:rPr>
                <w:rFonts w:ascii="Times New Roman" w:eastAsia="Times New Roman" w:hAnsi="Times New Roman" w:cs="Times New Roman"/>
                <w:b/>
                <w:color w:val="000000"/>
              </w:rPr>
              <w:t>.387</w:t>
            </w:r>
            <w:r w:rsidR="005114B8" w:rsidRPr="00F45A40">
              <w:rPr>
                <w:rFonts w:ascii="Times New Roman" w:eastAsia="Times New Roman" w:hAnsi="Times New Roman" w:cs="Times New Roman"/>
                <w:b/>
                <w:color w:val="000000"/>
                <w:vertAlign w:val="superscript"/>
              </w:rPr>
              <w:t xml:space="preserve">** </w:t>
            </w:r>
          </w:p>
        </w:tc>
      </w:tr>
      <w:tr w:rsidR="005114B8" w:rsidRPr="00F45A40" w14:paraId="0A277D9D" w14:textId="77777777" w:rsidTr="00F45A40">
        <w:trPr>
          <w:trHeight w:val="272"/>
        </w:trPr>
        <w:tc>
          <w:tcPr>
            <w:tcW w:w="1027" w:type="pct"/>
            <w:vMerge/>
            <w:vAlign w:val="center"/>
            <w:hideMark/>
          </w:tcPr>
          <w:p w14:paraId="368442B8" w14:textId="77777777" w:rsidR="005114B8" w:rsidRPr="00F45A40" w:rsidRDefault="005114B8" w:rsidP="00E83841">
            <w:pPr>
              <w:spacing w:after="0" w:line="360" w:lineRule="auto"/>
              <w:jc w:val="both"/>
              <w:rPr>
                <w:rFonts w:ascii="Times New Roman" w:eastAsia="Times New Roman" w:hAnsi="Times New Roman" w:cs="Times New Roman"/>
                <w:color w:val="000000"/>
              </w:rPr>
            </w:pPr>
          </w:p>
        </w:tc>
        <w:tc>
          <w:tcPr>
            <w:tcW w:w="1617" w:type="pct"/>
            <w:shd w:val="clear" w:color="auto" w:fill="auto"/>
            <w:hideMark/>
          </w:tcPr>
          <w:p w14:paraId="0B004F29" w14:textId="77777777" w:rsidR="005114B8" w:rsidRPr="00F45A40" w:rsidRDefault="005114B8" w:rsidP="00E83841">
            <w:pPr>
              <w:spacing w:after="0" w:line="360" w:lineRule="auto"/>
              <w:jc w:val="both"/>
              <w:rPr>
                <w:rFonts w:ascii="Times New Roman" w:eastAsia="Times New Roman" w:hAnsi="Times New Roman" w:cs="Times New Roman"/>
                <w:color w:val="000000"/>
              </w:rPr>
            </w:pPr>
            <w:r w:rsidRPr="00F45A40">
              <w:rPr>
                <w:rFonts w:ascii="Times New Roman" w:eastAsia="Times New Roman" w:hAnsi="Times New Roman" w:cs="Times New Roman"/>
                <w:color w:val="000000"/>
              </w:rPr>
              <w:t>Sig. (2-tailed)</w:t>
            </w:r>
          </w:p>
        </w:tc>
        <w:tc>
          <w:tcPr>
            <w:tcW w:w="2356" w:type="pct"/>
            <w:shd w:val="clear" w:color="auto" w:fill="auto"/>
            <w:noWrap/>
            <w:vAlign w:val="center"/>
            <w:hideMark/>
          </w:tcPr>
          <w:p w14:paraId="25E981DB" w14:textId="77777777" w:rsidR="005114B8" w:rsidRPr="00F45A40" w:rsidRDefault="009D434E" w:rsidP="00E83841">
            <w:pPr>
              <w:spacing w:after="0" w:line="360" w:lineRule="auto"/>
              <w:jc w:val="both"/>
              <w:rPr>
                <w:rFonts w:ascii="Times New Roman" w:eastAsia="Times New Roman" w:hAnsi="Times New Roman" w:cs="Times New Roman"/>
                <w:color w:val="000000"/>
              </w:rPr>
            </w:pPr>
            <w:r w:rsidRPr="00F45A40">
              <w:rPr>
                <w:rFonts w:ascii="Times New Roman" w:eastAsia="Times New Roman" w:hAnsi="Times New Roman" w:cs="Times New Roman"/>
                <w:color w:val="000000"/>
                <w:lang w:val="en-GB"/>
              </w:rPr>
              <w:t xml:space="preserve">                  </w:t>
            </w:r>
            <w:r w:rsidR="005114B8" w:rsidRPr="00F45A40">
              <w:rPr>
                <w:rFonts w:ascii="Times New Roman" w:eastAsia="Times New Roman" w:hAnsi="Times New Roman" w:cs="Times New Roman"/>
                <w:color w:val="000000"/>
                <w:lang w:val="en-GB"/>
              </w:rPr>
              <w:t>0</w:t>
            </w:r>
            <w:r w:rsidR="005114B8" w:rsidRPr="00F45A40">
              <w:rPr>
                <w:rFonts w:ascii="Times New Roman" w:eastAsia="Times New Roman" w:hAnsi="Times New Roman" w:cs="Times New Roman"/>
                <w:color w:val="000000"/>
              </w:rPr>
              <w:t>.000</w:t>
            </w:r>
          </w:p>
        </w:tc>
      </w:tr>
      <w:tr w:rsidR="00352037" w:rsidRPr="00F45A40" w14:paraId="391062B4" w14:textId="77777777" w:rsidTr="00F45A40">
        <w:trPr>
          <w:trHeight w:val="272"/>
        </w:trPr>
        <w:tc>
          <w:tcPr>
            <w:tcW w:w="5000" w:type="pct"/>
            <w:gridSpan w:val="3"/>
            <w:vAlign w:val="center"/>
          </w:tcPr>
          <w:p w14:paraId="280A955A" w14:textId="77777777" w:rsidR="00352037" w:rsidRPr="00F45A40" w:rsidRDefault="00352037" w:rsidP="00E83841">
            <w:pPr>
              <w:spacing w:after="0" w:line="360" w:lineRule="auto"/>
              <w:jc w:val="both"/>
              <w:rPr>
                <w:rFonts w:ascii="Times New Roman" w:eastAsia="Times New Roman" w:hAnsi="Times New Roman" w:cs="Times New Roman"/>
                <w:color w:val="000000"/>
              </w:rPr>
            </w:pPr>
            <w:r w:rsidRPr="00F45A40">
              <w:rPr>
                <w:rFonts w:ascii="Times New Roman" w:eastAsia="Times New Roman" w:hAnsi="Times New Roman" w:cs="Times New Roman"/>
                <w:color w:val="000000"/>
                <w:lang w:val="en-GB"/>
              </w:rPr>
              <w:t>Total number of respondents</w:t>
            </w:r>
            <w:r w:rsidRPr="00F45A40">
              <w:rPr>
                <w:rFonts w:ascii="Times New Roman" w:eastAsia="Times New Roman" w:hAnsi="Times New Roman" w:cs="Times New Roman"/>
                <w:color w:val="000000"/>
              </w:rPr>
              <w:t xml:space="preserve"> </w:t>
            </w:r>
            <w:r w:rsidRPr="00F45A40">
              <w:rPr>
                <w:rFonts w:ascii="Times New Roman" w:eastAsia="Times New Roman" w:hAnsi="Times New Roman" w:cs="Times New Roman"/>
                <w:color w:val="000000"/>
                <w:lang w:val="en-GB"/>
              </w:rPr>
              <w:t>260</w:t>
            </w:r>
          </w:p>
        </w:tc>
      </w:tr>
      <w:tr w:rsidR="00352037" w:rsidRPr="00F45A40" w14:paraId="67C28ED5" w14:textId="77777777" w:rsidTr="00F45A40">
        <w:trPr>
          <w:trHeight w:val="272"/>
        </w:trPr>
        <w:tc>
          <w:tcPr>
            <w:tcW w:w="5000" w:type="pct"/>
            <w:gridSpan w:val="3"/>
          </w:tcPr>
          <w:p w14:paraId="44A77865" w14:textId="77777777" w:rsidR="00352037" w:rsidRPr="00F45A40" w:rsidRDefault="00352037" w:rsidP="00E83841">
            <w:pPr>
              <w:spacing w:after="0" w:line="360" w:lineRule="auto"/>
              <w:jc w:val="both"/>
              <w:rPr>
                <w:rFonts w:ascii="Times New Roman" w:eastAsia="Times New Roman" w:hAnsi="Times New Roman" w:cs="Times New Roman"/>
                <w:color w:val="000000"/>
                <w:lang w:val="en-GB"/>
              </w:rPr>
            </w:pPr>
            <w:r w:rsidRPr="00F45A40">
              <w:rPr>
                <w:rFonts w:ascii="Times New Roman" w:eastAsia="Times New Roman" w:hAnsi="Times New Roman" w:cs="Times New Roman"/>
                <w:color w:val="000000"/>
              </w:rPr>
              <w:t>**. Correlation is significant at the 0.01 level (2-tailed).</w:t>
            </w:r>
          </w:p>
        </w:tc>
      </w:tr>
      <w:tr w:rsidR="00352037" w:rsidRPr="00F45A40" w14:paraId="31D423F7" w14:textId="77777777" w:rsidTr="00F45A40">
        <w:trPr>
          <w:trHeight w:val="272"/>
        </w:trPr>
        <w:tc>
          <w:tcPr>
            <w:tcW w:w="5000" w:type="pct"/>
            <w:gridSpan w:val="3"/>
            <w:tcBorders>
              <w:bottom w:val="single" w:sz="4" w:space="0" w:color="auto"/>
            </w:tcBorders>
          </w:tcPr>
          <w:p w14:paraId="2DEE80E9" w14:textId="77777777" w:rsidR="00352037" w:rsidRPr="00F45A40" w:rsidRDefault="00352037" w:rsidP="00E83841">
            <w:pPr>
              <w:spacing w:after="0" w:line="360" w:lineRule="auto"/>
              <w:jc w:val="both"/>
              <w:rPr>
                <w:rFonts w:ascii="Times New Roman" w:eastAsia="Times New Roman" w:hAnsi="Times New Roman" w:cs="Times New Roman"/>
                <w:color w:val="000000"/>
                <w:lang w:val="en-GB"/>
              </w:rPr>
            </w:pPr>
            <w:r w:rsidRPr="00F45A40">
              <w:rPr>
                <w:rFonts w:ascii="Times New Roman" w:eastAsia="Times New Roman" w:hAnsi="Times New Roman" w:cs="Times New Roman"/>
                <w:color w:val="000000"/>
              </w:rPr>
              <w:t>*. Correlation is significant at the 0.05 level (2-tailed).</w:t>
            </w:r>
          </w:p>
        </w:tc>
      </w:tr>
    </w:tbl>
    <w:p w14:paraId="327492D9" w14:textId="77777777" w:rsidR="008615BB" w:rsidRPr="008615BB" w:rsidRDefault="008615BB" w:rsidP="00E83841">
      <w:pPr>
        <w:spacing w:line="360" w:lineRule="auto"/>
        <w:ind w:right="68"/>
        <w:rPr>
          <w:rFonts w:ascii="Times New Roman" w:hAnsi="Times New Roman" w:cs="Times New Roman"/>
          <w:sz w:val="24"/>
          <w:szCs w:val="24"/>
        </w:rPr>
      </w:pPr>
    </w:p>
    <w:p w14:paraId="3D3259B0" w14:textId="77777777" w:rsidR="008615BB" w:rsidRPr="008615BB" w:rsidRDefault="007E03FA" w:rsidP="00E83841">
      <w:pPr>
        <w:pStyle w:val="Caption"/>
        <w:spacing w:line="360" w:lineRule="auto"/>
        <w:rPr>
          <w:sz w:val="24"/>
          <w:szCs w:val="24"/>
          <w:lang w:val="en-GB"/>
        </w:rPr>
      </w:pPr>
      <w:bookmarkStart w:id="5" w:name="_Toc186357854"/>
      <w:r w:rsidRPr="007E03FA">
        <w:rPr>
          <w:b w:val="0"/>
          <w:i/>
          <w:sz w:val="24"/>
          <w:szCs w:val="24"/>
        </w:rPr>
        <w:t>Table 4</w:t>
      </w:r>
      <w:r>
        <w:rPr>
          <w:i/>
          <w:sz w:val="24"/>
          <w:szCs w:val="24"/>
        </w:rPr>
        <w:t xml:space="preserve"> </w:t>
      </w:r>
      <w:r w:rsidR="00352037" w:rsidRPr="00C568CA">
        <w:rPr>
          <w:rFonts w:eastAsia="Times New Roman"/>
          <w:bCs w:val="0"/>
          <w:color w:val="000000"/>
          <w:sz w:val="24"/>
          <w:szCs w:val="24"/>
        </w:rPr>
        <w:t>C</w:t>
      </w:r>
      <w:r w:rsidR="00352037" w:rsidRPr="00723090">
        <w:rPr>
          <w:rFonts w:eastAsia="Times New Roman"/>
          <w:bCs w:val="0"/>
          <w:color w:val="000000"/>
          <w:sz w:val="24"/>
          <w:szCs w:val="24"/>
        </w:rPr>
        <w:t>orrelations</w:t>
      </w:r>
      <w:r w:rsidR="00352037" w:rsidRPr="00723090">
        <w:rPr>
          <w:rFonts w:eastAsia="Times New Roman"/>
          <w:bCs w:val="0"/>
          <w:color w:val="000000"/>
          <w:sz w:val="24"/>
          <w:szCs w:val="24"/>
          <w:lang w:val="en-GB"/>
        </w:rPr>
        <w:t xml:space="preserve"> (parametric)</w:t>
      </w:r>
      <w:bookmarkEnd w:id="5"/>
    </w:p>
    <w:tbl>
      <w:tblPr>
        <w:tblW w:w="5000" w:type="pct"/>
        <w:tblLook w:val="04A0" w:firstRow="1" w:lastRow="0" w:firstColumn="1" w:lastColumn="0" w:noHBand="0" w:noVBand="1"/>
      </w:tblPr>
      <w:tblGrid>
        <w:gridCol w:w="1924"/>
        <w:gridCol w:w="3117"/>
        <w:gridCol w:w="4319"/>
      </w:tblGrid>
      <w:tr w:rsidR="00352037" w:rsidRPr="00352037" w14:paraId="6700FDC9" w14:textId="77777777" w:rsidTr="0030114C">
        <w:trPr>
          <w:trHeight w:val="319"/>
        </w:trPr>
        <w:tc>
          <w:tcPr>
            <w:tcW w:w="5000" w:type="pct"/>
            <w:gridSpan w:val="3"/>
            <w:tcBorders>
              <w:bottom w:val="single" w:sz="4" w:space="0" w:color="auto"/>
            </w:tcBorders>
            <w:shd w:val="clear" w:color="auto" w:fill="auto"/>
          </w:tcPr>
          <w:p w14:paraId="4FA77A05" w14:textId="77777777" w:rsidR="00352037" w:rsidRPr="00352037" w:rsidRDefault="00352037" w:rsidP="00E83841">
            <w:pPr>
              <w:spacing w:after="0" w:line="360" w:lineRule="auto"/>
              <w:jc w:val="center"/>
              <w:rPr>
                <w:rFonts w:ascii="Times New Roman" w:eastAsia="Times New Roman" w:hAnsi="Times New Roman" w:cs="Times New Roman"/>
                <w:b/>
                <w:color w:val="000000"/>
                <w:sz w:val="24"/>
                <w:szCs w:val="24"/>
              </w:rPr>
            </w:pPr>
            <w:r w:rsidRPr="00352037">
              <w:rPr>
                <w:rFonts w:ascii="Times New Roman" w:eastAsia="Times New Roman" w:hAnsi="Times New Roman" w:cs="Times New Roman"/>
                <w:b/>
                <w:bCs/>
                <w:color w:val="000000"/>
                <w:sz w:val="24"/>
                <w:szCs w:val="24"/>
              </w:rPr>
              <w:t>Correlations</w:t>
            </w:r>
            <w:r w:rsidRPr="00352037">
              <w:rPr>
                <w:rFonts w:ascii="Times New Roman" w:eastAsia="Times New Roman" w:hAnsi="Times New Roman" w:cs="Times New Roman"/>
                <w:b/>
                <w:bCs/>
                <w:color w:val="000000"/>
                <w:sz w:val="24"/>
                <w:szCs w:val="24"/>
                <w:lang w:val="en-GB"/>
              </w:rPr>
              <w:t xml:space="preserve"> (parametric)</w:t>
            </w:r>
          </w:p>
        </w:tc>
      </w:tr>
      <w:tr w:rsidR="00352037" w:rsidRPr="00352037" w14:paraId="63F0E226" w14:textId="77777777" w:rsidTr="0030114C">
        <w:trPr>
          <w:trHeight w:val="319"/>
        </w:trPr>
        <w:tc>
          <w:tcPr>
            <w:tcW w:w="2693" w:type="pct"/>
            <w:gridSpan w:val="2"/>
            <w:tcBorders>
              <w:top w:val="single" w:sz="4" w:space="0" w:color="auto"/>
              <w:bottom w:val="single" w:sz="4" w:space="0" w:color="auto"/>
            </w:tcBorders>
            <w:shd w:val="clear" w:color="auto" w:fill="auto"/>
            <w:vAlign w:val="bottom"/>
            <w:hideMark/>
          </w:tcPr>
          <w:p w14:paraId="2C14FE68" w14:textId="77777777" w:rsidR="00352037" w:rsidRPr="00352037" w:rsidRDefault="00352037" w:rsidP="00E83841">
            <w:pPr>
              <w:spacing w:after="0" w:line="360" w:lineRule="auto"/>
              <w:jc w:val="both"/>
              <w:rPr>
                <w:rFonts w:ascii="Times New Roman" w:eastAsia="Times New Roman" w:hAnsi="Times New Roman" w:cs="Times New Roman"/>
                <w:color w:val="000000"/>
                <w:sz w:val="24"/>
                <w:szCs w:val="24"/>
                <w:lang w:val="en-GB"/>
              </w:rPr>
            </w:pPr>
            <w:r w:rsidRPr="00352037">
              <w:rPr>
                <w:rFonts w:ascii="Times New Roman" w:eastAsia="Times New Roman" w:hAnsi="Times New Roman" w:cs="Times New Roman"/>
                <w:color w:val="000000"/>
                <w:sz w:val="24"/>
                <w:szCs w:val="24"/>
              </w:rPr>
              <w:t> </w:t>
            </w:r>
            <w:r w:rsidRPr="00352037">
              <w:rPr>
                <w:rFonts w:ascii="Times New Roman" w:eastAsia="Times New Roman" w:hAnsi="Times New Roman" w:cs="Times New Roman"/>
                <w:color w:val="000000"/>
                <w:sz w:val="24"/>
                <w:szCs w:val="24"/>
                <w:lang w:val="en-GB"/>
              </w:rPr>
              <w:t>Testing Variables</w:t>
            </w:r>
          </w:p>
        </w:tc>
        <w:tc>
          <w:tcPr>
            <w:tcW w:w="2307" w:type="pct"/>
            <w:tcBorders>
              <w:top w:val="single" w:sz="4" w:space="0" w:color="auto"/>
              <w:bottom w:val="single" w:sz="4" w:space="0" w:color="auto"/>
            </w:tcBorders>
            <w:shd w:val="clear" w:color="auto" w:fill="auto"/>
            <w:vAlign w:val="bottom"/>
            <w:hideMark/>
          </w:tcPr>
          <w:p w14:paraId="3C70B552" w14:textId="77777777" w:rsidR="00352037" w:rsidRPr="00352037" w:rsidRDefault="00352037" w:rsidP="00E83841">
            <w:pPr>
              <w:spacing w:after="0" w:line="360" w:lineRule="auto"/>
              <w:jc w:val="center"/>
              <w:rPr>
                <w:rFonts w:ascii="Times New Roman" w:eastAsia="Times New Roman" w:hAnsi="Times New Roman" w:cs="Times New Roman"/>
                <w:b/>
                <w:color w:val="000000"/>
                <w:sz w:val="24"/>
                <w:szCs w:val="24"/>
              </w:rPr>
            </w:pPr>
            <w:r w:rsidRPr="00352037">
              <w:rPr>
                <w:rFonts w:ascii="Times New Roman" w:eastAsia="Times New Roman" w:hAnsi="Times New Roman" w:cs="Times New Roman"/>
                <w:b/>
                <w:color w:val="000000"/>
                <w:sz w:val="24"/>
                <w:szCs w:val="24"/>
              </w:rPr>
              <w:t>Gender Equity</w:t>
            </w:r>
          </w:p>
          <w:p w14:paraId="4AE8E6F3" w14:textId="77777777" w:rsidR="00352037" w:rsidRPr="00352037" w:rsidRDefault="00352037" w:rsidP="00E83841">
            <w:pPr>
              <w:spacing w:after="0" w:line="360" w:lineRule="auto"/>
              <w:jc w:val="center"/>
              <w:rPr>
                <w:rFonts w:ascii="Times New Roman" w:eastAsia="Times New Roman" w:hAnsi="Times New Roman" w:cs="Times New Roman"/>
                <w:b/>
                <w:color w:val="000000"/>
                <w:sz w:val="24"/>
                <w:szCs w:val="24"/>
              </w:rPr>
            </w:pPr>
          </w:p>
        </w:tc>
      </w:tr>
      <w:tr w:rsidR="00352037" w:rsidRPr="00352037" w14:paraId="49ADF428" w14:textId="77777777" w:rsidTr="0030114C">
        <w:trPr>
          <w:trHeight w:val="319"/>
        </w:trPr>
        <w:tc>
          <w:tcPr>
            <w:tcW w:w="1028" w:type="pct"/>
            <w:vMerge w:val="restart"/>
            <w:tcBorders>
              <w:top w:val="single" w:sz="4" w:space="0" w:color="auto"/>
            </w:tcBorders>
            <w:shd w:val="clear" w:color="auto" w:fill="auto"/>
            <w:hideMark/>
          </w:tcPr>
          <w:p w14:paraId="2B20BEE5" w14:textId="77777777" w:rsidR="00352037" w:rsidRPr="00352037" w:rsidRDefault="00352037" w:rsidP="00E83841">
            <w:pPr>
              <w:spacing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Girls completion rate</w:t>
            </w:r>
            <w:r w:rsidRPr="00352037">
              <w:rPr>
                <w:rFonts w:ascii="Times New Roman" w:eastAsia="Times New Roman" w:hAnsi="Times New Roman" w:cs="Times New Roman"/>
                <w:b/>
                <w:color w:val="000000"/>
                <w:sz w:val="24"/>
                <w:szCs w:val="24"/>
              </w:rPr>
              <w:t xml:space="preserve"> </w:t>
            </w:r>
          </w:p>
        </w:tc>
        <w:tc>
          <w:tcPr>
            <w:tcW w:w="1665" w:type="pct"/>
            <w:tcBorders>
              <w:top w:val="single" w:sz="4" w:space="0" w:color="auto"/>
            </w:tcBorders>
            <w:shd w:val="clear" w:color="auto" w:fill="auto"/>
            <w:hideMark/>
          </w:tcPr>
          <w:p w14:paraId="22483108" w14:textId="77777777" w:rsidR="00352037" w:rsidRPr="00352037" w:rsidRDefault="00352037" w:rsidP="00E83841">
            <w:pPr>
              <w:spacing w:after="0" w:line="360" w:lineRule="auto"/>
              <w:jc w:val="both"/>
              <w:rPr>
                <w:rFonts w:ascii="Times New Roman" w:eastAsia="Times New Roman" w:hAnsi="Times New Roman" w:cs="Times New Roman"/>
                <w:color w:val="000000"/>
                <w:sz w:val="24"/>
                <w:szCs w:val="24"/>
              </w:rPr>
            </w:pPr>
            <w:r w:rsidRPr="00352037">
              <w:rPr>
                <w:rFonts w:ascii="Times New Roman" w:eastAsia="Times New Roman" w:hAnsi="Times New Roman" w:cs="Times New Roman"/>
                <w:color w:val="000000"/>
                <w:sz w:val="24"/>
                <w:szCs w:val="24"/>
              </w:rPr>
              <w:t>Pearson Correlation</w:t>
            </w:r>
          </w:p>
        </w:tc>
        <w:tc>
          <w:tcPr>
            <w:tcW w:w="2307" w:type="pct"/>
            <w:tcBorders>
              <w:top w:val="single" w:sz="4" w:space="0" w:color="auto"/>
            </w:tcBorders>
            <w:shd w:val="clear" w:color="auto" w:fill="auto"/>
            <w:noWrap/>
            <w:vAlign w:val="center"/>
            <w:hideMark/>
          </w:tcPr>
          <w:p w14:paraId="468DD194" w14:textId="77777777" w:rsidR="00352037" w:rsidRPr="00352037" w:rsidRDefault="00352037" w:rsidP="00E83841">
            <w:pPr>
              <w:spacing w:after="0" w:line="360" w:lineRule="auto"/>
              <w:jc w:val="center"/>
              <w:rPr>
                <w:rFonts w:ascii="Times New Roman" w:eastAsia="Times New Roman" w:hAnsi="Times New Roman" w:cs="Times New Roman"/>
                <w:b/>
                <w:color w:val="000000"/>
                <w:sz w:val="24"/>
                <w:szCs w:val="24"/>
              </w:rPr>
            </w:pPr>
            <w:r w:rsidRPr="00352037">
              <w:rPr>
                <w:rFonts w:ascii="Times New Roman" w:eastAsia="Times New Roman" w:hAnsi="Times New Roman" w:cs="Times New Roman"/>
                <w:b/>
                <w:color w:val="000000"/>
                <w:sz w:val="24"/>
                <w:szCs w:val="24"/>
              </w:rPr>
              <w:t>0.387</w:t>
            </w:r>
            <w:r w:rsidRPr="00352037">
              <w:rPr>
                <w:rFonts w:ascii="Times New Roman" w:eastAsia="Times New Roman" w:hAnsi="Times New Roman" w:cs="Times New Roman"/>
                <w:b/>
                <w:color w:val="000000"/>
                <w:sz w:val="24"/>
                <w:szCs w:val="24"/>
                <w:vertAlign w:val="superscript"/>
              </w:rPr>
              <w:t>**</w:t>
            </w:r>
          </w:p>
        </w:tc>
      </w:tr>
      <w:tr w:rsidR="00352037" w:rsidRPr="00352037" w14:paraId="05DE5208" w14:textId="77777777" w:rsidTr="0030114C">
        <w:trPr>
          <w:trHeight w:val="319"/>
        </w:trPr>
        <w:tc>
          <w:tcPr>
            <w:tcW w:w="1028" w:type="pct"/>
            <w:vMerge/>
            <w:vAlign w:val="center"/>
            <w:hideMark/>
          </w:tcPr>
          <w:p w14:paraId="317C70C2" w14:textId="77777777" w:rsidR="00352037" w:rsidRPr="00352037" w:rsidRDefault="00352037" w:rsidP="00E83841">
            <w:pPr>
              <w:spacing w:after="0" w:line="360" w:lineRule="auto"/>
              <w:jc w:val="both"/>
              <w:rPr>
                <w:rFonts w:ascii="Times New Roman" w:eastAsia="Times New Roman" w:hAnsi="Times New Roman" w:cs="Times New Roman"/>
                <w:color w:val="000000"/>
                <w:sz w:val="24"/>
                <w:szCs w:val="24"/>
              </w:rPr>
            </w:pPr>
          </w:p>
        </w:tc>
        <w:tc>
          <w:tcPr>
            <w:tcW w:w="1665" w:type="pct"/>
            <w:shd w:val="clear" w:color="auto" w:fill="auto"/>
            <w:hideMark/>
          </w:tcPr>
          <w:p w14:paraId="0DFE8E3C" w14:textId="77777777" w:rsidR="00352037" w:rsidRPr="00352037" w:rsidRDefault="00352037" w:rsidP="00E83841">
            <w:pPr>
              <w:spacing w:after="0" w:line="360" w:lineRule="auto"/>
              <w:jc w:val="both"/>
              <w:rPr>
                <w:rFonts w:ascii="Times New Roman" w:eastAsia="Times New Roman" w:hAnsi="Times New Roman" w:cs="Times New Roman"/>
                <w:color w:val="000000"/>
                <w:sz w:val="24"/>
                <w:szCs w:val="24"/>
              </w:rPr>
            </w:pPr>
            <w:r w:rsidRPr="00352037">
              <w:rPr>
                <w:rFonts w:ascii="Times New Roman" w:eastAsia="Times New Roman" w:hAnsi="Times New Roman" w:cs="Times New Roman"/>
                <w:color w:val="000000"/>
                <w:sz w:val="24"/>
                <w:szCs w:val="24"/>
              </w:rPr>
              <w:t>Sig. (2-tailed)</w:t>
            </w:r>
          </w:p>
        </w:tc>
        <w:tc>
          <w:tcPr>
            <w:tcW w:w="2307" w:type="pct"/>
            <w:shd w:val="clear" w:color="auto" w:fill="auto"/>
            <w:noWrap/>
            <w:vAlign w:val="center"/>
            <w:hideMark/>
          </w:tcPr>
          <w:p w14:paraId="79A33968" w14:textId="77777777" w:rsidR="00352037" w:rsidRPr="00352037" w:rsidRDefault="00352037" w:rsidP="00E83841">
            <w:pPr>
              <w:spacing w:after="0" w:line="360" w:lineRule="auto"/>
              <w:jc w:val="center"/>
              <w:rPr>
                <w:rFonts w:ascii="Times New Roman" w:eastAsia="Times New Roman" w:hAnsi="Times New Roman" w:cs="Times New Roman"/>
                <w:color w:val="000000"/>
                <w:sz w:val="24"/>
                <w:szCs w:val="24"/>
              </w:rPr>
            </w:pPr>
            <w:r w:rsidRPr="00352037">
              <w:rPr>
                <w:rFonts w:ascii="Times New Roman" w:eastAsia="Times New Roman" w:hAnsi="Times New Roman" w:cs="Times New Roman"/>
                <w:color w:val="000000"/>
                <w:sz w:val="24"/>
                <w:szCs w:val="24"/>
              </w:rPr>
              <w:t>0.000</w:t>
            </w:r>
          </w:p>
        </w:tc>
      </w:tr>
      <w:tr w:rsidR="00352037" w:rsidRPr="00352037" w14:paraId="6A9B3A53" w14:textId="77777777" w:rsidTr="0030114C">
        <w:trPr>
          <w:trHeight w:val="319"/>
        </w:trPr>
        <w:tc>
          <w:tcPr>
            <w:tcW w:w="5000" w:type="pct"/>
            <w:gridSpan w:val="3"/>
            <w:vAlign w:val="center"/>
          </w:tcPr>
          <w:p w14:paraId="3CFDAB23" w14:textId="77777777" w:rsidR="00352037" w:rsidRPr="00352037" w:rsidRDefault="00352037" w:rsidP="00E83841">
            <w:pPr>
              <w:spacing w:after="0" w:line="360" w:lineRule="auto"/>
              <w:jc w:val="both"/>
              <w:rPr>
                <w:rFonts w:ascii="Times New Roman" w:eastAsia="Times New Roman" w:hAnsi="Times New Roman" w:cs="Times New Roman"/>
                <w:color w:val="000000"/>
                <w:sz w:val="24"/>
                <w:szCs w:val="24"/>
              </w:rPr>
            </w:pPr>
            <w:r w:rsidRPr="00352037">
              <w:rPr>
                <w:rFonts w:ascii="Times New Roman" w:eastAsia="Times New Roman" w:hAnsi="Times New Roman" w:cs="Times New Roman"/>
                <w:color w:val="000000"/>
                <w:sz w:val="24"/>
                <w:szCs w:val="24"/>
                <w:lang w:val="en-GB"/>
              </w:rPr>
              <w:t>Total number of respondents</w:t>
            </w:r>
            <w:r w:rsidRPr="00352037">
              <w:rPr>
                <w:rFonts w:ascii="Times New Roman" w:eastAsia="Times New Roman" w:hAnsi="Times New Roman" w:cs="Times New Roman"/>
                <w:color w:val="000000"/>
                <w:sz w:val="24"/>
                <w:szCs w:val="24"/>
              </w:rPr>
              <w:t xml:space="preserve">  </w:t>
            </w:r>
            <w:r w:rsidRPr="00352037">
              <w:rPr>
                <w:rFonts w:ascii="Times New Roman" w:eastAsia="Times New Roman" w:hAnsi="Times New Roman" w:cs="Times New Roman"/>
                <w:color w:val="000000"/>
                <w:sz w:val="24"/>
                <w:szCs w:val="24"/>
                <w:lang w:val="en-GB"/>
              </w:rPr>
              <w:t>260</w:t>
            </w:r>
          </w:p>
        </w:tc>
      </w:tr>
      <w:tr w:rsidR="00352037" w:rsidRPr="00352037" w14:paraId="4AD64F52" w14:textId="77777777" w:rsidTr="0030114C">
        <w:trPr>
          <w:trHeight w:val="319"/>
        </w:trPr>
        <w:tc>
          <w:tcPr>
            <w:tcW w:w="5000" w:type="pct"/>
            <w:gridSpan w:val="3"/>
            <w:tcBorders>
              <w:bottom w:val="single" w:sz="4" w:space="0" w:color="auto"/>
            </w:tcBorders>
          </w:tcPr>
          <w:p w14:paraId="60196F79" w14:textId="77777777" w:rsidR="00352037" w:rsidRPr="00352037" w:rsidRDefault="00352037" w:rsidP="00E83841">
            <w:pPr>
              <w:spacing w:after="0" w:line="360" w:lineRule="auto"/>
              <w:jc w:val="both"/>
              <w:rPr>
                <w:rFonts w:ascii="Times New Roman" w:eastAsia="Times New Roman" w:hAnsi="Times New Roman" w:cs="Times New Roman"/>
                <w:color w:val="000000"/>
                <w:sz w:val="24"/>
                <w:szCs w:val="24"/>
                <w:lang w:val="en-GB"/>
              </w:rPr>
            </w:pPr>
            <w:r w:rsidRPr="00352037">
              <w:rPr>
                <w:rFonts w:ascii="Times New Roman" w:eastAsia="Times New Roman" w:hAnsi="Times New Roman" w:cs="Times New Roman"/>
                <w:color w:val="000000"/>
                <w:sz w:val="24"/>
                <w:szCs w:val="24"/>
              </w:rPr>
              <w:t>**. Correlation is significant at the 0.01 level (2-tailed).</w:t>
            </w:r>
          </w:p>
        </w:tc>
      </w:tr>
    </w:tbl>
    <w:p w14:paraId="1AADD8E1" w14:textId="77777777" w:rsidR="008615BB" w:rsidRDefault="008615BB" w:rsidP="00E83841">
      <w:pPr>
        <w:spacing w:line="360" w:lineRule="auto"/>
        <w:jc w:val="both"/>
        <w:rPr>
          <w:rFonts w:ascii="Times New Roman" w:eastAsia="Times New Roman" w:hAnsi="Times New Roman" w:cs="Times New Roman"/>
          <w:color w:val="000000"/>
          <w:sz w:val="24"/>
          <w:szCs w:val="24"/>
        </w:rPr>
      </w:pPr>
    </w:p>
    <w:p w14:paraId="1A65EC48" w14:textId="77777777" w:rsidR="00492163" w:rsidRDefault="00492163" w:rsidP="00E83841">
      <w:pPr>
        <w:spacing w:line="360" w:lineRule="auto"/>
        <w:contextualSpacing/>
        <w:jc w:val="both"/>
        <w:rPr>
          <w:rFonts w:ascii="Times New Roman" w:hAnsi="Times New Roman" w:cs="Times New Roman"/>
          <w:sz w:val="24"/>
          <w:szCs w:val="24"/>
        </w:rPr>
        <w:sectPr w:rsidR="00492163" w:rsidSect="00841AC1">
          <w:type w:val="continuous"/>
          <w:pgSz w:w="12240" w:h="15840"/>
          <w:pgMar w:top="1440" w:right="1440" w:bottom="1440" w:left="1440" w:header="720" w:footer="720" w:gutter="0"/>
          <w:cols w:space="720"/>
          <w:docGrid w:linePitch="360"/>
        </w:sectPr>
      </w:pPr>
    </w:p>
    <w:p w14:paraId="53265701" w14:textId="77777777" w:rsidR="0030114C" w:rsidRDefault="006F04B4" w:rsidP="00E83841">
      <w:pPr>
        <w:spacing w:line="360" w:lineRule="auto"/>
        <w:contextualSpacing/>
        <w:jc w:val="both"/>
        <w:rPr>
          <w:rFonts w:ascii="Times New Roman" w:hAnsi="Times New Roman" w:cs="Times New Roman"/>
          <w:sz w:val="24"/>
          <w:szCs w:val="24"/>
        </w:rPr>
      </w:pPr>
      <w:r w:rsidRPr="006F04B4">
        <w:rPr>
          <w:rFonts w:ascii="Times New Roman" w:hAnsi="Times New Roman" w:cs="Times New Roman"/>
          <w:sz w:val="24"/>
          <w:szCs w:val="24"/>
        </w:rPr>
        <w:t xml:space="preserve">As it is presented in the </w:t>
      </w:r>
      <w:r w:rsidR="007E03FA">
        <w:rPr>
          <w:rFonts w:ascii="Times New Roman" w:hAnsi="Times New Roman" w:cs="Times New Roman"/>
          <w:sz w:val="24"/>
          <w:szCs w:val="24"/>
        </w:rPr>
        <w:t>Table 3</w:t>
      </w:r>
      <w:r w:rsidR="005C1C50">
        <w:rPr>
          <w:rFonts w:ascii="Times New Roman" w:hAnsi="Times New Roman" w:cs="Times New Roman"/>
          <w:sz w:val="24"/>
          <w:szCs w:val="24"/>
        </w:rPr>
        <w:t xml:space="preserve"> </w:t>
      </w:r>
      <w:r w:rsidRPr="006F04B4">
        <w:rPr>
          <w:rFonts w:ascii="Times New Roman" w:hAnsi="Times New Roman" w:cs="Times New Roman"/>
          <w:sz w:val="24"/>
          <w:szCs w:val="24"/>
        </w:rPr>
        <w:t>&amp;</w:t>
      </w:r>
      <w:r w:rsidR="00DB6F43">
        <w:rPr>
          <w:rFonts w:ascii="Times New Roman" w:hAnsi="Times New Roman" w:cs="Times New Roman"/>
          <w:sz w:val="24"/>
          <w:szCs w:val="24"/>
        </w:rPr>
        <w:t xml:space="preserve"> </w:t>
      </w:r>
      <w:r w:rsidR="007E03FA">
        <w:rPr>
          <w:rFonts w:ascii="Times New Roman" w:hAnsi="Times New Roman" w:cs="Times New Roman"/>
          <w:sz w:val="24"/>
          <w:szCs w:val="24"/>
        </w:rPr>
        <w:t>4</w:t>
      </w:r>
      <w:r w:rsidRPr="006F04B4">
        <w:rPr>
          <w:rFonts w:ascii="Times New Roman" w:hAnsi="Times New Roman" w:cs="Times New Roman"/>
          <w:sz w:val="24"/>
          <w:szCs w:val="24"/>
        </w:rPr>
        <w:t xml:space="preserve">, it was revealed that gender equity has a statistical significance weak positive correlation with the girls’ </w:t>
      </w:r>
      <w:r w:rsidR="002B67A7">
        <w:rPr>
          <w:rFonts w:ascii="Times New Roman" w:hAnsi="Times New Roman" w:cs="Times New Roman"/>
          <w:sz w:val="24"/>
          <w:szCs w:val="24"/>
        </w:rPr>
        <w:t>completion rate</w:t>
      </w:r>
      <w:r w:rsidRPr="006F04B4">
        <w:rPr>
          <w:rFonts w:ascii="Times New Roman" w:hAnsi="Times New Roman" w:cs="Times New Roman"/>
          <w:sz w:val="24"/>
          <w:szCs w:val="24"/>
        </w:rPr>
        <w:t xml:space="preserve"> in public secondary schools where r = .</w:t>
      </w:r>
      <w:r w:rsidRPr="006F04B4">
        <w:rPr>
          <w:rFonts w:ascii="Times New Roman" w:eastAsia="Times New Roman" w:hAnsi="Times New Roman" w:cs="Times New Roman"/>
          <w:color w:val="000000"/>
          <w:sz w:val="24"/>
          <w:szCs w:val="24"/>
        </w:rPr>
        <w:t>387 (</w:t>
      </w:r>
      <w:r w:rsidRPr="006F04B4">
        <w:rPr>
          <w:rFonts w:ascii="Times New Roman" w:eastAsia="Times New Roman" w:hAnsi="Times New Roman" w:cs="Times New Roman"/>
          <w:color w:val="000000"/>
          <w:sz w:val="24"/>
          <w:szCs w:val="24"/>
          <w:lang w:val="en-GB"/>
        </w:rPr>
        <w:t>0</w:t>
      </w:r>
      <w:r w:rsidRPr="006F04B4">
        <w:rPr>
          <w:rFonts w:ascii="Times New Roman" w:eastAsia="Times New Roman" w:hAnsi="Times New Roman" w:cs="Times New Roman"/>
          <w:color w:val="000000"/>
          <w:sz w:val="24"/>
          <w:szCs w:val="24"/>
        </w:rPr>
        <w:t>.387</w:t>
      </w:r>
      <w:r w:rsidRPr="006F04B4">
        <w:rPr>
          <w:rFonts w:ascii="Times New Roman" w:eastAsia="Times New Roman" w:hAnsi="Times New Roman" w:cs="Times New Roman"/>
          <w:color w:val="000000"/>
          <w:sz w:val="24"/>
          <w:szCs w:val="24"/>
          <w:vertAlign w:val="superscript"/>
        </w:rPr>
        <w:t xml:space="preserve"> </w:t>
      </w:r>
      <w:r w:rsidRPr="006F04B4">
        <w:rPr>
          <w:rFonts w:ascii="Times New Roman" w:eastAsia="Times New Roman" w:hAnsi="Times New Roman" w:cs="Times New Roman"/>
          <w:color w:val="000000"/>
          <w:sz w:val="24"/>
          <w:szCs w:val="24"/>
        </w:rPr>
        <w:t>para</w:t>
      </w:r>
      <w:r w:rsidR="00B026E0">
        <w:rPr>
          <w:rFonts w:ascii="Times New Roman" w:eastAsia="Times New Roman" w:hAnsi="Times New Roman" w:cs="Times New Roman"/>
          <w:color w:val="000000"/>
          <w:sz w:val="24"/>
          <w:szCs w:val="24"/>
        </w:rPr>
        <w:t>me</w:t>
      </w:r>
      <w:r w:rsidRPr="006F04B4">
        <w:rPr>
          <w:rFonts w:ascii="Times New Roman" w:eastAsia="Times New Roman" w:hAnsi="Times New Roman" w:cs="Times New Roman"/>
          <w:color w:val="000000"/>
          <w:sz w:val="24"/>
          <w:szCs w:val="24"/>
        </w:rPr>
        <w:t>tric case)</w:t>
      </w:r>
      <w:r w:rsidRPr="006F04B4">
        <w:rPr>
          <w:rFonts w:ascii="Times New Roman" w:eastAsia="Times New Roman" w:hAnsi="Times New Roman" w:cs="Times New Roman"/>
          <w:color w:val="000000"/>
          <w:sz w:val="24"/>
          <w:szCs w:val="24"/>
          <w:vertAlign w:val="superscript"/>
        </w:rPr>
        <w:t xml:space="preserve"> </w:t>
      </w:r>
      <w:r w:rsidRPr="006F04B4">
        <w:rPr>
          <w:rFonts w:ascii="Times New Roman" w:hAnsi="Times New Roman" w:cs="Times New Roman"/>
          <w:sz w:val="24"/>
          <w:szCs w:val="24"/>
        </w:rPr>
        <w:t xml:space="preserve">with the P-value = .000 &lt; .05. This </w:t>
      </w:r>
      <w:r w:rsidRPr="006F04B4">
        <w:rPr>
          <w:rFonts w:ascii="Times New Roman" w:hAnsi="Times New Roman" w:cs="Times New Roman"/>
          <w:sz w:val="24"/>
          <w:szCs w:val="24"/>
        </w:rPr>
        <w:t xml:space="preserve">shows that promoting gender equity in public secondary schools plays a significant role in the promotion of girls’ </w:t>
      </w:r>
      <w:r w:rsidR="002B67A7">
        <w:rPr>
          <w:rFonts w:ascii="Times New Roman" w:hAnsi="Times New Roman" w:cs="Times New Roman"/>
          <w:sz w:val="24"/>
          <w:szCs w:val="24"/>
        </w:rPr>
        <w:t>completion rate</w:t>
      </w:r>
      <w:r w:rsidR="007E03FA">
        <w:rPr>
          <w:rFonts w:ascii="Times New Roman" w:hAnsi="Times New Roman" w:cs="Times New Roman"/>
          <w:sz w:val="24"/>
          <w:szCs w:val="24"/>
        </w:rPr>
        <w:t>s</w:t>
      </w:r>
      <w:r w:rsidRPr="006F04B4">
        <w:rPr>
          <w:rFonts w:ascii="Times New Roman" w:hAnsi="Times New Roman" w:cs="Times New Roman"/>
          <w:sz w:val="24"/>
          <w:szCs w:val="24"/>
        </w:rPr>
        <w:t xml:space="preserve"> in such schools. </w:t>
      </w:r>
    </w:p>
    <w:p w14:paraId="00E49AD5" w14:textId="77777777" w:rsidR="004A23A3" w:rsidRPr="004A23A3" w:rsidRDefault="004A23A3" w:rsidP="00E83841">
      <w:pPr>
        <w:spacing w:line="360" w:lineRule="auto"/>
        <w:contextualSpacing/>
        <w:jc w:val="both"/>
        <w:rPr>
          <w:rFonts w:ascii="Times New Roman" w:eastAsia="Calibri" w:hAnsi="Times New Roman" w:cs="Times New Roman"/>
          <w:b/>
          <w:sz w:val="24"/>
          <w:szCs w:val="24"/>
        </w:rPr>
      </w:pPr>
      <w:r w:rsidRPr="004A23A3">
        <w:rPr>
          <w:rFonts w:ascii="Times New Roman" w:eastAsia="Calibri" w:hAnsi="Times New Roman" w:cs="Times New Roman"/>
          <w:b/>
          <w:sz w:val="24"/>
          <w:szCs w:val="24"/>
        </w:rPr>
        <w:t>Regression Analysis</w:t>
      </w:r>
    </w:p>
    <w:p w14:paraId="5D148C35" w14:textId="77777777" w:rsidR="00492163" w:rsidRDefault="00492163" w:rsidP="00E83841">
      <w:pPr>
        <w:spacing w:line="360" w:lineRule="auto"/>
        <w:jc w:val="both"/>
        <w:rPr>
          <w:rFonts w:ascii="Times New Roman" w:eastAsia="Calibri" w:hAnsi="Times New Roman" w:cs="Times New Roman"/>
          <w:bCs/>
          <w:i/>
          <w:sz w:val="24"/>
          <w:szCs w:val="24"/>
        </w:rPr>
        <w:sectPr w:rsidR="00492163" w:rsidSect="00492163">
          <w:type w:val="continuous"/>
          <w:pgSz w:w="12240" w:h="15840"/>
          <w:pgMar w:top="1440" w:right="1440" w:bottom="1440" w:left="1440" w:header="720" w:footer="720" w:gutter="0"/>
          <w:cols w:num="2" w:space="720"/>
          <w:docGrid w:linePitch="360"/>
        </w:sectPr>
      </w:pPr>
      <w:bookmarkStart w:id="6" w:name="_Toc186357855"/>
    </w:p>
    <w:p w14:paraId="7853BB3F" w14:textId="1C2C0877" w:rsidR="004A23A3" w:rsidRPr="004A23A3" w:rsidRDefault="007E03FA" w:rsidP="00E83841">
      <w:pPr>
        <w:spacing w:line="360" w:lineRule="auto"/>
        <w:jc w:val="both"/>
        <w:rPr>
          <w:rFonts w:ascii="Times New Roman" w:eastAsia="Calibri" w:hAnsi="Times New Roman" w:cs="Times New Roman"/>
          <w:b/>
          <w:bCs/>
          <w:sz w:val="20"/>
          <w:szCs w:val="20"/>
        </w:rPr>
      </w:pPr>
      <w:r>
        <w:rPr>
          <w:rFonts w:ascii="Times New Roman" w:eastAsia="Calibri" w:hAnsi="Times New Roman" w:cs="Times New Roman"/>
          <w:bCs/>
          <w:i/>
          <w:sz w:val="24"/>
          <w:szCs w:val="24"/>
        </w:rPr>
        <w:t xml:space="preserve">Table </w:t>
      </w:r>
      <w:proofErr w:type="gramStart"/>
      <w:r w:rsidRPr="007E03FA">
        <w:rPr>
          <w:rFonts w:ascii="Times New Roman" w:eastAsia="Calibri" w:hAnsi="Times New Roman" w:cs="Times New Roman"/>
          <w:bCs/>
          <w:i/>
          <w:sz w:val="24"/>
          <w:szCs w:val="24"/>
        </w:rPr>
        <w:t>5</w:t>
      </w:r>
      <w:r>
        <w:rPr>
          <w:rFonts w:ascii="Times New Roman" w:eastAsia="Calibri" w:hAnsi="Times New Roman" w:cs="Times New Roman"/>
          <w:bCs/>
          <w:i/>
          <w:sz w:val="24"/>
          <w:szCs w:val="24"/>
        </w:rPr>
        <w:t xml:space="preserve"> </w:t>
      </w:r>
      <w:r w:rsidR="004A23A3" w:rsidRPr="004A23A3">
        <w:rPr>
          <w:rFonts w:ascii="Times New Roman" w:eastAsia="Calibri" w:hAnsi="Times New Roman" w:cs="Times New Roman"/>
          <w:b/>
          <w:bCs/>
          <w:sz w:val="24"/>
          <w:szCs w:val="24"/>
        </w:rPr>
        <w:t xml:space="preserve"> Model</w:t>
      </w:r>
      <w:proofErr w:type="gramEnd"/>
      <w:r w:rsidR="004A23A3" w:rsidRPr="004A23A3">
        <w:rPr>
          <w:rFonts w:ascii="Times New Roman" w:eastAsia="Calibri" w:hAnsi="Times New Roman" w:cs="Times New Roman"/>
          <w:b/>
          <w:bCs/>
          <w:sz w:val="24"/>
          <w:szCs w:val="24"/>
        </w:rPr>
        <w:t xml:space="preserve"> Summary for Linear Regression Analysis</w:t>
      </w:r>
      <w:bookmarkEnd w:id="6"/>
    </w:p>
    <w:tbl>
      <w:tblPr>
        <w:tblW w:w="5000" w:type="pct"/>
        <w:tblCellMar>
          <w:left w:w="0" w:type="dxa"/>
          <w:right w:w="0" w:type="dxa"/>
        </w:tblCellMar>
        <w:tblLook w:val="0000" w:firstRow="0" w:lastRow="0" w:firstColumn="0" w:lastColumn="0" w:noHBand="0" w:noVBand="0"/>
      </w:tblPr>
      <w:tblGrid>
        <w:gridCol w:w="750"/>
        <w:gridCol w:w="788"/>
        <w:gridCol w:w="837"/>
        <w:gridCol w:w="1136"/>
        <w:gridCol w:w="1136"/>
        <w:gridCol w:w="1136"/>
        <w:gridCol w:w="861"/>
        <w:gridCol w:w="788"/>
        <w:gridCol w:w="790"/>
        <w:gridCol w:w="1138"/>
      </w:tblGrid>
      <w:tr w:rsidR="004A23A3" w:rsidRPr="00F45A40" w14:paraId="4267CEE2" w14:textId="77777777" w:rsidTr="00CC1EA3">
        <w:trPr>
          <w:cantSplit/>
        </w:trPr>
        <w:tc>
          <w:tcPr>
            <w:tcW w:w="5000" w:type="pct"/>
            <w:gridSpan w:val="10"/>
            <w:tcBorders>
              <w:bottom w:val="single" w:sz="4" w:space="0" w:color="auto"/>
            </w:tcBorders>
            <w:shd w:val="clear" w:color="auto" w:fill="FFFFFF"/>
            <w:vAlign w:val="center"/>
          </w:tcPr>
          <w:p w14:paraId="3F435E11" w14:textId="77777777" w:rsidR="004A23A3" w:rsidRPr="00F45A40" w:rsidRDefault="004A23A3" w:rsidP="00E83841">
            <w:pPr>
              <w:spacing w:after="0" w:line="360" w:lineRule="auto"/>
              <w:jc w:val="both"/>
              <w:rPr>
                <w:rFonts w:ascii="Times New Roman" w:eastAsia="Calibri" w:hAnsi="Times New Roman" w:cs="Times New Roman"/>
                <w:b/>
                <w:bCs/>
              </w:rPr>
            </w:pPr>
          </w:p>
          <w:p w14:paraId="167C8786" w14:textId="77777777" w:rsidR="004A23A3" w:rsidRPr="00F45A40" w:rsidRDefault="004A23A3" w:rsidP="00E83841">
            <w:pPr>
              <w:autoSpaceDE w:val="0"/>
              <w:autoSpaceDN w:val="0"/>
              <w:adjustRightInd w:val="0"/>
              <w:spacing w:after="0" w:line="360" w:lineRule="auto"/>
              <w:ind w:left="60" w:right="60"/>
              <w:jc w:val="center"/>
              <w:rPr>
                <w:rFonts w:ascii="Times New Roman" w:eastAsia="Calibri" w:hAnsi="Times New Roman" w:cs="Times New Roman"/>
                <w:color w:val="000000"/>
              </w:rPr>
            </w:pPr>
            <w:r w:rsidRPr="00F45A40">
              <w:rPr>
                <w:rFonts w:ascii="Times New Roman" w:eastAsia="Calibri" w:hAnsi="Times New Roman" w:cs="Times New Roman"/>
                <w:b/>
                <w:bCs/>
                <w:color w:val="000000"/>
              </w:rPr>
              <w:t xml:space="preserve">Model </w:t>
            </w:r>
            <w:proofErr w:type="spellStart"/>
            <w:r w:rsidRPr="00F45A40">
              <w:rPr>
                <w:rFonts w:ascii="Times New Roman" w:eastAsia="Calibri" w:hAnsi="Times New Roman" w:cs="Times New Roman"/>
                <w:b/>
                <w:bCs/>
                <w:color w:val="000000"/>
              </w:rPr>
              <w:t>Summary</w:t>
            </w:r>
            <w:r w:rsidRPr="00F45A40">
              <w:rPr>
                <w:rFonts w:ascii="Times New Roman" w:eastAsia="Calibri" w:hAnsi="Times New Roman" w:cs="Times New Roman"/>
                <w:b/>
                <w:bCs/>
                <w:color w:val="000000"/>
                <w:vertAlign w:val="superscript"/>
              </w:rPr>
              <w:t>b</w:t>
            </w:r>
            <w:proofErr w:type="spellEnd"/>
          </w:p>
        </w:tc>
      </w:tr>
      <w:tr w:rsidR="004A23A3" w:rsidRPr="00F45A40" w14:paraId="78AD2AD9" w14:textId="77777777" w:rsidTr="0088632C">
        <w:trPr>
          <w:cantSplit/>
        </w:trPr>
        <w:tc>
          <w:tcPr>
            <w:tcW w:w="400" w:type="pct"/>
            <w:vMerge w:val="restart"/>
            <w:tcBorders>
              <w:top w:val="single" w:sz="4" w:space="0" w:color="auto"/>
            </w:tcBorders>
            <w:shd w:val="clear" w:color="auto" w:fill="FFFFFF"/>
            <w:vAlign w:val="bottom"/>
          </w:tcPr>
          <w:p w14:paraId="23789E94" w14:textId="77777777" w:rsidR="004A23A3" w:rsidRPr="00F45A40" w:rsidRDefault="004A23A3" w:rsidP="00E83841">
            <w:pPr>
              <w:autoSpaceDE w:val="0"/>
              <w:autoSpaceDN w:val="0"/>
              <w:adjustRightInd w:val="0"/>
              <w:spacing w:after="0" w:line="360" w:lineRule="auto"/>
              <w:ind w:left="60" w:right="60"/>
              <w:jc w:val="both"/>
              <w:rPr>
                <w:rFonts w:ascii="Times New Roman" w:eastAsia="Calibri" w:hAnsi="Times New Roman" w:cs="Times New Roman"/>
                <w:color w:val="000000"/>
              </w:rPr>
            </w:pPr>
            <w:r w:rsidRPr="00F45A40">
              <w:rPr>
                <w:rFonts w:ascii="Times New Roman" w:eastAsia="Calibri" w:hAnsi="Times New Roman" w:cs="Times New Roman"/>
                <w:color w:val="000000"/>
              </w:rPr>
              <w:t>Model</w:t>
            </w:r>
          </w:p>
        </w:tc>
        <w:tc>
          <w:tcPr>
            <w:tcW w:w="421" w:type="pct"/>
            <w:vMerge w:val="restart"/>
            <w:tcBorders>
              <w:top w:val="single" w:sz="4" w:space="0" w:color="auto"/>
            </w:tcBorders>
            <w:shd w:val="clear" w:color="auto" w:fill="FFFFFF"/>
            <w:vAlign w:val="bottom"/>
          </w:tcPr>
          <w:p w14:paraId="65684B83" w14:textId="77777777" w:rsidR="004A23A3" w:rsidRPr="00F45A40" w:rsidRDefault="004A23A3" w:rsidP="00E83841">
            <w:pPr>
              <w:autoSpaceDE w:val="0"/>
              <w:autoSpaceDN w:val="0"/>
              <w:adjustRightInd w:val="0"/>
              <w:spacing w:after="0" w:line="360" w:lineRule="auto"/>
              <w:ind w:left="60" w:right="60"/>
              <w:jc w:val="center"/>
              <w:rPr>
                <w:rFonts w:ascii="Times New Roman" w:eastAsia="Calibri" w:hAnsi="Times New Roman" w:cs="Times New Roman"/>
                <w:color w:val="000000"/>
              </w:rPr>
            </w:pPr>
            <w:r w:rsidRPr="00F45A40">
              <w:rPr>
                <w:rFonts w:ascii="Times New Roman" w:eastAsia="Calibri" w:hAnsi="Times New Roman" w:cs="Times New Roman"/>
                <w:color w:val="000000"/>
              </w:rPr>
              <w:t>R</w:t>
            </w:r>
          </w:p>
        </w:tc>
        <w:tc>
          <w:tcPr>
            <w:tcW w:w="447" w:type="pct"/>
            <w:vMerge w:val="restart"/>
            <w:tcBorders>
              <w:top w:val="single" w:sz="4" w:space="0" w:color="auto"/>
            </w:tcBorders>
            <w:shd w:val="clear" w:color="auto" w:fill="FFFFFF"/>
            <w:vAlign w:val="bottom"/>
          </w:tcPr>
          <w:p w14:paraId="6D25BFD2" w14:textId="77777777" w:rsidR="004A23A3" w:rsidRPr="00F45A40" w:rsidRDefault="004A23A3" w:rsidP="00E83841">
            <w:pPr>
              <w:autoSpaceDE w:val="0"/>
              <w:autoSpaceDN w:val="0"/>
              <w:adjustRightInd w:val="0"/>
              <w:spacing w:after="0" w:line="360" w:lineRule="auto"/>
              <w:ind w:left="60" w:right="60"/>
              <w:jc w:val="center"/>
              <w:rPr>
                <w:rFonts w:ascii="Times New Roman" w:eastAsia="Calibri" w:hAnsi="Times New Roman" w:cs="Times New Roman"/>
                <w:color w:val="000000"/>
              </w:rPr>
            </w:pPr>
            <w:r w:rsidRPr="00F45A40">
              <w:rPr>
                <w:rFonts w:ascii="Times New Roman" w:eastAsia="Calibri" w:hAnsi="Times New Roman" w:cs="Times New Roman"/>
                <w:color w:val="000000"/>
              </w:rPr>
              <w:t>R Square</w:t>
            </w:r>
          </w:p>
        </w:tc>
        <w:tc>
          <w:tcPr>
            <w:tcW w:w="607" w:type="pct"/>
            <w:vMerge w:val="restart"/>
            <w:tcBorders>
              <w:top w:val="single" w:sz="4" w:space="0" w:color="auto"/>
            </w:tcBorders>
            <w:shd w:val="clear" w:color="auto" w:fill="FFFFFF"/>
            <w:vAlign w:val="bottom"/>
          </w:tcPr>
          <w:p w14:paraId="5C3CD652" w14:textId="77777777" w:rsidR="004A23A3" w:rsidRPr="00F45A40" w:rsidRDefault="004A23A3" w:rsidP="00E83841">
            <w:pPr>
              <w:autoSpaceDE w:val="0"/>
              <w:autoSpaceDN w:val="0"/>
              <w:adjustRightInd w:val="0"/>
              <w:spacing w:after="0" w:line="360" w:lineRule="auto"/>
              <w:ind w:left="60" w:right="60"/>
              <w:jc w:val="center"/>
              <w:rPr>
                <w:rFonts w:ascii="Times New Roman" w:eastAsia="Calibri" w:hAnsi="Times New Roman" w:cs="Times New Roman"/>
                <w:color w:val="000000"/>
              </w:rPr>
            </w:pPr>
            <w:r w:rsidRPr="00F45A40">
              <w:rPr>
                <w:rFonts w:ascii="Times New Roman" w:eastAsia="Calibri" w:hAnsi="Times New Roman" w:cs="Times New Roman"/>
                <w:color w:val="000000"/>
              </w:rPr>
              <w:t>Adjusted R Square</w:t>
            </w:r>
          </w:p>
        </w:tc>
        <w:tc>
          <w:tcPr>
            <w:tcW w:w="607" w:type="pct"/>
            <w:vMerge w:val="restart"/>
            <w:tcBorders>
              <w:top w:val="single" w:sz="4" w:space="0" w:color="auto"/>
            </w:tcBorders>
            <w:shd w:val="clear" w:color="auto" w:fill="FFFFFF"/>
            <w:vAlign w:val="bottom"/>
          </w:tcPr>
          <w:p w14:paraId="24F6EB85" w14:textId="77777777" w:rsidR="004A23A3" w:rsidRPr="00F45A40" w:rsidRDefault="004A23A3" w:rsidP="00E83841">
            <w:pPr>
              <w:autoSpaceDE w:val="0"/>
              <w:autoSpaceDN w:val="0"/>
              <w:adjustRightInd w:val="0"/>
              <w:spacing w:after="0" w:line="360" w:lineRule="auto"/>
              <w:ind w:left="60" w:right="60"/>
              <w:jc w:val="center"/>
              <w:rPr>
                <w:rFonts w:ascii="Times New Roman" w:eastAsia="Calibri" w:hAnsi="Times New Roman" w:cs="Times New Roman"/>
                <w:color w:val="000000"/>
              </w:rPr>
            </w:pPr>
            <w:r w:rsidRPr="00F45A40">
              <w:rPr>
                <w:rFonts w:ascii="Times New Roman" w:eastAsia="Calibri" w:hAnsi="Times New Roman" w:cs="Times New Roman"/>
                <w:color w:val="000000"/>
              </w:rPr>
              <w:t>Std. Error of the Estimate</w:t>
            </w:r>
          </w:p>
        </w:tc>
        <w:tc>
          <w:tcPr>
            <w:tcW w:w="2519" w:type="pct"/>
            <w:gridSpan w:val="5"/>
            <w:tcBorders>
              <w:top w:val="single" w:sz="4" w:space="0" w:color="auto"/>
              <w:bottom w:val="single" w:sz="4" w:space="0" w:color="auto"/>
            </w:tcBorders>
            <w:shd w:val="clear" w:color="auto" w:fill="FFFFFF"/>
            <w:vAlign w:val="bottom"/>
          </w:tcPr>
          <w:p w14:paraId="2FB61E17" w14:textId="77777777" w:rsidR="004A23A3" w:rsidRPr="00F45A40" w:rsidRDefault="004A23A3" w:rsidP="00E83841">
            <w:pPr>
              <w:autoSpaceDE w:val="0"/>
              <w:autoSpaceDN w:val="0"/>
              <w:adjustRightInd w:val="0"/>
              <w:spacing w:after="0" w:line="360" w:lineRule="auto"/>
              <w:ind w:left="60" w:right="60"/>
              <w:jc w:val="center"/>
              <w:rPr>
                <w:rFonts w:ascii="Times New Roman" w:eastAsia="Calibri" w:hAnsi="Times New Roman" w:cs="Times New Roman"/>
                <w:color w:val="000000"/>
              </w:rPr>
            </w:pPr>
            <w:r w:rsidRPr="00F45A40">
              <w:rPr>
                <w:rFonts w:ascii="Times New Roman" w:eastAsia="Calibri" w:hAnsi="Times New Roman" w:cs="Times New Roman"/>
                <w:color w:val="000000"/>
              </w:rPr>
              <w:t>Change Statistics</w:t>
            </w:r>
          </w:p>
        </w:tc>
      </w:tr>
      <w:tr w:rsidR="004A23A3" w:rsidRPr="00F45A40" w14:paraId="2AB383BC" w14:textId="77777777" w:rsidTr="0088632C">
        <w:trPr>
          <w:cantSplit/>
        </w:trPr>
        <w:tc>
          <w:tcPr>
            <w:tcW w:w="400" w:type="pct"/>
            <w:vMerge/>
            <w:tcBorders>
              <w:top w:val="single" w:sz="4" w:space="0" w:color="auto"/>
            </w:tcBorders>
            <w:shd w:val="clear" w:color="auto" w:fill="FFFFFF"/>
            <w:vAlign w:val="bottom"/>
          </w:tcPr>
          <w:p w14:paraId="2651C683" w14:textId="77777777" w:rsidR="004A23A3" w:rsidRPr="00F45A40" w:rsidRDefault="004A23A3" w:rsidP="00E83841">
            <w:pPr>
              <w:autoSpaceDE w:val="0"/>
              <w:autoSpaceDN w:val="0"/>
              <w:adjustRightInd w:val="0"/>
              <w:spacing w:after="0" w:line="360" w:lineRule="auto"/>
              <w:jc w:val="both"/>
              <w:rPr>
                <w:rFonts w:ascii="Times New Roman" w:eastAsia="Calibri" w:hAnsi="Times New Roman" w:cs="Times New Roman"/>
                <w:color w:val="000000"/>
              </w:rPr>
            </w:pPr>
          </w:p>
        </w:tc>
        <w:tc>
          <w:tcPr>
            <w:tcW w:w="421" w:type="pct"/>
            <w:vMerge/>
            <w:tcBorders>
              <w:top w:val="single" w:sz="4" w:space="0" w:color="auto"/>
            </w:tcBorders>
            <w:shd w:val="clear" w:color="auto" w:fill="FFFFFF"/>
            <w:vAlign w:val="bottom"/>
          </w:tcPr>
          <w:p w14:paraId="2A3956D9" w14:textId="77777777" w:rsidR="004A23A3" w:rsidRPr="00F45A40" w:rsidRDefault="004A23A3" w:rsidP="00E83841">
            <w:pPr>
              <w:autoSpaceDE w:val="0"/>
              <w:autoSpaceDN w:val="0"/>
              <w:adjustRightInd w:val="0"/>
              <w:spacing w:after="0" w:line="360" w:lineRule="auto"/>
              <w:jc w:val="both"/>
              <w:rPr>
                <w:rFonts w:ascii="Times New Roman" w:eastAsia="Calibri" w:hAnsi="Times New Roman" w:cs="Times New Roman"/>
                <w:color w:val="000000"/>
              </w:rPr>
            </w:pPr>
          </w:p>
        </w:tc>
        <w:tc>
          <w:tcPr>
            <w:tcW w:w="447" w:type="pct"/>
            <w:vMerge/>
            <w:tcBorders>
              <w:top w:val="single" w:sz="4" w:space="0" w:color="auto"/>
            </w:tcBorders>
            <w:shd w:val="clear" w:color="auto" w:fill="FFFFFF"/>
            <w:vAlign w:val="bottom"/>
          </w:tcPr>
          <w:p w14:paraId="74C592B4" w14:textId="77777777" w:rsidR="004A23A3" w:rsidRPr="00F45A40" w:rsidRDefault="004A23A3" w:rsidP="00E83841">
            <w:pPr>
              <w:autoSpaceDE w:val="0"/>
              <w:autoSpaceDN w:val="0"/>
              <w:adjustRightInd w:val="0"/>
              <w:spacing w:after="0" w:line="360" w:lineRule="auto"/>
              <w:jc w:val="both"/>
              <w:rPr>
                <w:rFonts w:ascii="Times New Roman" w:eastAsia="Calibri" w:hAnsi="Times New Roman" w:cs="Times New Roman"/>
                <w:color w:val="000000"/>
              </w:rPr>
            </w:pPr>
          </w:p>
        </w:tc>
        <w:tc>
          <w:tcPr>
            <w:tcW w:w="607" w:type="pct"/>
            <w:vMerge/>
            <w:tcBorders>
              <w:top w:val="single" w:sz="4" w:space="0" w:color="auto"/>
            </w:tcBorders>
            <w:shd w:val="clear" w:color="auto" w:fill="FFFFFF"/>
            <w:vAlign w:val="bottom"/>
          </w:tcPr>
          <w:p w14:paraId="5A99F55B" w14:textId="77777777" w:rsidR="004A23A3" w:rsidRPr="00F45A40" w:rsidRDefault="004A23A3" w:rsidP="00E83841">
            <w:pPr>
              <w:autoSpaceDE w:val="0"/>
              <w:autoSpaceDN w:val="0"/>
              <w:adjustRightInd w:val="0"/>
              <w:spacing w:after="0" w:line="360" w:lineRule="auto"/>
              <w:jc w:val="both"/>
              <w:rPr>
                <w:rFonts w:ascii="Times New Roman" w:eastAsia="Calibri" w:hAnsi="Times New Roman" w:cs="Times New Roman"/>
                <w:color w:val="000000"/>
              </w:rPr>
            </w:pPr>
          </w:p>
        </w:tc>
        <w:tc>
          <w:tcPr>
            <w:tcW w:w="607" w:type="pct"/>
            <w:vMerge/>
            <w:tcBorders>
              <w:top w:val="single" w:sz="4" w:space="0" w:color="auto"/>
            </w:tcBorders>
            <w:shd w:val="clear" w:color="auto" w:fill="FFFFFF"/>
            <w:vAlign w:val="bottom"/>
          </w:tcPr>
          <w:p w14:paraId="5F668889" w14:textId="77777777" w:rsidR="004A23A3" w:rsidRPr="00F45A40" w:rsidRDefault="004A23A3" w:rsidP="00E83841">
            <w:pPr>
              <w:autoSpaceDE w:val="0"/>
              <w:autoSpaceDN w:val="0"/>
              <w:adjustRightInd w:val="0"/>
              <w:spacing w:after="0" w:line="360" w:lineRule="auto"/>
              <w:jc w:val="both"/>
              <w:rPr>
                <w:rFonts w:ascii="Times New Roman" w:eastAsia="Calibri" w:hAnsi="Times New Roman" w:cs="Times New Roman"/>
                <w:color w:val="000000"/>
              </w:rPr>
            </w:pPr>
          </w:p>
        </w:tc>
        <w:tc>
          <w:tcPr>
            <w:tcW w:w="607" w:type="pct"/>
            <w:tcBorders>
              <w:top w:val="single" w:sz="4" w:space="0" w:color="auto"/>
            </w:tcBorders>
            <w:shd w:val="clear" w:color="auto" w:fill="FFFFFF"/>
            <w:vAlign w:val="bottom"/>
          </w:tcPr>
          <w:p w14:paraId="7B90DFDC" w14:textId="77777777" w:rsidR="004A23A3" w:rsidRPr="00F45A40" w:rsidRDefault="004A23A3" w:rsidP="00E83841">
            <w:pPr>
              <w:autoSpaceDE w:val="0"/>
              <w:autoSpaceDN w:val="0"/>
              <w:adjustRightInd w:val="0"/>
              <w:spacing w:after="0" w:line="360" w:lineRule="auto"/>
              <w:ind w:left="60" w:right="60"/>
              <w:jc w:val="center"/>
              <w:rPr>
                <w:rFonts w:ascii="Times New Roman" w:eastAsia="Calibri" w:hAnsi="Times New Roman" w:cs="Times New Roman"/>
                <w:color w:val="000000"/>
              </w:rPr>
            </w:pPr>
            <w:r w:rsidRPr="00F45A40">
              <w:rPr>
                <w:rFonts w:ascii="Times New Roman" w:eastAsia="Calibri" w:hAnsi="Times New Roman" w:cs="Times New Roman"/>
                <w:color w:val="000000"/>
              </w:rPr>
              <w:t>R Square Change</w:t>
            </w:r>
          </w:p>
        </w:tc>
        <w:tc>
          <w:tcPr>
            <w:tcW w:w="460" w:type="pct"/>
            <w:tcBorders>
              <w:top w:val="single" w:sz="4" w:space="0" w:color="auto"/>
            </w:tcBorders>
            <w:shd w:val="clear" w:color="auto" w:fill="FFFFFF"/>
            <w:vAlign w:val="bottom"/>
          </w:tcPr>
          <w:p w14:paraId="7FE8F0EE" w14:textId="77777777" w:rsidR="004A23A3" w:rsidRPr="00F45A40" w:rsidRDefault="004A23A3" w:rsidP="00E83841">
            <w:pPr>
              <w:autoSpaceDE w:val="0"/>
              <w:autoSpaceDN w:val="0"/>
              <w:adjustRightInd w:val="0"/>
              <w:spacing w:after="0" w:line="360" w:lineRule="auto"/>
              <w:ind w:left="60" w:right="60"/>
              <w:jc w:val="center"/>
              <w:rPr>
                <w:rFonts w:ascii="Times New Roman" w:eastAsia="Calibri" w:hAnsi="Times New Roman" w:cs="Times New Roman"/>
                <w:color w:val="000000"/>
              </w:rPr>
            </w:pPr>
            <w:r w:rsidRPr="00F45A40">
              <w:rPr>
                <w:rFonts w:ascii="Times New Roman" w:eastAsia="Calibri" w:hAnsi="Times New Roman" w:cs="Times New Roman"/>
                <w:color w:val="000000"/>
              </w:rPr>
              <w:t>F Change</w:t>
            </w:r>
          </w:p>
        </w:tc>
        <w:tc>
          <w:tcPr>
            <w:tcW w:w="421" w:type="pct"/>
            <w:tcBorders>
              <w:top w:val="single" w:sz="4" w:space="0" w:color="auto"/>
            </w:tcBorders>
            <w:shd w:val="clear" w:color="auto" w:fill="FFFFFF"/>
            <w:vAlign w:val="bottom"/>
          </w:tcPr>
          <w:p w14:paraId="266FDDF6" w14:textId="77777777" w:rsidR="004A23A3" w:rsidRPr="00F45A40" w:rsidRDefault="004A23A3" w:rsidP="00E83841">
            <w:pPr>
              <w:autoSpaceDE w:val="0"/>
              <w:autoSpaceDN w:val="0"/>
              <w:adjustRightInd w:val="0"/>
              <w:spacing w:after="0" w:line="360" w:lineRule="auto"/>
              <w:ind w:left="60" w:right="60"/>
              <w:jc w:val="center"/>
              <w:rPr>
                <w:rFonts w:ascii="Times New Roman" w:eastAsia="Calibri" w:hAnsi="Times New Roman" w:cs="Times New Roman"/>
                <w:color w:val="000000"/>
              </w:rPr>
            </w:pPr>
            <w:r w:rsidRPr="00F45A40">
              <w:rPr>
                <w:rFonts w:ascii="Times New Roman" w:eastAsia="Calibri" w:hAnsi="Times New Roman" w:cs="Times New Roman"/>
                <w:color w:val="000000"/>
              </w:rPr>
              <w:t>df1</w:t>
            </w:r>
          </w:p>
        </w:tc>
        <w:tc>
          <w:tcPr>
            <w:tcW w:w="422" w:type="pct"/>
            <w:tcBorders>
              <w:top w:val="single" w:sz="4" w:space="0" w:color="auto"/>
            </w:tcBorders>
            <w:shd w:val="clear" w:color="auto" w:fill="FFFFFF"/>
            <w:vAlign w:val="bottom"/>
          </w:tcPr>
          <w:p w14:paraId="2CA2F7D1" w14:textId="77777777" w:rsidR="004A23A3" w:rsidRPr="00F45A40" w:rsidRDefault="004A23A3" w:rsidP="00E83841">
            <w:pPr>
              <w:autoSpaceDE w:val="0"/>
              <w:autoSpaceDN w:val="0"/>
              <w:adjustRightInd w:val="0"/>
              <w:spacing w:after="0" w:line="360" w:lineRule="auto"/>
              <w:ind w:left="60" w:right="60"/>
              <w:jc w:val="center"/>
              <w:rPr>
                <w:rFonts w:ascii="Times New Roman" w:eastAsia="Calibri" w:hAnsi="Times New Roman" w:cs="Times New Roman"/>
                <w:color w:val="000000"/>
              </w:rPr>
            </w:pPr>
            <w:r w:rsidRPr="00F45A40">
              <w:rPr>
                <w:rFonts w:ascii="Times New Roman" w:eastAsia="Calibri" w:hAnsi="Times New Roman" w:cs="Times New Roman"/>
                <w:color w:val="000000"/>
              </w:rPr>
              <w:t>df2</w:t>
            </w:r>
          </w:p>
        </w:tc>
        <w:tc>
          <w:tcPr>
            <w:tcW w:w="609" w:type="pct"/>
            <w:tcBorders>
              <w:top w:val="single" w:sz="4" w:space="0" w:color="auto"/>
            </w:tcBorders>
            <w:shd w:val="clear" w:color="auto" w:fill="FFFFFF"/>
            <w:vAlign w:val="bottom"/>
          </w:tcPr>
          <w:p w14:paraId="0309D16A" w14:textId="77777777" w:rsidR="004A23A3" w:rsidRPr="00F45A40" w:rsidRDefault="004A23A3" w:rsidP="00E83841">
            <w:pPr>
              <w:autoSpaceDE w:val="0"/>
              <w:autoSpaceDN w:val="0"/>
              <w:adjustRightInd w:val="0"/>
              <w:spacing w:after="0" w:line="360" w:lineRule="auto"/>
              <w:ind w:left="60" w:right="60"/>
              <w:jc w:val="center"/>
              <w:rPr>
                <w:rFonts w:ascii="Times New Roman" w:eastAsia="Calibri" w:hAnsi="Times New Roman" w:cs="Times New Roman"/>
                <w:color w:val="000000"/>
              </w:rPr>
            </w:pPr>
            <w:r w:rsidRPr="00F45A40">
              <w:rPr>
                <w:rFonts w:ascii="Times New Roman" w:eastAsia="Calibri" w:hAnsi="Times New Roman" w:cs="Times New Roman"/>
                <w:color w:val="000000"/>
              </w:rPr>
              <w:t>Sig. F Change</w:t>
            </w:r>
          </w:p>
        </w:tc>
      </w:tr>
      <w:tr w:rsidR="004A23A3" w:rsidRPr="00F45A40" w14:paraId="626B98E6" w14:textId="77777777" w:rsidTr="0088632C">
        <w:trPr>
          <w:cantSplit/>
        </w:trPr>
        <w:tc>
          <w:tcPr>
            <w:tcW w:w="400" w:type="pct"/>
            <w:tcBorders>
              <w:bottom w:val="single" w:sz="4" w:space="0" w:color="auto"/>
            </w:tcBorders>
            <w:shd w:val="clear" w:color="auto" w:fill="FFFFFF"/>
          </w:tcPr>
          <w:p w14:paraId="43D18DEE" w14:textId="77777777" w:rsidR="004A23A3" w:rsidRPr="00F45A40" w:rsidRDefault="004A23A3" w:rsidP="00E83841">
            <w:pPr>
              <w:autoSpaceDE w:val="0"/>
              <w:autoSpaceDN w:val="0"/>
              <w:adjustRightInd w:val="0"/>
              <w:spacing w:after="0" w:line="360" w:lineRule="auto"/>
              <w:ind w:left="60" w:right="60"/>
              <w:jc w:val="both"/>
              <w:rPr>
                <w:rFonts w:ascii="Times New Roman" w:eastAsia="Calibri" w:hAnsi="Times New Roman" w:cs="Times New Roman"/>
                <w:color w:val="000000"/>
              </w:rPr>
            </w:pPr>
            <w:r w:rsidRPr="00F45A40">
              <w:rPr>
                <w:rFonts w:ascii="Times New Roman" w:eastAsia="Calibri" w:hAnsi="Times New Roman" w:cs="Times New Roman"/>
                <w:color w:val="000000"/>
              </w:rPr>
              <w:t>1</w:t>
            </w:r>
          </w:p>
        </w:tc>
        <w:tc>
          <w:tcPr>
            <w:tcW w:w="421" w:type="pct"/>
            <w:tcBorders>
              <w:bottom w:val="single" w:sz="4" w:space="0" w:color="auto"/>
            </w:tcBorders>
            <w:shd w:val="clear" w:color="auto" w:fill="FFFFFF"/>
            <w:vAlign w:val="center"/>
          </w:tcPr>
          <w:p w14:paraId="593EAAA4" w14:textId="77777777" w:rsidR="004A23A3" w:rsidRPr="00F45A40" w:rsidRDefault="004A23A3" w:rsidP="00E83841">
            <w:pPr>
              <w:autoSpaceDE w:val="0"/>
              <w:autoSpaceDN w:val="0"/>
              <w:adjustRightInd w:val="0"/>
              <w:spacing w:after="0" w:line="360" w:lineRule="auto"/>
              <w:ind w:left="60" w:right="60"/>
              <w:jc w:val="right"/>
              <w:rPr>
                <w:rFonts w:ascii="Times New Roman" w:eastAsia="Calibri" w:hAnsi="Times New Roman" w:cs="Times New Roman"/>
                <w:color w:val="000000"/>
              </w:rPr>
            </w:pPr>
            <w:r w:rsidRPr="00F45A40">
              <w:rPr>
                <w:rFonts w:ascii="Times New Roman" w:eastAsia="Calibri" w:hAnsi="Times New Roman" w:cs="Times New Roman"/>
                <w:color w:val="000000"/>
              </w:rPr>
              <w:t>.471</w:t>
            </w:r>
            <w:r w:rsidRPr="00F45A40">
              <w:rPr>
                <w:rFonts w:ascii="Times New Roman" w:eastAsia="Calibri" w:hAnsi="Times New Roman" w:cs="Times New Roman"/>
                <w:color w:val="000000"/>
                <w:vertAlign w:val="superscript"/>
              </w:rPr>
              <w:t>a</w:t>
            </w:r>
          </w:p>
        </w:tc>
        <w:tc>
          <w:tcPr>
            <w:tcW w:w="447" w:type="pct"/>
            <w:tcBorders>
              <w:bottom w:val="single" w:sz="4" w:space="0" w:color="auto"/>
            </w:tcBorders>
            <w:shd w:val="clear" w:color="auto" w:fill="FFFFFF"/>
            <w:vAlign w:val="center"/>
          </w:tcPr>
          <w:p w14:paraId="542544D9" w14:textId="77777777" w:rsidR="004A23A3" w:rsidRPr="00F45A40" w:rsidRDefault="004A23A3" w:rsidP="00E83841">
            <w:pPr>
              <w:autoSpaceDE w:val="0"/>
              <w:autoSpaceDN w:val="0"/>
              <w:adjustRightInd w:val="0"/>
              <w:spacing w:after="0" w:line="360" w:lineRule="auto"/>
              <w:ind w:left="60" w:right="60"/>
              <w:jc w:val="right"/>
              <w:rPr>
                <w:rFonts w:ascii="Times New Roman" w:eastAsia="Calibri" w:hAnsi="Times New Roman" w:cs="Times New Roman"/>
                <w:color w:val="000000"/>
              </w:rPr>
            </w:pPr>
            <w:r w:rsidRPr="00F45A40">
              <w:rPr>
                <w:rFonts w:ascii="Times New Roman" w:eastAsia="Calibri" w:hAnsi="Times New Roman" w:cs="Times New Roman"/>
                <w:color w:val="000000"/>
              </w:rPr>
              <w:t>.222</w:t>
            </w:r>
          </w:p>
        </w:tc>
        <w:tc>
          <w:tcPr>
            <w:tcW w:w="607" w:type="pct"/>
            <w:tcBorders>
              <w:bottom w:val="single" w:sz="4" w:space="0" w:color="auto"/>
            </w:tcBorders>
            <w:shd w:val="clear" w:color="auto" w:fill="FFFFFF"/>
            <w:vAlign w:val="center"/>
          </w:tcPr>
          <w:p w14:paraId="34CF088F" w14:textId="77777777" w:rsidR="004A23A3" w:rsidRPr="00F45A40" w:rsidRDefault="004A23A3" w:rsidP="00E83841">
            <w:pPr>
              <w:autoSpaceDE w:val="0"/>
              <w:autoSpaceDN w:val="0"/>
              <w:adjustRightInd w:val="0"/>
              <w:spacing w:after="0" w:line="360" w:lineRule="auto"/>
              <w:ind w:left="60" w:right="60"/>
              <w:jc w:val="right"/>
              <w:rPr>
                <w:rFonts w:ascii="Times New Roman" w:eastAsia="Calibri" w:hAnsi="Times New Roman" w:cs="Times New Roman"/>
                <w:color w:val="000000"/>
              </w:rPr>
            </w:pPr>
            <w:r w:rsidRPr="00F45A40">
              <w:rPr>
                <w:rFonts w:ascii="Times New Roman" w:eastAsia="Calibri" w:hAnsi="Times New Roman" w:cs="Times New Roman"/>
                <w:color w:val="000000"/>
              </w:rPr>
              <w:t>.213</w:t>
            </w:r>
          </w:p>
        </w:tc>
        <w:tc>
          <w:tcPr>
            <w:tcW w:w="607" w:type="pct"/>
            <w:tcBorders>
              <w:bottom w:val="single" w:sz="4" w:space="0" w:color="auto"/>
            </w:tcBorders>
            <w:shd w:val="clear" w:color="auto" w:fill="FFFFFF"/>
            <w:vAlign w:val="center"/>
          </w:tcPr>
          <w:p w14:paraId="0588139E" w14:textId="77777777" w:rsidR="004A23A3" w:rsidRPr="00F45A40" w:rsidRDefault="004A23A3" w:rsidP="00E83841">
            <w:pPr>
              <w:autoSpaceDE w:val="0"/>
              <w:autoSpaceDN w:val="0"/>
              <w:adjustRightInd w:val="0"/>
              <w:spacing w:after="0" w:line="360" w:lineRule="auto"/>
              <w:ind w:left="60" w:right="60"/>
              <w:jc w:val="right"/>
              <w:rPr>
                <w:rFonts w:ascii="Times New Roman" w:eastAsia="Calibri" w:hAnsi="Times New Roman" w:cs="Times New Roman"/>
                <w:color w:val="000000"/>
              </w:rPr>
            </w:pPr>
            <w:r w:rsidRPr="00F45A40">
              <w:rPr>
                <w:rFonts w:ascii="Times New Roman" w:eastAsia="Calibri" w:hAnsi="Times New Roman" w:cs="Times New Roman"/>
                <w:color w:val="000000"/>
              </w:rPr>
              <w:t>.49660</w:t>
            </w:r>
          </w:p>
        </w:tc>
        <w:tc>
          <w:tcPr>
            <w:tcW w:w="607" w:type="pct"/>
            <w:tcBorders>
              <w:bottom w:val="single" w:sz="4" w:space="0" w:color="auto"/>
            </w:tcBorders>
            <w:shd w:val="clear" w:color="auto" w:fill="FFFFFF"/>
            <w:vAlign w:val="center"/>
          </w:tcPr>
          <w:p w14:paraId="50655AAE" w14:textId="77777777" w:rsidR="004A23A3" w:rsidRPr="00F45A40" w:rsidRDefault="004A23A3" w:rsidP="00E83841">
            <w:pPr>
              <w:autoSpaceDE w:val="0"/>
              <w:autoSpaceDN w:val="0"/>
              <w:adjustRightInd w:val="0"/>
              <w:spacing w:after="0" w:line="360" w:lineRule="auto"/>
              <w:ind w:left="60" w:right="60"/>
              <w:jc w:val="right"/>
              <w:rPr>
                <w:rFonts w:ascii="Times New Roman" w:eastAsia="Calibri" w:hAnsi="Times New Roman" w:cs="Times New Roman"/>
                <w:color w:val="000000"/>
              </w:rPr>
            </w:pPr>
            <w:r w:rsidRPr="00F45A40">
              <w:rPr>
                <w:rFonts w:ascii="Times New Roman" w:eastAsia="Calibri" w:hAnsi="Times New Roman" w:cs="Times New Roman"/>
                <w:color w:val="000000"/>
              </w:rPr>
              <w:t>.222</w:t>
            </w:r>
          </w:p>
        </w:tc>
        <w:tc>
          <w:tcPr>
            <w:tcW w:w="460" w:type="pct"/>
            <w:tcBorders>
              <w:bottom w:val="single" w:sz="4" w:space="0" w:color="auto"/>
            </w:tcBorders>
            <w:shd w:val="clear" w:color="auto" w:fill="FFFFFF"/>
            <w:vAlign w:val="center"/>
          </w:tcPr>
          <w:p w14:paraId="5B54AD96" w14:textId="77777777" w:rsidR="004A23A3" w:rsidRPr="00F45A40" w:rsidRDefault="004A23A3" w:rsidP="00E83841">
            <w:pPr>
              <w:autoSpaceDE w:val="0"/>
              <w:autoSpaceDN w:val="0"/>
              <w:adjustRightInd w:val="0"/>
              <w:spacing w:after="0" w:line="360" w:lineRule="auto"/>
              <w:ind w:left="60" w:right="60"/>
              <w:jc w:val="right"/>
              <w:rPr>
                <w:rFonts w:ascii="Times New Roman" w:eastAsia="Calibri" w:hAnsi="Times New Roman" w:cs="Times New Roman"/>
                <w:color w:val="000000"/>
              </w:rPr>
            </w:pPr>
            <w:r w:rsidRPr="00F45A40">
              <w:rPr>
                <w:rFonts w:ascii="Times New Roman" w:eastAsia="Calibri" w:hAnsi="Times New Roman" w:cs="Times New Roman"/>
                <w:color w:val="000000"/>
              </w:rPr>
              <w:t>24.323</w:t>
            </w:r>
          </w:p>
        </w:tc>
        <w:tc>
          <w:tcPr>
            <w:tcW w:w="421" w:type="pct"/>
            <w:tcBorders>
              <w:bottom w:val="single" w:sz="4" w:space="0" w:color="auto"/>
            </w:tcBorders>
            <w:shd w:val="clear" w:color="auto" w:fill="FFFFFF"/>
            <w:vAlign w:val="center"/>
          </w:tcPr>
          <w:p w14:paraId="5A942E4E" w14:textId="77777777" w:rsidR="004A23A3" w:rsidRPr="00F45A40" w:rsidRDefault="004A23A3" w:rsidP="00E83841">
            <w:pPr>
              <w:autoSpaceDE w:val="0"/>
              <w:autoSpaceDN w:val="0"/>
              <w:adjustRightInd w:val="0"/>
              <w:spacing w:after="0" w:line="360" w:lineRule="auto"/>
              <w:ind w:left="60" w:right="60"/>
              <w:jc w:val="right"/>
              <w:rPr>
                <w:rFonts w:ascii="Times New Roman" w:eastAsia="Calibri" w:hAnsi="Times New Roman" w:cs="Times New Roman"/>
                <w:color w:val="000000"/>
              </w:rPr>
            </w:pPr>
            <w:r w:rsidRPr="00F45A40">
              <w:rPr>
                <w:rFonts w:ascii="Times New Roman" w:eastAsia="Calibri" w:hAnsi="Times New Roman" w:cs="Times New Roman"/>
                <w:color w:val="000000"/>
              </w:rPr>
              <w:t>3</w:t>
            </w:r>
          </w:p>
        </w:tc>
        <w:tc>
          <w:tcPr>
            <w:tcW w:w="422" w:type="pct"/>
            <w:tcBorders>
              <w:bottom w:val="single" w:sz="4" w:space="0" w:color="auto"/>
            </w:tcBorders>
            <w:shd w:val="clear" w:color="auto" w:fill="FFFFFF"/>
            <w:vAlign w:val="center"/>
          </w:tcPr>
          <w:p w14:paraId="01C145E0" w14:textId="77777777" w:rsidR="004A23A3" w:rsidRPr="00F45A40" w:rsidRDefault="004A23A3" w:rsidP="00E83841">
            <w:pPr>
              <w:autoSpaceDE w:val="0"/>
              <w:autoSpaceDN w:val="0"/>
              <w:adjustRightInd w:val="0"/>
              <w:spacing w:after="0" w:line="360" w:lineRule="auto"/>
              <w:ind w:left="60" w:right="60"/>
              <w:jc w:val="right"/>
              <w:rPr>
                <w:rFonts w:ascii="Times New Roman" w:eastAsia="Calibri" w:hAnsi="Times New Roman" w:cs="Times New Roman"/>
                <w:color w:val="000000"/>
              </w:rPr>
            </w:pPr>
            <w:r w:rsidRPr="00F45A40">
              <w:rPr>
                <w:rFonts w:ascii="Times New Roman" w:eastAsia="Calibri" w:hAnsi="Times New Roman" w:cs="Times New Roman"/>
                <w:color w:val="000000"/>
              </w:rPr>
              <w:t>256</w:t>
            </w:r>
          </w:p>
        </w:tc>
        <w:tc>
          <w:tcPr>
            <w:tcW w:w="609" w:type="pct"/>
            <w:tcBorders>
              <w:bottom w:val="single" w:sz="4" w:space="0" w:color="auto"/>
            </w:tcBorders>
            <w:shd w:val="clear" w:color="auto" w:fill="FFFFFF"/>
            <w:vAlign w:val="center"/>
          </w:tcPr>
          <w:p w14:paraId="6EA24630" w14:textId="77777777" w:rsidR="004A23A3" w:rsidRPr="00F45A40" w:rsidRDefault="004A23A3" w:rsidP="00E83841">
            <w:pPr>
              <w:autoSpaceDE w:val="0"/>
              <w:autoSpaceDN w:val="0"/>
              <w:adjustRightInd w:val="0"/>
              <w:spacing w:after="0" w:line="360" w:lineRule="auto"/>
              <w:ind w:left="60" w:right="60"/>
              <w:jc w:val="right"/>
              <w:rPr>
                <w:rFonts w:ascii="Times New Roman" w:eastAsia="Calibri" w:hAnsi="Times New Roman" w:cs="Times New Roman"/>
                <w:color w:val="000000"/>
              </w:rPr>
            </w:pPr>
            <w:r w:rsidRPr="00F45A40">
              <w:rPr>
                <w:rFonts w:ascii="Times New Roman" w:eastAsia="Calibri" w:hAnsi="Times New Roman" w:cs="Times New Roman"/>
                <w:color w:val="000000"/>
              </w:rPr>
              <w:t>.000</w:t>
            </w:r>
          </w:p>
        </w:tc>
      </w:tr>
      <w:tr w:rsidR="004A23A3" w:rsidRPr="00F45A40" w14:paraId="1F3E36C7" w14:textId="77777777" w:rsidTr="00CC1EA3">
        <w:trPr>
          <w:cantSplit/>
        </w:trPr>
        <w:tc>
          <w:tcPr>
            <w:tcW w:w="5000" w:type="pct"/>
            <w:gridSpan w:val="10"/>
            <w:tcBorders>
              <w:top w:val="single" w:sz="4" w:space="0" w:color="auto"/>
            </w:tcBorders>
            <w:shd w:val="clear" w:color="auto" w:fill="FFFFFF"/>
          </w:tcPr>
          <w:p w14:paraId="54D58AE4" w14:textId="77777777" w:rsidR="004A23A3" w:rsidRPr="00F45A40" w:rsidRDefault="004A23A3" w:rsidP="00E83841">
            <w:pPr>
              <w:autoSpaceDE w:val="0"/>
              <w:autoSpaceDN w:val="0"/>
              <w:adjustRightInd w:val="0"/>
              <w:spacing w:after="0" w:line="360" w:lineRule="auto"/>
              <w:ind w:left="60" w:right="60"/>
              <w:jc w:val="both"/>
              <w:rPr>
                <w:rFonts w:ascii="Times New Roman" w:eastAsia="Calibri" w:hAnsi="Times New Roman" w:cs="Times New Roman"/>
                <w:color w:val="000000"/>
              </w:rPr>
            </w:pPr>
            <w:r w:rsidRPr="00F45A40">
              <w:rPr>
                <w:rFonts w:ascii="Times New Roman" w:eastAsia="Calibri" w:hAnsi="Times New Roman" w:cs="Times New Roman"/>
                <w:color w:val="000000"/>
              </w:rPr>
              <w:t>a. Predictors: (Constant), Gender Equity</w:t>
            </w:r>
          </w:p>
        </w:tc>
      </w:tr>
      <w:tr w:rsidR="004A23A3" w:rsidRPr="00F45A40" w14:paraId="0DE516A2" w14:textId="77777777" w:rsidTr="00CC1EA3">
        <w:trPr>
          <w:cantSplit/>
        </w:trPr>
        <w:tc>
          <w:tcPr>
            <w:tcW w:w="5000" w:type="pct"/>
            <w:gridSpan w:val="10"/>
            <w:shd w:val="clear" w:color="auto" w:fill="FFFFFF"/>
          </w:tcPr>
          <w:p w14:paraId="30C843FD" w14:textId="77777777" w:rsidR="004A23A3" w:rsidRPr="00F45A40" w:rsidRDefault="004A23A3" w:rsidP="00E83841">
            <w:pPr>
              <w:autoSpaceDE w:val="0"/>
              <w:autoSpaceDN w:val="0"/>
              <w:adjustRightInd w:val="0"/>
              <w:spacing w:after="0" w:line="360" w:lineRule="auto"/>
              <w:ind w:left="60" w:right="60"/>
              <w:jc w:val="both"/>
              <w:rPr>
                <w:rFonts w:ascii="Times New Roman" w:eastAsia="Calibri" w:hAnsi="Times New Roman" w:cs="Times New Roman"/>
                <w:color w:val="000000"/>
              </w:rPr>
            </w:pPr>
            <w:r w:rsidRPr="00F45A40">
              <w:rPr>
                <w:rFonts w:ascii="Times New Roman" w:eastAsia="Calibri" w:hAnsi="Times New Roman" w:cs="Times New Roman"/>
                <w:color w:val="000000"/>
              </w:rPr>
              <w:lastRenderedPageBreak/>
              <w:t xml:space="preserve">b. Dependent Variable: Girls completion rate </w:t>
            </w:r>
          </w:p>
        </w:tc>
      </w:tr>
    </w:tbl>
    <w:p w14:paraId="28A1F089" w14:textId="77777777" w:rsidR="00492163" w:rsidRPr="00492163" w:rsidRDefault="00492163" w:rsidP="00E83841">
      <w:pPr>
        <w:spacing w:line="360" w:lineRule="auto"/>
        <w:rPr>
          <w:rFonts w:ascii="Times New Roman" w:hAnsi="Times New Roman" w:cs="Times New Roman"/>
          <w:sz w:val="24"/>
          <w:szCs w:val="24"/>
        </w:rPr>
        <w:sectPr w:rsidR="00492163" w:rsidRPr="00492163" w:rsidSect="00841AC1">
          <w:type w:val="continuous"/>
          <w:pgSz w:w="12240" w:h="15840"/>
          <w:pgMar w:top="1440" w:right="1440" w:bottom="1440" w:left="1440" w:header="720" w:footer="720" w:gutter="0"/>
          <w:cols w:space="720"/>
          <w:docGrid w:linePitch="360"/>
        </w:sectPr>
      </w:pPr>
      <w:bookmarkStart w:id="7" w:name="_Toc186357857"/>
    </w:p>
    <w:p w14:paraId="67958DA3" w14:textId="4514911B" w:rsidR="0088632C" w:rsidRPr="0088632C" w:rsidRDefault="0088632C" w:rsidP="00E83841">
      <w:pPr>
        <w:spacing w:before="240" w:line="360" w:lineRule="auto"/>
        <w:jc w:val="both"/>
        <w:rPr>
          <w:rFonts w:ascii="Times New Roman" w:hAnsi="Times New Roman" w:cs="Times New Roman"/>
          <w:sz w:val="24"/>
          <w:szCs w:val="24"/>
        </w:rPr>
      </w:pPr>
      <w:r w:rsidRPr="0088632C">
        <w:rPr>
          <w:rFonts w:ascii="Times New Roman" w:hAnsi="Times New Roman" w:cs="Times New Roman"/>
          <w:sz w:val="24"/>
          <w:szCs w:val="24"/>
        </w:rPr>
        <w:t xml:space="preserve">Table 5 shows that there is a high positive degree of relationship between gender equity and girls’ completion rates in public secondary schools in Rwanda. This was </w:t>
      </w:r>
      <w:r w:rsidRPr="0088632C">
        <w:rPr>
          <w:rFonts w:ascii="Times New Roman" w:hAnsi="Times New Roman" w:cs="Times New Roman"/>
          <w:sz w:val="24"/>
          <w:szCs w:val="24"/>
        </w:rPr>
        <w:t>shown by r = 0.471. Table 6 also indicates an R-squared value of 0.222, meaning that an improvement in gender equity leads to a 22.2 percent increase in girls' completion rates.</w:t>
      </w:r>
    </w:p>
    <w:p w14:paraId="6F678632" w14:textId="77777777" w:rsidR="00492163" w:rsidRDefault="00492163" w:rsidP="00E83841">
      <w:pPr>
        <w:spacing w:line="360" w:lineRule="auto"/>
        <w:jc w:val="both"/>
        <w:rPr>
          <w:rFonts w:ascii="Times New Roman" w:eastAsia="Calibri" w:hAnsi="Times New Roman" w:cs="Times New Roman"/>
          <w:bCs/>
          <w:i/>
          <w:sz w:val="24"/>
          <w:szCs w:val="24"/>
        </w:rPr>
        <w:sectPr w:rsidR="00492163" w:rsidSect="00492163">
          <w:type w:val="continuous"/>
          <w:pgSz w:w="12240" w:h="15840"/>
          <w:pgMar w:top="1440" w:right="1440" w:bottom="1440" w:left="1440" w:header="720" w:footer="720" w:gutter="0"/>
          <w:cols w:num="2" w:space="720"/>
          <w:docGrid w:linePitch="360"/>
        </w:sectPr>
      </w:pPr>
    </w:p>
    <w:p w14:paraId="71942026" w14:textId="410F9844" w:rsidR="00B430C7" w:rsidRPr="00B430C7" w:rsidRDefault="00B430C7" w:rsidP="00E83841">
      <w:pPr>
        <w:spacing w:line="360" w:lineRule="auto"/>
        <w:jc w:val="both"/>
        <w:rPr>
          <w:rFonts w:ascii="Times New Roman" w:eastAsia="Calibri" w:hAnsi="Times New Roman" w:cs="Times New Roman"/>
          <w:b/>
          <w:bCs/>
          <w:sz w:val="24"/>
          <w:szCs w:val="24"/>
        </w:rPr>
      </w:pPr>
      <w:r w:rsidRPr="001C2FBC">
        <w:rPr>
          <w:rFonts w:ascii="Times New Roman" w:eastAsia="Calibri" w:hAnsi="Times New Roman" w:cs="Times New Roman"/>
          <w:bCs/>
          <w:i/>
          <w:sz w:val="24"/>
          <w:szCs w:val="24"/>
        </w:rPr>
        <w:t xml:space="preserve">Table </w:t>
      </w:r>
      <w:r w:rsidR="007E03FA">
        <w:rPr>
          <w:rFonts w:ascii="Times New Roman" w:eastAsia="Calibri" w:hAnsi="Times New Roman" w:cs="Times New Roman"/>
          <w:bCs/>
          <w:i/>
          <w:sz w:val="24"/>
          <w:szCs w:val="24"/>
        </w:rPr>
        <w:t xml:space="preserve">6 </w:t>
      </w:r>
      <w:r w:rsidRPr="00B430C7">
        <w:rPr>
          <w:rFonts w:ascii="Times New Roman" w:eastAsia="Calibri" w:hAnsi="Times New Roman" w:cs="Times New Roman"/>
          <w:b/>
          <w:bCs/>
          <w:sz w:val="24"/>
          <w:szCs w:val="24"/>
        </w:rPr>
        <w:t xml:space="preserve">Model Coefficients of </w:t>
      </w:r>
      <w:r>
        <w:rPr>
          <w:rFonts w:ascii="Times New Roman" w:eastAsia="Calibri" w:hAnsi="Times New Roman" w:cs="Times New Roman"/>
          <w:b/>
          <w:bCs/>
          <w:sz w:val="24"/>
          <w:szCs w:val="24"/>
        </w:rPr>
        <w:t>Gender Equity</w:t>
      </w:r>
      <w:r w:rsidRPr="00B430C7">
        <w:rPr>
          <w:rFonts w:ascii="Times New Roman" w:eastAsia="Calibri" w:hAnsi="Times New Roman" w:cs="Times New Roman"/>
          <w:b/>
          <w:bCs/>
          <w:sz w:val="24"/>
          <w:szCs w:val="24"/>
        </w:rPr>
        <w:t xml:space="preserve"> on </w:t>
      </w:r>
      <w:bookmarkEnd w:id="7"/>
      <w:r>
        <w:rPr>
          <w:rFonts w:ascii="Times New Roman" w:eastAsia="Calibri" w:hAnsi="Times New Roman" w:cs="Times New Roman"/>
          <w:b/>
          <w:bCs/>
          <w:sz w:val="24"/>
          <w:szCs w:val="24"/>
        </w:rPr>
        <w:t>G</w:t>
      </w:r>
      <w:r w:rsidRPr="00B430C7">
        <w:rPr>
          <w:rFonts w:ascii="Times New Roman" w:eastAsia="Calibri" w:hAnsi="Times New Roman" w:cs="Times New Roman"/>
          <w:b/>
          <w:bCs/>
          <w:sz w:val="24"/>
          <w:szCs w:val="24"/>
        </w:rPr>
        <w:t>irls’</w:t>
      </w:r>
      <w:r>
        <w:rPr>
          <w:rFonts w:ascii="Times New Roman" w:eastAsia="Calibri" w:hAnsi="Times New Roman" w:cs="Times New Roman"/>
          <w:b/>
          <w:bCs/>
          <w:sz w:val="24"/>
          <w:szCs w:val="24"/>
        </w:rPr>
        <w:t xml:space="preserve"> Completion Rate</w:t>
      </w:r>
    </w:p>
    <w:tbl>
      <w:tblPr>
        <w:tblW w:w="5333"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239"/>
        <w:gridCol w:w="984"/>
        <w:gridCol w:w="757"/>
        <w:gridCol w:w="761"/>
        <w:gridCol w:w="1286"/>
        <w:gridCol w:w="589"/>
        <w:gridCol w:w="489"/>
        <w:gridCol w:w="709"/>
        <w:gridCol w:w="709"/>
        <w:gridCol w:w="617"/>
        <w:gridCol w:w="729"/>
        <w:gridCol w:w="519"/>
        <w:gridCol w:w="996"/>
        <w:gridCol w:w="599"/>
      </w:tblGrid>
      <w:tr w:rsidR="00B430C7" w:rsidRPr="00B430C7" w14:paraId="30A15842" w14:textId="77777777" w:rsidTr="0030114C">
        <w:trPr>
          <w:cantSplit/>
        </w:trPr>
        <w:tc>
          <w:tcPr>
            <w:tcW w:w="5000" w:type="pct"/>
            <w:gridSpan w:val="14"/>
            <w:tcBorders>
              <w:top w:val="nil"/>
              <w:left w:val="nil"/>
              <w:bottom w:val="single" w:sz="4" w:space="0" w:color="auto"/>
              <w:right w:val="nil"/>
            </w:tcBorders>
            <w:shd w:val="clear" w:color="auto" w:fill="FFFFFF"/>
            <w:vAlign w:val="center"/>
          </w:tcPr>
          <w:p w14:paraId="5AA258E6" w14:textId="77777777" w:rsidR="00B430C7" w:rsidRPr="00B430C7" w:rsidRDefault="00B430C7" w:rsidP="00E83841">
            <w:pPr>
              <w:autoSpaceDE w:val="0"/>
              <w:autoSpaceDN w:val="0"/>
              <w:adjustRightInd w:val="0"/>
              <w:spacing w:after="0" w:line="360" w:lineRule="auto"/>
              <w:ind w:left="60" w:right="60"/>
              <w:jc w:val="center"/>
              <w:rPr>
                <w:rFonts w:ascii="Times New Roman" w:eastAsia="Calibri" w:hAnsi="Times New Roman" w:cs="Times New Roman"/>
                <w:b/>
                <w:bCs/>
                <w:color w:val="000000"/>
                <w:sz w:val="20"/>
                <w:szCs w:val="20"/>
              </w:rPr>
            </w:pPr>
          </w:p>
          <w:p w14:paraId="21395C94" w14:textId="77777777" w:rsidR="00B430C7" w:rsidRPr="007E03FA" w:rsidRDefault="00B430C7" w:rsidP="00E83841">
            <w:pPr>
              <w:autoSpaceDE w:val="0"/>
              <w:autoSpaceDN w:val="0"/>
              <w:adjustRightInd w:val="0"/>
              <w:spacing w:after="0" w:line="360" w:lineRule="auto"/>
              <w:ind w:left="60" w:right="60"/>
              <w:jc w:val="center"/>
              <w:rPr>
                <w:rFonts w:ascii="Times New Roman" w:eastAsia="Calibri" w:hAnsi="Times New Roman" w:cs="Times New Roman"/>
                <w:color w:val="000000"/>
                <w:sz w:val="24"/>
                <w:szCs w:val="24"/>
              </w:rPr>
            </w:pPr>
            <w:proofErr w:type="spellStart"/>
            <w:r w:rsidRPr="007E03FA">
              <w:rPr>
                <w:rFonts w:ascii="Times New Roman" w:eastAsia="Calibri" w:hAnsi="Times New Roman" w:cs="Times New Roman"/>
                <w:b/>
                <w:bCs/>
                <w:color w:val="000000"/>
                <w:sz w:val="24"/>
                <w:szCs w:val="24"/>
              </w:rPr>
              <w:t>Coefficients</w:t>
            </w:r>
            <w:r w:rsidRPr="007E03FA">
              <w:rPr>
                <w:rFonts w:ascii="Times New Roman" w:eastAsia="Calibri" w:hAnsi="Times New Roman" w:cs="Times New Roman"/>
                <w:b/>
                <w:bCs/>
                <w:color w:val="000000"/>
                <w:sz w:val="24"/>
                <w:szCs w:val="24"/>
                <w:vertAlign w:val="superscript"/>
              </w:rPr>
              <w:t>a</w:t>
            </w:r>
            <w:proofErr w:type="spellEnd"/>
          </w:p>
        </w:tc>
      </w:tr>
      <w:tr w:rsidR="00B430C7" w:rsidRPr="00B430C7" w14:paraId="581E45D5" w14:textId="77777777" w:rsidTr="0030114C">
        <w:trPr>
          <w:cantSplit/>
        </w:trPr>
        <w:tc>
          <w:tcPr>
            <w:tcW w:w="613" w:type="pct"/>
            <w:gridSpan w:val="2"/>
            <w:vMerge w:val="restart"/>
            <w:tcBorders>
              <w:top w:val="single" w:sz="4" w:space="0" w:color="auto"/>
              <w:left w:val="nil"/>
              <w:bottom w:val="nil"/>
              <w:right w:val="nil"/>
            </w:tcBorders>
            <w:shd w:val="clear" w:color="auto" w:fill="FFFFFF"/>
            <w:vAlign w:val="bottom"/>
          </w:tcPr>
          <w:p w14:paraId="38C3A22F" w14:textId="77777777" w:rsidR="00B430C7" w:rsidRPr="00B430C7" w:rsidRDefault="00B430C7" w:rsidP="00E83841">
            <w:pPr>
              <w:autoSpaceDE w:val="0"/>
              <w:autoSpaceDN w:val="0"/>
              <w:adjustRightInd w:val="0"/>
              <w:spacing w:after="0" w:line="360" w:lineRule="auto"/>
              <w:ind w:left="60" w:right="60"/>
              <w:jc w:val="both"/>
              <w:rPr>
                <w:rFonts w:ascii="Times New Roman" w:eastAsia="Calibri" w:hAnsi="Times New Roman" w:cs="Times New Roman"/>
                <w:b/>
                <w:color w:val="000000"/>
                <w:sz w:val="20"/>
                <w:szCs w:val="20"/>
              </w:rPr>
            </w:pPr>
            <w:r w:rsidRPr="00B430C7">
              <w:rPr>
                <w:rFonts w:ascii="Times New Roman" w:eastAsia="Calibri" w:hAnsi="Times New Roman" w:cs="Times New Roman"/>
                <w:b/>
                <w:color w:val="000000"/>
                <w:sz w:val="20"/>
                <w:szCs w:val="20"/>
              </w:rPr>
              <w:t>Model</w:t>
            </w:r>
          </w:p>
        </w:tc>
        <w:tc>
          <w:tcPr>
            <w:tcW w:w="760" w:type="pct"/>
            <w:gridSpan w:val="2"/>
            <w:tcBorders>
              <w:top w:val="single" w:sz="4" w:space="0" w:color="auto"/>
              <w:left w:val="nil"/>
              <w:bottom w:val="nil"/>
              <w:right w:val="nil"/>
            </w:tcBorders>
            <w:shd w:val="clear" w:color="auto" w:fill="FFFFFF"/>
            <w:vAlign w:val="bottom"/>
          </w:tcPr>
          <w:p w14:paraId="4431C67B" w14:textId="77777777" w:rsidR="00B430C7" w:rsidRPr="00B430C7" w:rsidRDefault="00B430C7" w:rsidP="00E83841">
            <w:pPr>
              <w:autoSpaceDE w:val="0"/>
              <w:autoSpaceDN w:val="0"/>
              <w:adjustRightInd w:val="0"/>
              <w:spacing w:after="0" w:line="360" w:lineRule="auto"/>
              <w:ind w:left="60" w:right="60"/>
              <w:jc w:val="center"/>
              <w:rPr>
                <w:rFonts w:ascii="Times New Roman" w:eastAsia="Calibri" w:hAnsi="Times New Roman" w:cs="Times New Roman"/>
                <w:b/>
                <w:color w:val="000000"/>
                <w:sz w:val="20"/>
                <w:szCs w:val="20"/>
              </w:rPr>
            </w:pPr>
            <w:r w:rsidRPr="00B430C7">
              <w:rPr>
                <w:rFonts w:ascii="Times New Roman" w:eastAsia="Calibri" w:hAnsi="Times New Roman" w:cs="Times New Roman"/>
                <w:b/>
                <w:color w:val="000000"/>
                <w:sz w:val="20"/>
                <w:szCs w:val="20"/>
              </w:rPr>
              <w:t>Unstandardized Coefficients</w:t>
            </w:r>
          </w:p>
        </w:tc>
        <w:tc>
          <w:tcPr>
            <w:tcW w:w="644" w:type="pct"/>
            <w:tcBorders>
              <w:top w:val="single" w:sz="4" w:space="0" w:color="auto"/>
              <w:left w:val="nil"/>
              <w:bottom w:val="nil"/>
              <w:right w:val="nil"/>
            </w:tcBorders>
            <w:shd w:val="clear" w:color="auto" w:fill="FFFFFF"/>
            <w:vAlign w:val="bottom"/>
          </w:tcPr>
          <w:p w14:paraId="44983B9E" w14:textId="77777777" w:rsidR="00B430C7" w:rsidRPr="00B430C7" w:rsidRDefault="00B430C7" w:rsidP="00E83841">
            <w:pPr>
              <w:autoSpaceDE w:val="0"/>
              <w:autoSpaceDN w:val="0"/>
              <w:adjustRightInd w:val="0"/>
              <w:spacing w:after="0" w:line="360" w:lineRule="auto"/>
              <w:ind w:left="60" w:right="60"/>
              <w:jc w:val="center"/>
              <w:rPr>
                <w:rFonts w:ascii="Times New Roman" w:eastAsia="Calibri" w:hAnsi="Times New Roman" w:cs="Times New Roman"/>
                <w:b/>
                <w:color w:val="000000"/>
                <w:sz w:val="20"/>
                <w:szCs w:val="20"/>
              </w:rPr>
            </w:pPr>
            <w:r w:rsidRPr="00B430C7">
              <w:rPr>
                <w:rFonts w:ascii="Times New Roman" w:eastAsia="Calibri" w:hAnsi="Times New Roman" w:cs="Times New Roman"/>
                <w:b/>
                <w:color w:val="000000"/>
                <w:sz w:val="20"/>
                <w:szCs w:val="20"/>
              </w:rPr>
              <w:t>Standardized Coefficients</w:t>
            </w:r>
          </w:p>
        </w:tc>
        <w:tc>
          <w:tcPr>
            <w:tcW w:w="295" w:type="pct"/>
            <w:vMerge w:val="restart"/>
            <w:tcBorders>
              <w:top w:val="single" w:sz="4" w:space="0" w:color="auto"/>
              <w:left w:val="nil"/>
              <w:bottom w:val="nil"/>
              <w:right w:val="nil"/>
            </w:tcBorders>
            <w:shd w:val="clear" w:color="auto" w:fill="FFFFFF"/>
            <w:vAlign w:val="bottom"/>
          </w:tcPr>
          <w:p w14:paraId="1F33FB8F" w14:textId="77777777" w:rsidR="00B430C7" w:rsidRPr="00B430C7" w:rsidRDefault="00B430C7" w:rsidP="00E83841">
            <w:pPr>
              <w:autoSpaceDE w:val="0"/>
              <w:autoSpaceDN w:val="0"/>
              <w:adjustRightInd w:val="0"/>
              <w:spacing w:after="0" w:line="360" w:lineRule="auto"/>
              <w:ind w:left="60" w:right="60"/>
              <w:jc w:val="center"/>
              <w:rPr>
                <w:rFonts w:ascii="Times New Roman" w:eastAsia="Calibri" w:hAnsi="Times New Roman" w:cs="Times New Roman"/>
                <w:b/>
                <w:color w:val="000000"/>
                <w:sz w:val="20"/>
                <w:szCs w:val="20"/>
              </w:rPr>
            </w:pPr>
            <w:r w:rsidRPr="00B430C7">
              <w:rPr>
                <w:rFonts w:ascii="Times New Roman" w:eastAsia="Calibri" w:hAnsi="Times New Roman" w:cs="Times New Roman"/>
                <w:b/>
                <w:color w:val="000000"/>
                <w:sz w:val="20"/>
                <w:szCs w:val="20"/>
              </w:rPr>
              <w:t>T</w:t>
            </w:r>
          </w:p>
        </w:tc>
        <w:tc>
          <w:tcPr>
            <w:tcW w:w="245" w:type="pct"/>
            <w:vMerge w:val="restart"/>
            <w:tcBorders>
              <w:top w:val="single" w:sz="4" w:space="0" w:color="auto"/>
              <w:left w:val="nil"/>
              <w:bottom w:val="nil"/>
              <w:right w:val="nil"/>
            </w:tcBorders>
            <w:shd w:val="clear" w:color="auto" w:fill="FFFFFF"/>
            <w:vAlign w:val="bottom"/>
          </w:tcPr>
          <w:p w14:paraId="28466AA7" w14:textId="77777777" w:rsidR="00B430C7" w:rsidRPr="00B430C7" w:rsidRDefault="00B430C7" w:rsidP="00E83841">
            <w:pPr>
              <w:autoSpaceDE w:val="0"/>
              <w:autoSpaceDN w:val="0"/>
              <w:adjustRightInd w:val="0"/>
              <w:spacing w:after="0" w:line="360" w:lineRule="auto"/>
              <w:ind w:left="60" w:right="60"/>
              <w:jc w:val="center"/>
              <w:rPr>
                <w:rFonts w:ascii="Times New Roman" w:eastAsia="Calibri" w:hAnsi="Times New Roman" w:cs="Times New Roman"/>
                <w:b/>
                <w:color w:val="000000"/>
                <w:sz w:val="20"/>
                <w:szCs w:val="20"/>
              </w:rPr>
            </w:pPr>
            <w:r w:rsidRPr="00B430C7">
              <w:rPr>
                <w:rFonts w:ascii="Times New Roman" w:eastAsia="Calibri" w:hAnsi="Times New Roman" w:cs="Times New Roman"/>
                <w:b/>
                <w:color w:val="000000"/>
                <w:sz w:val="20"/>
                <w:szCs w:val="20"/>
              </w:rPr>
              <w:t>Sig.</w:t>
            </w:r>
          </w:p>
        </w:tc>
        <w:tc>
          <w:tcPr>
            <w:tcW w:w="710" w:type="pct"/>
            <w:gridSpan w:val="2"/>
            <w:tcBorders>
              <w:top w:val="single" w:sz="4" w:space="0" w:color="auto"/>
              <w:left w:val="nil"/>
              <w:bottom w:val="single" w:sz="4" w:space="0" w:color="auto"/>
              <w:right w:val="nil"/>
            </w:tcBorders>
            <w:shd w:val="clear" w:color="auto" w:fill="FFFFFF"/>
            <w:vAlign w:val="bottom"/>
          </w:tcPr>
          <w:p w14:paraId="30764A02" w14:textId="77777777" w:rsidR="00B430C7" w:rsidRPr="00B430C7" w:rsidRDefault="00B430C7" w:rsidP="00E83841">
            <w:pPr>
              <w:autoSpaceDE w:val="0"/>
              <w:autoSpaceDN w:val="0"/>
              <w:adjustRightInd w:val="0"/>
              <w:spacing w:after="0" w:line="360" w:lineRule="auto"/>
              <w:ind w:left="60" w:right="60"/>
              <w:jc w:val="center"/>
              <w:rPr>
                <w:rFonts w:ascii="Times New Roman" w:eastAsia="Calibri" w:hAnsi="Times New Roman" w:cs="Times New Roman"/>
                <w:b/>
                <w:color w:val="000000"/>
                <w:sz w:val="20"/>
                <w:szCs w:val="20"/>
              </w:rPr>
            </w:pPr>
            <w:r w:rsidRPr="00B430C7">
              <w:rPr>
                <w:rFonts w:ascii="Times New Roman" w:eastAsia="Calibri" w:hAnsi="Times New Roman" w:cs="Times New Roman"/>
                <w:b/>
                <w:color w:val="000000"/>
                <w:sz w:val="20"/>
                <w:szCs w:val="20"/>
              </w:rPr>
              <w:t>95.0% Confidence Interval for B</w:t>
            </w:r>
          </w:p>
        </w:tc>
        <w:tc>
          <w:tcPr>
            <w:tcW w:w="934" w:type="pct"/>
            <w:gridSpan w:val="3"/>
            <w:tcBorders>
              <w:top w:val="single" w:sz="4" w:space="0" w:color="auto"/>
              <w:left w:val="nil"/>
              <w:bottom w:val="single" w:sz="4" w:space="0" w:color="auto"/>
              <w:right w:val="nil"/>
            </w:tcBorders>
            <w:shd w:val="clear" w:color="auto" w:fill="FFFFFF"/>
            <w:vAlign w:val="bottom"/>
          </w:tcPr>
          <w:p w14:paraId="4501F130" w14:textId="77777777" w:rsidR="00B430C7" w:rsidRPr="00B430C7" w:rsidRDefault="00B430C7" w:rsidP="00E83841">
            <w:pPr>
              <w:autoSpaceDE w:val="0"/>
              <w:autoSpaceDN w:val="0"/>
              <w:adjustRightInd w:val="0"/>
              <w:spacing w:after="0" w:line="360" w:lineRule="auto"/>
              <w:ind w:left="60" w:right="60"/>
              <w:jc w:val="center"/>
              <w:rPr>
                <w:rFonts w:ascii="Times New Roman" w:eastAsia="Calibri" w:hAnsi="Times New Roman" w:cs="Times New Roman"/>
                <w:b/>
                <w:color w:val="000000"/>
                <w:sz w:val="20"/>
                <w:szCs w:val="20"/>
              </w:rPr>
            </w:pPr>
            <w:r w:rsidRPr="00B430C7">
              <w:rPr>
                <w:rFonts w:ascii="Times New Roman" w:eastAsia="Calibri" w:hAnsi="Times New Roman" w:cs="Times New Roman"/>
                <w:b/>
                <w:color w:val="000000"/>
                <w:sz w:val="20"/>
                <w:szCs w:val="20"/>
              </w:rPr>
              <w:t>Correlations</w:t>
            </w:r>
          </w:p>
        </w:tc>
        <w:tc>
          <w:tcPr>
            <w:tcW w:w="799" w:type="pct"/>
            <w:gridSpan w:val="2"/>
            <w:tcBorders>
              <w:top w:val="single" w:sz="4" w:space="0" w:color="auto"/>
              <w:left w:val="nil"/>
              <w:bottom w:val="single" w:sz="4" w:space="0" w:color="auto"/>
              <w:right w:val="nil"/>
            </w:tcBorders>
            <w:shd w:val="clear" w:color="auto" w:fill="FFFFFF"/>
            <w:vAlign w:val="bottom"/>
          </w:tcPr>
          <w:p w14:paraId="768E9CB2" w14:textId="77777777" w:rsidR="00B430C7" w:rsidRPr="00B430C7" w:rsidRDefault="00B430C7" w:rsidP="00E83841">
            <w:pPr>
              <w:autoSpaceDE w:val="0"/>
              <w:autoSpaceDN w:val="0"/>
              <w:adjustRightInd w:val="0"/>
              <w:spacing w:after="0" w:line="360" w:lineRule="auto"/>
              <w:ind w:left="60" w:right="60"/>
              <w:jc w:val="center"/>
              <w:rPr>
                <w:rFonts w:ascii="Times New Roman" w:eastAsia="Calibri" w:hAnsi="Times New Roman" w:cs="Times New Roman"/>
                <w:b/>
                <w:color w:val="000000"/>
                <w:sz w:val="20"/>
                <w:szCs w:val="20"/>
              </w:rPr>
            </w:pPr>
            <w:r w:rsidRPr="00B430C7">
              <w:rPr>
                <w:rFonts w:ascii="Times New Roman" w:eastAsia="Calibri" w:hAnsi="Times New Roman" w:cs="Times New Roman"/>
                <w:b/>
                <w:color w:val="000000"/>
                <w:sz w:val="20"/>
                <w:szCs w:val="20"/>
              </w:rPr>
              <w:t>Collinearity Statistics</w:t>
            </w:r>
          </w:p>
        </w:tc>
      </w:tr>
      <w:tr w:rsidR="00B430C7" w:rsidRPr="00B430C7" w14:paraId="7D6EECB2" w14:textId="77777777" w:rsidTr="0030114C">
        <w:trPr>
          <w:cantSplit/>
          <w:trHeight w:val="406"/>
        </w:trPr>
        <w:tc>
          <w:tcPr>
            <w:tcW w:w="613" w:type="pct"/>
            <w:gridSpan w:val="2"/>
            <w:vMerge/>
            <w:tcBorders>
              <w:top w:val="single" w:sz="4" w:space="0" w:color="auto"/>
              <w:left w:val="nil"/>
              <w:bottom w:val="nil"/>
              <w:right w:val="nil"/>
            </w:tcBorders>
            <w:shd w:val="clear" w:color="auto" w:fill="FFFFFF"/>
            <w:vAlign w:val="bottom"/>
          </w:tcPr>
          <w:p w14:paraId="1C69EF3F" w14:textId="77777777" w:rsidR="00B430C7" w:rsidRPr="00B430C7" w:rsidRDefault="00B430C7" w:rsidP="00E83841">
            <w:pPr>
              <w:autoSpaceDE w:val="0"/>
              <w:autoSpaceDN w:val="0"/>
              <w:adjustRightInd w:val="0"/>
              <w:spacing w:after="0" w:line="360" w:lineRule="auto"/>
              <w:jc w:val="both"/>
              <w:rPr>
                <w:rFonts w:ascii="Times New Roman" w:eastAsia="Calibri" w:hAnsi="Times New Roman" w:cs="Times New Roman"/>
                <w:b/>
                <w:color w:val="000000"/>
                <w:sz w:val="20"/>
                <w:szCs w:val="20"/>
              </w:rPr>
            </w:pPr>
          </w:p>
        </w:tc>
        <w:tc>
          <w:tcPr>
            <w:tcW w:w="379" w:type="pct"/>
            <w:tcBorders>
              <w:top w:val="single" w:sz="4" w:space="0" w:color="auto"/>
              <w:left w:val="nil"/>
              <w:bottom w:val="nil"/>
              <w:right w:val="nil"/>
            </w:tcBorders>
            <w:shd w:val="clear" w:color="auto" w:fill="FFFFFF"/>
            <w:vAlign w:val="bottom"/>
          </w:tcPr>
          <w:p w14:paraId="270C08D3" w14:textId="77777777" w:rsidR="00B430C7" w:rsidRPr="00B430C7" w:rsidRDefault="00B430C7" w:rsidP="00E83841">
            <w:pPr>
              <w:autoSpaceDE w:val="0"/>
              <w:autoSpaceDN w:val="0"/>
              <w:adjustRightInd w:val="0"/>
              <w:spacing w:after="0" w:line="360" w:lineRule="auto"/>
              <w:ind w:left="60" w:right="60"/>
              <w:jc w:val="center"/>
              <w:rPr>
                <w:rFonts w:ascii="Times New Roman" w:eastAsia="Calibri" w:hAnsi="Times New Roman" w:cs="Times New Roman"/>
                <w:b/>
                <w:color w:val="000000"/>
                <w:sz w:val="20"/>
                <w:szCs w:val="20"/>
              </w:rPr>
            </w:pPr>
            <w:r w:rsidRPr="00B430C7">
              <w:rPr>
                <w:rFonts w:ascii="Times New Roman" w:eastAsia="Calibri" w:hAnsi="Times New Roman" w:cs="Times New Roman"/>
                <w:b/>
                <w:color w:val="000000"/>
                <w:sz w:val="20"/>
                <w:szCs w:val="20"/>
              </w:rPr>
              <w:t>B</w:t>
            </w:r>
          </w:p>
        </w:tc>
        <w:tc>
          <w:tcPr>
            <w:tcW w:w="381" w:type="pct"/>
            <w:tcBorders>
              <w:top w:val="single" w:sz="4" w:space="0" w:color="auto"/>
              <w:left w:val="nil"/>
              <w:bottom w:val="nil"/>
              <w:right w:val="nil"/>
            </w:tcBorders>
            <w:shd w:val="clear" w:color="auto" w:fill="FFFFFF"/>
            <w:vAlign w:val="bottom"/>
          </w:tcPr>
          <w:p w14:paraId="13BB3E54" w14:textId="77777777" w:rsidR="00B430C7" w:rsidRPr="00B430C7" w:rsidRDefault="00B430C7" w:rsidP="00E83841">
            <w:pPr>
              <w:autoSpaceDE w:val="0"/>
              <w:autoSpaceDN w:val="0"/>
              <w:adjustRightInd w:val="0"/>
              <w:spacing w:after="0" w:line="360" w:lineRule="auto"/>
              <w:ind w:left="60" w:right="60"/>
              <w:jc w:val="center"/>
              <w:rPr>
                <w:rFonts w:ascii="Times New Roman" w:eastAsia="Calibri" w:hAnsi="Times New Roman" w:cs="Times New Roman"/>
                <w:b/>
                <w:color w:val="000000"/>
                <w:sz w:val="20"/>
                <w:szCs w:val="20"/>
              </w:rPr>
            </w:pPr>
            <w:r w:rsidRPr="00B430C7">
              <w:rPr>
                <w:rFonts w:ascii="Times New Roman" w:eastAsia="Calibri" w:hAnsi="Times New Roman" w:cs="Times New Roman"/>
                <w:b/>
                <w:color w:val="000000"/>
                <w:sz w:val="20"/>
                <w:szCs w:val="20"/>
              </w:rPr>
              <w:t>Std. Error</w:t>
            </w:r>
          </w:p>
        </w:tc>
        <w:tc>
          <w:tcPr>
            <w:tcW w:w="644" w:type="pct"/>
            <w:tcBorders>
              <w:top w:val="single" w:sz="4" w:space="0" w:color="auto"/>
              <w:left w:val="nil"/>
              <w:bottom w:val="nil"/>
              <w:right w:val="nil"/>
            </w:tcBorders>
            <w:shd w:val="clear" w:color="auto" w:fill="FFFFFF"/>
            <w:vAlign w:val="bottom"/>
          </w:tcPr>
          <w:p w14:paraId="1152CE6C" w14:textId="77777777" w:rsidR="00B430C7" w:rsidRPr="00B430C7" w:rsidRDefault="00B430C7" w:rsidP="00E83841">
            <w:pPr>
              <w:autoSpaceDE w:val="0"/>
              <w:autoSpaceDN w:val="0"/>
              <w:adjustRightInd w:val="0"/>
              <w:spacing w:after="0" w:line="360" w:lineRule="auto"/>
              <w:ind w:left="60" w:right="60"/>
              <w:jc w:val="center"/>
              <w:rPr>
                <w:rFonts w:ascii="Times New Roman" w:eastAsia="Calibri" w:hAnsi="Times New Roman" w:cs="Times New Roman"/>
                <w:b/>
                <w:color w:val="000000"/>
                <w:sz w:val="20"/>
                <w:szCs w:val="20"/>
              </w:rPr>
            </w:pPr>
            <w:r w:rsidRPr="00B430C7">
              <w:rPr>
                <w:rFonts w:ascii="Times New Roman" w:eastAsia="Calibri" w:hAnsi="Times New Roman" w:cs="Times New Roman"/>
                <w:b/>
                <w:color w:val="000000"/>
                <w:sz w:val="20"/>
                <w:szCs w:val="20"/>
              </w:rPr>
              <w:t>Beta</w:t>
            </w:r>
          </w:p>
        </w:tc>
        <w:tc>
          <w:tcPr>
            <w:tcW w:w="295" w:type="pct"/>
            <w:vMerge/>
            <w:tcBorders>
              <w:top w:val="single" w:sz="4" w:space="0" w:color="auto"/>
              <w:left w:val="nil"/>
              <w:bottom w:val="nil"/>
              <w:right w:val="nil"/>
            </w:tcBorders>
            <w:shd w:val="clear" w:color="auto" w:fill="FFFFFF"/>
            <w:vAlign w:val="bottom"/>
          </w:tcPr>
          <w:p w14:paraId="30C5B7AA" w14:textId="77777777" w:rsidR="00B430C7" w:rsidRPr="00B430C7" w:rsidRDefault="00B430C7" w:rsidP="00E83841">
            <w:pPr>
              <w:autoSpaceDE w:val="0"/>
              <w:autoSpaceDN w:val="0"/>
              <w:adjustRightInd w:val="0"/>
              <w:spacing w:after="0" w:line="360" w:lineRule="auto"/>
              <w:jc w:val="both"/>
              <w:rPr>
                <w:rFonts w:ascii="Times New Roman" w:eastAsia="Calibri" w:hAnsi="Times New Roman" w:cs="Times New Roman"/>
                <w:b/>
                <w:color w:val="000000"/>
                <w:sz w:val="20"/>
                <w:szCs w:val="20"/>
              </w:rPr>
            </w:pPr>
          </w:p>
        </w:tc>
        <w:tc>
          <w:tcPr>
            <w:tcW w:w="245" w:type="pct"/>
            <w:vMerge/>
            <w:tcBorders>
              <w:top w:val="single" w:sz="4" w:space="0" w:color="auto"/>
              <w:left w:val="nil"/>
              <w:bottom w:val="nil"/>
              <w:right w:val="nil"/>
            </w:tcBorders>
            <w:shd w:val="clear" w:color="auto" w:fill="FFFFFF"/>
            <w:vAlign w:val="bottom"/>
          </w:tcPr>
          <w:p w14:paraId="2C23B19A" w14:textId="77777777" w:rsidR="00B430C7" w:rsidRPr="00B430C7" w:rsidRDefault="00B430C7" w:rsidP="00E83841">
            <w:pPr>
              <w:autoSpaceDE w:val="0"/>
              <w:autoSpaceDN w:val="0"/>
              <w:adjustRightInd w:val="0"/>
              <w:spacing w:after="0" w:line="360" w:lineRule="auto"/>
              <w:jc w:val="both"/>
              <w:rPr>
                <w:rFonts w:ascii="Times New Roman" w:eastAsia="Calibri" w:hAnsi="Times New Roman" w:cs="Times New Roman"/>
                <w:b/>
                <w:color w:val="000000"/>
                <w:sz w:val="20"/>
                <w:szCs w:val="20"/>
              </w:rPr>
            </w:pPr>
          </w:p>
        </w:tc>
        <w:tc>
          <w:tcPr>
            <w:tcW w:w="355" w:type="pct"/>
            <w:tcBorders>
              <w:top w:val="single" w:sz="4" w:space="0" w:color="auto"/>
              <w:left w:val="nil"/>
              <w:bottom w:val="nil"/>
              <w:right w:val="nil"/>
            </w:tcBorders>
            <w:shd w:val="clear" w:color="auto" w:fill="FFFFFF"/>
            <w:vAlign w:val="bottom"/>
          </w:tcPr>
          <w:p w14:paraId="7061274D" w14:textId="77777777" w:rsidR="00B430C7" w:rsidRPr="00B430C7" w:rsidRDefault="00B430C7" w:rsidP="00E83841">
            <w:pPr>
              <w:autoSpaceDE w:val="0"/>
              <w:autoSpaceDN w:val="0"/>
              <w:adjustRightInd w:val="0"/>
              <w:spacing w:after="0" w:line="360" w:lineRule="auto"/>
              <w:ind w:left="60" w:right="60"/>
              <w:jc w:val="center"/>
              <w:rPr>
                <w:rFonts w:ascii="Times New Roman" w:eastAsia="Calibri" w:hAnsi="Times New Roman" w:cs="Times New Roman"/>
                <w:b/>
                <w:color w:val="000000"/>
                <w:sz w:val="20"/>
                <w:szCs w:val="20"/>
              </w:rPr>
            </w:pPr>
            <w:r w:rsidRPr="00B430C7">
              <w:rPr>
                <w:rFonts w:ascii="Times New Roman" w:eastAsia="Calibri" w:hAnsi="Times New Roman" w:cs="Times New Roman"/>
                <w:b/>
                <w:color w:val="000000"/>
                <w:sz w:val="20"/>
                <w:szCs w:val="20"/>
              </w:rPr>
              <w:t>Lower Bound</w:t>
            </w:r>
          </w:p>
        </w:tc>
        <w:tc>
          <w:tcPr>
            <w:tcW w:w="355" w:type="pct"/>
            <w:tcBorders>
              <w:top w:val="single" w:sz="4" w:space="0" w:color="auto"/>
              <w:left w:val="nil"/>
              <w:bottom w:val="nil"/>
              <w:right w:val="nil"/>
            </w:tcBorders>
            <w:shd w:val="clear" w:color="auto" w:fill="FFFFFF"/>
            <w:vAlign w:val="bottom"/>
          </w:tcPr>
          <w:p w14:paraId="5A2DA451" w14:textId="77777777" w:rsidR="00B430C7" w:rsidRPr="00B430C7" w:rsidRDefault="00B430C7" w:rsidP="00E83841">
            <w:pPr>
              <w:autoSpaceDE w:val="0"/>
              <w:autoSpaceDN w:val="0"/>
              <w:adjustRightInd w:val="0"/>
              <w:spacing w:after="0" w:line="360" w:lineRule="auto"/>
              <w:ind w:left="60" w:right="60"/>
              <w:jc w:val="center"/>
              <w:rPr>
                <w:rFonts w:ascii="Times New Roman" w:eastAsia="Calibri" w:hAnsi="Times New Roman" w:cs="Times New Roman"/>
                <w:b/>
                <w:color w:val="000000"/>
                <w:sz w:val="20"/>
                <w:szCs w:val="20"/>
              </w:rPr>
            </w:pPr>
            <w:r w:rsidRPr="00B430C7">
              <w:rPr>
                <w:rFonts w:ascii="Times New Roman" w:eastAsia="Calibri" w:hAnsi="Times New Roman" w:cs="Times New Roman"/>
                <w:b/>
                <w:color w:val="000000"/>
                <w:sz w:val="20"/>
                <w:szCs w:val="20"/>
              </w:rPr>
              <w:t>Upper Bound</w:t>
            </w:r>
          </w:p>
        </w:tc>
        <w:tc>
          <w:tcPr>
            <w:tcW w:w="309" w:type="pct"/>
            <w:tcBorders>
              <w:top w:val="single" w:sz="4" w:space="0" w:color="auto"/>
              <w:left w:val="nil"/>
              <w:bottom w:val="nil"/>
              <w:right w:val="nil"/>
            </w:tcBorders>
            <w:shd w:val="clear" w:color="auto" w:fill="FFFFFF"/>
            <w:vAlign w:val="bottom"/>
          </w:tcPr>
          <w:p w14:paraId="24058E45" w14:textId="77777777" w:rsidR="00B430C7" w:rsidRPr="00B430C7" w:rsidRDefault="00B430C7" w:rsidP="00E83841">
            <w:pPr>
              <w:autoSpaceDE w:val="0"/>
              <w:autoSpaceDN w:val="0"/>
              <w:adjustRightInd w:val="0"/>
              <w:spacing w:after="0" w:line="360" w:lineRule="auto"/>
              <w:ind w:left="60" w:right="60"/>
              <w:jc w:val="center"/>
              <w:rPr>
                <w:rFonts w:ascii="Times New Roman" w:eastAsia="Calibri" w:hAnsi="Times New Roman" w:cs="Times New Roman"/>
                <w:b/>
                <w:color w:val="000000"/>
                <w:sz w:val="20"/>
                <w:szCs w:val="20"/>
              </w:rPr>
            </w:pPr>
            <w:r w:rsidRPr="00B430C7">
              <w:rPr>
                <w:rFonts w:ascii="Times New Roman" w:eastAsia="Calibri" w:hAnsi="Times New Roman" w:cs="Times New Roman"/>
                <w:b/>
                <w:color w:val="000000"/>
                <w:sz w:val="20"/>
                <w:szCs w:val="20"/>
              </w:rPr>
              <w:t>Zero-order</w:t>
            </w:r>
          </w:p>
        </w:tc>
        <w:tc>
          <w:tcPr>
            <w:tcW w:w="365" w:type="pct"/>
            <w:tcBorders>
              <w:top w:val="single" w:sz="4" w:space="0" w:color="auto"/>
              <w:left w:val="nil"/>
              <w:bottom w:val="nil"/>
              <w:right w:val="nil"/>
            </w:tcBorders>
            <w:shd w:val="clear" w:color="auto" w:fill="FFFFFF"/>
            <w:vAlign w:val="bottom"/>
          </w:tcPr>
          <w:p w14:paraId="042FB48D" w14:textId="77777777" w:rsidR="00B430C7" w:rsidRPr="00B430C7" w:rsidRDefault="00B430C7" w:rsidP="00E83841">
            <w:pPr>
              <w:autoSpaceDE w:val="0"/>
              <w:autoSpaceDN w:val="0"/>
              <w:adjustRightInd w:val="0"/>
              <w:spacing w:after="0" w:line="360" w:lineRule="auto"/>
              <w:ind w:left="60" w:right="60"/>
              <w:jc w:val="center"/>
              <w:rPr>
                <w:rFonts w:ascii="Times New Roman" w:eastAsia="Calibri" w:hAnsi="Times New Roman" w:cs="Times New Roman"/>
                <w:b/>
                <w:color w:val="000000"/>
                <w:sz w:val="20"/>
                <w:szCs w:val="20"/>
              </w:rPr>
            </w:pPr>
            <w:r w:rsidRPr="00B430C7">
              <w:rPr>
                <w:rFonts w:ascii="Times New Roman" w:eastAsia="Calibri" w:hAnsi="Times New Roman" w:cs="Times New Roman"/>
                <w:b/>
                <w:color w:val="000000"/>
                <w:sz w:val="20"/>
                <w:szCs w:val="20"/>
              </w:rPr>
              <w:t>Partial</w:t>
            </w:r>
          </w:p>
        </w:tc>
        <w:tc>
          <w:tcPr>
            <w:tcW w:w="260" w:type="pct"/>
            <w:tcBorders>
              <w:top w:val="single" w:sz="4" w:space="0" w:color="auto"/>
              <w:left w:val="nil"/>
              <w:bottom w:val="nil"/>
              <w:right w:val="nil"/>
            </w:tcBorders>
            <w:shd w:val="clear" w:color="auto" w:fill="FFFFFF"/>
            <w:vAlign w:val="bottom"/>
          </w:tcPr>
          <w:p w14:paraId="352E43A4" w14:textId="77777777" w:rsidR="00B430C7" w:rsidRPr="00B430C7" w:rsidRDefault="00B430C7" w:rsidP="00E83841">
            <w:pPr>
              <w:autoSpaceDE w:val="0"/>
              <w:autoSpaceDN w:val="0"/>
              <w:adjustRightInd w:val="0"/>
              <w:spacing w:after="0" w:line="360" w:lineRule="auto"/>
              <w:ind w:left="60" w:right="60"/>
              <w:jc w:val="center"/>
              <w:rPr>
                <w:rFonts w:ascii="Times New Roman" w:eastAsia="Calibri" w:hAnsi="Times New Roman" w:cs="Times New Roman"/>
                <w:b/>
                <w:color w:val="000000"/>
                <w:sz w:val="20"/>
                <w:szCs w:val="20"/>
              </w:rPr>
            </w:pPr>
            <w:r w:rsidRPr="00B430C7">
              <w:rPr>
                <w:rFonts w:ascii="Times New Roman" w:eastAsia="Calibri" w:hAnsi="Times New Roman" w:cs="Times New Roman"/>
                <w:b/>
                <w:color w:val="000000"/>
                <w:sz w:val="20"/>
                <w:szCs w:val="20"/>
              </w:rPr>
              <w:t>Part</w:t>
            </w:r>
          </w:p>
        </w:tc>
        <w:tc>
          <w:tcPr>
            <w:tcW w:w="499" w:type="pct"/>
            <w:tcBorders>
              <w:top w:val="single" w:sz="4" w:space="0" w:color="auto"/>
              <w:left w:val="nil"/>
              <w:bottom w:val="nil"/>
              <w:right w:val="nil"/>
            </w:tcBorders>
            <w:shd w:val="clear" w:color="auto" w:fill="FFFFFF"/>
            <w:vAlign w:val="bottom"/>
          </w:tcPr>
          <w:p w14:paraId="4AE5A9D1" w14:textId="77777777" w:rsidR="00B430C7" w:rsidRPr="00B430C7" w:rsidRDefault="00B430C7" w:rsidP="00E83841">
            <w:pPr>
              <w:autoSpaceDE w:val="0"/>
              <w:autoSpaceDN w:val="0"/>
              <w:adjustRightInd w:val="0"/>
              <w:spacing w:after="0" w:line="360" w:lineRule="auto"/>
              <w:ind w:left="60" w:right="60"/>
              <w:jc w:val="center"/>
              <w:rPr>
                <w:rFonts w:ascii="Times New Roman" w:eastAsia="Calibri" w:hAnsi="Times New Roman" w:cs="Times New Roman"/>
                <w:b/>
                <w:color w:val="000000"/>
                <w:sz w:val="20"/>
                <w:szCs w:val="20"/>
              </w:rPr>
            </w:pPr>
            <w:r w:rsidRPr="00B430C7">
              <w:rPr>
                <w:rFonts w:ascii="Times New Roman" w:eastAsia="Calibri" w:hAnsi="Times New Roman" w:cs="Times New Roman"/>
                <w:b/>
                <w:color w:val="000000"/>
                <w:sz w:val="20"/>
                <w:szCs w:val="20"/>
              </w:rPr>
              <w:t>Tolerance</w:t>
            </w:r>
          </w:p>
        </w:tc>
        <w:tc>
          <w:tcPr>
            <w:tcW w:w="300" w:type="pct"/>
            <w:tcBorders>
              <w:top w:val="single" w:sz="4" w:space="0" w:color="auto"/>
              <w:left w:val="nil"/>
              <w:bottom w:val="nil"/>
              <w:right w:val="nil"/>
            </w:tcBorders>
            <w:shd w:val="clear" w:color="auto" w:fill="FFFFFF"/>
            <w:vAlign w:val="bottom"/>
          </w:tcPr>
          <w:p w14:paraId="67B09C74" w14:textId="77777777" w:rsidR="00B430C7" w:rsidRPr="00B430C7" w:rsidRDefault="00B430C7" w:rsidP="00E83841">
            <w:pPr>
              <w:autoSpaceDE w:val="0"/>
              <w:autoSpaceDN w:val="0"/>
              <w:adjustRightInd w:val="0"/>
              <w:spacing w:after="0" w:line="360" w:lineRule="auto"/>
              <w:ind w:left="60" w:right="60"/>
              <w:jc w:val="center"/>
              <w:rPr>
                <w:rFonts w:ascii="Times New Roman" w:eastAsia="Calibri" w:hAnsi="Times New Roman" w:cs="Times New Roman"/>
                <w:b/>
                <w:color w:val="000000"/>
                <w:sz w:val="20"/>
                <w:szCs w:val="20"/>
              </w:rPr>
            </w:pPr>
            <w:r w:rsidRPr="00B430C7">
              <w:rPr>
                <w:rFonts w:ascii="Times New Roman" w:eastAsia="Calibri" w:hAnsi="Times New Roman" w:cs="Times New Roman"/>
                <w:b/>
                <w:color w:val="000000"/>
                <w:sz w:val="20"/>
                <w:szCs w:val="20"/>
              </w:rPr>
              <w:t>VIF</w:t>
            </w:r>
          </w:p>
        </w:tc>
      </w:tr>
      <w:tr w:rsidR="00B430C7" w:rsidRPr="00B430C7" w14:paraId="213AFB52" w14:textId="77777777" w:rsidTr="0030114C">
        <w:trPr>
          <w:cantSplit/>
        </w:trPr>
        <w:tc>
          <w:tcPr>
            <w:tcW w:w="120" w:type="pct"/>
            <w:vMerge w:val="restart"/>
            <w:tcBorders>
              <w:top w:val="nil"/>
              <w:left w:val="nil"/>
              <w:bottom w:val="nil"/>
              <w:right w:val="nil"/>
            </w:tcBorders>
            <w:shd w:val="clear" w:color="auto" w:fill="FFFFFF"/>
          </w:tcPr>
          <w:p w14:paraId="237B71B6" w14:textId="77777777" w:rsidR="00B430C7" w:rsidRPr="00B430C7" w:rsidRDefault="00B430C7" w:rsidP="00E83841">
            <w:pPr>
              <w:autoSpaceDE w:val="0"/>
              <w:autoSpaceDN w:val="0"/>
              <w:adjustRightInd w:val="0"/>
              <w:spacing w:after="0" w:line="360" w:lineRule="auto"/>
              <w:ind w:left="60" w:right="60"/>
              <w:jc w:val="both"/>
              <w:rPr>
                <w:rFonts w:ascii="Times New Roman" w:eastAsia="Calibri" w:hAnsi="Times New Roman" w:cs="Times New Roman"/>
                <w:color w:val="000000"/>
                <w:sz w:val="20"/>
                <w:szCs w:val="20"/>
              </w:rPr>
            </w:pPr>
            <w:bookmarkStart w:id="8" w:name="_Hlk170336179"/>
            <w:r w:rsidRPr="00B430C7">
              <w:rPr>
                <w:rFonts w:ascii="Times New Roman" w:eastAsia="Calibri" w:hAnsi="Times New Roman" w:cs="Times New Roman"/>
                <w:color w:val="000000"/>
                <w:sz w:val="20"/>
                <w:szCs w:val="20"/>
              </w:rPr>
              <w:t>1</w:t>
            </w:r>
          </w:p>
        </w:tc>
        <w:tc>
          <w:tcPr>
            <w:tcW w:w="493" w:type="pct"/>
            <w:tcBorders>
              <w:top w:val="nil"/>
              <w:left w:val="nil"/>
              <w:bottom w:val="nil"/>
              <w:right w:val="nil"/>
            </w:tcBorders>
            <w:shd w:val="clear" w:color="auto" w:fill="FFFFFF"/>
          </w:tcPr>
          <w:p w14:paraId="51C60F22" w14:textId="77777777" w:rsidR="00B430C7" w:rsidRPr="00B430C7" w:rsidRDefault="00B430C7" w:rsidP="00E83841">
            <w:pPr>
              <w:autoSpaceDE w:val="0"/>
              <w:autoSpaceDN w:val="0"/>
              <w:adjustRightInd w:val="0"/>
              <w:spacing w:after="0" w:line="360" w:lineRule="auto"/>
              <w:ind w:left="60" w:right="60"/>
              <w:jc w:val="both"/>
              <w:rPr>
                <w:rFonts w:ascii="Times New Roman" w:eastAsia="Calibri" w:hAnsi="Times New Roman" w:cs="Times New Roman"/>
                <w:color w:val="000000"/>
                <w:sz w:val="20"/>
                <w:szCs w:val="20"/>
              </w:rPr>
            </w:pPr>
            <w:r w:rsidRPr="00B430C7">
              <w:rPr>
                <w:rFonts w:ascii="Times New Roman" w:eastAsia="Calibri" w:hAnsi="Times New Roman" w:cs="Times New Roman"/>
                <w:color w:val="000000"/>
                <w:sz w:val="20"/>
                <w:szCs w:val="20"/>
              </w:rPr>
              <w:t>(Constant)</w:t>
            </w:r>
          </w:p>
        </w:tc>
        <w:tc>
          <w:tcPr>
            <w:tcW w:w="379" w:type="pct"/>
            <w:tcBorders>
              <w:top w:val="nil"/>
              <w:left w:val="nil"/>
              <w:bottom w:val="nil"/>
              <w:right w:val="nil"/>
            </w:tcBorders>
            <w:shd w:val="clear" w:color="auto" w:fill="FFFFFF"/>
            <w:vAlign w:val="center"/>
          </w:tcPr>
          <w:p w14:paraId="363F7826" w14:textId="77777777" w:rsidR="00B430C7" w:rsidRPr="00B430C7" w:rsidRDefault="00B430C7" w:rsidP="00E83841">
            <w:pPr>
              <w:autoSpaceDE w:val="0"/>
              <w:autoSpaceDN w:val="0"/>
              <w:adjustRightInd w:val="0"/>
              <w:spacing w:after="0" w:line="360" w:lineRule="auto"/>
              <w:ind w:left="60" w:right="60"/>
              <w:jc w:val="right"/>
              <w:rPr>
                <w:rFonts w:ascii="Times New Roman" w:eastAsia="Calibri" w:hAnsi="Times New Roman" w:cs="Times New Roman"/>
                <w:color w:val="000000"/>
                <w:sz w:val="20"/>
                <w:szCs w:val="20"/>
              </w:rPr>
            </w:pPr>
            <w:r w:rsidRPr="00B430C7">
              <w:rPr>
                <w:rFonts w:ascii="Times New Roman" w:eastAsia="Calibri" w:hAnsi="Times New Roman" w:cs="Times New Roman"/>
                <w:color w:val="000000"/>
                <w:sz w:val="20"/>
                <w:szCs w:val="20"/>
              </w:rPr>
              <w:t>1.229</w:t>
            </w:r>
          </w:p>
        </w:tc>
        <w:tc>
          <w:tcPr>
            <w:tcW w:w="381" w:type="pct"/>
            <w:tcBorders>
              <w:top w:val="nil"/>
              <w:left w:val="nil"/>
              <w:bottom w:val="nil"/>
              <w:right w:val="nil"/>
            </w:tcBorders>
            <w:shd w:val="clear" w:color="auto" w:fill="FFFFFF"/>
            <w:vAlign w:val="center"/>
          </w:tcPr>
          <w:p w14:paraId="3BF119C1" w14:textId="77777777" w:rsidR="00B430C7" w:rsidRPr="00B430C7" w:rsidRDefault="00B430C7" w:rsidP="00E83841">
            <w:pPr>
              <w:autoSpaceDE w:val="0"/>
              <w:autoSpaceDN w:val="0"/>
              <w:adjustRightInd w:val="0"/>
              <w:spacing w:after="0" w:line="360" w:lineRule="auto"/>
              <w:ind w:left="60" w:right="60"/>
              <w:jc w:val="right"/>
              <w:rPr>
                <w:rFonts w:ascii="Times New Roman" w:eastAsia="Calibri" w:hAnsi="Times New Roman" w:cs="Times New Roman"/>
                <w:color w:val="000000"/>
                <w:sz w:val="20"/>
                <w:szCs w:val="20"/>
              </w:rPr>
            </w:pPr>
            <w:r w:rsidRPr="00B430C7">
              <w:rPr>
                <w:rFonts w:ascii="Times New Roman" w:eastAsia="Calibri" w:hAnsi="Times New Roman" w:cs="Times New Roman"/>
                <w:color w:val="000000"/>
                <w:sz w:val="20"/>
                <w:szCs w:val="20"/>
              </w:rPr>
              <w:t>.316</w:t>
            </w:r>
          </w:p>
        </w:tc>
        <w:tc>
          <w:tcPr>
            <w:tcW w:w="644" w:type="pct"/>
            <w:tcBorders>
              <w:top w:val="nil"/>
              <w:left w:val="nil"/>
              <w:bottom w:val="nil"/>
              <w:right w:val="nil"/>
            </w:tcBorders>
            <w:shd w:val="clear" w:color="auto" w:fill="FFFFFF"/>
            <w:vAlign w:val="center"/>
          </w:tcPr>
          <w:p w14:paraId="2B75D3B0" w14:textId="77777777" w:rsidR="00B430C7" w:rsidRPr="00B430C7" w:rsidRDefault="00B430C7" w:rsidP="00E83841">
            <w:pPr>
              <w:autoSpaceDE w:val="0"/>
              <w:autoSpaceDN w:val="0"/>
              <w:adjustRightInd w:val="0"/>
              <w:spacing w:after="0" w:line="360" w:lineRule="auto"/>
              <w:jc w:val="both"/>
              <w:rPr>
                <w:rFonts w:ascii="Times New Roman" w:eastAsia="Calibri" w:hAnsi="Times New Roman" w:cs="Times New Roman"/>
                <w:sz w:val="20"/>
                <w:szCs w:val="20"/>
              </w:rPr>
            </w:pPr>
          </w:p>
        </w:tc>
        <w:tc>
          <w:tcPr>
            <w:tcW w:w="295" w:type="pct"/>
            <w:tcBorders>
              <w:top w:val="nil"/>
              <w:left w:val="nil"/>
              <w:bottom w:val="nil"/>
              <w:right w:val="nil"/>
            </w:tcBorders>
            <w:shd w:val="clear" w:color="auto" w:fill="FFFFFF"/>
            <w:vAlign w:val="center"/>
          </w:tcPr>
          <w:p w14:paraId="6246C0DB" w14:textId="77777777" w:rsidR="00B430C7" w:rsidRPr="00B430C7" w:rsidRDefault="00B430C7" w:rsidP="00E83841">
            <w:pPr>
              <w:autoSpaceDE w:val="0"/>
              <w:autoSpaceDN w:val="0"/>
              <w:adjustRightInd w:val="0"/>
              <w:spacing w:after="0" w:line="360" w:lineRule="auto"/>
              <w:ind w:left="60" w:right="60"/>
              <w:jc w:val="right"/>
              <w:rPr>
                <w:rFonts w:ascii="Times New Roman" w:eastAsia="Calibri" w:hAnsi="Times New Roman" w:cs="Times New Roman"/>
                <w:color w:val="000000"/>
                <w:sz w:val="20"/>
                <w:szCs w:val="20"/>
              </w:rPr>
            </w:pPr>
            <w:r w:rsidRPr="00B430C7">
              <w:rPr>
                <w:rFonts w:ascii="Times New Roman" w:eastAsia="Calibri" w:hAnsi="Times New Roman" w:cs="Times New Roman"/>
                <w:color w:val="000000"/>
                <w:sz w:val="20"/>
                <w:szCs w:val="20"/>
              </w:rPr>
              <w:t>3.889</w:t>
            </w:r>
          </w:p>
        </w:tc>
        <w:tc>
          <w:tcPr>
            <w:tcW w:w="245" w:type="pct"/>
            <w:tcBorders>
              <w:top w:val="nil"/>
              <w:left w:val="nil"/>
              <w:bottom w:val="nil"/>
              <w:right w:val="nil"/>
            </w:tcBorders>
            <w:shd w:val="clear" w:color="auto" w:fill="FFFFFF"/>
            <w:vAlign w:val="center"/>
          </w:tcPr>
          <w:p w14:paraId="4F617B0F" w14:textId="77777777" w:rsidR="00B430C7" w:rsidRPr="00B430C7" w:rsidRDefault="00B430C7" w:rsidP="00E83841">
            <w:pPr>
              <w:autoSpaceDE w:val="0"/>
              <w:autoSpaceDN w:val="0"/>
              <w:adjustRightInd w:val="0"/>
              <w:spacing w:after="0" w:line="360" w:lineRule="auto"/>
              <w:ind w:left="60" w:right="60"/>
              <w:jc w:val="right"/>
              <w:rPr>
                <w:rFonts w:ascii="Times New Roman" w:eastAsia="Calibri" w:hAnsi="Times New Roman" w:cs="Times New Roman"/>
                <w:b/>
                <w:color w:val="000000"/>
                <w:sz w:val="20"/>
                <w:szCs w:val="20"/>
              </w:rPr>
            </w:pPr>
            <w:r w:rsidRPr="00B430C7">
              <w:rPr>
                <w:rFonts w:ascii="Times New Roman" w:eastAsia="Calibri" w:hAnsi="Times New Roman" w:cs="Times New Roman"/>
                <w:b/>
                <w:color w:val="000000"/>
                <w:sz w:val="20"/>
                <w:szCs w:val="20"/>
              </w:rPr>
              <w:t>.000</w:t>
            </w:r>
          </w:p>
        </w:tc>
        <w:tc>
          <w:tcPr>
            <w:tcW w:w="355" w:type="pct"/>
            <w:tcBorders>
              <w:top w:val="nil"/>
              <w:left w:val="nil"/>
              <w:bottom w:val="nil"/>
              <w:right w:val="nil"/>
            </w:tcBorders>
            <w:shd w:val="clear" w:color="auto" w:fill="FFFFFF"/>
            <w:vAlign w:val="center"/>
          </w:tcPr>
          <w:p w14:paraId="69BABEB2" w14:textId="77777777" w:rsidR="00B430C7" w:rsidRPr="00B430C7" w:rsidRDefault="00B430C7" w:rsidP="00E83841">
            <w:pPr>
              <w:autoSpaceDE w:val="0"/>
              <w:autoSpaceDN w:val="0"/>
              <w:adjustRightInd w:val="0"/>
              <w:spacing w:after="0" w:line="360" w:lineRule="auto"/>
              <w:ind w:left="60" w:right="60"/>
              <w:jc w:val="right"/>
              <w:rPr>
                <w:rFonts w:ascii="Times New Roman" w:eastAsia="Calibri" w:hAnsi="Times New Roman" w:cs="Times New Roman"/>
                <w:color w:val="000000"/>
                <w:sz w:val="20"/>
                <w:szCs w:val="20"/>
              </w:rPr>
            </w:pPr>
            <w:r w:rsidRPr="00B430C7">
              <w:rPr>
                <w:rFonts w:ascii="Times New Roman" w:eastAsia="Calibri" w:hAnsi="Times New Roman" w:cs="Times New Roman"/>
                <w:color w:val="000000"/>
                <w:sz w:val="20"/>
                <w:szCs w:val="20"/>
              </w:rPr>
              <w:t>.607</w:t>
            </w:r>
          </w:p>
        </w:tc>
        <w:tc>
          <w:tcPr>
            <w:tcW w:w="355" w:type="pct"/>
            <w:tcBorders>
              <w:top w:val="nil"/>
              <w:left w:val="nil"/>
              <w:bottom w:val="nil"/>
              <w:right w:val="nil"/>
            </w:tcBorders>
            <w:shd w:val="clear" w:color="auto" w:fill="FFFFFF"/>
            <w:vAlign w:val="center"/>
          </w:tcPr>
          <w:p w14:paraId="3C32A11C" w14:textId="77777777" w:rsidR="00B430C7" w:rsidRPr="00B430C7" w:rsidRDefault="00B430C7" w:rsidP="00E83841">
            <w:pPr>
              <w:autoSpaceDE w:val="0"/>
              <w:autoSpaceDN w:val="0"/>
              <w:adjustRightInd w:val="0"/>
              <w:spacing w:after="0" w:line="360" w:lineRule="auto"/>
              <w:ind w:left="60" w:right="60"/>
              <w:jc w:val="right"/>
              <w:rPr>
                <w:rFonts w:ascii="Times New Roman" w:eastAsia="Calibri" w:hAnsi="Times New Roman" w:cs="Times New Roman"/>
                <w:color w:val="000000"/>
                <w:sz w:val="20"/>
                <w:szCs w:val="20"/>
              </w:rPr>
            </w:pPr>
            <w:r w:rsidRPr="00B430C7">
              <w:rPr>
                <w:rFonts w:ascii="Times New Roman" w:eastAsia="Calibri" w:hAnsi="Times New Roman" w:cs="Times New Roman"/>
                <w:color w:val="000000"/>
                <w:sz w:val="20"/>
                <w:szCs w:val="20"/>
              </w:rPr>
              <w:t>1.852</w:t>
            </w:r>
          </w:p>
        </w:tc>
        <w:tc>
          <w:tcPr>
            <w:tcW w:w="309" w:type="pct"/>
            <w:tcBorders>
              <w:top w:val="nil"/>
              <w:left w:val="nil"/>
              <w:bottom w:val="nil"/>
              <w:right w:val="nil"/>
            </w:tcBorders>
            <w:shd w:val="clear" w:color="auto" w:fill="FFFFFF"/>
            <w:vAlign w:val="center"/>
          </w:tcPr>
          <w:p w14:paraId="7D5B7EF8" w14:textId="77777777" w:rsidR="00B430C7" w:rsidRPr="00B430C7" w:rsidRDefault="00B430C7" w:rsidP="00E83841">
            <w:pPr>
              <w:autoSpaceDE w:val="0"/>
              <w:autoSpaceDN w:val="0"/>
              <w:adjustRightInd w:val="0"/>
              <w:spacing w:after="0" w:line="360" w:lineRule="auto"/>
              <w:jc w:val="both"/>
              <w:rPr>
                <w:rFonts w:ascii="Times New Roman" w:eastAsia="Calibri" w:hAnsi="Times New Roman" w:cs="Times New Roman"/>
                <w:sz w:val="20"/>
                <w:szCs w:val="20"/>
              </w:rPr>
            </w:pPr>
          </w:p>
        </w:tc>
        <w:tc>
          <w:tcPr>
            <w:tcW w:w="365" w:type="pct"/>
            <w:tcBorders>
              <w:top w:val="nil"/>
              <w:left w:val="nil"/>
              <w:bottom w:val="nil"/>
              <w:right w:val="nil"/>
            </w:tcBorders>
            <w:shd w:val="clear" w:color="auto" w:fill="FFFFFF"/>
            <w:vAlign w:val="center"/>
          </w:tcPr>
          <w:p w14:paraId="3A22DB18" w14:textId="77777777" w:rsidR="00B430C7" w:rsidRPr="00B430C7" w:rsidRDefault="00B430C7" w:rsidP="00E83841">
            <w:pPr>
              <w:autoSpaceDE w:val="0"/>
              <w:autoSpaceDN w:val="0"/>
              <w:adjustRightInd w:val="0"/>
              <w:spacing w:after="0" w:line="360" w:lineRule="auto"/>
              <w:jc w:val="both"/>
              <w:rPr>
                <w:rFonts w:ascii="Times New Roman" w:eastAsia="Calibri" w:hAnsi="Times New Roman" w:cs="Times New Roman"/>
                <w:sz w:val="20"/>
                <w:szCs w:val="20"/>
              </w:rPr>
            </w:pPr>
          </w:p>
        </w:tc>
        <w:tc>
          <w:tcPr>
            <w:tcW w:w="260" w:type="pct"/>
            <w:tcBorders>
              <w:top w:val="nil"/>
              <w:left w:val="nil"/>
              <w:bottom w:val="nil"/>
              <w:right w:val="nil"/>
            </w:tcBorders>
            <w:shd w:val="clear" w:color="auto" w:fill="FFFFFF"/>
            <w:vAlign w:val="center"/>
          </w:tcPr>
          <w:p w14:paraId="663BE9E1" w14:textId="77777777" w:rsidR="00B430C7" w:rsidRPr="00B430C7" w:rsidRDefault="00B430C7" w:rsidP="00E83841">
            <w:pPr>
              <w:autoSpaceDE w:val="0"/>
              <w:autoSpaceDN w:val="0"/>
              <w:adjustRightInd w:val="0"/>
              <w:spacing w:after="0" w:line="360" w:lineRule="auto"/>
              <w:jc w:val="both"/>
              <w:rPr>
                <w:rFonts w:ascii="Times New Roman" w:eastAsia="Calibri" w:hAnsi="Times New Roman" w:cs="Times New Roman"/>
                <w:sz w:val="20"/>
                <w:szCs w:val="20"/>
              </w:rPr>
            </w:pPr>
          </w:p>
        </w:tc>
        <w:tc>
          <w:tcPr>
            <w:tcW w:w="499" w:type="pct"/>
            <w:tcBorders>
              <w:top w:val="nil"/>
              <w:left w:val="nil"/>
              <w:bottom w:val="nil"/>
              <w:right w:val="nil"/>
            </w:tcBorders>
            <w:shd w:val="clear" w:color="auto" w:fill="FFFFFF"/>
            <w:vAlign w:val="center"/>
          </w:tcPr>
          <w:p w14:paraId="2388457D" w14:textId="77777777" w:rsidR="00B430C7" w:rsidRPr="00B430C7" w:rsidRDefault="00B430C7" w:rsidP="00E83841">
            <w:pPr>
              <w:autoSpaceDE w:val="0"/>
              <w:autoSpaceDN w:val="0"/>
              <w:adjustRightInd w:val="0"/>
              <w:spacing w:after="0" w:line="360" w:lineRule="auto"/>
              <w:jc w:val="both"/>
              <w:rPr>
                <w:rFonts w:ascii="Times New Roman" w:eastAsia="Calibri" w:hAnsi="Times New Roman" w:cs="Times New Roman"/>
                <w:sz w:val="20"/>
                <w:szCs w:val="20"/>
              </w:rPr>
            </w:pPr>
          </w:p>
        </w:tc>
        <w:tc>
          <w:tcPr>
            <w:tcW w:w="300" w:type="pct"/>
            <w:tcBorders>
              <w:top w:val="nil"/>
              <w:left w:val="nil"/>
              <w:bottom w:val="nil"/>
              <w:right w:val="nil"/>
            </w:tcBorders>
            <w:shd w:val="clear" w:color="auto" w:fill="FFFFFF"/>
            <w:vAlign w:val="center"/>
          </w:tcPr>
          <w:p w14:paraId="3DDEA3B4" w14:textId="77777777" w:rsidR="00B430C7" w:rsidRPr="00B430C7" w:rsidRDefault="00B430C7" w:rsidP="00E83841">
            <w:pPr>
              <w:autoSpaceDE w:val="0"/>
              <w:autoSpaceDN w:val="0"/>
              <w:adjustRightInd w:val="0"/>
              <w:spacing w:after="0" w:line="360" w:lineRule="auto"/>
              <w:jc w:val="both"/>
              <w:rPr>
                <w:rFonts w:ascii="Times New Roman" w:eastAsia="Calibri" w:hAnsi="Times New Roman" w:cs="Times New Roman"/>
                <w:sz w:val="20"/>
                <w:szCs w:val="20"/>
              </w:rPr>
            </w:pPr>
          </w:p>
        </w:tc>
      </w:tr>
      <w:tr w:rsidR="00B430C7" w:rsidRPr="00B430C7" w14:paraId="2A0DD08D" w14:textId="77777777" w:rsidTr="0030114C">
        <w:trPr>
          <w:cantSplit/>
        </w:trPr>
        <w:tc>
          <w:tcPr>
            <w:tcW w:w="120" w:type="pct"/>
            <w:vMerge/>
            <w:tcBorders>
              <w:top w:val="nil"/>
              <w:left w:val="nil"/>
              <w:bottom w:val="nil"/>
              <w:right w:val="nil"/>
            </w:tcBorders>
            <w:shd w:val="clear" w:color="auto" w:fill="FFFFFF"/>
          </w:tcPr>
          <w:p w14:paraId="6EC844D7" w14:textId="77777777" w:rsidR="00B430C7" w:rsidRPr="00B430C7" w:rsidRDefault="00B430C7" w:rsidP="00E83841">
            <w:pPr>
              <w:autoSpaceDE w:val="0"/>
              <w:autoSpaceDN w:val="0"/>
              <w:adjustRightInd w:val="0"/>
              <w:spacing w:after="0" w:line="360" w:lineRule="auto"/>
              <w:jc w:val="both"/>
              <w:rPr>
                <w:rFonts w:ascii="Times New Roman" w:eastAsia="Calibri" w:hAnsi="Times New Roman" w:cs="Times New Roman"/>
                <w:color w:val="000000"/>
                <w:sz w:val="20"/>
                <w:szCs w:val="20"/>
              </w:rPr>
            </w:pPr>
          </w:p>
        </w:tc>
        <w:tc>
          <w:tcPr>
            <w:tcW w:w="493" w:type="pct"/>
            <w:tcBorders>
              <w:top w:val="nil"/>
              <w:left w:val="nil"/>
              <w:bottom w:val="single" w:sz="4" w:space="0" w:color="auto"/>
              <w:right w:val="nil"/>
            </w:tcBorders>
            <w:shd w:val="clear" w:color="auto" w:fill="FFFFFF"/>
          </w:tcPr>
          <w:p w14:paraId="1405D3F6" w14:textId="77777777" w:rsidR="00B430C7" w:rsidRPr="00B430C7" w:rsidRDefault="00B430C7" w:rsidP="00E83841">
            <w:pPr>
              <w:autoSpaceDE w:val="0"/>
              <w:autoSpaceDN w:val="0"/>
              <w:adjustRightInd w:val="0"/>
              <w:spacing w:after="0" w:line="360" w:lineRule="auto"/>
              <w:ind w:left="60" w:right="60"/>
              <w:jc w:val="both"/>
              <w:rPr>
                <w:rFonts w:ascii="Times New Roman" w:eastAsia="Calibri" w:hAnsi="Times New Roman" w:cs="Times New Roman"/>
                <w:color w:val="000000"/>
                <w:sz w:val="20"/>
                <w:szCs w:val="20"/>
              </w:rPr>
            </w:pPr>
            <w:r w:rsidRPr="00B430C7">
              <w:rPr>
                <w:rFonts w:ascii="Times New Roman" w:eastAsia="Calibri" w:hAnsi="Times New Roman" w:cs="Times New Roman"/>
                <w:color w:val="000000"/>
                <w:sz w:val="20"/>
                <w:szCs w:val="20"/>
              </w:rPr>
              <w:t xml:space="preserve">Gender Equity </w:t>
            </w:r>
          </w:p>
        </w:tc>
        <w:tc>
          <w:tcPr>
            <w:tcW w:w="379" w:type="pct"/>
            <w:tcBorders>
              <w:top w:val="nil"/>
              <w:left w:val="nil"/>
              <w:bottom w:val="single" w:sz="4" w:space="0" w:color="auto"/>
              <w:right w:val="nil"/>
            </w:tcBorders>
            <w:shd w:val="clear" w:color="auto" w:fill="FFFFFF"/>
            <w:vAlign w:val="center"/>
          </w:tcPr>
          <w:p w14:paraId="3EA12E8D" w14:textId="77777777" w:rsidR="00B430C7" w:rsidRPr="00B430C7" w:rsidRDefault="00B430C7" w:rsidP="00E83841">
            <w:pPr>
              <w:autoSpaceDE w:val="0"/>
              <w:autoSpaceDN w:val="0"/>
              <w:adjustRightInd w:val="0"/>
              <w:spacing w:after="0" w:line="360" w:lineRule="auto"/>
              <w:ind w:left="60" w:right="60"/>
              <w:jc w:val="right"/>
              <w:rPr>
                <w:rFonts w:ascii="Times New Roman" w:eastAsia="Calibri" w:hAnsi="Times New Roman" w:cs="Times New Roman"/>
                <w:color w:val="000000"/>
                <w:sz w:val="20"/>
                <w:szCs w:val="20"/>
              </w:rPr>
            </w:pPr>
            <w:r w:rsidRPr="00B430C7">
              <w:rPr>
                <w:rFonts w:ascii="Times New Roman" w:eastAsia="Calibri" w:hAnsi="Times New Roman" w:cs="Times New Roman"/>
                <w:color w:val="000000"/>
                <w:sz w:val="20"/>
                <w:szCs w:val="20"/>
              </w:rPr>
              <w:t>.292</w:t>
            </w:r>
          </w:p>
        </w:tc>
        <w:tc>
          <w:tcPr>
            <w:tcW w:w="381" w:type="pct"/>
            <w:tcBorders>
              <w:top w:val="nil"/>
              <w:left w:val="nil"/>
              <w:bottom w:val="single" w:sz="4" w:space="0" w:color="auto"/>
              <w:right w:val="nil"/>
            </w:tcBorders>
            <w:shd w:val="clear" w:color="auto" w:fill="FFFFFF"/>
            <w:vAlign w:val="center"/>
          </w:tcPr>
          <w:p w14:paraId="4883BB2D" w14:textId="77777777" w:rsidR="00B430C7" w:rsidRPr="00B430C7" w:rsidRDefault="00B430C7" w:rsidP="00E83841">
            <w:pPr>
              <w:autoSpaceDE w:val="0"/>
              <w:autoSpaceDN w:val="0"/>
              <w:adjustRightInd w:val="0"/>
              <w:spacing w:after="0" w:line="360" w:lineRule="auto"/>
              <w:ind w:left="60" w:right="60"/>
              <w:jc w:val="right"/>
              <w:rPr>
                <w:rFonts w:ascii="Times New Roman" w:eastAsia="Calibri" w:hAnsi="Times New Roman" w:cs="Times New Roman"/>
                <w:color w:val="000000"/>
                <w:sz w:val="20"/>
                <w:szCs w:val="20"/>
              </w:rPr>
            </w:pPr>
            <w:r w:rsidRPr="00B430C7">
              <w:rPr>
                <w:rFonts w:ascii="Times New Roman" w:eastAsia="Calibri" w:hAnsi="Times New Roman" w:cs="Times New Roman"/>
                <w:color w:val="000000"/>
                <w:sz w:val="20"/>
                <w:szCs w:val="20"/>
              </w:rPr>
              <w:t>.070</w:t>
            </w:r>
          </w:p>
        </w:tc>
        <w:tc>
          <w:tcPr>
            <w:tcW w:w="644" w:type="pct"/>
            <w:tcBorders>
              <w:top w:val="nil"/>
              <w:left w:val="nil"/>
              <w:bottom w:val="single" w:sz="4" w:space="0" w:color="auto"/>
              <w:right w:val="nil"/>
            </w:tcBorders>
            <w:shd w:val="clear" w:color="auto" w:fill="FFFFFF"/>
            <w:vAlign w:val="center"/>
          </w:tcPr>
          <w:p w14:paraId="00B09308" w14:textId="77777777" w:rsidR="00B430C7" w:rsidRPr="00B430C7" w:rsidRDefault="00B430C7" w:rsidP="00E83841">
            <w:pPr>
              <w:autoSpaceDE w:val="0"/>
              <w:autoSpaceDN w:val="0"/>
              <w:adjustRightInd w:val="0"/>
              <w:spacing w:after="0" w:line="360" w:lineRule="auto"/>
              <w:ind w:left="60" w:right="60"/>
              <w:jc w:val="right"/>
              <w:rPr>
                <w:rFonts w:ascii="Times New Roman" w:eastAsia="Calibri" w:hAnsi="Times New Roman" w:cs="Times New Roman"/>
                <w:color w:val="000000"/>
                <w:sz w:val="20"/>
                <w:szCs w:val="20"/>
              </w:rPr>
            </w:pPr>
            <w:r w:rsidRPr="00B430C7">
              <w:rPr>
                <w:rFonts w:ascii="Times New Roman" w:eastAsia="Calibri" w:hAnsi="Times New Roman" w:cs="Times New Roman"/>
                <w:color w:val="000000"/>
                <w:sz w:val="20"/>
                <w:szCs w:val="20"/>
              </w:rPr>
              <w:t>.256</w:t>
            </w:r>
          </w:p>
        </w:tc>
        <w:tc>
          <w:tcPr>
            <w:tcW w:w="295" w:type="pct"/>
            <w:tcBorders>
              <w:top w:val="nil"/>
              <w:left w:val="nil"/>
              <w:bottom w:val="single" w:sz="4" w:space="0" w:color="auto"/>
              <w:right w:val="nil"/>
            </w:tcBorders>
            <w:shd w:val="clear" w:color="auto" w:fill="FFFFFF"/>
            <w:vAlign w:val="center"/>
          </w:tcPr>
          <w:p w14:paraId="110539AE" w14:textId="77777777" w:rsidR="00B430C7" w:rsidRPr="00B430C7" w:rsidRDefault="00B430C7" w:rsidP="00E83841">
            <w:pPr>
              <w:autoSpaceDE w:val="0"/>
              <w:autoSpaceDN w:val="0"/>
              <w:adjustRightInd w:val="0"/>
              <w:spacing w:after="0" w:line="360" w:lineRule="auto"/>
              <w:ind w:left="60" w:right="60"/>
              <w:jc w:val="right"/>
              <w:rPr>
                <w:rFonts w:ascii="Times New Roman" w:eastAsia="Calibri" w:hAnsi="Times New Roman" w:cs="Times New Roman"/>
                <w:color w:val="000000"/>
                <w:sz w:val="20"/>
                <w:szCs w:val="20"/>
              </w:rPr>
            </w:pPr>
            <w:r w:rsidRPr="00B430C7">
              <w:rPr>
                <w:rFonts w:ascii="Times New Roman" w:eastAsia="Calibri" w:hAnsi="Times New Roman" w:cs="Times New Roman"/>
                <w:color w:val="000000"/>
                <w:sz w:val="20"/>
                <w:szCs w:val="20"/>
              </w:rPr>
              <w:t>4.153</w:t>
            </w:r>
          </w:p>
        </w:tc>
        <w:tc>
          <w:tcPr>
            <w:tcW w:w="245" w:type="pct"/>
            <w:tcBorders>
              <w:top w:val="nil"/>
              <w:left w:val="nil"/>
              <w:bottom w:val="single" w:sz="4" w:space="0" w:color="auto"/>
              <w:right w:val="nil"/>
            </w:tcBorders>
            <w:shd w:val="clear" w:color="auto" w:fill="FFFFFF"/>
            <w:vAlign w:val="center"/>
          </w:tcPr>
          <w:p w14:paraId="10827C4A" w14:textId="77777777" w:rsidR="00B430C7" w:rsidRPr="00B430C7" w:rsidRDefault="00B430C7" w:rsidP="00E83841">
            <w:pPr>
              <w:autoSpaceDE w:val="0"/>
              <w:autoSpaceDN w:val="0"/>
              <w:adjustRightInd w:val="0"/>
              <w:spacing w:after="0" w:line="360" w:lineRule="auto"/>
              <w:ind w:left="60" w:right="60"/>
              <w:jc w:val="right"/>
              <w:rPr>
                <w:rFonts w:ascii="Times New Roman" w:eastAsia="Calibri" w:hAnsi="Times New Roman" w:cs="Times New Roman"/>
                <w:b/>
                <w:color w:val="000000"/>
                <w:sz w:val="20"/>
                <w:szCs w:val="20"/>
              </w:rPr>
            </w:pPr>
            <w:r w:rsidRPr="00B430C7">
              <w:rPr>
                <w:rFonts w:ascii="Times New Roman" w:eastAsia="Calibri" w:hAnsi="Times New Roman" w:cs="Times New Roman"/>
                <w:b/>
                <w:color w:val="000000"/>
                <w:sz w:val="20"/>
                <w:szCs w:val="20"/>
              </w:rPr>
              <w:t>.000</w:t>
            </w:r>
          </w:p>
        </w:tc>
        <w:tc>
          <w:tcPr>
            <w:tcW w:w="355" w:type="pct"/>
            <w:tcBorders>
              <w:top w:val="nil"/>
              <w:left w:val="nil"/>
              <w:bottom w:val="single" w:sz="4" w:space="0" w:color="auto"/>
              <w:right w:val="nil"/>
            </w:tcBorders>
            <w:shd w:val="clear" w:color="auto" w:fill="FFFFFF"/>
            <w:vAlign w:val="center"/>
          </w:tcPr>
          <w:p w14:paraId="78E6EB13" w14:textId="77777777" w:rsidR="00B430C7" w:rsidRPr="00B430C7" w:rsidRDefault="00B430C7" w:rsidP="00E83841">
            <w:pPr>
              <w:autoSpaceDE w:val="0"/>
              <w:autoSpaceDN w:val="0"/>
              <w:adjustRightInd w:val="0"/>
              <w:spacing w:after="0" w:line="360" w:lineRule="auto"/>
              <w:ind w:left="60" w:right="60"/>
              <w:jc w:val="right"/>
              <w:rPr>
                <w:rFonts w:ascii="Times New Roman" w:eastAsia="Calibri" w:hAnsi="Times New Roman" w:cs="Times New Roman"/>
                <w:color w:val="000000"/>
                <w:sz w:val="20"/>
                <w:szCs w:val="20"/>
              </w:rPr>
            </w:pPr>
            <w:r w:rsidRPr="00B430C7">
              <w:rPr>
                <w:rFonts w:ascii="Times New Roman" w:eastAsia="Calibri" w:hAnsi="Times New Roman" w:cs="Times New Roman"/>
                <w:color w:val="000000"/>
                <w:sz w:val="20"/>
                <w:szCs w:val="20"/>
              </w:rPr>
              <w:t>.153</w:t>
            </w:r>
          </w:p>
        </w:tc>
        <w:tc>
          <w:tcPr>
            <w:tcW w:w="355" w:type="pct"/>
            <w:tcBorders>
              <w:top w:val="nil"/>
              <w:left w:val="nil"/>
              <w:bottom w:val="single" w:sz="4" w:space="0" w:color="auto"/>
              <w:right w:val="nil"/>
            </w:tcBorders>
            <w:shd w:val="clear" w:color="auto" w:fill="FFFFFF"/>
            <w:vAlign w:val="center"/>
          </w:tcPr>
          <w:p w14:paraId="4DD52556" w14:textId="77777777" w:rsidR="00B430C7" w:rsidRPr="00B430C7" w:rsidRDefault="00B430C7" w:rsidP="00E83841">
            <w:pPr>
              <w:autoSpaceDE w:val="0"/>
              <w:autoSpaceDN w:val="0"/>
              <w:adjustRightInd w:val="0"/>
              <w:spacing w:after="0" w:line="360" w:lineRule="auto"/>
              <w:ind w:left="60" w:right="60"/>
              <w:jc w:val="right"/>
              <w:rPr>
                <w:rFonts w:ascii="Times New Roman" w:eastAsia="Calibri" w:hAnsi="Times New Roman" w:cs="Times New Roman"/>
                <w:color w:val="000000"/>
                <w:sz w:val="20"/>
                <w:szCs w:val="20"/>
              </w:rPr>
            </w:pPr>
            <w:r w:rsidRPr="00B430C7">
              <w:rPr>
                <w:rFonts w:ascii="Times New Roman" w:eastAsia="Calibri" w:hAnsi="Times New Roman" w:cs="Times New Roman"/>
                <w:color w:val="000000"/>
                <w:sz w:val="20"/>
                <w:szCs w:val="20"/>
              </w:rPr>
              <w:t>.430</w:t>
            </w:r>
          </w:p>
        </w:tc>
        <w:tc>
          <w:tcPr>
            <w:tcW w:w="309" w:type="pct"/>
            <w:tcBorders>
              <w:top w:val="nil"/>
              <w:left w:val="nil"/>
              <w:bottom w:val="single" w:sz="4" w:space="0" w:color="auto"/>
              <w:right w:val="nil"/>
            </w:tcBorders>
            <w:shd w:val="clear" w:color="auto" w:fill="FFFFFF"/>
            <w:vAlign w:val="center"/>
          </w:tcPr>
          <w:p w14:paraId="050625FE" w14:textId="77777777" w:rsidR="00B430C7" w:rsidRPr="00B430C7" w:rsidRDefault="00B430C7" w:rsidP="00E83841">
            <w:pPr>
              <w:autoSpaceDE w:val="0"/>
              <w:autoSpaceDN w:val="0"/>
              <w:adjustRightInd w:val="0"/>
              <w:spacing w:after="0" w:line="360" w:lineRule="auto"/>
              <w:ind w:left="60" w:right="60"/>
              <w:jc w:val="right"/>
              <w:rPr>
                <w:rFonts w:ascii="Times New Roman" w:eastAsia="Calibri" w:hAnsi="Times New Roman" w:cs="Times New Roman"/>
                <w:color w:val="000000"/>
                <w:sz w:val="20"/>
                <w:szCs w:val="20"/>
              </w:rPr>
            </w:pPr>
            <w:r w:rsidRPr="00B430C7">
              <w:rPr>
                <w:rFonts w:ascii="Times New Roman" w:eastAsia="Calibri" w:hAnsi="Times New Roman" w:cs="Times New Roman"/>
                <w:color w:val="000000"/>
                <w:sz w:val="20"/>
                <w:szCs w:val="20"/>
              </w:rPr>
              <w:t>.387</w:t>
            </w:r>
          </w:p>
        </w:tc>
        <w:tc>
          <w:tcPr>
            <w:tcW w:w="365" w:type="pct"/>
            <w:tcBorders>
              <w:top w:val="nil"/>
              <w:left w:val="nil"/>
              <w:bottom w:val="single" w:sz="4" w:space="0" w:color="auto"/>
              <w:right w:val="nil"/>
            </w:tcBorders>
            <w:shd w:val="clear" w:color="auto" w:fill="FFFFFF"/>
            <w:vAlign w:val="center"/>
          </w:tcPr>
          <w:p w14:paraId="57EC3B44" w14:textId="77777777" w:rsidR="00B430C7" w:rsidRPr="00B430C7" w:rsidRDefault="00B430C7" w:rsidP="00E83841">
            <w:pPr>
              <w:autoSpaceDE w:val="0"/>
              <w:autoSpaceDN w:val="0"/>
              <w:adjustRightInd w:val="0"/>
              <w:spacing w:after="0" w:line="360" w:lineRule="auto"/>
              <w:ind w:left="60" w:right="60"/>
              <w:jc w:val="right"/>
              <w:rPr>
                <w:rFonts w:ascii="Times New Roman" w:eastAsia="Calibri" w:hAnsi="Times New Roman" w:cs="Times New Roman"/>
                <w:color w:val="000000"/>
                <w:sz w:val="20"/>
                <w:szCs w:val="20"/>
              </w:rPr>
            </w:pPr>
            <w:r w:rsidRPr="00B430C7">
              <w:rPr>
                <w:rFonts w:ascii="Times New Roman" w:eastAsia="Calibri" w:hAnsi="Times New Roman" w:cs="Times New Roman"/>
                <w:color w:val="000000"/>
                <w:sz w:val="20"/>
                <w:szCs w:val="20"/>
              </w:rPr>
              <w:t>.251</w:t>
            </w:r>
          </w:p>
        </w:tc>
        <w:tc>
          <w:tcPr>
            <w:tcW w:w="260" w:type="pct"/>
            <w:tcBorders>
              <w:top w:val="nil"/>
              <w:left w:val="nil"/>
              <w:bottom w:val="single" w:sz="4" w:space="0" w:color="auto"/>
              <w:right w:val="nil"/>
            </w:tcBorders>
            <w:shd w:val="clear" w:color="auto" w:fill="FFFFFF"/>
            <w:vAlign w:val="center"/>
          </w:tcPr>
          <w:p w14:paraId="1CAA902C" w14:textId="77777777" w:rsidR="00B430C7" w:rsidRPr="00B430C7" w:rsidRDefault="00B430C7" w:rsidP="00E83841">
            <w:pPr>
              <w:autoSpaceDE w:val="0"/>
              <w:autoSpaceDN w:val="0"/>
              <w:adjustRightInd w:val="0"/>
              <w:spacing w:after="0" w:line="360" w:lineRule="auto"/>
              <w:ind w:left="60" w:right="60"/>
              <w:jc w:val="right"/>
              <w:rPr>
                <w:rFonts w:ascii="Times New Roman" w:eastAsia="Calibri" w:hAnsi="Times New Roman" w:cs="Times New Roman"/>
                <w:color w:val="000000"/>
                <w:sz w:val="20"/>
                <w:szCs w:val="20"/>
              </w:rPr>
            </w:pPr>
            <w:r w:rsidRPr="00B430C7">
              <w:rPr>
                <w:rFonts w:ascii="Times New Roman" w:eastAsia="Calibri" w:hAnsi="Times New Roman" w:cs="Times New Roman"/>
                <w:color w:val="000000"/>
                <w:sz w:val="20"/>
                <w:szCs w:val="20"/>
              </w:rPr>
              <w:t>.229</w:t>
            </w:r>
          </w:p>
        </w:tc>
        <w:tc>
          <w:tcPr>
            <w:tcW w:w="499" w:type="pct"/>
            <w:tcBorders>
              <w:top w:val="nil"/>
              <w:left w:val="nil"/>
              <w:bottom w:val="single" w:sz="4" w:space="0" w:color="auto"/>
              <w:right w:val="nil"/>
            </w:tcBorders>
            <w:shd w:val="clear" w:color="auto" w:fill="FFFFFF"/>
            <w:vAlign w:val="center"/>
          </w:tcPr>
          <w:p w14:paraId="5669B41C" w14:textId="77777777" w:rsidR="00B430C7" w:rsidRPr="00B430C7" w:rsidRDefault="00B430C7" w:rsidP="00E83841">
            <w:pPr>
              <w:autoSpaceDE w:val="0"/>
              <w:autoSpaceDN w:val="0"/>
              <w:adjustRightInd w:val="0"/>
              <w:spacing w:after="0" w:line="360" w:lineRule="auto"/>
              <w:ind w:left="60" w:right="60"/>
              <w:jc w:val="right"/>
              <w:rPr>
                <w:rFonts w:ascii="Times New Roman" w:eastAsia="Calibri" w:hAnsi="Times New Roman" w:cs="Times New Roman"/>
                <w:color w:val="000000"/>
                <w:sz w:val="20"/>
                <w:szCs w:val="20"/>
              </w:rPr>
            </w:pPr>
            <w:r w:rsidRPr="00B430C7">
              <w:rPr>
                <w:rFonts w:ascii="Times New Roman" w:eastAsia="Calibri" w:hAnsi="Times New Roman" w:cs="Times New Roman"/>
                <w:color w:val="000000"/>
                <w:sz w:val="20"/>
                <w:szCs w:val="20"/>
              </w:rPr>
              <w:t>.800</w:t>
            </w:r>
          </w:p>
        </w:tc>
        <w:tc>
          <w:tcPr>
            <w:tcW w:w="300" w:type="pct"/>
            <w:tcBorders>
              <w:top w:val="nil"/>
              <w:left w:val="nil"/>
              <w:bottom w:val="single" w:sz="4" w:space="0" w:color="auto"/>
              <w:right w:val="nil"/>
            </w:tcBorders>
            <w:shd w:val="clear" w:color="auto" w:fill="FFFFFF"/>
            <w:vAlign w:val="center"/>
          </w:tcPr>
          <w:p w14:paraId="302F84FE" w14:textId="77777777" w:rsidR="00B430C7" w:rsidRPr="00B430C7" w:rsidRDefault="00B430C7" w:rsidP="00E83841">
            <w:pPr>
              <w:autoSpaceDE w:val="0"/>
              <w:autoSpaceDN w:val="0"/>
              <w:adjustRightInd w:val="0"/>
              <w:spacing w:after="0" w:line="360" w:lineRule="auto"/>
              <w:ind w:left="60" w:right="60"/>
              <w:jc w:val="right"/>
              <w:rPr>
                <w:rFonts w:ascii="Times New Roman" w:eastAsia="Calibri" w:hAnsi="Times New Roman" w:cs="Times New Roman"/>
                <w:color w:val="000000"/>
                <w:sz w:val="20"/>
                <w:szCs w:val="20"/>
              </w:rPr>
            </w:pPr>
            <w:r w:rsidRPr="00B430C7">
              <w:rPr>
                <w:rFonts w:ascii="Times New Roman" w:eastAsia="Calibri" w:hAnsi="Times New Roman" w:cs="Times New Roman"/>
                <w:color w:val="000000"/>
                <w:sz w:val="20"/>
                <w:szCs w:val="20"/>
              </w:rPr>
              <w:t>1.250</w:t>
            </w:r>
          </w:p>
        </w:tc>
      </w:tr>
      <w:bookmarkEnd w:id="8"/>
      <w:tr w:rsidR="00B430C7" w:rsidRPr="00B430C7" w14:paraId="688D7C6E" w14:textId="77777777" w:rsidTr="0030114C">
        <w:trPr>
          <w:cantSplit/>
        </w:trPr>
        <w:tc>
          <w:tcPr>
            <w:tcW w:w="5000" w:type="pct"/>
            <w:gridSpan w:val="14"/>
            <w:tcBorders>
              <w:top w:val="nil"/>
              <w:left w:val="nil"/>
              <w:bottom w:val="nil"/>
              <w:right w:val="nil"/>
            </w:tcBorders>
            <w:shd w:val="clear" w:color="auto" w:fill="FFFFFF"/>
          </w:tcPr>
          <w:p w14:paraId="6F06879D" w14:textId="77777777" w:rsidR="00B430C7" w:rsidRPr="00B430C7" w:rsidRDefault="00B430C7" w:rsidP="00E83841">
            <w:pPr>
              <w:autoSpaceDE w:val="0"/>
              <w:autoSpaceDN w:val="0"/>
              <w:adjustRightInd w:val="0"/>
              <w:spacing w:after="0" w:line="360" w:lineRule="auto"/>
              <w:ind w:left="60" w:right="60"/>
              <w:jc w:val="both"/>
              <w:rPr>
                <w:rFonts w:ascii="Times New Roman" w:eastAsia="Calibri" w:hAnsi="Times New Roman" w:cs="Times New Roman"/>
                <w:color w:val="000000"/>
                <w:sz w:val="24"/>
                <w:szCs w:val="24"/>
              </w:rPr>
            </w:pPr>
            <w:r w:rsidRPr="00B430C7">
              <w:rPr>
                <w:rFonts w:ascii="Times New Roman" w:eastAsia="Calibri" w:hAnsi="Times New Roman" w:cs="Times New Roman"/>
                <w:color w:val="000000"/>
                <w:sz w:val="24"/>
                <w:szCs w:val="24"/>
              </w:rPr>
              <w:t xml:space="preserve">a. </w:t>
            </w:r>
            <w:r w:rsidRPr="00F45A40">
              <w:rPr>
                <w:rFonts w:ascii="Times New Roman" w:eastAsia="Calibri" w:hAnsi="Times New Roman" w:cs="Times New Roman"/>
                <w:b/>
                <w:color w:val="000000"/>
                <w:sz w:val="24"/>
                <w:szCs w:val="24"/>
              </w:rPr>
              <w:t>Dependent Variable</w:t>
            </w:r>
            <w:r>
              <w:rPr>
                <w:rFonts w:ascii="Times New Roman" w:eastAsia="Calibri" w:hAnsi="Times New Roman" w:cs="Times New Roman"/>
                <w:color w:val="000000"/>
                <w:sz w:val="24"/>
                <w:szCs w:val="24"/>
              </w:rPr>
              <w:t xml:space="preserve">: </w:t>
            </w:r>
            <w:r w:rsidR="00544C08">
              <w:rPr>
                <w:rFonts w:ascii="Times New Roman" w:eastAsia="Calibri" w:hAnsi="Times New Roman" w:cs="Times New Roman"/>
                <w:color w:val="000000"/>
                <w:sz w:val="24"/>
                <w:szCs w:val="24"/>
              </w:rPr>
              <w:t>Girls'</w:t>
            </w:r>
            <w:r>
              <w:rPr>
                <w:rFonts w:ascii="Times New Roman" w:eastAsia="Calibri" w:hAnsi="Times New Roman" w:cs="Times New Roman"/>
                <w:color w:val="000000"/>
                <w:sz w:val="24"/>
                <w:szCs w:val="24"/>
              </w:rPr>
              <w:t xml:space="preserve"> Completion Rate</w:t>
            </w:r>
            <w:r w:rsidR="00544C08">
              <w:rPr>
                <w:rFonts w:ascii="Times New Roman" w:eastAsia="Calibri" w:hAnsi="Times New Roman" w:cs="Times New Roman"/>
                <w:color w:val="000000"/>
                <w:sz w:val="24"/>
                <w:szCs w:val="24"/>
              </w:rPr>
              <w:t>s</w:t>
            </w:r>
          </w:p>
        </w:tc>
      </w:tr>
    </w:tbl>
    <w:p w14:paraId="16EB8578" w14:textId="77777777" w:rsidR="00E83841" w:rsidRDefault="00E83841" w:rsidP="00E83841">
      <w:pPr>
        <w:spacing w:line="360" w:lineRule="auto"/>
        <w:jc w:val="both"/>
        <w:rPr>
          <w:rFonts w:ascii="Times New Roman" w:hAnsi="Times New Roman" w:cs="Times New Roman"/>
          <w:sz w:val="24"/>
          <w:szCs w:val="24"/>
        </w:rPr>
        <w:sectPr w:rsidR="00E83841" w:rsidSect="00841AC1">
          <w:type w:val="continuous"/>
          <w:pgSz w:w="12240" w:h="15840"/>
          <w:pgMar w:top="1440" w:right="1440" w:bottom="1440" w:left="1440" w:header="720" w:footer="720" w:gutter="0"/>
          <w:cols w:space="720"/>
          <w:docGrid w:linePitch="360"/>
        </w:sectPr>
      </w:pPr>
    </w:p>
    <w:p w14:paraId="646C0995" w14:textId="77777777" w:rsidR="0088632C" w:rsidRPr="0088632C" w:rsidRDefault="0088632C" w:rsidP="00E83841">
      <w:pPr>
        <w:spacing w:line="360" w:lineRule="auto"/>
        <w:jc w:val="both"/>
        <w:rPr>
          <w:rFonts w:ascii="Times New Roman" w:hAnsi="Times New Roman" w:cs="Times New Roman"/>
          <w:sz w:val="24"/>
          <w:szCs w:val="24"/>
        </w:rPr>
      </w:pPr>
      <w:r w:rsidRPr="0088632C">
        <w:rPr>
          <w:rFonts w:ascii="Times New Roman" w:hAnsi="Times New Roman" w:cs="Times New Roman"/>
          <w:sz w:val="24"/>
          <w:szCs w:val="24"/>
        </w:rPr>
        <w:t>Table 6 presents the summary of the regression coefficient of computed variables on gender equity. It was indicated that gender equity policy has significant effects on girls’ completion rate</w:t>
      </w:r>
      <w:r w:rsidR="00F45A40">
        <w:rPr>
          <w:rFonts w:ascii="Times New Roman" w:hAnsi="Times New Roman" w:cs="Times New Roman"/>
          <w:sz w:val="24"/>
          <w:szCs w:val="24"/>
        </w:rPr>
        <w:t>.</w:t>
      </w:r>
      <w:r w:rsidRPr="0088632C">
        <w:rPr>
          <w:rFonts w:ascii="Times New Roman" w:hAnsi="Times New Roman" w:cs="Times New Roman"/>
          <w:sz w:val="24"/>
          <w:szCs w:val="24"/>
        </w:rPr>
        <w:t xml:space="preserve"> This was shown by a standard beta of 0.256, significant at. 000. This means that improving gender equity by one will increase 0.256 units of girls’ completion rates in public secondary schools in </w:t>
      </w:r>
      <w:proofErr w:type="spellStart"/>
      <w:r w:rsidRPr="0088632C">
        <w:rPr>
          <w:rFonts w:ascii="Times New Roman" w:hAnsi="Times New Roman" w:cs="Times New Roman"/>
          <w:sz w:val="24"/>
          <w:szCs w:val="24"/>
        </w:rPr>
        <w:t>Kicukiro</w:t>
      </w:r>
      <w:proofErr w:type="spellEnd"/>
      <w:r w:rsidRPr="0088632C">
        <w:rPr>
          <w:rFonts w:ascii="Times New Roman" w:hAnsi="Times New Roman" w:cs="Times New Roman"/>
          <w:sz w:val="24"/>
          <w:szCs w:val="24"/>
        </w:rPr>
        <w:t xml:space="preserve"> and </w:t>
      </w:r>
      <w:proofErr w:type="spellStart"/>
      <w:r w:rsidRPr="0088632C">
        <w:rPr>
          <w:rFonts w:ascii="Times New Roman" w:hAnsi="Times New Roman" w:cs="Times New Roman"/>
          <w:sz w:val="24"/>
          <w:szCs w:val="24"/>
        </w:rPr>
        <w:t>Gicumbi</w:t>
      </w:r>
      <w:proofErr w:type="spellEnd"/>
      <w:r w:rsidRPr="0088632C">
        <w:rPr>
          <w:rFonts w:ascii="Times New Roman" w:hAnsi="Times New Roman" w:cs="Times New Roman"/>
          <w:sz w:val="24"/>
          <w:szCs w:val="24"/>
        </w:rPr>
        <w:t xml:space="preserve"> </w:t>
      </w:r>
      <w:r w:rsidR="00F45A40">
        <w:rPr>
          <w:rFonts w:ascii="Times New Roman" w:hAnsi="Times New Roman" w:cs="Times New Roman"/>
          <w:sz w:val="24"/>
          <w:szCs w:val="24"/>
        </w:rPr>
        <w:t>D</w:t>
      </w:r>
      <w:r w:rsidRPr="0088632C">
        <w:rPr>
          <w:rFonts w:ascii="Times New Roman" w:hAnsi="Times New Roman" w:cs="Times New Roman"/>
          <w:sz w:val="24"/>
          <w:szCs w:val="24"/>
        </w:rPr>
        <w:t>istrict, Rwanda.</w:t>
      </w:r>
    </w:p>
    <w:p w14:paraId="1FB893CA" w14:textId="77777777" w:rsidR="002B1660" w:rsidRPr="00B87F57" w:rsidRDefault="002B1660" w:rsidP="00E83841">
      <w:pPr>
        <w:spacing w:line="36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5. </w:t>
      </w:r>
      <w:r w:rsidRPr="00B87F57">
        <w:rPr>
          <w:rFonts w:ascii="Times New Roman" w:eastAsia="Calibri" w:hAnsi="Times New Roman" w:cs="Times New Roman"/>
          <w:b/>
          <w:sz w:val="24"/>
          <w:szCs w:val="24"/>
        </w:rPr>
        <w:t>DISCUSSION</w:t>
      </w:r>
    </w:p>
    <w:p w14:paraId="070A6D20" w14:textId="77777777" w:rsidR="002B1660" w:rsidRPr="00CE6FC0" w:rsidRDefault="002B1660" w:rsidP="00E83841">
      <w:pPr>
        <w:spacing w:line="360" w:lineRule="auto"/>
        <w:jc w:val="both"/>
        <w:rPr>
          <w:rFonts w:ascii="Times New Roman" w:hAnsi="Times New Roman" w:cs="Times New Roman"/>
          <w:sz w:val="24"/>
          <w:szCs w:val="24"/>
        </w:rPr>
      </w:pPr>
      <w:r>
        <w:rPr>
          <w:rFonts w:ascii="Times New Roman" w:eastAsia="Calibri" w:hAnsi="Times New Roman" w:cs="Times New Roman"/>
          <w:sz w:val="24"/>
          <w:szCs w:val="24"/>
        </w:rPr>
        <w:t>The study evaluated the role</w:t>
      </w:r>
      <w:r w:rsidRPr="00E36A8B">
        <w:rPr>
          <w:rFonts w:ascii="Times New Roman" w:eastAsia="Calibri" w:hAnsi="Times New Roman" w:cs="Times New Roman"/>
          <w:sz w:val="24"/>
          <w:szCs w:val="24"/>
        </w:rPr>
        <w:t xml:space="preserve"> of gender equity </w:t>
      </w:r>
      <w:r>
        <w:rPr>
          <w:rFonts w:ascii="Times New Roman" w:eastAsia="Calibri" w:hAnsi="Times New Roman" w:cs="Times New Roman"/>
          <w:sz w:val="24"/>
          <w:szCs w:val="24"/>
        </w:rPr>
        <w:t xml:space="preserve">policy </w:t>
      </w:r>
      <w:r w:rsidRPr="00E36A8B">
        <w:rPr>
          <w:rFonts w:ascii="Times New Roman" w:eastAsia="Calibri" w:hAnsi="Times New Roman" w:cs="Times New Roman"/>
          <w:sz w:val="24"/>
          <w:szCs w:val="24"/>
        </w:rPr>
        <w:t xml:space="preserve">on girls’ completion rates in public secondary schools within </w:t>
      </w:r>
      <w:proofErr w:type="spellStart"/>
      <w:r w:rsidRPr="00E36A8B">
        <w:rPr>
          <w:rFonts w:ascii="Times New Roman" w:eastAsia="Calibri" w:hAnsi="Times New Roman" w:cs="Times New Roman"/>
          <w:sz w:val="24"/>
          <w:szCs w:val="24"/>
        </w:rPr>
        <w:t>Gicumbi</w:t>
      </w:r>
      <w:proofErr w:type="spellEnd"/>
      <w:r w:rsidRPr="00E36A8B">
        <w:rPr>
          <w:rFonts w:ascii="Times New Roman" w:eastAsia="Calibri" w:hAnsi="Times New Roman" w:cs="Times New Roman"/>
          <w:sz w:val="24"/>
          <w:szCs w:val="24"/>
        </w:rPr>
        <w:t xml:space="preserve"> and </w:t>
      </w:r>
      <w:proofErr w:type="spellStart"/>
      <w:r w:rsidRPr="00E36A8B">
        <w:rPr>
          <w:rFonts w:ascii="Times New Roman" w:eastAsia="Calibri" w:hAnsi="Times New Roman" w:cs="Times New Roman"/>
          <w:sz w:val="24"/>
          <w:szCs w:val="24"/>
        </w:rPr>
        <w:t>Kicukiro</w:t>
      </w:r>
      <w:proofErr w:type="spellEnd"/>
      <w:r w:rsidRPr="00E36A8B">
        <w:rPr>
          <w:rFonts w:ascii="Times New Roman" w:eastAsia="Calibri" w:hAnsi="Times New Roman" w:cs="Times New Roman"/>
          <w:sz w:val="24"/>
          <w:szCs w:val="24"/>
        </w:rPr>
        <w:t xml:space="preserve"> </w:t>
      </w:r>
      <w:r>
        <w:rPr>
          <w:rFonts w:ascii="Times New Roman" w:eastAsia="Calibri" w:hAnsi="Times New Roman" w:cs="Times New Roman"/>
          <w:sz w:val="24"/>
          <w:szCs w:val="24"/>
        </w:rPr>
        <w:t>D</w:t>
      </w:r>
      <w:r w:rsidRPr="00E36A8B">
        <w:rPr>
          <w:rFonts w:ascii="Times New Roman" w:eastAsia="Calibri" w:hAnsi="Times New Roman" w:cs="Times New Roman"/>
          <w:sz w:val="24"/>
          <w:szCs w:val="24"/>
        </w:rPr>
        <w:t>istricts. It centered on gender equity as a predictor of girls' education policies, analyzing fourteen i</w:t>
      </w:r>
      <w:r>
        <w:rPr>
          <w:rFonts w:ascii="Times New Roman" w:eastAsia="Calibri" w:hAnsi="Times New Roman" w:cs="Times New Roman"/>
          <w:sz w:val="24"/>
          <w:szCs w:val="24"/>
        </w:rPr>
        <w:t xml:space="preserve">tems through quantitative data. </w:t>
      </w:r>
      <w:r w:rsidRPr="00CE6FC0">
        <w:rPr>
          <w:rFonts w:ascii="Times New Roman" w:hAnsi="Times New Roman" w:cs="Times New Roman"/>
          <w:sz w:val="24"/>
          <w:szCs w:val="24"/>
        </w:rPr>
        <w:t xml:space="preserve">A significant finding of the study was the high level of approval regarding government support for girls' education. Respondents positively rated initiatives like scholarships and specialized programs, indicating their effectiveness in </w:t>
      </w:r>
      <w:r w:rsidRPr="00CE6FC0">
        <w:rPr>
          <w:rFonts w:ascii="Times New Roman" w:hAnsi="Times New Roman" w:cs="Times New Roman"/>
          <w:sz w:val="24"/>
          <w:szCs w:val="24"/>
        </w:rPr>
        <w:lastRenderedPageBreak/>
        <w:t xml:space="preserve">overcoming educational barriers. This aligns with </w:t>
      </w:r>
      <w:proofErr w:type="spellStart"/>
      <w:r w:rsidRPr="00CE6FC0">
        <w:rPr>
          <w:rFonts w:ascii="Times New Roman" w:hAnsi="Times New Roman" w:cs="Times New Roman"/>
          <w:sz w:val="24"/>
          <w:szCs w:val="24"/>
        </w:rPr>
        <w:t>Sikhwari</w:t>
      </w:r>
      <w:proofErr w:type="spellEnd"/>
      <w:r w:rsidRPr="00CE6FC0">
        <w:rPr>
          <w:rFonts w:ascii="Times New Roman" w:hAnsi="Times New Roman" w:cs="Times New Roman"/>
          <w:sz w:val="24"/>
          <w:szCs w:val="24"/>
        </w:rPr>
        <w:t xml:space="preserve"> (2024), who emphasized the importance of government involvement in achieving gender equality in education and increasing confidence among girls and their families. These findings highlight the key role of targeted public policies in promoting girls' access to and success in education.</w:t>
      </w:r>
    </w:p>
    <w:p w14:paraId="360915B4" w14:textId="17C2A754" w:rsidR="002B1660" w:rsidRPr="00CE6FC0" w:rsidRDefault="002B1660" w:rsidP="00E83841">
      <w:pPr>
        <w:spacing w:line="360" w:lineRule="auto"/>
        <w:jc w:val="both"/>
        <w:rPr>
          <w:rFonts w:ascii="Times New Roman" w:hAnsi="Times New Roman" w:cs="Times New Roman"/>
          <w:sz w:val="24"/>
          <w:szCs w:val="24"/>
        </w:rPr>
      </w:pPr>
      <w:r w:rsidRPr="00CE6FC0">
        <w:rPr>
          <w:rFonts w:ascii="Times New Roman" w:hAnsi="Times New Roman" w:cs="Times New Roman"/>
          <w:sz w:val="24"/>
          <w:szCs w:val="24"/>
        </w:rPr>
        <w:t>Moreover, respondents showed a positive view of the government's role in supporting girls’ education, reflecting confidence in its ability to implement, finance, and oversee education policies, as noted by Akinwale (2023). They identified effective policy enforcement and sufficient funding as crucial to improving girls' educ</w:t>
      </w:r>
      <w:r w:rsidR="000B745A">
        <w:rPr>
          <w:rFonts w:ascii="Times New Roman" w:hAnsi="Times New Roman" w:cs="Times New Roman"/>
          <w:sz w:val="24"/>
          <w:szCs w:val="24"/>
        </w:rPr>
        <w:t xml:space="preserve">ation and reducing disparities. </w:t>
      </w:r>
      <w:r w:rsidRPr="00CE6FC0">
        <w:rPr>
          <w:rFonts w:ascii="Times New Roman" w:hAnsi="Times New Roman" w:cs="Times New Roman"/>
          <w:sz w:val="24"/>
          <w:szCs w:val="24"/>
        </w:rPr>
        <w:t xml:space="preserve">Regarding the limited involvement of females in development activities, respondents viewed it as a relevant concern, though less significant due to challenges like poor classroom conditions and socio-economic barriers. This supports </w:t>
      </w:r>
      <w:proofErr w:type="spellStart"/>
      <w:r w:rsidRPr="00CE6FC0">
        <w:rPr>
          <w:rFonts w:ascii="Times New Roman" w:hAnsi="Times New Roman" w:cs="Times New Roman"/>
          <w:sz w:val="24"/>
          <w:szCs w:val="24"/>
        </w:rPr>
        <w:t>Mulengeki</w:t>
      </w:r>
      <w:proofErr w:type="spellEnd"/>
      <w:r w:rsidRPr="00CE6FC0">
        <w:rPr>
          <w:rFonts w:ascii="Times New Roman" w:hAnsi="Times New Roman" w:cs="Times New Roman"/>
          <w:sz w:val="24"/>
          <w:szCs w:val="24"/>
        </w:rPr>
        <w:t xml:space="preserve"> (2019), showing that participation is important but one of several factors influencing completion rates.</w:t>
      </w:r>
    </w:p>
    <w:p w14:paraId="15927342" w14:textId="77777777" w:rsidR="002B1660" w:rsidRPr="00CE6FC0" w:rsidRDefault="002B1660" w:rsidP="00E83841">
      <w:pPr>
        <w:spacing w:line="360" w:lineRule="auto"/>
        <w:jc w:val="both"/>
        <w:rPr>
          <w:rFonts w:ascii="Times New Roman" w:hAnsi="Times New Roman" w:cs="Times New Roman"/>
          <w:sz w:val="24"/>
          <w:szCs w:val="24"/>
        </w:rPr>
      </w:pPr>
      <w:r w:rsidRPr="00901704">
        <w:rPr>
          <w:rFonts w:ascii="Times New Roman" w:eastAsia="Calibri" w:hAnsi="Times New Roman" w:cs="Times New Roman"/>
          <w:sz w:val="24"/>
          <w:szCs w:val="24"/>
        </w:rPr>
        <w:t xml:space="preserve">In terms of political instability, respondents rated its impact on girls’ education as not critically severe, indicating awareness that while political disruption poses challenges such as school closures, other factors </w:t>
      </w:r>
      <w:r w:rsidRPr="00901704">
        <w:rPr>
          <w:rFonts w:ascii="Times New Roman" w:eastAsia="Calibri" w:hAnsi="Times New Roman" w:cs="Times New Roman"/>
          <w:sz w:val="24"/>
          <w:szCs w:val="24"/>
        </w:rPr>
        <w:t>especially socio-economic conditions and cultural norms are</w:t>
      </w:r>
      <w:r>
        <w:rPr>
          <w:rFonts w:ascii="Times New Roman" w:eastAsia="Calibri" w:hAnsi="Times New Roman" w:cs="Times New Roman"/>
          <w:sz w:val="24"/>
          <w:szCs w:val="24"/>
        </w:rPr>
        <w:t xml:space="preserve"> more dominant as stressed by </w:t>
      </w:r>
      <w:proofErr w:type="spellStart"/>
      <w:r w:rsidRPr="005F1523">
        <w:rPr>
          <w:rFonts w:ascii="Times New Roman" w:hAnsi="Times New Roman" w:cs="Times New Roman"/>
          <w:color w:val="222222"/>
          <w:sz w:val="24"/>
          <w:szCs w:val="24"/>
          <w:shd w:val="clear" w:color="auto" w:fill="FFFFFF"/>
        </w:rPr>
        <w:t>Si</w:t>
      </w:r>
      <w:r>
        <w:rPr>
          <w:rFonts w:ascii="Times New Roman" w:hAnsi="Times New Roman" w:cs="Times New Roman"/>
          <w:color w:val="222222"/>
          <w:sz w:val="24"/>
          <w:szCs w:val="24"/>
          <w:shd w:val="clear" w:color="auto" w:fill="FFFFFF"/>
        </w:rPr>
        <w:t>khwari</w:t>
      </w:r>
      <w:proofErr w:type="spellEnd"/>
      <w:r>
        <w:rPr>
          <w:rFonts w:ascii="Times New Roman" w:hAnsi="Times New Roman" w:cs="Times New Roman"/>
          <w:color w:val="222222"/>
          <w:sz w:val="24"/>
          <w:szCs w:val="24"/>
          <w:shd w:val="clear" w:color="auto" w:fill="FFFFFF"/>
        </w:rPr>
        <w:t xml:space="preserve"> (</w:t>
      </w:r>
      <w:r w:rsidRPr="005F1523">
        <w:rPr>
          <w:rFonts w:ascii="Times New Roman" w:hAnsi="Times New Roman" w:cs="Times New Roman"/>
          <w:color w:val="222222"/>
          <w:sz w:val="24"/>
          <w:szCs w:val="24"/>
          <w:shd w:val="clear" w:color="auto" w:fill="FFFFFF"/>
        </w:rPr>
        <w:t>2024).</w:t>
      </w:r>
      <w:r w:rsidRPr="00452500">
        <w:rPr>
          <w:rFonts w:ascii="Times New Roman" w:hAnsi="Times New Roman" w:cs="Times New Roman"/>
          <w:sz w:val="24"/>
          <w:szCs w:val="24"/>
        </w:rPr>
        <w:t xml:space="preserve"> </w:t>
      </w:r>
      <w:r w:rsidRPr="00901704">
        <w:rPr>
          <w:rFonts w:ascii="Times New Roman" w:eastAsia="Calibri" w:hAnsi="Times New Roman" w:cs="Times New Roman"/>
          <w:sz w:val="24"/>
          <w:szCs w:val="24"/>
        </w:rPr>
        <w:t>The study indicated that effective educational policies could mitig</w:t>
      </w:r>
      <w:r>
        <w:rPr>
          <w:rFonts w:ascii="Times New Roman" w:eastAsia="Calibri" w:hAnsi="Times New Roman" w:cs="Times New Roman"/>
          <w:sz w:val="24"/>
          <w:szCs w:val="24"/>
        </w:rPr>
        <w:t xml:space="preserve">ate some effects of instability. </w:t>
      </w:r>
      <w:r w:rsidRPr="00CE6FC0">
        <w:rPr>
          <w:rFonts w:ascii="Times New Roman" w:hAnsi="Times New Roman" w:cs="Times New Roman"/>
          <w:sz w:val="24"/>
          <w:szCs w:val="24"/>
        </w:rPr>
        <w:t xml:space="preserve">Respondents positively acknowledged the constitution’s commitment to universal education, highlighting its importance in shaping national education policies and promoting gender equity. </w:t>
      </w:r>
      <w:proofErr w:type="spellStart"/>
      <w:r w:rsidRPr="00CE6FC0">
        <w:rPr>
          <w:rFonts w:ascii="Times New Roman" w:hAnsi="Times New Roman" w:cs="Times New Roman"/>
          <w:sz w:val="24"/>
          <w:szCs w:val="24"/>
        </w:rPr>
        <w:t>Zabaniotou</w:t>
      </w:r>
      <w:proofErr w:type="spellEnd"/>
      <w:r w:rsidRPr="00CE6FC0">
        <w:rPr>
          <w:rFonts w:ascii="Times New Roman" w:hAnsi="Times New Roman" w:cs="Times New Roman"/>
          <w:sz w:val="24"/>
          <w:szCs w:val="24"/>
        </w:rPr>
        <w:t xml:space="preserve"> (2020) supports this, emphasizing the need to transform constitutional promises into real progress through continuous implementation and sufficient resources. Views on infrastructure were mixed; concerns arose over the quality and adequacy of girls’ rooms, echoing Qutub and Anjum (2015). However, a high mean score for sanitation facilities reflected their vital role in supporting girls, especially during menstruation, positively affecting attendance, as noted by </w:t>
      </w:r>
      <w:proofErr w:type="spellStart"/>
      <w:r w:rsidRPr="00CE6FC0">
        <w:rPr>
          <w:rFonts w:ascii="Times New Roman" w:hAnsi="Times New Roman" w:cs="Times New Roman"/>
          <w:sz w:val="24"/>
          <w:szCs w:val="24"/>
        </w:rPr>
        <w:t>Sikhwari</w:t>
      </w:r>
      <w:proofErr w:type="spellEnd"/>
      <w:r w:rsidRPr="00CE6FC0">
        <w:rPr>
          <w:rFonts w:ascii="Times New Roman" w:hAnsi="Times New Roman" w:cs="Times New Roman"/>
          <w:sz w:val="24"/>
          <w:szCs w:val="24"/>
        </w:rPr>
        <w:t xml:space="preserve"> (2024).</w:t>
      </w:r>
    </w:p>
    <w:p w14:paraId="2E5C6ECA" w14:textId="77777777" w:rsidR="002B1660" w:rsidRPr="00901704" w:rsidRDefault="002B1660" w:rsidP="00E83841">
      <w:pPr>
        <w:spacing w:line="360" w:lineRule="auto"/>
        <w:jc w:val="both"/>
        <w:rPr>
          <w:rFonts w:ascii="Times New Roman" w:eastAsia="Calibri" w:hAnsi="Times New Roman" w:cs="Times New Roman"/>
          <w:color w:val="2E74B5" w:themeColor="accent1" w:themeShade="BF"/>
          <w:sz w:val="24"/>
          <w:szCs w:val="24"/>
        </w:rPr>
      </w:pPr>
      <w:r w:rsidRPr="00452500">
        <w:rPr>
          <w:rFonts w:ascii="Times New Roman" w:hAnsi="Times New Roman" w:cs="Times New Roman"/>
          <w:sz w:val="24"/>
          <w:szCs w:val="24"/>
        </w:rPr>
        <w:t xml:space="preserve"> </w:t>
      </w:r>
      <w:r w:rsidRPr="00901704">
        <w:rPr>
          <w:rFonts w:ascii="Times New Roman" w:eastAsia="Calibri" w:hAnsi="Times New Roman" w:cs="Times New Roman"/>
          <w:sz w:val="24"/>
          <w:szCs w:val="24"/>
        </w:rPr>
        <w:t xml:space="preserve">Respondents viewed the sufficiency of water and electricity in schools positively, acknowledging their importance for a </w:t>
      </w:r>
      <w:r>
        <w:rPr>
          <w:rFonts w:ascii="Times New Roman" w:eastAsia="Calibri" w:hAnsi="Times New Roman" w:cs="Times New Roman"/>
          <w:sz w:val="24"/>
          <w:szCs w:val="24"/>
        </w:rPr>
        <w:t>productive learning environment.</w:t>
      </w:r>
      <w:r w:rsidRPr="00901704">
        <w:rPr>
          <w:rFonts w:ascii="Times New Roman" w:eastAsia="Calibri" w:hAnsi="Times New Roman" w:cs="Times New Roman"/>
          <w:sz w:val="24"/>
          <w:szCs w:val="24"/>
        </w:rPr>
        <w:t xml:space="preserve"> However, when assessing facilities specifically targeted at enhancing female participation, there was a lower level of satisfaction, indicating considerable room for improvement </w:t>
      </w:r>
      <w:r w:rsidRPr="00CE6FC0">
        <w:rPr>
          <w:rFonts w:ascii="Times New Roman" w:eastAsia="Calibri" w:hAnsi="Times New Roman" w:cs="Times New Roman"/>
          <w:sz w:val="24"/>
          <w:szCs w:val="24"/>
        </w:rPr>
        <w:t>(</w:t>
      </w:r>
      <w:proofErr w:type="spellStart"/>
      <w:r w:rsidRPr="00CE6FC0">
        <w:rPr>
          <w:rFonts w:ascii="Times New Roman" w:eastAsia="Calibri" w:hAnsi="Times New Roman" w:cs="Times New Roman"/>
          <w:sz w:val="24"/>
          <w:szCs w:val="24"/>
        </w:rPr>
        <w:t>Nkya</w:t>
      </w:r>
      <w:proofErr w:type="spellEnd"/>
      <w:r w:rsidRPr="00CE6FC0">
        <w:rPr>
          <w:rFonts w:ascii="Times New Roman" w:eastAsia="Calibri" w:hAnsi="Times New Roman" w:cs="Times New Roman"/>
          <w:sz w:val="24"/>
          <w:szCs w:val="24"/>
        </w:rPr>
        <w:t xml:space="preserve"> &amp; </w:t>
      </w:r>
      <w:proofErr w:type="spellStart"/>
      <w:r w:rsidRPr="00CE6FC0">
        <w:rPr>
          <w:rFonts w:ascii="Times New Roman" w:eastAsia="Calibri" w:hAnsi="Times New Roman" w:cs="Times New Roman"/>
          <w:sz w:val="24"/>
          <w:szCs w:val="24"/>
        </w:rPr>
        <w:t>Kibona</w:t>
      </w:r>
      <w:proofErr w:type="spellEnd"/>
      <w:r w:rsidRPr="00CE6FC0">
        <w:rPr>
          <w:rFonts w:ascii="Times New Roman" w:eastAsia="Calibri" w:hAnsi="Times New Roman" w:cs="Times New Roman"/>
          <w:sz w:val="24"/>
          <w:szCs w:val="24"/>
        </w:rPr>
        <w:t>, 2024).</w:t>
      </w:r>
      <w:r w:rsidRPr="00901704">
        <w:rPr>
          <w:rFonts w:ascii="Times New Roman" w:eastAsia="Calibri" w:hAnsi="Times New Roman" w:cs="Times New Roman"/>
          <w:sz w:val="24"/>
          <w:szCs w:val="24"/>
        </w:rPr>
        <w:t xml:space="preserve"> This disparity points to a need </w:t>
      </w:r>
      <w:r w:rsidRPr="00901704">
        <w:rPr>
          <w:rFonts w:ascii="Times New Roman" w:eastAsia="Calibri" w:hAnsi="Times New Roman" w:cs="Times New Roman"/>
          <w:sz w:val="24"/>
          <w:szCs w:val="24"/>
        </w:rPr>
        <w:lastRenderedPageBreak/>
        <w:t>for improved infrastructure conducive to female education.</w:t>
      </w:r>
    </w:p>
    <w:p w14:paraId="2B12FD9F" w14:textId="77777777" w:rsidR="002B1660" w:rsidRPr="00710293" w:rsidRDefault="002B1660" w:rsidP="00E83841">
      <w:pPr>
        <w:spacing w:line="360" w:lineRule="auto"/>
        <w:jc w:val="both"/>
        <w:rPr>
          <w:rFonts w:ascii="Times New Roman" w:hAnsi="Times New Roman" w:cs="Times New Roman"/>
          <w:sz w:val="24"/>
          <w:szCs w:val="24"/>
        </w:rPr>
      </w:pPr>
      <w:r w:rsidRPr="00710293">
        <w:rPr>
          <w:rFonts w:ascii="Times New Roman" w:hAnsi="Times New Roman" w:cs="Times New Roman"/>
          <w:sz w:val="24"/>
          <w:szCs w:val="24"/>
        </w:rPr>
        <w:t xml:space="preserve">Although government efforts were acknowledged, concerns about school fee affordability emerged as a major barrier to accessing education. The findings revealed persistent challenges that hinder equitable access, highlighting a disconnect between financial support policies and the actual experiences of families, consistent with Leal et al. (2023). Economic constraints were seen as moderately affecting parents' ability to support girls’ education. However, these financial issues are closely linked with cultural preferences for boys, demonstrating that economic barriers are part of a broader range of factors influencing educational outcomes, as emphasized by </w:t>
      </w:r>
      <w:proofErr w:type="spellStart"/>
      <w:r w:rsidRPr="00710293">
        <w:rPr>
          <w:rFonts w:ascii="Times New Roman" w:hAnsi="Times New Roman" w:cs="Times New Roman"/>
          <w:sz w:val="24"/>
          <w:szCs w:val="24"/>
        </w:rPr>
        <w:t>Chitope</w:t>
      </w:r>
      <w:proofErr w:type="spellEnd"/>
      <w:r w:rsidRPr="00710293">
        <w:rPr>
          <w:rFonts w:ascii="Times New Roman" w:hAnsi="Times New Roman" w:cs="Times New Roman"/>
          <w:sz w:val="24"/>
          <w:szCs w:val="24"/>
        </w:rPr>
        <w:t xml:space="preserve"> (2024).</w:t>
      </w:r>
    </w:p>
    <w:p w14:paraId="1298861F" w14:textId="77777777" w:rsidR="002B1660" w:rsidRPr="00710293" w:rsidRDefault="002B1660" w:rsidP="00E83841">
      <w:pPr>
        <w:spacing w:line="360" w:lineRule="auto"/>
        <w:jc w:val="both"/>
        <w:rPr>
          <w:rFonts w:ascii="Times New Roman" w:hAnsi="Times New Roman" w:cs="Times New Roman"/>
          <w:sz w:val="24"/>
          <w:szCs w:val="24"/>
        </w:rPr>
      </w:pPr>
      <w:r w:rsidRPr="00710293">
        <w:rPr>
          <w:rFonts w:ascii="Times New Roman" w:hAnsi="Times New Roman" w:cs="Times New Roman"/>
          <w:sz w:val="24"/>
          <w:szCs w:val="24"/>
        </w:rPr>
        <w:t>Despite recognizing government efforts, challenges like poor infrastructure, financial hardship, and weak targeted programs persist. These issues, as noted by Niyonzima and Bayu (2023), significantly impact girls’ retention, especially during the crucial transition before senior three, where financial instability and cultural expectations create the most pressure and contribute to increased dropout rates.</w:t>
      </w:r>
    </w:p>
    <w:p w14:paraId="005E0013" w14:textId="77777777" w:rsidR="002B1660" w:rsidRPr="00B87F57" w:rsidRDefault="002B1660" w:rsidP="00E83841">
      <w:pPr>
        <w:spacing w:line="360" w:lineRule="auto"/>
        <w:jc w:val="both"/>
        <w:rPr>
          <w:rFonts w:ascii="Times New Roman" w:eastAsia="Calibri" w:hAnsi="Times New Roman" w:cs="Times New Roman"/>
          <w:b/>
          <w:sz w:val="24"/>
          <w:szCs w:val="24"/>
        </w:rPr>
      </w:pPr>
      <w:r w:rsidRPr="00B87F57">
        <w:rPr>
          <w:rFonts w:ascii="Times New Roman" w:eastAsia="Calibri" w:hAnsi="Times New Roman" w:cs="Times New Roman"/>
          <w:b/>
          <w:sz w:val="24"/>
          <w:szCs w:val="24"/>
        </w:rPr>
        <w:t>Theoretical and Practical Implications</w:t>
      </w:r>
    </w:p>
    <w:p w14:paraId="31357DD8" w14:textId="77777777" w:rsidR="002B1660" w:rsidRDefault="002B1660" w:rsidP="00E83841">
      <w:pPr>
        <w:spacing w:line="360" w:lineRule="auto"/>
        <w:jc w:val="both"/>
        <w:rPr>
          <w:rFonts w:ascii="Times New Roman" w:hAnsi="Times New Roman" w:cs="Times New Roman"/>
          <w:sz w:val="24"/>
          <w:szCs w:val="24"/>
        </w:rPr>
      </w:pPr>
      <w:r w:rsidRPr="00901704">
        <w:rPr>
          <w:rFonts w:ascii="Times New Roman" w:eastAsia="Calibri" w:hAnsi="Times New Roman" w:cs="Times New Roman"/>
          <w:sz w:val="24"/>
          <w:szCs w:val="24"/>
        </w:rPr>
        <w:t xml:space="preserve">Based on research findings and conclusions of the study, </w:t>
      </w:r>
      <w:r w:rsidRPr="001477DD">
        <w:rPr>
          <w:rFonts w:ascii="Times New Roman" w:hAnsi="Times New Roman" w:cs="Times New Roman"/>
          <w:sz w:val="24"/>
          <w:szCs w:val="24"/>
        </w:rPr>
        <w:t xml:space="preserve">the study recommends several actions. First, </w:t>
      </w:r>
      <w:r w:rsidRPr="00D87C1C">
        <w:rPr>
          <w:rFonts w:ascii="Times New Roman" w:eastAsia="Calibri" w:hAnsi="Times New Roman" w:cs="Times New Roman"/>
          <w:sz w:val="24"/>
          <w:szCs w:val="24"/>
        </w:rPr>
        <w:t xml:space="preserve">Ministry of </w:t>
      </w:r>
      <w:r>
        <w:rPr>
          <w:rFonts w:ascii="Times New Roman" w:eastAsia="Calibri" w:hAnsi="Times New Roman" w:cs="Times New Roman"/>
          <w:sz w:val="24"/>
          <w:szCs w:val="24"/>
        </w:rPr>
        <w:t>Education</w:t>
      </w:r>
      <w:r w:rsidRPr="001477DD">
        <w:rPr>
          <w:rFonts w:ascii="Times New Roman" w:hAnsi="Times New Roman" w:cs="Times New Roman"/>
          <w:sz w:val="24"/>
          <w:szCs w:val="24"/>
        </w:rPr>
        <w:t xml:space="preserve"> </w:t>
      </w:r>
      <w:r>
        <w:rPr>
          <w:rFonts w:ascii="Times New Roman" w:hAnsi="Times New Roman" w:cs="Times New Roman"/>
          <w:sz w:val="24"/>
          <w:szCs w:val="24"/>
        </w:rPr>
        <w:t xml:space="preserve">in Rwanda </w:t>
      </w:r>
      <w:r w:rsidRPr="001477DD">
        <w:rPr>
          <w:rFonts w:ascii="Times New Roman" w:hAnsi="Times New Roman" w:cs="Times New Roman"/>
          <w:sz w:val="24"/>
          <w:szCs w:val="24"/>
        </w:rPr>
        <w:t>should strengthen anti-harassment policies and ensure their effective enforcement, particularly concerning teacher harassment, including sexual harassment. Schools must establish clear reporting systems, support services, and regular staff training to maintain a safe environment. Secondly, policymakers should expand affordable education for low-income female students through financial support, scholarships, and targeted resources. This will promote gender equality, enhance access to education, and positively impact communities, fostering equity, empowerment, and societal progress.</w:t>
      </w:r>
    </w:p>
    <w:p w14:paraId="6C299000" w14:textId="77777777" w:rsidR="002B1660" w:rsidRPr="00B60145" w:rsidRDefault="002B1660" w:rsidP="00E83841">
      <w:pPr>
        <w:spacing w:line="360" w:lineRule="auto"/>
        <w:jc w:val="both"/>
        <w:rPr>
          <w:rFonts w:ascii="Times New Roman" w:eastAsia="Calibri" w:hAnsi="Times New Roman" w:cs="Times New Roman"/>
          <w:b/>
          <w:sz w:val="24"/>
          <w:szCs w:val="24"/>
        </w:rPr>
      </w:pPr>
      <w:r w:rsidRPr="00EA0BF8">
        <w:rPr>
          <w:rFonts w:ascii="Times New Roman" w:eastAsia="Calibri" w:hAnsi="Times New Roman" w:cs="Times New Roman"/>
          <w:b/>
          <w:sz w:val="24"/>
          <w:szCs w:val="24"/>
        </w:rPr>
        <w:t>6. CONCLUSIONS</w:t>
      </w:r>
    </w:p>
    <w:p w14:paraId="118631A2" w14:textId="77777777" w:rsidR="002B1660" w:rsidRPr="00B60145" w:rsidRDefault="002B1660" w:rsidP="00E83841">
      <w:pPr>
        <w:spacing w:line="360" w:lineRule="auto"/>
        <w:jc w:val="both"/>
        <w:rPr>
          <w:rFonts w:ascii="Times New Roman" w:hAnsi="Times New Roman" w:cs="Times New Roman"/>
          <w:sz w:val="24"/>
          <w:szCs w:val="24"/>
        </w:rPr>
      </w:pPr>
      <w:r w:rsidRPr="00B60145">
        <w:rPr>
          <w:rFonts w:ascii="Times New Roman" w:hAnsi="Times New Roman" w:cs="Times New Roman"/>
          <w:sz w:val="24"/>
          <w:szCs w:val="24"/>
        </w:rPr>
        <w:t xml:space="preserve">Based on research findings, it can be concluded that gender equity contributes significantly to girls’ completion </w:t>
      </w:r>
      <w:r>
        <w:rPr>
          <w:rFonts w:ascii="Times New Roman" w:hAnsi="Times New Roman" w:cs="Times New Roman"/>
          <w:sz w:val="24"/>
          <w:szCs w:val="24"/>
        </w:rPr>
        <w:t>rates</w:t>
      </w:r>
      <w:r w:rsidRPr="00B60145">
        <w:rPr>
          <w:rFonts w:ascii="Times New Roman" w:hAnsi="Times New Roman" w:cs="Times New Roman"/>
          <w:sz w:val="24"/>
          <w:szCs w:val="24"/>
        </w:rPr>
        <w:t xml:space="preserve"> in public secondary schools. Hence, when </w:t>
      </w:r>
      <w:r>
        <w:rPr>
          <w:rFonts w:ascii="Times New Roman" w:hAnsi="Times New Roman" w:cs="Times New Roman"/>
          <w:sz w:val="24"/>
          <w:szCs w:val="24"/>
        </w:rPr>
        <w:t xml:space="preserve">the </w:t>
      </w:r>
      <w:r w:rsidRPr="00B60145">
        <w:rPr>
          <w:rFonts w:ascii="Times New Roman" w:hAnsi="Times New Roman" w:cs="Times New Roman"/>
          <w:sz w:val="24"/>
          <w:szCs w:val="24"/>
        </w:rPr>
        <w:t xml:space="preserve">government </w:t>
      </w:r>
      <w:r>
        <w:rPr>
          <w:rFonts w:ascii="Times New Roman" w:hAnsi="Times New Roman" w:cs="Times New Roman"/>
          <w:sz w:val="24"/>
          <w:szCs w:val="24"/>
        </w:rPr>
        <w:t>provides</w:t>
      </w:r>
      <w:r w:rsidRPr="00B60145">
        <w:rPr>
          <w:rFonts w:ascii="Times New Roman" w:hAnsi="Times New Roman" w:cs="Times New Roman"/>
          <w:sz w:val="24"/>
          <w:szCs w:val="24"/>
        </w:rPr>
        <w:t xml:space="preserve"> necessary facilities and utilities and </w:t>
      </w:r>
      <w:r>
        <w:rPr>
          <w:rFonts w:ascii="Times New Roman" w:hAnsi="Times New Roman" w:cs="Times New Roman"/>
          <w:sz w:val="24"/>
          <w:szCs w:val="24"/>
        </w:rPr>
        <w:t>creates</w:t>
      </w:r>
      <w:r w:rsidRPr="00B60145">
        <w:rPr>
          <w:rFonts w:ascii="Times New Roman" w:hAnsi="Times New Roman" w:cs="Times New Roman"/>
          <w:sz w:val="24"/>
          <w:szCs w:val="24"/>
        </w:rPr>
        <w:t xml:space="preserve"> a secure learning environment, there is an increase in girls’ completion rate. Therefore, the findings call for government policies addressing infrastructure, financial aid, and community engagement to enhance gender equity and </w:t>
      </w:r>
      <w:r w:rsidRPr="00B60145">
        <w:rPr>
          <w:rFonts w:ascii="Times New Roman" w:hAnsi="Times New Roman" w:cs="Times New Roman"/>
          <w:sz w:val="24"/>
          <w:szCs w:val="24"/>
        </w:rPr>
        <w:lastRenderedPageBreak/>
        <w:t>improve educational outcomes for girls, especially during critical transitional periods in public secondary schools.</w:t>
      </w:r>
    </w:p>
    <w:p w14:paraId="642AE167" w14:textId="77777777" w:rsidR="002B1660" w:rsidRPr="00B60145" w:rsidRDefault="002B1660" w:rsidP="00E83841">
      <w:pPr>
        <w:spacing w:line="360" w:lineRule="auto"/>
        <w:jc w:val="both"/>
        <w:rPr>
          <w:rFonts w:ascii="Times New Roman" w:hAnsi="Times New Roman" w:cs="Times New Roman"/>
          <w:sz w:val="24"/>
          <w:szCs w:val="24"/>
        </w:rPr>
      </w:pPr>
      <w:r w:rsidRPr="00B60145">
        <w:rPr>
          <w:rFonts w:ascii="Times New Roman" w:hAnsi="Times New Roman" w:cs="Times New Roman"/>
          <w:sz w:val="24"/>
          <w:szCs w:val="24"/>
        </w:rPr>
        <w:t>Based on research findings, the study underscores the critical role of government support, infrastructure, and societal factors in promoting gender equity and improving girls' completion rates in public secondary schools. While</w:t>
      </w:r>
      <w:r>
        <w:rPr>
          <w:rFonts w:ascii="Times New Roman" w:hAnsi="Times New Roman" w:cs="Times New Roman"/>
          <w:sz w:val="24"/>
          <w:szCs w:val="24"/>
        </w:rPr>
        <w:t>,</w:t>
      </w:r>
      <w:r w:rsidRPr="00B60145">
        <w:rPr>
          <w:rFonts w:ascii="Times New Roman" w:hAnsi="Times New Roman" w:cs="Times New Roman"/>
          <w:sz w:val="24"/>
          <w:szCs w:val="24"/>
        </w:rPr>
        <w:t xml:space="preserve"> there is positive recognition of government efforts, challenges such as inadequate facilities, political instability, economic barriers, and limited female involvement in development activities hinder progress. Financial constraints, early pregnancies, and lack of motivation particularly affect </w:t>
      </w:r>
      <w:r>
        <w:rPr>
          <w:rFonts w:ascii="Times New Roman" w:hAnsi="Times New Roman" w:cs="Times New Roman"/>
          <w:sz w:val="24"/>
          <w:szCs w:val="24"/>
        </w:rPr>
        <w:t>‘S</w:t>
      </w:r>
      <w:r w:rsidRPr="00B60145">
        <w:rPr>
          <w:rFonts w:ascii="Times New Roman" w:hAnsi="Times New Roman" w:cs="Times New Roman"/>
          <w:sz w:val="24"/>
          <w:szCs w:val="24"/>
        </w:rPr>
        <w:t xml:space="preserve">enior </w:t>
      </w:r>
      <w:r>
        <w:rPr>
          <w:rFonts w:ascii="Times New Roman" w:hAnsi="Times New Roman" w:cs="Times New Roman"/>
          <w:sz w:val="24"/>
          <w:szCs w:val="24"/>
        </w:rPr>
        <w:t>T</w:t>
      </w:r>
      <w:r w:rsidRPr="00B60145">
        <w:rPr>
          <w:rFonts w:ascii="Times New Roman" w:hAnsi="Times New Roman" w:cs="Times New Roman"/>
          <w:sz w:val="24"/>
          <w:szCs w:val="24"/>
        </w:rPr>
        <w:t>hree</w:t>
      </w:r>
      <w:r>
        <w:rPr>
          <w:rFonts w:ascii="Times New Roman" w:hAnsi="Times New Roman" w:cs="Times New Roman"/>
          <w:sz w:val="24"/>
          <w:szCs w:val="24"/>
        </w:rPr>
        <w:t>’</w:t>
      </w:r>
      <w:r w:rsidRPr="00B60145">
        <w:rPr>
          <w:rFonts w:ascii="Times New Roman" w:hAnsi="Times New Roman" w:cs="Times New Roman"/>
          <w:sz w:val="24"/>
          <w:szCs w:val="24"/>
        </w:rPr>
        <w:t xml:space="preserve"> completion rates, whereas </w:t>
      </w:r>
      <w:r>
        <w:rPr>
          <w:rFonts w:ascii="Times New Roman" w:hAnsi="Times New Roman" w:cs="Times New Roman"/>
          <w:sz w:val="24"/>
          <w:szCs w:val="24"/>
        </w:rPr>
        <w:t>‘S</w:t>
      </w:r>
      <w:r w:rsidRPr="00B60145">
        <w:rPr>
          <w:rFonts w:ascii="Times New Roman" w:hAnsi="Times New Roman" w:cs="Times New Roman"/>
          <w:sz w:val="24"/>
          <w:szCs w:val="24"/>
        </w:rPr>
        <w:t xml:space="preserve">enior </w:t>
      </w:r>
      <w:r>
        <w:rPr>
          <w:rFonts w:ascii="Times New Roman" w:hAnsi="Times New Roman" w:cs="Times New Roman"/>
          <w:sz w:val="24"/>
          <w:szCs w:val="24"/>
        </w:rPr>
        <w:t>S</w:t>
      </w:r>
      <w:r w:rsidRPr="00B60145">
        <w:rPr>
          <w:rFonts w:ascii="Times New Roman" w:hAnsi="Times New Roman" w:cs="Times New Roman"/>
          <w:sz w:val="24"/>
          <w:szCs w:val="24"/>
        </w:rPr>
        <w:t>ix</w:t>
      </w:r>
      <w:r>
        <w:rPr>
          <w:rFonts w:ascii="Times New Roman" w:hAnsi="Times New Roman" w:cs="Times New Roman"/>
          <w:sz w:val="24"/>
          <w:szCs w:val="24"/>
        </w:rPr>
        <w:t>’</w:t>
      </w:r>
      <w:r w:rsidRPr="00B60145">
        <w:rPr>
          <w:rFonts w:ascii="Times New Roman" w:hAnsi="Times New Roman" w:cs="Times New Roman"/>
          <w:sz w:val="24"/>
          <w:szCs w:val="24"/>
        </w:rPr>
        <w:t xml:space="preserve"> </w:t>
      </w:r>
      <w:r>
        <w:rPr>
          <w:rFonts w:ascii="Times New Roman" w:hAnsi="Times New Roman" w:cs="Times New Roman"/>
          <w:sz w:val="24"/>
          <w:szCs w:val="24"/>
        </w:rPr>
        <w:t xml:space="preserve">educational </w:t>
      </w:r>
      <w:r w:rsidRPr="00B60145">
        <w:rPr>
          <w:rFonts w:ascii="Times New Roman" w:hAnsi="Times New Roman" w:cs="Times New Roman"/>
          <w:sz w:val="24"/>
          <w:szCs w:val="24"/>
        </w:rPr>
        <w:t xml:space="preserve">outcomes are more stable due to stronger retention strategies and family support. The results emphasize the importance of </w:t>
      </w:r>
      <w:r w:rsidRPr="00B60145">
        <w:rPr>
          <w:rFonts w:ascii="Times New Roman" w:hAnsi="Times New Roman" w:cs="Times New Roman"/>
          <w:sz w:val="24"/>
          <w:szCs w:val="24"/>
        </w:rPr>
        <w:t xml:space="preserve">implementing policies that focus on infrastructure, financial support, and community involvement to improve gender equity and guarantee equal opportunities for girls, particularly during key transition periods in their education.  </w:t>
      </w:r>
    </w:p>
    <w:p w14:paraId="5C16062E" w14:textId="65DEC594" w:rsidR="002B1660" w:rsidRPr="00EA0BF8" w:rsidRDefault="00B84A69" w:rsidP="00E83841">
      <w:pPr>
        <w:spacing w:line="360" w:lineRule="auto"/>
        <w:jc w:val="both"/>
        <w:rPr>
          <w:rFonts w:ascii="Times New Roman" w:hAnsi="Times New Roman" w:cs="Times New Roman"/>
          <w:b/>
          <w:sz w:val="24"/>
          <w:szCs w:val="24"/>
        </w:rPr>
      </w:pPr>
      <w:proofErr w:type="gramStart"/>
      <w:r>
        <w:rPr>
          <w:rFonts w:ascii="Times New Roman" w:hAnsi="Times New Roman" w:cs="Times New Roman"/>
          <w:b/>
          <w:sz w:val="24"/>
          <w:szCs w:val="24"/>
        </w:rPr>
        <w:t>DISCLAIMER(</w:t>
      </w:r>
      <w:proofErr w:type="gramEnd"/>
      <w:r w:rsidR="00E83841">
        <w:rPr>
          <w:rFonts w:ascii="Times New Roman" w:hAnsi="Times New Roman" w:cs="Times New Roman"/>
          <w:b/>
          <w:sz w:val="24"/>
          <w:szCs w:val="24"/>
        </w:rPr>
        <w:t xml:space="preserve">ARTIFICIAL </w:t>
      </w:r>
      <w:r w:rsidR="002B1660" w:rsidRPr="00EA0BF8">
        <w:rPr>
          <w:rFonts w:ascii="Times New Roman" w:hAnsi="Times New Roman" w:cs="Times New Roman"/>
          <w:b/>
          <w:sz w:val="24"/>
          <w:szCs w:val="24"/>
        </w:rPr>
        <w:t xml:space="preserve">INTELLIGENCE)  </w:t>
      </w:r>
    </w:p>
    <w:p w14:paraId="3D732149" w14:textId="498C8853" w:rsidR="008A58D2" w:rsidRPr="00B84A69" w:rsidRDefault="002B1660" w:rsidP="00E83841">
      <w:pPr>
        <w:spacing w:line="360" w:lineRule="auto"/>
        <w:jc w:val="both"/>
        <w:rPr>
          <w:rFonts w:ascii="Times New Roman" w:hAnsi="Times New Roman" w:cs="Times New Roman"/>
          <w:sz w:val="24"/>
          <w:szCs w:val="24"/>
        </w:rPr>
        <w:sectPr w:rsidR="008A58D2" w:rsidRPr="00B84A69" w:rsidSect="00E83841">
          <w:type w:val="continuous"/>
          <w:pgSz w:w="12240" w:h="15840"/>
          <w:pgMar w:top="1440" w:right="1440" w:bottom="1440" w:left="1440" w:header="720" w:footer="720" w:gutter="0"/>
          <w:cols w:num="2" w:space="720"/>
          <w:docGrid w:linePitch="360"/>
        </w:sectPr>
      </w:pPr>
      <w:r w:rsidRPr="0065620D">
        <w:rPr>
          <w:rFonts w:ascii="Times New Roman" w:eastAsia="Calibri" w:hAnsi="Times New Roman" w:cs="Times New Roman"/>
          <w:sz w:val="24"/>
        </w:rPr>
        <w:t xml:space="preserve">  </w:t>
      </w:r>
      <w:r w:rsidRPr="008A782C">
        <w:rPr>
          <w:rFonts w:ascii="Times New Roman" w:hAnsi="Times New Roman" w:cs="Times New Roman"/>
          <w:sz w:val="24"/>
          <w:szCs w:val="24"/>
        </w:rPr>
        <w:t>I confirm that, aside from minor refinements to specific sections, no generative AI tools such as large language models like ChatGPT or software like COPILOT were used in writing or editing this work. All content reflects personal knowledge, skills, and effort. This assurance emphasizes that the ideas and expressions presented are solely human-generated, ensuring the originality and credibility of the publication without r</w:t>
      </w:r>
      <w:r w:rsidR="00B84A69">
        <w:rPr>
          <w:rFonts w:ascii="Times New Roman" w:hAnsi="Times New Roman" w:cs="Times New Roman"/>
          <w:sz w:val="24"/>
          <w:szCs w:val="24"/>
        </w:rPr>
        <w:t>eliance on automated assistance.</w:t>
      </w:r>
    </w:p>
    <w:p w14:paraId="741ED90E" w14:textId="77777777" w:rsidR="00B84A69" w:rsidRDefault="00B84A69" w:rsidP="00B84A69">
      <w:pPr>
        <w:spacing w:line="360" w:lineRule="auto"/>
        <w:jc w:val="both"/>
        <w:rPr>
          <w:rFonts w:ascii="Times New Roman" w:hAnsi="Times New Roman" w:cs="Times New Roman"/>
          <w:b/>
          <w:sz w:val="24"/>
          <w:szCs w:val="24"/>
          <w:shd w:val="clear" w:color="auto" w:fill="FFFFFF"/>
        </w:rPr>
      </w:pPr>
    </w:p>
    <w:p w14:paraId="04D0D513" w14:textId="77777777" w:rsidR="00E83841" w:rsidRDefault="00E83841" w:rsidP="00E83841">
      <w:pPr>
        <w:spacing w:line="360" w:lineRule="auto"/>
        <w:jc w:val="both"/>
        <w:rPr>
          <w:rFonts w:ascii="Times New Roman" w:hAnsi="Times New Roman" w:cs="Times New Roman"/>
          <w:b/>
          <w:sz w:val="24"/>
          <w:szCs w:val="24"/>
          <w:shd w:val="clear" w:color="auto" w:fill="FFFFFF"/>
        </w:rPr>
      </w:pPr>
    </w:p>
    <w:p w14:paraId="06625582" w14:textId="4A1D1CF2" w:rsidR="002B1660" w:rsidRPr="00B60145" w:rsidRDefault="002B1660" w:rsidP="00E83841">
      <w:pPr>
        <w:spacing w:line="360" w:lineRule="auto"/>
        <w:rPr>
          <w:rFonts w:ascii="Times New Roman" w:hAnsi="Times New Roman" w:cs="Times New Roman"/>
          <w:sz w:val="24"/>
          <w:szCs w:val="24"/>
        </w:rPr>
        <w:sectPr w:rsidR="002B1660" w:rsidRPr="00B60145" w:rsidSect="00E83841">
          <w:type w:val="continuous"/>
          <w:pgSz w:w="12240" w:h="15840"/>
          <w:pgMar w:top="1440" w:right="1440" w:bottom="1440" w:left="1440" w:header="720" w:footer="720" w:gutter="0"/>
          <w:cols w:num="2" w:space="720"/>
          <w:docGrid w:linePitch="360"/>
        </w:sectPr>
      </w:pPr>
    </w:p>
    <w:p w14:paraId="375B1382" w14:textId="77777777" w:rsidR="00B84A69" w:rsidRPr="001B759A" w:rsidRDefault="00B84A69" w:rsidP="00B84A69">
      <w:pPr>
        <w:spacing w:line="360" w:lineRule="auto"/>
        <w:jc w:val="both"/>
        <w:rPr>
          <w:rFonts w:ascii="Arial" w:hAnsi="Arial" w:cs="Arial"/>
          <w:sz w:val="20"/>
          <w:szCs w:val="20"/>
          <w:shd w:val="clear" w:color="auto" w:fill="FFFFFF"/>
        </w:rPr>
        <w:sectPr w:rsidR="00B84A69" w:rsidRPr="001B759A" w:rsidSect="00E83841">
          <w:type w:val="continuous"/>
          <w:pgSz w:w="12240" w:h="15840"/>
          <w:pgMar w:top="1440" w:right="1440" w:bottom="1440" w:left="1440" w:header="720" w:footer="720" w:gutter="0"/>
          <w:cols w:num="2" w:space="720"/>
          <w:docGrid w:linePitch="360"/>
        </w:sectPr>
      </w:pPr>
      <w:r>
        <w:rPr>
          <w:rFonts w:ascii="Times New Roman" w:hAnsi="Times New Roman" w:cs="Times New Roman"/>
          <w:b/>
          <w:sz w:val="24"/>
          <w:szCs w:val="24"/>
          <w:shd w:val="clear" w:color="auto" w:fill="FFFFFF"/>
        </w:rPr>
        <w:t>7. REFERENCES</w:t>
      </w:r>
    </w:p>
    <w:p w14:paraId="05770956" w14:textId="77777777" w:rsidR="002B1660" w:rsidRPr="00E058E5" w:rsidRDefault="002B1660" w:rsidP="00E83841">
      <w:pPr>
        <w:spacing w:line="360" w:lineRule="auto"/>
        <w:jc w:val="both"/>
        <w:rPr>
          <w:rFonts w:ascii="Times New Roman" w:hAnsi="Times New Roman" w:cs="Times New Roman"/>
          <w:color w:val="222222"/>
          <w:sz w:val="24"/>
          <w:szCs w:val="24"/>
          <w:shd w:val="clear" w:color="auto" w:fill="FFFFFF"/>
        </w:rPr>
      </w:pPr>
      <w:proofErr w:type="spellStart"/>
      <w:r w:rsidRPr="00E058E5">
        <w:rPr>
          <w:rFonts w:ascii="Times New Roman" w:hAnsi="Times New Roman" w:cs="Times New Roman"/>
          <w:color w:val="222222"/>
          <w:sz w:val="24"/>
          <w:szCs w:val="24"/>
          <w:shd w:val="clear" w:color="auto" w:fill="FFFFFF"/>
        </w:rPr>
        <w:t>Akinwale</w:t>
      </w:r>
      <w:proofErr w:type="spellEnd"/>
      <w:r w:rsidRPr="00E058E5">
        <w:rPr>
          <w:rFonts w:ascii="Times New Roman" w:hAnsi="Times New Roman" w:cs="Times New Roman"/>
          <w:color w:val="222222"/>
          <w:sz w:val="24"/>
          <w:szCs w:val="24"/>
          <w:shd w:val="clear" w:color="auto" w:fill="FFFFFF"/>
        </w:rPr>
        <w:t>, A. (2023). Gender equity and social progress: e</w:t>
      </w:r>
      <w:r w:rsidR="00E83841">
        <w:rPr>
          <w:rFonts w:ascii="Times New Roman" w:hAnsi="Times New Roman" w:cs="Times New Roman"/>
          <w:color w:val="222222"/>
          <w:sz w:val="24"/>
          <w:szCs w:val="24"/>
          <w:shd w:val="clear" w:color="auto" w:fill="FFFFFF"/>
        </w:rPr>
        <w:t>mpowering women and girls to</w:t>
      </w:r>
      <w:r w:rsidR="00E83841">
        <w:rPr>
          <w:rFonts w:ascii="Times New Roman" w:hAnsi="Times New Roman" w:cs="Times New Roman"/>
          <w:color w:val="222222"/>
          <w:sz w:val="24"/>
          <w:szCs w:val="24"/>
          <w:shd w:val="clear" w:color="auto" w:fill="FFFFFF"/>
        </w:rPr>
        <w:tab/>
      </w:r>
      <w:r w:rsidRPr="00E058E5">
        <w:rPr>
          <w:rFonts w:ascii="Times New Roman" w:hAnsi="Times New Roman" w:cs="Times New Roman"/>
          <w:color w:val="222222"/>
          <w:sz w:val="24"/>
          <w:szCs w:val="24"/>
          <w:shd w:val="clear" w:color="auto" w:fill="FFFFFF"/>
        </w:rPr>
        <w:t xml:space="preserve"> drive sustainable development in Sub–Saharan Africa. </w:t>
      </w:r>
      <w:r w:rsidR="00E83841">
        <w:rPr>
          <w:rFonts w:ascii="Times New Roman" w:hAnsi="Times New Roman" w:cs="Times New Roman"/>
          <w:i/>
          <w:iCs/>
          <w:color w:val="222222"/>
          <w:sz w:val="24"/>
          <w:szCs w:val="24"/>
          <w:shd w:val="clear" w:color="auto" w:fill="FFFFFF"/>
        </w:rPr>
        <w:t xml:space="preserve">International Journal of </w:t>
      </w:r>
      <w:r w:rsidRPr="00E058E5">
        <w:rPr>
          <w:rFonts w:ascii="Times New Roman" w:hAnsi="Times New Roman" w:cs="Times New Roman"/>
          <w:i/>
          <w:iCs/>
          <w:color w:val="222222"/>
          <w:sz w:val="24"/>
          <w:szCs w:val="24"/>
          <w:shd w:val="clear" w:color="auto" w:fill="FFFFFF"/>
        </w:rPr>
        <w:t>Innovation Research and Advanced Studies</w:t>
      </w:r>
      <w:r w:rsidRPr="00E058E5">
        <w:rPr>
          <w:rFonts w:ascii="Times New Roman" w:hAnsi="Times New Roman" w:cs="Times New Roman"/>
          <w:color w:val="222222"/>
          <w:sz w:val="24"/>
          <w:szCs w:val="24"/>
          <w:shd w:val="clear" w:color="auto" w:fill="FFFFFF"/>
        </w:rPr>
        <w:t>.</w:t>
      </w:r>
    </w:p>
    <w:p w14:paraId="42ADE90E" w14:textId="77777777" w:rsidR="002B1660" w:rsidRPr="00455003" w:rsidRDefault="002B1660" w:rsidP="00E83841">
      <w:pPr>
        <w:spacing w:before="240" w:line="360" w:lineRule="auto"/>
        <w:jc w:val="both"/>
        <w:rPr>
          <w:rFonts w:ascii="Times New Roman" w:eastAsia="Calibri" w:hAnsi="Times New Roman" w:cs="Times New Roman"/>
          <w:sz w:val="24"/>
          <w:szCs w:val="24"/>
        </w:rPr>
      </w:pPr>
      <w:proofErr w:type="spellStart"/>
      <w:r w:rsidRPr="00EB13C3">
        <w:rPr>
          <w:rFonts w:ascii="Times New Roman" w:eastAsia="Calibri" w:hAnsi="Times New Roman" w:cs="Times New Roman"/>
          <w:sz w:val="24"/>
        </w:rPr>
        <w:t>Andiema</w:t>
      </w:r>
      <w:proofErr w:type="spellEnd"/>
      <w:r w:rsidRPr="00EB13C3">
        <w:rPr>
          <w:rFonts w:ascii="Times New Roman" w:eastAsia="Calibri" w:hAnsi="Times New Roman" w:cs="Times New Roman"/>
          <w:sz w:val="24"/>
        </w:rPr>
        <w:t>, N. (2021). Influence of culture on girl child educatio</w:t>
      </w:r>
      <w:r w:rsidR="00E83841">
        <w:rPr>
          <w:rFonts w:ascii="Times New Roman" w:eastAsia="Calibri" w:hAnsi="Times New Roman" w:cs="Times New Roman"/>
          <w:sz w:val="24"/>
        </w:rPr>
        <w:t>n in Central Pokot Sub County,</w:t>
      </w:r>
      <w:r>
        <w:rPr>
          <w:rFonts w:ascii="Times New Roman" w:eastAsia="Calibri" w:hAnsi="Times New Roman" w:cs="Times New Roman"/>
          <w:sz w:val="24"/>
        </w:rPr>
        <w:t xml:space="preserve"> Kenya.</w:t>
      </w:r>
      <w:r>
        <w:rPr>
          <w:rFonts w:ascii="Times New Roman" w:eastAsia="Calibri" w:hAnsi="Times New Roman" w:cs="Times New Roman"/>
          <w:i/>
          <w:iCs/>
          <w:sz w:val="24"/>
        </w:rPr>
        <w:t xml:space="preserve"> East </w:t>
      </w:r>
      <w:r w:rsidRPr="00EB13C3">
        <w:rPr>
          <w:rFonts w:ascii="Times New Roman" w:eastAsia="Calibri" w:hAnsi="Times New Roman" w:cs="Times New Roman"/>
          <w:i/>
          <w:iCs/>
          <w:sz w:val="24"/>
        </w:rPr>
        <w:t>African Journal of Education Studies, 3</w:t>
      </w:r>
      <w:r w:rsidR="00E83841">
        <w:rPr>
          <w:rFonts w:ascii="Times New Roman" w:eastAsia="Calibri" w:hAnsi="Times New Roman" w:cs="Times New Roman"/>
          <w:sz w:val="24"/>
        </w:rPr>
        <w:t xml:space="preserve">(1), 26-38. </w:t>
      </w:r>
      <w:hyperlink r:id="rId13" w:tgtFrame="_new" w:history="1">
        <w:r w:rsidRPr="00EB13C3">
          <w:rPr>
            <w:rFonts w:ascii="Times New Roman" w:eastAsia="Calibri" w:hAnsi="Times New Roman" w:cs="Times New Roman"/>
            <w:color w:val="0000FF"/>
            <w:sz w:val="24"/>
          </w:rPr>
          <w:t>https://doi.org/10.37284/eajes.3.1.27</w:t>
        </w:r>
      </w:hyperlink>
    </w:p>
    <w:p w14:paraId="24D29C7F" w14:textId="77777777" w:rsidR="002B1660" w:rsidRDefault="002B1660" w:rsidP="00E83841">
      <w:pPr>
        <w:spacing w:line="360" w:lineRule="auto"/>
        <w:jc w:val="both"/>
        <w:rPr>
          <w:rFonts w:ascii="Times New Roman" w:hAnsi="Times New Roman" w:cs="Times New Roman"/>
          <w:color w:val="222222"/>
          <w:sz w:val="24"/>
          <w:szCs w:val="24"/>
          <w:shd w:val="clear" w:color="auto" w:fill="FFFFFF"/>
        </w:rPr>
      </w:pPr>
      <w:r w:rsidRPr="00B44403">
        <w:rPr>
          <w:rFonts w:ascii="Times New Roman" w:hAnsi="Times New Roman" w:cs="Times New Roman"/>
          <w:color w:val="222222"/>
          <w:sz w:val="24"/>
          <w:szCs w:val="24"/>
          <w:shd w:val="clear" w:color="auto" w:fill="FFFFFF"/>
        </w:rPr>
        <w:t xml:space="preserve">Bains, R. M., &amp; Mendelson, T. (2019). School-based health centers and academic </w:t>
      </w:r>
      <w:r w:rsidRPr="00B44403">
        <w:rPr>
          <w:rFonts w:ascii="Times New Roman" w:hAnsi="Times New Roman" w:cs="Times New Roman"/>
          <w:color w:val="222222"/>
          <w:sz w:val="24"/>
          <w:szCs w:val="24"/>
          <w:shd w:val="clear" w:color="auto" w:fill="FFFFFF"/>
        </w:rPr>
        <w:lastRenderedPageBreak/>
        <w:t>performance: A syste</w:t>
      </w:r>
      <w:r w:rsidR="002C141B">
        <w:rPr>
          <w:rFonts w:ascii="Times New Roman" w:hAnsi="Times New Roman" w:cs="Times New Roman"/>
          <w:color w:val="222222"/>
          <w:sz w:val="24"/>
          <w:szCs w:val="24"/>
          <w:shd w:val="clear" w:color="auto" w:fill="FFFFFF"/>
        </w:rPr>
        <w:t xml:space="preserve">matic review. Journal of School Health, </w:t>
      </w:r>
      <w:r w:rsidR="00E83841">
        <w:rPr>
          <w:rFonts w:ascii="Times New Roman" w:hAnsi="Times New Roman" w:cs="Times New Roman"/>
          <w:color w:val="222222"/>
          <w:sz w:val="24"/>
          <w:szCs w:val="24"/>
          <w:shd w:val="clear" w:color="auto" w:fill="FFFFFF"/>
        </w:rPr>
        <w:t>89(5),</w:t>
      </w:r>
      <w:r w:rsidRPr="00B44403">
        <w:rPr>
          <w:rFonts w:ascii="Times New Roman" w:hAnsi="Times New Roman" w:cs="Times New Roman"/>
          <w:color w:val="222222"/>
          <w:sz w:val="24"/>
          <w:szCs w:val="24"/>
          <w:shd w:val="clear" w:color="auto" w:fill="FFFFFF"/>
        </w:rPr>
        <w:t xml:space="preserve">360–368. </w:t>
      </w:r>
      <w:hyperlink r:id="rId14" w:history="1">
        <w:r w:rsidRPr="00E83841">
          <w:rPr>
            <w:rStyle w:val="Hyperlink"/>
            <w:rFonts w:ascii="Times New Roman" w:hAnsi="Times New Roman" w:cs="Times New Roman"/>
            <w:sz w:val="24"/>
            <w:szCs w:val="24"/>
            <w:u w:val="none"/>
            <w:shd w:val="clear" w:color="auto" w:fill="FFFFFF"/>
          </w:rPr>
          <w:t>https://doi.org/10.1111/josh.12823</w:t>
        </w:r>
      </w:hyperlink>
    </w:p>
    <w:p w14:paraId="3ECA88E2" w14:textId="77777777" w:rsidR="002B1660" w:rsidRPr="00C838FA" w:rsidRDefault="002B1660" w:rsidP="00E83841">
      <w:pPr>
        <w:spacing w:line="360" w:lineRule="auto"/>
        <w:jc w:val="both"/>
        <w:rPr>
          <w:rFonts w:ascii="Times New Roman" w:hAnsi="Times New Roman" w:cs="Times New Roman"/>
          <w:color w:val="222222"/>
          <w:sz w:val="24"/>
          <w:szCs w:val="24"/>
          <w:shd w:val="clear" w:color="auto" w:fill="FFFFFF"/>
        </w:rPr>
      </w:pPr>
      <w:r w:rsidRPr="00EB13C3">
        <w:rPr>
          <w:rFonts w:ascii="Times New Roman" w:hAnsi="Times New Roman" w:cs="Times New Roman"/>
          <w:color w:val="222222"/>
          <w:sz w:val="24"/>
          <w:szCs w:val="24"/>
          <w:shd w:val="clear" w:color="auto" w:fill="FFFFFF"/>
        </w:rPr>
        <w:t xml:space="preserve">Bizimana, E. (2018). </w:t>
      </w:r>
      <w:r w:rsidRPr="00EB13C3">
        <w:rPr>
          <w:rFonts w:ascii="Times New Roman" w:hAnsi="Times New Roman" w:cs="Times New Roman"/>
          <w:i/>
          <w:color w:val="222222"/>
          <w:sz w:val="24"/>
          <w:szCs w:val="24"/>
          <w:shd w:val="clear" w:color="auto" w:fill="FFFFFF"/>
        </w:rPr>
        <w:t xml:space="preserve">Analysis of factors affecting girls’ access to education in selected secondary </w:t>
      </w:r>
      <w:r w:rsidRPr="00EB13C3">
        <w:rPr>
          <w:rFonts w:ascii="Times New Roman" w:hAnsi="Times New Roman" w:cs="Times New Roman"/>
          <w:i/>
          <w:color w:val="222222"/>
          <w:sz w:val="24"/>
          <w:szCs w:val="24"/>
          <w:shd w:val="clear" w:color="auto" w:fill="FFFFFF"/>
        </w:rPr>
        <w:tab/>
        <w:t>schools in Huye District, Rwanda</w:t>
      </w:r>
      <w:r w:rsidRPr="00EB13C3">
        <w:rPr>
          <w:rFonts w:ascii="Times New Roman" w:hAnsi="Times New Roman" w:cs="Times New Roman"/>
          <w:color w:val="222222"/>
          <w:sz w:val="24"/>
          <w:szCs w:val="24"/>
          <w:shd w:val="clear" w:color="auto" w:fill="FFFFFF"/>
        </w:rPr>
        <w:t>.</w:t>
      </w:r>
    </w:p>
    <w:p w14:paraId="7AF20A48" w14:textId="77777777" w:rsidR="002B1660" w:rsidRPr="00DD005F" w:rsidRDefault="002B1660" w:rsidP="00E83841">
      <w:pPr>
        <w:spacing w:line="360" w:lineRule="auto"/>
        <w:contextualSpacing/>
        <w:jc w:val="both"/>
        <w:rPr>
          <w:rFonts w:ascii="Times New Roman" w:eastAsia="Calibri" w:hAnsi="Times New Roman" w:cs="Times New Roman"/>
          <w:sz w:val="24"/>
        </w:rPr>
      </w:pPr>
      <w:proofErr w:type="spellStart"/>
      <w:r w:rsidRPr="00EB13C3">
        <w:rPr>
          <w:rFonts w:ascii="Times New Roman" w:eastAsia="Calibri" w:hAnsi="Times New Roman" w:cs="Times New Roman"/>
          <w:sz w:val="24"/>
        </w:rPr>
        <w:t>Chitope</w:t>
      </w:r>
      <w:proofErr w:type="spellEnd"/>
      <w:r w:rsidRPr="00EB13C3">
        <w:rPr>
          <w:rFonts w:ascii="Times New Roman" w:eastAsia="Calibri" w:hAnsi="Times New Roman" w:cs="Times New Roman"/>
          <w:sz w:val="24"/>
        </w:rPr>
        <w:t>, B. M. (2024).</w:t>
      </w:r>
      <w:r w:rsidRPr="00EB13C3">
        <w:rPr>
          <w:rFonts w:ascii="Times New Roman" w:eastAsia="Calibri" w:hAnsi="Times New Roman" w:cs="Times New Roman"/>
          <w:i/>
          <w:sz w:val="24"/>
        </w:rPr>
        <w:t xml:space="preserve"> Determining predictors of internal efficiency of public universities</w:t>
      </w:r>
      <w:r w:rsidRPr="00EB13C3">
        <w:rPr>
          <w:rFonts w:ascii="Times New Roman" w:eastAsia="Calibri" w:hAnsi="Times New Roman" w:cs="Times New Roman"/>
          <w:sz w:val="24"/>
        </w:rPr>
        <w:t xml:space="preserve">: Case </w:t>
      </w:r>
      <w:r>
        <w:rPr>
          <w:rFonts w:ascii="Times New Roman" w:eastAsia="Calibri" w:hAnsi="Times New Roman" w:cs="Times New Roman"/>
          <w:sz w:val="24"/>
        </w:rPr>
        <w:tab/>
      </w:r>
      <w:r w:rsidR="00E83841">
        <w:rPr>
          <w:rFonts w:ascii="Times New Roman" w:eastAsia="Calibri" w:hAnsi="Times New Roman" w:cs="Times New Roman"/>
          <w:sz w:val="24"/>
        </w:rPr>
        <w:t xml:space="preserve">of </w:t>
      </w:r>
      <w:r w:rsidRPr="00EB13C3">
        <w:rPr>
          <w:rFonts w:ascii="Times New Roman" w:eastAsia="Calibri" w:hAnsi="Times New Roman" w:cs="Times New Roman"/>
          <w:sz w:val="24"/>
        </w:rPr>
        <w:t>selected universities in Malawi (Doctoral dissertation).</w:t>
      </w:r>
    </w:p>
    <w:p w14:paraId="32817799" w14:textId="77777777" w:rsidR="002B1660" w:rsidRPr="00455003" w:rsidRDefault="002B1660" w:rsidP="00E83841">
      <w:pPr>
        <w:spacing w:line="360" w:lineRule="auto"/>
        <w:jc w:val="both"/>
        <w:rPr>
          <w:rFonts w:ascii="Times New Roman" w:eastAsia="Calibri" w:hAnsi="Times New Roman" w:cs="Times New Roman"/>
          <w:sz w:val="24"/>
          <w:szCs w:val="24"/>
        </w:rPr>
      </w:pPr>
      <w:r w:rsidRPr="00EB13C3">
        <w:rPr>
          <w:rFonts w:ascii="Times New Roman" w:eastAsia="Calibri" w:hAnsi="Times New Roman" w:cs="Times New Roman"/>
          <w:sz w:val="24"/>
          <w:szCs w:val="24"/>
        </w:rPr>
        <w:t xml:space="preserve">Cornwall, A., &amp; Rivas, A.M. (2015). </w:t>
      </w:r>
      <w:r w:rsidRPr="00EB13C3">
        <w:rPr>
          <w:rFonts w:ascii="Times New Roman" w:eastAsia="Calibri" w:hAnsi="Times New Roman" w:cs="Times New Roman"/>
          <w:i/>
          <w:sz w:val="24"/>
          <w:szCs w:val="24"/>
        </w:rPr>
        <w:t>From ‘gender eq</w:t>
      </w:r>
      <w:r>
        <w:rPr>
          <w:rFonts w:ascii="Times New Roman" w:eastAsia="Calibri" w:hAnsi="Times New Roman" w:cs="Times New Roman"/>
          <w:i/>
          <w:sz w:val="24"/>
          <w:szCs w:val="24"/>
        </w:rPr>
        <w:t xml:space="preserve">uality and ‘women’s empowerment </w:t>
      </w:r>
      <w:r w:rsidRPr="00EB13C3">
        <w:rPr>
          <w:rFonts w:ascii="Times New Roman" w:eastAsia="Calibri" w:hAnsi="Times New Roman" w:cs="Times New Roman"/>
          <w:i/>
          <w:sz w:val="24"/>
          <w:szCs w:val="24"/>
        </w:rPr>
        <w:t xml:space="preserve">to global </w:t>
      </w:r>
      <w:r w:rsidRPr="00EB13C3">
        <w:rPr>
          <w:rFonts w:ascii="Times New Roman" w:eastAsia="Calibri" w:hAnsi="Times New Roman" w:cs="Times New Roman"/>
          <w:i/>
          <w:sz w:val="24"/>
          <w:szCs w:val="24"/>
        </w:rPr>
        <w:tab/>
        <w:t>justice:  reclaiming a transformative agenda for gender and development</w:t>
      </w:r>
      <w:r w:rsidRPr="00EB13C3">
        <w:rPr>
          <w:rFonts w:ascii="Times New Roman" w:eastAsia="Calibri" w:hAnsi="Times New Roman" w:cs="Times New Roman"/>
          <w:sz w:val="24"/>
          <w:szCs w:val="24"/>
        </w:rPr>
        <w:t xml:space="preserve">. Third World </w:t>
      </w:r>
      <w:r w:rsidRPr="00EB13C3">
        <w:rPr>
          <w:rFonts w:ascii="Times New Roman" w:eastAsia="Calibri" w:hAnsi="Times New Roman" w:cs="Times New Roman"/>
          <w:sz w:val="24"/>
          <w:szCs w:val="24"/>
        </w:rPr>
        <w:tab/>
        <w:t>Quarterly, 36(2), 396-415.</w:t>
      </w:r>
    </w:p>
    <w:p w14:paraId="2BD603C5" w14:textId="77777777" w:rsidR="002B1660" w:rsidRPr="00455003" w:rsidRDefault="002B1660" w:rsidP="00E83841">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Dost, G.  (2024).</w:t>
      </w:r>
      <w:r w:rsidRPr="00EB13C3">
        <w:rPr>
          <w:rFonts w:ascii="Times New Roman" w:eastAsia="Calibri" w:hAnsi="Times New Roman" w:cs="Times New Roman"/>
          <w:sz w:val="24"/>
          <w:szCs w:val="24"/>
        </w:rPr>
        <w:t xml:space="preserve"> Students’ perspectives on the STEM </w:t>
      </w:r>
      <w:r w:rsidR="002C141B">
        <w:rPr>
          <w:rFonts w:ascii="Times New Roman" w:eastAsia="Calibri" w:hAnsi="Times New Roman" w:cs="Times New Roman"/>
          <w:sz w:val="24"/>
          <w:szCs w:val="24"/>
        </w:rPr>
        <w:t xml:space="preserve">belonging ‘concept at A-level, </w:t>
      </w:r>
      <w:r w:rsidRPr="00EB13C3">
        <w:rPr>
          <w:rFonts w:ascii="Times New Roman" w:eastAsia="Calibri" w:hAnsi="Times New Roman" w:cs="Times New Roman"/>
          <w:sz w:val="24"/>
          <w:szCs w:val="24"/>
        </w:rPr>
        <w:t>undergraduate, and postgraduate levels: an examination of g</w:t>
      </w:r>
      <w:r w:rsidR="002C141B">
        <w:rPr>
          <w:rFonts w:ascii="Times New Roman" w:eastAsia="Calibri" w:hAnsi="Times New Roman" w:cs="Times New Roman"/>
          <w:sz w:val="24"/>
          <w:szCs w:val="24"/>
        </w:rPr>
        <w:t xml:space="preserve">ender and ethnicity in student </w:t>
      </w:r>
      <w:r w:rsidRPr="00EB13C3">
        <w:rPr>
          <w:rFonts w:ascii="Times New Roman" w:eastAsia="Calibri" w:hAnsi="Times New Roman" w:cs="Times New Roman"/>
          <w:sz w:val="24"/>
          <w:szCs w:val="24"/>
        </w:rPr>
        <w:t xml:space="preserve">descriptions. </w:t>
      </w:r>
      <w:r w:rsidRPr="00EB13C3">
        <w:rPr>
          <w:rFonts w:ascii="Times New Roman" w:eastAsia="Calibri" w:hAnsi="Times New Roman" w:cs="Times New Roman"/>
          <w:i/>
          <w:sz w:val="24"/>
          <w:szCs w:val="24"/>
        </w:rPr>
        <w:t>International Journal of STEM Education, 11(1), 133-.</w:t>
      </w:r>
    </w:p>
    <w:p w14:paraId="4C5B7894" w14:textId="77777777" w:rsidR="002B1660" w:rsidRDefault="002B1660" w:rsidP="00E83841">
      <w:pPr>
        <w:spacing w:line="360" w:lineRule="auto"/>
        <w:jc w:val="both"/>
        <w:rPr>
          <w:rFonts w:ascii="Times New Roman" w:hAnsi="Times New Roman" w:cs="Times New Roman"/>
          <w:color w:val="222222"/>
          <w:sz w:val="24"/>
          <w:szCs w:val="24"/>
          <w:shd w:val="clear" w:color="auto" w:fill="FFFFFF"/>
        </w:rPr>
      </w:pPr>
      <w:r w:rsidRPr="00EB13C3">
        <w:rPr>
          <w:rFonts w:ascii="Times New Roman" w:hAnsi="Times New Roman" w:cs="Times New Roman"/>
          <w:color w:val="222222"/>
          <w:sz w:val="24"/>
          <w:szCs w:val="24"/>
          <w:shd w:val="clear" w:color="auto" w:fill="FFFFFF"/>
        </w:rPr>
        <w:t xml:space="preserve">Haidar, J. (2010). Prevalence of </w:t>
      </w:r>
      <w:proofErr w:type="spellStart"/>
      <w:r w:rsidRPr="00EB13C3">
        <w:rPr>
          <w:rFonts w:ascii="Times New Roman" w:hAnsi="Times New Roman" w:cs="Times New Roman"/>
          <w:color w:val="222222"/>
          <w:sz w:val="24"/>
          <w:szCs w:val="24"/>
          <w:shd w:val="clear" w:color="auto" w:fill="FFFFFF"/>
        </w:rPr>
        <w:t>anaemia</w:t>
      </w:r>
      <w:proofErr w:type="spellEnd"/>
      <w:r w:rsidRPr="00EB13C3">
        <w:rPr>
          <w:rFonts w:ascii="Times New Roman" w:hAnsi="Times New Roman" w:cs="Times New Roman"/>
          <w:color w:val="222222"/>
          <w:sz w:val="24"/>
          <w:szCs w:val="24"/>
          <w:shd w:val="clear" w:color="auto" w:fill="FFFFFF"/>
        </w:rPr>
        <w:t>, deficiencies of iron and folic acid, and their determinants</w:t>
      </w:r>
      <w:r w:rsidRPr="00EB13C3">
        <w:rPr>
          <w:rFonts w:ascii="Times New Roman" w:hAnsi="Times New Roman" w:cs="Times New Roman"/>
          <w:color w:val="222222"/>
          <w:sz w:val="24"/>
          <w:szCs w:val="24"/>
          <w:shd w:val="clear" w:color="auto" w:fill="FFFFFF"/>
        </w:rPr>
        <w:tab/>
        <w:t xml:space="preserve"> in Ethiopian women. </w:t>
      </w:r>
      <w:r w:rsidRPr="00EB13C3">
        <w:rPr>
          <w:rFonts w:ascii="Times New Roman" w:hAnsi="Times New Roman" w:cs="Times New Roman"/>
          <w:i/>
          <w:iCs/>
          <w:color w:val="222222"/>
          <w:sz w:val="24"/>
          <w:szCs w:val="24"/>
          <w:shd w:val="clear" w:color="auto" w:fill="FFFFFF"/>
        </w:rPr>
        <w:t>Journal of health, population, and nutrition</w:t>
      </w:r>
      <w:r w:rsidRPr="00EB13C3">
        <w:rPr>
          <w:rFonts w:ascii="Times New Roman" w:hAnsi="Times New Roman" w:cs="Times New Roman"/>
          <w:color w:val="222222"/>
          <w:sz w:val="24"/>
          <w:szCs w:val="24"/>
          <w:shd w:val="clear" w:color="auto" w:fill="FFFFFF"/>
        </w:rPr>
        <w:t>, </w:t>
      </w:r>
      <w:r w:rsidRPr="00EB13C3">
        <w:rPr>
          <w:rFonts w:ascii="Times New Roman" w:hAnsi="Times New Roman" w:cs="Times New Roman"/>
          <w:i/>
          <w:iCs/>
          <w:color w:val="222222"/>
          <w:sz w:val="24"/>
          <w:szCs w:val="24"/>
          <w:shd w:val="clear" w:color="auto" w:fill="FFFFFF"/>
        </w:rPr>
        <w:t>28</w:t>
      </w:r>
      <w:r w:rsidRPr="00EB13C3">
        <w:rPr>
          <w:rFonts w:ascii="Times New Roman" w:hAnsi="Times New Roman" w:cs="Times New Roman"/>
          <w:color w:val="222222"/>
          <w:sz w:val="24"/>
          <w:szCs w:val="24"/>
          <w:shd w:val="clear" w:color="auto" w:fill="FFFFFF"/>
        </w:rPr>
        <w:t>(4), 359.</w:t>
      </w:r>
    </w:p>
    <w:p w14:paraId="6C2DA1B3" w14:textId="721DC3DA" w:rsidR="002B1660" w:rsidRDefault="002B1660" w:rsidP="00E83841">
      <w:pPr>
        <w:spacing w:line="360" w:lineRule="auto"/>
        <w:jc w:val="both"/>
        <w:rPr>
          <w:rFonts w:ascii="Times New Roman" w:hAnsi="Times New Roman" w:cs="Times New Roman"/>
          <w:color w:val="222222"/>
          <w:sz w:val="24"/>
          <w:szCs w:val="24"/>
          <w:shd w:val="clear" w:color="auto" w:fill="FFFFFF"/>
        </w:rPr>
      </w:pPr>
      <w:r w:rsidRPr="00EB13C3">
        <w:rPr>
          <w:rFonts w:ascii="Times New Roman" w:hAnsi="Times New Roman" w:cs="Times New Roman"/>
          <w:color w:val="222222"/>
          <w:sz w:val="24"/>
          <w:szCs w:val="24"/>
          <w:shd w:val="clear" w:color="auto" w:fill="FFFFFF"/>
        </w:rPr>
        <w:t>Heymann, J., Levy, J. K., Bose, B., Ríos-Salas, V., Mekonen, Y., Swaminathan, H.,</w:t>
      </w:r>
      <w:r>
        <w:rPr>
          <w:rFonts w:ascii="Times New Roman" w:hAnsi="Times New Roman" w:cs="Times New Roman"/>
          <w:color w:val="222222"/>
          <w:sz w:val="24"/>
          <w:szCs w:val="24"/>
          <w:shd w:val="clear" w:color="auto" w:fill="FFFFFF"/>
        </w:rPr>
        <w:t xml:space="preserve"> </w:t>
      </w:r>
      <w:r w:rsidRPr="00EB13C3">
        <w:rPr>
          <w:rFonts w:ascii="Times New Roman" w:hAnsi="Times New Roman" w:cs="Times New Roman"/>
          <w:color w:val="222222"/>
          <w:sz w:val="24"/>
          <w:szCs w:val="24"/>
          <w:shd w:val="clear" w:color="auto" w:fill="FFFFFF"/>
        </w:rPr>
        <w:t xml:space="preserve">&amp; Gupta, </w:t>
      </w:r>
      <w:r w:rsidRPr="00EB13C3">
        <w:rPr>
          <w:rFonts w:ascii="Times New Roman" w:hAnsi="Times New Roman" w:cs="Times New Roman"/>
          <w:color w:val="222222"/>
          <w:sz w:val="24"/>
          <w:szCs w:val="24"/>
          <w:shd w:val="clear" w:color="auto" w:fill="FFFFFF"/>
        </w:rPr>
        <w:tab/>
        <w:t>G. R. (2019). Improving health with programmatic, legal, a</w:t>
      </w:r>
      <w:r w:rsidR="00E83841">
        <w:rPr>
          <w:rFonts w:ascii="Times New Roman" w:hAnsi="Times New Roman" w:cs="Times New Roman"/>
          <w:color w:val="222222"/>
          <w:sz w:val="24"/>
          <w:szCs w:val="24"/>
          <w:shd w:val="clear" w:color="auto" w:fill="FFFFFF"/>
        </w:rPr>
        <w:t xml:space="preserve">nd policy approaches to reduce </w:t>
      </w:r>
      <w:r w:rsidRPr="00EB13C3">
        <w:rPr>
          <w:rFonts w:ascii="Times New Roman" w:hAnsi="Times New Roman" w:cs="Times New Roman"/>
          <w:color w:val="222222"/>
          <w:sz w:val="24"/>
          <w:szCs w:val="24"/>
          <w:shd w:val="clear" w:color="auto" w:fill="FFFFFF"/>
        </w:rPr>
        <w:t>gender inequality and cha</w:t>
      </w:r>
      <w:r w:rsidR="00E83841">
        <w:rPr>
          <w:rFonts w:ascii="Times New Roman" w:hAnsi="Times New Roman" w:cs="Times New Roman"/>
          <w:color w:val="222222"/>
          <w:sz w:val="24"/>
          <w:szCs w:val="24"/>
          <w:shd w:val="clear" w:color="auto" w:fill="FFFFFF"/>
        </w:rPr>
        <w:t xml:space="preserve">nge </w:t>
      </w:r>
      <w:proofErr w:type="spellStart"/>
      <w:r w:rsidR="00E83841">
        <w:rPr>
          <w:rFonts w:ascii="Times New Roman" w:hAnsi="Times New Roman" w:cs="Times New Roman"/>
          <w:color w:val="222222"/>
          <w:sz w:val="24"/>
          <w:szCs w:val="24"/>
          <w:shd w:val="clear" w:color="auto" w:fill="FFFFFF"/>
        </w:rPr>
        <w:t>restrictivegender</w:t>
      </w:r>
      <w:r w:rsidRPr="00EB13C3">
        <w:rPr>
          <w:rFonts w:ascii="Times New Roman" w:hAnsi="Times New Roman" w:cs="Times New Roman"/>
          <w:color w:val="222222"/>
          <w:sz w:val="24"/>
          <w:szCs w:val="24"/>
          <w:shd w:val="clear" w:color="auto" w:fill="FFFFFF"/>
        </w:rPr>
        <w:t>norms</w:t>
      </w:r>
      <w:proofErr w:type="spellEnd"/>
      <w:r w:rsidRPr="00EB13C3">
        <w:rPr>
          <w:rFonts w:ascii="Times New Roman" w:hAnsi="Times New Roman" w:cs="Times New Roman"/>
          <w:color w:val="222222"/>
          <w:sz w:val="24"/>
          <w:szCs w:val="24"/>
          <w:shd w:val="clear" w:color="auto" w:fill="FFFFFF"/>
        </w:rPr>
        <w:t>. </w:t>
      </w:r>
      <w:r w:rsidRPr="00EB13C3">
        <w:rPr>
          <w:rFonts w:ascii="Times New Roman" w:hAnsi="Times New Roman" w:cs="Times New Roman"/>
          <w:i/>
          <w:iCs/>
          <w:color w:val="222222"/>
          <w:sz w:val="24"/>
          <w:szCs w:val="24"/>
          <w:shd w:val="clear" w:color="auto" w:fill="FFFFFF"/>
        </w:rPr>
        <w:t>The Lancet</w:t>
      </w:r>
      <w:r w:rsidRPr="00EB13C3">
        <w:rPr>
          <w:rFonts w:ascii="Times New Roman" w:hAnsi="Times New Roman" w:cs="Times New Roman"/>
          <w:color w:val="222222"/>
          <w:sz w:val="24"/>
          <w:szCs w:val="24"/>
          <w:shd w:val="clear" w:color="auto" w:fill="FFFFFF"/>
        </w:rPr>
        <w:t>, </w:t>
      </w:r>
      <w:r w:rsidRPr="00EB13C3">
        <w:rPr>
          <w:rFonts w:ascii="Times New Roman" w:hAnsi="Times New Roman" w:cs="Times New Roman"/>
          <w:i/>
          <w:iCs/>
          <w:color w:val="222222"/>
          <w:sz w:val="24"/>
          <w:szCs w:val="24"/>
          <w:shd w:val="clear" w:color="auto" w:fill="FFFFFF"/>
        </w:rPr>
        <w:t>393</w:t>
      </w:r>
      <w:r w:rsidRPr="00EB13C3">
        <w:rPr>
          <w:rFonts w:ascii="Times New Roman" w:hAnsi="Times New Roman" w:cs="Times New Roman"/>
          <w:color w:val="222222"/>
          <w:sz w:val="24"/>
          <w:szCs w:val="24"/>
          <w:shd w:val="clear" w:color="auto" w:fill="FFFFFF"/>
        </w:rPr>
        <w:t>(10190), 2522-</w:t>
      </w:r>
      <w:r w:rsidRPr="00EB13C3">
        <w:rPr>
          <w:rFonts w:ascii="Times New Roman" w:hAnsi="Times New Roman" w:cs="Times New Roman"/>
          <w:color w:val="222222"/>
          <w:sz w:val="24"/>
          <w:szCs w:val="24"/>
          <w:shd w:val="clear" w:color="auto" w:fill="FFFFFF"/>
        </w:rPr>
        <w:tab/>
        <w:t>2534.</w:t>
      </w:r>
    </w:p>
    <w:p w14:paraId="7AEF8697" w14:textId="1FAE312E" w:rsidR="00B32592" w:rsidRPr="00B32592" w:rsidRDefault="00B32592" w:rsidP="00E83841">
      <w:pPr>
        <w:spacing w:line="360" w:lineRule="auto"/>
        <w:jc w:val="both"/>
        <w:rPr>
          <w:rFonts w:ascii="Times New Roman" w:hAnsi="Times New Roman" w:cs="Times New Roman"/>
          <w:color w:val="222222"/>
          <w:sz w:val="24"/>
          <w:szCs w:val="24"/>
          <w:shd w:val="clear" w:color="auto" w:fill="FFFFFF"/>
          <w:lang w:val="en-GB"/>
        </w:rPr>
      </w:pPr>
      <w:r w:rsidRPr="00B32592">
        <w:rPr>
          <w:rFonts w:ascii="Times New Roman" w:hAnsi="Times New Roman" w:cs="Times New Roman"/>
          <w:color w:val="222222"/>
          <w:sz w:val="24"/>
          <w:szCs w:val="24"/>
          <w:shd w:val="clear" w:color="auto" w:fill="FFFFFF"/>
          <w:lang w:val="en-GB"/>
        </w:rPr>
        <w:t xml:space="preserve">Ibrahim, S. B. M., </w:t>
      </w:r>
      <w:proofErr w:type="spellStart"/>
      <w:r w:rsidRPr="00B32592">
        <w:rPr>
          <w:rFonts w:ascii="Times New Roman" w:hAnsi="Times New Roman" w:cs="Times New Roman"/>
          <w:color w:val="222222"/>
          <w:sz w:val="24"/>
          <w:szCs w:val="24"/>
          <w:shd w:val="clear" w:color="auto" w:fill="FFFFFF"/>
          <w:lang w:val="en-GB"/>
        </w:rPr>
        <w:t>Johanis</w:t>
      </w:r>
      <w:proofErr w:type="spellEnd"/>
      <w:r w:rsidRPr="00B32592">
        <w:rPr>
          <w:rFonts w:ascii="Times New Roman" w:hAnsi="Times New Roman" w:cs="Times New Roman"/>
          <w:color w:val="222222"/>
          <w:sz w:val="24"/>
          <w:szCs w:val="24"/>
          <w:shd w:val="clear" w:color="auto" w:fill="FFFFFF"/>
          <w:lang w:val="en-GB"/>
        </w:rPr>
        <w:t xml:space="preserve">, M. A., Sultan, N. H. H., &amp; </w:t>
      </w:r>
      <w:proofErr w:type="spellStart"/>
      <w:r w:rsidRPr="00B32592">
        <w:rPr>
          <w:rFonts w:ascii="Times New Roman" w:hAnsi="Times New Roman" w:cs="Times New Roman"/>
          <w:color w:val="222222"/>
          <w:sz w:val="24"/>
          <w:szCs w:val="24"/>
          <w:shd w:val="clear" w:color="auto" w:fill="FFFFFF"/>
          <w:lang w:val="en-GB"/>
        </w:rPr>
        <w:t>Basir</w:t>
      </w:r>
      <w:proofErr w:type="spellEnd"/>
      <w:r w:rsidRPr="00B32592">
        <w:rPr>
          <w:rFonts w:ascii="Times New Roman" w:hAnsi="Times New Roman" w:cs="Times New Roman"/>
          <w:color w:val="222222"/>
          <w:sz w:val="24"/>
          <w:szCs w:val="24"/>
          <w:shd w:val="clear" w:color="auto" w:fill="FFFFFF"/>
          <w:lang w:val="en-GB"/>
        </w:rPr>
        <w:t xml:space="preserve">, S. N. M. (2024). Gender Equality in the Higher Education Workforce. </w:t>
      </w:r>
      <w:r w:rsidRPr="00B32592">
        <w:rPr>
          <w:rFonts w:ascii="Times New Roman" w:hAnsi="Times New Roman" w:cs="Times New Roman"/>
          <w:i/>
          <w:color w:val="222222"/>
          <w:sz w:val="24"/>
          <w:szCs w:val="24"/>
          <w:shd w:val="clear" w:color="auto" w:fill="FFFFFF"/>
          <w:lang w:val="en-GB"/>
        </w:rPr>
        <w:t>South Asian Journal of Social Studies and Economics,</w:t>
      </w:r>
      <w:r>
        <w:rPr>
          <w:rFonts w:ascii="Times New Roman" w:hAnsi="Times New Roman" w:cs="Times New Roman"/>
          <w:color w:val="222222"/>
          <w:sz w:val="24"/>
          <w:szCs w:val="24"/>
          <w:shd w:val="clear" w:color="auto" w:fill="FFFFFF"/>
          <w:lang w:val="en-GB"/>
        </w:rPr>
        <w:t xml:space="preserve">21(8),107–117. </w:t>
      </w:r>
      <w:hyperlink r:id="rId15" w:history="1">
        <w:r w:rsidRPr="00B32592">
          <w:rPr>
            <w:rStyle w:val="Hyperlink"/>
            <w:rFonts w:ascii="Times New Roman" w:hAnsi="Times New Roman" w:cs="Times New Roman"/>
            <w:sz w:val="24"/>
            <w:szCs w:val="24"/>
            <w:shd w:val="clear" w:color="auto" w:fill="FFFFFF"/>
            <w:lang w:val="en-GB"/>
          </w:rPr>
          <w:t>https://doi.org/10.9734/sajsse/2024/v21i8864</w:t>
        </w:r>
      </w:hyperlink>
    </w:p>
    <w:p w14:paraId="2DA14B5C" w14:textId="77777777" w:rsidR="002B1660" w:rsidRPr="00455003" w:rsidRDefault="002B1660" w:rsidP="00E83841">
      <w:pPr>
        <w:spacing w:line="360" w:lineRule="auto"/>
        <w:jc w:val="both"/>
        <w:rPr>
          <w:rFonts w:ascii="Times New Roman" w:eastAsia="Calibri" w:hAnsi="Times New Roman" w:cs="Times New Roman"/>
          <w:sz w:val="24"/>
          <w:szCs w:val="24"/>
        </w:rPr>
      </w:pPr>
      <w:proofErr w:type="spellStart"/>
      <w:r w:rsidRPr="00EB13C3">
        <w:rPr>
          <w:rFonts w:ascii="Times New Roman" w:eastAsia="Calibri" w:hAnsi="Times New Roman" w:cs="Times New Roman"/>
          <w:sz w:val="24"/>
        </w:rPr>
        <w:t>Kanake</w:t>
      </w:r>
      <w:proofErr w:type="spellEnd"/>
      <w:r w:rsidRPr="00EB13C3">
        <w:rPr>
          <w:rFonts w:ascii="Times New Roman" w:eastAsia="Calibri" w:hAnsi="Times New Roman" w:cs="Times New Roman"/>
          <w:sz w:val="24"/>
        </w:rPr>
        <w:t>, L</w:t>
      </w:r>
      <w:r>
        <w:rPr>
          <w:rFonts w:ascii="Times New Roman" w:eastAsia="Calibri" w:hAnsi="Times New Roman" w:cs="Times New Roman"/>
          <w:sz w:val="24"/>
        </w:rPr>
        <w:t>.</w:t>
      </w:r>
      <w:r w:rsidRPr="00EB13C3">
        <w:rPr>
          <w:rFonts w:ascii="Times New Roman" w:eastAsia="Calibri" w:hAnsi="Times New Roman" w:cs="Times New Roman"/>
          <w:sz w:val="24"/>
        </w:rPr>
        <w:t xml:space="preserve"> (2018). </w:t>
      </w:r>
      <w:r w:rsidRPr="00EB13C3">
        <w:rPr>
          <w:rFonts w:ascii="Times New Roman" w:eastAsia="Calibri" w:hAnsi="Times New Roman" w:cs="Times New Roman"/>
          <w:i/>
          <w:sz w:val="24"/>
        </w:rPr>
        <w:t>Gender Disparities among the Academic Staff in Kenya universities</w:t>
      </w:r>
      <w:r w:rsidRPr="00EB13C3">
        <w:rPr>
          <w:rFonts w:ascii="Times New Roman" w:eastAsia="Calibri" w:hAnsi="Times New Roman" w:cs="Times New Roman"/>
          <w:sz w:val="24"/>
        </w:rPr>
        <w:t xml:space="preserve">, Nairobi: </w:t>
      </w:r>
      <w:r w:rsidRPr="00EB13C3">
        <w:rPr>
          <w:rFonts w:ascii="Times New Roman" w:eastAsia="Calibri" w:hAnsi="Times New Roman" w:cs="Times New Roman"/>
          <w:sz w:val="24"/>
        </w:rPr>
        <w:tab/>
        <w:t>Lyceum Educational consultants. Ltd.</w:t>
      </w:r>
    </w:p>
    <w:p w14:paraId="1FD4E1AA" w14:textId="77777777" w:rsidR="002B1660" w:rsidRDefault="002B1660" w:rsidP="00E83841">
      <w:pPr>
        <w:spacing w:line="360" w:lineRule="auto"/>
        <w:jc w:val="both"/>
        <w:rPr>
          <w:rFonts w:ascii="Times New Roman" w:hAnsi="Times New Roman" w:cs="Times New Roman"/>
          <w:color w:val="222222"/>
          <w:sz w:val="24"/>
          <w:szCs w:val="24"/>
          <w:shd w:val="clear" w:color="auto" w:fill="FFFFFF"/>
        </w:rPr>
      </w:pPr>
      <w:proofErr w:type="spellStart"/>
      <w:r w:rsidRPr="00EB13C3">
        <w:rPr>
          <w:rFonts w:ascii="Times New Roman" w:hAnsi="Times New Roman" w:cs="Times New Roman"/>
          <w:color w:val="222222"/>
          <w:sz w:val="24"/>
          <w:szCs w:val="24"/>
          <w:shd w:val="clear" w:color="auto" w:fill="FFFFFF"/>
        </w:rPr>
        <w:t>Kordom</w:t>
      </w:r>
      <w:proofErr w:type="spellEnd"/>
      <w:r w:rsidRPr="00EB13C3">
        <w:rPr>
          <w:rFonts w:ascii="Times New Roman" w:hAnsi="Times New Roman" w:cs="Times New Roman"/>
          <w:color w:val="222222"/>
          <w:sz w:val="24"/>
          <w:szCs w:val="24"/>
          <w:shd w:val="clear" w:color="auto" w:fill="FFFFFF"/>
        </w:rPr>
        <w:t>, C. V. (2024). </w:t>
      </w:r>
      <w:r w:rsidRPr="00EB13C3">
        <w:rPr>
          <w:rFonts w:ascii="Times New Roman" w:hAnsi="Times New Roman" w:cs="Times New Roman"/>
          <w:i/>
          <w:iCs/>
          <w:color w:val="222222"/>
          <w:sz w:val="24"/>
          <w:szCs w:val="24"/>
          <w:shd w:val="clear" w:color="auto" w:fill="FFFFFF"/>
        </w:rPr>
        <w:t>Knowledge, attitudes, and practices of u</w:t>
      </w:r>
      <w:r w:rsidR="00E83841">
        <w:rPr>
          <w:rFonts w:ascii="Times New Roman" w:hAnsi="Times New Roman" w:cs="Times New Roman"/>
          <w:i/>
          <w:iCs/>
          <w:color w:val="222222"/>
          <w:sz w:val="24"/>
          <w:szCs w:val="24"/>
          <w:shd w:val="clear" w:color="auto" w:fill="FFFFFF"/>
        </w:rPr>
        <w:t xml:space="preserve">ndergraduate nursing </w:t>
      </w:r>
      <w:proofErr w:type="spellStart"/>
      <w:r w:rsidR="00E83841">
        <w:rPr>
          <w:rFonts w:ascii="Times New Roman" w:hAnsi="Times New Roman" w:cs="Times New Roman"/>
          <w:i/>
          <w:iCs/>
          <w:color w:val="222222"/>
          <w:sz w:val="24"/>
          <w:szCs w:val="24"/>
          <w:shd w:val="clear" w:color="auto" w:fill="FFFFFF"/>
        </w:rPr>
        <w:t>students</w:t>
      </w:r>
      <w:r w:rsidRPr="00EB13C3">
        <w:rPr>
          <w:rFonts w:ascii="Times New Roman" w:hAnsi="Times New Roman" w:cs="Times New Roman"/>
          <w:i/>
          <w:iCs/>
          <w:color w:val="222222"/>
          <w:sz w:val="24"/>
          <w:szCs w:val="24"/>
          <w:shd w:val="clear" w:color="auto" w:fill="FFFFFF"/>
        </w:rPr>
        <w:t>regarding</w:t>
      </w:r>
      <w:proofErr w:type="spellEnd"/>
      <w:r w:rsidRPr="00EB13C3">
        <w:rPr>
          <w:rFonts w:ascii="Times New Roman" w:hAnsi="Times New Roman" w:cs="Times New Roman"/>
          <w:i/>
          <w:iCs/>
          <w:color w:val="222222"/>
          <w:sz w:val="24"/>
          <w:szCs w:val="24"/>
          <w:shd w:val="clear" w:color="auto" w:fill="FFFFFF"/>
        </w:rPr>
        <w:t xml:space="preserve"> childhood malnutrition at a higher educati</w:t>
      </w:r>
      <w:r w:rsidR="00E83841">
        <w:rPr>
          <w:rFonts w:ascii="Times New Roman" w:hAnsi="Times New Roman" w:cs="Times New Roman"/>
          <w:i/>
          <w:iCs/>
          <w:color w:val="222222"/>
          <w:sz w:val="24"/>
          <w:szCs w:val="24"/>
          <w:shd w:val="clear" w:color="auto" w:fill="FFFFFF"/>
        </w:rPr>
        <w:t xml:space="preserve">on institution in the Western </w:t>
      </w:r>
      <w:r w:rsidRPr="00EB13C3">
        <w:rPr>
          <w:rFonts w:ascii="Times New Roman" w:hAnsi="Times New Roman" w:cs="Times New Roman"/>
          <w:i/>
          <w:iCs/>
          <w:color w:val="222222"/>
          <w:sz w:val="24"/>
          <w:szCs w:val="24"/>
          <w:shd w:val="clear" w:color="auto" w:fill="FFFFFF"/>
        </w:rPr>
        <w:t>Cape</w:t>
      </w:r>
      <w:r w:rsidRPr="00EB13C3">
        <w:rPr>
          <w:rFonts w:ascii="Times New Roman" w:hAnsi="Times New Roman" w:cs="Times New Roman"/>
          <w:color w:val="222222"/>
          <w:sz w:val="24"/>
          <w:szCs w:val="24"/>
          <w:shd w:val="clear" w:color="auto" w:fill="FFFFFF"/>
        </w:rPr>
        <w:t> (Doctoral dissertation, University of the Western Cape).</w:t>
      </w:r>
    </w:p>
    <w:p w14:paraId="44E1F70C" w14:textId="77777777" w:rsidR="002B1660" w:rsidRPr="00EB13C3" w:rsidRDefault="002B1660" w:rsidP="00E83841">
      <w:pPr>
        <w:spacing w:line="360" w:lineRule="auto"/>
        <w:jc w:val="both"/>
        <w:rPr>
          <w:rFonts w:ascii="Times New Roman" w:hAnsi="Times New Roman" w:cs="Times New Roman"/>
          <w:color w:val="222222"/>
          <w:sz w:val="24"/>
          <w:szCs w:val="24"/>
          <w:shd w:val="clear" w:color="auto" w:fill="FFFFFF"/>
        </w:rPr>
      </w:pPr>
      <w:r w:rsidRPr="00EB13C3">
        <w:rPr>
          <w:rFonts w:ascii="Times New Roman" w:hAnsi="Times New Roman" w:cs="Times New Roman"/>
          <w:color w:val="222222"/>
          <w:sz w:val="24"/>
          <w:szCs w:val="24"/>
          <w:shd w:val="clear" w:color="auto" w:fill="FFFFFF"/>
        </w:rPr>
        <w:t xml:space="preserve">Lalas, J. W., Charest, B., Strikwerda, H., &amp; Ordaz, M. (2019). Nurturing hope, sense of belonging </w:t>
      </w:r>
      <w:r w:rsidRPr="00EB13C3">
        <w:rPr>
          <w:rFonts w:ascii="Times New Roman" w:hAnsi="Times New Roman" w:cs="Times New Roman"/>
          <w:color w:val="222222"/>
          <w:sz w:val="24"/>
          <w:szCs w:val="24"/>
          <w:shd w:val="clear" w:color="auto" w:fill="FFFFFF"/>
        </w:rPr>
        <w:tab/>
        <w:t>and engagement through equity. In </w:t>
      </w:r>
      <w:r w:rsidRPr="00EB13C3">
        <w:rPr>
          <w:rFonts w:ascii="Times New Roman" w:hAnsi="Times New Roman" w:cs="Times New Roman"/>
          <w:i/>
          <w:iCs/>
          <w:color w:val="222222"/>
          <w:sz w:val="24"/>
          <w:szCs w:val="24"/>
          <w:shd w:val="clear" w:color="auto" w:fill="FFFFFF"/>
        </w:rPr>
        <w:t>Promoting social inclusion</w:t>
      </w:r>
      <w:r w:rsidR="00E83841">
        <w:rPr>
          <w:rFonts w:ascii="Times New Roman" w:hAnsi="Times New Roman" w:cs="Times New Roman"/>
          <w:color w:val="222222"/>
          <w:sz w:val="24"/>
          <w:szCs w:val="24"/>
          <w:shd w:val="clear" w:color="auto" w:fill="FFFFFF"/>
        </w:rPr>
        <w:t> (Vol. 13, pp. 41-52).</w:t>
      </w:r>
      <w:r w:rsidR="00E83841">
        <w:rPr>
          <w:rFonts w:ascii="Times New Roman" w:hAnsi="Times New Roman" w:cs="Times New Roman"/>
          <w:color w:val="222222"/>
          <w:sz w:val="24"/>
          <w:szCs w:val="24"/>
          <w:shd w:val="clear" w:color="auto" w:fill="FFFFFF"/>
        </w:rPr>
        <w:tab/>
        <w:t xml:space="preserve"> </w:t>
      </w:r>
      <w:r w:rsidRPr="00EB13C3">
        <w:rPr>
          <w:rFonts w:ascii="Times New Roman" w:hAnsi="Times New Roman" w:cs="Times New Roman"/>
          <w:color w:val="222222"/>
          <w:sz w:val="24"/>
          <w:szCs w:val="24"/>
          <w:shd w:val="clear" w:color="auto" w:fill="FFFFFF"/>
        </w:rPr>
        <w:t>Emerald Publishing Limited.</w:t>
      </w:r>
    </w:p>
    <w:p w14:paraId="2BCF5B5B" w14:textId="77777777" w:rsidR="002B1660" w:rsidRPr="00455003" w:rsidRDefault="002B1660" w:rsidP="00E83841">
      <w:pPr>
        <w:spacing w:line="360" w:lineRule="auto"/>
        <w:jc w:val="both"/>
        <w:rPr>
          <w:rFonts w:ascii="Times New Roman" w:eastAsia="Calibri" w:hAnsi="Times New Roman" w:cs="Times New Roman"/>
          <w:sz w:val="24"/>
          <w:szCs w:val="24"/>
        </w:rPr>
      </w:pPr>
      <w:r w:rsidRPr="00EB13C3">
        <w:rPr>
          <w:rFonts w:ascii="Times New Roman" w:eastAsia="Calibri" w:hAnsi="Times New Roman" w:cs="Times New Roman"/>
          <w:sz w:val="24"/>
          <w:szCs w:val="24"/>
        </w:rPr>
        <w:lastRenderedPageBreak/>
        <w:t xml:space="preserve">Leal Filho, W., Kovaleva, M., </w:t>
      </w:r>
      <w:proofErr w:type="spellStart"/>
      <w:r w:rsidRPr="00EB13C3">
        <w:rPr>
          <w:rFonts w:ascii="Times New Roman" w:eastAsia="Calibri" w:hAnsi="Times New Roman" w:cs="Times New Roman"/>
          <w:sz w:val="24"/>
          <w:szCs w:val="24"/>
        </w:rPr>
        <w:t>Tsani</w:t>
      </w:r>
      <w:proofErr w:type="spellEnd"/>
      <w:r w:rsidRPr="00EB13C3">
        <w:rPr>
          <w:rFonts w:ascii="Times New Roman" w:eastAsia="Calibri" w:hAnsi="Times New Roman" w:cs="Times New Roman"/>
          <w:sz w:val="24"/>
          <w:szCs w:val="24"/>
        </w:rPr>
        <w:t xml:space="preserve">, S., </w:t>
      </w:r>
      <w:proofErr w:type="spellStart"/>
      <w:r w:rsidRPr="00EB13C3">
        <w:rPr>
          <w:rFonts w:ascii="Times New Roman" w:eastAsia="Calibri" w:hAnsi="Times New Roman" w:cs="Times New Roman"/>
          <w:sz w:val="24"/>
          <w:szCs w:val="24"/>
        </w:rPr>
        <w:t>Țîrcă</w:t>
      </w:r>
      <w:proofErr w:type="spellEnd"/>
      <w:r w:rsidRPr="00EB13C3">
        <w:rPr>
          <w:rFonts w:ascii="Times New Roman" w:eastAsia="Calibri" w:hAnsi="Times New Roman" w:cs="Times New Roman"/>
          <w:sz w:val="24"/>
          <w:szCs w:val="24"/>
        </w:rPr>
        <w:t xml:space="preserve">, D.M., </w:t>
      </w:r>
      <w:proofErr w:type="spellStart"/>
      <w:r w:rsidRPr="00EB13C3">
        <w:rPr>
          <w:rFonts w:ascii="Times New Roman" w:eastAsia="Calibri" w:hAnsi="Times New Roman" w:cs="Times New Roman"/>
          <w:sz w:val="24"/>
          <w:szCs w:val="24"/>
        </w:rPr>
        <w:t>Shiel</w:t>
      </w:r>
      <w:proofErr w:type="spellEnd"/>
      <w:r w:rsidRPr="00EB13C3">
        <w:rPr>
          <w:rFonts w:ascii="Times New Roman" w:eastAsia="Calibri" w:hAnsi="Times New Roman" w:cs="Times New Roman"/>
          <w:sz w:val="24"/>
          <w:szCs w:val="24"/>
        </w:rPr>
        <w:t xml:space="preserve">, C., Dinis, M.A.P., Nicolau, M., Sima, </w:t>
      </w:r>
      <w:r w:rsidRPr="00EB13C3">
        <w:rPr>
          <w:rFonts w:ascii="Times New Roman" w:eastAsia="Calibri" w:hAnsi="Times New Roman" w:cs="Times New Roman"/>
          <w:sz w:val="24"/>
          <w:szCs w:val="24"/>
        </w:rPr>
        <w:tab/>
        <w:t xml:space="preserve">M., Fritzen, B., Lange Salvia, A., &amp; Minhas, A. (2023). </w:t>
      </w:r>
      <w:r w:rsidRPr="00EB13C3">
        <w:rPr>
          <w:rFonts w:ascii="Times New Roman" w:eastAsia="Calibri" w:hAnsi="Times New Roman" w:cs="Times New Roman"/>
          <w:i/>
          <w:sz w:val="24"/>
          <w:szCs w:val="24"/>
        </w:rPr>
        <w:t>P</w:t>
      </w:r>
      <w:r w:rsidR="00E83841">
        <w:rPr>
          <w:rFonts w:ascii="Times New Roman" w:eastAsia="Calibri" w:hAnsi="Times New Roman" w:cs="Times New Roman"/>
          <w:i/>
          <w:sz w:val="24"/>
          <w:szCs w:val="24"/>
        </w:rPr>
        <w:t>romoting gender equality acr</w:t>
      </w:r>
      <w:r w:rsidR="002C141B">
        <w:rPr>
          <w:rFonts w:ascii="Times New Roman" w:eastAsia="Calibri" w:hAnsi="Times New Roman" w:cs="Times New Roman"/>
          <w:i/>
          <w:sz w:val="24"/>
          <w:szCs w:val="24"/>
        </w:rPr>
        <w:t xml:space="preserve">oss the sustainable </w:t>
      </w:r>
      <w:proofErr w:type="spellStart"/>
      <w:r w:rsidR="002C141B">
        <w:rPr>
          <w:rFonts w:ascii="Times New Roman" w:eastAsia="Calibri" w:hAnsi="Times New Roman" w:cs="Times New Roman"/>
          <w:i/>
          <w:sz w:val="24"/>
          <w:szCs w:val="24"/>
        </w:rPr>
        <w:t>development</w:t>
      </w:r>
      <w:r w:rsidRPr="00EB13C3">
        <w:rPr>
          <w:rFonts w:ascii="Times New Roman" w:eastAsia="Calibri" w:hAnsi="Times New Roman" w:cs="Times New Roman"/>
          <w:i/>
          <w:sz w:val="24"/>
          <w:szCs w:val="24"/>
        </w:rPr>
        <w:t>goals.</w:t>
      </w:r>
      <w:r w:rsidRPr="00EB13C3">
        <w:rPr>
          <w:rFonts w:ascii="Times New Roman" w:eastAsia="Calibri" w:hAnsi="Times New Roman" w:cs="Times New Roman"/>
          <w:sz w:val="24"/>
          <w:szCs w:val="24"/>
        </w:rPr>
        <w:t>Environment</w:t>
      </w:r>
      <w:proofErr w:type="spellEnd"/>
      <w:r w:rsidRPr="00EB13C3">
        <w:rPr>
          <w:rFonts w:ascii="Times New Roman" w:eastAsia="Calibri" w:hAnsi="Times New Roman" w:cs="Times New Roman"/>
          <w:sz w:val="24"/>
          <w:szCs w:val="24"/>
        </w:rPr>
        <w:t xml:space="preserve">, Development and Sustainability, 25(12), </w:t>
      </w:r>
      <w:r w:rsidRPr="00EB13C3">
        <w:rPr>
          <w:rFonts w:ascii="Times New Roman" w:eastAsia="Calibri" w:hAnsi="Times New Roman" w:cs="Times New Roman"/>
          <w:sz w:val="24"/>
          <w:szCs w:val="24"/>
        </w:rPr>
        <w:tab/>
        <w:t>14177-14198</w:t>
      </w:r>
      <w:r>
        <w:rPr>
          <w:rFonts w:ascii="Times New Roman" w:eastAsia="Calibri" w:hAnsi="Times New Roman" w:cs="Times New Roman"/>
          <w:sz w:val="24"/>
          <w:szCs w:val="24"/>
        </w:rPr>
        <w:t>.</w:t>
      </w:r>
    </w:p>
    <w:p w14:paraId="4CF07D49" w14:textId="77777777" w:rsidR="002B1660" w:rsidRPr="00455003" w:rsidRDefault="002B1660" w:rsidP="00E83841">
      <w:pPr>
        <w:spacing w:line="360" w:lineRule="auto"/>
        <w:jc w:val="both"/>
        <w:rPr>
          <w:rFonts w:ascii="Times New Roman" w:eastAsia="Calibri" w:hAnsi="Times New Roman" w:cs="Times New Roman"/>
          <w:sz w:val="24"/>
          <w:szCs w:val="24"/>
        </w:rPr>
      </w:pPr>
      <w:proofErr w:type="spellStart"/>
      <w:r w:rsidRPr="00EB13C3">
        <w:rPr>
          <w:rFonts w:ascii="Times New Roman" w:eastAsia="Calibri" w:hAnsi="Times New Roman" w:cs="Times New Roman"/>
          <w:sz w:val="24"/>
          <w:szCs w:val="24"/>
        </w:rPr>
        <w:t>Mulengeki</w:t>
      </w:r>
      <w:proofErr w:type="spellEnd"/>
      <w:r w:rsidRPr="00EB13C3">
        <w:rPr>
          <w:rFonts w:ascii="Times New Roman" w:eastAsia="Calibri" w:hAnsi="Times New Roman" w:cs="Times New Roman"/>
          <w:sz w:val="24"/>
          <w:szCs w:val="24"/>
        </w:rPr>
        <w:t xml:space="preserve">, F. (2019). </w:t>
      </w:r>
      <w:r w:rsidRPr="00EB13C3">
        <w:rPr>
          <w:rFonts w:ascii="Times New Roman" w:eastAsia="Calibri" w:hAnsi="Times New Roman" w:cs="Times New Roman"/>
          <w:i/>
          <w:sz w:val="24"/>
          <w:szCs w:val="24"/>
        </w:rPr>
        <w:t xml:space="preserve">Education and poverty alleviation: Local community capacity and school </w:t>
      </w:r>
      <w:r w:rsidRPr="00EB13C3">
        <w:rPr>
          <w:rFonts w:ascii="Times New Roman" w:eastAsia="Calibri" w:hAnsi="Times New Roman" w:cs="Times New Roman"/>
          <w:i/>
          <w:sz w:val="24"/>
          <w:szCs w:val="24"/>
        </w:rPr>
        <w:tab/>
        <w:t>functioning.</w:t>
      </w:r>
      <w:r w:rsidRPr="00EB13C3">
        <w:rPr>
          <w:rFonts w:ascii="Times New Roman" w:eastAsia="Calibri" w:hAnsi="Times New Roman" w:cs="Times New Roman"/>
          <w:sz w:val="24"/>
          <w:szCs w:val="24"/>
        </w:rPr>
        <w:t xml:space="preserve"> In J. C. J. </w:t>
      </w:r>
      <w:proofErr w:type="spellStart"/>
      <w:r w:rsidRPr="00EB13C3">
        <w:rPr>
          <w:rFonts w:ascii="Times New Roman" w:eastAsia="Calibri" w:hAnsi="Times New Roman" w:cs="Times New Roman"/>
          <w:sz w:val="24"/>
          <w:szCs w:val="24"/>
        </w:rPr>
        <w:t>Galabawa</w:t>
      </w:r>
      <w:proofErr w:type="spellEnd"/>
      <w:r w:rsidRPr="00EB13C3">
        <w:rPr>
          <w:rFonts w:ascii="Times New Roman" w:eastAsia="Calibri" w:hAnsi="Times New Roman" w:cs="Times New Roman"/>
          <w:sz w:val="24"/>
          <w:szCs w:val="24"/>
        </w:rPr>
        <w:t xml:space="preserve"> and A. Narman. (Eds.), Education poverty and inequality </w:t>
      </w:r>
      <w:r w:rsidRPr="00EB13C3">
        <w:rPr>
          <w:rFonts w:ascii="Times New Roman" w:eastAsia="Calibri" w:hAnsi="Times New Roman" w:cs="Times New Roman"/>
          <w:sz w:val="24"/>
          <w:szCs w:val="24"/>
        </w:rPr>
        <w:tab/>
        <w:t>(pp. 214-230). Dar es Salaam: KAD Association.</w:t>
      </w:r>
    </w:p>
    <w:p w14:paraId="41034172" w14:textId="54B58724" w:rsidR="002B1660" w:rsidRDefault="002B1660" w:rsidP="00E83841">
      <w:pPr>
        <w:spacing w:line="360" w:lineRule="auto"/>
        <w:jc w:val="both"/>
        <w:rPr>
          <w:rFonts w:ascii="Times New Roman" w:eastAsia="Calibri" w:hAnsi="Times New Roman" w:cs="Times New Roman"/>
          <w:i/>
          <w:sz w:val="24"/>
          <w:szCs w:val="24"/>
        </w:rPr>
      </w:pPr>
      <w:r w:rsidRPr="00EB13C3">
        <w:rPr>
          <w:rFonts w:ascii="Times New Roman" w:eastAsia="Calibri" w:hAnsi="Times New Roman" w:cs="Times New Roman"/>
          <w:sz w:val="24"/>
          <w:szCs w:val="24"/>
        </w:rPr>
        <w:t xml:space="preserve">Niyonzima, E., &amp; Bayu, E. K. (2023). Assessing the contributions of Rwanda gender equality </w:t>
      </w:r>
      <w:r w:rsidRPr="00EB13C3">
        <w:rPr>
          <w:rFonts w:ascii="Times New Roman" w:eastAsia="Calibri" w:hAnsi="Times New Roman" w:cs="Times New Roman"/>
          <w:sz w:val="24"/>
          <w:szCs w:val="24"/>
        </w:rPr>
        <w:tab/>
        <w:t xml:space="preserve">policies to the women empowerment in Rwanda. </w:t>
      </w:r>
      <w:r w:rsidRPr="00EB13C3">
        <w:rPr>
          <w:rFonts w:ascii="Times New Roman" w:eastAsia="Calibri" w:hAnsi="Times New Roman" w:cs="Times New Roman"/>
          <w:i/>
          <w:sz w:val="24"/>
          <w:szCs w:val="24"/>
        </w:rPr>
        <w:t>American Journal of Development.</w:t>
      </w:r>
    </w:p>
    <w:p w14:paraId="530E5229" w14:textId="067D2AEA" w:rsidR="00B32592" w:rsidRPr="00B32592" w:rsidRDefault="00B32592" w:rsidP="00E83841">
      <w:pPr>
        <w:spacing w:line="360" w:lineRule="auto"/>
        <w:jc w:val="both"/>
        <w:rPr>
          <w:rFonts w:ascii="Times New Roman" w:eastAsia="Calibri" w:hAnsi="Times New Roman" w:cs="Times New Roman"/>
          <w:sz w:val="24"/>
          <w:szCs w:val="24"/>
          <w:lang w:val="en-GB"/>
        </w:rPr>
      </w:pPr>
      <w:proofErr w:type="spellStart"/>
      <w:r w:rsidRPr="00B32592">
        <w:rPr>
          <w:rFonts w:ascii="Times New Roman" w:eastAsia="Calibri" w:hAnsi="Times New Roman" w:cs="Times New Roman"/>
          <w:sz w:val="24"/>
          <w:szCs w:val="24"/>
          <w:lang w:val="en-GB"/>
        </w:rPr>
        <w:t>Ngulube</w:t>
      </w:r>
      <w:proofErr w:type="spellEnd"/>
      <w:r w:rsidRPr="00B32592">
        <w:rPr>
          <w:rFonts w:ascii="Times New Roman" w:eastAsia="Calibri" w:hAnsi="Times New Roman" w:cs="Times New Roman"/>
          <w:sz w:val="24"/>
          <w:szCs w:val="24"/>
          <w:lang w:val="en-GB"/>
        </w:rPr>
        <w:t xml:space="preserve">, L., Thelma, C. C., Gilbert, M. M., Sylvester, C., </w:t>
      </w:r>
      <w:proofErr w:type="spellStart"/>
      <w:r w:rsidRPr="00B32592">
        <w:rPr>
          <w:rFonts w:ascii="Times New Roman" w:eastAsia="Calibri" w:hAnsi="Times New Roman" w:cs="Times New Roman"/>
          <w:sz w:val="24"/>
          <w:szCs w:val="24"/>
          <w:lang w:val="en-GB"/>
        </w:rPr>
        <w:t>Mpolomoka</w:t>
      </w:r>
      <w:proofErr w:type="spellEnd"/>
      <w:r w:rsidRPr="00B32592">
        <w:rPr>
          <w:rFonts w:ascii="Times New Roman" w:eastAsia="Calibri" w:hAnsi="Times New Roman" w:cs="Times New Roman"/>
          <w:sz w:val="24"/>
          <w:szCs w:val="24"/>
          <w:lang w:val="en-GB"/>
        </w:rPr>
        <w:t xml:space="preserve">, D. L., &amp; </w:t>
      </w:r>
      <w:proofErr w:type="spellStart"/>
      <w:r w:rsidRPr="00B32592">
        <w:rPr>
          <w:rFonts w:ascii="Times New Roman" w:eastAsia="Calibri" w:hAnsi="Times New Roman" w:cs="Times New Roman"/>
          <w:sz w:val="24"/>
          <w:szCs w:val="24"/>
          <w:lang w:val="en-GB"/>
        </w:rPr>
        <w:t>Mulenga</w:t>
      </w:r>
      <w:proofErr w:type="spellEnd"/>
      <w:r w:rsidRPr="00B32592">
        <w:rPr>
          <w:rFonts w:ascii="Times New Roman" w:eastAsia="Calibri" w:hAnsi="Times New Roman" w:cs="Times New Roman"/>
          <w:sz w:val="24"/>
          <w:szCs w:val="24"/>
          <w:lang w:val="en-GB"/>
        </w:rPr>
        <w:t>, D. M. (2024). Gender Equality and Economic Growth: A Case of Lusaka District, Zambia.</w:t>
      </w:r>
      <w:r w:rsidRPr="00B32592">
        <w:rPr>
          <w:rFonts w:ascii="Times New Roman" w:eastAsia="Calibri" w:hAnsi="Times New Roman" w:cs="Times New Roman"/>
          <w:i/>
          <w:sz w:val="24"/>
          <w:szCs w:val="24"/>
          <w:lang w:val="en-GB"/>
        </w:rPr>
        <w:t xml:space="preserve"> Asian Journal of Education and Social Studies, </w:t>
      </w:r>
      <w:r w:rsidRPr="00B32592">
        <w:rPr>
          <w:rFonts w:ascii="Times New Roman" w:eastAsia="Calibri" w:hAnsi="Times New Roman" w:cs="Times New Roman"/>
          <w:sz w:val="24"/>
          <w:szCs w:val="24"/>
          <w:lang w:val="en-GB"/>
        </w:rPr>
        <w:t xml:space="preserve">50(7), 181–196. </w:t>
      </w:r>
      <w:hyperlink r:id="rId16" w:history="1">
        <w:r w:rsidRPr="00B32592">
          <w:rPr>
            <w:rStyle w:val="Hyperlink"/>
            <w:rFonts w:ascii="Times New Roman" w:eastAsia="Calibri" w:hAnsi="Times New Roman" w:cs="Times New Roman"/>
            <w:sz w:val="24"/>
            <w:szCs w:val="24"/>
            <w:lang w:val="en-GB"/>
          </w:rPr>
          <w:t>https://doi.org/10.9734/ajess/2024/v50i71455</w:t>
        </w:r>
      </w:hyperlink>
    </w:p>
    <w:p w14:paraId="34F289C8" w14:textId="77777777" w:rsidR="002B1660" w:rsidRPr="00455003" w:rsidRDefault="002B1660" w:rsidP="00E83841">
      <w:pPr>
        <w:spacing w:line="360" w:lineRule="auto"/>
        <w:contextualSpacing/>
        <w:jc w:val="both"/>
        <w:rPr>
          <w:rFonts w:ascii="Times New Roman" w:eastAsia="Calibri" w:hAnsi="Times New Roman" w:cs="Times New Roman"/>
          <w:sz w:val="24"/>
          <w:szCs w:val="24"/>
        </w:rPr>
      </w:pPr>
      <w:proofErr w:type="spellStart"/>
      <w:r w:rsidRPr="00EB13C3">
        <w:rPr>
          <w:rFonts w:ascii="Times New Roman" w:eastAsia="Calibri" w:hAnsi="Times New Roman" w:cs="Times New Roman"/>
          <w:sz w:val="24"/>
          <w:szCs w:val="24"/>
        </w:rPr>
        <w:t>Nkya</w:t>
      </w:r>
      <w:proofErr w:type="spellEnd"/>
      <w:r w:rsidRPr="00EB13C3">
        <w:rPr>
          <w:rFonts w:ascii="Times New Roman" w:eastAsia="Calibri" w:hAnsi="Times New Roman" w:cs="Times New Roman"/>
          <w:sz w:val="24"/>
          <w:szCs w:val="24"/>
        </w:rPr>
        <w:t xml:space="preserve">, H., &amp; </w:t>
      </w:r>
      <w:proofErr w:type="spellStart"/>
      <w:r w:rsidRPr="00EB13C3">
        <w:rPr>
          <w:rFonts w:ascii="Times New Roman" w:eastAsia="Calibri" w:hAnsi="Times New Roman" w:cs="Times New Roman"/>
          <w:sz w:val="24"/>
          <w:szCs w:val="24"/>
        </w:rPr>
        <w:t>Kibona</w:t>
      </w:r>
      <w:proofErr w:type="spellEnd"/>
      <w:r w:rsidRPr="00EB13C3">
        <w:rPr>
          <w:rFonts w:ascii="Times New Roman" w:eastAsia="Calibri" w:hAnsi="Times New Roman" w:cs="Times New Roman"/>
          <w:sz w:val="24"/>
          <w:szCs w:val="24"/>
        </w:rPr>
        <w:t>, I. (2024). Systematic literature review of gend</w:t>
      </w:r>
      <w:r w:rsidR="00E83841">
        <w:rPr>
          <w:rFonts w:ascii="Times New Roman" w:eastAsia="Calibri" w:hAnsi="Times New Roman" w:cs="Times New Roman"/>
          <w:sz w:val="24"/>
          <w:szCs w:val="24"/>
        </w:rPr>
        <w:t>er equity and social inclusion</w:t>
      </w:r>
      <w:r w:rsidRPr="00EB13C3">
        <w:rPr>
          <w:rFonts w:ascii="Times New Roman" w:eastAsia="Calibri" w:hAnsi="Times New Roman" w:cs="Times New Roman"/>
          <w:sz w:val="24"/>
          <w:szCs w:val="24"/>
        </w:rPr>
        <w:t xml:space="preserve"> in primary education for teachers in </w:t>
      </w:r>
      <w:r w:rsidRPr="00EB13C3">
        <w:rPr>
          <w:rFonts w:ascii="Times New Roman" w:eastAsia="Calibri" w:hAnsi="Times New Roman" w:cs="Times New Roman"/>
          <w:sz w:val="24"/>
          <w:szCs w:val="24"/>
        </w:rPr>
        <w:t>Tanzania: assessing</w:t>
      </w:r>
      <w:r w:rsidR="00E83841">
        <w:rPr>
          <w:rFonts w:ascii="Times New Roman" w:eastAsia="Calibri" w:hAnsi="Times New Roman" w:cs="Times New Roman"/>
          <w:sz w:val="24"/>
          <w:szCs w:val="24"/>
        </w:rPr>
        <w:t xml:space="preserve"> status and future directions.</w:t>
      </w:r>
      <w:r w:rsidRPr="00EB13C3">
        <w:rPr>
          <w:rFonts w:ascii="Times New Roman" w:eastAsia="Calibri" w:hAnsi="Times New Roman" w:cs="Times New Roman"/>
          <w:i/>
          <w:sz w:val="24"/>
          <w:szCs w:val="24"/>
        </w:rPr>
        <w:t>DiscoverEducation,3(Article122).Springer</w:t>
      </w:r>
      <w:r w:rsidRPr="00EB13C3">
        <w:rPr>
          <w:rFonts w:ascii="Times New Roman" w:eastAsia="Calibri" w:hAnsi="Times New Roman" w:cs="Times New Roman"/>
          <w:sz w:val="24"/>
          <w:szCs w:val="24"/>
        </w:rPr>
        <w:t>.Available</w:t>
      </w:r>
      <w:r w:rsidR="00E83841">
        <w:rPr>
          <w:rFonts w:ascii="Times New Roman" w:eastAsia="Calibri" w:hAnsi="Times New Roman" w:cs="Times New Roman"/>
          <w:sz w:val="24"/>
          <w:szCs w:val="24"/>
        </w:rPr>
        <w:t>at</w:t>
      </w:r>
      <w:hyperlink r:id="rId17" w:history="1">
        <w:r w:rsidR="00E83841" w:rsidRPr="00B51E9F">
          <w:rPr>
            <w:rStyle w:val="Hyperlink"/>
            <w:rFonts w:ascii="Times New Roman" w:eastAsia="Calibri" w:hAnsi="Times New Roman" w:cs="Times New Roman"/>
            <w:sz w:val="24"/>
            <w:szCs w:val="24"/>
          </w:rPr>
          <w:t>https://eric.ed.gov/?q=systematic+literature+review&amp;id=EJ1435253</w:t>
        </w:r>
      </w:hyperlink>
    </w:p>
    <w:p w14:paraId="579C8F8D" w14:textId="77777777" w:rsidR="002B1660" w:rsidRPr="00E36750" w:rsidRDefault="002B1660" w:rsidP="00E83841">
      <w:pPr>
        <w:pStyle w:val="ListParagraph"/>
        <w:spacing w:line="360" w:lineRule="auto"/>
        <w:ind w:left="0"/>
        <w:contextualSpacing/>
      </w:pPr>
      <w:proofErr w:type="spellStart"/>
      <w:r w:rsidRPr="00EB13C3">
        <w:t>Nyiransabimana</w:t>
      </w:r>
      <w:proofErr w:type="spellEnd"/>
      <w:r w:rsidRPr="00EB13C3">
        <w:t xml:space="preserve">, A., &amp; </w:t>
      </w:r>
      <w:proofErr w:type="spellStart"/>
      <w:r w:rsidRPr="00EB13C3">
        <w:t>Uwimpuhwe</w:t>
      </w:r>
      <w:proofErr w:type="spellEnd"/>
      <w:r w:rsidRPr="00EB13C3">
        <w:t xml:space="preserve">, D. (2023). The Role of Gender Equality and Social </w:t>
      </w:r>
      <w:r w:rsidRPr="00EB13C3">
        <w:tab/>
        <w:t>Inclusion Mainstreaming on Socio-Economic De</w:t>
      </w:r>
      <w:r w:rsidR="002C141B">
        <w:t xml:space="preserve">velopment of Rwanda: A Case of </w:t>
      </w:r>
      <w:proofErr w:type="spellStart"/>
      <w:r w:rsidRPr="00EB13C3">
        <w:t>Igire</w:t>
      </w:r>
      <w:proofErr w:type="spellEnd"/>
      <w:r>
        <w:t xml:space="preserve"> </w:t>
      </w:r>
      <w:proofErr w:type="spellStart"/>
      <w:r w:rsidRPr="00EB13C3">
        <w:t>Gimbuka</w:t>
      </w:r>
      <w:proofErr w:type="spellEnd"/>
      <w:r w:rsidRPr="00EB13C3">
        <w:t xml:space="preserve"> Program/</w:t>
      </w:r>
      <w:r>
        <w:t xml:space="preserve"> </w:t>
      </w:r>
      <w:proofErr w:type="spellStart"/>
      <w:r w:rsidRPr="00EB13C3">
        <w:t>Rubavu</w:t>
      </w:r>
      <w:proofErr w:type="spellEnd"/>
      <w:r w:rsidRPr="00EB13C3">
        <w:t xml:space="preserve">. </w:t>
      </w:r>
      <w:r w:rsidRPr="00EB13C3">
        <w:rPr>
          <w:i/>
        </w:rPr>
        <w:t xml:space="preserve">International Journal of Advanced Engineering and </w:t>
      </w:r>
      <w:r w:rsidRPr="00EB13C3">
        <w:rPr>
          <w:i/>
        </w:rPr>
        <w:tab/>
        <w:t xml:space="preserve">Management. </w:t>
      </w:r>
      <w:r w:rsidRPr="00EB13C3">
        <w:t xml:space="preserve">Retrieved from </w:t>
      </w:r>
      <w:hyperlink r:id="rId18" w:history="1">
        <w:r w:rsidRPr="00EB13C3">
          <w:rPr>
            <w:rStyle w:val="Hyperlink"/>
            <w:u w:val="none"/>
          </w:rPr>
          <w:t>https://ijaem.net</w:t>
        </w:r>
      </w:hyperlink>
    </w:p>
    <w:p w14:paraId="2C3C0285" w14:textId="77777777" w:rsidR="002B1660" w:rsidRPr="00455003" w:rsidRDefault="002B1660" w:rsidP="00E83841">
      <w:pPr>
        <w:spacing w:line="360" w:lineRule="auto"/>
        <w:ind w:right="68"/>
        <w:rPr>
          <w:rFonts w:ascii="Times New Roman" w:eastAsia="Calibri" w:hAnsi="Times New Roman" w:cs="Times New Roman"/>
          <w:sz w:val="24"/>
          <w:szCs w:val="24"/>
        </w:rPr>
      </w:pPr>
      <w:r w:rsidRPr="00EB13C3">
        <w:rPr>
          <w:rFonts w:ascii="Times New Roman" w:eastAsia="Calibri" w:hAnsi="Times New Roman" w:cs="Times New Roman"/>
          <w:sz w:val="24"/>
          <w:szCs w:val="24"/>
        </w:rPr>
        <w:t xml:space="preserve">Otieno, M. V. M. (2016). </w:t>
      </w:r>
      <w:r w:rsidRPr="00EB13C3">
        <w:rPr>
          <w:rFonts w:ascii="Times New Roman" w:eastAsia="Calibri" w:hAnsi="Times New Roman" w:cs="Times New Roman"/>
          <w:i/>
          <w:sz w:val="24"/>
          <w:szCs w:val="24"/>
        </w:rPr>
        <w:t xml:space="preserve">The influence of school matrons on girls’ educational experience and </w:t>
      </w:r>
      <w:r w:rsidRPr="00EB13C3">
        <w:rPr>
          <w:rFonts w:ascii="Times New Roman" w:eastAsia="Calibri" w:hAnsi="Times New Roman" w:cs="Times New Roman"/>
          <w:i/>
          <w:sz w:val="24"/>
          <w:szCs w:val="24"/>
        </w:rPr>
        <w:tab/>
        <w:t>social participation in Tanzania.</w:t>
      </w:r>
      <w:r w:rsidRPr="00EB13C3">
        <w:rPr>
          <w:rFonts w:ascii="Times New Roman" w:eastAsia="Calibri" w:hAnsi="Times New Roman" w:cs="Times New Roman"/>
          <w:sz w:val="24"/>
          <w:szCs w:val="24"/>
        </w:rPr>
        <w:t xml:space="preserve"> PhD thesis, Victoria University of Wellington, New </w:t>
      </w:r>
      <w:r w:rsidRPr="00EB13C3">
        <w:rPr>
          <w:rFonts w:ascii="Times New Roman" w:eastAsia="Calibri" w:hAnsi="Times New Roman" w:cs="Times New Roman"/>
          <w:sz w:val="24"/>
          <w:szCs w:val="24"/>
        </w:rPr>
        <w:tab/>
        <w:t>Zealand.</w:t>
      </w:r>
    </w:p>
    <w:p w14:paraId="15396A2E" w14:textId="77777777" w:rsidR="002B1660" w:rsidRPr="00E05EF3" w:rsidRDefault="002B1660" w:rsidP="00E83841">
      <w:pPr>
        <w:spacing w:line="360" w:lineRule="auto"/>
        <w:jc w:val="both"/>
        <w:rPr>
          <w:rFonts w:ascii="Times New Roman" w:hAnsi="Times New Roman" w:cs="Times New Roman"/>
          <w:color w:val="222222"/>
          <w:sz w:val="24"/>
          <w:szCs w:val="24"/>
          <w:shd w:val="clear" w:color="auto" w:fill="FFFFFF"/>
        </w:rPr>
      </w:pPr>
      <w:r w:rsidRPr="00EB13C3">
        <w:rPr>
          <w:rFonts w:ascii="Times New Roman" w:hAnsi="Times New Roman" w:cs="Times New Roman"/>
          <w:color w:val="222222"/>
          <w:sz w:val="24"/>
          <w:szCs w:val="24"/>
          <w:shd w:val="clear" w:color="auto" w:fill="FFFFFF"/>
        </w:rPr>
        <w:t xml:space="preserve">Qutub, S. A., &amp; Anjum, N. (2015). </w:t>
      </w:r>
      <w:r w:rsidRPr="00EB13C3">
        <w:rPr>
          <w:rFonts w:ascii="Times New Roman" w:hAnsi="Times New Roman" w:cs="Times New Roman"/>
          <w:i/>
          <w:color w:val="222222"/>
          <w:sz w:val="24"/>
          <w:szCs w:val="24"/>
          <w:shd w:val="clear" w:color="auto" w:fill="FFFFFF"/>
        </w:rPr>
        <w:t>Urban open spaces for adolescent girls</w:t>
      </w:r>
      <w:r w:rsidR="00E83841">
        <w:rPr>
          <w:rFonts w:ascii="Times New Roman" w:hAnsi="Times New Roman" w:cs="Times New Roman"/>
          <w:color w:val="222222"/>
          <w:sz w:val="24"/>
          <w:szCs w:val="24"/>
          <w:shd w:val="clear" w:color="auto" w:fill="FFFFFF"/>
        </w:rPr>
        <w:t xml:space="preserve">: An assessment for </w:t>
      </w:r>
      <w:r w:rsidRPr="00EB13C3">
        <w:rPr>
          <w:rFonts w:ascii="Times New Roman" w:hAnsi="Times New Roman" w:cs="Times New Roman"/>
          <w:color w:val="222222"/>
          <w:sz w:val="24"/>
          <w:szCs w:val="24"/>
          <w:shd w:val="clear" w:color="auto" w:fill="FFFFFF"/>
        </w:rPr>
        <w:t>Islamabad and Rawalpindi, Pakistan.</w:t>
      </w:r>
    </w:p>
    <w:p w14:paraId="56AB3396" w14:textId="77777777" w:rsidR="002B1660" w:rsidRPr="00EA3486" w:rsidRDefault="002B1660" w:rsidP="00E83841">
      <w:pPr>
        <w:spacing w:line="360" w:lineRule="auto"/>
        <w:rPr>
          <w:rFonts w:ascii="Times New Roman" w:hAnsi="Times New Roman" w:cs="Times New Roman"/>
          <w:sz w:val="24"/>
          <w:szCs w:val="24"/>
        </w:rPr>
      </w:pPr>
      <w:r w:rsidRPr="00EA3486">
        <w:rPr>
          <w:rFonts w:ascii="Times New Roman" w:hAnsi="Times New Roman" w:cs="Times New Roman"/>
          <w:sz w:val="24"/>
          <w:szCs w:val="24"/>
        </w:rPr>
        <w:t>Rawls, J. (1971). An egalitarian theory of justice. </w:t>
      </w:r>
      <w:r w:rsidRPr="00EA3486">
        <w:rPr>
          <w:rFonts w:ascii="Times New Roman" w:hAnsi="Times New Roman" w:cs="Times New Roman"/>
          <w:i/>
          <w:iCs/>
          <w:sz w:val="24"/>
          <w:szCs w:val="24"/>
        </w:rPr>
        <w:t>Philosophical Ethics: An Introduction to</w:t>
      </w:r>
      <w:r w:rsidR="00E83841">
        <w:rPr>
          <w:rFonts w:ascii="Times New Roman" w:hAnsi="Times New Roman" w:cs="Times New Roman"/>
          <w:i/>
          <w:iCs/>
          <w:sz w:val="24"/>
          <w:szCs w:val="24"/>
        </w:rPr>
        <w:t xml:space="preserve"> </w:t>
      </w:r>
      <w:r w:rsidRPr="00EA3486">
        <w:rPr>
          <w:rFonts w:ascii="Times New Roman" w:hAnsi="Times New Roman" w:cs="Times New Roman"/>
          <w:i/>
          <w:iCs/>
          <w:sz w:val="24"/>
          <w:szCs w:val="24"/>
        </w:rPr>
        <w:t>Moral Philosophy</w:t>
      </w:r>
      <w:r w:rsidRPr="00EA3486">
        <w:rPr>
          <w:rFonts w:ascii="Times New Roman" w:hAnsi="Times New Roman" w:cs="Times New Roman"/>
          <w:sz w:val="24"/>
          <w:szCs w:val="24"/>
        </w:rPr>
        <w:t>, 365-370.</w:t>
      </w:r>
    </w:p>
    <w:p w14:paraId="00E6E946" w14:textId="77777777" w:rsidR="002B1660" w:rsidRPr="00E058E5" w:rsidRDefault="002B1660" w:rsidP="00E83841">
      <w:pPr>
        <w:spacing w:line="360" w:lineRule="auto"/>
        <w:jc w:val="both"/>
        <w:rPr>
          <w:rFonts w:ascii="Times New Roman" w:hAnsi="Times New Roman" w:cs="Times New Roman"/>
          <w:color w:val="222222"/>
          <w:sz w:val="24"/>
          <w:szCs w:val="24"/>
          <w:shd w:val="clear" w:color="auto" w:fill="FFFFFF"/>
        </w:rPr>
      </w:pPr>
      <w:proofErr w:type="spellStart"/>
      <w:r w:rsidRPr="00E058E5">
        <w:rPr>
          <w:rFonts w:ascii="Times New Roman" w:hAnsi="Times New Roman" w:cs="Times New Roman"/>
          <w:color w:val="222222"/>
          <w:sz w:val="24"/>
          <w:szCs w:val="24"/>
          <w:shd w:val="clear" w:color="auto" w:fill="FFFFFF"/>
        </w:rPr>
        <w:t>Sikhwari</w:t>
      </w:r>
      <w:proofErr w:type="spellEnd"/>
      <w:r w:rsidRPr="00E058E5">
        <w:rPr>
          <w:rFonts w:ascii="Times New Roman" w:hAnsi="Times New Roman" w:cs="Times New Roman"/>
          <w:color w:val="222222"/>
          <w:sz w:val="24"/>
          <w:szCs w:val="24"/>
          <w:shd w:val="clear" w:color="auto" w:fill="FFFFFF"/>
        </w:rPr>
        <w:t>, M. (2024). Gender Disparities in Educational Wa</w:t>
      </w:r>
      <w:r w:rsidR="00E83841">
        <w:rPr>
          <w:rFonts w:ascii="Times New Roman" w:hAnsi="Times New Roman" w:cs="Times New Roman"/>
          <w:color w:val="222222"/>
          <w:sz w:val="24"/>
          <w:szCs w:val="24"/>
          <w:shd w:val="clear" w:color="auto" w:fill="FFFFFF"/>
        </w:rPr>
        <w:t xml:space="preserve">stage: Analyzing the Factors </w:t>
      </w:r>
      <w:r w:rsidRPr="00E058E5">
        <w:rPr>
          <w:rFonts w:ascii="Times New Roman" w:hAnsi="Times New Roman" w:cs="Times New Roman"/>
          <w:color w:val="222222"/>
          <w:sz w:val="24"/>
          <w:szCs w:val="24"/>
          <w:shd w:val="clear" w:color="auto" w:fill="FFFFFF"/>
        </w:rPr>
        <w:t>Contributing to Female Dropout Rates in Rural South Africa. </w:t>
      </w:r>
      <w:r w:rsidR="002C141B">
        <w:rPr>
          <w:rFonts w:ascii="Times New Roman" w:hAnsi="Times New Roman" w:cs="Times New Roman"/>
          <w:i/>
          <w:iCs/>
          <w:color w:val="222222"/>
          <w:sz w:val="24"/>
          <w:szCs w:val="24"/>
          <w:shd w:val="clear" w:color="auto" w:fill="FFFFFF"/>
        </w:rPr>
        <w:t xml:space="preserve">African Journal of </w:t>
      </w:r>
      <w:r w:rsidRPr="00E058E5">
        <w:rPr>
          <w:rFonts w:ascii="Times New Roman" w:hAnsi="Times New Roman" w:cs="Times New Roman"/>
          <w:i/>
          <w:iCs/>
          <w:color w:val="222222"/>
          <w:sz w:val="24"/>
          <w:szCs w:val="24"/>
          <w:shd w:val="clear" w:color="auto" w:fill="FFFFFF"/>
        </w:rPr>
        <w:lastRenderedPageBreak/>
        <w:t>Development Studies (formerly AFFRIKA Jour</w:t>
      </w:r>
      <w:r w:rsidR="002C141B">
        <w:rPr>
          <w:rFonts w:ascii="Times New Roman" w:hAnsi="Times New Roman" w:cs="Times New Roman"/>
          <w:i/>
          <w:iCs/>
          <w:color w:val="222222"/>
          <w:sz w:val="24"/>
          <w:szCs w:val="24"/>
          <w:shd w:val="clear" w:color="auto" w:fill="FFFFFF"/>
        </w:rPr>
        <w:t xml:space="preserve">nal of Politics, Economics and </w:t>
      </w:r>
      <w:r w:rsidRPr="00E058E5">
        <w:rPr>
          <w:rFonts w:ascii="Times New Roman" w:hAnsi="Times New Roman" w:cs="Times New Roman"/>
          <w:i/>
          <w:iCs/>
          <w:color w:val="222222"/>
          <w:sz w:val="24"/>
          <w:szCs w:val="24"/>
          <w:shd w:val="clear" w:color="auto" w:fill="FFFFFF"/>
        </w:rPr>
        <w:t>Society)</w:t>
      </w:r>
      <w:r w:rsidRPr="00E058E5">
        <w:rPr>
          <w:rFonts w:ascii="Times New Roman" w:hAnsi="Times New Roman" w:cs="Times New Roman"/>
          <w:color w:val="222222"/>
          <w:sz w:val="24"/>
          <w:szCs w:val="24"/>
          <w:shd w:val="clear" w:color="auto" w:fill="FFFFFF"/>
        </w:rPr>
        <w:t>, </w:t>
      </w:r>
      <w:r w:rsidRPr="00E058E5">
        <w:rPr>
          <w:rFonts w:ascii="Times New Roman" w:hAnsi="Times New Roman" w:cs="Times New Roman"/>
          <w:i/>
          <w:iCs/>
          <w:color w:val="222222"/>
          <w:sz w:val="24"/>
          <w:szCs w:val="24"/>
          <w:shd w:val="clear" w:color="auto" w:fill="FFFFFF"/>
        </w:rPr>
        <w:t>2024</w:t>
      </w:r>
      <w:r w:rsidRPr="00E058E5">
        <w:rPr>
          <w:rFonts w:ascii="Times New Roman" w:hAnsi="Times New Roman" w:cs="Times New Roman"/>
          <w:color w:val="222222"/>
          <w:sz w:val="24"/>
          <w:szCs w:val="24"/>
          <w:shd w:val="clear" w:color="auto" w:fill="FFFFFF"/>
        </w:rPr>
        <w:t>(si1), 289-303.</w:t>
      </w:r>
    </w:p>
    <w:p w14:paraId="358FC57F" w14:textId="77777777" w:rsidR="002B1660" w:rsidRDefault="002B1660" w:rsidP="00E83841">
      <w:pPr>
        <w:spacing w:line="360" w:lineRule="auto"/>
        <w:jc w:val="both"/>
        <w:rPr>
          <w:rFonts w:ascii="Times New Roman" w:hAnsi="Times New Roman" w:cs="Times New Roman"/>
          <w:color w:val="222222"/>
          <w:sz w:val="24"/>
          <w:szCs w:val="24"/>
          <w:shd w:val="clear" w:color="auto" w:fill="FFFFFF"/>
        </w:rPr>
      </w:pPr>
      <w:r w:rsidRPr="00EB13C3">
        <w:rPr>
          <w:rFonts w:ascii="Times New Roman" w:hAnsi="Times New Roman" w:cs="Times New Roman"/>
          <w:color w:val="222222"/>
          <w:sz w:val="24"/>
          <w:szCs w:val="24"/>
          <w:shd w:val="clear" w:color="auto" w:fill="FFFFFF"/>
        </w:rPr>
        <w:t>Sperling, G. B., &amp; Winthrop, R. (2015). </w:t>
      </w:r>
      <w:r w:rsidRPr="00EB13C3">
        <w:rPr>
          <w:rFonts w:ascii="Times New Roman" w:hAnsi="Times New Roman" w:cs="Times New Roman"/>
          <w:i/>
          <w:iCs/>
          <w:color w:val="222222"/>
          <w:sz w:val="24"/>
          <w:szCs w:val="24"/>
          <w:shd w:val="clear" w:color="auto" w:fill="FFFFFF"/>
        </w:rPr>
        <w:t>What works in girls' educa</w:t>
      </w:r>
      <w:r w:rsidR="002C141B">
        <w:rPr>
          <w:rFonts w:ascii="Times New Roman" w:hAnsi="Times New Roman" w:cs="Times New Roman"/>
          <w:i/>
          <w:iCs/>
          <w:color w:val="222222"/>
          <w:sz w:val="24"/>
          <w:szCs w:val="24"/>
          <w:shd w:val="clear" w:color="auto" w:fill="FFFFFF"/>
        </w:rPr>
        <w:t>tion: Evidence for the world's</w:t>
      </w:r>
      <w:r w:rsidR="002C141B">
        <w:rPr>
          <w:rFonts w:ascii="Times New Roman" w:hAnsi="Times New Roman" w:cs="Times New Roman"/>
          <w:i/>
          <w:iCs/>
          <w:color w:val="222222"/>
          <w:sz w:val="24"/>
          <w:szCs w:val="24"/>
          <w:shd w:val="clear" w:color="auto" w:fill="FFFFFF"/>
        </w:rPr>
        <w:tab/>
        <w:t xml:space="preserve"> </w:t>
      </w:r>
      <w:r w:rsidR="002C141B" w:rsidRPr="00EB13C3">
        <w:rPr>
          <w:rFonts w:ascii="Times New Roman" w:hAnsi="Times New Roman" w:cs="Times New Roman"/>
          <w:i/>
          <w:iCs/>
          <w:color w:val="222222"/>
          <w:sz w:val="24"/>
          <w:szCs w:val="24"/>
          <w:shd w:val="clear" w:color="auto" w:fill="FFFFFF"/>
        </w:rPr>
        <w:t>best</w:t>
      </w:r>
      <w:r w:rsidRPr="00EB13C3">
        <w:rPr>
          <w:rFonts w:ascii="Times New Roman" w:hAnsi="Times New Roman" w:cs="Times New Roman"/>
          <w:i/>
          <w:iCs/>
          <w:color w:val="222222"/>
          <w:sz w:val="24"/>
          <w:szCs w:val="24"/>
          <w:shd w:val="clear" w:color="auto" w:fill="FFFFFF"/>
        </w:rPr>
        <w:t xml:space="preserve"> investment</w:t>
      </w:r>
      <w:r w:rsidRPr="00EB13C3">
        <w:rPr>
          <w:rFonts w:ascii="Times New Roman" w:hAnsi="Times New Roman" w:cs="Times New Roman"/>
          <w:color w:val="222222"/>
          <w:sz w:val="24"/>
          <w:szCs w:val="24"/>
          <w:shd w:val="clear" w:color="auto" w:fill="FFFFFF"/>
        </w:rPr>
        <w:t>. Brookings Institution Press.</w:t>
      </w:r>
    </w:p>
    <w:p w14:paraId="67987346" w14:textId="77777777" w:rsidR="002B1660" w:rsidRPr="00EB13C3" w:rsidRDefault="002B1660" w:rsidP="00E83841">
      <w:pPr>
        <w:spacing w:line="360" w:lineRule="auto"/>
        <w:jc w:val="both"/>
        <w:rPr>
          <w:rFonts w:ascii="Times New Roman" w:hAnsi="Times New Roman" w:cs="Times New Roman"/>
          <w:color w:val="222222"/>
          <w:sz w:val="24"/>
          <w:szCs w:val="24"/>
          <w:shd w:val="clear" w:color="auto" w:fill="FFFFFF"/>
        </w:rPr>
      </w:pPr>
      <w:r w:rsidRPr="00EB13C3">
        <w:rPr>
          <w:rFonts w:ascii="Times New Roman" w:hAnsi="Times New Roman" w:cs="Times New Roman"/>
          <w:color w:val="222222"/>
          <w:sz w:val="24"/>
          <w:szCs w:val="24"/>
          <w:shd w:val="clear" w:color="auto" w:fill="FFFFFF"/>
        </w:rPr>
        <w:t xml:space="preserve">Tusiime, M., Otara, A., </w:t>
      </w:r>
      <w:proofErr w:type="spellStart"/>
      <w:r w:rsidRPr="00EB13C3">
        <w:rPr>
          <w:rFonts w:ascii="Times New Roman" w:hAnsi="Times New Roman" w:cs="Times New Roman"/>
          <w:color w:val="222222"/>
          <w:sz w:val="24"/>
          <w:szCs w:val="24"/>
          <w:shd w:val="clear" w:color="auto" w:fill="FFFFFF"/>
        </w:rPr>
        <w:t>Kaleeba</w:t>
      </w:r>
      <w:proofErr w:type="spellEnd"/>
      <w:r w:rsidRPr="00EB13C3">
        <w:rPr>
          <w:rFonts w:ascii="Times New Roman" w:hAnsi="Times New Roman" w:cs="Times New Roman"/>
          <w:color w:val="222222"/>
          <w:sz w:val="24"/>
          <w:szCs w:val="24"/>
          <w:shd w:val="clear" w:color="auto" w:fill="FFFFFF"/>
        </w:rPr>
        <w:t xml:space="preserve">, A., </w:t>
      </w:r>
      <w:proofErr w:type="spellStart"/>
      <w:r w:rsidRPr="00EB13C3">
        <w:rPr>
          <w:rFonts w:ascii="Times New Roman" w:hAnsi="Times New Roman" w:cs="Times New Roman"/>
          <w:color w:val="222222"/>
          <w:sz w:val="24"/>
          <w:szCs w:val="24"/>
          <w:shd w:val="clear" w:color="auto" w:fill="FFFFFF"/>
        </w:rPr>
        <w:t>Kaviira</w:t>
      </w:r>
      <w:proofErr w:type="spellEnd"/>
      <w:r w:rsidRPr="00EB13C3">
        <w:rPr>
          <w:rFonts w:ascii="Times New Roman" w:hAnsi="Times New Roman" w:cs="Times New Roman"/>
          <w:color w:val="222222"/>
          <w:sz w:val="24"/>
          <w:szCs w:val="24"/>
          <w:shd w:val="clear" w:color="auto" w:fill="FFFFFF"/>
        </w:rPr>
        <w:t xml:space="preserve">, A., &amp; </w:t>
      </w:r>
      <w:proofErr w:type="spellStart"/>
      <w:r w:rsidRPr="00EB13C3">
        <w:rPr>
          <w:rFonts w:ascii="Times New Roman" w:hAnsi="Times New Roman" w:cs="Times New Roman"/>
          <w:color w:val="222222"/>
          <w:sz w:val="24"/>
          <w:szCs w:val="24"/>
          <w:shd w:val="clear" w:color="auto" w:fill="FFFFFF"/>
        </w:rPr>
        <w:t>Tsinda</w:t>
      </w:r>
      <w:proofErr w:type="spellEnd"/>
      <w:r w:rsidRPr="00EB13C3">
        <w:rPr>
          <w:rFonts w:ascii="Times New Roman" w:hAnsi="Times New Roman" w:cs="Times New Roman"/>
          <w:color w:val="222222"/>
          <w:sz w:val="24"/>
          <w:szCs w:val="24"/>
          <w:shd w:val="clear" w:color="auto" w:fill="FFFFFF"/>
        </w:rPr>
        <w:t>, A.</w:t>
      </w:r>
      <w:r w:rsidR="002C141B">
        <w:rPr>
          <w:rFonts w:ascii="Times New Roman" w:hAnsi="Times New Roman" w:cs="Times New Roman"/>
          <w:color w:val="222222"/>
          <w:sz w:val="24"/>
          <w:szCs w:val="24"/>
          <w:shd w:val="clear" w:color="auto" w:fill="FFFFFF"/>
        </w:rPr>
        <w:t xml:space="preserve"> (2017). Gender differences in </w:t>
      </w:r>
      <w:r w:rsidRPr="00EB13C3">
        <w:rPr>
          <w:rFonts w:ascii="Times New Roman" w:hAnsi="Times New Roman" w:cs="Times New Roman"/>
          <w:color w:val="222222"/>
          <w:sz w:val="24"/>
          <w:szCs w:val="24"/>
          <w:shd w:val="clear" w:color="auto" w:fill="FFFFFF"/>
        </w:rPr>
        <w:t>enrollment and graduation rates in private and public highe</w:t>
      </w:r>
      <w:r w:rsidR="002C141B">
        <w:rPr>
          <w:rFonts w:ascii="Times New Roman" w:hAnsi="Times New Roman" w:cs="Times New Roman"/>
          <w:color w:val="222222"/>
          <w:sz w:val="24"/>
          <w:szCs w:val="24"/>
          <w:shd w:val="clear" w:color="auto" w:fill="FFFFFF"/>
        </w:rPr>
        <w:t>r learning institution in</w:t>
      </w:r>
      <w:r w:rsidR="002C141B">
        <w:rPr>
          <w:rFonts w:ascii="Times New Roman" w:hAnsi="Times New Roman" w:cs="Times New Roman"/>
          <w:color w:val="222222"/>
          <w:sz w:val="24"/>
          <w:szCs w:val="24"/>
          <w:shd w:val="clear" w:color="auto" w:fill="FFFFFF"/>
        </w:rPr>
        <w:tab/>
      </w:r>
      <w:r w:rsidRPr="00EB13C3">
        <w:rPr>
          <w:rFonts w:ascii="Times New Roman" w:hAnsi="Times New Roman" w:cs="Times New Roman"/>
          <w:color w:val="222222"/>
          <w:sz w:val="24"/>
          <w:szCs w:val="24"/>
          <w:shd w:val="clear" w:color="auto" w:fill="FFFFFF"/>
        </w:rPr>
        <w:t xml:space="preserve"> Rwanda. </w:t>
      </w:r>
      <w:r w:rsidRPr="00EB13C3">
        <w:rPr>
          <w:rFonts w:ascii="Times New Roman" w:hAnsi="Times New Roman" w:cs="Times New Roman"/>
          <w:i/>
          <w:iCs/>
          <w:color w:val="222222"/>
          <w:sz w:val="24"/>
          <w:szCs w:val="24"/>
          <w:shd w:val="clear" w:color="auto" w:fill="FFFFFF"/>
        </w:rPr>
        <w:t>Rwanda Journal</w:t>
      </w:r>
      <w:r w:rsidRPr="00EB13C3">
        <w:rPr>
          <w:rFonts w:ascii="Times New Roman" w:hAnsi="Times New Roman" w:cs="Times New Roman"/>
          <w:color w:val="222222"/>
          <w:sz w:val="24"/>
          <w:szCs w:val="24"/>
          <w:shd w:val="clear" w:color="auto" w:fill="FFFFFF"/>
        </w:rPr>
        <w:t>, </w:t>
      </w:r>
      <w:r w:rsidRPr="00EB13C3">
        <w:rPr>
          <w:rFonts w:ascii="Times New Roman" w:hAnsi="Times New Roman" w:cs="Times New Roman"/>
          <w:i/>
          <w:iCs/>
          <w:color w:val="222222"/>
          <w:sz w:val="24"/>
          <w:szCs w:val="24"/>
          <w:shd w:val="clear" w:color="auto" w:fill="FFFFFF"/>
        </w:rPr>
        <w:t>4</w:t>
      </w:r>
      <w:r w:rsidRPr="00EB13C3">
        <w:rPr>
          <w:rFonts w:ascii="Times New Roman" w:hAnsi="Times New Roman" w:cs="Times New Roman"/>
          <w:color w:val="222222"/>
          <w:sz w:val="24"/>
          <w:szCs w:val="24"/>
          <w:shd w:val="clear" w:color="auto" w:fill="FFFFFF"/>
        </w:rPr>
        <w:t>(1), 5-32.</w:t>
      </w:r>
    </w:p>
    <w:p w14:paraId="5E8B3D70" w14:textId="77777777" w:rsidR="002B1660" w:rsidRDefault="002B1660" w:rsidP="00E83841">
      <w:pPr>
        <w:pStyle w:val="ListParagraph"/>
        <w:spacing w:line="360" w:lineRule="auto"/>
        <w:ind w:left="0"/>
        <w:contextualSpacing/>
        <w:rPr>
          <w:szCs w:val="24"/>
        </w:rPr>
      </w:pPr>
      <w:r w:rsidRPr="00EB13C3">
        <w:rPr>
          <w:szCs w:val="24"/>
        </w:rPr>
        <w:t xml:space="preserve">United Nations Educational, Scientific, and Cultural Organization (UNESCO). (2020). </w:t>
      </w:r>
      <w:r w:rsidR="002C141B">
        <w:rPr>
          <w:i/>
          <w:szCs w:val="24"/>
        </w:rPr>
        <w:t xml:space="preserve">Global </w:t>
      </w:r>
      <w:r w:rsidRPr="00EB13C3">
        <w:rPr>
          <w:i/>
          <w:szCs w:val="24"/>
        </w:rPr>
        <w:t>education monitoring report</w:t>
      </w:r>
      <w:r w:rsidRPr="00EB13C3">
        <w:rPr>
          <w:szCs w:val="24"/>
        </w:rPr>
        <w:t>: Gender report. Paris: UNESCO.</w:t>
      </w:r>
    </w:p>
    <w:p w14:paraId="1EC0D8F1" w14:textId="77777777" w:rsidR="002C141B" w:rsidRPr="00E36750" w:rsidRDefault="002C141B" w:rsidP="00E83841">
      <w:pPr>
        <w:pStyle w:val="ListParagraph"/>
        <w:spacing w:line="360" w:lineRule="auto"/>
        <w:ind w:left="0"/>
        <w:contextualSpacing/>
        <w:rPr>
          <w:szCs w:val="24"/>
        </w:rPr>
      </w:pPr>
    </w:p>
    <w:p w14:paraId="674F5490" w14:textId="77777777" w:rsidR="002B1660" w:rsidRPr="00E36750" w:rsidRDefault="002B1660" w:rsidP="00E83841">
      <w:pPr>
        <w:pStyle w:val="ListParagraph"/>
        <w:spacing w:line="360" w:lineRule="auto"/>
        <w:ind w:left="0"/>
        <w:contextualSpacing/>
        <w:rPr>
          <w:rStyle w:val="Hyperlink"/>
          <w:szCs w:val="24"/>
        </w:rPr>
      </w:pPr>
      <w:r w:rsidRPr="00EB13C3">
        <w:rPr>
          <w:szCs w:val="24"/>
        </w:rPr>
        <w:t xml:space="preserve">World Bank. (2021). Girls' education: </w:t>
      </w:r>
      <w:r w:rsidRPr="00EB13C3">
        <w:rPr>
          <w:i/>
          <w:szCs w:val="24"/>
        </w:rPr>
        <w:t>A priority for ac</w:t>
      </w:r>
      <w:r w:rsidR="002C141B">
        <w:rPr>
          <w:i/>
          <w:szCs w:val="24"/>
        </w:rPr>
        <w:t xml:space="preserve">hieving sustainable development </w:t>
      </w:r>
      <w:proofErr w:type="spellStart"/>
      <w:r w:rsidRPr="00EB13C3">
        <w:rPr>
          <w:i/>
          <w:szCs w:val="24"/>
        </w:rPr>
        <w:t>goals.</w:t>
      </w:r>
      <w:r w:rsidR="002C141B">
        <w:rPr>
          <w:szCs w:val="24"/>
        </w:rPr>
        <w:t>Retrieved</w:t>
      </w:r>
      <w:proofErr w:type="spellEnd"/>
      <w:r w:rsidR="002C141B">
        <w:rPr>
          <w:szCs w:val="24"/>
        </w:rPr>
        <w:t xml:space="preserve"> </w:t>
      </w:r>
      <w:r w:rsidRPr="00EB13C3">
        <w:rPr>
          <w:szCs w:val="24"/>
        </w:rPr>
        <w:t xml:space="preserve">from </w:t>
      </w:r>
      <w:hyperlink r:id="rId19" w:history="1">
        <w:r w:rsidRPr="00EB13C3">
          <w:rPr>
            <w:rStyle w:val="Hyperlink"/>
            <w:szCs w:val="24"/>
            <w:u w:val="none"/>
          </w:rPr>
          <w:t>https://www.worldbank.org</w:t>
        </w:r>
      </w:hyperlink>
    </w:p>
    <w:p w14:paraId="7193C188" w14:textId="12773A36" w:rsidR="002B1660" w:rsidRDefault="002B1660" w:rsidP="00E83841">
      <w:pPr>
        <w:spacing w:line="360" w:lineRule="auto"/>
        <w:jc w:val="both"/>
        <w:rPr>
          <w:rFonts w:ascii="Times New Roman" w:eastAsia="Calibri" w:hAnsi="Times New Roman" w:cs="Times New Roman"/>
          <w:sz w:val="24"/>
          <w:szCs w:val="24"/>
        </w:rPr>
      </w:pPr>
      <w:proofErr w:type="spellStart"/>
      <w:r w:rsidRPr="00EB13C3">
        <w:rPr>
          <w:rFonts w:ascii="Times New Roman" w:eastAsia="Calibri" w:hAnsi="Times New Roman" w:cs="Times New Roman"/>
          <w:sz w:val="24"/>
          <w:szCs w:val="24"/>
        </w:rPr>
        <w:t>Zabaniotou</w:t>
      </w:r>
      <w:proofErr w:type="spellEnd"/>
      <w:r w:rsidRPr="00EB13C3">
        <w:rPr>
          <w:rFonts w:ascii="Times New Roman" w:eastAsia="Calibri" w:hAnsi="Times New Roman" w:cs="Times New Roman"/>
          <w:sz w:val="24"/>
          <w:szCs w:val="24"/>
        </w:rPr>
        <w:t xml:space="preserve">, A. (2020). </w:t>
      </w:r>
      <w:r w:rsidRPr="00EB13C3">
        <w:rPr>
          <w:rFonts w:ascii="Times New Roman" w:eastAsia="Calibri" w:hAnsi="Times New Roman" w:cs="Times New Roman"/>
          <w:i/>
          <w:sz w:val="24"/>
          <w:szCs w:val="24"/>
        </w:rPr>
        <w:t>Towards gender equality in Mediterrane</w:t>
      </w:r>
      <w:r w:rsidR="002C141B">
        <w:rPr>
          <w:rFonts w:ascii="Times New Roman" w:eastAsia="Calibri" w:hAnsi="Times New Roman" w:cs="Times New Roman"/>
          <w:i/>
          <w:sz w:val="24"/>
          <w:szCs w:val="24"/>
        </w:rPr>
        <w:t xml:space="preserve">an Engineering Schools through </w:t>
      </w:r>
      <w:r w:rsidRPr="00EB13C3">
        <w:rPr>
          <w:rFonts w:ascii="Times New Roman" w:eastAsia="Calibri" w:hAnsi="Times New Roman" w:cs="Times New Roman"/>
          <w:i/>
          <w:sz w:val="24"/>
          <w:szCs w:val="24"/>
        </w:rPr>
        <w:t xml:space="preserve">networking, collaborative learning, synergies and </w:t>
      </w:r>
      <w:r w:rsidR="006369D5">
        <w:rPr>
          <w:rFonts w:ascii="Times New Roman" w:eastAsia="Calibri" w:hAnsi="Times New Roman" w:cs="Times New Roman"/>
          <w:i/>
          <w:sz w:val="24"/>
          <w:szCs w:val="24"/>
        </w:rPr>
        <w:t>commitment to SDGs-The RMEI</w:t>
      </w:r>
      <w:r w:rsidRPr="00EB13C3">
        <w:rPr>
          <w:rFonts w:ascii="Times New Roman" w:eastAsia="Calibri" w:hAnsi="Times New Roman" w:cs="Times New Roman"/>
          <w:i/>
          <w:sz w:val="24"/>
          <w:szCs w:val="24"/>
        </w:rPr>
        <w:t xml:space="preserve"> approach</w:t>
      </w:r>
      <w:r w:rsidRPr="00EB13C3">
        <w:rPr>
          <w:rFonts w:ascii="Times New Roman" w:eastAsia="Calibri" w:hAnsi="Times New Roman" w:cs="Times New Roman"/>
          <w:sz w:val="24"/>
          <w:szCs w:val="24"/>
        </w:rPr>
        <w:t>. Global Transitions, 2, 4-15.</w:t>
      </w:r>
    </w:p>
    <w:p w14:paraId="0300DC59" w14:textId="77777777" w:rsidR="006369D5" w:rsidRPr="006369D5" w:rsidRDefault="006369D5" w:rsidP="00E83841">
      <w:pPr>
        <w:spacing w:line="360" w:lineRule="auto"/>
        <w:jc w:val="both"/>
        <w:rPr>
          <w:rFonts w:ascii="Times New Roman" w:eastAsia="Calibri" w:hAnsi="Times New Roman" w:cs="Times New Roman"/>
          <w:i/>
          <w:sz w:val="24"/>
          <w:szCs w:val="24"/>
        </w:rPr>
      </w:pPr>
    </w:p>
    <w:p w14:paraId="4C745FF6" w14:textId="77777777" w:rsidR="00C838FA" w:rsidRPr="00DD005F" w:rsidRDefault="00C838FA" w:rsidP="00E83841">
      <w:pPr>
        <w:spacing w:line="360" w:lineRule="auto"/>
        <w:jc w:val="both"/>
        <w:rPr>
          <w:rFonts w:ascii="Times New Roman" w:eastAsia="Calibri" w:hAnsi="Times New Roman" w:cs="Times New Roman"/>
          <w:sz w:val="24"/>
        </w:rPr>
      </w:pPr>
    </w:p>
    <w:sectPr w:rsidR="00C838FA" w:rsidRPr="00DD005F" w:rsidSect="00E83841">
      <w:type w:val="continuous"/>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B2A30F" w14:textId="77777777" w:rsidR="00867B6B" w:rsidRDefault="00867B6B" w:rsidP="00922320">
      <w:pPr>
        <w:spacing w:after="0" w:line="240" w:lineRule="auto"/>
      </w:pPr>
      <w:r>
        <w:separator/>
      </w:r>
    </w:p>
  </w:endnote>
  <w:endnote w:type="continuationSeparator" w:id="0">
    <w:p w14:paraId="4198E9F5" w14:textId="77777777" w:rsidR="00867B6B" w:rsidRDefault="00867B6B" w:rsidP="009223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MT">
    <w:altName w:val="Arial"/>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EF8DDA" w14:textId="77777777" w:rsidR="00CA6308" w:rsidRDefault="00CA63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7B65D2" w14:textId="77777777" w:rsidR="00CA6308" w:rsidRDefault="00CA630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9FF94B" w14:textId="77777777" w:rsidR="00CA6308" w:rsidRDefault="00CA63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285FF3" w14:textId="77777777" w:rsidR="00867B6B" w:rsidRDefault="00867B6B" w:rsidP="00922320">
      <w:pPr>
        <w:spacing w:after="0" w:line="240" w:lineRule="auto"/>
      </w:pPr>
      <w:r>
        <w:separator/>
      </w:r>
    </w:p>
  </w:footnote>
  <w:footnote w:type="continuationSeparator" w:id="0">
    <w:p w14:paraId="25EB6060" w14:textId="77777777" w:rsidR="00867B6B" w:rsidRDefault="00867B6B" w:rsidP="009223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B02D48" w14:textId="3D7D0F31" w:rsidR="00CA6308" w:rsidRDefault="00867B6B">
    <w:pPr>
      <w:pStyle w:val="Header"/>
    </w:pPr>
    <w:r>
      <w:rPr>
        <w:noProof/>
      </w:rPr>
      <w:pict w14:anchorId="682A654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5617047"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628D03" w14:textId="5F3F4EAE" w:rsidR="00CA6308" w:rsidRDefault="00867B6B">
    <w:pPr>
      <w:pStyle w:val="Header"/>
    </w:pPr>
    <w:r>
      <w:rPr>
        <w:noProof/>
      </w:rPr>
      <w:pict w14:anchorId="2D8B977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5617048"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5AEB38" w14:textId="41640183" w:rsidR="00CA6308" w:rsidRDefault="00867B6B">
    <w:pPr>
      <w:pStyle w:val="Header"/>
    </w:pPr>
    <w:r>
      <w:rPr>
        <w:noProof/>
      </w:rPr>
      <w:pict w14:anchorId="05B6659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5617046"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2NDYxMjUxNDU2MDczNTRU0lEKTi0uzszPAykwrAUAenBL9iwAAAA="/>
  </w:docVars>
  <w:rsids>
    <w:rsidRoot w:val="00732EF1"/>
    <w:rsid w:val="00000DFA"/>
    <w:rsid w:val="00024A69"/>
    <w:rsid w:val="000446B3"/>
    <w:rsid w:val="00044D44"/>
    <w:rsid w:val="000522F5"/>
    <w:rsid w:val="0007410A"/>
    <w:rsid w:val="00074868"/>
    <w:rsid w:val="000806A1"/>
    <w:rsid w:val="000861A1"/>
    <w:rsid w:val="000922A9"/>
    <w:rsid w:val="000B1E92"/>
    <w:rsid w:val="000B745A"/>
    <w:rsid w:val="000F7127"/>
    <w:rsid w:val="00107E31"/>
    <w:rsid w:val="00143E7F"/>
    <w:rsid w:val="001477DD"/>
    <w:rsid w:val="00152684"/>
    <w:rsid w:val="00167522"/>
    <w:rsid w:val="001B3962"/>
    <w:rsid w:val="001C2FBC"/>
    <w:rsid w:val="001D66A0"/>
    <w:rsid w:val="002059B3"/>
    <w:rsid w:val="00233463"/>
    <w:rsid w:val="0023750F"/>
    <w:rsid w:val="00254676"/>
    <w:rsid w:val="00256879"/>
    <w:rsid w:val="00257550"/>
    <w:rsid w:val="00272D1B"/>
    <w:rsid w:val="002835CD"/>
    <w:rsid w:val="00285C5B"/>
    <w:rsid w:val="002B05FB"/>
    <w:rsid w:val="002B1660"/>
    <w:rsid w:val="002B67A7"/>
    <w:rsid w:val="002C141B"/>
    <w:rsid w:val="0030114C"/>
    <w:rsid w:val="00304740"/>
    <w:rsid w:val="00324411"/>
    <w:rsid w:val="00344769"/>
    <w:rsid w:val="00346E63"/>
    <w:rsid w:val="003474FB"/>
    <w:rsid w:val="00352037"/>
    <w:rsid w:val="00385737"/>
    <w:rsid w:val="00390B36"/>
    <w:rsid w:val="003C253F"/>
    <w:rsid w:val="003C5A86"/>
    <w:rsid w:val="003D1BBA"/>
    <w:rsid w:val="003D5A1A"/>
    <w:rsid w:val="003F27B6"/>
    <w:rsid w:val="003F53BC"/>
    <w:rsid w:val="004009B9"/>
    <w:rsid w:val="00443137"/>
    <w:rsid w:val="00444ABC"/>
    <w:rsid w:val="00452500"/>
    <w:rsid w:val="00455003"/>
    <w:rsid w:val="00462DD4"/>
    <w:rsid w:val="00463E91"/>
    <w:rsid w:val="0047146C"/>
    <w:rsid w:val="00490AAC"/>
    <w:rsid w:val="00492163"/>
    <w:rsid w:val="00493CE7"/>
    <w:rsid w:val="004951D8"/>
    <w:rsid w:val="004A23A3"/>
    <w:rsid w:val="004B042C"/>
    <w:rsid w:val="004C7509"/>
    <w:rsid w:val="004D627B"/>
    <w:rsid w:val="00500962"/>
    <w:rsid w:val="005114B8"/>
    <w:rsid w:val="005115B3"/>
    <w:rsid w:val="00511EF1"/>
    <w:rsid w:val="005244A6"/>
    <w:rsid w:val="005272C3"/>
    <w:rsid w:val="00541045"/>
    <w:rsid w:val="00544C08"/>
    <w:rsid w:val="0056782E"/>
    <w:rsid w:val="0057099F"/>
    <w:rsid w:val="00584DF5"/>
    <w:rsid w:val="00590763"/>
    <w:rsid w:val="005C1C50"/>
    <w:rsid w:val="005C3279"/>
    <w:rsid w:val="005C74AE"/>
    <w:rsid w:val="005E2361"/>
    <w:rsid w:val="005E7376"/>
    <w:rsid w:val="005F5B4B"/>
    <w:rsid w:val="005F60EB"/>
    <w:rsid w:val="00620A26"/>
    <w:rsid w:val="0062190B"/>
    <w:rsid w:val="0062288B"/>
    <w:rsid w:val="006358AF"/>
    <w:rsid w:val="006369D5"/>
    <w:rsid w:val="006506EB"/>
    <w:rsid w:val="0065620D"/>
    <w:rsid w:val="006662FC"/>
    <w:rsid w:val="00674623"/>
    <w:rsid w:val="00692A05"/>
    <w:rsid w:val="00695FC3"/>
    <w:rsid w:val="006B4701"/>
    <w:rsid w:val="006C567E"/>
    <w:rsid w:val="006C5ED5"/>
    <w:rsid w:val="006D7D3D"/>
    <w:rsid w:val="006E70A6"/>
    <w:rsid w:val="006F04B4"/>
    <w:rsid w:val="006F42FE"/>
    <w:rsid w:val="00710293"/>
    <w:rsid w:val="00717993"/>
    <w:rsid w:val="00725649"/>
    <w:rsid w:val="00732EF1"/>
    <w:rsid w:val="00744AE3"/>
    <w:rsid w:val="00747317"/>
    <w:rsid w:val="00792410"/>
    <w:rsid w:val="007C209C"/>
    <w:rsid w:val="007C3B1F"/>
    <w:rsid w:val="007D4331"/>
    <w:rsid w:val="007E03FA"/>
    <w:rsid w:val="00803B89"/>
    <w:rsid w:val="0081561C"/>
    <w:rsid w:val="0082226F"/>
    <w:rsid w:val="00836A8C"/>
    <w:rsid w:val="00841AC1"/>
    <w:rsid w:val="008421CD"/>
    <w:rsid w:val="008615BB"/>
    <w:rsid w:val="00861F50"/>
    <w:rsid w:val="00867B6B"/>
    <w:rsid w:val="008702A9"/>
    <w:rsid w:val="00883B85"/>
    <w:rsid w:val="0088632C"/>
    <w:rsid w:val="008A58D2"/>
    <w:rsid w:val="008A782C"/>
    <w:rsid w:val="008B5731"/>
    <w:rsid w:val="008B6FA1"/>
    <w:rsid w:val="008C2E39"/>
    <w:rsid w:val="008D386D"/>
    <w:rsid w:val="00901704"/>
    <w:rsid w:val="00903BBC"/>
    <w:rsid w:val="00903D5E"/>
    <w:rsid w:val="0091274F"/>
    <w:rsid w:val="009137C8"/>
    <w:rsid w:val="00921F4D"/>
    <w:rsid w:val="00922320"/>
    <w:rsid w:val="00932333"/>
    <w:rsid w:val="009325B9"/>
    <w:rsid w:val="009375A6"/>
    <w:rsid w:val="009404B1"/>
    <w:rsid w:val="0095755C"/>
    <w:rsid w:val="00957BBD"/>
    <w:rsid w:val="0098032B"/>
    <w:rsid w:val="009A5658"/>
    <w:rsid w:val="009B7B0A"/>
    <w:rsid w:val="009C4C38"/>
    <w:rsid w:val="009C7D07"/>
    <w:rsid w:val="009D434E"/>
    <w:rsid w:val="00A05470"/>
    <w:rsid w:val="00A273F5"/>
    <w:rsid w:val="00A3686F"/>
    <w:rsid w:val="00A369A6"/>
    <w:rsid w:val="00A37275"/>
    <w:rsid w:val="00A37A2D"/>
    <w:rsid w:val="00A40C9A"/>
    <w:rsid w:val="00A607C9"/>
    <w:rsid w:val="00A80648"/>
    <w:rsid w:val="00A81BF9"/>
    <w:rsid w:val="00A91511"/>
    <w:rsid w:val="00A915C2"/>
    <w:rsid w:val="00AA6A9D"/>
    <w:rsid w:val="00AB38F9"/>
    <w:rsid w:val="00AB41B9"/>
    <w:rsid w:val="00AC0EC3"/>
    <w:rsid w:val="00AD1D7C"/>
    <w:rsid w:val="00AF0C13"/>
    <w:rsid w:val="00AF48B1"/>
    <w:rsid w:val="00B026E0"/>
    <w:rsid w:val="00B07B7C"/>
    <w:rsid w:val="00B1019A"/>
    <w:rsid w:val="00B21CAC"/>
    <w:rsid w:val="00B32592"/>
    <w:rsid w:val="00B36418"/>
    <w:rsid w:val="00B407DC"/>
    <w:rsid w:val="00B430C7"/>
    <w:rsid w:val="00B44403"/>
    <w:rsid w:val="00B60145"/>
    <w:rsid w:val="00B626C6"/>
    <w:rsid w:val="00B67AF4"/>
    <w:rsid w:val="00B84A69"/>
    <w:rsid w:val="00B90321"/>
    <w:rsid w:val="00BA3497"/>
    <w:rsid w:val="00BA6DF3"/>
    <w:rsid w:val="00BC762D"/>
    <w:rsid w:val="00BD6482"/>
    <w:rsid w:val="00BE7412"/>
    <w:rsid w:val="00BE7DA9"/>
    <w:rsid w:val="00C003DC"/>
    <w:rsid w:val="00C046AE"/>
    <w:rsid w:val="00C07261"/>
    <w:rsid w:val="00C12979"/>
    <w:rsid w:val="00C226E1"/>
    <w:rsid w:val="00C23C8E"/>
    <w:rsid w:val="00C26084"/>
    <w:rsid w:val="00C35067"/>
    <w:rsid w:val="00C408F3"/>
    <w:rsid w:val="00C477FA"/>
    <w:rsid w:val="00C538DC"/>
    <w:rsid w:val="00C5423D"/>
    <w:rsid w:val="00C66C90"/>
    <w:rsid w:val="00C8012A"/>
    <w:rsid w:val="00C82C52"/>
    <w:rsid w:val="00C838FA"/>
    <w:rsid w:val="00C8519A"/>
    <w:rsid w:val="00C936AD"/>
    <w:rsid w:val="00CA41C2"/>
    <w:rsid w:val="00CA6308"/>
    <w:rsid w:val="00CC1EA3"/>
    <w:rsid w:val="00CC5FE1"/>
    <w:rsid w:val="00CE6FC0"/>
    <w:rsid w:val="00CF0198"/>
    <w:rsid w:val="00CF08F0"/>
    <w:rsid w:val="00CF58D3"/>
    <w:rsid w:val="00CF71B2"/>
    <w:rsid w:val="00D040AE"/>
    <w:rsid w:val="00D11D04"/>
    <w:rsid w:val="00D20029"/>
    <w:rsid w:val="00D21361"/>
    <w:rsid w:val="00D25004"/>
    <w:rsid w:val="00D258F4"/>
    <w:rsid w:val="00D54AD6"/>
    <w:rsid w:val="00D54CC8"/>
    <w:rsid w:val="00D56F7B"/>
    <w:rsid w:val="00D64911"/>
    <w:rsid w:val="00D66630"/>
    <w:rsid w:val="00D75124"/>
    <w:rsid w:val="00D7598D"/>
    <w:rsid w:val="00D9786C"/>
    <w:rsid w:val="00DB6F43"/>
    <w:rsid w:val="00DC22D3"/>
    <w:rsid w:val="00DD005F"/>
    <w:rsid w:val="00DE7BA3"/>
    <w:rsid w:val="00E02693"/>
    <w:rsid w:val="00E058E5"/>
    <w:rsid w:val="00E36A25"/>
    <w:rsid w:val="00E36A8B"/>
    <w:rsid w:val="00E373D5"/>
    <w:rsid w:val="00E46B14"/>
    <w:rsid w:val="00E50A6F"/>
    <w:rsid w:val="00E579CA"/>
    <w:rsid w:val="00E63306"/>
    <w:rsid w:val="00E707DE"/>
    <w:rsid w:val="00E70A24"/>
    <w:rsid w:val="00E820F7"/>
    <w:rsid w:val="00E82693"/>
    <w:rsid w:val="00E83841"/>
    <w:rsid w:val="00E93E64"/>
    <w:rsid w:val="00E956FD"/>
    <w:rsid w:val="00EA1F15"/>
    <w:rsid w:val="00EA3486"/>
    <w:rsid w:val="00EB13C3"/>
    <w:rsid w:val="00EE563F"/>
    <w:rsid w:val="00EE56CF"/>
    <w:rsid w:val="00F04300"/>
    <w:rsid w:val="00F071F2"/>
    <w:rsid w:val="00F45A40"/>
    <w:rsid w:val="00F831FC"/>
    <w:rsid w:val="00F86FE0"/>
    <w:rsid w:val="00FC7A78"/>
    <w:rsid w:val="00FD679A"/>
    <w:rsid w:val="00FF4853"/>
    <w:rsid w:val="00FF6D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7CDC5EFE"/>
  <w15:chartTrackingRefBased/>
  <w15:docId w15:val="{5D60E6C4-D7A8-4A48-BA3C-DE1F2BF10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2E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23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2320"/>
  </w:style>
  <w:style w:type="paragraph" w:styleId="Footer">
    <w:name w:val="footer"/>
    <w:basedOn w:val="Normal"/>
    <w:link w:val="FooterChar"/>
    <w:uiPriority w:val="99"/>
    <w:unhideWhenUsed/>
    <w:rsid w:val="009223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2320"/>
  </w:style>
  <w:style w:type="paragraph" w:styleId="NormalWeb">
    <w:name w:val="Normal (Web)"/>
    <w:basedOn w:val="Normal"/>
    <w:uiPriority w:val="99"/>
    <w:unhideWhenUsed/>
    <w:rsid w:val="002059B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jss721">
    <w:name w:val="jss721"/>
    <w:rsid w:val="00FF4853"/>
  </w:style>
  <w:style w:type="paragraph" w:styleId="ListParagraph">
    <w:name w:val="List Paragraph"/>
    <w:basedOn w:val="Normal"/>
    <w:uiPriority w:val="34"/>
    <w:qFormat/>
    <w:rsid w:val="00AB41B9"/>
    <w:pPr>
      <w:ind w:left="720"/>
      <w:jc w:val="both"/>
    </w:pPr>
    <w:rPr>
      <w:rFonts w:ascii="Times New Roman" w:eastAsia="Calibri" w:hAnsi="Times New Roman" w:cs="Times New Roman"/>
      <w:sz w:val="24"/>
    </w:rPr>
  </w:style>
  <w:style w:type="paragraph" w:styleId="Caption">
    <w:name w:val="caption"/>
    <w:basedOn w:val="Normal"/>
    <w:next w:val="Normal"/>
    <w:qFormat/>
    <w:rsid w:val="00BE7412"/>
    <w:pPr>
      <w:jc w:val="both"/>
    </w:pPr>
    <w:rPr>
      <w:rFonts w:ascii="Times New Roman" w:eastAsia="Calibri" w:hAnsi="Times New Roman" w:cs="Times New Roman"/>
      <w:b/>
      <w:bCs/>
      <w:sz w:val="20"/>
      <w:szCs w:val="20"/>
    </w:rPr>
  </w:style>
  <w:style w:type="character" w:customStyle="1" w:styleId="fontstyle01">
    <w:name w:val="fontstyle01"/>
    <w:basedOn w:val="DefaultParagraphFont"/>
    <w:rsid w:val="00803B89"/>
    <w:rPr>
      <w:rFonts w:ascii="ArialMT" w:hAnsi="ArialMT" w:hint="default"/>
      <w:b w:val="0"/>
      <w:bCs w:val="0"/>
      <w:i w:val="0"/>
      <w:iCs w:val="0"/>
      <w:color w:val="000000"/>
      <w:sz w:val="20"/>
      <w:szCs w:val="20"/>
    </w:rPr>
  </w:style>
  <w:style w:type="character" w:customStyle="1" w:styleId="uv3um">
    <w:name w:val="uv3um"/>
    <w:basedOn w:val="DefaultParagraphFont"/>
    <w:rsid w:val="00E02693"/>
  </w:style>
  <w:style w:type="character" w:styleId="Hyperlink">
    <w:name w:val="Hyperlink"/>
    <w:uiPriority w:val="99"/>
    <w:unhideWhenUsed/>
    <w:rsid w:val="00CC5FE1"/>
    <w:rPr>
      <w:color w:val="0563C1"/>
      <w:u w:val="single"/>
    </w:rPr>
  </w:style>
  <w:style w:type="table" w:styleId="TableGrid">
    <w:name w:val="Table Grid"/>
    <w:basedOn w:val="TableNormal"/>
    <w:uiPriority w:val="39"/>
    <w:rsid w:val="008222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F42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42FE"/>
    <w:rPr>
      <w:rFonts w:ascii="Segoe UI" w:hAnsi="Segoe UI" w:cs="Segoe UI"/>
      <w:sz w:val="18"/>
      <w:szCs w:val="18"/>
    </w:rPr>
  </w:style>
  <w:style w:type="character" w:styleId="CommentReference">
    <w:name w:val="annotation reference"/>
    <w:basedOn w:val="DefaultParagraphFont"/>
    <w:uiPriority w:val="99"/>
    <w:semiHidden/>
    <w:unhideWhenUsed/>
    <w:rsid w:val="00462DD4"/>
    <w:rPr>
      <w:sz w:val="16"/>
      <w:szCs w:val="16"/>
    </w:rPr>
  </w:style>
  <w:style w:type="paragraph" w:styleId="CommentText">
    <w:name w:val="annotation text"/>
    <w:basedOn w:val="Normal"/>
    <w:link w:val="CommentTextChar"/>
    <w:uiPriority w:val="99"/>
    <w:semiHidden/>
    <w:unhideWhenUsed/>
    <w:rsid w:val="00462DD4"/>
    <w:pPr>
      <w:spacing w:line="240" w:lineRule="auto"/>
    </w:pPr>
    <w:rPr>
      <w:sz w:val="20"/>
      <w:szCs w:val="20"/>
    </w:rPr>
  </w:style>
  <w:style w:type="character" w:customStyle="1" w:styleId="CommentTextChar">
    <w:name w:val="Comment Text Char"/>
    <w:basedOn w:val="DefaultParagraphFont"/>
    <w:link w:val="CommentText"/>
    <w:uiPriority w:val="99"/>
    <w:semiHidden/>
    <w:rsid w:val="00462DD4"/>
    <w:rPr>
      <w:sz w:val="20"/>
      <w:szCs w:val="20"/>
    </w:rPr>
  </w:style>
  <w:style w:type="paragraph" w:styleId="CommentSubject">
    <w:name w:val="annotation subject"/>
    <w:basedOn w:val="CommentText"/>
    <w:next w:val="CommentText"/>
    <w:link w:val="CommentSubjectChar"/>
    <w:uiPriority w:val="99"/>
    <w:semiHidden/>
    <w:unhideWhenUsed/>
    <w:rsid w:val="00462DD4"/>
    <w:rPr>
      <w:b/>
      <w:bCs/>
    </w:rPr>
  </w:style>
  <w:style w:type="character" w:customStyle="1" w:styleId="CommentSubjectChar">
    <w:name w:val="Comment Subject Char"/>
    <w:basedOn w:val="CommentTextChar"/>
    <w:link w:val="CommentSubject"/>
    <w:uiPriority w:val="99"/>
    <w:semiHidden/>
    <w:rsid w:val="00462DD4"/>
    <w:rPr>
      <w:b/>
      <w:bCs/>
      <w:sz w:val="20"/>
      <w:szCs w:val="20"/>
    </w:rPr>
  </w:style>
  <w:style w:type="character" w:customStyle="1" w:styleId="UnresolvedMention">
    <w:name w:val="Unresolved Mention"/>
    <w:basedOn w:val="DefaultParagraphFont"/>
    <w:uiPriority w:val="99"/>
    <w:semiHidden/>
    <w:unhideWhenUsed/>
    <w:rsid w:val="006358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9019318">
      <w:bodyDiv w:val="1"/>
      <w:marLeft w:val="0"/>
      <w:marRight w:val="0"/>
      <w:marTop w:val="0"/>
      <w:marBottom w:val="0"/>
      <w:divBdr>
        <w:top w:val="none" w:sz="0" w:space="0" w:color="auto"/>
        <w:left w:val="none" w:sz="0" w:space="0" w:color="auto"/>
        <w:bottom w:val="none" w:sz="0" w:space="0" w:color="auto"/>
        <w:right w:val="none" w:sz="0" w:space="0" w:color="auto"/>
      </w:divBdr>
      <w:divsChild>
        <w:div w:id="1990673643">
          <w:marLeft w:val="0"/>
          <w:marRight w:val="0"/>
          <w:marTop w:val="0"/>
          <w:marBottom w:val="0"/>
          <w:divBdr>
            <w:top w:val="none" w:sz="0" w:space="0" w:color="auto"/>
            <w:left w:val="none" w:sz="0" w:space="0" w:color="auto"/>
            <w:bottom w:val="none" w:sz="0" w:space="0" w:color="auto"/>
            <w:right w:val="none" w:sz="0" w:space="0" w:color="auto"/>
          </w:divBdr>
          <w:divsChild>
            <w:div w:id="444539429">
              <w:marLeft w:val="0"/>
              <w:marRight w:val="0"/>
              <w:marTop w:val="0"/>
              <w:marBottom w:val="0"/>
              <w:divBdr>
                <w:top w:val="none" w:sz="0" w:space="0" w:color="auto"/>
                <w:left w:val="none" w:sz="0" w:space="0" w:color="auto"/>
                <w:bottom w:val="none" w:sz="0" w:space="0" w:color="auto"/>
                <w:right w:val="none" w:sz="0" w:space="0" w:color="auto"/>
              </w:divBdr>
              <w:divsChild>
                <w:div w:id="719789202">
                  <w:marLeft w:val="0"/>
                  <w:marRight w:val="0"/>
                  <w:marTop w:val="0"/>
                  <w:marBottom w:val="0"/>
                  <w:divBdr>
                    <w:top w:val="none" w:sz="0" w:space="0" w:color="auto"/>
                    <w:left w:val="none" w:sz="0" w:space="0" w:color="auto"/>
                    <w:bottom w:val="none" w:sz="0" w:space="0" w:color="auto"/>
                    <w:right w:val="none" w:sz="0" w:space="0" w:color="auto"/>
                  </w:divBdr>
                  <w:divsChild>
                    <w:div w:id="924800204">
                      <w:marLeft w:val="0"/>
                      <w:marRight w:val="0"/>
                      <w:marTop w:val="0"/>
                      <w:marBottom w:val="0"/>
                      <w:divBdr>
                        <w:top w:val="none" w:sz="0" w:space="0" w:color="auto"/>
                        <w:left w:val="none" w:sz="0" w:space="0" w:color="auto"/>
                        <w:bottom w:val="none" w:sz="0" w:space="0" w:color="auto"/>
                        <w:right w:val="none" w:sz="0" w:space="0" w:color="auto"/>
                      </w:divBdr>
                      <w:divsChild>
                        <w:div w:id="2050689500">
                          <w:marLeft w:val="0"/>
                          <w:marRight w:val="0"/>
                          <w:marTop w:val="0"/>
                          <w:marBottom w:val="0"/>
                          <w:divBdr>
                            <w:top w:val="none" w:sz="0" w:space="0" w:color="auto"/>
                            <w:left w:val="none" w:sz="0" w:space="0" w:color="auto"/>
                            <w:bottom w:val="none" w:sz="0" w:space="0" w:color="auto"/>
                            <w:right w:val="none" w:sz="0" w:space="0" w:color="auto"/>
                          </w:divBdr>
                          <w:divsChild>
                            <w:div w:id="67457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5208994">
      <w:bodyDiv w:val="1"/>
      <w:marLeft w:val="0"/>
      <w:marRight w:val="0"/>
      <w:marTop w:val="0"/>
      <w:marBottom w:val="0"/>
      <w:divBdr>
        <w:top w:val="none" w:sz="0" w:space="0" w:color="auto"/>
        <w:left w:val="none" w:sz="0" w:space="0" w:color="auto"/>
        <w:bottom w:val="none" w:sz="0" w:space="0" w:color="auto"/>
        <w:right w:val="none" w:sz="0" w:space="0" w:color="auto"/>
      </w:divBdr>
      <w:divsChild>
        <w:div w:id="1465582940">
          <w:marLeft w:val="0"/>
          <w:marRight w:val="0"/>
          <w:marTop w:val="0"/>
          <w:marBottom w:val="0"/>
          <w:divBdr>
            <w:top w:val="none" w:sz="0" w:space="0" w:color="auto"/>
            <w:left w:val="none" w:sz="0" w:space="0" w:color="auto"/>
            <w:bottom w:val="none" w:sz="0" w:space="0" w:color="auto"/>
            <w:right w:val="none" w:sz="0" w:space="0" w:color="auto"/>
          </w:divBdr>
          <w:divsChild>
            <w:div w:id="144786079">
              <w:marLeft w:val="0"/>
              <w:marRight w:val="0"/>
              <w:marTop w:val="0"/>
              <w:marBottom w:val="0"/>
              <w:divBdr>
                <w:top w:val="none" w:sz="0" w:space="0" w:color="auto"/>
                <w:left w:val="none" w:sz="0" w:space="0" w:color="auto"/>
                <w:bottom w:val="none" w:sz="0" w:space="0" w:color="auto"/>
                <w:right w:val="none" w:sz="0" w:space="0" w:color="auto"/>
              </w:divBdr>
              <w:divsChild>
                <w:div w:id="581597539">
                  <w:marLeft w:val="0"/>
                  <w:marRight w:val="0"/>
                  <w:marTop w:val="0"/>
                  <w:marBottom w:val="0"/>
                  <w:divBdr>
                    <w:top w:val="none" w:sz="0" w:space="0" w:color="auto"/>
                    <w:left w:val="none" w:sz="0" w:space="0" w:color="auto"/>
                    <w:bottom w:val="none" w:sz="0" w:space="0" w:color="auto"/>
                    <w:right w:val="none" w:sz="0" w:space="0" w:color="auto"/>
                  </w:divBdr>
                  <w:divsChild>
                    <w:div w:id="300888115">
                      <w:marLeft w:val="0"/>
                      <w:marRight w:val="0"/>
                      <w:marTop w:val="0"/>
                      <w:marBottom w:val="0"/>
                      <w:divBdr>
                        <w:top w:val="none" w:sz="0" w:space="0" w:color="auto"/>
                        <w:left w:val="none" w:sz="0" w:space="0" w:color="auto"/>
                        <w:bottom w:val="none" w:sz="0" w:space="0" w:color="auto"/>
                        <w:right w:val="none" w:sz="0" w:space="0" w:color="auto"/>
                      </w:divBdr>
                      <w:divsChild>
                        <w:div w:id="39743042">
                          <w:marLeft w:val="0"/>
                          <w:marRight w:val="0"/>
                          <w:marTop w:val="0"/>
                          <w:marBottom w:val="0"/>
                          <w:divBdr>
                            <w:top w:val="none" w:sz="0" w:space="0" w:color="auto"/>
                            <w:left w:val="none" w:sz="0" w:space="0" w:color="auto"/>
                            <w:bottom w:val="none" w:sz="0" w:space="0" w:color="auto"/>
                            <w:right w:val="none" w:sz="0" w:space="0" w:color="auto"/>
                          </w:divBdr>
                          <w:divsChild>
                            <w:div w:id="1665432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6843908">
      <w:bodyDiv w:val="1"/>
      <w:marLeft w:val="0"/>
      <w:marRight w:val="0"/>
      <w:marTop w:val="0"/>
      <w:marBottom w:val="0"/>
      <w:divBdr>
        <w:top w:val="none" w:sz="0" w:space="0" w:color="auto"/>
        <w:left w:val="none" w:sz="0" w:space="0" w:color="auto"/>
        <w:bottom w:val="none" w:sz="0" w:space="0" w:color="auto"/>
        <w:right w:val="none" w:sz="0" w:space="0" w:color="auto"/>
      </w:divBdr>
      <w:divsChild>
        <w:div w:id="1141077094">
          <w:marLeft w:val="0"/>
          <w:marRight w:val="0"/>
          <w:marTop w:val="0"/>
          <w:marBottom w:val="0"/>
          <w:divBdr>
            <w:top w:val="none" w:sz="0" w:space="0" w:color="auto"/>
            <w:left w:val="none" w:sz="0" w:space="0" w:color="auto"/>
            <w:bottom w:val="none" w:sz="0" w:space="0" w:color="auto"/>
            <w:right w:val="none" w:sz="0" w:space="0" w:color="auto"/>
          </w:divBdr>
          <w:divsChild>
            <w:div w:id="1453327108">
              <w:marLeft w:val="0"/>
              <w:marRight w:val="0"/>
              <w:marTop w:val="0"/>
              <w:marBottom w:val="0"/>
              <w:divBdr>
                <w:top w:val="none" w:sz="0" w:space="0" w:color="auto"/>
                <w:left w:val="none" w:sz="0" w:space="0" w:color="auto"/>
                <w:bottom w:val="none" w:sz="0" w:space="0" w:color="auto"/>
                <w:right w:val="none" w:sz="0" w:space="0" w:color="auto"/>
              </w:divBdr>
              <w:divsChild>
                <w:div w:id="662899101">
                  <w:marLeft w:val="0"/>
                  <w:marRight w:val="0"/>
                  <w:marTop w:val="0"/>
                  <w:marBottom w:val="0"/>
                  <w:divBdr>
                    <w:top w:val="none" w:sz="0" w:space="0" w:color="auto"/>
                    <w:left w:val="none" w:sz="0" w:space="0" w:color="auto"/>
                    <w:bottom w:val="none" w:sz="0" w:space="0" w:color="auto"/>
                    <w:right w:val="none" w:sz="0" w:space="0" w:color="auto"/>
                  </w:divBdr>
                  <w:divsChild>
                    <w:div w:id="1179661980">
                      <w:marLeft w:val="0"/>
                      <w:marRight w:val="0"/>
                      <w:marTop w:val="0"/>
                      <w:marBottom w:val="0"/>
                      <w:divBdr>
                        <w:top w:val="none" w:sz="0" w:space="0" w:color="auto"/>
                        <w:left w:val="none" w:sz="0" w:space="0" w:color="auto"/>
                        <w:bottom w:val="none" w:sz="0" w:space="0" w:color="auto"/>
                        <w:right w:val="none" w:sz="0" w:space="0" w:color="auto"/>
                      </w:divBdr>
                      <w:divsChild>
                        <w:div w:id="501747104">
                          <w:marLeft w:val="0"/>
                          <w:marRight w:val="0"/>
                          <w:marTop w:val="0"/>
                          <w:marBottom w:val="0"/>
                          <w:divBdr>
                            <w:top w:val="none" w:sz="0" w:space="0" w:color="auto"/>
                            <w:left w:val="none" w:sz="0" w:space="0" w:color="auto"/>
                            <w:bottom w:val="none" w:sz="0" w:space="0" w:color="auto"/>
                            <w:right w:val="none" w:sz="0" w:space="0" w:color="auto"/>
                          </w:divBdr>
                          <w:divsChild>
                            <w:div w:id="210024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8591998">
      <w:bodyDiv w:val="1"/>
      <w:marLeft w:val="0"/>
      <w:marRight w:val="0"/>
      <w:marTop w:val="0"/>
      <w:marBottom w:val="0"/>
      <w:divBdr>
        <w:top w:val="none" w:sz="0" w:space="0" w:color="auto"/>
        <w:left w:val="none" w:sz="0" w:space="0" w:color="auto"/>
        <w:bottom w:val="none" w:sz="0" w:space="0" w:color="auto"/>
        <w:right w:val="none" w:sz="0" w:space="0" w:color="auto"/>
      </w:divBdr>
    </w:div>
    <w:div w:id="1180778111">
      <w:bodyDiv w:val="1"/>
      <w:marLeft w:val="0"/>
      <w:marRight w:val="0"/>
      <w:marTop w:val="0"/>
      <w:marBottom w:val="0"/>
      <w:divBdr>
        <w:top w:val="none" w:sz="0" w:space="0" w:color="auto"/>
        <w:left w:val="none" w:sz="0" w:space="0" w:color="auto"/>
        <w:bottom w:val="none" w:sz="0" w:space="0" w:color="auto"/>
        <w:right w:val="none" w:sz="0" w:space="0" w:color="auto"/>
      </w:divBdr>
    </w:div>
    <w:div w:id="1320039875">
      <w:bodyDiv w:val="1"/>
      <w:marLeft w:val="0"/>
      <w:marRight w:val="0"/>
      <w:marTop w:val="0"/>
      <w:marBottom w:val="0"/>
      <w:divBdr>
        <w:top w:val="none" w:sz="0" w:space="0" w:color="auto"/>
        <w:left w:val="none" w:sz="0" w:space="0" w:color="auto"/>
        <w:bottom w:val="none" w:sz="0" w:space="0" w:color="auto"/>
        <w:right w:val="none" w:sz="0" w:space="0" w:color="auto"/>
      </w:divBdr>
    </w:div>
    <w:div w:id="1505584295">
      <w:bodyDiv w:val="1"/>
      <w:marLeft w:val="0"/>
      <w:marRight w:val="0"/>
      <w:marTop w:val="0"/>
      <w:marBottom w:val="0"/>
      <w:divBdr>
        <w:top w:val="none" w:sz="0" w:space="0" w:color="auto"/>
        <w:left w:val="none" w:sz="0" w:space="0" w:color="auto"/>
        <w:bottom w:val="none" w:sz="0" w:space="0" w:color="auto"/>
        <w:right w:val="none" w:sz="0" w:space="0" w:color="auto"/>
      </w:divBdr>
      <w:divsChild>
        <w:div w:id="18748743">
          <w:marLeft w:val="0"/>
          <w:marRight w:val="0"/>
          <w:marTop w:val="0"/>
          <w:marBottom w:val="0"/>
          <w:divBdr>
            <w:top w:val="none" w:sz="0" w:space="0" w:color="auto"/>
            <w:left w:val="none" w:sz="0" w:space="0" w:color="auto"/>
            <w:bottom w:val="none" w:sz="0" w:space="0" w:color="auto"/>
            <w:right w:val="none" w:sz="0" w:space="0" w:color="auto"/>
          </w:divBdr>
          <w:divsChild>
            <w:div w:id="1470704840">
              <w:marLeft w:val="0"/>
              <w:marRight w:val="0"/>
              <w:marTop w:val="0"/>
              <w:marBottom w:val="0"/>
              <w:divBdr>
                <w:top w:val="none" w:sz="0" w:space="0" w:color="auto"/>
                <w:left w:val="none" w:sz="0" w:space="0" w:color="auto"/>
                <w:bottom w:val="none" w:sz="0" w:space="0" w:color="auto"/>
                <w:right w:val="none" w:sz="0" w:space="0" w:color="auto"/>
              </w:divBdr>
              <w:divsChild>
                <w:div w:id="2090540336">
                  <w:marLeft w:val="0"/>
                  <w:marRight w:val="0"/>
                  <w:marTop w:val="0"/>
                  <w:marBottom w:val="0"/>
                  <w:divBdr>
                    <w:top w:val="none" w:sz="0" w:space="0" w:color="auto"/>
                    <w:left w:val="none" w:sz="0" w:space="0" w:color="auto"/>
                    <w:bottom w:val="none" w:sz="0" w:space="0" w:color="auto"/>
                    <w:right w:val="none" w:sz="0" w:space="0" w:color="auto"/>
                  </w:divBdr>
                  <w:divsChild>
                    <w:div w:id="212272689">
                      <w:marLeft w:val="0"/>
                      <w:marRight w:val="0"/>
                      <w:marTop w:val="0"/>
                      <w:marBottom w:val="0"/>
                      <w:divBdr>
                        <w:top w:val="none" w:sz="0" w:space="0" w:color="auto"/>
                        <w:left w:val="none" w:sz="0" w:space="0" w:color="auto"/>
                        <w:bottom w:val="none" w:sz="0" w:space="0" w:color="auto"/>
                        <w:right w:val="none" w:sz="0" w:space="0" w:color="auto"/>
                      </w:divBdr>
                      <w:divsChild>
                        <w:div w:id="2096397254">
                          <w:marLeft w:val="0"/>
                          <w:marRight w:val="0"/>
                          <w:marTop w:val="0"/>
                          <w:marBottom w:val="0"/>
                          <w:divBdr>
                            <w:top w:val="none" w:sz="0" w:space="0" w:color="auto"/>
                            <w:left w:val="none" w:sz="0" w:space="0" w:color="auto"/>
                            <w:bottom w:val="none" w:sz="0" w:space="0" w:color="auto"/>
                            <w:right w:val="none" w:sz="0" w:space="0" w:color="auto"/>
                          </w:divBdr>
                          <w:divsChild>
                            <w:div w:id="10013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3890638">
      <w:bodyDiv w:val="1"/>
      <w:marLeft w:val="0"/>
      <w:marRight w:val="0"/>
      <w:marTop w:val="0"/>
      <w:marBottom w:val="0"/>
      <w:divBdr>
        <w:top w:val="none" w:sz="0" w:space="0" w:color="auto"/>
        <w:left w:val="none" w:sz="0" w:space="0" w:color="auto"/>
        <w:bottom w:val="none" w:sz="0" w:space="0" w:color="auto"/>
        <w:right w:val="none" w:sz="0" w:space="0" w:color="auto"/>
      </w:divBdr>
    </w:div>
    <w:div w:id="1936010475">
      <w:bodyDiv w:val="1"/>
      <w:marLeft w:val="0"/>
      <w:marRight w:val="0"/>
      <w:marTop w:val="0"/>
      <w:marBottom w:val="0"/>
      <w:divBdr>
        <w:top w:val="none" w:sz="0" w:space="0" w:color="auto"/>
        <w:left w:val="none" w:sz="0" w:space="0" w:color="auto"/>
        <w:bottom w:val="none" w:sz="0" w:space="0" w:color="auto"/>
        <w:right w:val="none" w:sz="0" w:space="0" w:color="auto"/>
      </w:divBdr>
      <w:divsChild>
        <w:div w:id="616838351">
          <w:marLeft w:val="0"/>
          <w:marRight w:val="0"/>
          <w:marTop w:val="0"/>
          <w:marBottom w:val="0"/>
          <w:divBdr>
            <w:top w:val="none" w:sz="0" w:space="0" w:color="auto"/>
            <w:left w:val="none" w:sz="0" w:space="0" w:color="auto"/>
            <w:bottom w:val="none" w:sz="0" w:space="0" w:color="auto"/>
            <w:right w:val="none" w:sz="0" w:space="0" w:color="auto"/>
          </w:divBdr>
          <w:divsChild>
            <w:div w:id="755636076">
              <w:marLeft w:val="0"/>
              <w:marRight w:val="0"/>
              <w:marTop w:val="0"/>
              <w:marBottom w:val="0"/>
              <w:divBdr>
                <w:top w:val="none" w:sz="0" w:space="0" w:color="auto"/>
                <w:left w:val="none" w:sz="0" w:space="0" w:color="auto"/>
                <w:bottom w:val="none" w:sz="0" w:space="0" w:color="auto"/>
                <w:right w:val="none" w:sz="0" w:space="0" w:color="auto"/>
              </w:divBdr>
              <w:divsChild>
                <w:div w:id="1330475384">
                  <w:marLeft w:val="0"/>
                  <w:marRight w:val="0"/>
                  <w:marTop w:val="0"/>
                  <w:marBottom w:val="0"/>
                  <w:divBdr>
                    <w:top w:val="none" w:sz="0" w:space="0" w:color="auto"/>
                    <w:left w:val="none" w:sz="0" w:space="0" w:color="auto"/>
                    <w:bottom w:val="none" w:sz="0" w:space="0" w:color="auto"/>
                    <w:right w:val="none" w:sz="0" w:space="0" w:color="auto"/>
                  </w:divBdr>
                  <w:divsChild>
                    <w:div w:id="1255825090">
                      <w:marLeft w:val="0"/>
                      <w:marRight w:val="0"/>
                      <w:marTop w:val="0"/>
                      <w:marBottom w:val="0"/>
                      <w:divBdr>
                        <w:top w:val="none" w:sz="0" w:space="0" w:color="auto"/>
                        <w:left w:val="none" w:sz="0" w:space="0" w:color="auto"/>
                        <w:bottom w:val="none" w:sz="0" w:space="0" w:color="auto"/>
                        <w:right w:val="none" w:sz="0" w:space="0" w:color="auto"/>
                      </w:divBdr>
                      <w:divsChild>
                        <w:div w:id="1645963427">
                          <w:marLeft w:val="0"/>
                          <w:marRight w:val="0"/>
                          <w:marTop w:val="0"/>
                          <w:marBottom w:val="0"/>
                          <w:divBdr>
                            <w:top w:val="none" w:sz="0" w:space="0" w:color="auto"/>
                            <w:left w:val="none" w:sz="0" w:space="0" w:color="auto"/>
                            <w:bottom w:val="none" w:sz="0" w:space="0" w:color="auto"/>
                            <w:right w:val="none" w:sz="0" w:space="0" w:color="auto"/>
                          </w:divBdr>
                          <w:divsChild>
                            <w:div w:id="1262369935">
                              <w:marLeft w:val="0"/>
                              <w:marRight w:val="0"/>
                              <w:marTop w:val="0"/>
                              <w:marBottom w:val="0"/>
                              <w:divBdr>
                                <w:top w:val="none" w:sz="0" w:space="0" w:color="auto"/>
                                <w:left w:val="none" w:sz="0" w:space="0" w:color="auto"/>
                                <w:bottom w:val="none" w:sz="0" w:space="0" w:color="auto"/>
                                <w:right w:val="none" w:sz="0" w:space="0" w:color="auto"/>
                              </w:divBdr>
                              <w:divsChild>
                                <w:div w:id="1838500571">
                                  <w:marLeft w:val="0"/>
                                  <w:marRight w:val="0"/>
                                  <w:marTop w:val="0"/>
                                  <w:marBottom w:val="0"/>
                                  <w:divBdr>
                                    <w:top w:val="none" w:sz="0" w:space="0" w:color="auto"/>
                                    <w:left w:val="none" w:sz="0" w:space="0" w:color="auto"/>
                                    <w:bottom w:val="none" w:sz="0" w:space="0" w:color="auto"/>
                                    <w:right w:val="none" w:sz="0" w:space="0" w:color="auto"/>
                                  </w:divBdr>
                                  <w:divsChild>
                                    <w:div w:id="1641305674">
                                      <w:marLeft w:val="0"/>
                                      <w:marRight w:val="0"/>
                                      <w:marTop w:val="0"/>
                                      <w:marBottom w:val="0"/>
                                      <w:divBdr>
                                        <w:top w:val="none" w:sz="0" w:space="0" w:color="auto"/>
                                        <w:left w:val="none" w:sz="0" w:space="0" w:color="auto"/>
                                        <w:bottom w:val="none" w:sz="0" w:space="0" w:color="auto"/>
                                        <w:right w:val="none" w:sz="0" w:space="0" w:color="auto"/>
                                      </w:divBdr>
                                      <w:divsChild>
                                        <w:div w:id="1864781358">
                                          <w:marLeft w:val="0"/>
                                          <w:marRight w:val="0"/>
                                          <w:marTop w:val="0"/>
                                          <w:marBottom w:val="0"/>
                                          <w:divBdr>
                                            <w:top w:val="none" w:sz="0" w:space="0" w:color="auto"/>
                                            <w:left w:val="none" w:sz="0" w:space="0" w:color="auto"/>
                                            <w:bottom w:val="none" w:sz="0" w:space="0" w:color="auto"/>
                                            <w:right w:val="none" w:sz="0" w:space="0" w:color="auto"/>
                                          </w:divBdr>
                                          <w:divsChild>
                                            <w:div w:id="1896577502">
                                              <w:marLeft w:val="0"/>
                                              <w:marRight w:val="0"/>
                                              <w:marTop w:val="0"/>
                                              <w:marBottom w:val="0"/>
                                              <w:divBdr>
                                                <w:top w:val="none" w:sz="0" w:space="0" w:color="auto"/>
                                                <w:left w:val="none" w:sz="0" w:space="0" w:color="auto"/>
                                                <w:bottom w:val="none" w:sz="0" w:space="0" w:color="auto"/>
                                                <w:right w:val="none" w:sz="0" w:space="0" w:color="auto"/>
                                              </w:divBdr>
                                              <w:divsChild>
                                                <w:div w:id="382294002">
                                                  <w:marLeft w:val="0"/>
                                                  <w:marRight w:val="0"/>
                                                  <w:marTop w:val="0"/>
                                                  <w:marBottom w:val="0"/>
                                                  <w:divBdr>
                                                    <w:top w:val="none" w:sz="0" w:space="0" w:color="auto"/>
                                                    <w:left w:val="none" w:sz="0" w:space="0" w:color="auto"/>
                                                    <w:bottom w:val="none" w:sz="0" w:space="0" w:color="auto"/>
                                                    <w:right w:val="none" w:sz="0" w:space="0" w:color="auto"/>
                                                  </w:divBdr>
                                                  <w:divsChild>
                                                    <w:div w:id="1555846544">
                                                      <w:marLeft w:val="0"/>
                                                      <w:marRight w:val="0"/>
                                                      <w:marTop w:val="0"/>
                                                      <w:marBottom w:val="0"/>
                                                      <w:divBdr>
                                                        <w:top w:val="none" w:sz="0" w:space="0" w:color="auto"/>
                                                        <w:left w:val="none" w:sz="0" w:space="0" w:color="auto"/>
                                                        <w:bottom w:val="none" w:sz="0" w:space="0" w:color="auto"/>
                                                        <w:right w:val="none" w:sz="0" w:space="0" w:color="auto"/>
                                                      </w:divBdr>
                                                      <w:divsChild>
                                                        <w:div w:id="164877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doi.org/10.37284/eajes.3.1.27" TargetMode="External"/><Relationship Id="rId18" Type="http://schemas.openxmlformats.org/officeDocument/2006/relationships/hyperlink" Target="https://ijaem.net"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eader" Target="header2.xml"/><Relationship Id="rId12" Type="http://schemas.openxmlformats.org/officeDocument/2006/relationships/image" Target="media/image1.png"/><Relationship Id="rId17" Type="http://schemas.openxmlformats.org/officeDocument/2006/relationships/hyperlink" Target="https://eric.ed.gov/?q=systematic+literature+review&amp;id=EJ1435253" TargetMode="External"/><Relationship Id="rId2" Type="http://schemas.openxmlformats.org/officeDocument/2006/relationships/settings" Target="settings.xml"/><Relationship Id="rId16" Type="http://schemas.openxmlformats.org/officeDocument/2006/relationships/hyperlink" Target="https://doi.org/10.9734/ajess/2024/v50i71455"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yperlink" Target="https://doi.org/10.9734/sajsse/2024/v21i8864" TargetMode="External"/><Relationship Id="rId10" Type="http://schemas.openxmlformats.org/officeDocument/2006/relationships/header" Target="header3.xml"/><Relationship Id="rId19" Type="http://schemas.openxmlformats.org/officeDocument/2006/relationships/hyperlink" Target="https://www.worldbank.org" TargetMode="Externa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yperlink" Target="https://doi.org/10.1111/josh.128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18</Pages>
  <Words>5599</Words>
  <Characters>31918</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CPU SDI 1080</cp:lastModifiedBy>
  <cp:revision>6</cp:revision>
  <dcterms:created xsi:type="dcterms:W3CDTF">2025-05-31T17:54:00Z</dcterms:created>
  <dcterms:modified xsi:type="dcterms:W3CDTF">2025-06-03T11:59:00Z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4c466933-6f41-45f3-b691-c71ec0213362</vt:lpwstr>
  </property>
</Properties>
</file>