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EF90A" w14:textId="2C96019C" w:rsidR="0050657D" w:rsidRPr="00842C77" w:rsidRDefault="00842C77" w:rsidP="00842C77">
      <w:pPr>
        <w:pStyle w:val="Title"/>
        <w:spacing w:after="0"/>
        <w:jc w:val="left"/>
        <w:rPr>
          <w:rFonts w:ascii="Arial" w:hAnsi="Arial" w:cs="Arial"/>
          <w:sz w:val="32"/>
          <w:szCs w:val="18"/>
          <w:u w:val="single"/>
        </w:rPr>
      </w:pPr>
      <w:r w:rsidRPr="00842C77">
        <w:rPr>
          <w:rFonts w:ascii="Arial" w:hAnsi="Arial" w:cs="Arial"/>
          <w:sz w:val="32"/>
          <w:szCs w:val="18"/>
          <w:u w:val="single"/>
        </w:rPr>
        <w:t>Original Research Article</w:t>
      </w:r>
    </w:p>
    <w:p w14:paraId="4364B7D8" w14:textId="77777777" w:rsidR="0050657D" w:rsidRDefault="00561B99">
      <w:pPr>
        <w:pStyle w:val="Author"/>
        <w:spacing w:line="240" w:lineRule="auto"/>
        <w:rPr>
          <w:rFonts w:ascii="Arial" w:hAnsi="Arial" w:cs="Arial"/>
          <w:bCs/>
          <w:iCs/>
          <w:kern w:val="28"/>
          <w:sz w:val="36"/>
        </w:rPr>
      </w:pPr>
      <w:r>
        <w:rPr>
          <w:rFonts w:ascii="Arial" w:hAnsi="Arial"/>
          <w:bCs/>
          <w:iCs/>
          <w:kern w:val="28"/>
          <w:sz w:val="36"/>
        </w:rPr>
        <w:t xml:space="preserve">Symbolism of Lute Instruments in Borobudur's </w:t>
      </w:r>
      <w:proofErr w:type="spellStart"/>
      <w:r>
        <w:rPr>
          <w:rFonts w:ascii="Arial" w:hAnsi="Arial"/>
          <w:bCs/>
          <w:iCs/>
          <w:kern w:val="28"/>
          <w:sz w:val="36"/>
        </w:rPr>
        <w:t>Karmawibhangga</w:t>
      </w:r>
      <w:proofErr w:type="spellEnd"/>
      <w:r>
        <w:rPr>
          <w:rFonts w:ascii="Arial" w:hAnsi="Arial"/>
          <w:bCs/>
          <w:iCs/>
          <w:kern w:val="28"/>
          <w:sz w:val="36"/>
        </w:rPr>
        <w:t xml:space="preserve"> Reliefs: A Semiotic Analysis</w:t>
      </w:r>
      <w:r>
        <w:rPr>
          <w:rFonts w:ascii="Arial" w:hAnsi="Arial" w:cs="Arial"/>
          <w:bCs/>
          <w:iCs/>
          <w:kern w:val="28"/>
          <w:sz w:val="36"/>
        </w:rPr>
        <w:t xml:space="preserve"> </w:t>
      </w:r>
    </w:p>
    <w:p w14:paraId="09EDB0B0" w14:textId="77777777" w:rsidR="0050657D" w:rsidRDefault="0050657D">
      <w:pPr>
        <w:pStyle w:val="Author"/>
        <w:spacing w:line="240" w:lineRule="auto"/>
        <w:jc w:val="both"/>
        <w:rPr>
          <w:rFonts w:ascii="Arial" w:hAnsi="Arial" w:cs="Arial"/>
          <w:sz w:val="36"/>
        </w:rPr>
      </w:pPr>
    </w:p>
    <w:p w14:paraId="2F2B5EA3" w14:textId="77777777" w:rsidR="00401CA3" w:rsidRDefault="00401CA3">
      <w:pPr>
        <w:pStyle w:val="Affiliation"/>
        <w:spacing w:after="0" w:line="240" w:lineRule="auto"/>
        <w:rPr>
          <w:rFonts w:ascii="Arial" w:hAnsi="Arial" w:cs="Arial"/>
          <w:i/>
        </w:rPr>
      </w:pPr>
    </w:p>
    <w:p w14:paraId="26CFD36B" w14:textId="77777777" w:rsidR="0050657D" w:rsidRDefault="0050657D">
      <w:pPr>
        <w:pStyle w:val="Affiliation"/>
        <w:spacing w:after="0" w:line="240" w:lineRule="auto"/>
        <w:jc w:val="both"/>
        <w:rPr>
          <w:rFonts w:ascii="Arial" w:hAnsi="Arial" w:cs="Arial"/>
        </w:rPr>
      </w:pPr>
    </w:p>
    <w:p w14:paraId="0DEE75A2" w14:textId="77777777" w:rsidR="0050657D" w:rsidRDefault="0050657D">
      <w:pPr>
        <w:pStyle w:val="Affiliation"/>
        <w:spacing w:after="0" w:line="240" w:lineRule="auto"/>
        <w:jc w:val="both"/>
        <w:rPr>
          <w:rFonts w:ascii="Arial" w:hAnsi="Arial" w:cs="Arial"/>
        </w:rPr>
      </w:pPr>
    </w:p>
    <w:p w14:paraId="10237F74" w14:textId="77777777" w:rsidR="0050657D" w:rsidRDefault="006F717D">
      <w:pPr>
        <w:pStyle w:val="Copyright"/>
        <w:spacing w:after="0" w:line="240" w:lineRule="auto"/>
        <w:jc w:val="both"/>
        <w:rPr>
          <w:rFonts w:ascii="Arial" w:hAnsi="Arial" w:cs="Arial"/>
        </w:rPr>
        <w:sectPr w:rsidR="0050657D" w:rsidSect="00576521">
          <w:headerReference w:type="even" r:id="rId9"/>
          <w:headerReference w:type="default" r:id="rId10"/>
          <w:headerReference w:type="first" r:id="rId11"/>
          <w:footerReference w:type="first" r:id="rId12"/>
          <w:pgSz w:w="12240" w:h="15840"/>
          <w:pgMar w:top="1440" w:right="2016" w:bottom="2016" w:left="2016" w:header="720" w:footer="1296" w:gutter="0"/>
          <w:cols w:space="720"/>
          <w:docGrid w:linePitch="272"/>
        </w:sectPr>
      </w:pPr>
      <w:r>
        <w:rPr>
          <w:rFonts w:ascii="Arial" w:hAnsi="Arial" w:cs="Arial"/>
        </w:rPr>
      </w:r>
      <w:r>
        <w:rPr>
          <w:rFonts w:ascii="Arial" w:hAnsi="Arial" w:cs="Arial"/>
        </w:rPr>
        <w:pict w14:anchorId="64529B58">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C54180">
        <w:rPr>
          <w:rFonts w:ascii="Arial" w:hAnsi="Arial" w:cs="Arial"/>
        </w:rPr>
        <w:t>.</w:t>
      </w:r>
    </w:p>
    <w:p w14:paraId="3CDD3013" w14:textId="77777777" w:rsidR="0050657D" w:rsidRDefault="00561B99">
      <w:pPr>
        <w:pStyle w:val="AbstHead"/>
        <w:spacing w:after="0"/>
        <w:jc w:val="both"/>
        <w:rPr>
          <w:rFonts w:ascii="Arial" w:hAnsi="Arial" w:cs="Arial"/>
        </w:rPr>
      </w:pPr>
      <w:r>
        <w:rPr>
          <w:rFonts w:ascii="Arial" w:hAnsi="Arial" w:cs="Arial"/>
        </w:rPr>
        <w:t>ABSTRACT</w:t>
      </w:r>
    </w:p>
    <w:p w14:paraId="0C8A25D1" w14:textId="77777777" w:rsidR="0050657D" w:rsidRDefault="0050657D">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0657D" w14:paraId="57CCAB0A" w14:textId="77777777">
        <w:tc>
          <w:tcPr>
            <w:tcW w:w="9576" w:type="dxa"/>
            <w:shd w:val="clear" w:color="auto" w:fill="F2F2F2"/>
          </w:tcPr>
          <w:p w14:paraId="3AD9FD06" w14:textId="6DC4B744" w:rsidR="0050657D" w:rsidRPr="00CF561A" w:rsidRDefault="00561B99">
            <w:pPr>
              <w:pStyle w:val="Body"/>
              <w:spacing w:after="0"/>
              <w:rPr>
                <w:rFonts w:ascii="Arial" w:eastAsia="Calibri" w:hAnsi="Arial"/>
                <w:szCs w:val="22"/>
              </w:rPr>
            </w:pPr>
            <w:r>
              <w:rPr>
                <w:rFonts w:ascii="Arial" w:eastAsia="Calibri" w:hAnsi="Arial"/>
                <w:szCs w:val="22"/>
              </w:rPr>
              <w:t xml:space="preserve">This study aims to explore the social, symbolic, and spiritual meanings of lute-type musical instruments depicted in the </w:t>
            </w:r>
            <w:proofErr w:type="spellStart"/>
            <w:r>
              <w:rPr>
                <w:rFonts w:ascii="Arial" w:eastAsia="Calibri" w:hAnsi="Arial"/>
                <w:szCs w:val="22"/>
              </w:rPr>
              <w:t>Karmawibhangga</w:t>
            </w:r>
            <w:proofErr w:type="spellEnd"/>
            <w:r>
              <w:rPr>
                <w:rFonts w:ascii="Arial" w:eastAsia="Calibri" w:hAnsi="Arial"/>
                <w:szCs w:val="22"/>
              </w:rPr>
              <w:t xml:space="preserve"> reliefs of 9th-century Borobudur Temple in Central Java, Indonesia. These instruments are shown in detailed visual narratives that reflect ancient Javanese cultural and religious values, yet their specific functions and meanings remain underexplored.</w:t>
            </w:r>
            <w:r w:rsidR="00CF561A">
              <w:rPr>
                <w:rFonts w:ascii="Arial" w:eastAsia="Calibri" w:hAnsi="Arial"/>
                <w:szCs w:val="22"/>
              </w:rPr>
              <w:t xml:space="preserve"> </w:t>
            </w:r>
            <w:r w:rsidR="00CF561A">
              <w:t>This research adopts a qualitative visual semiotic methodology.</w:t>
            </w:r>
            <w:r>
              <w:rPr>
                <w:rFonts w:ascii="Arial" w:eastAsia="Calibri" w:hAnsi="Arial"/>
                <w:szCs w:val="22"/>
              </w:rPr>
              <w:t xml:space="preserve"> The study was conducted at Borobudur Temple between January and </w:t>
            </w:r>
            <w:r w:rsidR="00F81F35">
              <w:rPr>
                <w:rFonts w:ascii="Arial" w:eastAsia="Calibri" w:hAnsi="Arial"/>
                <w:szCs w:val="22"/>
              </w:rPr>
              <w:t>April</w:t>
            </w:r>
            <w:r>
              <w:rPr>
                <w:rFonts w:ascii="Arial" w:eastAsia="Calibri" w:hAnsi="Arial"/>
                <w:szCs w:val="22"/>
              </w:rPr>
              <w:t xml:space="preserve"> 2025.</w:t>
            </w:r>
            <w:r w:rsidR="00CF561A">
              <w:rPr>
                <w:rFonts w:ascii="Arial" w:eastAsia="Calibri" w:hAnsi="Arial"/>
                <w:szCs w:val="22"/>
              </w:rPr>
              <w:t xml:space="preserve"> </w:t>
            </w:r>
            <w:r>
              <w:rPr>
                <w:rFonts w:ascii="Arial" w:eastAsia="Calibri" w:hAnsi="Arial"/>
                <w:szCs w:val="22"/>
              </w:rPr>
              <w:t xml:space="preserve">The research focuses on three </w:t>
            </w:r>
            <w:proofErr w:type="spellStart"/>
            <w:r>
              <w:rPr>
                <w:rFonts w:ascii="Arial" w:eastAsia="Calibri" w:hAnsi="Arial"/>
                <w:szCs w:val="22"/>
              </w:rPr>
              <w:t>Karmawibhangga</w:t>
            </w:r>
            <w:proofErr w:type="spellEnd"/>
            <w:r>
              <w:rPr>
                <w:rFonts w:ascii="Arial" w:eastAsia="Calibri" w:hAnsi="Arial"/>
                <w:szCs w:val="22"/>
              </w:rPr>
              <w:t xml:space="preserve"> relief panels numbered 102, 125, and 151 that feature representations of lute instruments. Using Charles Sanders Peirce’s triadic semiotic theory (icon, index, and symbol), the study analyzes the visual elements of the reliefs to interpret layers of meaning embedded in the depiction of these instruments. The analysis is supported by a literature review of historical texts, Southeast Asian ethnomusicology, and musical iconography.</w:t>
            </w:r>
            <w:r w:rsidR="00CF561A">
              <w:rPr>
                <w:rFonts w:ascii="Arial" w:eastAsia="Calibri" w:hAnsi="Arial"/>
                <w:szCs w:val="22"/>
              </w:rPr>
              <w:t xml:space="preserve"> </w:t>
            </w:r>
            <w:r>
              <w:rPr>
                <w:rFonts w:ascii="Arial" w:eastAsia="Calibri" w:hAnsi="Arial"/>
                <w:szCs w:val="22"/>
              </w:rPr>
              <w:t>The depicted lute instruments have two to five strings and appear within sacred musical ensembles. These instruments are consistently featured in scenes associated with celestial realms, religious rituals, and elite social contexts. The lute is not portrayed as an entertainment device, but rather as a medium of spiritual communication. This reflects the significance of music in cosmological and religious expressions of ancient Javanese society.</w:t>
            </w:r>
            <w:r w:rsidR="00CF561A">
              <w:rPr>
                <w:rFonts w:ascii="Arial" w:eastAsia="Calibri" w:hAnsi="Arial"/>
                <w:szCs w:val="22"/>
              </w:rPr>
              <w:t xml:space="preserve"> </w:t>
            </w:r>
            <w:r>
              <w:rPr>
                <w:rFonts w:ascii="Arial" w:eastAsia="Calibri" w:hAnsi="Arial"/>
                <w:szCs w:val="22"/>
              </w:rPr>
              <w:t xml:space="preserve">The lute instruments in the </w:t>
            </w:r>
            <w:proofErr w:type="spellStart"/>
            <w:r>
              <w:rPr>
                <w:rFonts w:ascii="Arial" w:eastAsia="Calibri" w:hAnsi="Arial"/>
                <w:szCs w:val="22"/>
              </w:rPr>
              <w:t>Karmawibhangga</w:t>
            </w:r>
            <w:proofErr w:type="spellEnd"/>
            <w:r>
              <w:rPr>
                <w:rFonts w:ascii="Arial" w:eastAsia="Calibri" w:hAnsi="Arial"/>
                <w:szCs w:val="22"/>
              </w:rPr>
              <w:t xml:space="preserve"> reliefs function not merely as artistic or musical elements but as symbolic conduits that integrate spirituality, visual culture, and social hierarchy. Their representation underscores the vital role of music in religious life and its position within the broader cosmological worldview of 9th-century Java. The study contributes to a deeper understanding of the cultural role of music in ancient Southeast Asia and opens new pathways in archaeological music research.</w:t>
            </w:r>
          </w:p>
        </w:tc>
      </w:tr>
    </w:tbl>
    <w:p w14:paraId="61CA92FF" w14:textId="77777777" w:rsidR="0050657D" w:rsidRDefault="0050657D">
      <w:pPr>
        <w:pStyle w:val="Body"/>
        <w:spacing w:after="0"/>
        <w:rPr>
          <w:rFonts w:ascii="Arial" w:hAnsi="Arial" w:cs="Arial"/>
          <w:i/>
        </w:rPr>
      </w:pPr>
    </w:p>
    <w:p w14:paraId="33761DD9" w14:textId="77777777" w:rsidR="0050657D" w:rsidRDefault="00561B99">
      <w:pPr>
        <w:pStyle w:val="Body"/>
        <w:spacing w:after="0"/>
        <w:rPr>
          <w:rFonts w:ascii="Arial" w:hAnsi="Arial" w:cs="Arial"/>
          <w:i/>
          <w:sz w:val="18"/>
        </w:rPr>
      </w:pPr>
      <w:r>
        <w:rPr>
          <w:rFonts w:ascii="Arial" w:hAnsi="Arial" w:cs="Arial"/>
          <w:i/>
        </w:rPr>
        <w:t xml:space="preserve">Keywords: </w:t>
      </w:r>
      <w:r>
        <w:rPr>
          <w:rFonts w:ascii="Arial" w:hAnsi="Arial"/>
          <w:i/>
        </w:rPr>
        <w:t xml:space="preserve">ancient Javanese music, lute, Peircean semiotics, </w:t>
      </w:r>
      <w:proofErr w:type="spellStart"/>
      <w:r>
        <w:rPr>
          <w:rFonts w:ascii="Arial" w:hAnsi="Arial"/>
          <w:i/>
        </w:rPr>
        <w:t>Karmawibhangga</w:t>
      </w:r>
      <w:proofErr w:type="spellEnd"/>
      <w:r>
        <w:rPr>
          <w:rFonts w:ascii="Arial" w:hAnsi="Arial"/>
          <w:i/>
        </w:rPr>
        <w:t xml:space="preserve"> relief, Borobudur, spiritual symbolism, sacred ensemble</w:t>
      </w:r>
    </w:p>
    <w:p w14:paraId="5563E62C" w14:textId="77777777" w:rsidR="0050657D" w:rsidRDefault="0050657D">
      <w:pPr>
        <w:pStyle w:val="Body"/>
        <w:spacing w:after="0"/>
        <w:rPr>
          <w:rFonts w:ascii="Arial" w:hAnsi="Arial" w:cs="Arial"/>
          <w:i/>
        </w:rPr>
      </w:pPr>
    </w:p>
    <w:p w14:paraId="748205BD" w14:textId="77777777" w:rsidR="0050657D" w:rsidRDefault="00561B99">
      <w:pPr>
        <w:pStyle w:val="AbstHead"/>
        <w:spacing w:after="0"/>
        <w:jc w:val="both"/>
        <w:rPr>
          <w:rFonts w:ascii="Arial" w:hAnsi="Arial" w:cs="Arial"/>
        </w:rPr>
      </w:pPr>
      <w:r>
        <w:rPr>
          <w:rFonts w:ascii="Arial" w:hAnsi="Arial" w:cs="Arial"/>
        </w:rPr>
        <w:t>1. INTRODUCTION</w:t>
      </w:r>
    </w:p>
    <w:p w14:paraId="3B23291C" w14:textId="77777777" w:rsidR="0050657D" w:rsidRDefault="0050657D">
      <w:pPr>
        <w:pStyle w:val="AbstHead"/>
        <w:spacing w:after="0"/>
        <w:jc w:val="both"/>
        <w:rPr>
          <w:rFonts w:ascii="Arial" w:hAnsi="Arial" w:cs="Arial"/>
        </w:rPr>
      </w:pPr>
    </w:p>
    <w:p w14:paraId="4EECDDFB" w14:textId="38EA11C1" w:rsidR="0050657D" w:rsidRDefault="00561B99">
      <w:pPr>
        <w:pStyle w:val="Body"/>
        <w:ind w:firstLine="720"/>
        <w:rPr>
          <w:rFonts w:ascii="Arial" w:hAnsi="Arial" w:cs="Arial"/>
        </w:rPr>
      </w:pPr>
      <w:r>
        <w:rPr>
          <w:rFonts w:ascii="Arial" w:hAnsi="Arial" w:cs="Arial"/>
        </w:rPr>
        <w:t xml:space="preserve">Borobudur, a 9th-century Buddhist temple located in Central Java, Indonesia, is renowned for its intricate and detailed reliefs that depict various aspects of ancient Javanese life and Buddhist teachings. Among these reliefs is the </w:t>
      </w:r>
      <w:proofErr w:type="spellStart"/>
      <w:r>
        <w:rPr>
          <w:rFonts w:ascii="Arial" w:hAnsi="Arial" w:cs="Arial"/>
        </w:rPr>
        <w:t>Karmawibhangga</w:t>
      </w:r>
      <w:proofErr w:type="spellEnd"/>
      <w:r>
        <w:rPr>
          <w:rFonts w:ascii="Arial" w:hAnsi="Arial" w:cs="Arial"/>
        </w:rPr>
        <w:t xml:space="preserve">, located on the base of the monument. Currently, this relief has been buried for structural preservation purposes. The </w:t>
      </w:r>
      <w:proofErr w:type="spellStart"/>
      <w:r>
        <w:rPr>
          <w:rFonts w:ascii="Arial" w:hAnsi="Arial" w:cs="Arial"/>
        </w:rPr>
        <w:t>Karmawibhangga</w:t>
      </w:r>
      <w:proofErr w:type="spellEnd"/>
      <w:r>
        <w:rPr>
          <w:rFonts w:ascii="Arial" w:hAnsi="Arial" w:cs="Arial"/>
        </w:rPr>
        <w:t xml:space="preserve"> illustrates the law of karma through scenes of daily life, moral conduct, and their consequences. This relief was covered by an additional encasement built during the final stage of the temple's construction, around the 9th century CE. The covering is believed to have been motivated by structural considerations to reinforce the monument, a</w:t>
      </w:r>
      <w:r w:rsidR="004549A4">
        <w:rPr>
          <w:rFonts w:ascii="Arial" w:hAnsi="Arial" w:cs="Arial"/>
        </w:rPr>
        <w:t>nd</w:t>
      </w:r>
      <w:r>
        <w:rPr>
          <w:rFonts w:ascii="Arial" w:hAnsi="Arial" w:cs="Arial"/>
        </w:rPr>
        <w:t xml:space="preserve"> ideological reasons, </w:t>
      </w:r>
      <w:r w:rsidR="004549A4">
        <w:rPr>
          <w:rFonts w:ascii="Arial" w:hAnsi="Arial" w:cs="Arial"/>
        </w:rPr>
        <w:t>as</w:t>
      </w:r>
      <w:r>
        <w:rPr>
          <w:rFonts w:ascii="Arial" w:hAnsi="Arial" w:cs="Arial"/>
        </w:rPr>
        <w:t xml:space="preserve"> several panels depict vulgar or morally deviant scenes according to the standards of that era </w:t>
      </w:r>
      <w:r w:rsidR="004549A4">
        <w:rPr>
          <w:rFonts w:ascii="Arial" w:hAnsi="Arial" w:cs="Arial"/>
        </w:rPr>
        <w:fldChar w:fldCharType="begin"/>
      </w:r>
      <w:r w:rsidR="004549A4">
        <w:rPr>
          <w:rFonts w:ascii="Arial" w:hAnsi="Arial" w:cs="Arial"/>
        </w:rPr>
        <w:instrText xml:space="preserve"> ADDIN EN.CITE &lt;EndNote&gt;&lt;Cite&gt;&lt;Author&gt;Santiko&lt;/Author&gt;&lt;Year&gt;2016&lt;/Year&gt;&lt;RecNum&gt;1&lt;/RecNum&gt;&lt;DisplayText&gt;(Santiko, 2016)&lt;/DisplayText&gt;&lt;record&gt;&lt;rec-number&gt;1&lt;/rec-number&gt;&lt;foreign-keys&gt;&lt;key app="EN" db-id="zart20f039v9zkes00rxefe3zd0rwve99w2x" timestamp="1747636227"&gt;1&lt;/key&gt;&lt;/foreign-keys&gt;&lt;ref-type name="Journal Article"&gt;17&lt;/ref-type&gt;&lt;contributors&gt;&lt;authors&gt;&lt;author&gt;Santiko, Hariani&lt;/author&gt;&lt;/authors&gt;&lt;/contributors&gt;&lt;titles&gt;&lt;title&gt;IDENTIFICATION OF KARMAWIBHANGGA RELIEFS AT CANDI BOROBUDUR&lt;/title&gt;&lt;/titles&gt;&lt;dates&gt;&lt;year&gt;2016&lt;/year&gt;&lt;/dates&gt;&lt;urls&gt;&lt;/urls&gt;&lt;/record&gt;&lt;/Cite&gt;&lt;/EndNote&gt;</w:instrText>
      </w:r>
      <w:r w:rsidR="004549A4">
        <w:rPr>
          <w:rFonts w:ascii="Arial" w:hAnsi="Arial" w:cs="Arial"/>
        </w:rPr>
        <w:fldChar w:fldCharType="separate"/>
      </w:r>
      <w:r w:rsidR="004549A4">
        <w:rPr>
          <w:rFonts w:ascii="Arial" w:hAnsi="Arial" w:cs="Arial"/>
          <w:noProof/>
        </w:rPr>
        <w:t>(Santiko, 2016)</w:t>
      </w:r>
      <w:r w:rsidR="004549A4">
        <w:rPr>
          <w:rFonts w:ascii="Arial" w:hAnsi="Arial" w:cs="Arial"/>
        </w:rPr>
        <w:fldChar w:fldCharType="end"/>
      </w:r>
      <w:r>
        <w:rPr>
          <w:rFonts w:ascii="Arial" w:hAnsi="Arial" w:cs="Arial"/>
        </w:rPr>
        <w:t xml:space="preserve">. The rediscovery of this relief was made by J.W. </w:t>
      </w:r>
      <w:proofErr w:type="spellStart"/>
      <w:r>
        <w:rPr>
          <w:rFonts w:ascii="Arial" w:hAnsi="Arial" w:cs="Arial"/>
        </w:rPr>
        <w:t>Ijzerman</w:t>
      </w:r>
      <w:proofErr w:type="spellEnd"/>
      <w:r>
        <w:rPr>
          <w:rFonts w:ascii="Arial" w:hAnsi="Arial" w:cs="Arial"/>
        </w:rPr>
        <w:t xml:space="preserve"> in 1885, and the entire series of panels was </w:t>
      </w:r>
      <w:r>
        <w:rPr>
          <w:rFonts w:ascii="Arial" w:hAnsi="Arial" w:cs="Arial"/>
        </w:rPr>
        <w:lastRenderedPageBreak/>
        <w:t xml:space="preserve">documented by Kassian Cephas between 1890 and 1891, </w:t>
      </w:r>
      <w:r w:rsidR="004549A4">
        <w:rPr>
          <w:rFonts w:ascii="Arial" w:hAnsi="Arial" w:cs="Arial"/>
        </w:rPr>
        <w:t>before</w:t>
      </w:r>
      <w:r>
        <w:rPr>
          <w:rFonts w:ascii="Arial" w:hAnsi="Arial" w:cs="Arial"/>
        </w:rPr>
        <w:t xml:space="preserve"> being reburied for conservation purposes. The values conveyed by these panels deserve continuous exploration, as the reliefs function not only as religious didactic tools or ornamental carvings but also as windows into the social and cultural structures of the time. One of the significant aspects of the </w:t>
      </w:r>
      <w:proofErr w:type="spellStart"/>
      <w:r>
        <w:rPr>
          <w:rFonts w:ascii="Arial" w:hAnsi="Arial" w:cs="Arial"/>
        </w:rPr>
        <w:t>Karmawibhangga</w:t>
      </w:r>
      <w:proofErr w:type="spellEnd"/>
      <w:r>
        <w:rPr>
          <w:rFonts w:ascii="Arial" w:hAnsi="Arial" w:cs="Arial"/>
        </w:rPr>
        <w:t xml:space="preserve"> relief is the depiction of musical instruments, particularly stringed instruments that can be categorized within the</w:t>
      </w:r>
      <w:r w:rsidRPr="004549A4">
        <w:rPr>
          <w:rFonts w:ascii="Arial" w:hAnsi="Arial" w:cs="Arial"/>
          <w:i/>
          <w:iCs/>
        </w:rPr>
        <w:t xml:space="preserve"> tat</w:t>
      </w:r>
      <w:r w:rsidR="004549A4" w:rsidRPr="004549A4">
        <w:rPr>
          <w:rFonts w:ascii="Arial" w:hAnsi="Arial" w:cs="Arial"/>
          <w:i/>
          <w:iCs/>
        </w:rPr>
        <w:t>a</w:t>
      </w:r>
      <w:r w:rsidRPr="004549A4">
        <w:rPr>
          <w:rFonts w:ascii="Arial" w:hAnsi="Arial" w:cs="Arial"/>
          <w:i/>
          <w:iCs/>
        </w:rPr>
        <w:t xml:space="preserve"> </w:t>
      </w:r>
      <w:proofErr w:type="spellStart"/>
      <w:r w:rsidRPr="004549A4">
        <w:rPr>
          <w:rFonts w:ascii="Arial" w:hAnsi="Arial" w:cs="Arial"/>
          <w:i/>
          <w:iCs/>
        </w:rPr>
        <w:t>vady</w:t>
      </w:r>
      <w:r w:rsidR="004549A4" w:rsidRPr="004549A4">
        <w:rPr>
          <w:rFonts w:ascii="Arial" w:hAnsi="Arial" w:cs="Arial"/>
          <w:i/>
          <w:iCs/>
        </w:rPr>
        <w:t>ā</w:t>
      </w:r>
      <w:proofErr w:type="spellEnd"/>
      <w:r>
        <w:rPr>
          <w:rFonts w:ascii="Arial" w:hAnsi="Arial" w:cs="Arial"/>
        </w:rPr>
        <w:t xml:space="preserve"> (string instruments) of the lute type. These instruments appear in various contexts, indicating their importance in both secular and spiritual life. However, the specific functions and symbolic meanings of the lute instruments in these reliefs remain underexplored.</w:t>
      </w:r>
    </w:p>
    <w:p w14:paraId="322CEF01" w14:textId="5696C665" w:rsidR="0050657D" w:rsidRDefault="00561B99" w:rsidP="004549A4">
      <w:pPr>
        <w:pStyle w:val="Body"/>
        <w:ind w:firstLine="720"/>
        <w:rPr>
          <w:rFonts w:ascii="Arial" w:hAnsi="Arial" w:cs="Arial"/>
        </w:rPr>
      </w:pPr>
      <w:r>
        <w:rPr>
          <w:rFonts w:ascii="Arial" w:hAnsi="Arial" w:cs="Arial"/>
        </w:rPr>
        <w:t xml:space="preserve">This study aims to analyze the symbolic function of lute instruments depicted in the </w:t>
      </w:r>
      <w:proofErr w:type="spellStart"/>
      <w:r>
        <w:rPr>
          <w:rFonts w:ascii="Arial" w:hAnsi="Arial" w:cs="Arial"/>
        </w:rPr>
        <w:t>Karmawibhangga</w:t>
      </w:r>
      <w:proofErr w:type="spellEnd"/>
      <w:r>
        <w:rPr>
          <w:rFonts w:ascii="Arial" w:hAnsi="Arial" w:cs="Arial"/>
        </w:rPr>
        <w:t xml:space="preserve"> reliefs using Charles Sanders Peirce’s triadic semiotic framework. By applying this model, the research seeks to uncover the layers of meaning embedded in the visual representations of lute instruments and their roles in conveying moral and spiritual messages.</w:t>
      </w:r>
      <w:r w:rsidR="004549A4">
        <w:rPr>
          <w:rFonts w:ascii="Arial" w:hAnsi="Arial" w:cs="Arial"/>
        </w:rPr>
        <w:t xml:space="preserve"> </w:t>
      </w:r>
      <w:r>
        <w:rPr>
          <w:rFonts w:ascii="Arial" w:hAnsi="Arial" w:cs="Arial"/>
        </w:rPr>
        <w:t xml:space="preserve">Previous studies have addressed the presence of musical instruments in the Borobudur reliefs. Kunst conducted foundational </w:t>
      </w:r>
      <w:r w:rsidR="004549A4">
        <w:rPr>
          <w:rFonts w:ascii="Arial" w:hAnsi="Arial" w:cs="Arial"/>
        </w:rPr>
        <w:t>research</w:t>
      </w:r>
      <w:r>
        <w:rPr>
          <w:rFonts w:ascii="Arial" w:hAnsi="Arial" w:cs="Arial"/>
        </w:rPr>
        <w:t xml:space="preserve"> on the iconography of music in Javanese temples, noting the variety of string instruments and their possible origins </w:t>
      </w:r>
      <w:r w:rsidR="004549A4">
        <w:rPr>
          <w:rFonts w:ascii="Arial" w:hAnsi="Arial" w:cs="Arial"/>
        </w:rPr>
        <w:fldChar w:fldCharType="begin"/>
      </w:r>
      <w:r w:rsidR="004549A4">
        <w:rPr>
          <w:rFonts w:ascii="Arial" w:hAnsi="Arial" w:cs="Arial"/>
        </w:rPr>
        <w:instrText xml:space="preserve"> ADDIN EN.CITE &lt;EndNote&gt;&lt;Cite&gt;&lt;Author&gt;Kunst&lt;/Author&gt;&lt;Year&gt;2013&lt;/Year&gt;&lt;RecNum&gt;4&lt;/RecNum&gt;&lt;DisplayText&gt;(Kunst, 2013)&lt;/DisplayText&gt;&lt;record&gt;&lt;rec-number&gt;4&lt;/rec-number&gt;&lt;foreign-keys&gt;&lt;key app="EN" db-id="zart20f039v9zkes00rxefe3zd0rwve99w2x" timestamp="1747817313"&gt;4&lt;/key&gt;&lt;/foreign-keys&gt;&lt;ref-type name="Book"&gt;6&lt;/ref-type&gt;&lt;contributors&gt;&lt;authors&gt;&lt;author&gt;Kunst, Jaap&lt;/author&gt;&lt;/authors&gt;&lt;/contributors&gt;&lt;titles&gt;&lt;title&gt;Music in Java: Its history, its theory and its technique&lt;/title&gt;&lt;/titles&gt;&lt;dates&gt;&lt;year&gt;2013&lt;/year&gt;&lt;/dates&gt;&lt;publisher&gt;Springer&lt;/publisher&gt;&lt;isbn&gt;9401771308&lt;/isbn&gt;&lt;urls&gt;&lt;/urls&gt;&lt;/record&gt;&lt;/Cite&gt;&lt;/EndNote&gt;</w:instrText>
      </w:r>
      <w:r w:rsidR="004549A4">
        <w:rPr>
          <w:rFonts w:ascii="Arial" w:hAnsi="Arial" w:cs="Arial"/>
        </w:rPr>
        <w:fldChar w:fldCharType="separate"/>
      </w:r>
      <w:r w:rsidR="004549A4">
        <w:rPr>
          <w:rFonts w:ascii="Arial" w:hAnsi="Arial" w:cs="Arial"/>
          <w:noProof/>
        </w:rPr>
        <w:t>(Kunst, 2013)</w:t>
      </w:r>
      <w:r w:rsidR="004549A4">
        <w:rPr>
          <w:rFonts w:ascii="Arial" w:hAnsi="Arial" w:cs="Arial"/>
        </w:rPr>
        <w:fldChar w:fldCharType="end"/>
      </w:r>
      <w:r>
        <w:rPr>
          <w:rFonts w:ascii="Arial" w:hAnsi="Arial" w:cs="Arial"/>
        </w:rPr>
        <w:t xml:space="preserve">. Lakusa examined the reconstruction of musical instruments in the Sound of Borobudur project, interpreting their symbolic meaning within the context of Buddhist teachings </w:t>
      </w:r>
      <w:r w:rsidR="004549A4">
        <w:rPr>
          <w:rFonts w:ascii="Arial" w:hAnsi="Arial" w:cs="Arial"/>
        </w:rPr>
        <w:fldChar w:fldCharType="begin"/>
      </w:r>
      <w:r w:rsidR="004549A4">
        <w:rPr>
          <w:rFonts w:ascii="Arial" w:hAnsi="Arial" w:cs="Arial"/>
        </w:rPr>
        <w:instrText xml:space="preserve"> ADDIN EN.CITE &lt;EndNote&gt;&lt;Cite&gt;&lt;Author&gt;Lakusa&lt;/Author&gt;&lt;Year&gt;2021&lt;/Year&gt;&lt;RecNum&gt;2&lt;/RecNum&gt;&lt;DisplayText&gt;(Lakusa &amp;amp; Pradoko, 2021)&lt;/DisplayText&gt;&lt;record&gt;&lt;rec-number&gt;2&lt;/rec-number&gt;&lt;foreign-keys&gt;&lt;key app="EN" db-id="zart20f039v9zkes00rxefe3zd0rwve99w2x" timestamp="1747636435"&gt;2&lt;/key&gt;&lt;/foreign-keys&gt;&lt;ref-type name="Conference Proceedings"&gt;10&lt;/ref-type&gt;&lt;contributors&gt;&lt;authors&gt;&lt;author&gt;Lakusa, Nicholas Ferdeta&lt;/author&gt;&lt;author&gt;Pradoko, AM Susilo&lt;/author&gt;&lt;/authors&gt;&lt;/contributors&gt;&lt;titles&gt;&lt;title&gt;Representation of Buddhism Teachings in the Show Sound of Borobudur: The Reconstruction of Karmawibhangga Relief in the Age of Hyperreality&lt;/title&gt;&lt;secondary-title&gt;4th International Conference on Arts and Arts Education (ICAAE 2020)&lt;/secondary-title&gt;&lt;/titles&gt;&lt;pages&gt;292-298&lt;/pages&gt;&lt;dates&gt;&lt;year&gt;2021&lt;/year&gt;&lt;/dates&gt;&lt;publisher&gt;Atlantis Press&lt;/publisher&gt;&lt;isbn&gt;9462393885&lt;/isbn&gt;&lt;urls&gt;&lt;/urls&gt;&lt;/record&gt;&lt;/Cite&gt;&lt;/EndNote&gt;</w:instrText>
      </w:r>
      <w:r w:rsidR="004549A4">
        <w:rPr>
          <w:rFonts w:ascii="Arial" w:hAnsi="Arial" w:cs="Arial"/>
        </w:rPr>
        <w:fldChar w:fldCharType="separate"/>
      </w:r>
      <w:r w:rsidR="004549A4">
        <w:rPr>
          <w:rFonts w:ascii="Arial" w:hAnsi="Arial" w:cs="Arial"/>
          <w:noProof/>
        </w:rPr>
        <w:t>(Lakusa &amp; Pradoko, 2021)</w:t>
      </w:r>
      <w:r w:rsidR="004549A4">
        <w:rPr>
          <w:rFonts w:ascii="Arial" w:hAnsi="Arial" w:cs="Arial"/>
        </w:rPr>
        <w:fldChar w:fldCharType="end"/>
      </w:r>
      <w:r>
        <w:rPr>
          <w:rFonts w:ascii="Arial" w:hAnsi="Arial" w:cs="Arial"/>
        </w:rPr>
        <w:t xml:space="preserve">. Setiawan applied Peirce’s semiotics to analyze plant imagery in Borobudur’s reliefs, demonstrating the relevance of this approach for visual elements on the monument </w:t>
      </w:r>
      <w:r w:rsidR="004549A4">
        <w:rPr>
          <w:rFonts w:ascii="Arial" w:hAnsi="Arial" w:cs="Arial"/>
        </w:rPr>
        <w:fldChar w:fldCharType="begin"/>
      </w:r>
      <w:r w:rsidR="004549A4">
        <w:rPr>
          <w:rFonts w:ascii="Arial" w:hAnsi="Arial" w:cs="Arial"/>
        </w:rPr>
        <w:instrText xml:space="preserve"> ADDIN EN.CITE &lt;EndNote&gt;&lt;Cite&gt;&lt;Author&gt;Setiawan&lt;/Author&gt;&lt;Year&gt;2024&lt;/Year&gt;&lt;RecNum&gt;10&lt;/RecNum&gt;&lt;DisplayText&gt;(Setiawan, 2024)&lt;/DisplayText&gt;&lt;record&gt;&lt;rec-number&gt;10&lt;/rec-number&gt;&lt;foreign-keys&gt;&lt;key app="EN" db-id="zart20f039v9zkes00rxefe3zd0rwve99w2x" timestamp="1747818169"&gt;10&lt;/key&gt;&lt;/foreign-keys&gt;&lt;ref-type name="Thesis"&gt;32&lt;/ref-type&gt;&lt;contributors&gt;&lt;authors&gt;&lt;author&gt;Setiawan, Hari&lt;/author&gt;&lt;/authors&gt;&lt;/contributors&gt;&lt;titles&gt;&lt;title&gt;Pemaknaan tumbuhan pada relief karmawibhangga candi Borobudur : perspektif semiotika peirce&lt;/title&gt;&lt;/titles&gt;&lt;dates&gt;&lt;year&gt;2024&lt;/year&gt;&lt;/dates&gt;&lt;pub-location&gt;YOGYAKARTA : Universitas Gadjah Mada., 2024&lt;/pub-location&gt;&lt;publisher&gt;Universitas Gadjah Mada&lt;/publisher&gt;&lt;call-num&gt;DS 930.1 SET p&lt;/call-num&gt;&lt;urls&gt;&lt;/urls&gt;&lt;/record&gt;&lt;/Cite&gt;&lt;/EndNote&gt;</w:instrText>
      </w:r>
      <w:r w:rsidR="004549A4">
        <w:rPr>
          <w:rFonts w:ascii="Arial" w:hAnsi="Arial" w:cs="Arial"/>
        </w:rPr>
        <w:fldChar w:fldCharType="separate"/>
      </w:r>
      <w:r w:rsidR="004549A4">
        <w:rPr>
          <w:rFonts w:ascii="Arial" w:hAnsi="Arial" w:cs="Arial"/>
          <w:noProof/>
        </w:rPr>
        <w:t>(Setiawan, 2024)</w:t>
      </w:r>
      <w:r w:rsidR="004549A4">
        <w:rPr>
          <w:rFonts w:ascii="Arial" w:hAnsi="Arial" w:cs="Arial"/>
        </w:rPr>
        <w:fldChar w:fldCharType="end"/>
      </w:r>
      <w:r>
        <w:rPr>
          <w:rFonts w:ascii="Arial" w:hAnsi="Arial" w:cs="Arial"/>
        </w:rPr>
        <w:t xml:space="preserve">. Additionally, prior research on gestures and narratives within the reliefs has provided insights into the cultural and aesthetic values of ancient Javanese society </w:t>
      </w:r>
      <w:r w:rsidR="004549A4">
        <w:rPr>
          <w:rFonts w:ascii="Arial" w:hAnsi="Arial" w:cs="Arial"/>
        </w:rPr>
        <w:fldChar w:fldCharType="begin"/>
      </w:r>
      <w:r w:rsidR="004549A4">
        <w:rPr>
          <w:rFonts w:ascii="Arial" w:hAnsi="Arial" w:cs="Arial"/>
        </w:rPr>
        <w:instrText xml:space="preserve"> ADDIN EN.CITE &lt;EndNote&gt;&lt;Cite&gt;&lt;Author&gt;Hertiasa&lt;/Author&gt;&lt;Year&gt;2021&lt;/Year&gt;&lt;RecNum&gt;5&lt;/RecNum&gt;&lt;DisplayText&gt;(Hertiasa et al., 2021)&lt;/DisplayText&gt;&lt;record&gt;&lt;rec-number&gt;5&lt;/rec-number&gt;&lt;foreign-keys&gt;&lt;key app="EN" db-id="zart20f039v9zkes00rxefe3zd0rwve99w2x" timestamp="1747817313"&gt;5&lt;/key&gt;&lt;/foreign-keys&gt;&lt;ref-type name="Conference Proceedings"&gt;10&lt;/ref-type&gt;&lt;contributors&gt;&lt;authors&gt;&lt;author&gt;Hertiasa, Hendy&lt;/author&gt;&lt;author&gt;Santosa, Imam&lt;/author&gt;&lt;author&gt;Irfansyah, Irfansyah&lt;/author&gt;&lt;author&gt;Setiawan, Pindi&lt;/author&gt;&lt;/authors&gt;&lt;/contributors&gt;&lt;titles&gt;&lt;title&gt;Gesture in Visual Narrative Reliefs of Karmawibhangga Borobudur as An Ancient Javanese Locality Value&lt;/title&gt;&lt;secondary-title&gt;ICON ARCCADE 2021: The 2nd International Conference on Art, Craft, Culture and Design (ICON-ARCCADE 2021)&lt;/secondary-title&gt;&lt;/titles&gt;&lt;pages&gt;307-316&lt;/pages&gt;&lt;dates&gt;&lt;year&gt;2021&lt;/year&gt;&lt;/dates&gt;&lt;publisher&gt;Atlantis Press&lt;/publisher&gt;&lt;isbn&gt;9462395012&lt;/isbn&gt;&lt;urls&gt;&lt;/urls&gt;&lt;/record&gt;&lt;/Cite&gt;&lt;/EndNote&gt;</w:instrText>
      </w:r>
      <w:r w:rsidR="004549A4">
        <w:rPr>
          <w:rFonts w:ascii="Arial" w:hAnsi="Arial" w:cs="Arial"/>
        </w:rPr>
        <w:fldChar w:fldCharType="separate"/>
      </w:r>
      <w:r w:rsidR="004549A4">
        <w:rPr>
          <w:rFonts w:ascii="Arial" w:hAnsi="Arial" w:cs="Arial"/>
          <w:noProof/>
        </w:rPr>
        <w:t>(Hertiasa et al., 2021)</w:t>
      </w:r>
      <w:r w:rsidR="004549A4">
        <w:rPr>
          <w:rFonts w:ascii="Arial" w:hAnsi="Arial" w:cs="Arial"/>
        </w:rPr>
        <w:fldChar w:fldCharType="end"/>
      </w:r>
      <w:r>
        <w:rPr>
          <w:rFonts w:ascii="Arial" w:hAnsi="Arial" w:cs="Arial"/>
        </w:rPr>
        <w:t>.</w:t>
      </w:r>
    </w:p>
    <w:p w14:paraId="00D9B53C" w14:textId="77777777" w:rsidR="0050657D" w:rsidRDefault="00561B99">
      <w:pPr>
        <w:pStyle w:val="Body"/>
        <w:ind w:firstLine="720"/>
        <w:rPr>
          <w:rFonts w:ascii="Arial" w:hAnsi="Arial" w:cs="Arial"/>
        </w:rPr>
      </w:pPr>
      <w:r>
        <w:rPr>
          <w:rFonts w:ascii="Arial" w:hAnsi="Arial" w:cs="Arial"/>
        </w:rPr>
        <w:t xml:space="preserve">Despite these contributions, there is still a lack of semiotic analysis specifically focused on the lute instruments in the </w:t>
      </w:r>
      <w:proofErr w:type="spellStart"/>
      <w:r>
        <w:rPr>
          <w:rFonts w:ascii="Arial" w:hAnsi="Arial" w:cs="Arial"/>
        </w:rPr>
        <w:t>Karmawibhangga</w:t>
      </w:r>
      <w:proofErr w:type="spellEnd"/>
      <w:r>
        <w:rPr>
          <w:rFonts w:ascii="Arial" w:hAnsi="Arial" w:cs="Arial"/>
        </w:rPr>
        <w:t xml:space="preserve"> relief. This study fills that gap by analyzing the relief panels that feature lute instruments, interpreting their representamen, identifying the objects they signify, and explaining the interpretants within the cultural and religious context of 9th-century Java. The scope of the study includes in-depth visual analysis of the reliefs, contextual interpretation based on historical and religious texts, and comparative insights from related musical traditions. By revealing the symbolic function of the lute instruments in the </w:t>
      </w:r>
      <w:proofErr w:type="spellStart"/>
      <w:r>
        <w:rPr>
          <w:rFonts w:ascii="Arial" w:hAnsi="Arial" w:cs="Arial"/>
        </w:rPr>
        <w:t>Karmawibhangga</w:t>
      </w:r>
      <w:proofErr w:type="spellEnd"/>
      <w:r>
        <w:rPr>
          <w:rFonts w:ascii="Arial" w:hAnsi="Arial" w:cs="Arial"/>
        </w:rPr>
        <w:t xml:space="preserve"> reliefs, this research contributes to a deeper understanding of the interconnectedness between music, art, and spirituality in ancient Javanese Buddhism.</w:t>
      </w:r>
    </w:p>
    <w:p w14:paraId="3B0A774B" w14:textId="77777777" w:rsidR="0050657D" w:rsidRDefault="0050657D">
      <w:pPr>
        <w:pStyle w:val="Body"/>
        <w:spacing w:after="0"/>
        <w:rPr>
          <w:rFonts w:ascii="Arial" w:hAnsi="Arial" w:cs="Arial"/>
        </w:rPr>
      </w:pPr>
    </w:p>
    <w:p w14:paraId="1B8F5071" w14:textId="77777777" w:rsidR="0050657D" w:rsidRDefault="00561B99">
      <w:pPr>
        <w:pStyle w:val="AbstHead"/>
        <w:spacing w:after="0"/>
        <w:jc w:val="both"/>
        <w:rPr>
          <w:rFonts w:ascii="Arial" w:hAnsi="Arial" w:cs="Arial"/>
        </w:rPr>
      </w:pPr>
      <w:r>
        <w:rPr>
          <w:rFonts w:ascii="Arial" w:hAnsi="Arial" w:cs="Arial"/>
        </w:rPr>
        <w:t>2. material and methods</w:t>
      </w:r>
    </w:p>
    <w:p w14:paraId="640DB5F9" w14:textId="77777777" w:rsidR="0050657D" w:rsidRDefault="0050657D">
      <w:pPr>
        <w:pStyle w:val="AbstHead"/>
        <w:spacing w:after="0"/>
        <w:jc w:val="both"/>
        <w:rPr>
          <w:rFonts w:ascii="Arial" w:hAnsi="Arial" w:cs="Arial"/>
        </w:rPr>
      </w:pPr>
    </w:p>
    <w:p w14:paraId="7D0AF0C3" w14:textId="77777777" w:rsidR="0050657D" w:rsidRDefault="00561B99">
      <w:pPr>
        <w:pStyle w:val="Body"/>
        <w:rPr>
          <w:rFonts w:ascii="Arial" w:hAnsi="Arial" w:cs="Arial"/>
          <w:b/>
          <w:bCs/>
          <w:sz w:val="22"/>
          <w:szCs w:val="22"/>
        </w:rPr>
      </w:pPr>
      <w:r>
        <w:rPr>
          <w:rFonts w:ascii="Arial" w:hAnsi="Arial" w:cs="Arial"/>
          <w:b/>
          <w:bCs/>
          <w:sz w:val="22"/>
          <w:szCs w:val="22"/>
        </w:rPr>
        <w:t>2.1. Visual Data Sources</w:t>
      </w:r>
    </w:p>
    <w:p w14:paraId="0EE699A4" w14:textId="75E3F4DF" w:rsidR="0050657D" w:rsidRDefault="00561B99">
      <w:pPr>
        <w:pStyle w:val="Body"/>
        <w:spacing w:after="0"/>
        <w:rPr>
          <w:rFonts w:ascii="Arial" w:hAnsi="Arial" w:cs="Arial"/>
        </w:rPr>
      </w:pPr>
      <w:r>
        <w:rPr>
          <w:rFonts w:ascii="Arial" w:hAnsi="Arial" w:cs="Arial"/>
        </w:rPr>
        <w:t xml:space="preserve">This study utilizes visual data from official photographic documentation of the </w:t>
      </w:r>
      <w:proofErr w:type="spellStart"/>
      <w:r>
        <w:rPr>
          <w:rFonts w:ascii="Arial" w:hAnsi="Arial" w:cs="Arial"/>
        </w:rPr>
        <w:t>Karmawibhangga</w:t>
      </w:r>
      <w:proofErr w:type="spellEnd"/>
      <w:r>
        <w:rPr>
          <w:rFonts w:ascii="Arial" w:hAnsi="Arial" w:cs="Arial"/>
        </w:rPr>
        <w:t xml:space="preserve"> reliefs at Borobudur Temple, specifically focusing on panels that depict stringed musical instruments resembling lutes. The primary sources of images are the documentation provided by the Borobudur Conservation Office as well as digital archives published in previous studies</w:t>
      </w:r>
      <w:r w:rsidR="00E73630">
        <w:rPr>
          <w:rFonts w:ascii="Arial" w:hAnsi="Arial" w:cs="Arial"/>
        </w:rPr>
        <w:t xml:space="preserve"> </w:t>
      </w:r>
      <w:r w:rsidR="00E73630">
        <w:rPr>
          <w:rFonts w:ascii="Arial" w:hAnsi="Arial" w:cs="Arial"/>
        </w:rPr>
        <w:fldChar w:fldCharType="begin"/>
      </w:r>
      <w:r w:rsidR="00E73630">
        <w:rPr>
          <w:rFonts w:ascii="Arial" w:hAnsi="Arial" w:cs="Arial"/>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sidR="00E73630">
        <w:rPr>
          <w:rFonts w:ascii="Arial" w:hAnsi="Arial" w:cs="Arial"/>
        </w:rPr>
        <w:fldChar w:fldCharType="separate"/>
      </w:r>
      <w:r w:rsidR="00E73630">
        <w:rPr>
          <w:rFonts w:ascii="Arial" w:hAnsi="Arial" w:cs="Arial"/>
          <w:noProof/>
        </w:rPr>
        <w:t>(Santiko &amp; Nugrahani, 2012)</w:t>
      </w:r>
      <w:r w:rsidR="00E73630">
        <w:rPr>
          <w:rFonts w:ascii="Arial" w:hAnsi="Arial" w:cs="Arial"/>
        </w:rPr>
        <w:fldChar w:fldCharType="end"/>
      </w:r>
      <w:r>
        <w:rPr>
          <w:rFonts w:ascii="Arial" w:hAnsi="Arial" w:cs="Arial"/>
        </w:rPr>
        <w:t xml:space="preserve">. The selected panels were chosen based on visual clarity, the presence of figures playing string instruments, and the narrative context within each panel. </w:t>
      </w:r>
    </w:p>
    <w:p w14:paraId="4927887E" w14:textId="77777777" w:rsidR="00E73630" w:rsidRDefault="00E73630">
      <w:pPr>
        <w:pStyle w:val="Body"/>
        <w:spacing w:after="0"/>
        <w:rPr>
          <w:rFonts w:ascii="Arial" w:hAnsi="Arial" w:cs="Arial"/>
        </w:rPr>
      </w:pPr>
    </w:p>
    <w:p w14:paraId="3FA0F2C2" w14:textId="77777777" w:rsidR="0050657D" w:rsidRDefault="00561B99">
      <w:pPr>
        <w:pStyle w:val="Body"/>
        <w:rPr>
          <w:rFonts w:ascii="Arial" w:hAnsi="Arial" w:cs="Arial"/>
          <w:b/>
          <w:bCs/>
          <w:sz w:val="22"/>
          <w:szCs w:val="22"/>
        </w:rPr>
      </w:pPr>
      <w:r>
        <w:rPr>
          <w:rFonts w:ascii="Arial" w:hAnsi="Arial" w:cs="Arial"/>
          <w:b/>
          <w:bCs/>
          <w:sz w:val="22"/>
          <w:szCs w:val="22"/>
        </w:rPr>
        <w:t>2.2 Semiotic Analysis Procedure</w:t>
      </w:r>
    </w:p>
    <w:p w14:paraId="0760FEBE" w14:textId="5A652EF6" w:rsidR="0050657D" w:rsidRDefault="00561B99">
      <w:pPr>
        <w:pStyle w:val="Body"/>
        <w:rPr>
          <w:rFonts w:ascii="Arial" w:hAnsi="Arial" w:cs="Arial"/>
        </w:rPr>
      </w:pPr>
      <w:r>
        <w:rPr>
          <w:rFonts w:ascii="Arial" w:hAnsi="Arial" w:cs="Arial"/>
        </w:rPr>
        <w:t xml:space="preserve">This study employs a qualitative-descriptive approach utilizing Charles Sanders Peirce's triadic semiotic method. Semiotics is applied to interpret the symbolic meanings of lute </w:t>
      </w:r>
      <w:r>
        <w:rPr>
          <w:rFonts w:ascii="Arial" w:hAnsi="Arial" w:cs="Arial"/>
        </w:rPr>
        <w:lastRenderedPageBreak/>
        <w:t>representations within the context of ancient Javanese culture. The representamen pertains to the physical form or visual signs in the reliefs, such as lutes, figures, attire, objects, and inscriptions. The object refers to what the representamen signifies, while the interpretant relates to the mental or cultural interpretations arising from the relationship between the representamen and the object within the context of ancient Javanese society.</w:t>
      </w:r>
      <w:r w:rsidR="008667FB">
        <w:rPr>
          <w:rFonts w:ascii="Arial" w:hAnsi="Arial" w:cs="Arial"/>
        </w:rPr>
        <w:t xml:space="preserve"> </w:t>
      </w:r>
      <w:r>
        <w:rPr>
          <w:rFonts w:ascii="Arial" w:hAnsi="Arial" w:cs="Arial"/>
        </w:rPr>
        <w:t xml:space="preserve">The analysis begins with the identification of panels 102, 125, and 151, which explicitly depict lute-type instruments, focusing on the clarity of visual structures such as the resonator and neck of the instrument, as well as the performative gestures of the players. These panels were selected due to their accompanying narrative contexts. The next stage involves an in-depth visual description, systematically documenting the instrument forms, player positions, and the socio-religious narrative contexts within the panels. Subsequently, Peirce's triadic construction is applied by dissecting the representamen, object, and interpretant, allowing for a profound understanding of the symbolic role of music within the cosmological and spiritual structures of 9th-century society. The final stage involves historical validation by examining the connections between the visual interpretations and written as well as archaeological sources, such as the </w:t>
      </w:r>
      <w:proofErr w:type="spellStart"/>
      <w:r>
        <w:rPr>
          <w:rFonts w:ascii="Arial" w:hAnsi="Arial" w:cs="Arial"/>
        </w:rPr>
        <w:t>Karmawibhangga</w:t>
      </w:r>
      <w:proofErr w:type="spellEnd"/>
      <w:r>
        <w:rPr>
          <w:rFonts w:ascii="Arial" w:hAnsi="Arial" w:cs="Arial"/>
        </w:rPr>
        <w:t xml:space="preserve"> texts that served as references for the relief carvings, to obtain strong academic justification for the proposed symbolic interpretations </w:t>
      </w:r>
      <w:r w:rsidR="008667FB">
        <w:rPr>
          <w:rFonts w:ascii="Arial" w:hAnsi="Arial" w:cs="Arial"/>
        </w:rPr>
        <w:fldChar w:fldCharType="begin"/>
      </w:r>
      <w:r w:rsidR="008667FB">
        <w:rPr>
          <w:rFonts w:ascii="Arial" w:hAnsi="Arial" w:cs="Arial"/>
        </w:rPr>
        <w:instrText xml:space="preserve"> ADDIN EN.CITE &lt;EndNote&gt;&lt;Cite&gt;&lt;Author&gt;Krom&lt;/Author&gt;&lt;Year&gt;1927&lt;/Year&gt;&lt;RecNum&gt;11&lt;/RecNum&gt;&lt;DisplayText&gt;(Krom, 1927)&lt;/DisplayText&gt;&lt;record&gt;&lt;rec-number&gt;11&lt;/rec-number&gt;&lt;foreign-keys&gt;&lt;key app="EN" db-id="zart20f039v9zkes00rxefe3zd0rwve99w2x" timestamp="1747820945"&gt;11&lt;/key&gt;&lt;/foreign-keys&gt;&lt;ref-type name="Book"&gt;6&lt;/ref-type&gt;&lt;contributors&gt;&lt;authors&gt;&lt;author&gt;Krom, Nicolaas Johannes&lt;/author&gt;&lt;/authors&gt;&lt;/contributors&gt;&lt;titles&gt;&lt;title&gt;Barabudur archaeological description&lt;/title&gt;&lt;/titles&gt;&lt;dates&gt;&lt;year&gt;1927&lt;/year&gt;&lt;/dates&gt;&lt;publisher&gt;MARTINUS NIJHDFF&lt;/publisher&gt;&lt;urls&gt;&lt;/urls&gt;&lt;/record&gt;&lt;/Cite&gt;&lt;/EndNote&gt;</w:instrText>
      </w:r>
      <w:r w:rsidR="008667FB">
        <w:rPr>
          <w:rFonts w:ascii="Arial" w:hAnsi="Arial" w:cs="Arial"/>
        </w:rPr>
        <w:fldChar w:fldCharType="separate"/>
      </w:r>
      <w:r w:rsidR="008667FB">
        <w:rPr>
          <w:rFonts w:ascii="Arial" w:hAnsi="Arial" w:cs="Arial"/>
          <w:noProof/>
        </w:rPr>
        <w:t>(Krom, 1927)</w:t>
      </w:r>
      <w:r w:rsidR="008667FB">
        <w:rPr>
          <w:rFonts w:ascii="Arial" w:hAnsi="Arial" w:cs="Arial"/>
        </w:rPr>
        <w:fldChar w:fldCharType="end"/>
      </w:r>
      <w:r>
        <w:rPr>
          <w:rFonts w:ascii="Arial" w:hAnsi="Arial" w:cs="Arial"/>
        </w:rPr>
        <w:t>. This method not only enables the tracing of the historical trajectory of the lute instrument but also reveals its cultural significance as a symbol of spiritual harmony within Borobudur's visual world.</w:t>
      </w:r>
    </w:p>
    <w:p w14:paraId="2F196550" w14:textId="77777777" w:rsidR="0050657D" w:rsidRDefault="00561B99">
      <w:pPr>
        <w:pStyle w:val="Body"/>
        <w:rPr>
          <w:rFonts w:ascii="Arial" w:hAnsi="Arial" w:cs="Arial"/>
          <w:b/>
          <w:bCs/>
          <w:sz w:val="22"/>
          <w:szCs w:val="22"/>
        </w:rPr>
      </w:pPr>
      <w:r>
        <w:rPr>
          <w:rFonts w:ascii="Arial" w:hAnsi="Arial" w:cs="Arial"/>
          <w:b/>
          <w:bCs/>
          <w:sz w:val="22"/>
          <w:szCs w:val="22"/>
        </w:rPr>
        <w:t>2.3 Literature and Comparative Sources</w:t>
      </w:r>
    </w:p>
    <w:p w14:paraId="7C5080EE" w14:textId="77777777" w:rsidR="0050657D" w:rsidRDefault="00561B99">
      <w:pPr>
        <w:pStyle w:val="Body"/>
        <w:rPr>
          <w:rFonts w:ascii="Arial" w:hAnsi="Arial" w:cs="Arial"/>
        </w:rPr>
      </w:pPr>
      <w:r>
        <w:rPr>
          <w:rFonts w:ascii="Arial" w:hAnsi="Arial" w:cs="Arial"/>
        </w:rPr>
        <w:t xml:space="preserve">The study of musical instrument representations in the </w:t>
      </w:r>
      <w:proofErr w:type="spellStart"/>
      <w:r>
        <w:rPr>
          <w:rFonts w:ascii="Arial" w:hAnsi="Arial" w:cs="Arial"/>
        </w:rPr>
        <w:t>Karmawibhangga</w:t>
      </w:r>
      <w:proofErr w:type="spellEnd"/>
      <w:r>
        <w:rPr>
          <w:rFonts w:ascii="Arial" w:hAnsi="Arial" w:cs="Arial"/>
        </w:rPr>
        <w:t xml:space="preserve"> reliefs at Borobudur Temple necessitates a multidisciplinary approach involving iconography, philology, semiotics, and Southeast Asian music studies. A significant starting point for understanding classical Javanese music iconography stems from Kunst's work (1968), which comprehensively analyzes the forms, playing techniques, and similarities of instruments depicted in the reliefs with those from various other cultures worldwide. Kunst's comparative approach underscores that these instruments are not isolated local entities but part of cross-cultural dynamics that have occurred since the early centuries AD.</w:t>
      </w:r>
    </w:p>
    <w:p w14:paraId="376F269E" w14:textId="05409294" w:rsidR="0050657D" w:rsidRDefault="00561B99">
      <w:pPr>
        <w:pStyle w:val="Body"/>
        <w:rPr>
          <w:rFonts w:ascii="Arial" w:hAnsi="Arial" w:cs="Arial"/>
        </w:rPr>
      </w:pPr>
      <w:r>
        <w:rPr>
          <w:rFonts w:ascii="Arial" w:hAnsi="Arial" w:cs="Arial"/>
        </w:rPr>
        <w:t xml:space="preserve">Iconographic interpretation alone is insufficient to comprehend the narrative and spiritual contexts of these instruments. </w:t>
      </w:r>
      <w:proofErr w:type="spellStart"/>
      <w:r>
        <w:rPr>
          <w:rFonts w:ascii="Arial" w:hAnsi="Arial" w:cs="Arial"/>
        </w:rPr>
        <w:t>Santiko's</w:t>
      </w:r>
      <w:proofErr w:type="spellEnd"/>
      <w:r>
        <w:rPr>
          <w:rFonts w:ascii="Arial" w:hAnsi="Arial" w:cs="Arial"/>
        </w:rPr>
        <w:t xml:space="preserve"> study (2016) complements this by offering an archaeological-historical approach linking the </w:t>
      </w:r>
      <w:proofErr w:type="spellStart"/>
      <w:r>
        <w:rPr>
          <w:rFonts w:ascii="Arial" w:hAnsi="Arial" w:cs="Arial"/>
        </w:rPr>
        <w:t>Karmawibhangga</w:t>
      </w:r>
      <w:proofErr w:type="spellEnd"/>
      <w:r>
        <w:rPr>
          <w:rFonts w:ascii="Arial" w:hAnsi="Arial" w:cs="Arial"/>
        </w:rPr>
        <w:t xml:space="preserve"> reliefs with two Buddhist texts translated into Chinese, namely T80 and T81. Through comparing the episodes in the reliefs with these texts, it was found that T80 more closely aligns with the narrative structure depicted in the reliefs. This finding provides a basis for assuming that the visualization of instruments in the </w:t>
      </w:r>
      <w:proofErr w:type="spellStart"/>
      <w:r>
        <w:rPr>
          <w:rFonts w:ascii="Arial" w:hAnsi="Arial" w:cs="Arial"/>
        </w:rPr>
        <w:t>Karmawibhangga</w:t>
      </w:r>
      <w:proofErr w:type="spellEnd"/>
      <w:r>
        <w:rPr>
          <w:rFonts w:ascii="Arial" w:hAnsi="Arial" w:cs="Arial"/>
        </w:rPr>
        <w:t xml:space="preserve"> context is influenced by textual teachings, indicating that the instruments serve not only aesthetic functions but also embody Buddhist doctrinal values. The connection between visual forms and ancient texts is further emphasized by Hendra, who focuses his research on the relationship between musical instruments in Java and Bali with Old Javanese literary texts </w:t>
      </w:r>
      <w:r w:rsidR="008667FB">
        <w:rPr>
          <w:rFonts w:ascii="Arial" w:hAnsi="Arial" w:cs="Arial"/>
        </w:rPr>
        <w:fldChar w:fldCharType="begin"/>
      </w:r>
      <w:r w:rsidR="008667FB">
        <w:rPr>
          <w:rFonts w:ascii="Arial" w:hAnsi="Arial" w:cs="Arial"/>
        </w:rPr>
        <w:instrText xml:space="preserve"> ADDIN EN.CITE &lt;EndNote&gt;&lt;Cite&gt;&lt;Author&gt;Hendra&lt;/Author&gt;&lt;Year&gt;2020&lt;/Year&gt;&lt;RecNum&gt;12&lt;/RecNum&gt;&lt;DisplayText&gt;(Hendra, 2020)&lt;/DisplayText&gt;&lt;record&gt;&lt;rec-number&gt;12&lt;/rec-number&gt;&lt;foreign-keys&gt;&lt;key app="EN" db-id="zart20f039v9zkes00rxefe3zd0rwve99w2x" timestamp="1747821115"&gt;12&lt;/key&gt;&lt;/foreign-keys&gt;&lt;ref-type name="Generic"&gt;13&lt;/ref-type&gt;&lt;contributors&gt;&lt;authors&gt;&lt;author&gt;Hendra, Santosa&lt;/author&gt;&lt;/authors&gt;&lt;/contributors&gt;&lt;titles&gt;&lt;title&gt;EVOLUSI GAMELAN BALI: Dari Banjuran Menuju Adi Merdangga&lt;/title&gt;&lt;/titles&gt;&lt;dates&gt;&lt;year&gt;2020&lt;/year&gt;&lt;/dates&gt;&lt;publisher&gt;Pusat Penerbitan LP2MPP Institut Seni Indonesia Denpasar&lt;/publisher&gt;&lt;isbn&gt;6239515043&lt;/isbn&gt;&lt;urls&gt;&lt;/urls&gt;&lt;/record&gt;&lt;/Cite&gt;&lt;/EndNote&gt;</w:instrText>
      </w:r>
      <w:r w:rsidR="008667FB">
        <w:rPr>
          <w:rFonts w:ascii="Arial" w:hAnsi="Arial" w:cs="Arial"/>
        </w:rPr>
        <w:fldChar w:fldCharType="separate"/>
      </w:r>
      <w:r w:rsidR="008667FB">
        <w:rPr>
          <w:rFonts w:ascii="Arial" w:hAnsi="Arial" w:cs="Arial"/>
          <w:noProof/>
        </w:rPr>
        <w:t>(Hendra, 2020)</w:t>
      </w:r>
      <w:r w:rsidR="008667FB">
        <w:rPr>
          <w:rFonts w:ascii="Arial" w:hAnsi="Arial" w:cs="Arial"/>
        </w:rPr>
        <w:fldChar w:fldCharType="end"/>
      </w:r>
      <w:r w:rsidR="008667FB">
        <w:rPr>
          <w:rFonts w:ascii="Arial" w:hAnsi="Arial" w:cs="Arial"/>
        </w:rPr>
        <w:t>. T</w:t>
      </w:r>
      <w:r>
        <w:rPr>
          <w:rFonts w:ascii="Arial" w:hAnsi="Arial" w:cs="Arial"/>
        </w:rPr>
        <w:t xml:space="preserve">here is a continuity between the visual contexts discussed by Kunst and </w:t>
      </w:r>
      <w:proofErr w:type="spellStart"/>
      <w:r>
        <w:rPr>
          <w:rFonts w:ascii="Arial" w:hAnsi="Arial" w:cs="Arial"/>
        </w:rPr>
        <w:t>Santiko</w:t>
      </w:r>
      <w:proofErr w:type="spellEnd"/>
      <w:r>
        <w:rPr>
          <w:rFonts w:ascii="Arial" w:hAnsi="Arial" w:cs="Arial"/>
        </w:rPr>
        <w:t xml:space="preserve"> and the literary and functional readings offered.</w:t>
      </w:r>
    </w:p>
    <w:p w14:paraId="3E29547D" w14:textId="6718B8A4" w:rsidR="0050657D" w:rsidRDefault="00561B99">
      <w:pPr>
        <w:pStyle w:val="Body"/>
        <w:rPr>
          <w:rFonts w:ascii="Arial" w:hAnsi="Arial" w:cs="Arial"/>
        </w:rPr>
      </w:pPr>
      <w:r>
        <w:rPr>
          <w:rFonts w:ascii="Arial" w:hAnsi="Arial" w:cs="Arial"/>
        </w:rPr>
        <w:t xml:space="preserve">Furthermore, to understand the symbolic meanings of these instruments, </w:t>
      </w:r>
      <w:proofErr w:type="spellStart"/>
      <w:r>
        <w:rPr>
          <w:rFonts w:ascii="Arial" w:hAnsi="Arial" w:cs="Arial"/>
        </w:rPr>
        <w:t>Lakusa's</w:t>
      </w:r>
      <w:proofErr w:type="spellEnd"/>
      <w:r>
        <w:rPr>
          <w:rFonts w:ascii="Arial" w:hAnsi="Arial" w:cs="Arial"/>
        </w:rPr>
        <w:t xml:space="preserve"> study (2021) through the Sound of Borobudur project provides significant contributions using Peirce's semiotic approach. In this study, instruments are treated not merely as material objects but as signs possessing representamen, object, and interpretant, positioning archaeological artifacts as sign constructions that must be understood within complex cultural meaning networks. Additionally, Setiawan's symbolic study (2024) on plant elements in Borobudur's reliefs highlights how visual elements in the reliefs carry religious and </w:t>
      </w:r>
      <w:r>
        <w:rPr>
          <w:rFonts w:ascii="Arial" w:hAnsi="Arial" w:cs="Arial"/>
        </w:rPr>
        <w:lastRenderedPageBreak/>
        <w:t xml:space="preserve">philosophical meanings. This reinforces the assumption that representations of musical instruments should also be viewed within the same symbolic interpretive framework, not merely as narrative illustrations but as media conveying spiritual values. Ferdinandus's </w:t>
      </w:r>
      <w:r w:rsidR="00AC3554">
        <w:rPr>
          <w:rFonts w:ascii="Arial" w:hAnsi="Arial" w:cs="Arial"/>
        </w:rPr>
        <w:fldChar w:fldCharType="begin"/>
      </w:r>
      <w:r w:rsidR="00AC3554">
        <w:rPr>
          <w:rFonts w:ascii="Arial" w:hAnsi="Arial" w:cs="Arial"/>
        </w:rPr>
        <w:instrText xml:space="preserve"> ADDIN EN.CITE &lt;EndNote&gt;&lt;Cite ExcludeAuth="1"&gt;&lt;Author&gt;Ferdinandus&lt;/Author&gt;&lt;Year&gt;2001&lt;/Year&gt;&lt;RecNum&gt;3&lt;/RecNum&gt;&lt;DisplayText&gt;(2001)&lt;/DisplayText&gt;&lt;record&gt;&lt;rec-number&gt;3&lt;/rec-number&gt;&lt;foreign-keys&gt;&lt;key app="EN" db-id="zart20f039v9zkes00rxefe3zd0rwve99w2x" timestamp="1747817313"&gt;3&lt;/key&gt;&lt;/foreign-keys&gt;&lt;ref-type name="Book"&gt;6&lt;/ref-type&gt;&lt;contributors&gt;&lt;authors&gt;&lt;author&gt;Ferdinandus, P.E.J.&lt;/author&gt;&lt;/authors&gt;&lt;/contributors&gt;&lt;titles&gt;&lt;title&gt;Alat musik Jawa kuno&lt;/title&gt;&lt;/titles&gt;&lt;dates&gt;&lt;year&gt;2001&lt;/year&gt;&lt;/dates&gt;&lt;publisher&gt;Yayasan Mahardhika&lt;/publisher&gt;&lt;urls&gt;&lt;related-urls&gt;&lt;url&gt;https://books.google.co.id/books?id=hzuKnQAACAAJ&lt;/url&gt;&lt;/related-urls&gt;&lt;/urls&gt;&lt;/record&gt;&lt;/Cite&gt;&lt;/EndNote&gt;</w:instrText>
      </w:r>
      <w:r w:rsidR="00AC3554">
        <w:rPr>
          <w:rFonts w:ascii="Arial" w:hAnsi="Arial" w:cs="Arial"/>
        </w:rPr>
        <w:fldChar w:fldCharType="separate"/>
      </w:r>
      <w:r w:rsidR="00AC3554">
        <w:rPr>
          <w:rFonts w:ascii="Arial" w:hAnsi="Arial" w:cs="Arial"/>
          <w:noProof/>
        </w:rPr>
        <w:t>(2001)</w:t>
      </w:r>
      <w:r w:rsidR="00AC3554">
        <w:rPr>
          <w:rFonts w:ascii="Arial" w:hAnsi="Arial" w:cs="Arial"/>
        </w:rPr>
        <w:fldChar w:fldCharType="end"/>
      </w:r>
      <w:r w:rsidR="00AC3554">
        <w:rPr>
          <w:rFonts w:ascii="Arial" w:hAnsi="Arial" w:cs="Arial"/>
        </w:rPr>
        <w:t xml:space="preserve"> </w:t>
      </w:r>
      <w:r>
        <w:rPr>
          <w:rFonts w:ascii="Arial" w:hAnsi="Arial" w:cs="Arial"/>
        </w:rPr>
        <w:t xml:space="preserve">study, integrating visual data (reliefs), textual sources (ancient manuscripts), and material artifacts (statues and physical instruments), presents a holistic approach. This research positions musical instruments as cross-media entities, whose meanings are formed through the interaction between texts, images, and tangible objects. In this context, the entire body of literature forms a theoretical and methodological foundation that mutually reinforces, enabling a comprehensive, contextual, and multi-perspective semiotic analysis of lute-like instruments in the </w:t>
      </w:r>
      <w:proofErr w:type="spellStart"/>
      <w:r>
        <w:rPr>
          <w:rFonts w:ascii="Arial" w:hAnsi="Arial" w:cs="Arial"/>
        </w:rPr>
        <w:t>Karmawibhangga</w:t>
      </w:r>
      <w:proofErr w:type="spellEnd"/>
      <w:r>
        <w:rPr>
          <w:rFonts w:ascii="Arial" w:hAnsi="Arial" w:cs="Arial"/>
        </w:rPr>
        <w:t xml:space="preserve"> reliefs.</w:t>
      </w:r>
    </w:p>
    <w:p w14:paraId="529B1820" w14:textId="77777777" w:rsidR="0050657D" w:rsidRDefault="00561B99">
      <w:pPr>
        <w:pStyle w:val="Body"/>
        <w:rPr>
          <w:rFonts w:ascii="Arial" w:hAnsi="Arial" w:cs="Arial"/>
          <w:b/>
          <w:bCs/>
          <w:sz w:val="22"/>
          <w:szCs w:val="22"/>
        </w:rPr>
      </w:pPr>
      <w:r>
        <w:rPr>
          <w:rFonts w:ascii="Arial" w:hAnsi="Arial" w:cs="Arial"/>
          <w:b/>
          <w:bCs/>
          <w:sz w:val="22"/>
          <w:szCs w:val="22"/>
        </w:rPr>
        <w:t>2.4 Gap in Literature</w:t>
      </w:r>
    </w:p>
    <w:p w14:paraId="22F95FDD" w14:textId="6B8E034B" w:rsidR="0050657D" w:rsidRDefault="00173405">
      <w:pPr>
        <w:pStyle w:val="Body"/>
        <w:rPr>
          <w:rFonts w:ascii="Arial" w:hAnsi="Arial" w:cs="Arial"/>
        </w:rPr>
      </w:pPr>
      <w:r w:rsidRPr="00173405">
        <w:rPr>
          <w:rFonts w:ascii="Arial" w:hAnsi="Arial" w:cs="Arial"/>
        </w:rPr>
        <w:t xml:space="preserve">The </w:t>
      </w:r>
      <w:proofErr w:type="spellStart"/>
      <w:r w:rsidRPr="00173405">
        <w:rPr>
          <w:rFonts w:ascii="Arial" w:hAnsi="Arial" w:cs="Arial"/>
        </w:rPr>
        <w:t>Karmawibhangga</w:t>
      </w:r>
      <w:proofErr w:type="spellEnd"/>
      <w:r w:rsidRPr="00173405">
        <w:rPr>
          <w:rFonts w:ascii="Arial" w:hAnsi="Arial" w:cs="Arial"/>
        </w:rPr>
        <w:t xml:space="preserve"> reliefs of Borobudur depict two primary types of plucked string instruments: bar-zither and lute. </w:t>
      </w:r>
      <w:r>
        <w:rPr>
          <w:rFonts w:ascii="Arial" w:hAnsi="Arial" w:cs="Arial"/>
        </w:rPr>
        <w:t>B</w:t>
      </w:r>
      <w:r w:rsidRPr="00173405">
        <w:rPr>
          <w:rFonts w:ascii="Arial" w:hAnsi="Arial" w:cs="Arial"/>
        </w:rPr>
        <w:t xml:space="preserve">ar-zither is represented as a horizontal, fretless instrument with an elongated flat body, typically played while resting on the lap or a </w:t>
      </w:r>
      <w:proofErr w:type="spellStart"/>
      <w:r w:rsidRPr="00173405">
        <w:rPr>
          <w:rFonts w:ascii="Arial" w:hAnsi="Arial" w:cs="Arial"/>
        </w:rPr>
        <w:t>surface.</w:t>
      </w:r>
      <w:r w:rsidR="00561B99">
        <w:rPr>
          <w:rFonts w:ascii="Arial" w:hAnsi="Arial" w:cs="Arial"/>
        </w:rPr>
        <w:t>This</w:t>
      </w:r>
      <w:proofErr w:type="spellEnd"/>
      <w:r w:rsidR="00561B99">
        <w:rPr>
          <w:rFonts w:ascii="Arial" w:hAnsi="Arial" w:cs="Arial"/>
        </w:rPr>
        <w:t xml:space="preserve"> study specifically focuses on the visual representations of lute-type stringed musical instruments found in the </w:t>
      </w:r>
      <w:proofErr w:type="spellStart"/>
      <w:r w:rsidR="00561B99">
        <w:rPr>
          <w:rFonts w:ascii="Arial" w:hAnsi="Arial" w:cs="Arial"/>
        </w:rPr>
        <w:t>Karmawibhangga</w:t>
      </w:r>
      <w:proofErr w:type="spellEnd"/>
      <w:r w:rsidR="00561B99">
        <w:rPr>
          <w:rFonts w:ascii="Arial" w:hAnsi="Arial" w:cs="Arial"/>
        </w:rPr>
        <w:t xml:space="preserve"> reliefs at Borobudur Temple. This focus is chosen to maintain analytical depth and avoid diluting attention across various other instrument types also present in the Borobudur relief complex. Therefore, stringed instruments such as harps, horizontal zithers, or other zithers lacking the distinctive morphological features of lutes (neck, resonator, and tuning pegs aligned in one direction) are excluded from the main discussion.</w:t>
      </w:r>
    </w:p>
    <w:p w14:paraId="46B6ADCB" w14:textId="367D4A7D" w:rsidR="0050657D" w:rsidRDefault="00561B99" w:rsidP="008667FB">
      <w:pPr>
        <w:pStyle w:val="Body"/>
        <w:rPr>
          <w:rFonts w:ascii="Arial" w:hAnsi="Arial" w:cs="Arial"/>
        </w:rPr>
      </w:pPr>
      <w:r>
        <w:rPr>
          <w:rFonts w:ascii="Arial" w:hAnsi="Arial" w:cs="Arial"/>
        </w:rPr>
        <w:t xml:space="preserve">Although musical instruments like lutes frequently appear in Borobudur's reliefs, in-depth studies on their symbolic meanings and spiritual significance within the context of 9th-century Javanese life remain scarce. </w:t>
      </w:r>
      <w:r w:rsidR="00610091" w:rsidRPr="00610091">
        <w:rPr>
          <w:rFonts w:ascii="Arial" w:hAnsi="Arial" w:cs="Arial"/>
        </w:rPr>
        <w:t>Most existing literature discusses these musical instruments in a descriptive manner, focusing on typology, iconography, or historical classification. While general works</w:t>
      </w:r>
      <w:r w:rsidR="00610091">
        <w:rPr>
          <w:rFonts w:ascii="Arial" w:hAnsi="Arial" w:cs="Arial"/>
        </w:rPr>
        <w:t xml:space="preserve"> </w:t>
      </w:r>
      <w:r w:rsidR="00610091" w:rsidRPr="00610091">
        <w:rPr>
          <w:rFonts w:ascii="Arial" w:hAnsi="Arial" w:cs="Arial"/>
        </w:rPr>
        <w:t>such as those by Kunst</w:t>
      </w:r>
      <w:r w:rsidR="008F3074">
        <w:rPr>
          <w:rFonts w:ascii="Arial" w:hAnsi="Arial" w:cs="Arial"/>
        </w:rPr>
        <w:t xml:space="preserve"> </w:t>
      </w:r>
      <w:r w:rsidR="003F72AE">
        <w:rPr>
          <w:rFonts w:ascii="Arial" w:hAnsi="Arial" w:cs="Arial"/>
        </w:rPr>
        <w:fldChar w:fldCharType="begin"/>
      </w:r>
      <w:r w:rsidR="003F72AE">
        <w:rPr>
          <w:rFonts w:ascii="Arial" w:hAnsi="Arial" w:cs="Arial"/>
        </w:rPr>
        <w:instrText xml:space="preserve"> ADDIN EN.CITE &lt;EndNote&gt;&lt;Cite ExcludeAuth="1"&gt;&lt;Author&gt;Kunst&lt;/Author&gt;&lt;Year&gt;2013&lt;/Year&gt;&lt;RecNum&gt;4&lt;/RecNum&gt;&lt;DisplayText&gt;(2013)&lt;/DisplayText&gt;&lt;record&gt;&lt;rec-number&gt;4&lt;/rec-number&gt;&lt;foreign-keys&gt;&lt;key app="EN" db-id="zart20f039v9zkes00rxefe3zd0rwve99w2x" timestamp="1747817313"&gt;4&lt;/key&gt;&lt;/foreign-keys&gt;&lt;ref-type name="Book"&gt;6&lt;/ref-type&gt;&lt;contributors&gt;&lt;authors&gt;&lt;author&gt;Kunst, Jaap&lt;/author&gt;&lt;/authors&gt;&lt;/contributors&gt;&lt;titles&gt;&lt;title&gt;Music in Java: Its history, its theory and its technique&lt;/title&gt;&lt;/titles&gt;&lt;dates&gt;&lt;year&gt;2013&lt;/year&gt;&lt;/dates&gt;&lt;publisher&gt;Springer&lt;/publisher&gt;&lt;isbn&gt;9401771308&lt;/isbn&gt;&lt;urls&gt;&lt;/urls&gt;&lt;/record&gt;&lt;/Cite&gt;&lt;/EndNote&gt;</w:instrText>
      </w:r>
      <w:r w:rsidR="003F72AE">
        <w:rPr>
          <w:rFonts w:ascii="Arial" w:hAnsi="Arial" w:cs="Arial"/>
        </w:rPr>
        <w:fldChar w:fldCharType="separate"/>
      </w:r>
      <w:r w:rsidR="003F72AE">
        <w:rPr>
          <w:rFonts w:ascii="Arial" w:hAnsi="Arial" w:cs="Arial"/>
          <w:noProof/>
        </w:rPr>
        <w:t>(2013)</w:t>
      </w:r>
      <w:r w:rsidR="003F72AE">
        <w:rPr>
          <w:rFonts w:ascii="Arial" w:hAnsi="Arial" w:cs="Arial"/>
        </w:rPr>
        <w:fldChar w:fldCharType="end"/>
      </w:r>
      <w:r w:rsidR="003F72AE">
        <w:rPr>
          <w:rFonts w:ascii="Arial" w:hAnsi="Arial" w:cs="Arial"/>
        </w:rPr>
        <w:t xml:space="preserve"> </w:t>
      </w:r>
      <w:r w:rsidR="008F3074">
        <w:rPr>
          <w:rFonts w:ascii="Arial" w:hAnsi="Arial" w:cs="Arial"/>
        </w:rPr>
        <w:t xml:space="preserve">and Haryono </w:t>
      </w:r>
      <w:r w:rsidR="003F72AE">
        <w:rPr>
          <w:rFonts w:ascii="Arial" w:hAnsi="Arial" w:cs="Arial"/>
        </w:rPr>
        <w:fldChar w:fldCharType="begin"/>
      </w:r>
      <w:r w:rsidR="003F72AE">
        <w:rPr>
          <w:rFonts w:ascii="Arial" w:hAnsi="Arial" w:cs="Arial"/>
        </w:rPr>
        <w:instrText xml:space="preserve"> ADDIN EN.CITE &lt;EndNote&gt;&lt;Cite ExcludeAuth="1"&gt;&lt;Author&gt;Haryono&lt;/Author&gt;&lt;Year&gt;2008&lt;/Year&gt;&lt;RecNum&gt;16&lt;/RecNum&gt;&lt;DisplayText&gt;(2008)&lt;/DisplayText&gt;&lt;record&gt;&lt;rec-number&gt;16&lt;/rec-number&gt;&lt;foreign-keys&gt;&lt;key app="EN" db-id="zart20f039v9zkes00rxefe3zd0rwve99w2x" timestamp="1748534744"&gt;16&lt;/key&gt;&lt;/foreign-keys&gt;&lt;ref-type name="Book"&gt;6&lt;/ref-type&gt;&lt;contributors&gt;&lt;authors&gt;&lt;author&gt;Haryono, Timbul&lt;/author&gt;&lt;/authors&gt;&lt;/contributors&gt;&lt;titles&gt;&lt;title&gt;Seni pertunjukan dan seni rupa dalam perspektif arkeologi seni&lt;/title&gt;&lt;/titles&gt;&lt;dates&gt;&lt;year&gt;2008&lt;/year&gt;&lt;/dates&gt;&lt;publisher&gt;ISI Press Solo&lt;/publisher&gt;&lt;isbn&gt;979821787X&lt;/isbn&gt;&lt;urls&gt;&lt;/urls&gt;&lt;/record&gt;&lt;/Cite&gt;&lt;/EndNote&gt;</w:instrText>
      </w:r>
      <w:r w:rsidR="003F72AE">
        <w:rPr>
          <w:rFonts w:ascii="Arial" w:hAnsi="Arial" w:cs="Arial"/>
        </w:rPr>
        <w:fldChar w:fldCharType="separate"/>
      </w:r>
      <w:r w:rsidR="003F72AE">
        <w:rPr>
          <w:rFonts w:ascii="Arial" w:hAnsi="Arial" w:cs="Arial"/>
          <w:noProof/>
        </w:rPr>
        <w:t>(2008)</w:t>
      </w:r>
      <w:r w:rsidR="003F72AE">
        <w:rPr>
          <w:rFonts w:ascii="Arial" w:hAnsi="Arial" w:cs="Arial"/>
        </w:rPr>
        <w:fldChar w:fldCharType="end"/>
      </w:r>
      <w:r w:rsidR="003F72AE">
        <w:rPr>
          <w:rFonts w:ascii="Arial" w:hAnsi="Arial" w:cs="Arial"/>
        </w:rPr>
        <w:t xml:space="preserve"> </w:t>
      </w:r>
      <w:r w:rsidR="00610091" w:rsidRPr="00610091">
        <w:rPr>
          <w:rFonts w:ascii="Arial" w:hAnsi="Arial" w:cs="Arial"/>
        </w:rPr>
        <w:t>provide valuable overviews of musical instruments in ancient Indonesia, specific analyses of the lute are limited. When addressed, the lute is typically described in terms of its physical characteristics or musical function, with little emphasis on its symbolic or spiritual dimensions. To date, scholarly inquiry into the lute’s role as a religious symbol or its function in ritual contexts remains scarce, highlighting a significant gap that this study seeks to address.</w:t>
      </w:r>
      <w:r>
        <w:rPr>
          <w:rFonts w:ascii="Arial" w:hAnsi="Arial" w:cs="Arial"/>
        </w:rPr>
        <w:t xml:space="preserve"> A semiotic approach to the representation of lutes can unveil their roles in shaping spiritual experiences and cultural identities, an avenue of inquiry that has yet to be extensively explored.</w:t>
      </w:r>
    </w:p>
    <w:p w14:paraId="69362EFE" w14:textId="77777777" w:rsidR="0050657D" w:rsidRDefault="00561B99">
      <w:pPr>
        <w:pStyle w:val="Head1"/>
        <w:spacing w:after="0"/>
        <w:jc w:val="both"/>
        <w:rPr>
          <w:rFonts w:ascii="Arial" w:hAnsi="Arial" w:cs="Arial"/>
        </w:rPr>
      </w:pPr>
      <w:r>
        <w:rPr>
          <w:rFonts w:ascii="Arial" w:hAnsi="Arial" w:cs="Arial"/>
        </w:rPr>
        <w:t>3. results and discussion</w:t>
      </w:r>
    </w:p>
    <w:p w14:paraId="5EB5B5D7" w14:textId="77777777" w:rsidR="0050657D" w:rsidRDefault="0050657D">
      <w:pPr>
        <w:pStyle w:val="Head1"/>
        <w:spacing w:after="0"/>
        <w:jc w:val="both"/>
        <w:rPr>
          <w:rFonts w:ascii="Arial" w:hAnsi="Arial" w:cs="Arial"/>
        </w:rPr>
      </w:pPr>
    </w:p>
    <w:p w14:paraId="7C0DE4B3" w14:textId="0A3F83DD" w:rsidR="0050657D" w:rsidRDefault="00C11827">
      <w:pPr>
        <w:pStyle w:val="Body"/>
        <w:spacing w:after="0"/>
        <w:rPr>
          <w:rFonts w:ascii="Arial" w:hAnsi="Arial" w:cs="Arial"/>
        </w:rPr>
      </w:pPr>
      <w:r w:rsidRPr="00C11827">
        <w:rPr>
          <w:rFonts w:ascii="Arial" w:hAnsi="Arial" w:cs="Arial"/>
        </w:rPr>
        <w:t xml:space="preserve">The </w:t>
      </w:r>
      <w:proofErr w:type="spellStart"/>
      <w:r w:rsidRPr="00C11827">
        <w:rPr>
          <w:rFonts w:ascii="Arial" w:hAnsi="Arial" w:cs="Arial"/>
        </w:rPr>
        <w:t>Karmawibhangga</w:t>
      </w:r>
      <w:proofErr w:type="spellEnd"/>
      <w:r w:rsidRPr="00C11827">
        <w:rPr>
          <w:rFonts w:ascii="Arial" w:hAnsi="Arial" w:cs="Arial"/>
        </w:rPr>
        <w:t xml:space="preserve"> relief consists of 160 narrative panels, of which 16 panels depict scenes involving musical instruments. Among these, 3 panels are identified as illustrating lute-type instruments. </w:t>
      </w:r>
      <w:r>
        <w:rPr>
          <w:rFonts w:ascii="Arial" w:hAnsi="Arial" w:cs="Arial"/>
        </w:rPr>
        <w:t xml:space="preserve">An analysis of the </w:t>
      </w:r>
      <w:proofErr w:type="spellStart"/>
      <w:r>
        <w:rPr>
          <w:rFonts w:ascii="Arial" w:hAnsi="Arial" w:cs="Arial"/>
        </w:rPr>
        <w:t>Karmawibhangga</w:t>
      </w:r>
      <w:proofErr w:type="spellEnd"/>
      <w:r>
        <w:rPr>
          <w:rFonts w:ascii="Arial" w:hAnsi="Arial" w:cs="Arial"/>
        </w:rPr>
        <w:t xml:space="preserve"> relief panels reveals the presence of stringed musical instrument representations that resemble lutes.</w:t>
      </w:r>
      <w:r w:rsidR="00561B99">
        <w:rPr>
          <w:rFonts w:ascii="Arial" w:hAnsi="Arial" w:cs="Arial"/>
        </w:rPr>
        <w:t xml:space="preserve"> The visual identification of lute instruments in these reliefs serves as a crucial initial step in tracing the representation of musical elements within the visual context of ancient Javanese culture. Several panels depict figures holding objects resembling stringed instruments characterized by elongated, convex bodies and short necks, features that closely align with the morphological traits of the lute family. This identification considers not only the physical form and playing posture but also the surrounding narrative context. Thus, the visual analysis of these reliefs provides a foundational basis for deeper semiotic and historical readings regarding the presence and significance of these instruments within the cultural landscape of the past.</w:t>
      </w:r>
    </w:p>
    <w:p w14:paraId="3C0BA0F0" w14:textId="77777777" w:rsidR="0050657D" w:rsidRDefault="0050657D">
      <w:pPr>
        <w:pStyle w:val="Body"/>
        <w:spacing w:after="0"/>
        <w:rPr>
          <w:rFonts w:ascii="Arial" w:hAnsi="Arial" w:cs="Arial"/>
        </w:rPr>
      </w:pPr>
    </w:p>
    <w:p w14:paraId="2529DF0C" w14:textId="77777777" w:rsidR="0050657D" w:rsidRDefault="00561B99">
      <w:pPr>
        <w:pStyle w:val="Body"/>
        <w:rPr>
          <w:rFonts w:ascii="Arial" w:hAnsi="Arial" w:cs="Arial"/>
          <w:b/>
          <w:bCs/>
          <w:sz w:val="22"/>
          <w:szCs w:val="22"/>
        </w:rPr>
      </w:pPr>
      <w:r>
        <w:rPr>
          <w:rFonts w:ascii="Arial" w:hAnsi="Arial" w:cs="Arial"/>
          <w:b/>
          <w:bCs/>
          <w:sz w:val="22"/>
          <w:szCs w:val="22"/>
        </w:rPr>
        <w:lastRenderedPageBreak/>
        <w:t>3.1</w:t>
      </w:r>
      <w:r>
        <w:rPr>
          <w:b/>
          <w:bCs/>
          <w:sz w:val="22"/>
          <w:szCs w:val="22"/>
        </w:rPr>
        <w:t xml:space="preserve"> </w:t>
      </w:r>
      <w:r>
        <w:rPr>
          <w:rFonts w:ascii="Arial" w:hAnsi="Arial" w:cs="Arial"/>
          <w:b/>
          <w:bCs/>
          <w:sz w:val="22"/>
          <w:szCs w:val="22"/>
        </w:rPr>
        <w:t xml:space="preserve">Visual Identification of Lute Instruments in </w:t>
      </w:r>
      <w:proofErr w:type="spellStart"/>
      <w:r>
        <w:rPr>
          <w:rFonts w:ascii="Arial" w:hAnsi="Arial" w:cs="Arial"/>
          <w:b/>
          <w:bCs/>
          <w:sz w:val="22"/>
          <w:szCs w:val="22"/>
        </w:rPr>
        <w:t>Karmawibhangga</w:t>
      </w:r>
      <w:proofErr w:type="spellEnd"/>
      <w:r>
        <w:rPr>
          <w:rFonts w:ascii="Arial" w:hAnsi="Arial" w:cs="Arial"/>
          <w:b/>
          <w:bCs/>
          <w:sz w:val="22"/>
          <w:szCs w:val="22"/>
        </w:rPr>
        <w:t xml:space="preserve"> Relief Panel Number 102</w:t>
      </w:r>
    </w:p>
    <w:p w14:paraId="525E8A41" w14:textId="6870A88D" w:rsidR="0050657D" w:rsidRDefault="00561B99">
      <w:pPr>
        <w:pStyle w:val="Body"/>
        <w:spacing w:after="0"/>
        <w:rPr>
          <w:rFonts w:ascii="Arial" w:hAnsi="Arial" w:cs="Arial"/>
        </w:rPr>
      </w:pPr>
      <w:r>
        <w:rPr>
          <w:rFonts w:ascii="Arial" w:hAnsi="Arial" w:cs="Arial"/>
        </w:rPr>
        <w:t xml:space="preserve">Panel series O 102 presents a complex scene imbued with </w:t>
      </w:r>
      <w:r w:rsidR="008667FB">
        <w:rPr>
          <w:rFonts w:ascii="Arial" w:hAnsi="Arial" w:cs="Arial"/>
        </w:rPr>
        <w:t xml:space="preserve">a </w:t>
      </w:r>
      <w:r>
        <w:rPr>
          <w:rFonts w:ascii="Arial" w:hAnsi="Arial" w:cs="Arial"/>
        </w:rPr>
        <w:t>sacred atmosphere and rich religious symbolism. On the right side of the panel, three priests are depicted sitting calmly on a roofed platform</w:t>
      </w:r>
      <w:r w:rsidR="008667FB">
        <w:rPr>
          <w:rFonts w:ascii="Arial" w:hAnsi="Arial" w:cs="Arial"/>
        </w:rPr>
        <w:t xml:space="preserve"> (</w:t>
      </w:r>
      <w:r>
        <w:rPr>
          <w:rFonts w:ascii="Arial" w:hAnsi="Arial" w:cs="Arial"/>
        </w:rPr>
        <w:t>an architectural element that signifies their elevated status and spiritual authority</w:t>
      </w:r>
      <w:r w:rsidR="008667FB">
        <w:rPr>
          <w:rFonts w:ascii="Arial" w:hAnsi="Arial" w:cs="Arial"/>
        </w:rPr>
        <w:t>)</w:t>
      </w:r>
      <w:r>
        <w:rPr>
          <w:rFonts w:ascii="Arial" w:hAnsi="Arial" w:cs="Arial"/>
        </w:rPr>
        <w:t>. In front of these priests stands a figure who appears to be offering or distributing something to two other individuals positioned directly before them, suggesting a ritualistic interaction or offering related to religious practice.</w:t>
      </w:r>
    </w:p>
    <w:p w14:paraId="0FEAB09D" w14:textId="77777777" w:rsidR="0050657D" w:rsidRDefault="0050657D">
      <w:pPr>
        <w:pStyle w:val="Body"/>
        <w:spacing w:after="0"/>
        <w:rPr>
          <w:rFonts w:ascii="Arial" w:hAnsi="Arial" w:cs="Arial"/>
        </w:rPr>
      </w:pPr>
    </w:p>
    <w:p w14:paraId="39863813" w14:textId="77777777" w:rsidR="0050657D" w:rsidRDefault="00561B99">
      <w:pPr>
        <w:pStyle w:val="Body"/>
        <w:spacing w:after="0"/>
        <w:rPr>
          <w:rFonts w:ascii="Arial" w:hAnsi="Arial" w:cs="Arial"/>
        </w:rPr>
      </w:pPr>
      <w:r>
        <w:rPr>
          <w:rFonts w:ascii="Times New Roman Regular" w:hAnsi="Times New Roman Regular" w:cs="Times New Roman Regular"/>
          <w:noProof/>
        </w:rPr>
        <w:drawing>
          <wp:inline distT="0" distB="0" distL="114300" distR="114300" wp14:anchorId="3A470C15" wp14:editId="52A75EFD">
            <wp:extent cx="5212080" cy="18662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stretch>
                      <a:fillRect/>
                    </a:stretch>
                  </pic:blipFill>
                  <pic:spPr>
                    <a:xfrm>
                      <a:off x="0" y="0"/>
                      <a:ext cx="5212080" cy="1866690"/>
                    </a:xfrm>
                    <a:prstGeom prst="rect">
                      <a:avLst/>
                    </a:prstGeom>
                    <a:noFill/>
                    <a:ln>
                      <a:noFill/>
                    </a:ln>
                  </pic:spPr>
                </pic:pic>
              </a:graphicData>
            </a:graphic>
          </wp:inline>
        </w:drawing>
      </w:r>
    </w:p>
    <w:p w14:paraId="6D21FDDA" w14:textId="14679ECC" w:rsidR="0050657D" w:rsidRDefault="00561B99">
      <w:pPr>
        <w:pStyle w:val="NormalWeb"/>
        <w:spacing w:line="360" w:lineRule="auto"/>
        <w:ind w:hanging="142"/>
        <w:contextualSpacing/>
        <w:jc w:val="center"/>
        <w:rPr>
          <w:rFonts w:ascii="Arial" w:eastAsia="Bookman Old Style" w:hAnsi="Arial" w:cs="Arial"/>
          <w:b/>
          <w:bCs/>
          <w:sz w:val="20"/>
          <w:szCs w:val="20"/>
        </w:rPr>
      </w:pPr>
      <w:r>
        <w:rPr>
          <w:rFonts w:ascii="Arial" w:eastAsia="Bookman Old Style" w:hAnsi="Arial" w:cs="Arial"/>
          <w:b/>
          <w:bCs/>
          <w:sz w:val="20"/>
          <w:szCs w:val="20"/>
        </w:rPr>
        <w:t xml:space="preserve">Fig. 1. Relief </w:t>
      </w:r>
      <w:proofErr w:type="spellStart"/>
      <w:r>
        <w:rPr>
          <w:rFonts w:ascii="Arial" w:eastAsia="Bookman Old Style" w:hAnsi="Arial" w:cs="Arial"/>
          <w:b/>
          <w:bCs/>
          <w:sz w:val="20"/>
          <w:szCs w:val="20"/>
        </w:rPr>
        <w:t>Karmawibhangga</w:t>
      </w:r>
      <w:proofErr w:type="spellEnd"/>
      <w:r>
        <w:rPr>
          <w:rFonts w:ascii="Arial" w:eastAsia="Bookman Old Style" w:hAnsi="Arial" w:cs="Arial"/>
          <w:b/>
          <w:bCs/>
          <w:sz w:val="20"/>
          <w:szCs w:val="20"/>
        </w:rPr>
        <w:t xml:space="preserve"> Panel Number 102 </w:t>
      </w:r>
      <w:r>
        <w:rPr>
          <w:rFonts w:ascii="Arial" w:eastAsia="Bookman Old Style" w:hAnsi="Arial" w:cs="Arial"/>
          <w:b/>
          <w:bCs/>
          <w:sz w:val="20"/>
          <w:szCs w:val="20"/>
        </w:rPr>
        <w:fldChar w:fldCharType="begin"/>
      </w:r>
      <w:r w:rsidR="008667FB">
        <w:rPr>
          <w:rFonts w:ascii="Arial" w:eastAsia="Bookman Old Style" w:hAnsi="Arial" w:cs="Arial"/>
          <w:b/>
          <w:bCs/>
          <w:sz w:val="20"/>
          <w:szCs w:val="20"/>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Cite&gt;&lt;Author&gt;Santiko&lt;/Author&gt;&lt;Year&gt;2012&lt;/Year&gt;&lt;RecNum&gt;13&lt;/RecNum&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sz w:val="20"/>
          <w:szCs w:val="20"/>
        </w:rPr>
        <w:fldChar w:fldCharType="separate"/>
      </w:r>
      <w:r w:rsidR="008667FB">
        <w:rPr>
          <w:rFonts w:ascii="Arial" w:eastAsia="Bookman Old Style" w:hAnsi="Arial" w:cs="Arial"/>
          <w:b/>
          <w:bCs/>
          <w:noProof/>
          <w:sz w:val="20"/>
          <w:szCs w:val="20"/>
        </w:rPr>
        <w:t>(Santiko &amp; Nugrahani, 2012)</w:t>
      </w:r>
      <w:r>
        <w:rPr>
          <w:rFonts w:ascii="Arial" w:eastAsia="Bookman Old Style" w:hAnsi="Arial" w:cs="Arial"/>
          <w:b/>
          <w:bCs/>
          <w:sz w:val="20"/>
          <w:szCs w:val="20"/>
        </w:rPr>
        <w:fldChar w:fldCharType="end"/>
      </w:r>
    </w:p>
    <w:p w14:paraId="4C1482F0" w14:textId="77777777" w:rsidR="0050657D" w:rsidRDefault="00561B99">
      <w:pPr>
        <w:pStyle w:val="Body"/>
        <w:spacing w:after="0"/>
        <w:jc w:val="center"/>
        <w:rPr>
          <w:rFonts w:ascii="Arial" w:hAnsi="Arial" w:cs="Arial"/>
        </w:rPr>
      </w:pPr>
      <w:r>
        <w:rPr>
          <w:rFonts w:ascii="Times New Roman Regular" w:hAnsi="Times New Roman Regular" w:cs="Times New Roman Regular"/>
          <w:noProof/>
        </w:rPr>
        <w:drawing>
          <wp:inline distT="0" distB="0" distL="114300" distR="114300" wp14:anchorId="79F3F62F" wp14:editId="1F3866F5">
            <wp:extent cx="2004695" cy="2171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a:stretch>
                      <a:fillRect/>
                    </a:stretch>
                  </pic:blipFill>
                  <pic:spPr>
                    <a:xfrm>
                      <a:off x="0" y="0"/>
                      <a:ext cx="2012405" cy="2180105"/>
                    </a:xfrm>
                    <a:prstGeom prst="rect">
                      <a:avLst/>
                    </a:prstGeom>
                    <a:noFill/>
                    <a:ln>
                      <a:noFill/>
                    </a:ln>
                  </pic:spPr>
                </pic:pic>
              </a:graphicData>
            </a:graphic>
          </wp:inline>
        </w:drawing>
      </w:r>
    </w:p>
    <w:p w14:paraId="49F01CDC" w14:textId="3EF6FAFF" w:rsidR="0050657D" w:rsidRDefault="00561B99" w:rsidP="004F7B7B">
      <w:pPr>
        <w:rPr>
          <w:rFonts w:ascii="Arial" w:eastAsia="Bookman Old Style" w:hAnsi="Arial" w:cs="Arial"/>
          <w:b/>
          <w:bCs/>
        </w:rPr>
      </w:pPr>
      <w:r>
        <w:rPr>
          <w:rFonts w:ascii="Arial" w:eastAsia="Bookman Old Style" w:hAnsi="Arial" w:cs="Arial"/>
          <w:b/>
          <w:bCs/>
        </w:rPr>
        <w:t xml:space="preserve">Fig. 2. Sketch of the Two-Stringed Instrument from </w:t>
      </w:r>
      <w:proofErr w:type="spellStart"/>
      <w:r>
        <w:rPr>
          <w:rFonts w:ascii="Arial" w:eastAsia="Bookman Old Style" w:hAnsi="Arial" w:cs="Arial"/>
          <w:b/>
          <w:bCs/>
        </w:rPr>
        <w:t>Karmawibhangga</w:t>
      </w:r>
      <w:proofErr w:type="spellEnd"/>
      <w:r>
        <w:rPr>
          <w:rFonts w:ascii="Arial" w:eastAsia="Bookman Old Style" w:hAnsi="Arial" w:cs="Arial"/>
          <w:b/>
          <w:bCs/>
        </w:rPr>
        <w:t xml:space="preserve"> Relief Panel Number 102</w:t>
      </w:r>
      <w:r w:rsidR="00C11827">
        <w:rPr>
          <w:rFonts w:ascii="Arial" w:eastAsia="Bookman Old Style" w:hAnsi="Arial" w:cs="Arial"/>
          <w:b/>
          <w:bCs/>
        </w:rPr>
        <w:t xml:space="preserve"> </w:t>
      </w:r>
      <w:r w:rsidR="004F7B7B">
        <w:rPr>
          <w:rFonts w:ascii="Arial" w:eastAsia="Bookman Old Style" w:hAnsi="Arial" w:cs="Arial"/>
          <w:b/>
          <w:bCs/>
        </w:rPr>
        <w:t>(Sketch by the author)</w:t>
      </w:r>
    </w:p>
    <w:p w14:paraId="16ED624C" w14:textId="77777777" w:rsidR="004F7B7B" w:rsidRPr="004F7B7B" w:rsidRDefault="004F7B7B" w:rsidP="004F7B7B"/>
    <w:p w14:paraId="1B8FFE70" w14:textId="77777777" w:rsidR="0050657D" w:rsidRDefault="00561B99">
      <w:pPr>
        <w:pStyle w:val="Body"/>
        <w:rPr>
          <w:rFonts w:ascii="Arial" w:hAnsi="Arial" w:cs="Arial"/>
        </w:rPr>
      </w:pPr>
      <w:r>
        <w:rPr>
          <w:rFonts w:ascii="Arial" w:hAnsi="Arial" w:cs="Arial"/>
        </w:rPr>
        <w:t xml:space="preserve">In the central part of the panel, a majestic </w:t>
      </w:r>
      <w:proofErr w:type="spellStart"/>
      <w:r w:rsidRPr="008667FB">
        <w:rPr>
          <w:rFonts w:ascii="Arial" w:hAnsi="Arial" w:cs="Arial"/>
          <w:i/>
          <w:iCs/>
        </w:rPr>
        <w:t>kalpataru</w:t>
      </w:r>
      <w:proofErr w:type="spellEnd"/>
      <w:r>
        <w:rPr>
          <w:rFonts w:ascii="Arial" w:hAnsi="Arial" w:cs="Arial"/>
        </w:rPr>
        <w:t xml:space="preserve"> tree appears, symbolizing abundance and immortality, surrounded by four semi-divine beings (kinnara) standing gracefully atop a large vessel filled with jewelry. Further to the left, two musicians are seen sitting near the tree. One of them plays a two-stringed plucked lute-like instrument with a slender body and no neck. This instrument may have been played using a plectrum, indicating a fairly advanced playing technique for that time. The music they produce accompanies three dancers performing in front of them, creating harmony between movement and sound in the context of an offering or worship ritual. On the far left, there is a prominent figure adorned </w:t>
      </w:r>
      <w:r>
        <w:rPr>
          <w:rFonts w:ascii="Arial" w:hAnsi="Arial" w:cs="Arial"/>
        </w:rPr>
        <w:lastRenderedPageBreak/>
        <w:t xml:space="preserve">with a </w:t>
      </w:r>
      <w:proofErr w:type="spellStart"/>
      <w:r>
        <w:rPr>
          <w:rFonts w:ascii="Arial" w:hAnsi="Arial" w:cs="Arial"/>
        </w:rPr>
        <w:t>prabha</w:t>
      </w:r>
      <w:proofErr w:type="spellEnd"/>
      <w:r>
        <w:rPr>
          <w:rFonts w:ascii="Arial" w:hAnsi="Arial" w:cs="Arial"/>
        </w:rPr>
        <w:t xml:space="preserve"> (a sacred halo-like radiance), signifying divine status or spiritual enlightenment. This figure is surrounded by four seated women, forming a visual composition that emphasizes peace and celestial grandeur. The music being played can thus be assumed to possess a sacred nature, intended as part of a worship ritual or spiritual offering. Although the main deed or action serving as the background to the scene is not explicitly depicted, the panel may represent an act of generosity. Another interpretation suggests that the central figure might be teaching spiritual discipline, guiding followers toward the path of enlightenment and virtue.</w:t>
      </w:r>
    </w:p>
    <w:p w14:paraId="7E20D258" w14:textId="77777777" w:rsidR="0050657D" w:rsidRDefault="00561B99">
      <w:pPr>
        <w:pStyle w:val="Body"/>
        <w:rPr>
          <w:rFonts w:ascii="Arial" w:hAnsi="Arial" w:cs="Arial"/>
        </w:rPr>
      </w:pPr>
      <w:r>
        <w:rPr>
          <w:rFonts w:ascii="Arial" w:hAnsi="Arial" w:cs="Arial"/>
        </w:rPr>
        <w:t xml:space="preserve">Below is the triadic semiotic analysis table for </w:t>
      </w:r>
      <w:proofErr w:type="spellStart"/>
      <w:r>
        <w:rPr>
          <w:rFonts w:ascii="Arial" w:hAnsi="Arial" w:cs="Arial"/>
        </w:rPr>
        <w:t>Karmawibhangga</w:t>
      </w:r>
      <w:proofErr w:type="spellEnd"/>
      <w:r>
        <w:rPr>
          <w:rFonts w:ascii="Arial" w:hAnsi="Arial" w:cs="Arial"/>
        </w:rPr>
        <w:t xml:space="preserve"> Relief Panel Number 102.</w:t>
      </w:r>
    </w:p>
    <w:p w14:paraId="4C327AFF" w14:textId="77777777" w:rsidR="0050657D" w:rsidRDefault="00561B99">
      <w:pPr>
        <w:pStyle w:val="Body"/>
        <w:spacing w:after="0"/>
        <w:rPr>
          <w:rFonts w:ascii="Arial" w:hAnsi="Arial" w:cs="Arial"/>
          <w:b/>
          <w:bCs/>
        </w:rPr>
      </w:pPr>
      <w:r>
        <w:rPr>
          <w:rFonts w:ascii="Arial" w:hAnsi="Arial" w:cs="Arial"/>
          <w:b/>
          <w:bCs/>
        </w:rPr>
        <w:t xml:space="preserve">Table 1. Triadic Semiotic Analysis of </w:t>
      </w:r>
      <w:proofErr w:type="spellStart"/>
      <w:r>
        <w:rPr>
          <w:rFonts w:ascii="Arial" w:hAnsi="Arial" w:cs="Arial"/>
          <w:b/>
          <w:bCs/>
        </w:rPr>
        <w:t>Karmawibhangga</w:t>
      </w:r>
      <w:proofErr w:type="spellEnd"/>
      <w:r>
        <w:rPr>
          <w:rFonts w:ascii="Arial" w:hAnsi="Arial" w:cs="Arial"/>
          <w:b/>
          <w:bCs/>
        </w:rPr>
        <w:t xml:space="preserve"> Relief Panel Number 102</w:t>
      </w:r>
    </w:p>
    <w:p w14:paraId="47A55A3C" w14:textId="77777777" w:rsidR="0050657D" w:rsidRDefault="0050657D">
      <w:pPr>
        <w:pStyle w:val="Body"/>
        <w:spacing w:after="0"/>
        <w:rPr>
          <w:rFonts w:ascii="Arial" w:hAnsi="Arial" w:cs="Arial"/>
          <w:b/>
          <w:bC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893"/>
        <w:gridCol w:w="1833"/>
        <w:gridCol w:w="3226"/>
      </w:tblGrid>
      <w:tr w:rsidR="0050657D" w14:paraId="72C4F83D"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D838238"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92770B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91B01A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Object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4C1C3FB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159E8E6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974352C"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A2899F2" w14:textId="77777777" w:rsidR="0050657D" w:rsidRDefault="00561B99" w:rsidP="009D7982">
            <w:pPr>
              <w:spacing w:line="360" w:lineRule="auto"/>
              <w:rPr>
                <w:rFonts w:ascii="Arial Regular" w:hAnsi="Arial Regular" w:cs="Arial Regular"/>
                <w:kern w:val="2"/>
                <w:sz w:val="20"/>
                <w:szCs w:val="20"/>
              </w:rPr>
            </w:pPr>
            <w:r>
              <w:rPr>
                <w:rFonts w:ascii="Arial Regular" w:hAnsi="Arial Regular" w:cs="Arial Regular"/>
                <w:sz w:val="20"/>
                <w:szCs w:val="20"/>
                <w:lang w:eastAsia="zh-CN" w:bidi="ar"/>
              </w:rPr>
              <w:t>Three priests seated on a roofed bench</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12A6C543" w14:textId="77777777" w:rsidR="0050657D" w:rsidRDefault="00561B99" w:rsidP="009D7982">
            <w:pPr>
              <w:spacing w:line="360" w:lineRule="auto"/>
              <w:rPr>
                <w:rFonts w:ascii="Arial Regular" w:hAnsi="Arial Regular" w:cs="Arial Regular"/>
                <w:kern w:val="2"/>
                <w:sz w:val="20"/>
                <w:szCs w:val="20"/>
              </w:rPr>
            </w:pPr>
            <w:r>
              <w:rPr>
                <w:rFonts w:ascii="Arial Regular" w:hAnsi="Arial Regular" w:cs="Arial Regular"/>
                <w:sz w:val="20"/>
                <w:szCs w:val="20"/>
                <w:lang w:eastAsia="zh-CN" w:bidi="ar"/>
              </w:rPr>
              <w:t>Spiritual leaders or teachers</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2EA67D8" w14:textId="77777777" w:rsidR="0050657D" w:rsidRDefault="00561B99" w:rsidP="009D7982">
            <w:pPr>
              <w:rPr>
                <w:rFonts w:ascii="Arial Regular" w:hAnsi="Arial Regular" w:cs="Arial Regular"/>
                <w:kern w:val="2"/>
                <w:sz w:val="20"/>
                <w:szCs w:val="20"/>
              </w:rPr>
            </w:pPr>
            <w:r>
              <w:rPr>
                <w:rFonts w:ascii="Arial Regular" w:hAnsi="Arial Regular" w:cs="Arial Regular"/>
                <w:sz w:val="20"/>
                <w:szCs w:val="20"/>
                <w:lang w:eastAsia="zh-CN" w:bidi="ar"/>
              </w:rPr>
              <w:t>A symbol of religious authority and the center of Dharma transmission</w:t>
            </w:r>
          </w:p>
        </w:tc>
      </w:tr>
      <w:tr w:rsidR="0050657D" w14:paraId="08663E4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EC9E373"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2</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227B16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Jar-shaped container and chest with triangular lid in the lower right part of the relief</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7CDBB92"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Storage for valuables or ritual equipment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5AA1B33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Symbolizes prosperity, sacred offerings, or spiritual hierarchy</w:t>
            </w:r>
          </w:p>
        </w:tc>
      </w:tr>
      <w:tr w:rsidR="0050657D" w14:paraId="06AA428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56EBFDE"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3</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14C37E5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small-bodied figure squatting with head tilted upward, receiving something from the priest</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AD2AF8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priest performing a good deed for a commoner</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6FA4219C"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Represents vertical social structure: commoners or servants present as devotees or supporters in major ceremonies</w:t>
            </w:r>
          </w:p>
        </w:tc>
      </w:tr>
      <w:tr w:rsidR="0050657D" w14:paraId="1A77F88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4CC6FB40"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4</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08A1A7A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figure raising a hand in a gesture of giving or presenting something to another</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CA9B6F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Social interaction, giving instructions or blessings</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55DD00E3"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Representation of mutual respect and a hierarchy of knowledge or authority</w:t>
            </w:r>
          </w:p>
        </w:tc>
      </w:tr>
      <w:tr w:rsidR="0050657D" w14:paraId="4869847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7863AB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5</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438873D9" w14:textId="40029B28"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A male figure sitting cross-legged playing a lute (similar to a two-stringed </w:t>
            </w:r>
            <w:proofErr w:type="spellStart"/>
            <w:r>
              <w:rPr>
                <w:rFonts w:ascii="Arial Regular" w:hAnsi="Arial Regular" w:cs="Arial Regular"/>
                <w:i/>
                <w:iCs/>
                <w:sz w:val="20"/>
                <w:szCs w:val="20"/>
                <w:lang w:eastAsia="zh-CN" w:bidi="ar"/>
              </w:rPr>
              <w:t>sape</w:t>
            </w:r>
            <w:proofErr w:type="spellEnd"/>
            <w:r>
              <w:rPr>
                <w:rFonts w:ascii="Arial Regular" w:hAnsi="Arial Regular" w:cs="Arial Regular"/>
                <w:sz w:val="20"/>
                <w:szCs w:val="20"/>
                <w:lang w:eastAsia="zh-CN" w:bidi="ar"/>
              </w:rPr>
              <w:t>)</w:t>
            </w:r>
            <w:r w:rsidR="00E73630">
              <w:rPr>
                <w:rFonts w:ascii="Arial Regular" w:hAnsi="Arial Regular" w:cs="Arial Regular"/>
                <w:sz w:val="20"/>
                <w:szCs w:val="20"/>
                <w:lang w:eastAsia="zh-CN" w:bidi="ar"/>
              </w:rPr>
              <w:br/>
            </w:r>
            <w:r w:rsidR="00E73630">
              <w:rPr>
                <w:rFonts w:ascii="Arial Regular" w:hAnsi="Arial Regular" w:cs="Arial Regular"/>
                <w:sz w:val="20"/>
                <w:szCs w:val="20"/>
              </w:rPr>
              <w:fldChar w:fldCharType="begin"/>
            </w:r>
            <w:r w:rsidR="00E73630">
              <w:rPr>
                <w:rFonts w:ascii="Arial Regular" w:hAnsi="Arial Regular" w:cs="Arial Regular"/>
                <w:sz w:val="20"/>
                <w:szCs w:val="20"/>
              </w:rPr>
              <w:instrText xml:space="preserve"> ADDIN EN.CITE &lt;EndNote&gt;&lt;Cite&gt;&lt;Author&gt;Kunst&lt;/Author&gt;&lt;Year&gt;2013&lt;/Year&gt;&lt;RecNum&gt;4&lt;/RecNum&gt;&lt;DisplayText&gt;(Kunst, 2013)&lt;/DisplayText&gt;&lt;record&gt;&lt;rec-number&gt;4&lt;/rec-number&gt;&lt;foreign-keys&gt;&lt;key app="EN" db-id="zart20f039v9zkes00rxefe3zd0rwve99w2x" timestamp="1747817313"&gt;4&lt;/key&gt;&lt;/foreign-keys&gt;&lt;ref-type name="Book"&gt;6&lt;/ref-type&gt;&lt;contributors&gt;&lt;authors&gt;&lt;author&gt;Kunst, Jaap&lt;/author&gt;&lt;/authors&gt;&lt;/contributors&gt;&lt;titles&gt;&lt;title&gt;Music in Java: Its history, its theory and its technique&lt;/title&gt;&lt;/titles&gt;&lt;dates&gt;&lt;year&gt;2013&lt;/year&gt;&lt;/dates&gt;&lt;publisher&gt;Springer&lt;/publisher&gt;&lt;isbn&gt;9401771308&lt;/isbn&gt;&lt;urls&gt;&lt;/urls&gt;&lt;/record&gt;&lt;/Cite&gt;&lt;/EndNote&gt;</w:instrText>
            </w:r>
            <w:r w:rsidR="00E73630">
              <w:rPr>
                <w:rFonts w:ascii="Arial Regular" w:hAnsi="Arial Regular" w:cs="Arial Regular"/>
                <w:sz w:val="20"/>
                <w:szCs w:val="20"/>
              </w:rPr>
              <w:fldChar w:fldCharType="separate"/>
            </w:r>
            <w:r w:rsidR="00E73630">
              <w:rPr>
                <w:rFonts w:ascii="Arial Regular" w:hAnsi="Arial Regular" w:cs="Arial Regular"/>
                <w:noProof/>
                <w:sz w:val="20"/>
                <w:szCs w:val="20"/>
              </w:rPr>
              <w:t>(Kunst, 2013)</w:t>
            </w:r>
            <w:r w:rsidR="00E73630">
              <w:rPr>
                <w:rFonts w:ascii="Arial Regular" w:hAnsi="Arial Regular" w:cs="Arial Regular"/>
                <w:sz w:val="20"/>
                <w:szCs w:val="20"/>
              </w:rPr>
              <w:fldChar w:fldCharType="end"/>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64D12A1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Musical practice in a ritual or sacred context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4748A18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Music is positioned as a vital element in sacred events; the instrument symbolizes emotional or spiritual expression</w:t>
            </w:r>
          </w:p>
        </w:tc>
      </w:tr>
      <w:tr w:rsidR="0050657D" w14:paraId="585532F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130BD3E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47CDE6E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large tree adorned with leaves and flowers rising in the center of the relief composition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11F90B8"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 xml:space="preserve">Sacred nature, the Bodhi tree or </w:t>
            </w:r>
            <w:proofErr w:type="spellStart"/>
            <w:r>
              <w:rPr>
                <w:rFonts w:ascii="Arial Regular" w:hAnsi="Arial Regular" w:cs="Arial Regular"/>
                <w:i/>
                <w:iCs/>
                <w:sz w:val="20"/>
                <w:szCs w:val="20"/>
                <w:lang w:eastAsia="zh-CN" w:bidi="ar"/>
              </w:rPr>
              <w:t>kalpataru</w:t>
            </w:r>
            <w:proofErr w:type="spellEnd"/>
            <w:r>
              <w:rPr>
                <w:rFonts w:ascii="Arial Regular" w:hAnsi="Arial Regular" w:cs="Arial Regular"/>
                <w:sz w:val="20"/>
                <w:szCs w:val="20"/>
                <w:lang w:eastAsia="zh-CN" w:bidi="ar"/>
              </w:rPr>
              <w:t xml:space="preserve"> (wish-fulfilling tree)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72FFBF2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The tree as a cosmic center and symbol of fertility and spirituality, representing the connection between the earthly and divine realms</w:t>
            </w:r>
          </w:p>
        </w:tc>
      </w:tr>
      <w:tr w:rsidR="0050657D" w14:paraId="0F5341C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7918BBE"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05AAD995"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large bird sitting on a jar, facing the musician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0669EFA4" w14:textId="77777777" w:rsidR="0050657D" w:rsidRDefault="00561B99" w:rsidP="009D7982">
            <w:pPr>
              <w:rPr>
                <w:rFonts w:ascii="Arial Regular" w:hAnsi="Arial Regular" w:cs="Arial Regular"/>
                <w:sz w:val="20"/>
                <w:szCs w:val="20"/>
              </w:rPr>
            </w:pPr>
            <w:r>
              <w:rPr>
                <w:rFonts w:ascii="Arial Regular" w:hAnsi="Arial Regular" w:cs="Arial Regular"/>
                <w:i/>
                <w:iCs/>
                <w:sz w:val="20"/>
                <w:szCs w:val="20"/>
                <w:lang w:eastAsia="zh-CN" w:bidi="ar"/>
              </w:rPr>
              <w:t>Kinnara</w:t>
            </w:r>
            <w:r>
              <w:rPr>
                <w:rFonts w:ascii="Arial Regular" w:hAnsi="Arial Regular" w:cs="Arial Regular"/>
                <w:sz w:val="20"/>
                <w:szCs w:val="20"/>
                <w:lang w:eastAsia="zh-CN" w:bidi="ar"/>
              </w:rPr>
              <w:t xml:space="preserve"> as a spiritual being</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91B1722"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Representation of the connection between the lower and upper worlds; a symbol of beauty or musical rhythm</w:t>
            </w:r>
          </w:p>
        </w:tc>
      </w:tr>
      <w:tr w:rsidR="0050657D" w14:paraId="25C0AD9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810362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8</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70F975F7" w14:textId="76FC2995"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Female accessories: hair bun, bangles, large earrings, and head ornaments (</w:t>
            </w:r>
            <w:r>
              <w:rPr>
                <w:rFonts w:ascii="Arial Regular" w:hAnsi="Arial Regular" w:cs="Arial Regular"/>
                <w:i/>
                <w:iCs/>
                <w:sz w:val="20"/>
                <w:szCs w:val="20"/>
                <w:lang w:eastAsia="zh-CN" w:bidi="ar"/>
              </w:rPr>
              <w:t>makuta</w:t>
            </w:r>
            <w:r>
              <w:rPr>
                <w:rFonts w:ascii="Arial Regular" w:hAnsi="Arial Regular" w:cs="Arial Regular"/>
                <w:sz w:val="20"/>
                <w:szCs w:val="20"/>
                <w:lang w:eastAsia="zh-CN" w:bidi="ar"/>
              </w:rPr>
              <w:t>)</w:t>
            </w:r>
            <w:r w:rsidR="00E73630">
              <w:rPr>
                <w:rFonts w:ascii="Arial Regular" w:hAnsi="Arial Regular" w:cs="Arial Regular"/>
                <w:sz w:val="20"/>
                <w:szCs w:val="20"/>
                <w:lang w:eastAsia="zh-CN" w:bidi="ar"/>
              </w:rPr>
              <w:br/>
            </w:r>
            <w:r w:rsidR="00E73630">
              <w:rPr>
                <w:rFonts w:ascii="Arial Regular" w:hAnsi="Arial Regular" w:cs="Arial Regular"/>
                <w:sz w:val="20"/>
                <w:szCs w:val="20"/>
              </w:rPr>
              <w:fldChar w:fldCharType="begin"/>
            </w:r>
            <w:r w:rsidR="00E73630">
              <w:rPr>
                <w:rFonts w:ascii="Arial Regular" w:hAnsi="Arial Regular" w:cs="Arial Regular"/>
                <w:sz w:val="20"/>
                <w:szCs w:val="20"/>
              </w:rPr>
              <w:instrText xml:space="preserve"> ADDIN EN.CITE &lt;EndNote&gt;&lt;Cite&gt;&lt;Author&gt;Hertiasa&lt;/Author&gt;&lt;Year&gt;2021&lt;/Year&gt;&lt;RecNum&gt;5&lt;/RecNum&gt;&lt;DisplayText&gt;(Hertiasa et al., 2021)&lt;/DisplayText&gt;&lt;record&gt;&lt;rec-number&gt;5&lt;/rec-number&gt;&lt;foreign-keys&gt;&lt;key app="EN" db-id="zart20f039v9zkes00rxefe3zd0rwve99w2x" timestamp="1747817313"&gt;5&lt;/key&gt;&lt;/foreign-keys&gt;&lt;ref-type name="Conference Proceedings"&gt;10&lt;/ref-type&gt;&lt;contributors&gt;&lt;authors&gt;&lt;author&gt;Hertiasa, Hendy&lt;/author&gt;&lt;author&gt;Santosa, Imam&lt;/author&gt;&lt;author&gt;Irfansyah, Irfansyah&lt;/author&gt;&lt;author&gt;Setiawan, Pindi&lt;/author&gt;&lt;/authors&gt;&lt;/contributors&gt;&lt;titles&gt;&lt;title&gt;Gesture in Visual Narrative Reliefs of Karmawibhangga Borobudur as An Ancient Javanese Locality Value&lt;/title&gt;&lt;secondary-title&gt;ICON ARCCADE 2021: The 2nd International Conference on Art, Craft, Culture and Design (ICON-ARCCADE 2021)&lt;/secondary-title&gt;&lt;/titles&gt;&lt;pages&gt;307-316&lt;/pages&gt;&lt;dates&gt;&lt;year&gt;2021&lt;/year&gt;&lt;/dates&gt;&lt;publisher&gt;Atlantis Press&lt;/publisher&gt;&lt;isbn&gt;9462395012&lt;/isbn&gt;&lt;urls&gt;&lt;/urls&gt;&lt;/record&gt;&lt;/Cite&gt;&lt;/EndNote&gt;</w:instrText>
            </w:r>
            <w:r w:rsidR="00E73630">
              <w:rPr>
                <w:rFonts w:ascii="Arial Regular" w:hAnsi="Arial Regular" w:cs="Arial Regular"/>
                <w:sz w:val="20"/>
                <w:szCs w:val="20"/>
              </w:rPr>
              <w:fldChar w:fldCharType="separate"/>
            </w:r>
            <w:r w:rsidR="00E73630">
              <w:rPr>
                <w:rFonts w:ascii="Arial Regular" w:hAnsi="Arial Regular" w:cs="Arial Regular"/>
                <w:noProof/>
                <w:sz w:val="20"/>
                <w:szCs w:val="20"/>
              </w:rPr>
              <w:t>(Hertiasa et al., 2021)</w:t>
            </w:r>
            <w:r w:rsidR="00E73630">
              <w:rPr>
                <w:rFonts w:ascii="Arial Regular" w:hAnsi="Arial Regular" w:cs="Arial Regular"/>
                <w:sz w:val="20"/>
                <w:szCs w:val="20"/>
              </w:rPr>
              <w:fldChar w:fldCharType="end"/>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D2F66BD"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Status marker in the narrative (nobility, high rank)</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0E852A9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Indicates social stratification in Javanese society and a distinct gender representation where women are dressed lavishly for important events</w:t>
            </w:r>
          </w:p>
        </w:tc>
      </w:tr>
      <w:tr w:rsidR="0050657D" w14:paraId="4DAE9E0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6BD04A8D"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9</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30C8F51D"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Several women dancing in standing poses and one accompanying the musician</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287036F9"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Ritual or devotional dance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73F9B55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symbol of spiritual offering through movement</w:t>
            </w:r>
          </w:p>
        </w:tc>
      </w:tr>
      <w:tr w:rsidR="0050657D" w14:paraId="749047F5"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EF0464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2C521A8" w14:textId="5CFDEA41"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figure sitting cross-legged on a stage with a halo-like light (</w:t>
            </w:r>
            <w:proofErr w:type="spellStart"/>
            <w:r>
              <w:rPr>
                <w:rFonts w:ascii="Arial Regular" w:hAnsi="Arial Regular" w:cs="Arial Regular"/>
                <w:i/>
                <w:iCs/>
                <w:sz w:val="20"/>
                <w:szCs w:val="20"/>
                <w:lang w:eastAsia="zh-CN" w:bidi="ar"/>
              </w:rPr>
              <w:t>prabha</w:t>
            </w:r>
            <w:proofErr w:type="spellEnd"/>
            <w:r>
              <w:rPr>
                <w:rFonts w:ascii="Arial Regular" w:hAnsi="Arial Regular" w:cs="Arial Regular"/>
                <w:sz w:val="20"/>
                <w:szCs w:val="20"/>
                <w:lang w:eastAsia="zh-CN" w:bidi="ar"/>
              </w:rPr>
              <w:t xml:space="preserve">) around the </w:t>
            </w:r>
            <w:r>
              <w:rPr>
                <w:rFonts w:ascii="Arial Regular" w:hAnsi="Arial Regular" w:cs="Arial Regular"/>
                <w:sz w:val="20"/>
                <w:szCs w:val="20"/>
                <w:lang w:eastAsia="zh-CN" w:bidi="ar"/>
              </w:rPr>
              <w:lastRenderedPageBreak/>
              <w:t>head, surrounded by standing and seated figures</w:t>
            </w:r>
            <w:r w:rsidR="00E73630">
              <w:rPr>
                <w:rFonts w:ascii="Arial Regular" w:hAnsi="Arial Regular" w:cs="Arial Regular"/>
                <w:sz w:val="20"/>
                <w:szCs w:val="20"/>
                <w:lang w:eastAsia="zh-CN" w:bidi="ar"/>
              </w:rPr>
              <w:t xml:space="preserve"> </w:t>
            </w:r>
            <w:r w:rsidR="00E73630" w:rsidRPr="00E73630">
              <w:rPr>
                <w:rFonts w:ascii="Arial Regular" w:hAnsi="Arial Regular" w:cs="Arial Regular"/>
                <w:sz w:val="20"/>
                <w:szCs w:val="20"/>
                <w:lang w:eastAsia="zh-CN" w:bidi="ar"/>
              </w:rPr>
              <w:t>(</w:t>
            </w:r>
            <w:proofErr w:type="spellStart"/>
            <w:r w:rsidR="00E73630" w:rsidRPr="00E73630">
              <w:rPr>
                <w:rFonts w:ascii="Arial" w:hAnsi="Arial" w:cs="Arial"/>
                <w:sz w:val="20"/>
                <w:szCs w:val="20"/>
              </w:rPr>
              <w:t>Ānandajoti</w:t>
            </w:r>
            <w:proofErr w:type="spellEnd"/>
            <w:r w:rsidR="00E73630" w:rsidRPr="00E73630">
              <w:rPr>
                <w:rFonts w:ascii="Arial" w:hAnsi="Arial" w:cs="Arial"/>
                <w:sz w:val="20"/>
                <w:szCs w:val="20"/>
              </w:rPr>
              <w:t xml:space="preserve">, </w:t>
            </w:r>
            <w:r w:rsidR="00E73630" w:rsidRPr="00E73630">
              <w:rPr>
                <w:rFonts w:ascii="Arial" w:hAnsi="Arial" w:cs="Arial"/>
                <w:sz w:val="20"/>
                <w:szCs w:val="20"/>
              </w:rPr>
              <w:t>2023)</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7FA8FA47"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lastRenderedPageBreak/>
              <w:t>An enlightened being or sacred figure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1096643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symbol of high spirituality and divine birth in the heavenly realm (</w:t>
            </w:r>
            <w:r>
              <w:rPr>
                <w:rFonts w:ascii="Arial Regular" w:hAnsi="Arial Regular" w:cs="Arial Regular"/>
                <w:sz w:val="20"/>
                <w:szCs w:val="20"/>
                <w:lang w:eastAsia="zh-CN"/>
              </w:rPr>
              <w:t>Heaven of sensual pleasures</w:t>
            </w:r>
            <w:r>
              <w:rPr>
                <w:rFonts w:ascii="Arial Regular" w:hAnsi="Arial Regular" w:cs="Arial Regular"/>
                <w:sz w:val="20"/>
                <w:szCs w:val="20"/>
                <w:lang w:eastAsia="zh-CN" w:bidi="ar"/>
              </w:rPr>
              <w:t>)</w:t>
            </w:r>
          </w:p>
        </w:tc>
      </w:tr>
      <w:tr w:rsidR="0050657D" w14:paraId="19A8D98B"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E256D0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11</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5CD3818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The posture and gaze direction of the figures on the left side of the relief surrounding the central figure</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391CDA6E"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Narrative focus on the central figure or key event</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22F48541"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This dramatic emphasis shows Borobudur’s visual narrative technique to guide interpretation toward the scene’s core meaning</w:t>
            </w:r>
          </w:p>
        </w:tc>
      </w:tr>
      <w:tr w:rsidR="0050657D" w14:paraId="54CA560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DAE758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12</w:t>
            </w:r>
          </w:p>
        </w:tc>
        <w:tc>
          <w:tcPr>
            <w:tcW w:w="2932" w:type="dxa"/>
            <w:tcBorders>
              <w:top w:val="single" w:sz="4" w:space="0" w:color="auto"/>
              <w:left w:val="single" w:sz="4" w:space="0" w:color="auto"/>
              <w:bottom w:val="single" w:sz="4" w:space="0" w:color="auto"/>
              <w:right w:val="single" w:sz="4" w:space="0" w:color="auto"/>
            </w:tcBorders>
            <w:shd w:val="clear" w:color="auto" w:fill="auto"/>
          </w:tcPr>
          <w:p w14:paraId="28E063B6"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Lack of significant facial expressions</w:t>
            </w:r>
          </w:p>
        </w:tc>
        <w:tc>
          <w:tcPr>
            <w:tcW w:w="1851" w:type="dxa"/>
            <w:tcBorders>
              <w:top w:val="single" w:sz="4" w:space="0" w:color="auto"/>
              <w:left w:val="single" w:sz="4" w:space="0" w:color="auto"/>
              <w:bottom w:val="single" w:sz="4" w:space="0" w:color="auto"/>
              <w:right w:val="single" w:sz="4" w:space="0" w:color="auto"/>
            </w:tcBorders>
            <w:shd w:val="clear" w:color="auto" w:fill="auto"/>
          </w:tcPr>
          <w:p w14:paraId="435E0D84" w14:textId="77777777" w:rsidR="0050657D" w:rsidRDefault="00561B99" w:rsidP="009D7982">
            <w:pPr>
              <w:rPr>
                <w:rFonts w:ascii="Arial Regular" w:hAnsi="Arial Regular" w:cs="Arial Regular"/>
                <w:sz w:val="20"/>
                <w:szCs w:val="20"/>
              </w:rPr>
            </w:pPr>
            <w:r>
              <w:rPr>
                <w:rFonts w:ascii="Arial Regular" w:hAnsi="Arial Regular" w:cs="Arial Regular"/>
                <w:sz w:val="20"/>
                <w:szCs w:val="20"/>
                <w:lang w:eastAsia="zh-CN" w:bidi="ar"/>
              </w:rPr>
              <w:t>A culture of calmness, self-control, and sacred atmosphere</w:t>
            </w:r>
          </w:p>
        </w:tc>
        <w:tc>
          <w:tcPr>
            <w:tcW w:w="3278" w:type="dxa"/>
            <w:tcBorders>
              <w:top w:val="single" w:sz="4" w:space="0" w:color="auto"/>
              <w:left w:val="single" w:sz="4" w:space="0" w:color="auto"/>
              <w:bottom w:val="single" w:sz="4" w:space="0" w:color="auto"/>
              <w:right w:val="single" w:sz="4" w:space="0" w:color="auto"/>
            </w:tcBorders>
            <w:shd w:val="clear" w:color="auto" w:fill="auto"/>
          </w:tcPr>
          <w:p w14:paraId="0A3956F9" w14:textId="77777777" w:rsidR="0050657D" w:rsidRDefault="00561B99" w:rsidP="009D7982">
            <w:pPr>
              <w:rPr>
                <w:rFonts w:ascii="Arial Regular" w:hAnsi="Arial Regular" w:cs="Arial Regular"/>
                <w:kern w:val="2"/>
                <w:sz w:val="20"/>
                <w:szCs w:val="20"/>
              </w:rPr>
            </w:pPr>
            <w:r>
              <w:rPr>
                <w:rFonts w:ascii="Arial Regular" w:hAnsi="Arial Regular" w:cs="Arial Regular"/>
                <w:sz w:val="20"/>
                <w:szCs w:val="20"/>
                <w:lang w:eastAsia="zh-CN" w:bidi="ar"/>
              </w:rPr>
              <w:t>Represents Buddhist ethical values such as inner peace and compassion</w:t>
            </w:r>
          </w:p>
        </w:tc>
      </w:tr>
    </w:tbl>
    <w:p w14:paraId="71529CD6" w14:textId="77777777" w:rsidR="0050657D" w:rsidRDefault="0050657D">
      <w:pPr>
        <w:pStyle w:val="Body"/>
        <w:spacing w:after="0"/>
        <w:rPr>
          <w:rFonts w:ascii="Arial" w:hAnsi="Arial" w:cs="Arial"/>
          <w:b/>
          <w:bCs/>
        </w:rPr>
      </w:pPr>
    </w:p>
    <w:p w14:paraId="09579F3A" w14:textId="77777777" w:rsidR="0050657D" w:rsidRDefault="00561B99">
      <w:pPr>
        <w:pStyle w:val="Body"/>
        <w:spacing w:after="0"/>
        <w:rPr>
          <w:rFonts w:ascii="Arial Bold" w:hAnsi="Arial Bold" w:cs="Arial Bold"/>
          <w:b/>
          <w:bCs/>
          <w:sz w:val="22"/>
          <w:szCs w:val="22"/>
        </w:rPr>
      </w:pPr>
      <w:r>
        <w:rPr>
          <w:rFonts w:ascii="Arial Bold" w:hAnsi="Arial Bold" w:cs="Arial Bold"/>
          <w:b/>
          <w:bCs/>
          <w:sz w:val="22"/>
          <w:szCs w:val="22"/>
        </w:rPr>
        <w:t xml:space="preserve">3.2 </w:t>
      </w:r>
      <w:r>
        <w:rPr>
          <w:rFonts w:ascii="Arial" w:hAnsi="Arial" w:cs="Arial"/>
          <w:b/>
          <w:bCs/>
          <w:sz w:val="22"/>
          <w:szCs w:val="22"/>
        </w:rPr>
        <w:t xml:space="preserve">Visual Identification of Lute Instruments in </w:t>
      </w:r>
      <w:proofErr w:type="spellStart"/>
      <w:r>
        <w:rPr>
          <w:rFonts w:ascii="Arial" w:hAnsi="Arial" w:cs="Arial"/>
          <w:b/>
          <w:bCs/>
          <w:sz w:val="22"/>
          <w:szCs w:val="22"/>
        </w:rPr>
        <w:t>Karmawibhangga</w:t>
      </w:r>
      <w:proofErr w:type="spellEnd"/>
      <w:r>
        <w:rPr>
          <w:rFonts w:ascii="Arial" w:hAnsi="Arial" w:cs="Arial"/>
          <w:b/>
          <w:bCs/>
          <w:sz w:val="22"/>
          <w:szCs w:val="22"/>
        </w:rPr>
        <w:t xml:space="preserve"> Relief Panel Number</w:t>
      </w:r>
      <w:r>
        <w:rPr>
          <w:rFonts w:ascii="Arial Bold" w:hAnsi="Arial Bold" w:cs="Arial Bold"/>
          <w:b/>
          <w:bCs/>
          <w:sz w:val="22"/>
          <w:szCs w:val="22"/>
        </w:rPr>
        <w:t xml:space="preserve"> 125</w:t>
      </w:r>
    </w:p>
    <w:p w14:paraId="018433B0" w14:textId="77777777" w:rsidR="0050657D" w:rsidRDefault="0050657D">
      <w:pPr>
        <w:pStyle w:val="Body"/>
        <w:spacing w:after="0"/>
        <w:rPr>
          <w:rFonts w:ascii="Arial Bold" w:hAnsi="Arial Bold" w:cs="Arial Bold"/>
          <w:b/>
          <w:bCs/>
          <w:sz w:val="22"/>
          <w:szCs w:val="22"/>
        </w:rPr>
      </w:pPr>
    </w:p>
    <w:p w14:paraId="47BFA295" w14:textId="427A9BD6" w:rsidR="0050657D" w:rsidRDefault="00561B99">
      <w:pPr>
        <w:pStyle w:val="Body"/>
        <w:spacing w:after="0"/>
        <w:rPr>
          <w:rFonts w:ascii="Arial" w:hAnsi="Arial"/>
        </w:rPr>
      </w:pPr>
      <w:r>
        <w:rPr>
          <w:rFonts w:ascii="Arial" w:hAnsi="Arial"/>
        </w:rPr>
        <w:t>Panel series number O 125 presents a scene that portrays a majestic and elegant atmosphere, in which a male figure appears as the central character. This figure is dressed in luxurious clothing and adorned with a crown, a symbol of high status, possibly representing a noble or divine character. He sits gracefully on a roofed bench (an element often associated with honor or a place of distinction) and</w:t>
      </w:r>
      <w:r w:rsidR="008667FB">
        <w:rPr>
          <w:rFonts w:ascii="Arial" w:hAnsi="Arial"/>
        </w:rPr>
        <w:t xml:space="preserve"> </w:t>
      </w:r>
      <w:r>
        <w:rPr>
          <w:rFonts w:ascii="Arial" w:hAnsi="Arial"/>
        </w:rPr>
        <w:t>surrounded by four women also seated nearby, creating a composition that emphasizes both grandeur and intimacy among the figures.</w:t>
      </w:r>
    </w:p>
    <w:p w14:paraId="1DCCF816" w14:textId="77777777" w:rsidR="0050657D" w:rsidRDefault="0050657D">
      <w:pPr>
        <w:pStyle w:val="Body"/>
        <w:spacing w:after="0"/>
        <w:rPr>
          <w:rFonts w:ascii="Arial" w:hAnsi="Arial"/>
        </w:rPr>
      </w:pPr>
    </w:p>
    <w:p w14:paraId="5B562DA5" w14:textId="77777777" w:rsidR="0050657D" w:rsidRDefault="00561B99">
      <w:pPr>
        <w:pStyle w:val="Body"/>
        <w:spacing w:after="0"/>
        <w:rPr>
          <w:rFonts w:ascii="Arial" w:hAnsi="Arial"/>
        </w:rPr>
      </w:pPr>
      <w:r>
        <w:rPr>
          <w:rFonts w:ascii="Times New Roman Regular" w:hAnsi="Times New Roman Regular" w:cs="Times New Roman Regular"/>
          <w:noProof/>
        </w:rPr>
        <w:drawing>
          <wp:inline distT="0" distB="0" distL="114300" distR="114300" wp14:anchorId="51D27E79" wp14:editId="134ACE03">
            <wp:extent cx="5201920" cy="2041525"/>
            <wp:effectExtent l="0" t="0" r="508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01920" cy="2041525"/>
                    </a:xfrm>
                    <a:prstGeom prst="rect">
                      <a:avLst/>
                    </a:prstGeom>
                    <a:noFill/>
                    <a:ln>
                      <a:noFill/>
                    </a:ln>
                  </pic:spPr>
                </pic:pic>
              </a:graphicData>
            </a:graphic>
          </wp:inline>
        </w:drawing>
      </w:r>
    </w:p>
    <w:p w14:paraId="142201FD" w14:textId="77777777" w:rsidR="0050657D" w:rsidRDefault="00561B99">
      <w:pPr>
        <w:pStyle w:val="Body"/>
        <w:spacing w:after="0"/>
        <w:rPr>
          <w:rFonts w:ascii="Arial" w:eastAsia="Bookman Old Style" w:hAnsi="Arial" w:cs="Arial"/>
          <w:b/>
          <w:bCs/>
        </w:rPr>
      </w:pPr>
      <w:r>
        <w:rPr>
          <w:rFonts w:ascii="Arial" w:eastAsia="Bookman Old Style" w:hAnsi="Arial" w:cs="Arial"/>
          <w:b/>
          <w:bCs/>
        </w:rPr>
        <w:t xml:space="preserve">Fig. 3. Relief </w:t>
      </w:r>
      <w:proofErr w:type="spellStart"/>
      <w:r>
        <w:rPr>
          <w:rFonts w:ascii="Arial" w:eastAsia="Bookman Old Style" w:hAnsi="Arial" w:cs="Arial"/>
          <w:b/>
          <w:bCs/>
        </w:rPr>
        <w:t>Karmawibhangga</w:t>
      </w:r>
      <w:proofErr w:type="spellEnd"/>
      <w:r>
        <w:rPr>
          <w:rFonts w:ascii="Arial" w:eastAsia="Bookman Old Style" w:hAnsi="Arial" w:cs="Arial"/>
          <w:b/>
          <w:bCs/>
        </w:rPr>
        <w:t xml:space="preserve"> Panel Number 125 </w:t>
      </w:r>
      <w:r>
        <w:rPr>
          <w:rFonts w:ascii="Arial" w:eastAsia="Bookman Old Style" w:hAnsi="Arial" w:cs="Arial"/>
          <w:b/>
          <w:bCs/>
        </w:rPr>
        <w:fldChar w:fldCharType="begin"/>
      </w:r>
      <w:r>
        <w:rPr>
          <w:rFonts w:ascii="Arial" w:eastAsia="Bookman Old Style" w:hAnsi="Arial" w:cs="Arial"/>
          <w:b/>
          <w:bCs/>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rPr>
        <w:fldChar w:fldCharType="separate"/>
      </w:r>
      <w:r>
        <w:rPr>
          <w:rFonts w:ascii="Arial" w:eastAsia="Bookman Old Style" w:hAnsi="Arial" w:cs="Arial"/>
          <w:b/>
          <w:bCs/>
        </w:rPr>
        <w:t>(Santiko &amp; Nugrahani, 2012)</w:t>
      </w:r>
      <w:r>
        <w:rPr>
          <w:rFonts w:ascii="Arial" w:eastAsia="Bookman Old Style" w:hAnsi="Arial" w:cs="Arial"/>
          <w:b/>
          <w:bCs/>
        </w:rPr>
        <w:fldChar w:fldCharType="end"/>
      </w:r>
    </w:p>
    <w:p w14:paraId="77B301BA" w14:textId="77777777" w:rsidR="0050657D" w:rsidRDefault="00561B99">
      <w:pPr>
        <w:pStyle w:val="Body"/>
        <w:spacing w:after="0"/>
        <w:jc w:val="center"/>
        <w:rPr>
          <w:rFonts w:ascii="Times New Roman Regular" w:hAnsi="Times New Roman Regular" w:cs="Times New Roman Regular"/>
        </w:rPr>
      </w:pPr>
      <w:r>
        <w:rPr>
          <w:rFonts w:ascii="Times New Roman Regular" w:hAnsi="Times New Roman Regular" w:cs="Times New Roman Regular"/>
          <w:noProof/>
        </w:rPr>
        <w:lastRenderedPageBreak/>
        <w:drawing>
          <wp:inline distT="0" distB="0" distL="114300" distR="114300" wp14:anchorId="37CE0BB4" wp14:editId="76A3BE39">
            <wp:extent cx="1343025" cy="2190750"/>
            <wp:effectExtent l="0" t="0" r="317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1343025" cy="2190750"/>
                    </a:xfrm>
                    <a:prstGeom prst="rect">
                      <a:avLst/>
                    </a:prstGeom>
                    <a:noFill/>
                    <a:ln>
                      <a:noFill/>
                    </a:ln>
                  </pic:spPr>
                </pic:pic>
              </a:graphicData>
            </a:graphic>
          </wp:inline>
        </w:drawing>
      </w:r>
    </w:p>
    <w:p w14:paraId="216F2590" w14:textId="77777777" w:rsidR="004F7B7B" w:rsidRDefault="00561B99" w:rsidP="004F7B7B">
      <w:pPr>
        <w:rPr>
          <w:rFonts w:ascii="Arial" w:eastAsia="Bookman Old Style" w:hAnsi="Arial" w:cs="Arial"/>
          <w:b/>
          <w:bCs/>
        </w:rPr>
      </w:pPr>
      <w:r>
        <w:rPr>
          <w:rFonts w:ascii="Arial" w:eastAsia="Bookman Old Style" w:hAnsi="Arial" w:cs="Arial"/>
          <w:b/>
          <w:bCs/>
        </w:rPr>
        <w:t xml:space="preserve">Fig. 4. Sketch of Lute Player from </w:t>
      </w:r>
      <w:proofErr w:type="spellStart"/>
      <w:r>
        <w:rPr>
          <w:rFonts w:ascii="Arial" w:eastAsia="Bookman Old Style" w:hAnsi="Arial" w:cs="Arial"/>
          <w:b/>
          <w:bCs/>
        </w:rPr>
        <w:t>Karmawibhangga</w:t>
      </w:r>
      <w:proofErr w:type="spellEnd"/>
      <w:r>
        <w:rPr>
          <w:rFonts w:ascii="Arial" w:eastAsia="Bookman Old Style" w:hAnsi="Arial" w:cs="Arial"/>
          <w:b/>
          <w:bCs/>
        </w:rPr>
        <w:t xml:space="preserve"> Relief Panel Number 125</w:t>
      </w:r>
      <w:r w:rsidR="004F7B7B">
        <w:rPr>
          <w:rFonts w:ascii="Arial" w:eastAsia="Bookman Old Style" w:hAnsi="Arial" w:cs="Arial"/>
          <w:b/>
          <w:bCs/>
        </w:rPr>
        <w:t xml:space="preserve"> </w:t>
      </w:r>
    </w:p>
    <w:p w14:paraId="39907A09" w14:textId="7A6F7883" w:rsidR="004F7B7B" w:rsidRDefault="004F7B7B" w:rsidP="004F7B7B">
      <w:r>
        <w:rPr>
          <w:rFonts w:ascii="Arial" w:eastAsia="Bookman Old Style" w:hAnsi="Arial" w:cs="Arial"/>
          <w:b/>
          <w:bCs/>
        </w:rPr>
        <w:t>(Sketch by the author)</w:t>
      </w:r>
    </w:p>
    <w:p w14:paraId="29562CF7" w14:textId="76A689E7" w:rsidR="0050657D" w:rsidRDefault="0050657D">
      <w:pPr>
        <w:pStyle w:val="Body"/>
        <w:spacing w:after="0"/>
        <w:jc w:val="left"/>
        <w:rPr>
          <w:rFonts w:ascii="Arial" w:eastAsia="Bookman Old Style" w:hAnsi="Arial" w:cs="Arial"/>
          <w:b/>
          <w:bCs/>
        </w:rPr>
      </w:pPr>
    </w:p>
    <w:p w14:paraId="6A07C4E3" w14:textId="77777777" w:rsidR="0050657D" w:rsidRDefault="0050657D">
      <w:pPr>
        <w:pStyle w:val="Body"/>
        <w:spacing w:after="0"/>
        <w:jc w:val="left"/>
        <w:rPr>
          <w:rFonts w:ascii="Arial" w:eastAsia="Bookman Old Style" w:hAnsi="Arial" w:cs="Arial"/>
          <w:b/>
          <w:bCs/>
        </w:rPr>
      </w:pPr>
    </w:p>
    <w:p w14:paraId="275E137D" w14:textId="0FF187D0" w:rsidR="0050657D" w:rsidRDefault="00561B99">
      <w:pPr>
        <w:pStyle w:val="Body"/>
        <w:spacing w:after="0"/>
        <w:rPr>
          <w:rFonts w:ascii="Arial" w:eastAsia="Bookman Old Style" w:hAnsi="Arial"/>
        </w:rPr>
      </w:pPr>
      <w:r>
        <w:rPr>
          <w:rFonts w:ascii="Arial" w:eastAsia="Bookman Old Style" w:hAnsi="Arial"/>
        </w:rPr>
        <w:t xml:space="preserve">To the right of the central group, three additional seated figures are depicted. Two of them are engaged in playing musical instruments, while the third, who holds no instrument, is presumably functioning as a vocalist or vocal accompanist within the ensemble. One musician is seen playing a three-stringed plucked lute characterized by a slender body and an elongated neck. On the left side of this arrangement, another individual is depicted performing on a </w:t>
      </w:r>
      <w:proofErr w:type="spellStart"/>
      <w:r>
        <w:rPr>
          <w:rFonts w:ascii="Arial" w:eastAsia="Bookman Old Style" w:hAnsi="Arial"/>
        </w:rPr>
        <w:t>barzither</w:t>
      </w:r>
      <w:proofErr w:type="spellEnd"/>
      <w:r>
        <w:rPr>
          <w:rFonts w:ascii="Arial" w:eastAsia="Bookman Old Style" w:hAnsi="Arial"/>
        </w:rPr>
        <w:t>, a type of chordophone commonly employed for melodic purposes in ancient musical ensembles.</w:t>
      </w:r>
      <w:r w:rsidR="008667FB">
        <w:rPr>
          <w:rFonts w:ascii="Arial" w:eastAsia="Bookman Old Style" w:hAnsi="Arial"/>
        </w:rPr>
        <w:t xml:space="preserve"> </w:t>
      </w:r>
      <w:r>
        <w:rPr>
          <w:rFonts w:ascii="Arial" w:eastAsia="Bookman Old Style" w:hAnsi="Arial"/>
        </w:rPr>
        <w:t xml:space="preserve">The musical performance illustrated in this relief likely served functions of entertainment or ritual offering, imbued with symbolic significance. Notably, the panel includes two short inscriptions: the first, </w:t>
      </w:r>
      <w:proofErr w:type="spellStart"/>
      <w:r>
        <w:rPr>
          <w:rFonts w:ascii="Arial" w:eastAsia="Bookman Old Style" w:hAnsi="Arial"/>
        </w:rPr>
        <w:t>susvara</w:t>
      </w:r>
      <w:proofErr w:type="spellEnd"/>
      <w:r>
        <w:rPr>
          <w:rFonts w:ascii="Arial" w:eastAsia="Bookman Old Style" w:hAnsi="Arial"/>
        </w:rPr>
        <w:t xml:space="preserve">, translates as “beautiful sound,” </w:t>
      </w:r>
      <w:r w:rsidR="008667FB">
        <w:rPr>
          <w:rFonts w:ascii="Arial" w:eastAsia="Bookman Old Style" w:hAnsi="Arial"/>
        </w:rPr>
        <w:t>and</w:t>
      </w:r>
      <w:r>
        <w:rPr>
          <w:rFonts w:ascii="Arial" w:eastAsia="Bookman Old Style" w:hAnsi="Arial"/>
        </w:rPr>
        <w:t xml:space="preserve"> the second, </w:t>
      </w:r>
      <w:proofErr w:type="spellStart"/>
      <w:r>
        <w:rPr>
          <w:rFonts w:ascii="Arial" w:eastAsia="Bookman Old Style" w:hAnsi="Arial"/>
        </w:rPr>
        <w:t>Mahojaskasamavadhana</w:t>
      </w:r>
      <w:proofErr w:type="spellEnd"/>
      <w:r>
        <w:rPr>
          <w:rFonts w:ascii="Arial" w:eastAsia="Bookman Old Style" w:hAnsi="Arial"/>
        </w:rPr>
        <w:t>, can be interpreted as “a group of exalted individuals” or “a class of noble authority”</w:t>
      </w:r>
      <w:r w:rsidR="008667FB">
        <w:rPr>
          <w:rFonts w:ascii="Arial" w:eastAsia="Bookman Old Style" w:hAnsi="Arial"/>
        </w:rPr>
        <w:t>.</w:t>
      </w:r>
    </w:p>
    <w:p w14:paraId="5F1E7B0C" w14:textId="77777777" w:rsidR="0050657D" w:rsidRDefault="0050657D">
      <w:pPr>
        <w:pStyle w:val="Body"/>
        <w:spacing w:after="0"/>
        <w:rPr>
          <w:rFonts w:ascii="Arial" w:eastAsia="Bookman Old Style" w:hAnsi="Arial"/>
        </w:rPr>
      </w:pPr>
    </w:p>
    <w:p w14:paraId="2F6376FE" w14:textId="77777777" w:rsidR="0050657D" w:rsidRDefault="00561B99">
      <w:pPr>
        <w:pStyle w:val="Body"/>
        <w:spacing w:after="0"/>
        <w:rPr>
          <w:rFonts w:ascii="Arial" w:eastAsia="Bookman Old Style" w:hAnsi="Arial"/>
        </w:rPr>
      </w:pPr>
      <w:r>
        <w:rPr>
          <w:rFonts w:ascii="Arial" w:eastAsia="Bookman Old Style" w:hAnsi="Arial"/>
        </w:rPr>
        <w:t xml:space="preserve">The following section presents a triadic semiotic analysis of </w:t>
      </w:r>
      <w:proofErr w:type="spellStart"/>
      <w:r>
        <w:rPr>
          <w:rFonts w:ascii="Arial" w:eastAsia="Bookman Old Style" w:hAnsi="Arial"/>
        </w:rPr>
        <w:t>Karmawibhangga</w:t>
      </w:r>
      <w:proofErr w:type="spellEnd"/>
      <w:r>
        <w:rPr>
          <w:rFonts w:ascii="Arial" w:eastAsia="Bookman Old Style" w:hAnsi="Arial"/>
        </w:rPr>
        <w:t xml:space="preserve"> relief panel number 125.</w:t>
      </w:r>
    </w:p>
    <w:p w14:paraId="15D8BCE0" w14:textId="77777777" w:rsidR="0050657D" w:rsidRDefault="0050657D">
      <w:pPr>
        <w:pStyle w:val="Body"/>
        <w:spacing w:after="0"/>
        <w:rPr>
          <w:rFonts w:ascii="Arial" w:eastAsia="Bookman Old Style" w:hAnsi="Arial"/>
        </w:rPr>
      </w:pPr>
    </w:p>
    <w:p w14:paraId="36D2A59B" w14:textId="77777777" w:rsidR="0050657D" w:rsidRDefault="00561B99">
      <w:pPr>
        <w:pStyle w:val="Body"/>
        <w:spacing w:after="0"/>
        <w:rPr>
          <w:rFonts w:ascii="Arial" w:eastAsia="Bookman Old Style" w:hAnsi="Arial" w:cs="Arial"/>
          <w:b/>
          <w:bCs/>
        </w:rPr>
      </w:pPr>
      <w:r>
        <w:rPr>
          <w:rFonts w:ascii="Arial Bold" w:eastAsia="Bookman Old Style" w:hAnsi="Arial Bold" w:cs="Arial Bold"/>
          <w:b/>
          <w:bCs/>
        </w:rPr>
        <w:t xml:space="preserve">Table 2. Triadic Semiotic Analysis of </w:t>
      </w:r>
      <w:proofErr w:type="spellStart"/>
      <w:r>
        <w:rPr>
          <w:rFonts w:ascii="Arial Bold" w:eastAsia="Bookman Old Style" w:hAnsi="Arial Bold" w:cs="Arial Bold"/>
          <w:b/>
          <w:bCs/>
        </w:rPr>
        <w:t>Karmawibhangga</w:t>
      </w:r>
      <w:proofErr w:type="spellEnd"/>
      <w:r>
        <w:rPr>
          <w:rFonts w:ascii="Arial Bold" w:eastAsia="Bookman Old Style" w:hAnsi="Arial Bold" w:cs="Arial Bold"/>
          <w:b/>
          <w:bCs/>
        </w:rPr>
        <w:t xml:space="preserve"> Relief No. 125</w:t>
      </w:r>
    </w:p>
    <w:tbl>
      <w:tblPr>
        <w:tblStyle w:val="TableGrid"/>
        <w:tblpPr w:leftFromText="180" w:rightFromText="180" w:vertAnchor="text" w:horzAnchor="page" w:tblpX="2012" w:tblpY="2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8"/>
        <w:gridCol w:w="2455"/>
        <w:gridCol w:w="2989"/>
      </w:tblGrid>
      <w:tr w:rsidR="0050657D" w14:paraId="65816BC7"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4A28090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7CEFCDC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16B52807"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Object</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3ECD4FF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7593B11A"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3110A23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662BC130" w14:textId="101F8DF9"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figures seated cross-legged in the lower right playing plucked string instruments</w:t>
            </w:r>
            <w:r w:rsidR="00E73630">
              <w:rPr>
                <w:rFonts w:ascii="Arial Regular" w:eastAsia="SimSun" w:hAnsi="Arial Regular" w:cs="Arial Regular"/>
                <w:sz w:val="20"/>
                <w:szCs w:val="20"/>
                <w:lang w:eastAsia="zh-CN" w:bidi="ar"/>
              </w:rPr>
              <w:br/>
            </w:r>
            <w:r w:rsidR="00E73630">
              <w:rPr>
                <w:rFonts w:ascii="Arial Regular" w:hAnsi="Arial Regular" w:cs="Arial Regular"/>
                <w:sz w:val="20"/>
                <w:szCs w:val="20"/>
              </w:rPr>
              <w:fldChar w:fldCharType="begin"/>
            </w:r>
            <w:r w:rsidR="00E73630">
              <w:rPr>
                <w:rFonts w:ascii="Arial Regular" w:hAnsi="Arial Regular" w:cs="Arial Regular"/>
                <w:sz w:val="20"/>
                <w:szCs w:val="20"/>
              </w:rPr>
              <w:instrText xml:space="preserve"> ADDIN EN.CITE &lt;EndNote&gt;&lt;Cite&gt;&lt;Author&gt;Kunst&lt;/Author&gt;&lt;Year&gt;2013&lt;/Year&gt;&lt;RecNum&gt;4&lt;/RecNum&gt;&lt;DisplayText&gt;(Kunst, 2013)&lt;/DisplayText&gt;&lt;record&gt;&lt;rec-number&gt;4&lt;/rec-number&gt;&lt;foreign-keys&gt;&lt;key app="EN" db-id="zart20f039v9zkes00rxefe3zd0rwve99w2x" timestamp="1747817313"&gt;4&lt;/key&gt;&lt;/foreign-keys&gt;&lt;ref-type name="Book"&gt;6&lt;/ref-type&gt;&lt;contributors&gt;&lt;authors&gt;&lt;author&gt;Kunst, Jaap&lt;/author&gt;&lt;/authors&gt;&lt;/contributors&gt;&lt;titles&gt;&lt;title&gt;Music in Java: Its history, its theory and its technique&lt;/title&gt;&lt;/titles&gt;&lt;dates&gt;&lt;year&gt;2013&lt;/year&gt;&lt;/dates&gt;&lt;publisher&gt;Springer&lt;/publisher&gt;&lt;isbn&gt;9401771308&lt;/isbn&gt;&lt;urls&gt;&lt;/urls&gt;&lt;/record&gt;&lt;/Cite&gt;&lt;/EndNote&gt;</w:instrText>
            </w:r>
            <w:r w:rsidR="00E73630">
              <w:rPr>
                <w:rFonts w:ascii="Arial Regular" w:hAnsi="Arial Regular" w:cs="Arial Regular"/>
                <w:sz w:val="20"/>
                <w:szCs w:val="20"/>
              </w:rPr>
              <w:fldChar w:fldCharType="separate"/>
            </w:r>
            <w:r w:rsidR="00E73630">
              <w:rPr>
                <w:rFonts w:ascii="Arial Regular" w:hAnsi="Arial Regular" w:cs="Arial Regular"/>
                <w:noProof/>
                <w:sz w:val="20"/>
                <w:szCs w:val="20"/>
              </w:rPr>
              <w:t>(Kunst, 2013)</w:t>
            </w:r>
            <w:r w:rsidR="00E73630">
              <w:rPr>
                <w:rFonts w:ascii="Arial Regular" w:hAnsi="Arial Regular" w:cs="Arial Regular"/>
                <w:sz w:val="20"/>
                <w:szCs w:val="20"/>
              </w:rPr>
              <w:fldChar w:fldCharType="end"/>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379F4AE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Musicians and their instruments: lute and bar-zither</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750901B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 as a vital element in ritual or spiritual communication; symbolizes harmony and accompaniment in religious contexts</w:t>
            </w:r>
          </w:p>
        </w:tc>
      </w:tr>
      <w:tr w:rsidR="0050657D" w14:paraId="0A239E47"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3DFE3ABE"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2</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5D204E15" w14:textId="7B7BA905"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Simpler clothing worn by individuals in the lower section</w:t>
            </w:r>
            <w:r w:rsidR="00E73630">
              <w:rPr>
                <w:rFonts w:ascii="Arial Regular" w:eastAsia="SimSun" w:hAnsi="Arial Regular" w:cs="Arial Regular"/>
                <w:sz w:val="20"/>
                <w:szCs w:val="20"/>
                <w:lang w:eastAsia="zh-CN" w:bidi="ar"/>
              </w:rPr>
              <w:t xml:space="preserve"> </w:t>
            </w:r>
            <w:r w:rsidR="00E73630">
              <w:rPr>
                <w:rFonts w:ascii="Arial Regular" w:eastAsia="SimSun" w:hAnsi="Arial Regular" w:cs="Arial Regular"/>
                <w:sz w:val="20"/>
                <w:szCs w:val="20"/>
                <w:lang w:eastAsia="zh-CN" w:bidi="ar"/>
              </w:rPr>
              <w:fldChar w:fldCharType="begin"/>
            </w:r>
            <w:r w:rsidR="00E73630">
              <w:rPr>
                <w:rFonts w:ascii="Arial Regular" w:eastAsia="SimSun" w:hAnsi="Arial Regular" w:cs="Arial Regular"/>
                <w:sz w:val="20"/>
                <w:szCs w:val="20"/>
                <w:lang w:eastAsia="zh-CN" w:bidi="ar"/>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sidR="00E73630">
              <w:rPr>
                <w:rFonts w:ascii="Arial Regular" w:eastAsia="SimSun" w:hAnsi="Arial Regular" w:cs="Arial Regular"/>
                <w:sz w:val="20"/>
                <w:szCs w:val="20"/>
                <w:lang w:eastAsia="zh-CN" w:bidi="ar"/>
              </w:rPr>
              <w:fldChar w:fldCharType="separate"/>
            </w:r>
            <w:r w:rsidR="00E73630">
              <w:rPr>
                <w:rFonts w:ascii="Arial Regular" w:eastAsia="SimSun" w:hAnsi="Arial Regular" w:cs="Arial Regular"/>
                <w:noProof/>
                <w:sz w:val="20"/>
                <w:szCs w:val="20"/>
                <w:lang w:eastAsia="zh-CN" w:bidi="ar"/>
              </w:rPr>
              <w:t>(Santiko &amp; Nugrahani, 2012)</w:t>
            </w:r>
            <w:r w:rsidR="00E73630">
              <w:rPr>
                <w:rFonts w:ascii="Arial Regular" w:eastAsia="SimSun" w:hAnsi="Arial Regular" w:cs="Arial Regular"/>
                <w:sz w:val="20"/>
                <w:szCs w:val="20"/>
                <w:lang w:eastAsia="zh-CN" w:bidi="ar"/>
              </w:rPr>
              <w:fldChar w:fldCharType="end"/>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3B606B4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Common people</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7D0028A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Denotes social distinction between elites and the general populace</w:t>
            </w:r>
          </w:p>
        </w:tc>
      </w:tr>
      <w:tr w:rsidR="0050657D" w14:paraId="3A08C8E0"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137BD1F4"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3</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10322E0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figure carrying a large round container with a lid</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701D42D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Bearer of offerings or food</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2D9B4DEA"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symbol of service or reverence toward the central figure</w:t>
            </w:r>
          </w:p>
        </w:tc>
      </w:tr>
      <w:tr w:rsidR="0050657D" w14:paraId="33E09479"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7E0EFC0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4</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1FE8BE9E"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A group of women seated beside the central figure, </w:t>
            </w:r>
            <w:r>
              <w:rPr>
                <w:rFonts w:ascii="Arial Regular" w:eastAsia="SimSun" w:hAnsi="Arial Regular" w:cs="Arial Regular"/>
                <w:sz w:val="20"/>
                <w:szCs w:val="20"/>
                <w:lang w:eastAsia="zh-CN" w:bidi="ar"/>
              </w:rPr>
              <w:lastRenderedPageBreak/>
              <w:t>adorned with headdresses and jewelry</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3EE56DE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lastRenderedPageBreak/>
              <w:t>Disciples, followers, or community members</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02B6A4E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Indicates hierarchical social structure; their interaction </w:t>
            </w:r>
            <w:r>
              <w:rPr>
                <w:rFonts w:ascii="Arial Regular" w:eastAsia="SimSun" w:hAnsi="Arial Regular" w:cs="Arial Regular"/>
                <w:sz w:val="20"/>
                <w:szCs w:val="20"/>
                <w:lang w:eastAsia="zh-CN" w:bidi="ar"/>
              </w:rPr>
              <w:lastRenderedPageBreak/>
              <w:t>reflects respect or submission to the central figure</w:t>
            </w:r>
          </w:p>
        </w:tc>
      </w:tr>
      <w:tr w:rsidR="0050657D" w14:paraId="21C67658"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49ACB10A"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lastRenderedPageBreak/>
              <w:t>5</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0110974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central and left-positioned figures with the right leg folded upward and the left leg folded sideways</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7487BBE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Central figure, father, husband, king, or leader</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163F9F1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Represents the highest authority</w:t>
            </w:r>
          </w:p>
        </w:tc>
      </w:tr>
      <w:tr w:rsidR="0050657D" w14:paraId="68E49527"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55B6CAA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6089942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Boxes, containers, and bowls in the lower section</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190679F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Ritual implements or storage for sacred objects</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28809BC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Signifies a ritualistic or spiritual context; denotes acts of offering or spiritual instruction</w:t>
            </w:r>
          </w:p>
        </w:tc>
      </w:tr>
      <w:tr w:rsidR="0050657D" w14:paraId="0D37CED2"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243AE90A"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030ADF6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central figure seated on a long bench, body turned sideways, hand pointing toward the musical performance</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53284F4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Leader, priest, or spiritual authority</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4C77064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Embodies authority, center of knowledge, and symbol of wisdom; seated posture emphasizes central status in a scene concerning the appreciation of beautiful music</w:t>
            </w:r>
          </w:p>
        </w:tc>
      </w:tr>
      <w:tr w:rsidR="0050657D" w14:paraId="11C59CB4"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310614A6"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8</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5152ED4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Roofed and columned architectural structure above the central figure</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7565E03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Sacred space or hall for a significant individual</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6057578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Highlights the setting as a distinguished and sacred space</w:t>
            </w:r>
          </w:p>
        </w:tc>
      </w:tr>
      <w:tr w:rsidR="0050657D" w14:paraId="05E2D930"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651963E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9</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1A199B5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Cross-legged seated posture and folded hands on several figures</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6368071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Gesture of respect, listening, or submission</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28E575B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Reflects proper conduct in the socio-religious system of ancient Javanese society</w:t>
            </w:r>
          </w:p>
        </w:tc>
      </w:tr>
      <w:tr w:rsidR="0050657D" w14:paraId="1582F2F6"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6AB2ADC6"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63C16CA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Absence of flora or natural landscape</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0E71455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Indoor spatial focus</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2A7CEC53"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Emphasizes a formal, ceremonial, or spiritual interior setting rather than an outdoor or natural one</w:t>
            </w:r>
          </w:p>
        </w:tc>
      </w:tr>
      <w:tr w:rsidR="0050657D" w14:paraId="3B3CA6EB"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5BAF93C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11</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79C5B712"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Calm and non-caricatured facial expressions</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310D360F"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Buddhist self-restraint</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62DFB55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Represents Buddhist values such as patience and compassion</w:t>
            </w:r>
          </w:p>
        </w:tc>
      </w:tr>
      <w:tr w:rsidR="0050657D" w14:paraId="49EE8A75"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20DC56D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12</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3FFB7AC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Absence of decorative flora or fauna</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2DA1D885"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Narrative focus on human action</w:t>
            </w:r>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34FC30F2"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Suggests that the relief emphasizes ethical-social relationships over cosmological themes</w:t>
            </w:r>
          </w:p>
        </w:tc>
      </w:tr>
      <w:tr w:rsidR="0050657D" w14:paraId="67E96CDF"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5F427C7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13</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0E7DABAE" w14:textId="77777777" w:rsidR="0050657D" w:rsidRDefault="00561B99" w:rsidP="009D7982">
            <w:pPr>
              <w:rPr>
                <w:rFonts w:ascii="Arial Regular" w:eastAsia="SimSun" w:hAnsi="Arial Regular" w:cs="Arial Regular"/>
                <w:sz w:val="20"/>
                <w:szCs w:val="20"/>
                <w:lang w:eastAsia="zh-CN" w:bidi="ar"/>
              </w:rPr>
            </w:pPr>
            <w:r>
              <w:rPr>
                <w:rFonts w:ascii="Arial Regular" w:eastAsia="SimSun" w:hAnsi="Arial Regular" w:cs="Arial Regular"/>
                <w:sz w:val="20"/>
                <w:szCs w:val="20"/>
                <w:lang w:eastAsia="zh-CN" w:bidi="ar"/>
              </w:rPr>
              <w:t>Inscription above the central part of the panel</w:t>
            </w:r>
          </w:p>
          <w:p w14:paraId="14AE2339" w14:textId="7F2FAD57" w:rsidR="00E73630" w:rsidRDefault="00E73630" w:rsidP="009D7982">
            <w:pPr>
              <w:rPr>
                <w:rFonts w:ascii="Arial Regular" w:hAnsi="Arial Regular" w:cs="Arial Regular"/>
                <w:kern w:val="2"/>
                <w:sz w:val="20"/>
                <w:szCs w:val="20"/>
              </w:rPr>
            </w:pPr>
            <w:r w:rsidRPr="00E73630">
              <w:rPr>
                <w:rFonts w:ascii="Arial Regular" w:hAnsi="Arial Regular" w:cs="Arial Regular"/>
                <w:sz w:val="20"/>
                <w:szCs w:val="20"/>
                <w:lang w:eastAsia="zh-CN" w:bidi="ar"/>
              </w:rPr>
              <w:t>(</w:t>
            </w:r>
            <w:proofErr w:type="spellStart"/>
            <w:r w:rsidRPr="00E73630">
              <w:rPr>
                <w:rFonts w:ascii="Arial" w:hAnsi="Arial" w:cs="Arial"/>
                <w:sz w:val="20"/>
                <w:szCs w:val="20"/>
              </w:rPr>
              <w:t>Ānandajoti</w:t>
            </w:r>
            <w:proofErr w:type="spellEnd"/>
            <w:r w:rsidRPr="00E73630">
              <w:rPr>
                <w:rFonts w:ascii="Arial" w:hAnsi="Arial" w:cs="Arial"/>
                <w:sz w:val="20"/>
                <w:szCs w:val="20"/>
              </w:rPr>
              <w:t>, 2023)</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7789FF72" w14:textId="77777777" w:rsidR="0050657D" w:rsidRDefault="00561B99" w:rsidP="009D7982">
            <w:pPr>
              <w:rPr>
                <w:rFonts w:ascii="Arial Regular" w:hAnsi="Arial Regular" w:cs="Arial Regular"/>
                <w:kern w:val="2"/>
                <w:sz w:val="20"/>
                <w:szCs w:val="20"/>
              </w:rPr>
            </w:pPr>
            <w:proofErr w:type="spellStart"/>
            <w:r>
              <w:rPr>
                <w:rStyle w:val="Emphasis"/>
                <w:rFonts w:ascii="Arial Regular" w:eastAsia="SimSun" w:hAnsi="Arial Regular" w:cs="Arial Regular"/>
                <w:sz w:val="20"/>
                <w:szCs w:val="20"/>
                <w:lang w:eastAsia="zh-CN" w:bidi="ar"/>
              </w:rPr>
              <w:t>susvara</w:t>
            </w:r>
            <w:proofErr w:type="spellEnd"/>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0419AC08"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“Beautiful sound” referring to the quality of the music performed</w:t>
            </w:r>
          </w:p>
        </w:tc>
      </w:tr>
      <w:tr w:rsidR="00E73630" w14:paraId="6741662B" w14:textId="77777777" w:rsidTr="00E73630">
        <w:tc>
          <w:tcPr>
            <w:tcW w:w="472" w:type="dxa"/>
            <w:tcBorders>
              <w:top w:val="single" w:sz="4" w:space="0" w:color="auto"/>
              <w:left w:val="single" w:sz="4" w:space="0" w:color="auto"/>
              <w:bottom w:val="single" w:sz="4" w:space="0" w:color="auto"/>
              <w:right w:val="single" w:sz="4" w:space="0" w:color="auto"/>
            </w:tcBorders>
            <w:shd w:val="clear" w:color="auto" w:fill="auto"/>
          </w:tcPr>
          <w:p w14:paraId="48FAF97F" w14:textId="6E5D8345" w:rsidR="00E73630" w:rsidRPr="003D6977" w:rsidRDefault="003D6977" w:rsidP="009D7982">
            <w:pPr>
              <w:spacing w:line="360" w:lineRule="auto"/>
              <w:rPr>
                <w:rFonts w:ascii="Arial Regular" w:hAnsi="Arial Regular" w:cs="Arial Regular"/>
                <w:color w:val="000000" w:themeColor="text1"/>
                <w:sz w:val="20"/>
                <w:szCs w:val="20"/>
              </w:rPr>
            </w:pPr>
            <w:r w:rsidRPr="003D6977">
              <w:rPr>
                <w:rFonts w:ascii="Arial Regular" w:hAnsi="Arial Regular" w:cs="Arial Regular"/>
                <w:color w:val="000000" w:themeColor="text1"/>
                <w:sz w:val="20"/>
                <w:szCs w:val="20"/>
              </w:rPr>
              <w:t>14</w:t>
            </w: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07EF531B" w14:textId="561852D7" w:rsidR="003D6977" w:rsidRPr="003D6977" w:rsidRDefault="003D6977" w:rsidP="003D6977">
            <w:pPr>
              <w:rPr>
                <w:rFonts w:ascii="Arial Regular" w:eastAsia="SimSun" w:hAnsi="Arial Regular" w:cs="Arial Regular"/>
                <w:color w:val="000000" w:themeColor="text1"/>
                <w:sz w:val="20"/>
                <w:szCs w:val="20"/>
                <w:lang w:eastAsia="zh-CN" w:bidi="ar"/>
              </w:rPr>
            </w:pPr>
            <w:r w:rsidRPr="003D6977">
              <w:rPr>
                <w:rFonts w:ascii="Arial Regular" w:eastAsia="SimSun" w:hAnsi="Arial Regular" w:cs="Arial Regular"/>
                <w:color w:val="000000" w:themeColor="text1"/>
                <w:sz w:val="20"/>
                <w:szCs w:val="20"/>
                <w:lang w:eastAsia="zh-CN" w:bidi="ar"/>
              </w:rPr>
              <w:t xml:space="preserve">Inscription above the </w:t>
            </w:r>
            <w:r w:rsidRPr="003D6977">
              <w:rPr>
                <w:rFonts w:ascii="Arial Regular" w:eastAsia="SimSun" w:hAnsi="Arial Regular" w:cs="Arial Regular"/>
                <w:color w:val="000000" w:themeColor="text1"/>
                <w:sz w:val="20"/>
                <w:szCs w:val="20"/>
                <w:lang w:eastAsia="zh-CN" w:bidi="ar"/>
              </w:rPr>
              <w:t>left</w:t>
            </w:r>
            <w:r w:rsidRPr="003D6977">
              <w:rPr>
                <w:rFonts w:ascii="Arial Regular" w:eastAsia="SimSun" w:hAnsi="Arial Regular" w:cs="Arial Regular"/>
                <w:color w:val="000000" w:themeColor="text1"/>
                <w:sz w:val="20"/>
                <w:szCs w:val="20"/>
                <w:lang w:eastAsia="zh-CN" w:bidi="ar"/>
              </w:rPr>
              <w:t xml:space="preserve"> part of the panel</w:t>
            </w:r>
          </w:p>
          <w:p w14:paraId="5F4253E7" w14:textId="0353F5A6" w:rsidR="00E73630" w:rsidRPr="003D6977" w:rsidRDefault="003D6977" w:rsidP="003D6977">
            <w:pPr>
              <w:rPr>
                <w:rFonts w:ascii="Arial Regular" w:eastAsia="SimSun" w:hAnsi="Arial Regular" w:cs="Arial Regular"/>
                <w:color w:val="000000" w:themeColor="text1"/>
                <w:sz w:val="20"/>
                <w:szCs w:val="20"/>
                <w:lang w:eastAsia="zh-CN" w:bidi="ar"/>
              </w:rPr>
            </w:pPr>
            <w:r w:rsidRPr="003D6977">
              <w:rPr>
                <w:rFonts w:ascii="Arial Regular" w:hAnsi="Arial Regular" w:cs="Arial Regular"/>
                <w:color w:val="000000" w:themeColor="text1"/>
                <w:sz w:val="20"/>
                <w:szCs w:val="20"/>
                <w:lang w:eastAsia="zh-CN" w:bidi="ar"/>
              </w:rPr>
              <w:t>(</w:t>
            </w:r>
            <w:proofErr w:type="spellStart"/>
            <w:r w:rsidRPr="003D6977">
              <w:rPr>
                <w:rFonts w:ascii="Arial" w:hAnsi="Arial" w:cs="Arial"/>
                <w:color w:val="000000" w:themeColor="text1"/>
                <w:sz w:val="20"/>
                <w:szCs w:val="20"/>
              </w:rPr>
              <w:t>Ānandajoti</w:t>
            </w:r>
            <w:proofErr w:type="spellEnd"/>
            <w:r w:rsidRPr="003D6977">
              <w:rPr>
                <w:rFonts w:ascii="Arial" w:hAnsi="Arial" w:cs="Arial"/>
                <w:color w:val="000000" w:themeColor="text1"/>
                <w:sz w:val="20"/>
                <w:szCs w:val="20"/>
              </w:rPr>
              <w:t>, 2023)</w:t>
            </w:r>
          </w:p>
        </w:tc>
        <w:tc>
          <w:tcPr>
            <w:tcW w:w="2455" w:type="dxa"/>
            <w:tcBorders>
              <w:top w:val="single" w:sz="4" w:space="0" w:color="auto"/>
              <w:left w:val="single" w:sz="4" w:space="0" w:color="auto"/>
              <w:bottom w:val="single" w:sz="4" w:space="0" w:color="auto"/>
              <w:right w:val="single" w:sz="4" w:space="0" w:color="auto"/>
            </w:tcBorders>
            <w:shd w:val="clear" w:color="auto" w:fill="auto"/>
          </w:tcPr>
          <w:p w14:paraId="0E99ABCC" w14:textId="396D7732" w:rsidR="00E73630" w:rsidRPr="003D6977" w:rsidRDefault="003D6977" w:rsidP="009D7982">
            <w:pPr>
              <w:rPr>
                <w:rStyle w:val="Emphasis"/>
                <w:rFonts w:ascii="Arial Regular" w:eastAsia="SimSun" w:hAnsi="Arial Regular" w:cs="Arial Regular"/>
                <w:color w:val="000000" w:themeColor="text1"/>
                <w:sz w:val="20"/>
                <w:szCs w:val="20"/>
                <w:lang w:eastAsia="zh-CN" w:bidi="ar"/>
              </w:rPr>
            </w:pPr>
            <w:proofErr w:type="spellStart"/>
            <w:r w:rsidRPr="003D6977">
              <w:rPr>
                <w:rStyle w:val="Emphasis"/>
                <w:rFonts w:ascii="Arial Regular" w:eastAsia="SimSun" w:hAnsi="Arial Regular" w:cs="Arial Regular"/>
                <w:color w:val="000000" w:themeColor="text1"/>
                <w:sz w:val="20"/>
                <w:szCs w:val="20"/>
                <w:lang w:eastAsia="zh-CN" w:bidi="ar"/>
              </w:rPr>
              <w:t>M</w:t>
            </w:r>
            <w:r w:rsidRPr="003D6977">
              <w:rPr>
                <w:rStyle w:val="Emphasis"/>
                <w:rFonts w:eastAsia="SimSun"/>
                <w:color w:val="000000" w:themeColor="text1"/>
                <w:sz w:val="20"/>
                <w:szCs w:val="20"/>
              </w:rPr>
              <w:t>ahāujaska-samavadhāna</w:t>
            </w:r>
            <w:proofErr w:type="spellEnd"/>
          </w:p>
        </w:tc>
        <w:tc>
          <w:tcPr>
            <w:tcW w:w="2989" w:type="dxa"/>
            <w:tcBorders>
              <w:top w:val="single" w:sz="4" w:space="0" w:color="auto"/>
              <w:left w:val="single" w:sz="4" w:space="0" w:color="auto"/>
              <w:bottom w:val="single" w:sz="4" w:space="0" w:color="auto"/>
              <w:right w:val="single" w:sz="4" w:space="0" w:color="auto"/>
            </w:tcBorders>
            <w:shd w:val="clear" w:color="auto" w:fill="auto"/>
          </w:tcPr>
          <w:p w14:paraId="0AEB853C" w14:textId="77777777" w:rsidR="003D6977" w:rsidRPr="003D6977" w:rsidRDefault="003D6977" w:rsidP="003D6977">
            <w:pPr>
              <w:rPr>
                <w:rFonts w:ascii="Times New Roman" w:hAnsi="Times New Roman"/>
                <w:color w:val="000000" w:themeColor="text1"/>
                <w:sz w:val="20"/>
                <w:szCs w:val="20"/>
              </w:rPr>
            </w:pPr>
            <w:r w:rsidRPr="003D6977">
              <w:rPr>
                <w:rFonts w:ascii="Gentium Basic" w:hAnsi="Gentium Basic"/>
                <w:color w:val="000000" w:themeColor="text1"/>
                <w:sz w:val="20"/>
                <w:szCs w:val="20"/>
              </w:rPr>
              <w:t>having the society of distinguished people,</w:t>
            </w:r>
          </w:p>
          <w:p w14:paraId="386073A6" w14:textId="77777777" w:rsidR="00E73630" w:rsidRPr="003D6977" w:rsidRDefault="00E73630" w:rsidP="009D7982">
            <w:pPr>
              <w:rPr>
                <w:rFonts w:ascii="Arial Regular" w:eastAsia="SimSun" w:hAnsi="Arial Regular" w:cs="Arial Regular"/>
                <w:color w:val="000000" w:themeColor="text1"/>
                <w:sz w:val="20"/>
                <w:szCs w:val="20"/>
                <w:lang w:eastAsia="zh-CN" w:bidi="ar"/>
              </w:rPr>
            </w:pPr>
          </w:p>
        </w:tc>
      </w:tr>
    </w:tbl>
    <w:p w14:paraId="0102892C" w14:textId="77777777" w:rsidR="0050657D" w:rsidRDefault="0050657D">
      <w:pPr>
        <w:pStyle w:val="Body"/>
        <w:spacing w:after="0"/>
        <w:rPr>
          <w:rFonts w:ascii="Arial" w:eastAsia="Bookman Old Style" w:hAnsi="Arial" w:cs="Arial"/>
          <w:b/>
          <w:bCs/>
        </w:rPr>
      </w:pPr>
    </w:p>
    <w:p w14:paraId="59550E83" w14:textId="643297CF" w:rsidR="0050657D" w:rsidRDefault="00561B99">
      <w:pPr>
        <w:pStyle w:val="Body"/>
        <w:spacing w:after="0"/>
        <w:rPr>
          <w:rFonts w:ascii="Arial" w:hAnsi="Arial" w:cs="Arial"/>
          <w:b/>
          <w:bCs/>
          <w:sz w:val="22"/>
          <w:szCs w:val="22"/>
        </w:rPr>
      </w:pPr>
      <w:r>
        <w:rPr>
          <w:rFonts w:ascii="Arial" w:hAnsi="Arial" w:cs="Arial"/>
          <w:b/>
          <w:bCs/>
          <w:sz w:val="22"/>
          <w:szCs w:val="22"/>
        </w:rPr>
        <w:t xml:space="preserve">3.3 Visual Identification of Lute Instruments in </w:t>
      </w:r>
      <w:proofErr w:type="spellStart"/>
      <w:r>
        <w:rPr>
          <w:rFonts w:ascii="Arial" w:hAnsi="Arial" w:cs="Arial"/>
          <w:b/>
          <w:bCs/>
          <w:sz w:val="22"/>
          <w:szCs w:val="22"/>
        </w:rPr>
        <w:t>Karmawibhangga</w:t>
      </w:r>
      <w:proofErr w:type="spellEnd"/>
      <w:r>
        <w:rPr>
          <w:rFonts w:ascii="Arial" w:hAnsi="Arial" w:cs="Arial"/>
          <w:b/>
          <w:bCs/>
          <w:sz w:val="22"/>
          <w:szCs w:val="22"/>
        </w:rPr>
        <w:t xml:space="preserve"> Relief Panel Number 1</w:t>
      </w:r>
      <w:r w:rsidR="0045702B">
        <w:rPr>
          <w:rFonts w:ascii="Arial" w:hAnsi="Arial" w:cs="Arial"/>
          <w:b/>
          <w:bCs/>
          <w:sz w:val="22"/>
          <w:szCs w:val="22"/>
        </w:rPr>
        <w:t>51</w:t>
      </w:r>
    </w:p>
    <w:p w14:paraId="2F1A93E7" w14:textId="77777777" w:rsidR="0050657D" w:rsidRDefault="0050657D">
      <w:pPr>
        <w:pStyle w:val="Body"/>
        <w:spacing w:after="0"/>
        <w:rPr>
          <w:rFonts w:ascii="Arial" w:hAnsi="Arial" w:cs="Arial"/>
          <w:b/>
          <w:bCs/>
          <w:sz w:val="22"/>
          <w:szCs w:val="22"/>
        </w:rPr>
      </w:pPr>
    </w:p>
    <w:p w14:paraId="29A8E1D5" w14:textId="1675DD25" w:rsidR="0050657D" w:rsidRDefault="00561B99">
      <w:pPr>
        <w:pStyle w:val="Body"/>
        <w:spacing w:after="0"/>
        <w:rPr>
          <w:rFonts w:ascii="Arial" w:hAnsi="Arial"/>
        </w:rPr>
      </w:pPr>
      <w:r>
        <w:rPr>
          <w:rFonts w:ascii="Arial" w:hAnsi="Arial"/>
        </w:rPr>
        <w:t>On panel O 151, the inscription svarga is carved, explicitly indicating that the scene depicted represents a heavenly realm. The central figure in the composition is a male character, most likely a deity or divine being, as suggested by his elevated status and central positioning. He is seated on a bench, accompanied by two women. One of the women is seen holding the male figure’s hand, possibly signifying an emotional bond or an act of devotion, while the other appears to be grooming her hair and holding a mirror.</w:t>
      </w:r>
    </w:p>
    <w:p w14:paraId="199FB8EE" w14:textId="77777777" w:rsidR="00A14203" w:rsidRDefault="00A14203">
      <w:pPr>
        <w:pStyle w:val="Body"/>
        <w:spacing w:after="0"/>
        <w:rPr>
          <w:rFonts w:ascii="Arial" w:hAnsi="Arial"/>
        </w:rPr>
      </w:pPr>
    </w:p>
    <w:p w14:paraId="4EEC64D8" w14:textId="77777777" w:rsidR="0050657D" w:rsidRDefault="00561B99">
      <w:pPr>
        <w:pStyle w:val="Body"/>
        <w:spacing w:after="0"/>
        <w:rPr>
          <w:rFonts w:ascii="Times New Roman Regular" w:hAnsi="Times New Roman Regular" w:cs="Times New Roman Regular"/>
        </w:rPr>
      </w:pPr>
      <w:r>
        <w:rPr>
          <w:rFonts w:ascii="Times New Roman Regular" w:hAnsi="Times New Roman Regular" w:cs="Times New Roman Regular"/>
          <w:noProof/>
        </w:rPr>
        <w:lastRenderedPageBreak/>
        <w:drawing>
          <wp:inline distT="0" distB="0" distL="114300" distR="114300" wp14:anchorId="02C575A4" wp14:editId="3B5B972F">
            <wp:extent cx="5228275" cy="2089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7"/>
                    <a:stretch>
                      <a:fillRect/>
                    </a:stretch>
                  </pic:blipFill>
                  <pic:spPr>
                    <a:xfrm>
                      <a:off x="0" y="0"/>
                      <a:ext cx="5262053" cy="2102606"/>
                    </a:xfrm>
                    <a:prstGeom prst="rect">
                      <a:avLst/>
                    </a:prstGeom>
                    <a:noFill/>
                    <a:ln>
                      <a:noFill/>
                    </a:ln>
                  </pic:spPr>
                </pic:pic>
              </a:graphicData>
            </a:graphic>
          </wp:inline>
        </w:drawing>
      </w:r>
    </w:p>
    <w:p w14:paraId="5DE5A2B6" w14:textId="77777777" w:rsidR="0050657D" w:rsidRDefault="00561B99">
      <w:pPr>
        <w:pStyle w:val="Body"/>
        <w:spacing w:after="0"/>
        <w:rPr>
          <w:rFonts w:ascii="Times New Roman Regular" w:hAnsi="Times New Roman Regular" w:cs="Times New Roman Regular"/>
        </w:rPr>
      </w:pPr>
      <w:r>
        <w:rPr>
          <w:rFonts w:ascii="Arial" w:eastAsia="Bookman Old Style" w:hAnsi="Arial" w:cs="Arial"/>
          <w:b/>
          <w:bCs/>
        </w:rPr>
        <w:t xml:space="preserve">Fig. 5. Relief </w:t>
      </w:r>
      <w:proofErr w:type="spellStart"/>
      <w:r>
        <w:rPr>
          <w:rFonts w:ascii="Arial" w:eastAsia="Bookman Old Style" w:hAnsi="Arial" w:cs="Arial"/>
          <w:b/>
          <w:bCs/>
        </w:rPr>
        <w:t>Karmawibhangga</w:t>
      </w:r>
      <w:proofErr w:type="spellEnd"/>
      <w:r>
        <w:rPr>
          <w:rFonts w:ascii="Arial" w:eastAsia="Bookman Old Style" w:hAnsi="Arial" w:cs="Arial"/>
          <w:b/>
          <w:bCs/>
        </w:rPr>
        <w:t xml:space="preserve"> Panel Number 151 </w:t>
      </w:r>
      <w:r>
        <w:rPr>
          <w:rFonts w:ascii="Arial" w:eastAsia="Bookman Old Style" w:hAnsi="Arial" w:cs="Arial"/>
          <w:b/>
          <w:bCs/>
        </w:rPr>
        <w:fldChar w:fldCharType="begin"/>
      </w:r>
      <w:r>
        <w:rPr>
          <w:rFonts w:ascii="Arial" w:eastAsia="Bookman Old Style" w:hAnsi="Arial" w:cs="Arial"/>
          <w:b/>
          <w:bCs/>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w:eastAsia="Bookman Old Style" w:hAnsi="Arial" w:cs="Arial"/>
          <w:b/>
          <w:bCs/>
        </w:rPr>
        <w:fldChar w:fldCharType="separate"/>
      </w:r>
      <w:r>
        <w:rPr>
          <w:rFonts w:ascii="Arial" w:eastAsia="Bookman Old Style" w:hAnsi="Arial" w:cs="Arial"/>
          <w:b/>
          <w:bCs/>
        </w:rPr>
        <w:t>(Santiko &amp; Nugrahani, 2012)</w:t>
      </w:r>
      <w:r>
        <w:rPr>
          <w:rFonts w:ascii="Arial" w:eastAsia="Bookman Old Style" w:hAnsi="Arial" w:cs="Arial"/>
          <w:b/>
          <w:bCs/>
        </w:rPr>
        <w:fldChar w:fldCharType="end"/>
      </w:r>
    </w:p>
    <w:p w14:paraId="4D9FFDB4" w14:textId="77777777" w:rsidR="0050657D" w:rsidRDefault="00561B99" w:rsidP="00A14203">
      <w:pPr>
        <w:pStyle w:val="Body"/>
        <w:spacing w:after="0"/>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3DAAA87D" wp14:editId="570E8F29">
            <wp:extent cx="1805940" cy="2444115"/>
            <wp:effectExtent l="0" t="0" r="22860"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1818781" cy="2461344"/>
                    </a:xfrm>
                    <a:prstGeom prst="rect">
                      <a:avLst/>
                    </a:prstGeom>
                    <a:noFill/>
                    <a:ln>
                      <a:noFill/>
                    </a:ln>
                  </pic:spPr>
                </pic:pic>
              </a:graphicData>
            </a:graphic>
          </wp:inline>
        </w:drawing>
      </w:r>
      <w:r>
        <w:rPr>
          <w:rFonts w:ascii="Times New Roman Regular" w:hAnsi="Times New Roman Regular" w:cs="Times New Roman Regular"/>
          <w:noProof/>
        </w:rPr>
        <w:drawing>
          <wp:inline distT="0" distB="0" distL="114300" distR="114300" wp14:anchorId="64970A3C" wp14:editId="117080AF">
            <wp:extent cx="1428750" cy="2562225"/>
            <wp:effectExtent l="0" t="0" r="1905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a:stretch>
                      <a:fillRect/>
                    </a:stretch>
                  </pic:blipFill>
                  <pic:spPr>
                    <a:xfrm>
                      <a:off x="0" y="0"/>
                      <a:ext cx="1428750" cy="2562225"/>
                    </a:xfrm>
                    <a:prstGeom prst="rect">
                      <a:avLst/>
                    </a:prstGeom>
                    <a:noFill/>
                    <a:ln>
                      <a:noFill/>
                    </a:ln>
                  </pic:spPr>
                </pic:pic>
              </a:graphicData>
            </a:graphic>
          </wp:inline>
        </w:drawing>
      </w:r>
    </w:p>
    <w:p w14:paraId="0DD4B736" w14:textId="77777777" w:rsidR="0050657D" w:rsidRDefault="00561B99">
      <w:pPr>
        <w:pStyle w:val="Body"/>
        <w:spacing w:after="0"/>
        <w:rPr>
          <w:rFonts w:ascii="Arial" w:eastAsia="Bookman Old Style" w:hAnsi="Arial" w:cs="Arial"/>
          <w:b/>
          <w:bCs/>
        </w:rPr>
      </w:pPr>
      <w:r>
        <w:rPr>
          <w:rFonts w:ascii="Arial" w:eastAsia="Bookman Old Style" w:hAnsi="Arial" w:cs="Arial"/>
          <w:b/>
          <w:bCs/>
        </w:rPr>
        <w:t xml:space="preserve">Fig. 6. Sketch of Lute Player from </w:t>
      </w:r>
      <w:proofErr w:type="spellStart"/>
      <w:r>
        <w:rPr>
          <w:rFonts w:ascii="Arial" w:eastAsia="Bookman Old Style" w:hAnsi="Arial" w:cs="Arial"/>
          <w:b/>
          <w:bCs/>
        </w:rPr>
        <w:t>Karmawibhangga</w:t>
      </w:r>
      <w:proofErr w:type="spellEnd"/>
      <w:r>
        <w:rPr>
          <w:rFonts w:ascii="Arial" w:eastAsia="Bookman Old Style" w:hAnsi="Arial" w:cs="Arial"/>
          <w:b/>
          <w:bCs/>
        </w:rPr>
        <w:t xml:space="preserve"> Relief Panel Number 151</w:t>
      </w:r>
    </w:p>
    <w:p w14:paraId="7B07FDA6" w14:textId="5738F32D" w:rsidR="004F7B7B" w:rsidRPr="004F7B7B" w:rsidRDefault="004F7B7B" w:rsidP="004F7B7B">
      <w:r>
        <w:rPr>
          <w:rFonts w:ascii="Arial" w:eastAsia="Bookman Old Style" w:hAnsi="Arial" w:cs="Arial"/>
          <w:b/>
          <w:bCs/>
        </w:rPr>
        <w:t>(Sketch by the author)</w:t>
      </w:r>
    </w:p>
    <w:p w14:paraId="34855DC5" w14:textId="77777777" w:rsidR="0050657D" w:rsidRDefault="0050657D">
      <w:pPr>
        <w:pStyle w:val="Body"/>
        <w:spacing w:after="0"/>
        <w:rPr>
          <w:rFonts w:ascii="Arial" w:eastAsia="Bookman Old Style" w:hAnsi="Arial" w:cs="Arial"/>
          <w:b/>
          <w:bCs/>
        </w:rPr>
      </w:pPr>
    </w:p>
    <w:p w14:paraId="7B6B2F85" w14:textId="77777777" w:rsidR="0050657D" w:rsidRDefault="00561B99">
      <w:pPr>
        <w:pStyle w:val="Body"/>
        <w:spacing w:after="0"/>
        <w:rPr>
          <w:rFonts w:ascii="Arial" w:eastAsia="Bookman Old Style" w:hAnsi="Arial"/>
        </w:rPr>
      </w:pPr>
      <w:r>
        <w:rPr>
          <w:rFonts w:ascii="Arial" w:eastAsia="Bookman Old Style" w:hAnsi="Arial"/>
        </w:rPr>
        <w:t xml:space="preserve">In front of the three central figures, two individuals are seated directly on the ground, gazing toward the central character. The performance depicted consists of two musical ensemble groups. The first group features a figure playing a five-stringed lute and another playing a bar-zither. This group is situated beneath a tree presumed to be a </w:t>
      </w:r>
      <w:proofErr w:type="spellStart"/>
      <w:r w:rsidRPr="00A14203">
        <w:rPr>
          <w:rFonts w:ascii="Arial" w:eastAsia="Bookman Old Style" w:hAnsi="Arial"/>
          <w:i/>
          <w:iCs/>
        </w:rPr>
        <w:t>kalpataru</w:t>
      </w:r>
      <w:proofErr w:type="spellEnd"/>
      <w:r>
        <w:rPr>
          <w:rFonts w:ascii="Arial" w:eastAsia="Bookman Old Style" w:hAnsi="Arial"/>
        </w:rPr>
        <w:t xml:space="preserve">, although the carving details appear to be unfinished. The second ensemble group includes musicians shown both standing and sitting. The first member holds a bar-zither as a melodic instrument; two others play the </w:t>
      </w:r>
      <w:proofErr w:type="spellStart"/>
      <w:r>
        <w:rPr>
          <w:rFonts w:ascii="Arial" w:eastAsia="Bookman Old Style" w:hAnsi="Arial"/>
        </w:rPr>
        <w:t>damaru</w:t>
      </w:r>
      <w:proofErr w:type="spellEnd"/>
      <w:r>
        <w:rPr>
          <w:rFonts w:ascii="Arial" w:eastAsia="Bookman Old Style" w:hAnsi="Arial"/>
        </w:rPr>
        <w:t>, a small rhythmic instrument commonly used in ritual contexts; and another holds an additional bar-zither also used for melodic accompaniment.</w:t>
      </w:r>
    </w:p>
    <w:p w14:paraId="5A0B032A" w14:textId="77777777" w:rsidR="0050657D" w:rsidRDefault="0050657D">
      <w:pPr>
        <w:pStyle w:val="Body"/>
        <w:spacing w:after="0"/>
        <w:rPr>
          <w:rFonts w:ascii="Arial" w:eastAsia="Bookman Old Style" w:hAnsi="Arial"/>
        </w:rPr>
      </w:pPr>
    </w:p>
    <w:p w14:paraId="73855A37" w14:textId="2782EB2F" w:rsidR="0050657D" w:rsidRDefault="00561B99">
      <w:pPr>
        <w:pStyle w:val="Body"/>
        <w:spacing w:after="0"/>
        <w:rPr>
          <w:rFonts w:ascii="Arial" w:eastAsia="Bookman Old Style" w:hAnsi="Arial"/>
        </w:rPr>
      </w:pPr>
      <w:r>
        <w:rPr>
          <w:rFonts w:ascii="Arial" w:eastAsia="Bookman Old Style" w:hAnsi="Arial"/>
        </w:rPr>
        <w:t>Additionally, there is a group of seated musicians. One is seen holding a bow, most likely used to play a melodic bowed instrument. Another figure does not carry an instrument and may serve as a vocalist. The remaining two musicians each play a bar-zither and a lute. In front of the main figure, a standing woman is depicted fanning him</w:t>
      </w:r>
      <w:r w:rsidR="00A14203">
        <w:rPr>
          <w:rFonts w:ascii="Arial" w:eastAsia="Bookman Old Style" w:hAnsi="Arial"/>
        </w:rPr>
        <w:t xml:space="preserve"> with </w:t>
      </w:r>
      <w:r>
        <w:rPr>
          <w:rFonts w:ascii="Arial" w:eastAsia="Bookman Old Style" w:hAnsi="Arial"/>
        </w:rPr>
        <w:t>a gesture, representing service or devotion to a sacred figure. Continuing the scene, a man accompanied by two women is shown walking toward a sacred building, which may indicate a religious procession or transition to a site of worship.</w:t>
      </w:r>
    </w:p>
    <w:p w14:paraId="5DE2E8C3" w14:textId="77777777" w:rsidR="0050657D" w:rsidRDefault="0050657D">
      <w:pPr>
        <w:pStyle w:val="Body"/>
        <w:spacing w:after="0"/>
        <w:rPr>
          <w:rFonts w:ascii="Arial" w:eastAsia="Bookman Old Style" w:hAnsi="Arial"/>
        </w:rPr>
      </w:pPr>
    </w:p>
    <w:p w14:paraId="6508798C" w14:textId="77777777" w:rsidR="0050657D" w:rsidRDefault="00561B99">
      <w:pPr>
        <w:pStyle w:val="Body"/>
        <w:spacing w:after="0"/>
        <w:rPr>
          <w:rFonts w:ascii="Arial" w:eastAsia="Bookman Old Style" w:hAnsi="Arial"/>
        </w:rPr>
      </w:pPr>
      <w:r>
        <w:rPr>
          <w:rFonts w:ascii="Arial" w:eastAsia="Bookman Old Style" w:hAnsi="Arial"/>
        </w:rPr>
        <w:lastRenderedPageBreak/>
        <w:t xml:space="preserve">The following is a triadic semiotic analysis table for </w:t>
      </w:r>
      <w:proofErr w:type="spellStart"/>
      <w:r>
        <w:rPr>
          <w:rFonts w:ascii="Arial" w:eastAsia="Bookman Old Style" w:hAnsi="Arial"/>
        </w:rPr>
        <w:t>Karmawibhangga</w:t>
      </w:r>
      <w:proofErr w:type="spellEnd"/>
      <w:r>
        <w:rPr>
          <w:rFonts w:ascii="Arial" w:eastAsia="Bookman Old Style" w:hAnsi="Arial"/>
        </w:rPr>
        <w:t xml:space="preserve"> relief panel number 151.</w:t>
      </w:r>
    </w:p>
    <w:p w14:paraId="112BE19B" w14:textId="77777777" w:rsidR="0050657D" w:rsidRDefault="0050657D">
      <w:pPr>
        <w:pStyle w:val="Body"/>
        <w:spacing w:after="0"/>
        <w:rPr>
          <w:rFonts w:ascii="Arial" w:eastAsia="Bookman Old Style" w:hAnsi="Arial"/>
        </w:rPr>
      </w:pPr>
    </w:p>
    <w:p w14:paraId="5B7AA071" w14:textId="77777777" w:rsidR="0050657D" w:rsidRDefault="00561B99">
      <w:pPr>
        <w:pStyle w:val="Body"/>
        <w:spacing w:after="0"/>
        <w:rPr>
          <w:rFonts w:ascii="Arial Bold" w:eastAsia="Bookman Old Style" w:hAnsi="Arial Bold" w:cs="Arial Bold"/>
          <w:b/>
          <w:bCs/>
        </w:rPr>
      </w:pPr>
      <w:r>
        <w:rPr>
          <w:rFonts w:ascii="Arial Bold" w:eastAsia="Bookman Old Style" w:hAnsi="Arial Bold" w:cs="Arial Bold"/>
          <w:b/>
          <w:bCs/>
        </w:rPr>
        <w:t xml:space="preserve">Table 3. Triadic Semiotic Analysis of </w:t>
      </w:r>
      <w:proofErr w:type="spellStart"/>
      <w:r>
        <w:rPr>
          <w:rFonts w:ascii="Arial Bold" w:eastAsia="Bookman Old Style" w:hAnsi="Arial Bold" w:cs="Arial Bold"/>
          <w:b/>
          <w:bCs/>
        </w:rPr>
        <w:t>Karmawibhangga</w:t>
      </w:r>
      <w:proofErr w:type="spellEnd"/>
      <w:r>
        <w:rPr>
          <w:rFonts w:ascii="Arial Bold" w:eastAsia="Bookman Old Style" w:hAnsi="Arial Bold" w:cs="Arial Bold"/>
          <w:b/>
          <w:bCs/>
        </w:rPr>
        <w:t xml:space="preserve"> Relief No. 151</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836"/>
        <w:gridCol w:w="2336"/>
        <w:gridCol w:w="2780"/>
      </w:tblGrid>
      <w:tr w:rsidR="0050657D" w14:paraId="39D59C0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A6A048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3CF4C8"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Representamen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875D8B" w14:textId="77777777" w:rsidR="0050657D" w:rsidRDefault="00561B99" w:rsidP="009D7982">
            <w:pPr>
              <w:spacing w:line="360" w:lineRule="auto"/>
              <w:rPr>
                <w:rFonts w:ascii="Arial Regular" w:hAnsi="Arial Regular" w:cs="Arial Regular"/>
                <w:sz w:val="20"/>
                <w:szCs w:val="20"/>
              </w:rPr>
            </w:pPr>
            <w:proofErr w:type="spellStart"/>
            <w:r>
              <w:rPr>
                <w:rFonts w:ascii="Arial Regular" w:hAnsi="Arial Regular" w:cs="Arial Regular"/>
                <w:sz w:val="20"/>
                <w:szCs w:val="20"/>
                <w:lang w:bidi="ar"/>
              </w:rPr>
              <w:t>Objek</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D1C82E0"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Interpretant</w:t>
            </w:r>
          </w:p>
        </w:tc>
      </w:tr>
      <w:tr w:rsidR="0050657D" w14:paraId="46BA276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2CE708F"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4C0FF81" w14:textId="7D677358" w:rsidR="003D6977" w:rsidRPr="003D6977" w:rsidRDefault="00561B99" w:rsidP="009D7982">
            <w:pPr>
              <w:rPr>
                <w:rFonts w:ascii="Arial Regular" w:eastAsia="SimSun" w:hAnsi="Arial Regular" w:cs="Arial Regular"/>
                <w:sz w:val="20"/>
                <w:szCs w:val="20"/>
                <w:lang w:eastAsia="zh-CN" w:bidi="ar"/>
              </w:rPr>
            </w:pPr>
            <w:r>
              <w:rPr>
                <w:rFonts w:ascii="Arial Regular" w:eastAsia="SimSun" w:hAnsi="Arial Regular" w:cs="Arial Regular"/>
                <w:sz w:val="20"/>
                <w:szCs w:val="20"/>
                <w:lang w:eastAsia="zh-CN" w:bidi="ar"/>
              </w:rPr>
              <w:t>Three figures walking toward a building</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0B16E4B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Pilgrimage or journey to a temple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851D738"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Closure of the visual narrative: indicates devotion directed toward a sacred place</w:t>
            </w:r>
          </w:p>
        </w:tc>
      </w:tr>
      <w:tr w:rsidR="0050657D" w14:paraId="6359E987"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6E87879E"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2</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606A9E60"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figures beside the central character holding a fan and stringed instrument</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754AAAF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Attendants or musicians accompanying the main figure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C8D49E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Sign of reverence, entertainment, or devotion to the central figure</w:t>
            </w:r>
          </w:p>
        </w:tc>
      </w:tr>
      <w:tr w:rsidR="0050657D" w14:paraId="6C824D0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B60D77B"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3</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72631849" w14:textId="77777777" w:rsidR="003D6977" w:rsidRDefault="00561B99" w:rsidP="009D7982">
            <w:pPr>
              <w:rPr>
                <w:rFonts w:ascii="Arial Regular" w:eastAsia="SimSun" w:hAnsi="Arial Regular" w:cs="Arial Regular"/>
                <w:sz w:val="20"/>
                <w:szCs w:val="20"/>
                <w:lang w:eastAsia="zh-CN" w:bidi="ar"/>
              </w:rPr>
            </w:pPr>
            <w:r>
              <w:rPr>
                <w:rFonts w:ascii="Arial Regular" w:eastAsia="SimSun" w:hAnsi="Arial Regular" w:cs="Arial Regular"/>
                <w:sz w:val="20"/>
                <w:szCs w:val="20"/>
                <w:lang w:eastAsia="zh-CN" w:bidi="ar"/>
              </w:rPr>
              <w:t>Oval-shaped plucked instrument played by a seated figure in the bottom right corner</w:t>
            </w:r>
            <w:r w:rsidR="003D6977">
              <w:rPr>
                <w:rFonts w:ascii="Arial Regular" w:eastAsia="SimSun" w:hAnsi="Arial Regular" w:cs="Arial Regular"/>
                <w:sz w:val="20"/>
                <w:szCs w:val="20"/>
                <w:lang w:eastAsia="zh-CN" w:bidi="ar"/>
              </w:rPr>
              <w:t xml:space="preserve">. </w:t>
            </w:r>
          </w:p>
          <w:p w14:paraId="1D3751B1" w14:textId="0030FCE9" w:rsidR="0050657D" w:rsidRDefault="003D6977" w:rsidP="009D7982">
            <w:pPr>
              <w:rPr>
                <w:rFonts w:ascii="Arial Regular" w:hAnsi="Arial Regular" w:cs="Arial Regular"/>
                <w:sz w:val="20"/>
                <w:szCs w:val="20"/>
              </w:rPr>
            </w:pPr>
            <w:r>
              <w:rPr>
                <w:rFonts w:ascii="Arial Regular" w:eastAsia="SimSun" w:hAnsi="Arial Regular" w:cs="Arial Regular"/>
                <w:sz w:val="20"/>
                <w:szCs w:val="20"/>
                <w:lang w:eastAsia="zh-CN" w:bidi="ar"/>
              </w:rPr>
              <w:fldChar w:fldCharType="begin"/>
            </w:r>
            <w:r>
              <w:rPr>
                <w:rFonts w:ascii="Arial Regular" w:eastAsia="SimSun" w:hAnsi="Arial Regular" w:cs="Arial Regular"/>
                <w:sz w:val="20"/>
                <w:szCs w:val="20"/>
                <w:lang w:eastAsia="zh-CN" w:bidi="ar"/>
              </w:rPr>
              <w:instrText xml:space="preserve"> ADDIN EN.CITE &lt;EndNote&gt;&lt;Cite&gt;&lt;Author&gt;Ferdinandus&lt;/Author&gt;&lt;Year&gt;2001&lt;/Year&gt;&lt;RecNum&gt;3&lt;/RecNum&gt;&lt;DisplayText&gt;(Ferdinandus, 2001)&lt;/DisplayText&gt;&lt;record&gt;&lt;rec-number&gt;3&lt;/rec-number&gt;&lt;foreign-keys&gt;&lt;key app="EN" db-id="zart20f039v9zkes00rxefe3zd0rwve99w2x" timestamp="1747817313"&gt;3&lt;/key&gt;&lt;/foreign-keys&gt;&lt;ref-type name="Book"&gt;6&lt;/ref-type&gt;&lt;contributors&gt;&lt;authors&gt;&lt;author&gt;Ferdinandus, P.E.J.&lt;/author&gt;&lt;/authors&gt;&lt;/contributors&gt;&lt;titles&gt;&lt;title&gt;Alat musik Jawa kuno&lt;/title&gt;&lt;/titles&gt;&lt;dates&gt;&lt;year&gt;2001&lt;/year&gt;&lt;/dates&gt;&lt;publisher&gt;Yayasan Mahardhika&lt;/publisher&gt;&lt;urls&gt;&lt;related-urls&gt;&lt;url&gt;https://books.google.co.id/books?id=hzuKnQAACAAJ&lt;/url&gt;&lt;/related-urls&gt;&lt;/urls&gt;&lt;/record&gt;&lt;/Cite&gt;&lt;/EndNote&gt;</w:instrText>
            </w:r>
            <w:r>
              <w:rPr>
                <w:rFonts w:ascii="Arial Regular" w:eastAsia="SimSun" w:hAnsi="Arial Regular" w:cs="Arial Regular"/>
                <w:sz w:val="20"/>
                <w:szCs w:val="20"/>
                <w:lang w:eastAsia="zh-CN" w:bidi="ar"/>
              </w:rPr>
              <w:fldChar w:fldCharType="separate"/>
            </w:r>
            <w:r>
              <w:rPr>
                <w:rFonts w:ascii="Arial Regular" w:eastAsia="SimSun" w:hAnsi="Arial Regular" w:cs="Arial Regular"/>
                <w:noProof/>
                <w:sz w:val="20"/>
                <w:szCs w:val="20"/>
                <w:lang w:eastAsia="zh-CN" w:bidi="ar"/>
              </w:rPr>
              <w:t>(Ferdinandus, 2001)</w:t>
            </w:r>
            <w:r>
              <w:rPr>
                <w:rFonts w:ascii="Arial Regular" w:eastAsia="SimSun" w:hAnsi="Arial Regular" w:cs="Arial Regular"/>
                <w:sz w:val="20"/>
                <w:szCs w:val="20"/>
                <w:lang w:eastAsia="zh-CN" w:bidi="ar"/>
              </w:rPr>
              <w:fldChar w:fldCharType="end"/>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6E45BC2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 xml:space="preserve">A lute resembling the </w:t>
            </w:r>
            <w:proofErr w:type="spellStart"/>
            <w:r>
              <w:rPr>
                <w:rStyle w:val="Emphasis"/>
                <w:rFonts w:ascii="Arial Regular" w:eastAsia="SimSun" w:hAnsi="Arial Regular" w:cs="Arial Regular"/>
                <w:sz w:val="20"/>
                <w:szCs w:val="20"/>
                <w:lang w:eastAsia="zh-CN" w:bidi="ar"/>
              </w:rPr>
              <w:t>sape</w:t>
            </w:r>
            <w:proofErr w:type="spellEnd"/>
            <w:r>
              <w:rPr>
                <w:rFonts w:ascii="Arial Regular" w:eastAsia="SimSun" w:hAnsi="Arial Regular" w:cs="Arial Regular"/>
                <w:sz w:val="20"/>
                <w:szCs w:val="20"/>
                <w:lang w:eastAsia="zh-CN" w:bidi="ar"/>
              </w:rPr>
              <w:t xml:space="preserve"> </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44F2D1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Suggests a sacred or courtly entertainment setting</w:t>
            </w:r>
          </w:p>
        </w:tc>
      </w:tr>
      <w:tr w:rsidR="0050657D" w14:paraId="7F780AB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DD21F2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4</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6101B63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 cross-legged figure on an elevated platform adorned with jewelry and a crown, surrounded by seated and standing figures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19B84BC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Central figure in an honored position, presumed to be a king or spiritual leader</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E3FC511"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Symbol of authority or sanctity; the spiritual focal point of the community</w:t>
            </w:r>
          </w:p>
        </w:tc>
      </w:tr>
      <w:tr w:rsidR="0050657D" w14:paraId="45E5A04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B40241D"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5</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6B63C56"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Two women beside the male figure, depicted with gestures of touch and beautification</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383573E1"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Divine attendants or celestial maidens</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75AB40E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Symbol of heavenly beauty and the aesthetic role of women in the spiritual realm</w:t>
            </w:r>
          </w:p>
        </w:tc>
      </w:tr>
      <w:tr w:rsidR="0050657D" w14:paraId="68CDBDE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1543A7A1"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6</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F82966A"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Two small figures beneath the platform, looking up at the central figure</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FD152ED"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Servants, guardians, or representations of the lower stratum</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C670F97"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a hierarchy in relation to the spiritually elevated figure</w:t>
            </w:r>
          </w:p>
        </w:tc>
      </w:tr>
      <w:tr w:rsidR="0050657D" w14:paraId="70B0FC7B"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37FAA9D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7</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652B16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Group of standing figures on the left side of the relief with various gestures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D6C0EB6"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Audience, followers, or community members</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57D3D9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interaction, communal life, and the value system surrounding the central figure</w:t>
            </w:r>
          </w:p>
        </w:tc>
      </w:tr>
      <w:tr w:rsidR="0050657D" w14:paraId="02BE3D22"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0D2FC16" w14:textId="77777777" w:rsidR="0050657D" w:rsidRDefault="00561B99" w:rsidP="009D7982">
            <w:pPr>
              <w:spacing w:line="360" w:lineRule="auto"/>
              <w:rPr>
                <w:rFonts w:ascii="Arial Regular" w:hAnsi="Arial Regular" w:cs="Arial Regular"/>
                <w:sz w:val="20"/>
                <w:szCs w:val="20"/>
                <w:lang w:bidi="ar"/>
              </w:rPr>
            </w:pPr>
            <w:r>
              <w:rPr>
                <w:rFonts w:ascii="Arial Regular" w:hAnsi="Arial Regular" w:cs="Arial Regular"/>
                <w:sz w:val="20"/>
                <w:szCs w:val="20"/>
                <w:lang w:bidi="ar"/>
              </w:rPr>
              <w:t>8</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491DA624"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Elaborate head ornaments and luxurious clothing on certain figures</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117B9E3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Indicators of status and authority</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4E71E72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Interpretation of social stratification; symbols of honor and elite roles in society</w:t>
            </w:r>
          </w:p>
        </w:tc>
      </w:tr>
      <w:tr w:rsidR="0050657D" w14:paraId="7BA5475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73BF307"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9</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31E73DCB"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Musicians on the left side of the relief facing each other rather than the central figure</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0F3A74F5"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Musical ensemble</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50A5972C"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Emphasizes the importance of inter-musician communication in producing harmonious music</w:t>
            </w:r>
          </w:p>
        </w:tc>
      </w:tr>
      <w:tr w:rsidR="0050657D" w14:paraId="625C4460"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EAF35C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rPr>
              <w:t>10</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E741E9F" w14:textId="77777777" w:rsidR="0050657D" w:rsidRDefault="00561B99" w:rsidP="009D7982">
            <w:pPr>
              <w:rPr>
                <w:rFonts w:ascii="Arial Regular" w:eastAsia="SimSun" w:hAnsi="Arial Regular" w:cs="Arial Regular"/>
                <w:sz w:val="20"/>
                <w:szCs w:val="20"/>
                <w:lang w:eastAsia="zh-CN" w:bidi="ar"/>
              </w:rPr>
            </w:pPr>
            <w:r>
              <w:rPr>
                <w:rFonts w:ascii="Arial Regular" w:eastAsia="SimSun" w:hAnsi="Arial Regular" w:cs="Arial Regular"/>
                <w:sz w:val="20"/>
                <w:szCs w:val="20"/>
                <w:lang w:eastAsia="zh-CN" w:bidi="ar"/>
              </w:rPr>
              <w:t>Inscription above the relief panel</w:t>
            </w:r>
          </w:p>
          <w:p w14:paraId="72AE7398" w14:textId="2DB7C3D6" w:rsidR="003D6977" w:rsidRDefault="003D6977" w:rsidP="009D7982">
            <w:pPr>
              <w:rPr>
                <w:rFonts w:ascii="Arial Regular" w:hAnsi="Arial Regular" w:cs="Arial Regular"/>
                <w:kern w:val="2"/>
                <w:sz w:val="20"/>
                <w:szCs w:val="20"/>
              </w:rPr>
            </w:pPr>
            <w:r>
              <w:rPr>
                <w:rFonts w:ascii="Arial Regular" w:hAnsi="Arial Regular" w:cs="Arial Regular"/>
                <w:kern w:val="2"/>
                <w:sz w:val="20"/>
                <w:szCs w:val="20"/>
              </w:rPr>
              <w:fldChar w:fldCharType="begin"/>
            </w:r>
            <w:r>
              <w:rPr>
                <w:rFonts w:ascii="Arial Regular" w:hAnsi="Arial Regular" w:cs="Arial Regular"/>
                <w:kern w:val="2"/>
                <w:sz w:val="20"/>
                <w:szCs w:val="20"/>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Pr>
                <w:rFonts w:ascii="Arial Regular" w:hAnsi="Arial Regular" w:cs="Arial Regular"/>
                <w:kern w:val="2"/>
                <w:sz w:val="20"/>
                <w:szCs w:val="20"/>
              </w:rPr>
              <w:fldChar w:fldCharType="separate"/>
            </w:r>
            <w:r>
              <w:rPr>
                <w:rFonts w:ascii="Arial Regular" w:hAnsi="Arial Regular" w:cs="Arial Regular"/>
                <w:noProof/>
                <w:kern w:val="2"/>
                <w:sz w:val="20"/>
                <w:szCs w:val="20"/>
              </w:rPr>
              <w:t>(Santiko &amp; Nugrahani, 2012)</w:t>
            </w:r>
            <w:r>
              <w:rPr>
                <w:rFonts w:ascii="Arial Regular" w:hAnsi="Arial Regular" w:cs="Arial Regular"/>
                <w:kern w:val="2"/>
                <w:sz w:val="20"/>
                <w:szCs w:val="20"/>
              </w:rPr>
              <w:fldChar w:fldCharType="end"/>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99594CB" w14:textId="77777777" w:rsidR="0050657D" w:rsidRDefault="00561B99" w:rsidP="009D7982">
            <w:pPr>
              <w:rPr>
                <w:rFonts w:ascii="Arial Regular" w:hAnsi="Arial Regular" w:cs="Arial Regular"/>
                <w:i/>
                <w:iCs/>
                <w:sz w:val="20"/>
                <w:szCs w:val="20"/>
              </w:rPr>
            </w:pPr>
            <w:r>
              <w:rPr>
                <w:rFonts w:ascii="Arial Regular" w:eastAsia="SimSun" w:hAnsi="Arial Regular" w:cs="Arial Regular"/>
                <w:sz w:val="20"/>
                <w:szCs w:val="20"/>
                <w:lang w:eastAsia="zh-CN" w:bidi="ar"/>
              </w:rPr>
              <w:t>Heaven/</w:t>
            </w:r>
            <w:proofErr w:type="spellStart"/>
            <w:r>
              <w:rPr>
                <w:rStyle w:val="Emphasis"/>
                <w:rFonts w:ascii="Arial Regular" w:eastAsia="SimSun" w:hAnsi="Arial Regular" w:cs="Arial Regular"/>
                <w:sz w:val="20"/>
                <w:szCs w:val="20"/>
                <w:lang w:eastAsia="zh-CN" w:bidi="ar"/>
              </w:rPr>
              <w:t>svargga</w:t>
            </w:r>
            <w:proofErr w:type="spellEnd"/>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6A79EBE9" w14:textId="77777777" w:rsidR="0050657D" w:rsidRDefault="00561B99" w:rsidP="009D7982">
            <w:pPr>
              <w:rPr>
                <w:rFonts w:ascii="Arial Regular" w:hAnsi="Arial Regular" w:cs="Arial Regular"/>
                <w:sz w:val="20"/>
                <w:szCs w:val="20"/>
              </w:rPr>
            </w:pPr>
            <w:r>
              <w:rPr>
                <w:rFonts w:ascii="Arial Regular" w:eastAsia="SimSun" w:hAnsi="Arial Regular" w:cs="Arial Regular"/>
                <w:sz w:val="20"/>
                <w:szCs w:val="20"/>
                <w:lang w:eastAsia="zh-CN" w:bidi="ar"/>
              </w:rPr>
              <w:t>Indicates the scene is set in a spiritual realm, providing a transcendental context for the entire panel</w:t>
            </w:r>
          </w:p>
        </w:tc>
      </w:tr>
      <w:tr w:rsidR="0050657D" w14:paraId="585C9ABA"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08B804F3"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11</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6A28B3D"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Large tree in the background</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74C45609" w14:textId="77777777" w:rsidR="0050657D" w:rsidRDefault="00561B99" w:rsidP="009D7982">
            <w:pPr>
              <w:rPr>
                <w:rFonts w:ascii="Arial Regular" w:hAnsi="Arial Regular" w:cs="Arial Regular"/>
                <w:kern w:val="2"/>
                <w:sz w:val="20"/>
                <w:szCs w:val="20"/>
              </w:rPr>
            </w:pPr>
            <w:r>
              <w:rPr>
                <w:rStyle w:val="Emphasis"/>
                <w:rFonts w:ascii="Arial Regular" w:eastAsia="SimSun" w:hAnsi="Arial Regular" w:cs="Arial Regular"/>
                <w:sz w:val="20"/>
                <w:szCs w:val="20"/>
                <w:lang w:eastAsia="zh-CN" w:bidi="ar"/>
              </w:rPr>
              <w:t>Kalpataru</w:t>
            </w:r>
            <w:r>
              <w:rPr>
                <w:rFonts w:ascii="Arial Regular" w:eastAsia="SimSun" w:hAnsi="Arial Regular" w:cs="Arial Regular"/>
                <w:sz w:val="20"/>
                <w:szCs w:val="20"/>
                <w:lang w:eastAsia="zh-CN" w:bidi="ar"/>
              </w:rPr>
              <w:t xml:space="preserve"> (Tree of Wish Fulfillment)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2B257DEC"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Cosmic symbol of abundance and the link between the spiritual and material worlds</w:t>
            </w:r>
          </w:p>
        </w:tc>
      </w:tr>
      <w:tr w:rsidR="0050657D" w14:paraId="07109849"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73A8C329"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12</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430D0D9" w14:textId="77777777" w:rsidR="0050657D" w:rsidRDefault="00561B99" w:rsidP="009D7982">
            <w:pPr>
              <w:rPr>
                <w:rFonts w:ascii="Arial Regular" w:eastAsia="SimSun" w:hAnsi="Arial Regular" w:cs="Arial Regular"/>
                <w:sz w:val="20"/>
                <w:szCs w:val="20"/>
                <w:lang w:eastAsia="zh-CN" w:bidi="ar"/>
              </w:rPr>
            </w:pPr>
            <w:r>
              <w:rPr>
                <w:rFonts w:ascii="Arial Regular" w:eastAsia="SimSun" w:hAnsi="Arial Regular" w:cs="Arial Regular"/>
                <w:sz w:val="20"/>
                <w:szCs w:val="20"/>
                <w:lang w:eastAsia="zh-CN" w:bidi="ar"/>
              </w:rPr>
              <w:t>Small drum</w:t>
            </w:r>
          </w:p>
          <w:p w14:paraId="2C53E3D2" w14:textId="2A4C46B2" w:rsidR="003D6977" w:rsidRDefault="003D6977" w:rsidP="009D7982">
            <w:pPr>
              <w:rPr>
                <w:rFonts w:ascii="Arial Regular" w:eastAsia="Aptos" w:hAnsi="Arial Regular" w:cs="Arial Regular"/>
                <w:kern w:val="2"/>
                <w:sz w:val="20"/>
                <w:szCs w:val="20"/>
              </w:rPr>
            </w:pPr>
            <w:r>
              <w:rPr>
                <w:rFonts w:ascii="Arial Regular" w:eastAsia="Aptos" w:hAnsi="Arial Regular" w:cs="Arial Regular"/>
                <w:kern w:val="2"/>
                <w:sz w:val="20"/>
                <w:szCs w:val="20"/>
              </w:rPr>
              <w:fldChar w:fldCharType="begin"/>
            </w:r>
            <w:r>
              <w:rPr>
                <w:rFonts w:ascii="Arial Regular" w:eastAsia="Aptos" w:hAnsi="Arial Regular" w:cs="Arial Regular"/>
                <w:kern w:val="2"/>
                <w:sz w:val="20"/>
                <w:szCs w:val="20"/>
              </w:rPr>
              <w:instrText xml:space="preserve"> ADDIN EN.CITE &lt;EndNote&gt;&lt;Cite&gt;&lt;Author&gt;Kunst&lt;/Author&gt;&lt;Year&gt;2013&lt;/Year&gt;&lt;RecNum&gt;4&lt;/RecNum&gt;&lt;DisplayText&gt;(Kunst, 2013)&lt;/DisplayText&gt;&lt;record&gt;&lt;rec-number&gt;4&lt;/rec-number&gt;&lt;foreign-keys&gt;&lt;key app="EN" db-id="zart20f039v9zkes00rxefe3zd0rwve99w2x" timestamp="1747817313"&gt;4&lt;/key&gt;&lt;/foreign-keys&gt;&lt;ref-type name="Book"&gt;6&lt;/ref-type&gt;&lt;contributors&gt;&lt;authors&gt;&lt;author&gt;Kunst, Jaap&lt;/author&gt;&lt;/authors&gt;&lt;/contributors&gt;&lt;titles&gt;&lt;title&gt;Music in Java: Its history, its theory and its technique&lt;/title&gt;&lt;/titles&gt;&lt;dates&gt;&lt;year&gt;2013&lt;/year&gt;&lt;/dates&gt;&lt;publisher&gt;Springer&lt;/publisher&gt;&lt;isbn&gt;9401771308&lt;/isbn&gt;&lt;urls&gt;&lt;/urls&gt;&lt;/record&gt;&lt;/Cite&gt;&lt;/EndNote&gt;</w:instrText>
            </w:r>
            <w:r>
              <w:rPr>
                <w:rFonts w:ascii="Arial Regular" w:eastAsia="Aptos" w:hAnsi="Arial Regular" w:cs="Arial Regular"/>
                <w:kern w:val="2"/>
                <w:sz w:val="20"/>
                <w:szCs w:val="20"/>
              </w:rPr>
              <w:fldChar w:fldCharType="separate"/>
            </w:r>
            <w:r>
              <w:rPr>
                <w:rFonts w:ascii="Arial Regular" w:eastAsia="Aptos" w:hAnsi="Arial Regular" w:cs="Arial Regular"/>
                <w:noProof/>
                <w:kern w:val="2"/>
                <w:sz w:val="20"/>
                <w:szCs w:val="20"/>
              </w:rPr>
              <w:t>(Kunst, 2013)</w:t>
            </w:r>
            <w:r>
              <w:rPr>
                <w:rFonts w:ascii="Arial Regular" w:eastAsia="Aptos" w:hAnsi="Arial Regular" w:cs="Arial Regular"/>
                <w:kern w:val="2"/>
                <w:sz w:val="20"/>
                <w:szCs w:val="20"/>
              </w:rPr>
              <w:fldChar w:fldCharType="end"/>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957C6BB"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Rhythmic instrument (</w:t>
            </w:r>
            <w:proofErr w:type="spellStart"/>
            <w:r>
              <w:rPr>
                <w:rStyle w:val="Emphasis"/>
                <w:rFonts w:ascii="Arial Regular" w:eastAsia="SimSun" w:hAnsi="Arial Regular" w:cs="Arial Regular"/>
                <w:sz w:val="20"/>
                <w:szCs w:val="20"/>
                <w:lang w:eastAsia="zh-CN" w:bidi="ar"/>
              </w:rPr>
              <w:t>damaru</w:t>
            </w:r>
            <w:proofErr w:type="spellEnd"/>
            <w:r>
              <w:rPr>
                <w:rFonts w:ascii="Arial Regular" w:eastAsia="SimSun" w:hAnsi="Arial Regular" w:cs="Arial Regular"/>
                <w:sz w:val="20"/>
                <w:szCs w:val="20"/>
                <w:lang w:eastAsia="zh-CN" w:bidi="ar"/>
              </w:rPr>
              <w: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276FCCC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 xml:space="preserve">Rhythm in ritual music; commonly used in Southeast Asian religious </w:t>
            </w:r>
            <w:r>
              <w:rPr>
                <w:rFonts w:ascii="Arial Regular" w:eastAsia="SimSun" w:hAnsi="Arial Regular" w:cs="Arial Regular"/>
                <w:sz w:val="20"/>
                <w:szCs w:val="20"/>
                <w:lang w:eastAsia="zh-CN" w:bidi="ar"/>
              </w:rPr>
              <w:lastRenderedPageBreak/>
              <w:t>contexts</w:t>
            </w:r>
          </w:p>
        </w:tc>
      </w:tr>
      <w:tr w:rsidR="0050657D" w14:paraId="4CBF3E93"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2AEEAC2"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lastRenderedPageBreak/>
              <w:t>13</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2B70DDD5"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One bar-zither player standing, holding the melodic instrument vertically</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23FB078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Vertical bar-zither</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705D778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Indicator of technical variation and complexity within the celestial ensemble</w:t>
            </w:r>
          </w:p>
        </w:tc>
      </w:tr>
      <w:tr w:rsidR="0050657D" w14:paraId="427881D8"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5FD060A5"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14</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58189293"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Bow stick</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1BBFC2D"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 xml:space="preserve">Bowed instrument (similar to a </w:t>
            </w:r>
            <w:r>
              <w:rPr>
                <w:rStyle w:val="Emphasis"/>
                <w:rFonts w:ascii="Arial Regular" w:eastAsia="SimSun" w:hAnsi="Arial Regular" w:cs="Arial Regular"/>
                <w:sz w:val="20"/>
                <w:szCs w:val="20"/>
                <w:lang w:eastAsia="zh-CN" w:bidi="ar"/>
              </w:rPr>
              <w:t>rebab</w:t>
            </w:r>
            <w:r>
              <w:rPr>
                <w:rFonts w:ascii="Arial Regular" w:eastAsia="SimSun" w:hAnsi="Arial Regular" w:cs="Arial Regular"/>
                <w:sz w:val="20"/>
                <w:szCs w:val="20"/>
                <w:lang w:eastAsia="zh-CN" w:bidi="ar"/>
              </w:rPr>
              <w: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63C61DF7"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The presence of a bowed instrument suggests deep melodic expression</w:t>
            </w:r>
          </w:p>
        </w:tc>
      </w:tr>
      <w:tr w:rsidR="0050657D" w14:paraId="0CC9441E" w14:textId="77777777" w:rsidTr="009D7982">
        <w:tc>
          <w:tcPr>
            <w:tcW w:w="0" w:type="auto"/>
            <w:tcBorders>
              <w:top w:val="single" w:sz="4" w:space="0" w:color="auto"/>
              <w:left w:val="single" w:sz="4" w:space="0" w:color="auto"/>
              <w:bottom w:val="single" w:sz="4" w:space="0" w:color="auto"/>
              <w:right w:val="single" w:sz="4" w:space="0" w:color="auto"/>
            </w:tcBorders>
            <w:shd w:val="clear" w:color="auto" w:fill="auto"/>
          </w:tcPr>
          <w:p w14:paraId="241A11A3" w14:textId="77777777" w:rsidR="0050657D" w:rsidRDefault="00561B99" w:rsidP="009D7982">
            <w:pPr>
              <w:spacing w:line="360" w:lineRule="auto"/>
              <w:rPr>
                <w:rFonts w:ascii="Arial Regular" w:hAnsi="Arial Regular" w:cs="Arial Regular"/>
                <w:sz w:val="20"/>
                <w:szCs w:val="20"/>
              </w:rPr>
            </w:pPr>
            <w:r>
              <w:rPr>
                <w:rFonts w:ascii="Arial Regular" w:hAnsi="Arial Regular" w:cs="Arial Regular"/>
                <w:sz w:val="20"/>
                <w:szCs w:val="20"/>
                <w:lang w:bidi="ar"/>
              </w:rPr>
              <w:t>15</w:t>
            </w:r>
          </w:p>
        </w:tc>
        <w:tc>
          <w:tcPr>
            <w:tcW w:w="2879" w:type="dxa"/>
            <w:tcBorders>
              <w:top w:val="single" w:sz="4" w:space="0" w:color="auto"/>
              <w:left w:val="single" w:sz="4" w:space="0" w:color="auto"/>
              <w:bottom w:val="single" w:sz="4" w:space="0" w:color="auto"/>
              <w:right w:val="single" w:sz="4" w:space="0" w:color="auto"/>
            </w:tcBorders>
            <w:shd w:val="clear" w:color="auto" w:fill="auto"/>
          </w:tcPr>
          <w:p w14:paraId="17236FB6" w14:textId="77777777" w:rsidR="0050657D" w:rsidRDefault="00561B99" w:rsidP="009D7982">
            <w:pPr>
              <w:rPr>
                <w:rFonts w:ascii="Arial Regular" w:eastAsia="Aptos" w:hAnsi="Arial Regular" w:cs="Arial Regular"/>
                <w:kern w:val="2"/>
                <w:sz w:val="20"/>
                <w:szCs w:val="20"/>
              </w:rPr>
            </w:pPr>
            <w:r>
              <w:rPr>
                <w:rFonts w:ascii="Arial Regular" w:eastAsia="SimSun" w:hAnsi="Arial Regular" w:cs="Arial Regular"/>
                <w:sz w:val="20"/>
                <w:szCs w:val="20"/>
                <w:lang w:eastAsia="zh-CN" w:bidi="ar"/>
              </w:rPr>
              <w:t>One ensemble member without an instrument</w:t>
            </w:r>
          </w:p>
        </w:tc>
        <w:tc>
          <w:tcPr>
            <w:tcW w:w="2359" w:type="dxa"/>
            <w:tcBorders>
              <w:top w:val="single" w:sz="4" w:space="0" w:color="auto"/>
              <w:left w:val="single" w:sz="4" w:space="0" w:color="auto"/>
              <w:bottom w:val="single" w:sz="4" w:space="0" w:color="auto"/>
              <w:right w:val="single" w:sz="4" w:space="0" w:color="auto"/>
            </w:tcBorders>
            <w:shd w:val="clear" w:color="auto" w:fill="auto"/>
          </w:tcPr>
          <w:p w14:paraId="45815642"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Vocalist</w:t>
            </w:r>
          </w:p>
        </w:tc>
        <w:tc>
          <w:tcPr>
            <w:tcW w:w="2823" w:type="dxa"/>
            <w:tcBorders>
              <w:top w:val="single" w:sz="4" w:space="0" w:color="auto"/>
              <w:left w:val="single" w:sz="4" w:space="0" w:color="auto"/>
              <w:bottom w:val="single" w:sz="4" w:space="0" w:color="auto"/>
              <w:right w:val="single" w:sz="4" w:space="0" w:color="auto"/>
            </w:tcBorders>
            <w:shd w:val="clear" w:color="auto" w:fill="auto"/>
          </w:tcPr>
          <w:p w14:paraId="0DD70436" w14:textId="77777777" w:rsidR="0050657D" w:rsidRDefault="00561B99" w:rsidP="009D7982">
            <w:pPr>
              <w:rPr>
                <w:rFonts w:ascii="Arial Regular" w:hAnsi="Arial Regular" w:cs="Arial Regular"/>
                <w:kern w:val="2"/>
                <w:sz w:val="20"/>
                <w:szCs w:val="20"/>
              </w:rPr>
            </w:pPr>
            <w:r>
              <w:rPr>
                <w:rFonts w:ascii="Arial Regular" w:eastAsia="SimSun" w:hAnsi="Arial Regular" w:cs="Arial Regular"/>
                <w:sz w:val="20"/>
                <w:szCs w:val="20"/>
                <w:lang w:eastAsia="zh-CN" w:bidi="ar"/>
              </w:rPr>
              <w:t>The role of the voice in spiritual music; enhances the devotional atmosphere through singing</w:t>
            </w:r>
          </w:p>
        </w:tc>
      </w:tr>
    </w:tbl>
    <w:p w14:paraId="2046E4BA" w14:textId="77777777" w:rsidR="0050657D" w:rsidRDefault="0050657D">
      <w:pPr>
        <w:pStyle w:val="Body"/>
        <w:spacing w:after="0"/>
        <w:rPr>
          <w:rFonts w:ascii="Arial Bold" w:eastAsia="Bookman Old Style" w:hAnsi="Arial Bold" w:cs="Arial Bold"/>
          <w:b/>
          <w:bCs/>
        </w:rPr>
      </w:pPr>
    </w:p>
    <w:p w14:paraId="5AC18564" w14:textId="77777777" w:rsidR="0050657D" w:rsidRDefault="00561B99">
      <w:pPr>
        <w:pStyle w:val="Body"/>
        <w:spacing w:after="0"/>
        <w:rPr>
          <w:rFonts w:ascii="Arial Bold" w:eastAsia="Bookman Old Style" w:hAnsi="Arial Bold"/>
          <w:b/>
          <w:bCs/>
        </w:rPr>
      </w:pPr>
      <w:r>
        <w:rPr>
          <w:rFonts w:ascii="Arial Bold" w:eastAsia="Bookman Old Style" w:hAnsi="Arial Bold"/>
          <w:b/>
          <w:bCs/>
          <w:sz w:val="22"/>
          <w:szCs w:val="22"/>
        </w:rPr>
        <w:t>3.3. Discussion</w:t>
      </w:r>
    </w:p>
    <w:p w14:paraId="4D2734A7" w14:textId="05616AC0" w:rsidR="0050657D" w:rsidRDefault="00561B99">
      <w:pPr>
        <w:pStyle w:val="Body"/>
        <w:spacing w:after="0"/>
        <w:rPr>
          <w:rFonts w:ascii="Arial" w:eastAsia="Bookman Old Style" w:hAnsi="Arial" w:cs="Arial"/>
        </w:rPr>
      </w:pPr>
      <w:r>
        <w:rPr>
          <w:rFonts w:ascii="Arial" w:eastAsia="Bookman Old Style" w:hAnsi="Arial" w:cs="Arial"/>
        </w:rPr>
        <w:t xml:space="preserve">The depiction of the lute instrument in various contexts within the </w:t>
      </w:r>
      <w:proofErr w:type="spellStart"/>
      <w:r>
        <w:rPr>
          <w:rFonts w:ascii="Arial" w:eastAsia="Bookman Old Style" w:hAnsi="Arial" w:cs="Arial"/>
        </w:rPr>
        <w:t>Karmawibhangga</w:t>
      </w:r>
      <w:proofErr w:type="spellEnd"/>
      <w:r>
        <w:rPr>
          <w:rFonts w:ascii="Arial" w:eastAsia="Bookman Old Style" w:hAnsi="Arial" w:cs="Arial"/>
        </w:rPr>
        <w:t xml:space="preserve"> reliefs highlights the significance of music in multiple aspects of ancient Javanese life. The lute is notably absent in scenes portraying the activities of common people. The Borobudur sculptors employed other instruments to illustrate musical practices among the general populace</w:t>
      </w:r>
      <w:r w:rsidR="008F3074">
        <w:rPr>
          <w:rFonts w:ascii="Arial" w:eastAsia="Bookman Old Style" w:hAnsi="Arial" w:cs="Arial"/>
        </w:rPr>
        <w:t xml:space="preserve">, </w:t>
      </w:r>
      <w:r w:rsidR="008F3074" w:rsidRPr="008F3074">
        <w:rPr>
          <w:rFonts w:ascii="Arial" w:eastAsia="Bookman Old Style" w:hAnsi="Arial" w:cs="Arial"/>
        </w:rPr>
        <w:t>such as flutes, drums, mouth organs, cymbals, and other idiophonic instruments.</w:t>
      </w:r>
      <w:r>
        <w:rPr>
          <w:rFonts w:ascii="Arial" w:eastAsia="Bookman Old Style" w:hAnsi="Arial" w:cs="Arial"/>
        </w:rPr>
        <w:t xml:space="preserve"> </w:t>
      </w:r>
      <w:r w:rsidR="00B54B34" w:rsidRPr="00B54B34">
        <w:rPr>
          <w:rFonts w:ascii="Arial" w:eastAsia="Bookman Old Style" w:hAnsi="Arial" w:cs="Arial"/>
        </w:rPr>
        <w:t>This can be observed from street musicians depicted in Reliefs 39, 52, and 53, who are shown performing music in the context of popular entertainment for the common people.</w:t>
      </w:r>
      <w:r w:rsidR="00B54B34">
        <w:rPr>
          <w:rFonts w:ascii="Arial" w:eastAsia="Bookman Old Style" w:hAnsi="Arial" w:cs="Arial"/>
        </w:rPr>
        <w:t xml:space="preserve"> </w:t>
      </w:r>
      <w:r>
        <w:rPr>
          <w:rFonts w:ascii="Arial" w:eastAsia="Bookman Old Style" w:hAnsi="Arial" w:cs="Arial"/>
        </w:rPr>
        <w:t>The lutes depicted in panels O 102, O 125, and O 151 of Borobudur represent more than mere musical instruments; they are cultural artifacts reflecting the social structure, spiritual values, and aesthetic expressions of 9th-century Javanese society. The presence of the lute in both religious and courtly settings suggests that this instrument held a prominent role in spiritual realms, ceremonial life, and noble entertainment.</w:t>
      </w:r>
      <w:r w:rsidR="007C3D15">
        <w:rPr>
          <w:rFonts w:ascii="Arial" w:eastAsia="Bookman Old Style" w:hAnsi="Arial" w:cs="Arial"/>
        </w:rPr>
        <w:t xml:space="preserve"> </w:t>
      </w:r>
    </w:p>
    <w:p w14:paraId="741BD703" w14:textId="77777777" w:rsidR="0050657D" w:rsidRDefault="0050657D">
      <w:pPr>
        <w:pStyle w:val="Body"/>
        <w:spacing w:after="0"/>
        <w:rPr>
          <w:rFonts w:ascii="Arial" w:eastAsia="Bookman Old Style" w:hAnsi="Arial" w:cs="Arial"/>
        </w:rPr>
      </w:pPr>
    </w:p>
    <w:p w14:paraId="6B1480F4" w14:textId="79ED8F50" w:rsidR="0050657D" w:rsidRDefault="00561B99">
      <w:pPr>
        <w:pStyle w:val="Body"/>
        <w:spacing w:after="0"/>
        <w:rPr>
          <w:rFonts w:ascii="Arial" w:eastAsia="Bookman Old Style" w:hAnsi="Arial" w:cs="Arial"/>
        </w:rPr>
      </w:pPr>
      <w:r>
        <w:rPr>
          <w:rFonts w:ascii="Arial" w:eastAsia="Bookman Old Style" w:hAnsi="Arial" w:cs="Arial"/>
        </w:rPr>
        <w:t xml:space="preserve">Panel O 102 narrates teachings on the "Ten Deeds Leading to Rebirth in the Sensuous Heaven" which is associated with divine splendor and spiritual abundance. Elements such as the </w:t>
      </w:r>
      <w:proofErr w:type="spellStart"/>
      <w:r>
        <w:rPr>
          <w:rFonts w:ascii="Arial" w:eastAsia="Bookman Old Style" w:hAnsi="Arial" w:cs="Arial"/>
        </w:rPr>
        <w:t>kalpataru</w:t>
      </w:r>
      <w:proofErr w:type="spellEnd"/>
      <w:r>
        <w:rPr>
          <w:rFonts w:ascii="Arial" w:eastAsia="Bookman Old Style" w:hAnsi="Arial" w:cs="Arial"/>
        </w:rPr>
        <w:t xml:space="preserve"> tree and the presence of kinnara figures serve as indicators that the actions depicted in this scene culminate in the merit of rebirth within one of the sensuous heavenly realms. </w:t>
      </w:r>
      <w:r w:rsidR="003F72AE" w:rsidRPr="003F72AE">
        <w:rPr>
          <w:rFonts w:ascii="Arial" w:eastAsia="Bookman Old Style" w:hAnsi="Arial" w:cs="Arial"/>
        </w:rPr>
        <w:t>Kalpataru originates from the Sanskrit terms "</w:t>
      </w:r>
      <w:proofErr w:type="spellStart"/>
      <w:r w:rsidR="003F72AE" w:rsidRPr="003F72AE">
        <w:rPr>
          <w:rFonts w:ascii="Arial" w:eastAsia="Bookman Old Style" w:hAnsi="Arial" w:cs="Arial"/>
        </w:rPr>
        <w:t>kalp</w:t>
      </w:r>
      <w:proofErr w:type="spellEnd"/>
      <w:r w:rsidR="003F72AE" w:rsidRPr="003F72AE">
        <w:rPr>
          <w:rFonts w:ascii="Arial" w:eastAsia="Bookman Old Style" w:hAnsi="Arial" w:cs="Arial"/>
        </w:rPr>
        <w:t>," meaning desire or wish, and "</w:t>
      </w:r>
      <w:proofErr w:type="spellStart"/>
      <w:r w:rsidR="003F72AE" w:rsidRPr="003F72AE">
        <w:rPr>
          <w:rFonts w:ascii="Arial" w:eastAsia="Bookman Old Style" w:hAnsi="Arial" w:cs="Arial"/>
        </w:rPr>
        <w:t>taru</w:t>
      </w:r>
      <w:proofErr w:type="spellEnd"/>
      <w:r w:rsidR="003F72AE" w:rsidRPr="003F72AE">
        <w:rPr>
          <w:rFonts w:ascii="Arial" w:eastAsia="Bookman Old Style" w:hAnsi="Arial" w:cs="Arial"/>
        </w:rPr>
        <w:t>," meaning tree. As such, Kalpataru is regarded as a mythical tree believed to grant all human desires and necessities (</w:t>
      </w:r>
      <w:proofErr w:type="spellStart"/>
      <w:r w:rsidR="003F72AE" w:rsidRPr="003F72AE">
        <w:rPr>
          <w:rFonts w:ascii="Arial" w:eastAsia="Bookman Old Style" w:hAnsi="Arial" w:cs="Arial"/>
        </w:rPr>
        <w:t>Soekmono</w:t>
      </w:r>
      <w:proofErr w:type="spellEnd"/>
      <w:r w:rsidR="003F72AE" w:rsidRPr="003F72AE">
        <w:rPr>
          <w:rFonts w:ascii="Arial" w:eastAsia="Bookman Old Style" w:hAnsi="Arial" w:cs="Arial"/>
        </w:rPr>
        <w:t xml:space="preserve">, 1973). Furthermore, it also serves as a symbol of the heavenly realm, wealth, and prosperity (Halim &amp; </w:t>
      </w:r>
      <w:proofErr w:type="spellStart"/>
      <w:r w:rsidR="003F72AE" w:rsidRPr="003F72AE">
        <w:rPr>
          <w:rFonts w:ascii="Arial" w:eastAsia="Bookman Old Style" w:hAnsi="Arial" w:cs="Arial"/>
        </w:rPr>
        <w:t>Herwindo</w:t>
      </w:r>
      <w:proofErr w:type="spellEnd"/>
      <w:r w:rsidR="003F72AE" w:rsidRPr="003F72AE">
        <w:rPr>
          <w:rFonts w:ascii="Arial" w:eastAsia="Bookman Old Style" w:hAnsi="Arial" w:cs="Arial"/>
        </w:rPr>
        <w:t xml:space="preserve">, 2017). </w:t>
      </w:r>
      <w:r w:rsidR="00081A73" w:rsidRPr="00081A73">
        <w:rPr>
          <w:rFonts w:ascii="Arial" w:eastAsia="Bookman Old Style" w:hAnsi="Arial" w:cs="Arial"/>
        </w:rPr>
        <w:t>The kinnara figure frequently appears in the reliefs as a symbolic indicator of a heavenly atmosphere. Several panels</w:t>
      </w:r>
      <w:r w:rsidR="00081A73">
        <w:rPr>
          <w:rFonts w:ascii="Arial" w:eastAsia="Bookman Old Style" w:hAnsi="Arial" w:cs="Arial"/>
        </w:rPr>
        <w:t xml:space="preserve"> </w:t>
      </w:r>
      <w:r w:rsidR="00081A73" w:rsidRPr="00081A73">
        <w:rPr>
          <w:rFonts w:ascii="Arial" w:eastAsia="Bookman Old Style" w:hAnsi="Arial" w:cs="Arial"/>
        </w:rPr>
        <w:t>specifically reliefs no. 101, 102, 126, 130, 134, 137, 143, 147, 149, 155, and 160</w:t>
      </w:r>
      <w:r w:rsidR="00081A73">
        <w:rPr>
          <w:rFonts w:ascii="Arial" w:eastAsia="Bookman Old Style" w:hAnsi="Arial" w:cs="Arial"/>
        </w:rPr>
        <w:t xml:space="preserve"> </w:t>
      </w:r>
      <w:r w:rsidR="00081A73" w:rsidRPr="00081A73">
        <w:rPr>
          <w:rFonts w:ascii="Arial" w:eastAsia="Bookman Old Style" w:hAnsi="Arial" w:cs="Arial"/>
        </w:rPr>
        <w:t>depict kinnaras to illustrate scenes of celestial realms</w:t>
      </w:r>
      <w:r w:rsidR="00081A73">
        <w:rPr>
          <w:rFonts w:ascii="Arial" w:eastAsia="Bookman Old Style" w:hAnsi="Arial" w:cs="Arial"/>
        </w:rPr>
        <w:t xml:space="preserve"> (</w:t>
      </w:r>
      <w:proofErr w:type="spellStart"/>
      <w:r w:rsidR="00081A73">
        <w:rPr>
          <w:rFonts w:ascii="Arial" w:hAnsi="Arial" w:cs="Arial"/>
        </w:rPr>
        <w:t>Ānandajoti</w:t>
      </w:r>
      <w:proofErr w:type="spellEnd"/>
      <w:r w:rsidR="00081A73">
        <w:rPr>
          <w:rFonts w:ascii="Arial" w:hAnsi="Arial" w:cs="Arial"/>
        </w:rPr>
        <w:t>, 2023)</w:t>
      </w:r>
      <w:r w:rsidR="00081A73" w:rsidRPr="00081A73">
        <w:rPr>
          <w:rFonts w:ascii="Arial" w:eastAsia="Bookman Old Style" w:hAnsi="Arial" w:cs="Arial"/>
        </w:rPr>
        <w:t xml:space="preserve">. Likewise, the presence of a radiant halo behind certain figures, as seen in reliefs 85, 106, and 129, serves to emphasize the sanctity or spiritual prominence of the central characters portrayed. </w:t>
      </w:r>
      <w:r>
        <w:rPr>
          <w:rFonts w:ascii="Arial" w:eastAsia="Bookman Old Style" w:hAnsi="Arial" w:cs="Arial"/>
        </w:rPr>
        <w:t>Virtuous deeds are illustrated in the right section of the relief, while their spiritual rewards are depicted on the left.</w:t>
      </w:r>
    </w:p>
    <w:p w14:paraId="0CA3FC04" w14:textId="77777777" w:rsidR="0050657D" w:rsidRDefault="0050657D">
      <w:pPr>
        <w:pStyle w:val="Body"/>
        <w:spacing w:after="0"/>
        <w:rPr>
          <w:rFonts w:ascii="Arial" w:eastAsia="Bookman Old Style" w:hAnsi="Arial" w:cs="Arial"/>
        </w:rPr>
      </w:pPr>
    </w:p>
    <w:p w14:paraId="0A07E42C" w14:textId="1A3C116A" w:rsidR="0050657D" w:rsidRDefault="00561B99">
      <w:pPr>
        <w:pStyle w:val="Body"/>
        <w:spacing w:after="0"/>
        <w:rPr>
          <w:rFonts w:ascii="Arial Bold" w:eastAsia="Bookman Old Style" w:hAnsi="Arial Bold" w:cs="Arial Bold"/>
          <w:b/>
          <w:bCs/>
        </w:rPr>
      </w:pPr>
      <w:r>
        <w:rPr>
          <w:rFonts w:ascii="Arial" w:eastAsia="Bookman Old Style" w:hAnsi="Arial" w:cs="Arial"/>
        </w:rPr>
        <w:t xml:space="preserve">In a social context, the lute is associated with the learned class, priests, nobility, and court musicians. In panel O 125, the lute is played in a royal setting by a musician accompanying a majestic figure adorned with a crown and luxurious garments, seated among four noblewomen. This suggests that the lute was part of musical performances reserved for the elite, functioning as both entertainment and a marker of social status. Lakusa (2021) asserts that the representation of music in the Borobudur reliefs reflects social stratification and the role of music across various layers of society. </w:t>
      </w:r>
      <w:r w:rsidR="0066012A" w:rsidRPr="0066012A">
        <w:rPr>
          <w:rFonts w:ascii="Arial" w:eastAsia="Bookman Old Style" w:hAnsi="Arial" w:cs="Arial"/>
        </w:rPr>
        <w:t>At the top of the panel, there are approximately 50 short inscriptions written in Old Javanese script using Sanskrit words (</w:t>
      </w:r>
      <w:proofErr w:type="spellStart"/>
      <w:r w:rsidR="0066012A" w:rsidRPr="0066012A">
        <w:rPr>
          <w:rFonts w:ascii="Arial" w:eastAsia="Bookman Old Style" w:hAnsi="Arial" w:cs="Arial"/>
        </w:rPr>
        <w:t>santika</w:t>
      </w:r>
      <w:proofErr w:type="spellEnd"/>
      <w:r w:rsidR="0066012A" w:rsidRPr="0066012A">
        <w:rPr>
          <w:rFonts w:ascii="Arial" w:eastAsia="Bookman Old Style" w:hAnsi="Arial" w:cs="Arial"/>
        </w:rPr>
        <w:t>), serving as guides for the sculptors</w:t>
      </w:r>
      <w:r w:rsidR="0066012A">
        <w:rPr>
          <w:rFonts w:ascii="Arial" w:eastAsia="Bookman Old Style" w:hAnsi="Arial" w:cs="Arial"/>
        </w:rPr>
        <w:t xml:space="preserve"> </w:t>
      </w:r>
      <w:r w:rsidR="0066012A">
        <w:rPr>
          <w:rFonts w:ascii="Arial" w:eastAsia="Bookman Old Style" w:hAnsi="Arial" w:cs="Arial"/>
        </w:rPr>
        <w:fldChar w:fldCharType="begin"/>
      </w:r>
      <w:r w:rsidR="0066012A">
        <w:rPr>
          <w:rFonts w:ascii="Arial" w:eastAsia="Bookman Old Style" w:hAnsi="Arial" w:cs="Arial"/>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sidR="0066012A">
        <w:rPr>
          <w:rFonts w:ascii="Arial" w:eastAsia="Bookman Old Style" w:hAnsi="Arial" w:cs="Arial"/>
        </w:rPr>
        <w:fldChar w:fldCharType="separate"/>
      </w:r>
      <w:r w:rsidR="0066012A">
        <w:rPr>
          <w:rFonts w:ascii="Arial" w:eastAsia="Bookman Old Style" w:hAnsi="Arial" w:cs="Arial"/>
          <w:noProof/>
        </w:rPr>
        <w:t>(Santiko &amp; Nugrahani, 2012)</w:t>
      </w:r>
      <w:r w:rsidR="0066012A">
        <w:rPr>
          <w:rFonts w:ascii="Arial" w:eastAsia="Bookman Old Style" w:hAnsi="Arial" w:cs="Arial"/>
        </w:rPr>
        <w:fldChar w:fldCharType="end"/>
      </w:r>
      <w:r w:rsidR="0066012A" w:rsidRPr="0066012A">
        <w:rPr>
          <w:rFonts w:ascii="Arial" w:eastAsia="Bookman Old Style" w:hAnsi="Arial" w:cs="Arial"/>
        </w:rPr>
        <w:t xml:space="preserve">. </w:t>
      </w:r>
      <w:r>
        <w:rPr>
          <w:rFonts w:ascii="Arial" w:eastAsia="Bookman Old Style" w:hAnsi="Arial" w:cs="Arial"/>
        </w:rPr>
        <w:t xml:space="preserve">The analysis of this panel is greatly supported by the presence of two inscriptions above the relief. </w:t>
      </w:r>
      <w:r w:rsidR="0066012A" w:rsidRPr="0066012A">
        <w:rPr>
          <w:rFonts w:ascii="Arial" w:eastAsia="Bookman Old Style" w:hAnsi="Arial" w:cs="Arial"/>
        </w:rPr>
        <w:t xml:space="preserve">One of the carvings reads </w:t>
      </w:r>
      <w:proofErr w:type="spellStart"/>
      <w:r w:rsidR="0066012A" w:rsidRPr="0066012A">
        <w:rPr>
          <w:rFonts w:ascii="Arial" w:eastAsia="Bookman Old Style" w:hAnsi="Arial" w:cs="Arial"/>
          <w:i/>
          <w:iCs/>
        </w:rPr>
        <w:t>susvara</w:t>
      </w:r>
      <w:proofErr w:type="spellEnd"/>
      <w:r w:rsidR="0066012A" w:rsidRPr="0066012A">
        <w:rPr>
          <w:rFonts w:ascii="Arial" w:eastAsia="Bookman Old Style" w:hAnsi="Arial" w:cs="Arial"/>
        </w:rPr>
        <w:t xml:space="preserve">, meaning “melodious sound.” The scene depicts a figure seated </w:t>
      </w:r>
      <w:r w:rsidR="0066012A" w:rsidRPr="0066012A">
        <w:rPr>
          <w:rFonts w:ascii="Arial" w:eastAsia="Bookman Old Style" w:hAnsi="Arial" w:cs="Arial"/>
        </w:rPr>
        <w:lastRenderedPageBreak/>
        <w:t xml:space="preserve">on a pavilion, surrounded by consorts and listening to music. The inscription on the left reads </w:t>
      </w:r>
      <w:proofErr w:type="spellStart"/>
      <w:r w:rsidR="0066012A" w:rsidRPr="0066012A">
        <w:rPr>
          <w:rFonts w:ascii="Arial" w:eastAsia="Bookman Old Style" w:hAnsi="Arial" w:cs="Arial"/>
          <w:i/>
          <w:iCs/>
        </w:rPr>
        <w:t>mahaujaska-samavadhāna</w:t>
      </w:r>
      <w:proofErr w:type="spellEnd"/>
      <w:r w:rsidR="0066012A" w:rsidRPr="0066012A">
        <w:rPr>
          <w:rFonts w:ascii="Arial" w:eastAsia="Bookman Old Style" w:hAnsi="Arial" w:cs="Arial"/>
        </w:rPr>
        <w:t xml:space="preserve"> (meeting with a truly great one), which closely parallels </w:t>
      </w:r>
      <w:proofErr w:type="spellStart"/>
      <w:r w:rsidR="0066012A" w:rsidRPr="0066012A">
        <w:rPr>
          <w:rFonts w:ascii="Arial" w:eastAsia="Bookman Old Style" w:hAnsi="Arial" w:cs="Arial"/>
          <w:i/>
          <w:iCs/>
        </w:rPr>
        <w:t>maheśākhyaiḥ</w:t>
      </w:r>
      <w:proofErr w:type="spellEnd"/>
      <w:r w:rsidR="0066012A" w:rsidRPr="0066012A">
        <w:rPr>
          <w:rFonts w:ascii="Arial" w:eastAsia="Bookman Old Style" w:hAnsi="Arial" w:cs="Arial"/>
          <w:i/>
          <w:iCs/>
        </w:rPr>
        <w:t xml:space="preserve"> </w:t>
      </w:r>
      <w:proofErr w:type="spellStart"/>
      <w:r w:rsidR="0066012A" w:rsidRPr="0066012A">
        <w:rPr>
          <w:rFonts w:ascii="Arial" w:eastAsia="Bookman Old Style" w:hAnsi="Arial" w:cs="Arial"/>
          <w:i/>
          <w:iCs/>
        </w:rPr>
        <w:t>samāgamo</w:t>
      </w:r>
      <w:proofErr w:type="spellEnd"/>
      <w:r w:rsidR="0066012A" w:rsidRPr="0066012A">
        <w:rPr>
          <w:rFonts w:ascii="Arial" w:eastAsia="Bookman Old Style" w:hAnsi="Arial" w:cs="Arial"/>
        </w:rPr>
        <w:t xml:space="preserve"> (gathering with noble persons).</w:t>
      </w:r>
      <w:r w:rsidR="0066012A">
        <w:rPr>
          <w:rFonts w:ascii="Arial" w:eastAsia="Bookman Old Style" w:hAnsi="Arial" w:cs="Arial"/>
        </w:rPr>
        <w:t xml:space="preserve"> </w:t>
      </w:r>
      <w:r>
        <w:rPr>
          <w:rFonts w:ascii="Arial" w:eastAsia="Bookman Old Style" w:hAnsi="Arial" w:cs="Arial"/>
        </w:rPr>
        <w:t>These texts add interpretive depth to the scene, reinforcing the idea that the male central figure and his entourage are exalted (possibly divine) figures, and affirming the close relationship between music, social status, and the representation of authority within the spiritual-cultural framework of ancient Java.</w:t>
      </w:r>
    </w:p>
    <w:p w14:paraId="6BC920BB" w14:textId="77777777" w:rsidR="0050657D" w:rsidRDefault="0050657D">
      <w:pPr>
        <w:pStyle w:val="Body"/>
        <w:spacing w:after="0"/>
        <w:rPr>
          <w:rFonts w:ascii="Arial" w:eastAsia="Bookman Old Style" w:hAnsi="Arial" w:cs="Arial"/>
          <w:b/>
          <w:bCs/>
        </w:rPr>
      </w:pPr>
    </w:p>
    <w:p w14:paraId="1DF9A158" w14:textId="5BFF70DA" w:rsidR="0050657D" w:rsidRDefault="00561B99">
      <w:pPr>
        <w:pStyle w:val="Body"/>
        <w:spacing w:after="0"/>
        <w:rPr>
          <w:rFonts w:ascii="Arial" w:eastAsia="Bookman Old Style" w:hAnsi="Arial"/>
        </w:rPr>
      </w:pPr>
      <w:r>
        <w:rPr>
          <w:rFonts w:ascii="Arial" w:eastAsia="Bookman Old Style" w:hAnsi="Arial"/>
        </w:rPr>
        <w:t xml:space="preserve">Nevertheless, in panel O 151, the lute appears in a more religious and sacred context. Music is performed in the presence of a divine or celestial figure seated among female attendants. In this relief, the lute forms part of a devotional ensemble that reinforces a heavenly atmosphere, illustrating how sound was regarded as a spiritual offering. The presence of the inscription </w:t>
      </w:r>
      <w:proofErr w:type="spellStart"/>
      <w:r>
        <w:rPr>
          <w:rFonts w:ascii="Arial Italic" w:eastAsia="Bookman Old Style" w:hAnsi="Arial Italic" w:cs="Arial Italic"/>
          <w:i/>
          <w:iCs/>
        </w:rPr>
        <w:t>svargga</w:t>
      </w:r>
      <w:proofErr w:type="spellEnd"/>
      <w:r>
        <w:rPr>
          <w:rFonts w:ascii="Arial Italic" w:eastAsia="Bookman Old Style" w:hAnsi="Arial Italic" w:cs="Arial Italic"/>
          <w:i/>
          <w:iCs/>
        </w:rPr>
        <w:t xml:space="preserve"> </w:t>
      </w:r>
      <w:r>
        <w:rPr>
          <w:rFonts w:ascii="Arial" w:eastAsia="Bookman Old Style" w:hAnsi="Arial"/>
        </w:rPr>
        <w:t>(heaven) in this panel further affirms that the lute was not merely played for entertainment, but held ritualistic and religious symbolic functions</w:t>
      </w:r>
      <w:r w:rsidR="0046795E">
        <w:rPr>
          <w:rFonts w:ascii="Arial" w:eastAsia="Bookman Old Style" w:hAnsi="Arial"/>
        </w:rPr>
        <w:t xml:space="preserve"> </w:t>
      </w:r>
      <w:r w:rsidR="0046795E">
        <w:rPr>
          <w:rFonts w:ascii="Arial" w:eastAsia="Bookman Old Style" w:hAnsi="Arial"/>
        </w:rPr>
        <w:fldChar w:fldCharType="begin"/>
      </w:r>
      <w:r w:rsidR="0046795E">
        <w:rPr>
          <w:rFonts w:ascii="Arial" w:eastAsia="Bookman Old Style" w:hAnsi="Arial"/>
        </w:rPr>
        <w:instrText xml:space="preserve"> ADDIN EN.CITE &lt;EndNote&gt;&lt;Cite&gt;&lt;Author&gt;Santiko&lt;/Author&gt;&lt;Year&gt;2012&lt;/Year&gt;&lt;RecNum&gt;13&lt;/RecNum&gt;&lt;DisplayText&gt;(Santiko &amp;amp; Nugrahani, 2012)&lt;/DisplayText&gt;&lt;record&gt;&lt;rec-number&gt;13&lt;/rec-number&gt;&lt;foreign-keys&gt;&lt;key app="EN" db-id="zart20f039v9zkes00rxefe3zd0rwve99w2x" timestamp="1747822474"&gt;13&lt;/key&gt;&lt;/foreign-keys&gt;&lt;ref-type name="Book"&gt;6&lt;/ref-type&gt;&lt;contributors&gt;&lt;authors&gt;&lt;author&gt;Santiko, Haryani&lt;/author&gt;&lt;author&gt;Nugrahani, DS&lt;/author&gt;&lt;/authors&gt;&lt;/contributors&gt;&lt;titles&gt;&lt;title&gt;Adegan dan ajaran hukum karma pada relief Karmawibhangga&lt;/title&gt;&lt;/titles&gt;&lt;dates&gt;&lt;year&gt;2012&lt;/year&gt;&lt;/dates&gt;&lt;publisher&gt;Balai konservasi borobudur&lt;/publisher&gt;&lt;isbn&gt;9791922799&lt;/isbn&gt;&lt;urls&gt;&lt;/urls&gt;&lt;/record&gt;&lt;/Cite&gt;&lt;/EndNote&gt;</w:instrText>
      </w:r>
      <w:r w:rsidR="0046795E">
        <w:rPr>
          <w:rFonts w:ascii="Arial" w:eastAsia="Bookman Old Style" w:hAnsi="Arial"/>
        </w:rPr>
        <w:fldChar w:fldCharType="separate"/>
      </w:r>
      <w:r w:rsidR="0046795E">
        <w:rPr>
          <w:rFonts w:ascii="Arial" w:eastAsia="Bookman Old Style" w:hAnsi="Arial"/>
          <w:noProof/>
        </w:rPr>
        <w:t>(Santiko &amp; Nugrahani, 2012)</w:t>
      </w:r>
      <w:r w:rsidR="0046795E">
        <w:rPr>
          <w:rFonts w:ascii="Arial" w:eastAsia="Bookman Old Style" w:hAnsi="Arial"/>
        </w:rPr>
        <w:fldChar w:fldCharType="end"/>
      </w:r>
      <w:r>
        <w:rPr>
          <w:rFonts w:ascii="Arial" w:eastAsia="Bookman Old Style" w:hAnsi="Arial"/>
        </w:rPr>
        <w:t>.</w:t>
      </w:r>
    </w:p>
    <w:p w14:paraId="0CAF66BE" w14:textId="77777777" w:rsidR="0050657D" w:rsidRDefault="0050657D">
      <w:pPr>
        <w:pStyle w:val="Body"/>
        <w:spacing w:after="0"/>
        <w:rPr>
          <w:rFonts w:ascii="Arial" w:eastAsia="Bookman Old Style" w:hAnsi="Arial"/>
        </w:rPr>
      </w:pPr>
    </w:p>
    <w:p w14:paraId="03F37EDD" w14:textId="6CC2D5D7" w:rsidR="0050657D" w:rsidRDefault="00561B99">
      <w:pPr>
        <w:pStyle w:val="Body"/>
        <w:spacing w:after="0"/>
        <w:rPr>
          <w:rFonts w:ascii="Arial" w:eastAsia="Bookman Old Style" w:hAnsi="Arial"/>
        </w:rPr>
      </w:pPr>
      <w:r>
        <w:rPr>
          <w:rFonts w:ascii="Arial" w:eastAsia="Bookman Old Style" w:hAnsi="Arial"/>
        </w:rPr>
        <w:t>The overall visual composition of this relief suggests a celestial life filled with music, reverence, and spiritual service. This semiotic indicator underscores that all the visual events depicted in the relief are closely related to heavenly realms. Hence, the musical elements portrayed therein can be strongly interpreted as sacred music, performed within contexts of worship or spiritual offerings.</w:t>
      </w:r>
      <w:r w:rsidR="00AC0FED">
        <w:rPr>
          <w:rFonts w:ascii="Arial" w:eastAsia="Bookman Old Style" w:hAnsi="Arial"/>
        </w:rPr>
        <w:t xml:space="preserve"> </w:t>
      </w:r>
      <w:r>
        <w:rPr>
          <w:rFonts w:ascii="Arial" w:eastAsia="Bookman Old Style" w:hAnsi="Arial"/>
        </w:rPr>
        <w:t xml:space="preserve">Panel O 102 even features a musician playing a two-stringed lute in front of a figure adorned with a </w:t>
      </w:r>
      <w:proofErr w:type="spellStart"/>
      <w:r>
        <w:rPr>
          <w:rFonts w:ascii="Arial" w:eastAsia="Bookman Old Style" w:hAnsi="Arial"/>
        </w:rPr>
        <w:t>prabha</w:t>
      </w:r>
      <w:proofErr w:type="spellEnd"/>
      <w:r>
        <w:rPr>
          <w:rFonts w:ascii="Arial" w:eastAsia="Bookman Old Style" w:hAnsi="Arial"/>
        </w:rPr>
        <w:t xml:space="preserve"> (a halo symbolizing holiness or celestial status). The presence of the </w:t>
      </w:r>
      <w:proofErr w:type="spellStart"/>
      <w:r>
        <w:rPr>
          <w:rFonts w:ascii="Arial" w:eastAsia="Bookman Old Style" w:hAnsi="Arial"/>
        </w:rPr>
        <w:t>kalpataru</w:t>
      </w:r>
      <w:proofErr w:type="spellEnd"/>
      <w:r>
        <w:rPr>
          <w:rFonts w:ascii="Arial" w:eastAsia="Bookman Old Style" w:hAnsi="Arial"/>
        </w:rPr>
        <w:t xml:space="preserve"> tree and kinnara figures further reinforces the interpretation that the lute contributes to an idealized celestial ambiance, embodying harmony, virtue, and devotion</w:t>
      </w:r>
      <w:r w:rsidR="0029705C">
        <w:rPr>
          <w:rFonts w:ascii="Arial" w:eastAsia="Bookman Old Style" w:hAnsi="Arial"/>
        </w:rPr>
        <w:t xml:space="preserve"> </w:t>
      </w:r>
      <w:r w:rsidR="0029705C">
        <w:rPr>
          <w:rFonts w:ascii="Arial" w:eastAsia="Bookman Old Style" w:hAnsi="Arial"/>
        </w:rPr>
        <w:fldChar w:fldCharType="begin"/>
      </w:r>
      <w:r w:rsidR="0029705C">
        <w:rPr>
          <w:rFonts w:ascii="Arial" w:eastAsia="Bookman Old Style" w:hAnsi="Arial"/>
        </w:rPr>
        <w:instrText xml:space="preserve"> ADDIN EN.CITE &lt;EndNote&gt;&lt;Cite&gt;&lt;Author&gt;Iswahyudi&lt;/Author&gt;&lt;Year&gt;2021&lt;/Year&gt;&lt;RecNum&gt;18&lt;/RecNum&gt;&lt;DisplayText&gt;(Iswahyudi, 2021)&lt;/DisplayText&gt;&lt;record&gt;&lt;rec-number&gt;18&lt;/rec-number&gt;&lt;foreign-keys&gt;&lt;key app="EN" db-id="zart20f039v9zkes00rxefe3zd0rwve99w2x" timestamp="1748668002"&gt;18&lt;/key&gt;&lt;/foreign-keys&gt;&lt;ref-type name="Journal Article"&gt;17&lt;/ref-type&gt;&lt;contributors&gt;&lt;authors&gt;&lt;author&gt;Iswahyudi, Iswahyudi&lt;/author&gt;&lt;/authors&gt;&lt;/contributors&gt;&lt;titles&gt;&lt;title&gt;The Depiction of Heaven and Hell in the Karmawibangga Reliefs of Borobudur Temple: An Overview of Character Education&lt;/title&gt;&lt;secondary-title&gt;Randwick International of Education and Linguistics Science Journal&lt;/secondary-title&gt;&lt;/titles&gt;&lt;periodical&gt;&lt;full-title&gt;Randwick International of Education and Linguistics Science Journal&lt;/full-title&gt;&lt;/periodical&gt;&lt;pages&gt;568-579&lt;/pages&gt;&lt;volume&gt;2&lt;/volume&gt;&lt;number&gt;4&lt;/number&gt;&lt;section&gt;Articles&lt;/section&gt;&lt;dates&gt;&lt;year&gt;2021&lt;/year&gt;&lt;pub-dates&gt;&lt;date&gt;12/24&lt;/date&gt;&lt;/pub-dates&gt;&lt;/dates&gt;&lt;urls&gt;&lt;related-urls&gt;&lt;url&gt;https://www.randwickresearch.com/index.php/rielsj/article/view/344&lt;/url&gt;&lt;/related-urls&gt;&lt;/urls&gt;&lt;electronic-resource-num&gt;10.47175/rielsj.v2i4.344&lt;/electronic-resource-num&gt;&lt;access-date&gt;2025/05/31&lt;/access-date&gt;&lt;/record&gt;&lt;/Cite&gt;&lt;/EndNote&gt;</w:instrText>
      </w:r>
      <w:r w:rsidR="0029705C">
        <w:rPr>
          <w:rFonts w:ascii="Arial" w:eastAsia="Bookman Old Style" w:hAnsi="Arial"/>
        </w:rPr>
        <w:fldChar w:fldCharType="separate"/>
      </w:r>
      <w:r w:rsidR="0029705C">
        <w:rPr>
          <w:rFonts w:ascii="Arial" w:eastAsia="Bookman Old Style" w:hAnsi="Arial"/>
          <w:noProof/>
        </w:rPr>
        <w:t>(Iswahyudi, 2021)</w:t>
      </w:r>
      <w:r w:rsidR="0029705C">
        <w:rPr>
          <w:rFonts w:ascii="Arial" w:eastAsia="Bookman Old Style" w:hAnsi="Arial"/>
        </w:rPr>
        <w:fldChar w:fldCharType="end"/>
      </w:r>
      <w:r>
        <w:rPr>
          <w:rFonts w:ascii="Arial" w:eastAsia="Bookman Old Style" w:hAnsi="Arial"/>
        </w:rPr>
        <w:t>. Within the Mahayana Buddhist religious framework that influenced Borobudur, rebirth in Indra's heaven is envisioned through celestial music, where the lute serves as an icon of sound guiding the soul toward a higher realm.</w:t>
      </w:r>
      <w:r w:rsidR="0046795E">
        <w:rPr>
          <w:rFonts w:ascii="Arial" w:eastAsia="Bookman Old Style" w:hAnsi="Arial"/>
        </w:rPr>
        <w:t xml:space="preserve"> </w:t>
      </w:r>
      <w:r w:rsidR="0046795E" w:rsidRPr="0046795E">
        <w:rPr>
          <w:rFonts w:ascii="Arial" w:eastAsia="Bookman Old Style" w:hAnsi="Arial"/>
        </w:rPr>
        <w:t xml:space="preserve">In addition to its spiritual symbolism, the presence of the lute may also reflect social stratification within ancient Javanese society, where musical performance and specific instruments could denote elite cultural practices or status markers. Considering the broader narrative of the </w:t>
      </w:r>
      <w:proofErr w:type="spellStart"/>
      <w:r w:rsidR="0046795E" w:rsidRPr="0046795E">
        <w:rPr>
          <w:rFonts w:ascii="Arial" w:eastAsia="Bookman Old Style" w:hAnsi="Arial"/>
        </w:rPr>
        <w:t>Karmawibhangga</w:t>
      </w:r>
      <w:proofErr w:type="spellEnd"/>
      <w:r w:rsidR="0046795E" w:rsidRPr="0046795E">
        <w:rPr>
          <w:rFonts w:ascii="Arial" w:eastAsia="Bookman Old Style" w:hAnsi="Arial"/>
        </w:rPr>
        <w:t xml:space="preserve"> Relief</w:t>
      </w:r>
      <w:r w:rsidR="0046795E">
        <w:rPr>
          <w:rFonts w:ascii="Arial" w:eastAsia="Bookman Old Style" w:hAnsi="Arial"/>
        </w:rPr>
        <w:t xml:space="preserve"> </w:t>
      </w:r>
      <w:r w:rsidR="0046795E" w:rsidRPr="0046795E">
        <w:rPr>
          <w:rFonts w:ascii="Arial" w:eastAsia="Bookman Old Style" w:hAnsi="Arial"/>
        </w:rPr>
        <w:t>the lute might simultaneously function as a symbol of both sacred aspiration and worldly privilege. Its representation alongside figures of high status or divine association suggests that the instrument held layered meanings, bridging the human and celestial domains.</w:t>
      </w:r>
    </w:p>
    <w:p w14:paraId="2F5694C4" w14:textId="77777777" w:rsidR="0050657D" w:rsidRDefault="0050657D">
      <w:pPr>
        <w:pStyle w:val="Body"/>
        <w:spacing w:after="0"/>
        <w:rPr>
          <w:rFonts w:ascii="Arial" w:eastAsia="Bookman Old Style" w:hAnsi="Arial"/>
        </w:rPr>
      </w:pPr>
    </w:p>
    <w:p w14:paraId="2795EAB0" w14:textId="1121DE95" w:rsidR="0050657D" w:rsidRDefault="00AC0FED">
      <w:pPr>
        <w:pStyle w:val="Body"/>
        <w:spacing w:after="0"/>
        <w:rPr>
          <w:rFonts w:ascii="Arial" w:eastAsia="Bookman Old Style" w:hAnsi="Arial"/>
        </w:rPr>
      </w:pPr>
      <w:r>
        <w:rPr>
          <w:rFonts w:ascii="Arial" w:eastAsia="Bookman Old Style" w:hAnsi="Arial"/>
        </w:rPr>
        <w:t xml:space="preserve">The lute represents the sound of the universe channeled by humans in their quest to connect with noble values. In the 9th-century Javanese religious and cultural context, the lute held a spiritual position, accompanying not only bodily movement (dance) and speech (chanting), but also the motion of the soul toward heightened consciousness. The lute is the sound that unites human beings with gods, celestial beings, and the eternal beauty of the cosmos. These findings align with earlier studies that emphasize the importance of music in Southeast Asian religious traditions, where sound is not merely an aesthetic form but also a medium with spiritual power </w:t>
      </w:r>
      <w:r>
        <w:rPr>
          <w:rFonts w:ascii="Arial" w:eastAsia="Bookman Old Style" w:hAnsi="Arial"/>
        </w:rPr>
        <w:fldChar w:fldCharType="begin"/>
      </w:r>
      <w:r>
        <w:rPr>
          <w:rFonts w:ascii="Arial" w:eastAsia="Bookman Old Style" w:hAnsi="Arial"/>
        </w:rPr>
        <w:instrText xml:space="preserve"> ADDIN EN.CITE &lt;EndNote&gt;&lt;Cite&gt;&lt;Author&gt;Becker&lt;/Author&gt;&lt;Year&gt;2004&lt;/Year&gt;&lt;RecNum&gt;8&lt;/RecNum&gt;&lt;DisplayText&gt;(Becker, 2004)&lt;/DisplayText&gt;&lt;record&gt;&lt;rec-number&gt;8&lt;/rec-number&gt;&lt;foreign-keys&gt;&lt;key app="EN" db-id="zart20f039v9zkes00rxefe3zd0rwve99w2x" timestamp="1747817314"&gt;8&lt;/key&gt;&lt;/foreign-keys&gt;&lt;ref-type name="Book"&gt;6&lt;/ref-type&gt;&lt;contributors&gt;&lt;authors&gt;&lt;author&gt;Becker, Judith&lt;/author&gt;&lt;/authors&gt;&lt;/contributors&gt;&lt;titles&gt;&lt;title&gt;Deep listeners: Music, emotion, and trancing&lt;/title&gt;&lt;/titles&gt;&lt;volume&gt;2&lt;/volume&gt;&lt;dates&gt;&lt;year&gt;2004&lt;/year&gt;&lt;/dates&gt;&lt;publisher&gt;Indiana University Press&lt;/publisher&gt;&lt;isbn&gt;0253216729&lt;/isbn&gt;&lt;urls&gt;&lt;/urls&gt;&lt;/record&gt;&lt;/Cite&gt;&lt;/EndNote&gt;</w:instrText>
      </w:r>
      <w:r>
        <w:rPr>
          <w:rFonts w:ascii="Arial" w:eastAsia="Bookman Old Style" w:hAnsi="Arial"/>
        </w:rPr>
        <w:fldChar w:fldCharType="separate"/>
      </w:r>
      <w:r>
        <w:rPr>
          <w:rFonts w:ascii="Arial" w:eastAsia="Bookman Old Style" w:hAnsi="Arial"/>
          <w:noProof/>
        </w:rPr>
        <w:t>(Becker, 2004)</w:t>
      </w:r>
      <w:r>
        <w:rPr>
          <w:rFonts w:ascii="Arial" w:eastAsia="Bookman Old Style" w:hAnsi="Arial"/>
        </w:rPr>
        <w:fldChar w:fldCharType="end"/>
      </w:r>
      <w:r>
        <w:rPr>
          <w:rFonts w:ascii="Arial" w:eastAsia="Bookman Old Style" w:hAnsi="Arial"/>
        </w:rPr>
        <w:t>.</w:t>
      </w:r>
    </w:p>
    <w:p w14:paraId="3D59205A" w14:textId="77777777" w:rsidR="0050657D" w:rsidRDefault="0050657D">
      <w:pPr>
        <w:pStyle w:val="Body"/>
        <w:spacing w:after="0"/>
        <w:rPr>
          <w:rFonts w:ascii="Arial" w:eastAsia="Bookman Old Style" w:hAnsi="Arial"/>
        </w:rPr>
      </w:pPr>
    </w:p>
    <w:p w14:paraId="21893447" w14:textId="647FEF33" w:rsidR="0050657D" w:rsidRDefault="00561B99">
      <w:pPr>
        <w:pStyle w:val="Body"/>
        <w:spacing w:after="0"/>
        <w:rPr>
          <w:rFonts w:ascii="Arial" w:eastAsia="Bookman Old Style" w:hAnsi="Arial"/>
        </w:rPr>
      </w:pPr>
      <w:r>
        <w:rPr>
          <w:rFonts w:ascii="Arial" w:eastAsia="Bookman Old Style" w:hAnsi="Arial"/>
        </w:rPr>
        <w:t xml:space="preserve">When examining instruments similar to the lute in relief 102, ethnoarchaeological research may provide deeper insights, as in Kalimantan, there exists a two-stringed plucked instrument used in sacred ceremonies. This instrument, called Sape, originates from the Dayak Kayaan people and is played during the </w:t>
      </w:r>
      <w:proofErr w:type="spellStart"/>
      <w:r>
        <w:rPr>
          <w:rFonts w:ascii="Arial Italic" w:eastAsia="Bookman Old Style" w:hAnsi="Arial Italic" w:cs="Arial Italic"/>
          <w:i/>
          <w:iCs/>
        </w:rPr>
        <w:t>dange</w:t>
      </w:r>
      <w:proofErr w:type="spellEnd"/>
      <w:r>
        <w:rPr>
          <w:rFonts w:ascii="Arial" w:eastAsia="Bookman Old Style" w:hAnsi="Arial"/>
        </w:rPr>
        <w:t>, a ritual thanksgiving ceremony following the harvest</w:t>
      </w:r>
      <w:r w:rsidR="0046795E">
        <w:rPr>
          <w:rFonts w:ascii="Arial" w:eastAsia="Bookman Old Style" w:hAnsi="Arial"/>
        </w:rPr>
        <w:t xml:space="preserve"> </w:t>
      </w:r>
      <w:r w:rsidR="0046795E">
        <w:rPr>
          <w:rFonts w:ascii="Arial" w:eastAsia="Bookman Old Style" w:hAnsi="Arial"/>
        </w:rPr>
        <w:fldChar w:fldCharType="begin"/>
      </w:r>
      <w:r w:rsidR="0046795E">
        <w:rPr>
          <w:rFonts w:ascii="Arial" w:eastAsia="Bookman Old Style" w:hAnsi="Arial"/>
        </w:rPr>
        <w:instrText xml:space="preserve"> ADDIN EN.CITE &lt;EndNote&gt;&lt;Cite&gt;&lt;Author&gt;Prastiwi&lt;/Author&gt;&lt;Year&gt;2022&lt;/Year&gt;&lt;RecNum&gt;17&lt;/RecNum&gt;&lt;DisplayText&gt;(Prastiwi &amp;amp; Wulandari, 2022)&lt;/DisplayText&gt;&lt;record&gt;&lt;rec-number&gt;17&lt;/rec-number&gt;&lt;foreign-keys&gt;&lt;key app="EN" db-id="zart20f039v9zkes00rxefe3zd0rwve99w2x" timestamp="1748624928"&gt;17&lt;/key&gt;&lt;/foreign-keys&gt;&lt;ref-type name="Book"&gt;6&lt;/ref-type&gt;&lt;contributors&gt;&lt;authors&gt;&lt;author&gt;Prastiwi, Septi Dhanik&lt;/author&gt;&lt;author&gt;Wulandari, Benedikta Juliatri Widi&lt;/author&gt;&lt;/authors&gt;&lt;/contributors&gt;&lt;titles&gt;&lt;title&gt;Penutur tradisi lisan kayaan mendalam: mereka yang berjuang melintasi zaman&lt;/title&gt;&lt;/titles&gt;&lt;dates&gt;&lt;year&gt;2022&lt;/year&gt;&lt;/dates&gt;&lt;publisher&gt;CV Media Jaya Abadi&lt;/publisher&gt;&lt;isbn&gt;6237526552&lt;/isbn&gt;&lt;urls&gt;&lt;/urls&gt;&lt;/record&gt;&lt;/Cite&gt;&lt;/EndNote&gt;</w:instrText>
      </w:r>
      <w:r w:rsidR="0046795E">
        <w:rPr>
          <w:rFonts w:ascii="Arial" w:eastAsia="Bookman Old Style" w:hAnsi="Arial"/>
        </w:rPr>
        <w:fldChar w:fldCharType="separate"/>
      </w:r>
      <w:r w:rsidR="0046795E">
        <w:rPr>
          <w:rFonts w:ascii="Arial" w:eastAsia="Bookman Old Style" w:hAnsi="Arial"/>
          <w:noProof/>
        </w:rPr>
        <w:t>(Prastiwi &amp; Wulandari, 2022)</w:t>
      </w:r>
      <w:r w:rsidR="0046795E">
        <w:rPr>
          <w:rFonts w:ascii="Arial" w:eastAsia="Bookman Old Style" w:hAnsi="Arial"/>
        </w:rPr>
        <w:fldChar w:fldCharType="end"/>
      </w:r>
      <w:r>
        <w:rPr>
          <w:rFonts w:ascii="Arial" w:eastAsia="Bookman Old Style" w:hAnsi="Arial"/>
        </w:rPr>
        <w:t xml:space="preserve">. The Sape shares remarkable similarities in form and technique with the instrument depicted in the relief. </w:t>
      </w:r>
      <w:r w:rsidR="007C3D15" w:rsidRPr="007C3D15">
        <w:rPr>
          <w:rFonts w:ascii="Arial" w:eastAsia="Bookman Old Style" w:hAnsi="Arial"/>
        </w:rPr>
        <w:t>This interpretation is further supported by Hindu traditions, in which the goddess Saraswati is commonly portrayed alongside a lute instrument</w:t>
      </w:r>
      <w:r w:rsidR="007C3D15">
        <w:rPr>
          <w:rFonts w:ascii="Arial" w:eastAsia="Bookman Old Style" w:hAnsi="Arial"/>
        </w:rPr>
        <w:t xml:space="preserve">. </w:t>
      </w:r>
      <w:proofErr w:type="spellStart"/>
      <w:r>
        <w:rPr>
          <w:rFonts w:ascii="Arial" w:eastAsia="Bookman Old Style" w:hAnsi="Arial"/>
        </w:rPr>
        <w:t>Such comparisons</w:t>
      </w:r>
      <w:proofErr w:type="spellEnd"/>
      <w:r>
        <w:rPr>
          <w:rFonts w:ascii="Arial" w:eastAsia="Bookman Old Style" w:hAnsi="Arial"/>
        </w:rPr>
        <w:t xml:space="preserve"> allow us to situate the Borobudur lute within the broader cultural ecology of Southeast Asia </w:t>
      </w:r>
      <w:r w:rsidR="00AC0FED">
        <w:rPr>
          <w:rFonts w:ascii="Arial" w:eastAsia="Bookman Old Style" w:hAnsi="Arial"/>
        </w:rPr>
        <w:fldChar w:fldCharType="begin"/>
      </w:r>
      <w:r w:rsidR="00AC0FED">
        <w:rPr>
          <w:rFonts w:ascii="Arial" w:eastAsia="Bookman Old Style" w:hAnsi="Arial"/>
        </w:rPr>
        <w:instrText xml:space="preserve"> ADDIN EN.CITE &lt;EndNote&gt;&lt;Cite&gt;&lt;Author&gt;Kartomi&lt;/Author&gt;&lt;Year&gt;1993&lt;/Year&gt;&lt;RecNum&gt;9&lt;/RecNum&gt;&lt;DisplayText&gt;(Kartomi, 1993)&lt;/DisplayText&gt;&lt;record&gt;&lt;rec-number&gt;9&lt;/rec-number&gt;&lt;foreign-keys&gt;&lt;key app="EN" db-id="zart20f039v9zkes00rxefe3zd0rwve99w2x" timestamp="1747817314"&gt;9&lt;/key&gt;&lt;/foreign-keys&gt;&lt;ref-type name="Journal Article"&gt;17&lt;/ref-type&gt;&lt;contributors&gt;&lt;authors&gt;&lt;author&gt;Kartomi, Margaret J&lt;/author&gt;&lt;/authors&gt;&lt;/contributors&gt;&lt;titles&gt;&lt;title&gt;A Javanese Gamelan: Traditional Orchestra of Indonesia. By JENNIFER LINDSAY. New York: Oxford University Press, 1992. vi, 76 pp. $14.95&lt;/title&gt;&lt;secondary-title&gt;The Journal of Asian Studies&lt;/secondary-title&gt;&lt;/titles&gt;&lt;periodical&gt;&lt;full-title&gt;The Journal of Asian Studies&lt;/full-title&gt;&lt;/periodical&gt;&lt;pages&gt;793-794&lt;/pages&gt;&lt;volume&gt;52&lt;/volume&gt;&lt;number&gt;3&lt;/number&gt;&lt;dates&gt;&lt;year&gt;1993&lt;/year&gt;&lt;/dates&gt;&lt;isbn&gt;1752-0401&lt;/isbn&gt;&lt;urls&gt;&lt;/urls&gt;&lt;/record&gt;&lt;/Cite&gt;&lt;/EndNote&gt;</w:instrText>
      </w:r>
      <w:r w:rsidR="00AC0FED">
        <w:rPr>
          <w:rFonts w:ascii="Arial" w:eastAsia="Bookman Old Style" w:hAnsi="Arial"/>
        </w:rPr>
        <w:fldChar w:fldCharType="separate"/>
      </w:r>
      <w:r w:rsidR="00AC0FED">
        <w:rPr>
          <w:rFonts w:ascii="Arial" w:eastAsia="Bookman Old Style" w:hAnsi="Arial"/>
          <w:noProof/>
        </w:rPr>
        <w:t>(Kartomi, 1993)</w:t>
      </w:r>
      <w:r w:rsidR="00AC0FED">
        <w:rPr>
          <w:rFonts w:ascii="Arial" w:eastAsia="Bookman Old Style" w:hAnsi="Arial"/>
        </w:rPr>
        <w:fldChar w:fldCharType="end"/>
      </w:r>
      <w:r w:rsidR="00AC0FED">
        <w:rPr>
          <w:rFonts w:ascii="Arial" w:eastAsia="Bookman Old Style" w:hAnsi="Arial"/>
        </w:rPr>
        <w:t xml:space="preserve">. </w:t>
      </w:r>
      <w:r>
        <w:rPr>
          <w:rFonts w:ascii="Arial" w:eastAsia="Bookman Old Style" w:hAnsi="Arial"/>
        </w:rPr>
        <w:t xml:space="preserve">The idea of cross-cultural </w:t>
      </w:r>
      <w:r>
        <w:rPr>
          <w:rFonts w:ascii="Arial" w:eastAsia="Bookman Old Style" w:hAnsi="Arial"/>
        </w:rPr>
        <w:lastRenderedPageBreak/>
        <w:t xml:space="preserve">exchange and musical knowledge transfer is further supported by mappings of early Southeast Asian musical development, particularly </w:t>
      </w:r>
      <w:r w:rsidR="00AC0FED">
        <w:rPr>
          <w:rFonts w:ascii="Arial" w:eastAsia="Bookman Old Style" w:hAnsi="Arial"/>
        </w:rPr>
        <w:t>how</w:t>
      </w:r>
      <w:r>
        <w:rPr>
          <w:rFonts w:ascii="Arial" w:eastAsia="Bookman Old Style" w:hAnsi="Arial"/>
        </w:rPr>
        <w:t xml:space="preserve"> interregional influences occurred through trade routes, religious migration, and royal patronage </w:t>
      </w:r>
      <w:r w:rsidR="00AC0FED">
        <w:rPr>
          <w:rFonts w:ascii="Arial" w:eastAsia="Bookman Old Style" w:hAnsi="Arial"/>
        </w:rPr>
        <w:fldChar w:fldCharType="begin"/>
      </w:r>
      <w:r w:rsidR="00AC0FED">
        <w:rPr>
          <w:rFonts w:ascii="Arial" w:eastAsia="Bookman Old Style" w:hAnsi="Arial"/>
        </w:rPr>
        <w:instrText xml:space="preserve"> ADDIN EN.CITE &lt;EndNote&gt;&lt;Cite&gt;&lt;Author&gt;Nicolas&lt;/Author&gt;&lt;Year&gt;2011&lt;/Year&gt;&lt;RecNum&gt;6&lt;/RecNum&gt;&lt;DisplayText&gt;(Nicolas, 2011)&lt;/DisplayText&gt;&lt;record&gt;&lt;rec-number&gt;6&lt;/rec-number&gt;&lt;foreign-keys&gt;&lt;key app="EN" db-id="zart20f039v9zkes00rxefe3zd0rwve99w2x" timestamp="1747817314"&gt;6&lt;/key&gt;&lt;/foreign-keys&gt;&lt;ref-type name="Journal Article"&gt;17&lt;/ref-type&gt;&lt;contributors&gt;&lt;authors&gt;&lt;author&gt;Nicolas, Arsenio&lt;/author&gt;&lt;/authors&gt;&lt;/contributors&gt;&lt;titles&gt;&lt;title&gt;Early musical exchange between India and Southeast Asia&lt;/title&gt;&lt;secondary-title&gt;Early interactions between South and Southeast Asia: Reflections on cross-cultural exchange&lt;/secondary-title&gt;&lt;/titles&gt;&lt;periodical&gt;&lt;full-title&gt;Early interactions between South and Southeast Asia: Reflections on cross-cultural exchange&lt;/full-title&gt;&lt;/periodical&gt;&lt;pages&gt;347-69&lt;/pages&gt;&lt;dates&gt;&lt;year&gt;2011&lt;/year&gt;&lt;/dates&gt;&lt;urls&gt;&lt;/urls&gt;&lt;/record&gt;&lt;/Cite&gt;&lt;/EndNote&gt;</w:instrText>
      </w:r>
      <w:r w:rsidR="00AC0FED">
        <w:rPr>
          <w:rFonts w:ascii="Arial" w:eastAsia="Bookman Old Style" w:hAnsi="Arial"/>
        </w:rPr>
        <w:fldChar w:fldCharType="separate"/>
      </w:r>
      <w:r w:rsidR="00AC0FED">
        <w:rPr>
          <w:rFonts w:ascii="Arial" w:eastAsia="Bookman Old Style" w:hAnsi="Arial"/>
          <w:noProof/>
        </w:rPr>
        <w:t>(Nicolas, 2011)</w:t>
      </w:r>
      <w:r w:rsidR="00AC0FED">
        <w:rPr>
          <w:rFonts w:ascii="Arial" w:eastAsia="Bookman Old Style" w:hAnsi="Arial"/>
        </w:rPr>
        <w:fldChar w:fldCharType="end"/>
      </w:r>
      <w:r>
        <w:rPr>
          <w:rFonts w:ascii="Arial" w:eastAsia="Bookman Old Style" w:hAnsi="Arial"/>
        </w:rPr>
        <w:t>. Therefore, Kunst's claim regarding the resemblance between the Borobudur instrument and those from other regions gains a broader historical foundation.</w:t>
      </w:r>
    </w:p>
    <w:p w14:paraId="27A7441D" w14:textId="77777777" w:rsidR="0050657D" w:rsidRDefault="0050657D">
      <w:pPr>
        <w:pStyle w:val="Body"/>
        <w:spacing w:after="0"/>
        <w:rPr>
          <w:rFonts w:ascii="Arial" w:eastAsia="Bookman Old Style" w:hAnsi="Arial"/>
        </w:rPr>
      </w:pPr>
    </w:p>
    <w:p w14:paraId="56ECC87A" w14:textId="77777777" w:rsidR="0050657D" w:rsidRDefault="00561B99">
      <w:pPr>
        <w:pStyle w:val="Body"/>
        <w:spacing w:after="0"/>
        <w:rPr>
          <w:rFonts w:ascii="Arial Bold" w:eastAsia="Bookman Old Style" w:hAnsi="Arial Bold" w:cs="Arial Bold"/>
          <w:b/>
          <w:bCs/>
          <w:sz w:val="22"/>
          <w:szCs w:val="22"/>
        </w:rPr>
      </w:pPr>
      <w:r>
        <w:rPr>
          <w:rFonts w:ascii="Arial Bold" w:eastAsia="Bookman Old Style" w:hAnsi="Arial Bold" w:cs="Arial Bold"/>
          <w:b/>
          <w:bCs/>
          <w:sz w:val="22"/>
          <w:szCs w:val="22"/>
        </w:rPr>
        <w:t>4. CONCLUSION</w:t>
      </w:r>
    </w:p>
    <w:p w14:paraId="76CFFC31" w14:textId="0E9D7EE8" w:rsidR="0050657D" w:rsidRDefault="00561B99" w:rsidP="009D7982">
      <w:pPr>
        <w:pStyle w:val="Body"/>
        <w:spacing w:after="0"/>
        <w:rPr>
          <w:rFonts w:ascii="Arial" w:eastAsia="Bookman Old Style" w:hAnsi="Arial"/>
        </w:rPr>
      </w:pPr>
      <w:r>
        <w:rPr>
          <w:rFonts w:ascii="Arial" w:eastAsia="Bookman Old Style" w:hAnsi="Arial"/>
        </w:rPr>
        <w:t xml:space="preserve">This study reveals that the depiction of the lute in the </w:t>
      </w:r>
      <w:proofErr w:type="spellStart"/>
      <w:r>
        <w:rPr>
          <w:rFonts w:ascii="Arial" w:eastAsia="Bookman Old Style" w:hAnsi="Arial"/>
        </w:rPr>
        <w:t>Karmawibhangga</w:t>
      </w:r>
      <w:proofErr w:type="spellEnd"/>
      <w:r>
        <w:rPr>
          <w:rFonts w:ascii="Arial" w:eastAsia="Bookman Old Style" w:hAnsi="Arial"/>
        </w:rPr>
        <w:t xml:space="preserve"> reliefs of Borobudur Temple is not merely a representation of a musical instrument, but carries profound symbolic meanings within the socio-spiritual context of 9th-century Java. Through a Peirce semiotic analysis of relief panels 102, 125, and 151, it was found that the lute appears in various contexts, accompanying celestial dance, forming part of sacred ensembles, and symbolizing luxury and power within elite circles. The presence of two- to four-stringed lutes, often played alongside bar zithers and accompanied by singers, indicates the musical complexity of the time. These findings demonstrate that music was inseparable from the religious, social, and political practices of ancient Javanese society, serving as a medium for conveying profound meanings between the human and the transcendent realms.</w:t>
      </w:r>
    </w:p>
    <w:p w14:paraId="42FDF380" w14:textId="77777777" w:rsidR="00AC0FED" w:rsidRPr="009D7982" w:rsidRDefault="00AC0FED" w:rsidP="009D7982">
      <w:pPr>
        <w:pStyle w:val="Body"/>
        <w:spacing w:after="0"/>
        <w:rPr>
          <w:rFonts w:ascii="Arial" w:eastAsia="Bookman Old Style" w:hAnsi="Arial"/>
        </w:rPr>
      </w:pPr>
    </w:p>
    <w:p w14:paraId="51BE5A6F" w14:textId="77777777" w:rsidR="001D537B" w:rsidRDefault="001D537B">
      <w:pPr>
        <w:pStyle w:val="ReferHead"/>
        <w:spacing w:after="0"/>
        <w:jc w:val="both"/>
        <w:rPr>
          <w:rFonts w:ascii="Arial" w:hAnsi="Arial" w:cs="Arial"/>
          <w:b w:val="0"/>
          <w:caps w:val="0"/>
          <w:sz w:val="20"/>
          <w:u w:val="single"/>
        </w:rPr>
      </w:pPr>
    </w:p>
    <w:p w14:paraId="09D9CA11" w14:textId="77777777" w:rsidR="00887EED" w:rsidRPr="00394842" w:rsidRDefault="00887EED" w:rsidP="00887EED">
      <w:pPr>
        <w:rPr>
          <w:highlight w:val="yellow"/>
        </w:rPr>
      </w:pPr>
      <w:r w:rsidRPr="00394842">
        <w:rPr>
          <w:highlight w:val="yellow"/>
        </w:rPr>
        <w:t>Disclaimer (Artificial intelligence)</w:t>
      </w:r>
    </w:p>
    <w:p w14:paraId="37681EC7" w14:textId="77777777" w:rsidR="00887EED" w:rsidRPr="00394842" w:rsidRDefault="00887EED" w:rsidP="00887EED">
      <w:pPr>
        <w:rPr>
          <w:highlight w:val="yellow"/>
        </w:rPr>
      </w:pPr>
    </w:p>
    <w:p w14:paraId="3071864B" w14:textId="77777777" w:rsidR="00887EED" w:rsidRPr="00394842" w:rsidRDefault="00887EED" w:rsidP="00887EED">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53DEC494" w14:textId="77777777" w:rsidR="0050657D" w:rsidRDefault="0050657D">
      <w:pPr>
        <w:pStyle w:val="ReferHead"/>
        <w:spacing w:after="0"/>
        <w:jc w:val="both"/>
        <w:rPr>
          <w:rFonts w:ascii="Arial" w:hAnsi="Arial" w:cs="Arial"/>
          <w:b w:val="0"/>
          <w:caps w:val="0"/>
          <w:sz w:val="20"/>
        </w:rPr>
      </w:pPr>
    </w:p>
    <w:p w14:paraId="18BAC679" w14:textId="77777777" w:rsidR="0050657D" w:rsidRDefault="0050657D">
      <w:pPr>
        <w:pStyle w:val="Body"/>
        <w:spacing w:after="0"/>
        <w:rPr>
          <w:rFonts w:ascii="Arial" w:hAnsi="Arial" w:cs="Arial"/>
        </w:rPr>
      </w:pPr>
    </w:p>
    <w:p w14:paraId="33FDC28C" w14:textId="70A94C88" w:rsidR="0050657D" w:rsidRDefault="0050657D">
      <w:pPr>
        <w:pStyle w:val="Appendix"/>
        <w:spacing w:after="0"/>
        <w:jc w:val="both"/>
        <w:rPr>
          <w:rFonts w:ascii="Arial" w:hAnsi="Arial" w:cs="Arial"/>
          <w:b w:val="0"/>
        </w:rPr>
        <w:sectPr w:rsidR="0050657D" w:rsidSect="00576521">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17584B8C" w14:textId="197E5CF9" w:rsidR="004549A4" w:rsidRPr="00EF0527" w:rsidRDefault="00EF0527">
      <w:pPr>
        <w:pStyle w:val="Appendix"/>
        <w:spacing w:after="0"/>
        <w:jc w:val="both"/>
        <w:rPr>
          <w:rFonts w:ascii="Arial" w:hAnsi="Arial" w:cs="Arial"/>
          <w:bCs/>
        </w:rPr>
      </w:pPr>
      <w:r w:rsidRPr="00EF0527">
        <w:rPr>
          <w:rFonts w:ascii="Arial" w:hAnsi="Arial" w:cs="Arial"/>
          <w:bCs/>
        </w:rPr>
        <w:t>REFERENCES</w:t>
      </w:r>
    </w:p>
    <w:p w14:paraId="6EE18DA7" w14:textId="77777777" w:rsidR="004549A4" w:rsidRDefault="004549A4">
      <w:pPr>
        <w:pStyle w:val="Appendix"/>
        <w:spacing w:after="0"/>
        <w:jc w:val="both"/>
        <w:rPr>
          <w:rFonts w:ascii="Arial" w:hAnsi="Arial" w:cs="Arial"/>
          <w:b w:val="0"/>
        </w:rPr>
      </w:pPr>
    </w:p>
    <w:p w14:paraId="1B5A2691" w14:textId="2B150F4B" w:rsidR="003F72AE" w:rsidRPr="003D6977" w:rsidRDefault="003F72AE" w:rsidP="003F72AE">
      <w:pPr>
        <w:pStyle w:val="EndNoteBibliography"/>
        <w:ind w:left="720" w:hanging="720"/>
        <w:rPr>
          <w:rFonts w:cs="Arial"/>
          <w:szCs w:val="22"/>
        </w:rPr>
      </w:pPr>
      <w:proofErr w:type="spellStart"/>
      <w:r w:rsidRPr="003D6977">
        <w:rPr>
          <w:rFonts w:cs="Arial"/>
          <w:szCs w:val="22"/>
        </w:rPr>
        <w:t>Ānandajoti</w:t>
      </w:r>
      <w:proofErr w:type="spellEnd"/>
      <w:r w:rsidRPr="003D6977">
        <w:rPr>
          <w:rFonts w:cs="Arial"/>
          <w:szCs w:val="22"/>
        </w:rPr>
        <w:t xml:space="preserve">. </w:t>
      </w:r>
      <w:r w:rsidR="00AF4BD7" w:rsidRPr="003D6977">
        <w:rPr>
          <w:rFonts w:cs="Arial"/>
          <w:szCs w:val="22"/>
        </w:rPr>
        <w:t>(</w:t>
      </w:r>
      <w:r w:rsidRPr="003D6977">
        <w:rPr>
          <w:rFonts w:cs="Arial"/>
          <w:szCs w:val="22"/>
        </w:rPr>
        <w:t>2023</w:t>
      </w:r>
      <w:r w:rsidR="00AF4BD7" w:rsidRPr="003D6977">
        <w:rPr>
          <w:rFonts w:cs="Arial"/>
          <w:szCs w:val="22"/>
        </w:rPr>
        <w:t xml:space="preserve">). </w:t>
      </w:r>
      <w:proofErr w:type="spellStart"/>
      <w:r w:rsidR="00AF4BD7" w:rsidRPr="003D6977">
        <w:rPr>
          <w:rFonts w:cs="Arial"/>
          <w:szCs w:val="22"/>
        </w:rPr>
        <w:t>Karmavibanga</w:t>
      </w:r>
      <w:proofErr w:type="spellEnd"/>
      <w:r w:rsidR="00AF4BD7" w:rsidRPr="003D6977">
        <w:rPr>
          <w:rFonts w:cs="Arial"/>
          <w:szCs w:val="22"/>
        </w:rPr>
        <w:t xml:space="preserve"> </w:t>
      </w:r>
      <w:proofErr w:type="spellStart"/>
      <w:r w:rsidR="00AF4BD7" w:rsidRPr="003D6977">
        <w:rPr>
          <w:rFonts w:cs="Arial"/>
          <w:szCs w:val="22"/>
        </w:rPr>
        <w:t>Sūtra</w:t>
      </w:r>
      <w:proofErr w:type="spellEnd"/>
      <w:r w:rsidR="00AF4BD7" w:rsidRPr="003D6977">
        <w:rPr>
          <w:rFonts w:cs="Arial"/>
          <w:szCs w:val="22"/>
        </w:rPr>
        <w:t>. Ehipassiko Foundation.</w:t>
      </w:r>
    </w:p>
    <w:p w14:paraId="3E156618" w14:textId="77777777" w:rsidR="003D6977" w:rsidRPr="003D6977" w:rsidRDefault="004549A4" w:rsidP="003D6977">
      <w:pPr>
        <w:pStyle w:val="EndNoteBibliography"/>
        <w:ind w:left="720" w:hanging="720"/>
        <w:rPr>
          <w:noProof/>
          <w:szCs w:val="22"/>
        </w:rPr>
      </w:pPr>
      <w:r w:rsidRPr="003D6977">
        <w:rPr>
          <w:rFonts w:cs="Arial"/>
          <w:szCs w:val="22"/>
        </w:rPr>
        <w:fldChar w:fldCharType="begin"/>
      </w:r>
      <w:r w:rsidRPr="003D6977">
        <w:rPr>
          <w:rFonts w:cs="Arial"/>
          <w:szCs w:val="22"/>
        </w:rPr>
        <w:instrText xml:space="preserve"> ADDIN EN.REFLIST </w:instrText>
      </w:r>
      <w:r w:rsidRPr="003D6977">
        <w:rPr>
          <w:rFonts w:cs="Arial"/>
          <w:szCs w:val="22"/>
        </w:rPr>
        <w:fldChar w:fldCharType="separate"/>
      </w:r>
      <w:r w:rsidR="003D6977" w:rsidRPr="003D6977">
        <w:rPr>
          <w:noProof/>
          <w:szCs w:val="22"/>
        </w:rPr>
        <w:t xml:space="preserve">Becker, J. (2004). Deep listeners: Music, emotion, and trancing (Vol. 2). Indiana University Press. </w:t>
      </w:r>
    </w:p>
    <w:p w14:paraId="0487B21E" w14:textId="63C1D679" w:rsidR="003D6977" w:rsidRPr="003D6977" w:rsidRDefault="003D6977" w:rsidP="003D6977">
      <w:pPr>
        <w:pStyle w:val="EndNoteBibliography"/>
        <w:ind w:left="720" w:hanging="720"/>
        <w:rPr>
          <w:noProof/>
          <w:szCs w:val="22"/>
        </w:rPr>
      </w:pPr>
      <w:r w:rsidRPr="003D6977">
        <w:rPr>
          <w:noProof/>
          <w:szCs w:val="22"/>
        </w:rPr>
        <w:t xml:space="preserve">Ferdinandus, P. E. J. (2001). Alat musik Jawa kuno. Yayasan Mahardhika. </w:t>
      </w:r>
      <w:hyperlink r:id="rId24" w:history="1">
        <w:r w:rsidRPr="003D6977">
          <w:rPr>
            <w:rStyle w:val="Hyperlink"/>
            <w:noProof/>
            <w:szCs w:val="22"/>
          </w:rPr>
          <w:t>https://books.google.co.id/books?id=hzuKnQAACAAJ</w:t>
        </w:r>
      </w:hyperlink>
      <w:r w:rsidRPr="003D6977">
        <w:rPr>
          <w:noProof/>
          <w:szCs w:val="22"/>
        </w:rPr>
        <w:t xml:space="preserve"> </w:t>
      </w:r>
    </w:p>
    <w:p w14:paraId="7B20CC28" w14:textId="0FAB2FC3" w:rsidR="003D6977" w:rsidRPr="003D6977" w:rsidRDefault="003D6977" w:rsidP="003D6977">
      <w:pPr>
        <w:pStyle w:val="Appendix"/>
        <w:spacing w:after="0"/>
        <w:ind w:left="709" w:right="1302" w:hanging="709"/>
        <w:jc w:val="both"/>
        <w:rPr>
          <w:rFonts w:cs="Arial"/>
          <w:b w:val="0"/>
          <w:szCs w:val="22"/>
        </w:rPr>
      </w:pPr>
      <w:r w:rsidRPr="003D6977">
        <w:rPr>
          <w:rFonts w:cs="Arial"/>
          <w:b w:val="0"/>
          <w:caps w:val="0"/>
          <w:szCs w:val="22"/>
        </w:rPr>
        <w:t xml:space="preserve">Halim A, </w:t>
      </w:r>
      <w:proofErr w:type="spellStart"/>
      <w:r w:rsidRPr="003D6977">
        <w:rPr>
          <w:rFonts w:cs="Arial"/>
          <w:b w:val="0"/>
          <w:caps w:val="0"/>
          <w:szCs w:val="22"/>
        </w:rPr>
        <w:t>Herwindo</w:t>
      </w:r>
      <w:proofErr w:type="spellEnd"/>
      <w:r w:rsidRPr="003D6977">
        <w:rPr>
          <w:rFonts w:cs="Arial"/>
          <w:b w:val="0"/>
          <w:caps w:val="0"/>
          <w:szCs w:val="22"/>
        </w:rPr>
        <w:t xml:space="preserve"> Rp. 2017. The Meaning Of Ornaments The Hindu And Buddhist Temples On The Island Of Java (Ancient-Middle-Late Classical Eras). </w:t>
      </w:r>
      <w:proofErr w:type="spellStart"/>
      <w:r w:rsidRPr="003D6977">
        <w:rPr>
          <w:rFonts w:cs="Arial"/>
          <w:b w:val="0"/>
          <w:caps w:val="0"/>
          <w:szCs w:val="22"/>
        </w:rPr>
        <w:t>Jurnal</w:t>
      </w:r>
      <w:proofErr w:type="spellEnd"/>
      <w:r w:rsidRPr="003D6977">
        <w:rPr>
          <w:rFonts w:cs="Arial"/>
          <w:b w:val="0"/>
          <w:caps w:val="0"/>
          <w:szCs w:val="22"/>
        </w:rPr>
        <w:t xml:space="preserve"> Riset </w:t>
      </w:r>
      <w:proofErr w:type="spellStart"/>
      <w:r w:rsidRPr="003D6977">
        <w:rPr>
          <w:rFonts w:cs="Arial"/>
          <w:b w:val="0"/>
          <w:caps w:val="0"/>
          <w:szCs w:val="22"/>
        </w:rPr>
        <w:t>Arsitektur</w:t>
      </w:r>
      <w:proofErr w:type="spellEnd"/>
      <w:r w:rsidRPr="003D6977">
        <w:rPr>
          <w:rFonts w:cs="Arial"/>
          <w:b w:val="0"/>
          <w:caps w:val="0"/>
          <w:szCs w:val="22"/>
        </w:rPr>
        <w:t xml:space="preserve"> 1 (2): 170-191</w:t>
      </w:r>
    </w:p>
    <w:p w14:paraId="29187EAE" w14:textId="77777777" w:rsidR="003D6977" w:rsidRPr="003D6977" w:rsidRDefault="003D6977" w:rsidP="003D6977">
      <w:pPr>
        <w:pStyle w:val="EndNoteBibliography"/>
        <w:ind w:left="720" w:hanging="720"/>
        <w:rPr>
          <w:noProof/>
          <w:szCs w:val="22"/>
        </w:rPr>
      </w:pPr>
      <w:r w:rsidRPr="003D6977">
        <w:rPr>
          <w:noProof/>
          <w:szCs w:val="22"/>
        </w:rPr>
        <w:t xml:space="preserve">Haryono, T. (2008). Seni pertunjukan dan seni rupa dalam perspektif arkeologi seni. ISI Press Solo. </w:t>
      </w:r>
    </w:p>
    <w:p w14:paraId="17717020" w14:textId="77777777" w:rsidR="003D6977" w:rsidRPr="003D6977" w:rsidRDefault="003D6977" w:rsidP="003D6977">
      <w:pPr>
        <w:pStyle w:val="EndNoteBibliography"/>
        <w:ind w:left="720" w:hanging="720"/>
        <w:rPr>
          <w:noProof/>
          <w:szCs w:val="22"/>
        </w:rPr>
      </w:pPr>
      <w:r w:rsidRPr="003D6977">
        <w:rPr>
          <w:noProof/>
          <w:szCs w:val="22"/>
        </w:rPr>
        <w:t>Hendra, S. (2020). EVOLUSI GAMELAN BALI: Dari Banjuran Menuju Adi Merdangga. In: Pusat Penerbitan LP2MPP Institut Seni Indonesia Denpasar.</w:t>
      </w:r>
    </w:p>
    <w:p w14:paraId="2661CA85" w14:textId="77777777" w:rsidR="003D6977" w:rsidRPr="003D6977" w:rsidRDefault="003D6977" w:rsidP="003D6977">
      <w:pPr>
        <w:pStyle w:val="EndNoteBibliography"/>
        <w:ind w:left="720" w:hanging="720"/>
        <w:rPr>
          <w:noProof/>
          <w:szCs w:val="22"/>
        </w:rPr>
      </w:pPr>
      <w:r w:rsidRPr="003D6977">
        <w:rPr>
          <w:noProof/>
          <w:szCs w:val="22"/>
        </w:rPr>
        <w:t xml:space="preserve">Hertiasa, H., Santosa, I., Irfansyah, I., &amp; Setiawan, P. (2021). Gesture in Visual Narrative Reliefs of Karmawibhangga Borobudur as An Ancient Javanese Locality Value. ICON ARCCADE 2021: The 2nd International Conference on Art, Craft, Culture and Design (ICON-ARCCADE 2021), </w:t>
      </w:r>
    </w:p>
    <w:p w14:paraId="3E1C0A50" w14:textId="2A765A38" w:rsidR="003D6977" w:rsidRPr="003D6977" w:rsidRDefault="003D6977" w:rsidP="003D6977">
      <w:pPr>
        <w:pStyle w:val="EndNoteBibliography"/>
        <w:ind w:left="720" w:hanging="720"/>
        <w:rPr>
          <w:noProof/>
          <w:szCs w:val="22"/>
        </w:rPr>
      </w:pPr>
      <w:r w:rsidRPr="003D6977">
        <w:rPr>
          <w:noProof/>
          <w:szCs w:val="22"/>
        </w:rPr>
        <w:t xml:space="preserve">Iswahyudi, I. (2021). The Depiction of Heaven and Hell in the Karmawibangga Reliefs of Borobudur Temple: An Overview of Character Education. Randwick International of Education and Linguistics Science Journal, 2(4), 568-579. </w:t>
      </w:r>
      <w:hyperlink r:id="rId25" w:history="1">
        <w:r w:rsidRPr="003D6977">
          <w:rPr>
            <w:rStyle w:val="Hyperlink"/>
            <w:noProof/>
            <w:szCs w:val="22"/>
          </w:rPr>
          <w:t>https://doi.org/10.47175/rielsj.v2i4.344</w:t>
        </w:r>
      </w:hyperlink>
      <w:r w:rsidRPr="003D6977">
        <w:rPr>
          <w:noProof/>
          <w:szCs w:val="22"/>
        </w:rPr>
        <w:t xml:space="preserve"> </w:t>
      </w:r>
    </w:p>
    <w:p w14:paraId="5663546C" w14:textId="77777777" w:rsidR="003D6977" w:rsidRPr="003D6977" w:rsidRDefault="003D6977" w:rsidP="003D6977">
      <w:pPr>
        <w:pStyle w:val="EndNoteBibliography"/>
        <w:ind w:left="720" w:hanging="720"/>
        <w:rPr>
          <w:noProof/>
          <w:szCs w:val="22"/>
        </w:rPr>
      </w:pPr>
      <w:r w:rsidRPr="003D6977">
        <w:rPr>
          <w:noProof/>
          <w:szCs w:val="22"/>
        </w:rPr>
        <w:lastRenderedPageBreak/>
        <w:t xml:space="preserve">Kartomi, M. J. (1993). A Javanese Gamelan: Traditional Orchestra of Indonesia. By JENNIFER LINDSAY. New York: Oxford University Press, 1992. vi, 76 pp. $14.95. The Journal of Asian Studies, 52(3), 793-794. </w:t>
      </w:r>
    </w:p>
    <w:p w14:paraId="7F5C1EB1" w14:textId="77777777" w:rsidR="003D6977" w:rsidRPr="003D6977" w:rsidRDefault="003D6977" w:rsidP="003D6977">
      <w:pPr>
        <w:pStyle w:val="EndNoteBibliography"/>
        <w:ind w:left="720" w:hanging="720"/>
        <w:rPr>
          <w:noProof/>
          <w:szCs w:val="22"/>
        </w:rPr>
      </w:pPr>
      <w:r w:rsidRPr="003D6977">
        <w:rPr>
          <w:noProof/>
          <w:szCs w:val="22"/>
        </w:rPr>
        <w:t xml:space="preserve">Krom, N. J. (1927). Barabudur archaeological description. MARTINUS NIJHDFF. </w:t>
      </w:r>
    </w:p>
    <w:p w14:paraId="38E22DBC" w14:textId="77777777" w:rsidR="003D6977" w:rsidRPr="003D6977" w:rsidRDefault="003D6977" w:rsidP="003D6977">
      <w:pPr>
        <w:pStyle w:val="EndNoteBibliography"/>
        <w:ind w:left="720" w:hanging="720"/>
        <w:rPr>
          <w:noProof/>
          <w:szCs w:val="22"/>
        </w:rPr>
      </w:pPr>
      <w:r w:rsidRPr="003D6977">
        <w:rPr>
          <w:noProof/>
          <w:szCs w:val="22"/>
        </w:rPr>
        <w:t xml:space="preserve">Kunst, J. (2013). Music in Java: Its history, its theory and its technique. Springer. </w:t>
      </w:r>
    </w:p>
    <w:p w14:paraId="16EAC17C" w14:textId="77777777" w:rsidR="003D6977" w:rsidRPr="003D6977" w:rsidRDefault="003D6977" w:rsidP="003D6977">
      <w:pPr>
        <w:pStyle w:val="EndNoteBibliography"/>
        <w:ind w:left="720" w:hanging="720"/>
        <w:rPr>
          <w:noProof/>
          <w:szCs w:val="22"/>
        </w:rPr>
      </w:pPr>
      <w:r w:rsidRPr="003D6977">
        <w:rPr>
          <w:noProof/>
          <w:szCs w:val="22"/>
        </w:rPr>
        <w:t xml:space="preserve">Lakusa, N. F., &amp; Pradoko, A. S. (2021). Representation of Buddhism Teachings in the Show Sound of Borobudur: The Reconstruction of Karmawibhangga Relief in the Age of Hyperreality. 4th International Conference on Arts and Arts Education (ICAAE 2020), </w:t>
      </w:r>
    </w:p>
    <w:p w14:paraId="343F8BC2" w14:textId="77777777" w:rsidR="003D6977" w:rsidRPr="003D6977" w:rsidRDefault="003D6977" w:rsidP="003D6977">
      <w:pPr>
        <w:pStyle w:val="EndNoteBibliography"/>
        <w:ind w:left="720" w:hanging="720"/>
        <w:rPr>
          <w:noProof/>
          <w:szCs w:val="22"/>
        </w:rPr>
      </w:pPr>
      <w:r w:rsidRPr="003D6977">
        <w:rPr>
          <w:noProof/>
          <w:szCs w:val="22"/>
        </w:rPr>
        <w:t xml:space="preserve">Nicolas, A. (2011). Early musical exchange between India and Southeast Asia. Early interactions between South and Southeast Asia: Reflections on cross-cultural exchange, 347-369. </w:t>
      </w:r>
    </w:p>
    <w:p w14:paraId="535DFC72" w14:textId="77777777" w:rsidR="003D6977" w:rsidRPr="003D6977" w:rsidRDefault="003D6977" w:rsidP="003D6977">
      <w:pPr>
        <w:pStyle w:val="EndNoteBibliography"/>
        <w:ind w:left="720" w:hanging="720"/>
        <w:rPr>
          <w:noProof/>
          <w:szCs w:val="22"/>
        </w:rPr>
      </w:pPr>
      <w:r w:rsidRPr="003D6977">
        <w:rPr>
          <w:noProof/>
          <w:szCs w:val="22"/>
        </w:rPr>
        <w:t xml:space="preserve">Prastiwi, S. D., &amp; Wulandari, B. J. W. (2022). Penutur tradisi lisan kayaan mendalam: mereka yang berjuang melintasi zaman. CV Media Jaya Abadi. </w:t>
      </w:r>
    </w:p>
    <w:p w14:paraId="452CDCEB" w14:textId="7373B5BF" w:rsidR="003D6977" w:rsidRPr="003D6977" w:rsidRDefault="003D6977" w:rsidP="003D6977">
      <w:pPr>
        <w:pStyle w:val="EndNoteBibliography"/>
        <w:ind w:left="720" w:hanging="720"/>
        <w:rPr>
          <w:noProof/>
          <w:szCs w:val="22"/>
        </w:rPr>
      </w:pPr>
      <w:r w:rsidRPr="003D6977">
        <w:rPr>
          <w:noProof/>
          <w:szCs w:val="22"/>
        </w:rPr>
        <w:t xml:space="preserve">Santiko, H. (2016). Identification Of Karmawibhangga Reliefs At Candi Borobudur. </w:t>
      </w:r>
    </w:p>
    <w:p w14:paraId="18D322F8" w14:textId="77777777" w:rsidR="003D6977" w:rsidRPr="003D6977" w:rsidRDefault="003D6977" w:rsidP="003D6977">
      <w:pPr>
        <w:pStyle w:val="EndNoteBibliography"/>
        <w:ind w:left="720" w:hanging="720"/>
        <w:rPr>
          <w:noProof/>
          <w:szCs w:val="22"/>
        </w:rPr>
      </w:pPr>
      <w:r w:rsidRPr="003D6977">
        <w:rPr>
          <w:noProof/>
          <w:szCs w:val="22"/>
        </w:rPr>
        <w:t xml:space="preserve">Santiko, H., &amp; Nugrahani, D. (2012). Adegan dan ajaran hukum karma pada relief Karmawibhangga. Balai konservasi borobudur. </w:t>
      </w:r>
    </w:p>
    <w:p w14:paraId="56419EF9" w14:textId="42C104C3" w:rsidR="003D6977" w:rsidRPr="003D6977" w:rsidRDefault="003D6977" w:rsidP="003D6977">
      <w:pPr>
        <w:pStyle w:val="EndNoteBibliography"/>
        <w:ind w:left="720" w:hanging="720"/>
        <w:rPr>
          <w:noProof/>
          <w:szCs w:val="22"/>
        </w:rPr>
      </w:pPr>
      <w:r w:rsidRPr="003D6977">
        <w:rPr>
          <w:noProof/>
          <w:szCs w:val="22"/>
        </w:rPr>
        <w:t xml:space="preserve">Setiawan, H. (2024). Pemaknaan tumbuhan pada relief karmawibhangga candi Borobudur : perspektif semiotika peirce Universitas Gadjah Mada]. Yogyakarta : Universitas Gadjah Mada., 2024. </w:t>
      </w:r>
    </w:p>
    <w:p w14:paraId="13492D3F" w14:textId="1F4C8972" w:rsidR="00254C96" w:rsidRPr="003D6977" w:rsidRDefault="004549A4" w:rsidP="00254C96">
      <w:pPr>
        <w:rPr>
          <w:rFonts w:ascii="Helvetica" w:hAnsi="Helvetica"/>
          <w:color w:val="000000"/>
          <w:sz w:val="22"/>
          <w:szCs w:val="22"/>
        </w:rPr>
      </w:pPr>
      <w:r w:rsidRPr="003D6977">
        <w:rPr>
          <w:rFonts w:ascii="Helvetica" w:hAnsi="Helvetica" w:cs="Arial"/>
          <w:b/>
          <w:sz w:val="22"/>
          <w:szCs w:val="22"/>
        </w:rPr>
        <w:fldChar w:fldCharType="end"/>
      </w:r>
      <w:proofErr w:type="spellStart"/>
      <w:r w:rsidR="00254C96" w:rsidRPr="003D6977">
        <w:rPr>
          <w:rFonts w:ascii="Helvetica" w:hAnsi="Helvetica"/>
          <w:color w:val="000000"/>
          <w:sz w:val="22"/>
          <w:szCs w:val="22"/>
        </w:rPr>
        <w:t>Soekmono</w:t>
      </w:r>
      <w:proofErr w:type="spellEnd"/>
      <w:r w:rsidR="00254C96" w:rsidRPr="003D6977">
        <w:rPr>
          <w:rFonts w:ascii="Helvetica" w:hAnsi="Helvetica"/>
          <w:color w:val="000000"/>
          <w:sz w:val="22"/>
          <w:szCs w:val="22"/>
        </w:rPr>
        <w:t xml:space="preserve"> R. 1973. Introduction to The History of Indonesian Culture. </w:t>
      </w:r>
      <w:proofErr w:type="spellStart"/>
      <w:r w:rsidR="00254C96" w:rsidRPr="003D6977">
        <w:rPr>
          <w:rFonts w:ascii="Helvetica" w:hAnsi="Helvetica"/>
          <w:color w:val="000000"/>
          <w:sz w:val="22"/>
          <w:szCs w:val="22"/>
        </w:rPr>
        <w:t>Kanisius</w:t>
      </w:r>
      <w:proofErr w:type="spellEnd"/>
      <w:r w:rsidR="00254C96" w:rsidRPr="003D6977">
        <w:rPr>
          <w:rFonts w:ascii="Helvetica" w:hAnsi="Helvetica"/>
          <w:color w:val="000000"/>
          <w:sz w:val="22"/>
          <w:szCs w:val="22"/>
        </w:rPr>
        <w:t>, Yogyakarta</w:t>
      </w:r>
    </w:p>
    <w:sectPr w:rsidR="00254C96" w:rsidRPr="003D6977" w:rsidSect="00576521">
      <w:type w:val="continuous"/>
      <w:pgSz w:w="12240" w:h="15840"/>
      <w:pgMar w:top="720" w:right="720" w:bottom="720" w:left="19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238A3" w14:textId="77777777" w:rsidR="006F717D" w:rsidRDefault="006F717D">
      <w:r>
        <w:separator/>
      </w:r>
    </w:p>
  </w:endnote>
  <w:endnote w:type="continuationSeparator" w:id="0">
    <w:p w14:paraId="15F3E7DE" w14:textId="77777777" w:rsidR="006F717D" w:rsidRDefault="006F7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Regular">
    <w:altName w:val="Times New Roman"/>
    <w:panose1 w:val="020B0604020202020204"/>
    <w:charset w:val="00"/>
    <w:family w:val="auto"/>
    <w:pitch w:val="default"/>
    <w:sig w:usb0="E0002AEF" w:usb1="C0007841" w:usb2="00000009" w:usb3="00000000" w:csb0="400001FF" w:csb1="FFFF0000"/>
  </w:font>
  <w:font w:name="Bookman Old Style">
    <w:panose1 w:val="02050604050505020204"/>
    <w:charset w:val="00"/>
    <w:family w:val="roman"/>
    <w:pitch w:val="variable"/>
    <w:sig w:usb0="00000287" w:usb1="00000000" w:usb2="00000000" w:usb3="00000000" w:csb0="0000009F" w:csb1="00000000"/>
  </w:font>
  <w:font w:name="Arial Regular">
    <w:altName w:val="Arial"/>
    <w:panose1 w:val="020B0604020202020204"/>
    <w:charset w:val="00"/>
    <w:family w:val="auto"/>
    <w:pitch w:val="default"/>
    <w:sig w:usb0="E0000AFF" w:usb1="00007843" w:usb2="00000001" w:usb3="00000000" w:csb0="400001BF" w:csb1="DFF70000"/>
  </w:font>
  <w:font w:name="Arial Bold">
    <w:altName w:val="Arial"/>
    <w:panose1 w:val="020B0604020202020204"/>
    <w:charset w:val="00"/>
    <w:family w:val="auto"/>
    <w:pitch w:val="default"/>
    <w:sig w:usb0="E0000AFF" w:usb1="00007843" w:usb2="00000001" w:usb3="00000000" w:csb0="400001BF" w:csb1="DFF70000"/>
  </w:font>
  <w:font w:name="Gentium Basic">
    <w:altName w:val="Cambria"/>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Arial Italic">
    <w:altName w:val="Arial"/>
    <w:panose1 w:val="020B0604020202020204"/>
    <w:charset w:val="00"/>
    <w:family w:val="auto"/>
    <w:pitch w:val="default"/>
    <w:sig w:usb0="E0000AFF" w:usb1="00007843" w:usb2="00000001" w:usb3="00000000" w:csb0="400001BF" w:csb1="DFF7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EACF" w14:textId="77777777" w:rsidR="0050657D" w:rsidRDefault="0050657D">
    <w:pPr>
      <w:pStyle w:val="Footer"/>
      <w:rPr>
        <w:rFonts w:ascii="Arial" w:hAnsi="Arial" w:cs="Arial"/>
        <w:sz w:val="16"/>
      </w:rPr>
    </w:pPr>
  </w:p>
  <w:p w14:paraId="16E0F918" w14:textId="77777777" w:rsidR="0050657D" w:rsidRDefault="00561B99">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FC0C4CA" w14:textId="77777777" w:rsidR="0050657D" w:rsidRDefault="0050657D">
    <w:pPr>
      <w:pStyle w:val="Footer"/>
      <w:rPr>
        <w:rFonts w:ascii="Arial" w:hAnsi="Arial" w:cs="Arial"/>
        <w:sz w:val="16"/>
      </w:rPr>
    </w:pPr>
  </w:p>
  <w:p w14:paraId="314A66A1" w14:textId="77777777" w:rsidR="0050657D" w:rsidRDefault="00561B99">
    <w:pPr>
      <w:pStyle w:val="Footer"/>
      <w:rPr>
        <w:rFonts w:ascii="Arial" w:hAnsi="Arial" w:cs="Arial"/>
        <w:i/>
        <w:sz w:val="16"/>
      </w:rPr>
    </w:pPr>
    <w:r>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51B50" w14:textId="77777777" w:rsidR="0050657D" w:rsidRDefault="00506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51D7F" w14:textId="77777777" w:rsidR="006F717D" w:rsidRDefault="006F717D">
      <w:r>
        <w:separator/>
      </w:r>
    </w:p>
  </w:footnote>
  <w:footnote w:type="continuationSeparator" w:id="0">
    <w:p w14:paraId="59638214" w14:textId="77777777" w:rsidR="006F717D" w:rsidRDefault="006F7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1E90" w14:textId="78E1962E" w:rsidR="008C70DD" w:rsidRDefault="006F717D">
    <w:pPr>
      <w:pStyle w:val="Header"/>
    </w:pPr>
    <w:r>
      <w:rPr>
        <w:noProof/>
      </w:rPr>
      <w:pict w14:anchorId="47F764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3" o:spid="_x0000_s1030" type="#_x0000_t136" alt="" style="position:absolute;margin-left:0;margin-top:0;width:604.25pt;height:67.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B64BB" w14:textId="331EFB23" w:rsidR="008C70DD" w:rsidRDefault="006F717D">
    <w:pPr>
      <w:pStyle w:val="Header"/>
    </w:pPr>
    <w:r>
      <w:rPr>
        <w:noProof/>
      </w:rPr>
      <w:pict w14:anchorId="658B7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4" o:spid="_x0000_s1029" type="#_x0000_t136" alt="" style="position:absolute;margin-left:0;margin-top:0;width:604.25pt;height:67.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F5425" w14:textId="1A8B324A" w:rsidR="0050657D" w:rsidRDefault="006F717D">
    <w:pPr>
      <w:ind w:left="2160"/>
      <w:jc w:val="center"/>
      <w:rPr>
        <w:rFonts w:eastAsia="Calibri"/>
        <w:i/>
        <w:sz w:val="18"/>
        <w:szCs w:val="22"/>
      </w:rPr>
    </w:pPr>
    <w:r>
      <w:rPr>
        <w:rFonts w:ascii="Helvetica" w:hAnsi="Helvetica"/>
        <w:noProof/>
        <w:sz w:val="20"/>
        <w:szCs w:val="20"/>
      </w:rPr>
      <w:pict w14:anchorId="57D4D2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2" o:spid="_x0000_s1028" type="#_x0000_t136" alt="" style="position:absolute;left:0;text-align:left;margin-left:0;margin-top:0;width:604.25pt;height:67.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3A7BD533" w14:textId="77777777" w:rsidR="0050657D" w:rsidRDefault="00561B99">
    <w:pPr>
      <w:ind w:left="4320"/>
      <w:rPr>
        <w:rFonts w:eastAsia="Calibri"/>
        <w:i/>
        <w:sz w:val="18"/>
        <w:szCs w:val="22"/>
      </w:rPr>
    </w:pPr>
    <w:r>
      <w:rPr>
        <w:rFonts w:eastAsia="Calibri"/>
        <w:i/>
        <w:sz w:val="18"/>
        <w:szCs w:val="22"/>
      </w:rPr>
      <w:t xml:space="preserve">.     </w:t>
    </w:r>
  </w:p>
  <w:p w14:paraId="3BAEE37D" w14:textId="77777777" w:rsidR="0050657D" w:rsidRDefault="00561B99">
    <w:pPr>
      <w:jc w:val="center"/>
      <w:rPr>
        <w:rFonts w:eastAsia="Calibri"/>
        <w:i/>
        <w:sz w:val="18"/>
        <w:szCs w:val="22"/>
      </w:rPr>
    </w:pPr>
    <w:r>
      <w:rPr>
        <w:rFonts w:eastAsia="Calibri"/>
        <w:i/>
        <w:sz w:val="18"/>
        <w:szCs w:val="22"/>
      </w:rPr>
      <w:t>.</w:t>
    </w:r>
  </w:p>
  <w:p w14:paraId="3F5A03B5" w14:textId="77777777" w:rsidR="0050657D" w:rsidRDefault="00561B99">
    <w:pPr>
      <w:spacing w:after="200"/>
      <w:jc w:val="center"/>
      <w:rPr>
        <w:rFonts w:eastAsia="Calibri"/>
        <w:b/>
        <w:i/>
        <w:sz w:val="32"/>
        <w:szCs w:val="22"/>
      </w:rPr>
    </w:pPr>
    <w:r>
      <w:rPr>
        <w:rFonts w:eastAsia="Calibri"/>
        <w:b/>
        <w:i/>
        <w:sz w:val="32"/>
        <w:szCs w:val="22"/>
      </w:rPr>
      <w:t xml:space="preserve">              . </w:t>
    </w:r>
  </w:p>
  <w:p w14:paraId="7B4D13A9" w14:textId="77777777" w:rsidR="0050657D" w:rsidRDefault="00561B99">
    <w:pPr>
      <w:jc w:val="center"/>
      <w:rPr>
        <w:rFonts w:eastAsia="Calibri"/>
        <w:i/>
        <w:sz w:val="18"/>
        <w:szCs w:val="22"/>
      </w:rPr>
    </w:pPr>
    <w:r>
      <w:rPr>
        <w:rFonts w:eastAsia="Calibri"/>
        <w:i/>
        <w:sz w:val="18"/>
        <w:szCs w:val="22"/>
      </w:rPr>
      <w:t xml:space="preserve">                     </w:t>
    </w:r>
  </w:p>
  <w:p w14:paraId="56F84396" w14:textId="77777777" w:rsidR="0050657D" w:rsidRDefault="00561B99">
    <w:pPr>
      <w:tabs>
        <w:tab w:val="left" w:pos="2145"/>
      </w:tabs>
      <w:rPr>
        <w:rFonts w:eastAsia="Calibri"/>
        <w:i/>
        <w:sz w:val="18"/>
        <w:szCs w:val="22"/>
      </w:rPr>
    </w:pPr>
    <w:r>
      <w:rPr>
        <w:rFonts w:eastAsia="Calibri"/>
        <w:i/>
        <w:sz w:val="18"/>
        <w:szCs w:val="22"/>
      </w:rPr>
      <w:tab/>
      <w:t>.</w:t>
    </w:r>
  </w:p>
  <w:p w14:paraId="0D45C1D0" w14:textId="77777777" w:rsidR="0050657D" w:rsidRDefault="00561B9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C9FD7" w14:textId="13290C09" w:rsidR="008C70DD" w:rsidRDefault="006F717D">
    <w:pPr>
      <w:pStyle w:val="Header"/>
    </w:pPr>
    <w:r>
      <w:rPr>
        <w:noProof/>
      </w:rPr>
      <w:pict w14:anchorId="33C7CD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6" o:spid="_x0000_s1027" type="#_x0000_t136" alt="" style="position:absolute;margin-left:0;margin-top:0;width:604.25pt;height:67.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1AFF" w14:textId="3659E6CF" w:rsidR="008C70DD" w:rsidRDefault="006F717D">
    <w:pPr>
      <w:pStyle w:val="Header"/>
    </w:pPr>
    <w:r>
      <w:rPr>
        <w:noProof/>
      </w:rPr>
      <w:pict w14:anchorId="2CC255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7" o:spid="_x0000_s1026" type="#_x0000_t136" alt="" style="position:absolute;margin-left:0;margin-top:0;width:604.25pt;height:67.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ED7BA" w14:textId="51A719B0" w:rsidR="008C70DD" w:rsidRDefault="006F717D">
    <w:pPr>
      <w:pStyle w:val="Header"/>
    </w:pPr>
    <w:r>
      <w:rPr>
        <w:noProof/>
      </w:rPr>
      <w:pict w14:anchorId="78403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0612065" o:spid="_x0000_s1025" type="#_x0000_t136" alt="" style="position:absolute;margin-left:0;margin-top:0;width:604.25pt;height:67.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821892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1"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rt20f039v9zkes00rxefe3zd0rwve99w2x&quot;&gt;Arjass&lt;record-ids&gt;&lt;item&gt;1&lt;/item&gt;&lt;item&gt;2&lt;/item&gt;&lt;item&gt;3&lt;/item&gt;&lt;item&gt;4&lt;/item&gt;&lt;item&gt;5&lt;/item&gt;&lt;item&gt;6&lt;/item&gt;&lt;item&gt;8&lt;/item&gt;&lt;item&gt;9&lt;/item&gt;&lt;item&gt;10&lt;/item&gt;&lt;item&gt;11&lt;/item&gt;&lt;item&gt;12&lt;/item&gt;&lt;item&gt;13&lt;/item&gt;&lt;item&gt;16&lt;/item&gt;&lt;item&gt;17&lt;/item&gt;&lt;item&gt;18&lt;/item&gt;&lt;/record-ids&gt;&lt;/item&gt;&lt;/Libraries&gt;"/>
  </w:docVars>
  <w:rsids>
    <w:rsidRoot w:val="00AA6219"/>
    <w:rsid w:val="FFE389E7"/>
    <w:rsid w:val="00000F8F"/>
    <w:rsid w:val="00030174"/>
    <w:rsid w:val="0004579C"/>
    <w:rsid w:val="00081A73"/>
    <w:rsid w:val="000A47FA"/>
    <w:rsid w:val="000A65D3"/>
    <w:rsid w:val="000B1E33"/>
    <w:rsid w:val="000B60A9"/>
    <w:rsid w:val="000D33AD"/>
    <w:rsid w:val="000D689F"/>
    <w:rsid w:val="000E7B7B"/>
    <w:rsid w:val="000E7D62"/>
    <w:rsid w:val="00103357"/>
    <w:rsid w:val="00123C9F"/>
    <w:rsid w:val="00126190"/>
    <w:rsid w:val="00130F17"/>
    <w:rsid w:val="001320BF"/>
    <w:rsid w:val="00163BC4"/>
    <w:rsid w:val="00173405"/>
    <w:rsid w:val="00176895"/>
    <w:rsid w:val="00191062"/>
    <w:rsid w:val="00192B72"/>
    <w:rsid w:val="001A20A8"/>
    <w:rsid w:val="001A29D8"/>
    <w:rsid w:val="001A5CAA"/>
    <w:rsid w:val="001B0427"/>
    <w:rsid w:val="001D3A51"/>
    <w:rsid w:val="001D537B"/>
    <w:rsid w:val="001E10D2"/>
    <w:rsid w:val="001E25B4"/>
    <w:rsid w:val="001E44FE"/>
    <w:rsid w:val="00200595"/>
    <w:rsid w:val="00204835"/>
    <w:rsid w:val="00231920"/>
    <w:rsid w:val="0023195C"/>
    <w:rsid w:val="0024282C"/>
    <w:rsid w:val="002460DC"/>
    <w:rsid w:val="00250985"/>
    <w:rsid w:val="00254C96"/>
    <w:rsid w:val="002556F6"/>
    <w:rsid w:val="00261AC6"/>
    <w:rsid w:val="00283105"/>
    <w:rsid w:val="00284C4C"/>
    <w:rsid w:val="00287E68"/>
    <w:rsid w:val="00296529"/>
    <w:rsid w:val="0029705C"/>
    <w:rsid w:val="002B27FB"/>
    <w:rsid w:val="002B685A"/>
    <w:rsid w:val="002C57D2"/>
    <w:rsid w:val="002D5A2C"/>
    <w:rsid w:val="002E0D56"/>
    <w:rsid w:val="00315186"/>
    <w:rsid w:val="0033343E"/>
    <w:rsid w:val="003512C2"/>
    <w:rsid w:val="00371FB6"/>
    <w:rsid w:val="003763C1"/>
    <w:rsid w:val="00376BBE"/>
    <w:rsid w:val="0039224F"/>
    <w:rsid w:val="003A43A4"/>
    <w:rsid w:val="003A7E18"/>
    <w:rsid w:val="003C4C86"/>
    <w:rsid w:val="003C6258"/>
    <w:rsid w:val="003D6977"/>
    <w:rsid w:val="003E2904"/>
    <w:rsid w:val="003F72AE"/>
    <w:rsid w:val="00401927"/>
    <w:rsid w:val="00401CA3"/>
    <w:rsid w:val="0041027F"/>
    <w:rsid w:val="00412475"/>
    <w:rsid w:val="00423789"/>
    <w:rsid w:val="00440F43"/>
    <w:rsid w:val="00441B6F"/>
    <w:rsid w:val="00446221"/>
    <w:rsid w:val="00450E62"/>
    <w:rsid w:val="004539DB"/>
    <w:rsid w:val="004549A4"/>
    <w:rsid w:val="0045702B"/>
    <w:rsid w:val="0046795E"/>
    <w:rsid w:val="00471A80"/>
    <w:rsid w:val="004D305E"/>
    <w:rsid w:val="004D4277"/>
    <w:rsid w:val="004F7B7B"/>
    <w:rsid w:val="00502516"/>
    <w:rsid w:val="00505F06"/>
    <w:rsid w:val="0050657D"/>
    <w:rsid w:val="00506828"/>
    <w:rsid w:val="0053056E"/>
    <w:rsid w:val="00554FDA"/>
    <w:rsid w:val="00561B99"/>
    <w:rsid w:val="00576521"/>
    <w:rsid w:val="00576C2D"/>
    <w:rsid w:val="005C784C"/>
    <w:rsid w:val="005D17F6"/>
    <w:rsid w:val="005E5539"/>
    <w:rsid w:val="00602BF5"/>
    <w:rsid w:val="00610091"/>
    <w:rsid w:val="00617FDD"/>
    <w:rsid w:val="006235C2"/>
    <w:rsid w:val="00633614"/>
    <w:rsid w:val="00633F68"/>
    <w:rsid w:val="00636EB2"/>
    <w:rsid w:val="006375B8"/>
    <w:rsid w:val="006465CE"/>
    <w:rsid w:val="0066012A"/>
    <w:rsid w:val="0066510A"/>
    <w:rsid w:val="00673F9F"/>
    <w:rsid w:val="00686953"/>
    <w:rsid w:val="00687DEA"/>
    <w:rsid w:val="00687E67"/>
    <w:rsid w:val="0069225D"/>
    <w:rsid w:val="006967F7"/>
    <w:rsid w:val="006A250C"/>
    <w:rsid w:val="006B21D3"/>
    <w:rsid w:val="006B57D0"/>
    <w:rsid w:val="006D30FF"/>
    <w:rsid w:val="006D6940"/>
    <w:rsid w:val="006F11EC"/>
    <w:rsid w:val="006F717D"/>
    <w:rsid w:val="0070082C"/>
    <w:rsid w:val="007369E6"/>
    <w:rsid w:val="00746E59"/>
    <w:rsid w:val="00754C9A"/>
    <w:rsid w:val="0075599A"/>
    <w:rsid w:val="00761D52"/>
    <w:rsid w:val="0077749E"/>
    <w:rsid w:val="00790ADA"/>
    <w:rsid w:val="007C3D15"/>
    <w:rsid w:val="007D2288"/>
    <w:rsid w:val="007E088F"/>
    <w:rsid w:val="007F4E4B"/>
    <w:rsid w:val="007F7B32"/>
    <w:rsid w:val="00804BC2"/>
    <w:rsid w:val="0081431A"/>
    <w:rsid w:val="0083216F"/>
    <w:rsid w:val="00842C77"/>
    <w:rsid w:val="00860000"/>
    <w:rsid w:val="00863BD3"/>
    <w:rsid w:val="008641ED"/>
    <w:rsid w:val="008667FB"/>
    <w:rsid w:val="00866D66"/>
    <w:rsid w:val="008671C6"/>
    <w:rsid w:val="00875803"/>
    <w:rsid w:val="00887EED"/>
    <w:rsid w:val="008A2A95"/>
    <w:rsid w:val="008B1AEE"/>
    <w:rsid w:val="008B459E"/>
    <w:rsid w:val="008C70DD"/>
    <w:rsid w:val="008E13AE"/>
    <w:rsid w:val="008E1506"/>
    <w:rsid w:val="008E710C"/>
    <w:rsid w:val="008F3074"/>
    <w:rsid w:val="008F69D6"/>
    <w:rsid w:val="00902823"/>
    <w:rsid w:val="009030E4"/>
    <w:rsid w:val="00915CA6"/>
    <w:rsid w:val="00927834"/>
    <w:rsid w:val="00946A12"/>
    <w:rsid w:val="009500A6"/>
    <w:rsid w:val="009572F9"/>
    <w:rsid w:val="00957C18"/>
    <w:rsid w:val="009659BA"/>
    <w:rsid w:val="00983040"/>
    <w:rsid w:val="00983633"/>
    <w:rsid w:val="009A3389"/>
    <w:rsid w:val="009B3FB9"/>
    <w:rsid w:val="009C2465"/>
    <w:rsid w:val="009D35A0"/>
    <w:rsid w:val="009D7982"/>
    <w:rsid w:val="009D7EB7"/>
    <w:rsid w:val="009E048A"/>
    <w:rsid w:val="009E08E9"/>
    <w:rsid w:val="009E3DB9"/>
    <w:rsid w:val="009E6E35"/>
    <w:rsid w:val="009F0EDA"/>
    <w:rsid w:val="00A03B96"/>
    <w:rsid w:val="00A05B19"/>
    <w:rsid w:val="00A1134E"/>
    <w:rsid w:val="00A14203"/>
    <w:rsid w:val="00A24E7E"/>
    <w:rsid w:val="00A258C3"/>
    <w:rsid w:val="00A343E4"/>
    <w:rsid w:val="00A347C0"/>
    <w:rsid w:val="00A51431"/>
    <w:rsid w:val="00A539AD"/>
    <w:rsid w:val="00A66FE2"/>
    <w:rsid w:val="00A87468"/>
    <w:rsid w:val="00A94063"/>
    <w:rsid w:val="00AA6219"/>
    <w:rsid w:val="00AA74E0"/>
    <w:rsid w:val="00AB703F"/>
    <w:rsid w:val="00AC0FED"/>
    <w:rsid w:val="00AC3554"/>
    <w:rsid w:val="00AC6BB8"/>
    <w:rsid w:val="00AE008F"/>
    <w:rsid w:val="00AF4BD7"/>
    <w:rsid w:val="00B01FCD"/>
    <w:rsid w:val="00B1776C"/>
    <w:rsid w:val="00B52583"/>
    <w:rsid w:val="00B52896"/>
    <w:rsid w:val="00B54B34"/>
    <w:rsid w:val="00B70C28"/>
    <w:rsid w:val="00B72A49"/>
    <w:rsid w:val="00B95236"/>
    <w:rsid w:val="00B96BD9"/>
    <w:rsid w:val="00BA1B01"/>
    <w:rsid w:val="00BA2641"/>
    <w:rsid w:val="00BB37AA"/>
    <w:rsid w:val="00BC53A0"/>
    <w:rsid w:val="00BE15C8"/>
    <w:rsid w:val="00BE62AD"/>
    <w:rsid w:val="00BF121F"/>
    <w:rsid w:val="00BF1F80"/>
    <w:rsid w:val="00C11827"/>
    <w:rsid w:val="00C166EF"/>
    <w:rsid w:val="00C17EB0"/>
    <w:rsid w:val="00C27F5F"/>
    <w:rsid w:val="00C30A0F"/>
    <w:rsid w:val="00C3347D"/>
    <w:rsid w:val="00C37E61"/>
    <w:rsid w:val="00C54180"/>
    <w:rsid w:val="00C70F1B"/>
    <w:rsid w:val="00C71A47"/>
    <w:rsid w:val="00C7464C"/>
    <w:rsid w:val="00C85588"/>
    <w:rsid w:val="00CD6755"/>
    <w:rsid w:val="00CD6856"/>
    <w:rsid w:val="00CE0089"/>
    <w:rsid w:val="00CE793C"/>
    <w:rsid w:val="00CF193C"/>
    <w:rsid w:val="00CF561A"/>
    <w:rsid w:val="00D173F1"/>
    <w:rsid w:val="00D71230"/>
    <w:rsid w:val="00D74CB0"/>
    <w:rsid w:val="00D8295D"/>
    <w:rsid w:val="00DB234F"/>
    <w:rsid w:val="00DC2A65"/>
    <w:rsid w:val="00DE15F0"/>
    <w:rsid w:val="00DE5663"/>
    <w:rsid w:val="00DE78AA"/>
    <w:rsid w:val="00E053D0"/>
    <w:rsid w:val="00E15994"/>
    <w:rsid w:val="00E3114E"/>
    <w:rsid w:val="00E31A70"/>
    <w:rsid w:val="00E35B02"/>
    <w:rsid w:val="00E66496"/>
    <w:rsid w:val="00E66B35"/>
    <w:rsid w:val="00E66E10"/>
    <w:rsid w:val="00E73630"/>
    <w:rsid w:val="00E769F6"/>
    <w:rsid w:val="00E8407C"/>
    <w:rsid w:val="00E84F3C"/>
    <w:rsid w:val="00EA012C"/>
    <w:rsid w:val="00EC6A55"/>
    <w:rsid w:val="00ED0288"/>
    <w:rsid w:val="00EE396B"/>
    <w:rsid w:val="00EE52CB"/>
    <w:rsid w:val="00EF0527"/>
    <w:rsid w:val="00EF581D"/>
    <w:rsid w:val="00EF7FD8"/>
    <w:rsid w:val="00F06F59"/>
    <w:rsid w:val="00F17988"/>
    <w:rsid w:val="00F35BF5"/>
    <w:rsid w:val="00F469F0"/>
    <w:rsid w:val="00F53273"/>
    <w:rsid w:val="00F755E4"/>
    <w:rsid w:val="00F77D02"/>
    <w:rsid w:val="00F81F35"/>
    <w:rsid w:val="00FB3A86"/>
    <w:rsid w:val="00FB3D73"/>
    <w:rsid w:val="00FD36C8"/>
    <w:rsid w:val="00FE39B9"/>
    <w:rsid w:val="79F91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2"/>
      <o:rules v:ext="edit">
        <o:r id="V:Rule1" type="connector" idref="#_x0000_s2050"/>
      </o:rules>
    </o:shapelayout>
  </w:shapeDefaults>
  <w:decimalSymbol w:val=","/>
  <w:listSeparator w:val=";"/>
  <w14:docId w14:val="0E4EE0D2"/>
  <w15:docId w15:val="{D0AB2CB4-C82E-4627-882F-96E91CDD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6977"/>
    <w:rPr>
      <w:rFonts w:eastAsia="Times New Roman"/>
      <w:sz w:val="24"/>
      <w:szCs w:val="24"/>
    </w:rPr>
  </w:style>
  <w:style w:type="paragraph" w:styleId="Heading1">
    <w:name w:val="heading 1"/>
    <w:basedOn w:val="Normal"/>
    <w:next w:val="Normal"/>
    <w:qFormat/>
    <w:pPr>
      <w:keepNext/>
      <w:spacing w:before="240" w:after="60"/>
      <w:outlineLvl w:val="0"/>
    </w:pPr>
    <w:rPr>
      <w:rFonts w:ascii="Arial" w:hAnsi="Arial"/>
      <w:b/>
      <w:kern w:val="28"/>
      <w:sz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lang w:val="en-US"/>
    </w:rPr>
  </w:style>
  <w:style w:type="paragraph" w:styleId="BodyText2">
    <w:name w:val="Body Text 2"/>
    <w:basedOn w:val="Normal"/>
    <w:link w:val="BodyText2Char"/>
    <w:pPr>
      <w:spacing w:after="120" w:line="480" w:lineRule="auto"/>
    </w:pPr>
    <w:rPr>
      <w:rFonts w:ascii="Helvetica" w:hAnsi="Helvetica"/>
      <w:sz w:val="20"/>
      <w:szCs w:val="20"/>
      <w:lang w:val="en-US"/>
    </w:rPr>
  </w:style>
  <w:style w:type="paragraph" w:styleId="BodyText3">
    <w:name w:val="Body Text 3"/>
    <w:basedOn w:val="Normal"/>
    <w:link w:val="BodyText3Char"/>
    <w:pPr>
      <w:spacing w:after="120"/>
    </w:pPr>
    <w:rPr>
      <w:rFonts w:ascii="Helvetica" w:hAnsi="Helvetica"/>
      <w:sz w:val="16"/>
      <w:szCs w:val="16"/>
      <w:lang w:val="en-US"/>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sz w:val="20"/>
      <w:szCs w:val="20"/>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rPr>
      <w:color w:val="800080"/>
      <w:u w:val="single"/>
    </w:rPr>
  </w:style>
  <w:style w:type="paragraph" w:styleId="Footer">
    <w:name w:val="footer"/>
    <w:basedOn w:val="Normal"/>
    <w:pPr>
      <w:tabs>
        <w:tab w:val="center" w:pos="4320"/>
        <w:tab w:val="right" w:pos="8640"/>
      </w:tabs>
    </w:pPr>
    <w:rPr>
      <w:rFonts w:ascii="Helvetica" w:hAnsi="Helvetica"/>
      <w:sz w:val="20"/>
      <w:szCs w:val="20"/>
      <w:lang w:val="en-US"/>
    </w:rPr>
  </w:style>
  <w:style w:type="paragraph" w:styleId="Header">
    <w:name w:val="header"/>
    <w:basedOn w:val="Normal"/>
    <w:pPr>
      <w:tabs>
        <w:tab w:val="center" w:pos="4320"/>
        <w:tab w:val="right" w:pos="8640"/>
      </w:tabs>
    </w:pPr>
    <w:rPr>
      <w:rFonts w:ascii="Helvetica" w:hAnsi="Helvetica"/>
      <w:sz w:val="20"/>
      <w:szCs w:val="20"/>
      <w:lang w:val="en-US"/>
    </w:rPr>
  </w:style>
  <w:style w:type="character" w:styleId="Hyperlink">
    <w:name w:val="Hyperlink"/>
    <w:basedOn w:val="DefaultParagraphFont"/>
    <w:rPr>
      <w:color w:val="FF0080"/>
      <w:u w:val="single"/>
    </w:rPr>
  </w:style>
  <w:style w:type="character" w:styleId="LineNumber">
    <w:name w:val="line number"/>
    <w:basedOn w:val="DefaultParagraphFont"/>
  </w:style>
  <w:style w:type="paragraph" w:styleId="NormalWeb">
    <w:name w:val="Normal (Web)"/>
    <w:link w:val="NormalWebChar"/>
    <w:pPr>
      <w:spacing w:beforeAutospacing="1" w:afterAutospacing="1"/>
    </w:pPr>
    <w:rPr>
      <w:sz w:val="24"/>
      <w:szCs w:val="24"/>
      <w:lang w:val="en-US" w:eastAsia="zh-CN"/>
    </w:rPr>
  </w:style>
  <w:style w:type="paragraph" w:styleId="Signature">
    <w:name w:val="Signature"/>
    <w:basedOn w:val="Normal"/>
    <w:pPr>
      <w:ind w:left="4320"/>
    </w:pPr>
    <w:rPr>
      <w:rFonts w:ascii="Helvetica" w:hAnsi="Helvetica"/>
      <w:sz w:val="20"/>
      <w:szCs w:val="20"/>
      <w:lang w:val="en-US"/>
    </w:r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rFonts w:ascii="Helvetica" w:hAnsi="Helvetica"/>
      <w:b/>
      <w:kern w:val="28"/>
      <w:sz w:val="36"/>
      <w:szCs w:val="20"/>
      <w:lang w:val="en-US"/>
    </w:rPr>
  </w:style>
  <w:style w:type="paragraph" w:customStyle="1" w:styleId="Author">
    <w:name w:val="Author"/>
    <w:basedOn w:val="Normal"/>
    <w:pPr>
      <w:spacing w:line="280" w:lineRule="exact"/>
      <w:jc w:val="right"/>
    </w:pPr>
    <w:rPr>
      <w:rFonts w:ascii="Helvetica" w:hAnsi="Helvetica"/>
      <w:b/>
      <w:szCs w:val="20"/>
      <w:lang w:val="en-US"/>
    </w:rPr>
  </w:style>
  <w:style w:type="paragraph" w:customStyle="1" w:styleId="Affiliation">
    <w:name w:val="Affiliation"/>
    <w:basedOn w:val="Normal"/>
    <w:pPr>
      <w:spacing w:after="240" w:line="240" w:lineRule="exact"/>
      <w:jc w:val="right"/>
    </w:pPr>
    <w:rPr>
      <w:rFonts w:ascii="Helvetica" w:hAnsi="Helvetica"/>
      <w:sz w:val="20"/>
      <w:szCs w:val="20"/>
      <w:lang w:val="en-US"/>
    </w:rPr>
  </w:style>
  <w:style w:type="paragraph" w:customStyle="1" w:styleId="Body">
    <w:name w:val="Body"/>
    <w:basedOn w:val="Normal"/>
    <w:link w:val="BodyChar"/>
    <w:pPr>
      <w:spacing w:after="240"/>
      <w:jc w:val="both"/>
    </w:pPr>
    <w:rPr>
      <w:rFonts w:ascii="Helvetica" w:hAnsi="Helvetica"/>
      <w:sz w:val="20"/>
      <w:szCs w:val="20"/>
      <w:lang w:val="en-US"/>
    </w:rPr>
  </w:style>
  <w:style w:type="paragraph" w:customStyle="1" w:styleId="AbstHead">
    <w:name w:val="Abst Head"/>
    <w:basedOn w:val="MainHead"/>
    <w:rPr>
      <w:sz w:val="22"/>
    </w:rPr>
  </w:style>
  <w:style w:type="paragraph" w:customStyle="1" w:styleId="MainHead">
    <w:name w:val="Main Head"/>
    <w:basedOn w:val="Normal"/>
    <w:pPr>
      <w:keepNext/>
      <w:spacing w:after="240"/>
    </w:pPr>
    <w:rPr>
      <w:rFonts w:ascii="Helvetica" w:hAnsi="Helvetica"/>
      <w:b/>
      <w:caps/>
      <w:sz w:val="20"/>
      <w:szCs w:val="20"/>
      <w:lang w:val="en-US"/>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rFonts w:ascii="Helvetica" w:hAnsi="Helvetica"/>
      <w:b/>
      <w:sz w:val="28"/>
      <w:szCs w:val="20"/>
      <w:lang w:val="en-US"/>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rFonts w:ascii="Helvetica" w:hAnsi="Helvetica"/>
      <w:sz w:val="16"/>
      <w:szCs w:val="20"/>
      <w:lang w:val="en-US"/>
    </w:rPr>
  </w:style>
  <w:style w:type="paragraph" w:customStyle="1" w:styleId="Reference">
    <w:name w:val="Reference"/>
    <w:basedOn w:val="Body"/>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2">
    <w:name w:val="Head2"/>
    <w:basedOn w:val="Normal"/>
    <w:next w:val="Body"/>
    <w:pPr>
      <w:keepNext/>
      <w:spacing w:after="240"/>
    </w:pPr>
    <w:rPr>
      <w:rFonts w:ascii="Helvetica" w:hAnsi="Helvetica"/>
      <w:caps/>
      <w:sz w:val="20"/>
      <w:szCs w:val="20"/>
      <w:lang w:val="en-US"/>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customStyle="1" w:styleId="Head40">
    <w:name w:val="Head 4"/>
    <w:basedOn w:val="Head3"/>
    <w:rPr>
      <w:u w:val="none"/>
    </w:rPr>
  </w:style>
  <w:style w:type="paragraph" w:customStyle="1" w:styleId="Paper">
    <w:name w:val="Paper"/>
    <w:basedOn w:val="Normal"/>
    <w:pPr>
      <w:spacing w:after="360" w:line="440" w:lineRule="exact"/>
      <w:jc w:val="right"/>
    </w:pPr>
    <w:rPr>
      <w:rFonts w:ascii="Helvetica" w:hAnsi="Helvetica"/>
      <w:b/>
      <w:sz w:val="36"/>
      <w:szCs w:val="20"/>
      <w:lang w:val="en-US"/>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customStyle="1" w:styleId="BodyText2Char">
    <w:name w:val="Body Text 2 Char"/>
    <w:basedOn w:val="DefaultParagraphFont"/>
    <w:link w:val="BodyText2"/>
    <w:rPr>
      <w:rFonts w:ascii="Helvetica" w:hAnsi="Helvetica"/>
    </w:rPr>
  </w:style>
  <w:style w:type="character" w:customStyle="1" w:styleId="CommentTextChar">
    <w:name w:val="Comment Text Char"/>
    <w:basedOn w:val="DefaultParagraphFont"/>
    <w:link w:val="CommentText"/>
    <w:uiPriority w:val="99"/>
    <w:rPr>
      <w:lang w:val="nb-NO" w:eastAsia="nb-NO"/>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NormalWebChar">
    <w:name w:val="Normal (Web) Char"/>
    <w:basedOn w:val="DefaultParagraphFont"/>
    <w:link w:val="NormalWeb"/>
    <w:rPr>
      <w:sz w:val="24"/>
      <w:szCs w:val="24"/>
      <w:lang w:val="en-US" w:eastAsia="zh-CN"/>
    </w:rPr>
  </w:style>
  <w:style w:type="paragraph" w:customStyle="1" w:styleId="EndNoteBibliographyTitle">
    <w:name w:val="EndNote Bibliography Title"/>
    <w:basedOn w:val="Normal"/>
    <w:link w:val="EndNoteBibliographyTitleChar"/>
    <w:rsid w:val="004549A4"/>
    <w:pPr>
      <w:jc w:val="center"/>
    </w:pPr>
    <w:rPr>
      <w:rFonts w:ascii="Helvetica" w:hAnsi="Helvetica"/>
      <w:sz w:val="22"/>
      <w:szCs w:val="20"/>
      <w:lang w:val="en-US"/>
    </w:rPr>
  </w:style>
  <w:style w:type="character" w:customStyle="1" w:styleId="BodyChar">
    <w:name w:val="Body Char"/>
    <w:basedOn w:val="DefaultParagraphFont"/>
    <w:link w:val="Body"/>
    <w:rsid w:val="004549A4"/>
    <w:rPr>
      <w:rFonts w:ascii="Helvetica" w:eastAsia="Times New Roman" w:hAnsi="Helvetica"/>
      <w:lang w:val="en-US"/>
    </w:rPr>
  </w:style>
  <w:style w:type="character" w:customStyle="1" w:styleId="EndNoteBibliographyTitleChar">
    <w:name w:val="EndNote Bibliography Title Char"/>
    <w:basedOn w:val="BodyChar"/>
    <w:link w:val="EndNoteBibliographyTitle"/>
    <w:rsid w:val="004549A4"/>
    <w:rPr>
      <w:rFonts w:ascii="Helvetica" w:eastAsia="Times New Roman" w:hAnsi="Helvetica"/>
      <w:sz w:val="22"/>
      <w:lang w:val="en-US"/>
    </w:rPr>
  </w:style>
  <w:style w:type="paragraph" w:customStyle="1" w:styleId="EndNoteBibliography">
    <w:name w:val="EndNote Bibliography"/>
    <w:basedOn w:val="Normal"/>
    <w:link w:val="EndNoteBibliographyChar"/>
    <w:rsid w:val="004549A4"/>
    <w:pPr>
      <w:jc w:val="both"/>
    </w:pPr>
    <w:rPr>
      <w:rFonts w:ascii="Helvetica" w:hAnsi="Helvetica"/>
      <w:sz w:val="22"/>
      <w:szCs w:val="20"/>
      <w:lang w:val="en-US"/>
    </w:rPr>
  </w:style>
  <w:style w:type="character" w:customStyle="1" w:styleId="EndNoteBibliographyChar">
    <w:name w:val="EndNote Bibliography Char"/>
    <w:basedOn w:val="BodyChar"/>
    <w:link w:val="EndNoteBibliography"/>
    <w:rsid w:val="004549A4"/>
    <w:rPr>
      <w:rFonts w:ascii="Helvetica" w:eastAsia="Times New Roman" w:hAnsi="Helvetica"/>
      <w:sz w:val="22"/>
      <w:lang w:val="en-US"/>
    </w:rPr>
  </w:style>
  <w:style w:type="character" w:customStyle="1" w:styleId="UnresolvedMention2">
    <w:name w:val="Unresolved Mention2"/>
    <w:basedOn w:val="DefaultParagraphFont"/>
    <w:uiPriority w:val="99"/>
    <w:semiHidden/>
    <w:unhideWhenUsed/>
    <w:rsid w:val="000D33AD"/>
    <w:rPr>
      <w:color w:val="605E5C"/>
      <w:shd w:val="clear" w:color="auto" w:fill="E1DFDD"/>
    </w:rPr>
  </w:style>
  <w:style w:type="character" w:styleId="UnresolvedMention">
    <w:name w:val="Unresolved Mention"/>
    <w:basedOn w:val="DefaultParagraphFont"/>
    <w:uiPriority w:val="99"/>
    <w:semiHidden/>
    <w:unhideWhenUsed/>
    <w:rsid w:val="00173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90898">
      <w:bodyDiv w:val="1"/>
      <w:marLeft w:val="0"/>
      <w:marRight w:val="0"/>
      <w:marTop w:val="0"/>
      <w:marBottom w:val="0"/>
      <w:divBdr>
        <w:top w:val="none" w:sz="0" w:space="0" w:color="auto"/>
        <w:left w:val="none" w:sz="0" w:space="0" w:color="auto"/>
        <w:bottom w:val="none" w:sz="0" w:space="0" w:color="auto"/>
        <w:right w:val="none" w:sz="0" w:space="0" w:color="auto"/>
      </w:divBdr>
    </w:div>
    <w:div w:id="313066101">
      <w:bodyDiv w:val="1"/>
      <w:marLeft w:val="0"/>
      <w:marRight w:val="0"/>
      <w:marTop w:val="0"/>
      <w:marBottom w:val="0"/>
      <w:divBdr>
        <w:top w:val="none" w:sz="0" w:space="0" w:color="auto"/>
        <w:left w:val="none" w:sz="0" w:space="0" w:color="auto"/>
        <w:bottom w:val="none" w:sz="0" w:space="0" w:color="auto"/>
        <w:right w:val="none" w:sz="0" w:space="0" w:color="auto"/>
      </w:divBdr>
    </w:div>
    <w:div w:id="510292485">
      <w:bodyDiv w:val="1"/>
      <w:marLeft w:val="0"/>
      <w:marRight w:val="0"/>
      <w:marTop w:val="0"/>
      <w:marBottom w:val="0"/>
      <w:divBdr>
        <w:top w:val="none" w:sz="0" w:space="0" w:color="auto"/>
        <w:left w:val="none" w:sz="0" w:space="0" w:color="auto"/>
        <w:bottom w:val="none" w:sz="0" w:space="0" w:color="auto"/>
        <w:right w:val="none" w:sz="0" w:space="0" w:color="auto"/>
      </w:divBdr>
      <w:divsChild>
        <w:div w:id="1660188698">
          <w:marLeft w:val="0"/>
          <w:marRight w:val="0"/>
          <w:marTop w:val="0"/>
          <w:marBottom w:val="0"/>
          <w:divBdr>
            <w:top w:val="none" w:sz="0" w:space="0" w:color="auto"/>
            <w:left w:val="none" w:sz="0" w:space="0" w:color="auto"/>
            <w:bottom w:val="none" w:sz="0" w:space="0" w:color="auto"/>
            <w:right w:val="none" w:sz="0" w:space="0" w:color="auto"/>
          </w:divBdr>
        </w:div>
      </w:divsChild>
    </w:div>
    <w:div w:id="628128178">
      <w:bodyDiv w:val="1"/>
      <w:marLeft w:val="0"/>
      <w:marRight w:val="0"/>
      <w:marTop w:val="0"/>
      <w:marBottom w:val="0"/>
      <w:divBdr>
        <w:top w:val="none" w:sz="0" w:space="0" w:color="auto"/>
        <w:left w:val="none" w:sz="0" w:space="0" w:color="auto"/>
        <w:bottom w:val="none" w:sz="0" w:space="0" w:color="auto"/>
        <w:right w:val="none" w:sz="0" w:space="0" w:color="auto"/>
      </w:divBdr>
      <w:divsChild>
        <w:div w:id="207570700">
          <w:marLeft w:val="0"/>
          <w:marRight w:val="0"/>
          <w:marTop w:val="0"/>
          <w:marBottom w:val="0"/>
          <w:divBdr>
            <w:top w:val="none" w:sz="0" w:space="0" w:color="auto"/>
            <w:left w:val="none" w:sz="0" w:space="0" w:color="auto"/>
            <w:bottom w:val="none" w:sz="0" w:space="0" w:color="auto"/>
            <w:right w:val="none" w:sz="0" w:space="0" w:color="auto"/>
          </w:divBdr>
        </w:div>
        <w:div w:id="695741341">
          <w:marLeft w:val="0"/>
          <w:marRight w:val="0"/>
          <w:marTop w:val="0"/>
          <w:marBottom w:val="0"/>
          <w:divBdr>
            <w:top w:val="none" w:sz="0" w:space="0" w:color="auto"/>
            <w:left w:val="none" w:sz="0" w:space="0" w:color="auto"/>
            <w:bottom w:val="none" w:sz="0" w:space="0" w:color="auto"/>
            <w:right w:val="none" w:sz="0" w:space="0" w:color="auto"/>
          </w:divBdr>
        </w:div>
        <w:div w:id="694887417">
          <w:marLeft w:val="0"/>
          <w:marRight w:val="0"/>
          <w:marTop w:val="0"/>
          <w:marBottom w:val="0"/>
          <w:divBdr>
            <w:top w:val="none" w:sz="0" w:space="0" w:color="auto"/>
            <w:left w:val="none" w:sz="0" w:space="0" w:color="auto"/>
            <w:bottom w:val="none" w:sz="0" w:space="0" w:color="auto"/>
            <w:right w:val="none" w:sz="0" w:space="0" w:color="auto"/>
          </w:divBdr>
        </w:div>
      </w:divsChild>
    </w:div>
    <w:div w:id="835733593">
      <w:bodyDiv w:val="1"/>
      <w:marLeft w:val="0"/>
      <w:marRight w:val="0"/>
      <w:marTop w:val="0"/>
      <w:marBottom w:val="0"/>
      <w:divBdr>
        <w:top w:val="none" w:sz="0" w:space="0" w:color="auto"/>
        <w:left w:val="none" w:sz="0" w:space="0" w:color="auto"/>
        <w:bottom w:val="none" w:sz="0" w:space="0" w:color="auto"/>
        <w:right w:val="none" w:sz="0" w:space="0" w:color="auto"/>
      </w:divBdr>
      <w:divsChild>
        <w:div w:id="1500075402">
          <w:marLeft w:val="0"/>
          <w:marRight w:val="0"/>
          <w:marTop w:val="0"/>
          <w:marBottom w:val="0"/>
          <w:divBdr>
            <w:top w:val="none" w:sz="0" w:space="0" w:color="auto"/>
            <w:left w:val="none" w:sz="0" w:space="0" w:color="auto"/>
            <w:bottom w:val="none" w:sz="0" w:space="0" w:color="auto"/>
            <w:right w:val="none" w:sz="0" w:space="0" w:color="auto"/>
          </w:divBdr>
        </w:div>
        <w:div w:id="925924100">
          <w:marLeft w:val="0"/>
          <w:marRight w:val="0"/>
          <w:marTop w:val="0"/>
          <w:marBottom w:val="0"/>
          <w:divBdr>
            <w:top w:val="none" w:sz="0" w:space="0" w:color="auto"/>
            <w:left w:val="none" w:sz="0" w:space="0" w:color="auto"/>
            <w:bottom w:val="none" w:sz="0" w:space="0" w:color="auto"/>
            <w:right w:val="none" w:sz="0" w:space="0" w:color="auto"/>
          </w:divBdr>
        </w:div>
        <w:div w:id="1882475794">
          <w:marLeft w:val="0"/>
          <w:marRight w:val="0"/>
          <w:marTop w:val="0"/>
          <w:marBottom w:val="0"/>
          <w:divBdr>
            <w:top w:val="none" w:sz="0" w:space="0" w:color="auto"/>
            <w:left w:val="none" w:sz="0" w:space="0" w:color="auto"/>
            <w:bottom w:val="none" w:sz="0" w:space="0" w:color="auto"/>
            <w:right w:val="none" w:sz="0" w:space="0" w:color="auto"/>
          </w:divBdr>
        </w:div>
        <w:div w:id="1536118665">
          <w:marLeft w:val="0"/>
          <w:marRight w:val="0"/>
          <w:marTop w:val="0"/>
          <w:marBottom w:val="0"/>
          <w:divBdr>
            <w:top w:val="none" w:sz="0" w:space="0" w:color="auto"/>
            <w:left w:val="none" w:sz="0" w:space="0" w:color="auto"/>
            <w:bottom w:val="none" w:sz="0" w:space="0" w:color="auto"/>
            <w:right w:val="none" w:sz="0" w:space="0" w:color="auto"/>
          </w:divBdr>
        </w:div>
        <w:div w:id="1582257739">
          <w:marLeft w:val="0"/>
          <w:marRight w:val="0"/>
          <w:marTop w:val="0"/>
          <w:marBottom w:val="0"/>
          <w:divBdr>
            <w:top w:val="none" w:sz="0" w:space="0" w:color="auto"/>
            <w:left w:val="none" w:sz="0" w:space="0" w:color="auto"/>
            <w:bottom w:val="none" w:sz="0" w:space="0" w:color="auto"/>
            <w:right w:val="none" w:sz="0" w:space="0" w:color="auto"/>
          </w:divBdr>
        </w:div>
        <w:div w:id="509954218">
          <w:marLeft w:val="0"/>
          <w:marRight w:val="0"/>
          <w:marTop w:val="0"/>
          <w:marBottom w:val="0"/>
          <w:divBdr>
            <w:top w:val="none" w:sz="0" w:space="0" w:color="auto"/>
            <w:left w:val="none" w:sz="0" w:space="0" w:color="auto"/>
            <w:bottom w:val="none" w:sz="0" w:space="0" w:color="auto"/>
            <w:right w:val="none" w:sz="0" w:space="0" w:color="auto"/>
          </w:divBdr>
        </w:div>
      </w:divsChild>
    </w:div>
    <w:div w:id="1188836553">
      <w:bodyDiv w:val="1"/>
      <w:marLeft w:val="0"/>
      <w:marRight w:val="0"/>
      <w:marTop w:val="0"/>
      <w:marBottom w:val="0"/>
      <w:divBdr>
        <w:top w:val="none" w:sz="0" w:space="0" w:color="auto"/>
        <w:left w:val="none" w:sz="0" w:space="0" w:color="auto"/>
        <w:bottom w:val="none" w:sz="0" w:space="0" w:color="auto"/>
        <w:right w:val="none" w:sz="0" w:space="0" w:color="auto"/>
      </w:divBdr>
    </w:div>
    <w:div w:id="1283613680">
      <w:bodyDiv w:val="1"/>
      <w:marLeft w:val="0"/>
      <w:marRight w:val="0"/>
      <w:marTop w:val="0"/>
      <w:marBottom w:val="0"/>
      <w:divBdr>
        <w:top w:val="none" w:sz="0" w:space="0" w:color="auto"/>
        <w:left w:val="none" w:sz="0" w:space="0" w:color="auto"/>
        <w:bottom w:val="none" w:sz="0" w:space="0" w:color="auto"/>
        <w:right w:val="none" w:sz="0" w:space="0" w:color="auto"/>
      </w:divBdr>
      <w:divsChild>
        <w:div w:id="831918054">
          <w:marLeft w:val="0"/>
          <w:marRight w:val="0"/>
          <w:marTop w:val="0"/>
          <w:marBottom w:val="0"/>
          <w:divBdr>
            <w:top w:val="none" w:sz="0" w:space="0" w:color="auto"/>
            <w:left w:val="none" w:sz="0" w:space="0" w:color="auto"/>
            <w:bottom w:val="none" w:sz="0" w:space="0" w:color="auto"/>
            <w:right w:val="none" w:sz="0" w:space="0" w:color="auto"/>
          </w:divBdr>
        </w:div>
        <w:div w:id="2104716745">
          <w:marLeft w:val="0"/>
          <w:marRight w:val="0"/>
          <w:marTop w:val="0"/>
          <w:marBottom w:val="0"/>
          <w:divBdr>
            <w:top w:val="none" w:sz="0" w:space="0" w:color="auto"/>
            <w:left w:val="none" w:sz="0" w:space="0" w:color="auto"/>
            <w:bottom w:val="none" w:sz="0" w:space="0" w:color="auto"/>
            <w:right w:val="none" w:sz="0" w:space="0" w:color="auto"/>
          </w:divBdr>
        </w:div>
        <w:div w:id="1907450899">
          <w:marLeft w:val="0"/>
          <w:marRight w:val="0"/>
          <w:marTop w:val="0"/>
          <w:marBottom w:val="0"/>
          <w:divBdr>
            <w:top w:val="none" w:sz="0" w:space="0" w:color="auto"/>
            <w:left w:val="none" w:sz="0" w:space="0" w:color="auto"/>
            <w:bottom w:val="none" w:sz="0" w:space="0" w:color="auto"/>
            <w:right w:val="none" w:sz="0" w:space="0" w:color="auto"/>
          </w:divBdr>
        </w:div>
      </w:divsChild>
    </w:div>
    <w:div w:id="1389840813">
      <w:bodyDiv w:val="1"/>
      <w:marLeft w:val="0"/>
      <w:marRight w:val="0"/>
      <w:marTop w:val="0"/>
      <w:marBottom w:val="0"/>
      <w:divBdr>
        <w:top w:val="none" w:sz="0" w:space="0" w:color="auto"/>
        <w:left w:val="none" w:sz="0" w:space="0" w:color="auto"/>
        <w:bottom w:val="none" w:sz="0" w:space="0" w:color="auto"/>
        <w:right w:val="none" w:sz="0" w:space="0" w:color="auto"/>
      </w:divBdr>
    </w:div>
    <w:div w:id="1616210185">
      <w:bodyDiv w:val="1"/>
      <w:marLeft w:val="0"/>
      <w:marRight w:val="0"/>
      <w:marTop w:val="0"/>
      <w:marBottom w:val="0"/>
      <w:divBdr>
        <w:top w:val="none" w:sz="0" w:space="0" w:color="auto"/>
        <w:left w:val="none" w:sz="0" w:space="0" w:color="auto"/>
        <w:bottom w:val="none" w:sz="0" w:space="0" w:color="auto"/>
        <w:right w:val="none" w:sz="0" w:space="0" w:color="auto"/>
      </w:divBdr>
      <w:divsChild>
        <w:div w:id="2015985422">
          <w:marLeft w:val="0"/>
          <w:marRight w:val="0"/>
          <w:marTop w:val="0"/>
          <w:marBottom w:val="0"/>
          <w:divBdr>
            <w:top w:val="none" w:sz="0" w:space="0" w:color="auto"/>
            <w:left w:val="none" w:sz="0" w:space="0" w:color="auto"/>
            <w:bottom w:val="none" w:sz="0" w:space="0" w:color="auto"/>
            <w:right w:val="none" w:sz="0" w:space="0" w:color="auto"/>
          </w:divBdr>
        </w:div>
        <w:div w:id="1464081939">
          <w:marLeft w:val="0"/>
          <w:marRight w:val="0"/>
          <w:marTop w:val="0"/>
          <w:marBottom w:val="0"/>
          <w:divBdr>
            <w:top w:val="none" w:sz="0" w:space="0" w:color="auto"/>
            <w:left w:val="none" w:sz="0" w:space="0" w:color="auto"/>
            <w:bottom w:val="none" w:sz="0" w:space="0" w:color="auto"/>
            <w:right w:val="none" w:sz="0" w:space="0" w:color="auto"/>
          </w:divBdr>
        </w:div>
      </w:divsChild>
    </w:div>
    <w:div w:id="1622153452">
      <w:bodyDiv w:val="1"/>
      <w:marLeft w:val="0"/>
      <w:marRight w:val="0"/>
      <w:marTop w:val="0"/>
      <w:marBottom w:val="0"/>
      <w:divBdr>
        <w:top w:val="none" w:sz="0" w:space="0" w:color="auto"/>
        <w:left w:val="none" w:sz="0" w:space="0" w:color="auto"/>
        <w:bottom w:val="none" w:sz="0" w:space="0" w:color="auto"/>
        <w:right w:val="none" w:sz="0" w:space="0" w:color="auto"/>
      </w:divBdr>
      <w:divsChild>
        <w:div w:id="1079249710">
          <w:marLeft w:val="0"/>
          <w:marRight w:val="0"/>
          <w:marTop w:val="0"/>
          <w:marBottom w:val="0"/>
          <w:divBdr>
            <w:top w:val="none" w:sz="0" w:space="0" w:color="auto"/>
            <w:left w:val="none" w:sz="0" w:space="0" w:color="auto"/>
            <w:bottom w:val="none" w:sz="0" w:space="0" w:color="auto"/>
            <w:right w:val="none" w:sz="0" w:space="0" w:color="auto"/>
          </w:divBdr>
        </w:div>
      </w:divsChild>
    </w:div>
    <w:div w:id="210603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doi.org/10.47175/rielsj.v2i4.344"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s://books.google.co.id/books?id=hzuKnQAACAAJ"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369852-3BE6-442A-BDC6-00B5F4D8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15</Pages>
  <Words>9321</Words>
  <Characters>53132</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mbr942</cp:lastModifiedBy>
  <cp:revision>35</cp:revision>
  <cp:lastPrinted>1999-07-07T03:00:00Z</cp:lastPrinted>
  <dcterms:created xsi:type="dcterms:W3CDTF">2014-10-26T06:34:00Z</dcterms:created>
  <dcterms:modified xsi:type="dcterms:W3CDTF">2025-05-31T09:24:00Z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1033-6.13.1.8710</vt:lpwstr>
  </property>
  <property fmtid="{D5CDD505-2E9C-101B-9397-08002B2CF9AE}" pid="3" name="ICV">
    <vt:lpwstr>04662EFF60AC5DEEA9E72D68BB66F264_42</vt:lpwstr>
  </property>
</Properties>
</file>