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729" w:rsidRDefault="003C6729">
      <w:pPr>
        <w:spacing w:after="0" w:line="240" w:lineRule="auto"/>
        <w:jc w:val="center"/>
        <w:rPr>
          <w:rFonts w:ascii="Times New Roman" w:eastAsia="Times New Roman" w:hAnsi="Times New Roman" w:cs="Times New Roman"/>
          <w:b/>
          <w:bCs/>
          <w:kern w:val="0"/>
          <w14:ligatures w14:val="none"/>
        </w:rPr>
      </w:pPr>
      <w:bookmarkStart w:id="0" w:name="_GoBack"/>
      <w:bookmarkEnd w:id="0"/>
    </w:p>
    <w:p w:rsidR="003C6729" w:rsidRDefault="007F2116">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lang w:val="en-GB"/>
          <w14:ligatures w14:val="none"/>
        </w:rPr>
        <w:t>Reclaiming</w:t>
      </w:r>
      <w:r>
        <w:rPr>
          <w:rFonts w:ascii="Times New Roman" w:eastAsia="Times New Roman" w:hAnsi="Times New Roman" w:cs="Times New Roman"/>
          <w:b/>
          <w:bCs/>
          <w:kern w:val="0"/>
          <w:sz w:val="20"/>
          <w:szCs w:val="20"/>
          <w:lang w:val="en-GB"/>
          <w14:ligatures w14:val="none"/>
        </w:rPr>
        <w:t xml:space="preserve"> </w:t>
      </w:r>
      <w:r>
        <w:rPr>
          <w:rFonts w:ascii="Times New Roman" w:eastAsia="Times New Roman" w:hAnsi="Times New Roman" w:cs="Times New Roman"/>
          <w:b/>
          <w:bCs/>
          <w:kern w:val="0"/>
          <w14:ligatures w14:val="none"/>
        </w:rPr>
        <w:t>Ed</w:t>
      </w:r>
      <w:r w:rsidR="004047BA">
        <w:rPr>
          <w:rFonts w:ascii="Times New Roman" w:eastAsia="Times New Roman" w:hAnsi="Times New Roman" w:cs="Times New Roman"/>
          <w:b/>
          <w:bCs/>
          <w:kern w:val="0"/>
          <w14:ligatures w14:val="none"/>
        </w:rPr>
        <w:t xml:space="preserve">ward </w:t>
      </w:r>
      <w:proofErr w:type="spellStart"/>
      <w:r w:rsidR="004047BA">
        <w:rPr>
          <w:rFonts w:ascii="Times New Roman" w:eastAsia="Times New Roman" w:hAnsi="Times New Roman" w:cs="Times New Roman"/>
          <w:b/>
          <w:bCs/>
          <w:kern w:val="0"/>
          <w14:ligatures w14:val="none"/>
        </w:rPr>
        <w:t>Blyden’s</w:t>
      </w:r>
      <w:proofErr w:type="spellEnd"/>
      <w:r w:rsidR="004047BA">
        <w:rPr>
          <w:rFonts w:ascii="Times New Roman" w:eastAsia="Times New Roman" w:hAnsi="Times New Roman" w:cs="Times New Roman"/>
          <w:b/>
          <w:bCs/>
          <w:kern w:val="0"/>
          <w14:ligatures w14:val="none"/>
        </w:rPr>
        <w:t xml:space="preserve"> Vision of African </w:t>
      </w:r>
      <w:r w:rsidR="003D0A1F">
        <w:rPr>
          <w:rFonts w:ascii="Times New Roman" w:eastAsia="Times New Roman" w:hAnsi="Times New Roman" w:cs="Times New Roman"/>
          <w:b/>
          <w:bCs/>
          <w:kern w:val="0"/>
          <w14:ligatures w14:val="none"/>
        </w:rPr>
        <w:t xml:space="preserve">Centered Leadership: A Pan </w:t>
      </w:r>
      <w:r>
        <w:rPr>
          <w:rFonts w:ascii="Times New Roman" w:eastAsia="Times New Roman" w:hAnsi="Times New Roman" w:cs="Times New Roman"/>
          <w:b/>
          <w:bCs/>
          <w:kern w:val="0"/>
          <w14:ligatures w14:val="none"/>
        </w:rPr>
        <w:t>African Reassessment of Contemporary Governance</w:t>
      </w:r>
    </w:p>
    <w:p w:rsidR="003C6729" w:rsidRDefault="007F2116">
      <w:pPr>
        <w:spacing w:after="0" w:line="240" w:lineRule="auto"/>
        <w:rPr>
          <w:rFonts w:ascii="Times New Roman" w:eastAsia="Times New Roman" w:hAnsi="Times New Roman" w:cs="Times New Roman"/>
          <w:kern w:val="0"/>
          <w14:ligatures w14:val="none"/>
        </w:rPr>
      </w:pPr>
      <w:r>
        <w:rPr>
          <w:rFonts w:ascii="Times New Roman" w:hAnsi="Times New Roman" w:cs="Times New Roman"/>
        </w:rPr>
        <w:t>Abstract</w:t>
      </w:r>
    </w:p>
    <w:p w:rsidR="003C6729" w:rsidRDefault="007F2116">
      <w:pPr>
        <w:pStyle w:val="NormalWeb"/>
        <w:jc w:val="both"/>
      </w:pPr>
      <w:r>
        <w:t xml:space="preserve">The evolution of African political thought has been significantly shaped by intellectuals and revolutionaries advocating for liberation, unity, and self-determination. Edward Wilmot </w:t>
      </w:r>
      <w:proofErr w:type="spellStart"/>
      <w:r>
        <w:t>Blyden</w:t>
      </w:r>
      <w:proofErr w:type="spellEnd"/>
      <w:r>
        <w:t xml:space="preserve"> (1832–1912), a seminal Pan-African thinker, emphasized African agency, cultural authenticity, and civilizational dignity. His call for decolonizing the African mind and resisting Eurocentric paradigms remains deeply relevant. This paper employs qualitative textual analysis of </w:t>
      </w:r>
      <w:proofErr w:type="spellStart"/>
      <w:r>
        <w:t>Blyden’s</w:t>
      </w:r>
      <w:proofErr w:type="spellEnd"/>
      <w:r>
        <w:t xml:space="preserve"> writings alongside contemporary political discourse to examine the philosophical and strategic disconnect between foundational Pan-African ideals and present-day African governance. Drawing from Pan-African historiography, postcolonial theory, and current political critiques, the study identifies enduring patterns of neo-colonialism, leadership failure, and institutional fragility. The results reveal that while </w:t>
      </w:r>
      <w:proofErr w:type="spellStart"/>
      <w:r>
        <w:t>Blyden’s</w:t>
      </w:r>
      <w:proofErr w:type="spellEnd"/>
      <w:r>
        <w:t xml:space="preserve"> principles offer a coherent vision for culturally grounded and autonomous governance, these ideals are largely unfulfilled in current leadership structures. The study concludes that a revitalization of </w:t>
      </w:r>
      <w:proofErr w:type="spellStart"/>
      <w:r>
        <w:t>Blyden’s</w:t>
      </w:r>
      <w:proofErr w:type="spellEnd"/>
      <w:r>
        <w:t xml:space="preserve"> intellectual legacy—particularly his emphasis on ethical leadership, indigenous knowledge systems, and cultural sovereignty—could serve as a transformative paradigm for reconstructing African governance in the 21st century.</w:t>
      </w:r>
    </w:p>
    <w:p w:rsidR="003C6729" w:rsidRDefault="007F2116">
      <w:pPr>
        <w:pStyle w:val="NormalWeb"/>
      </w:pPr>
      <w:r>
        <w:rPr>
          <w:rStyle w:val="Strong"/>
        </w:rPr>
        <w:t>Keywords:</w:t>
      </w:r>
      <w:r>
        <w:t xml:space="preserve"> Edward </w:t>
      </w:r>
      <w:proofErr w:type="spellStart"/>
      <w:r>
        <w:t>Blyden</w:t>
      </w:r>
      <w:proofErr w:type="spellEnd"/>
      <w:r>
        <w:t>, African leadership, Pan-Africanism, decolonization, governance, political philosophy</w:t>
      </w:r>
    </w:p>
    <w:p w:rsidR="003C6729" w:rsidRDefault="007F2116">
      <w:pPr>
        <w:spacing w:line="480" w:lineRule="auto"/>
        <w:jc w:val="both"/>
        <w:rPr>
          <w:rFonts w:ascii="Times New Roman" w:hAnsi="Times New Roman" w:cs="Times New Roman"/>
          <w:b/>
          <w:bCs/>
        </w:rPr>
      </w:pPr>
      <w:r>
        <w:rPr>
          <w:rFonts w:ascii="Times New Roman" w:hAnsi="Times New Roman" w:cs="Times New Roman"/>
          <w:b/>
          <w:bCs/>
        </w:rPr>
        <w:t>1.0 Introduction</w:t>
      </w:r>
    </w:p>
    <w:p w:rsidR="003C6729" w:rsidRDefault="007F2116">
      <w:pPr>
        <w:pStyle w:val="NormalWeb"/>
        <w:spacing w:line="480" w:lineRule="auto"/>
        <w:jc w:val="both"/>
      </w:pPr>
      <w:r>
        <w:t xml:space="preserve">African political thought has evolved from the pre-colonial era through the struggles for independence to the post-colonial period characterized by governance and economic challenges. At the heart of these intellectual developments is Edward Wilmot </w:t>
      </w:r>
      <w:proofErr w:type="spellStart"/>
      <w:r>
        <w:t>Blyden</w:t>
      </w:r>
      <w:proofErr w:type="spellEnd"/>
      <w:r>
        <w:t>, whose Pan-African ideals emphasized the African Personality, cultural preservation, and the unity of the continent (</w:t>
      </w:r>
      <w:proofErr w:type="spellStart"/>
      <w:r>
        <w:t>Adekeye</w:t>
      </w:r>
      <w:proofErr w:type="spellEnd"/>
      <w:r>
        <w:t xml:space="preserve">, 2020; </w:t>
      </w:r>
      <w:proofErr w:type="spellStart"/>
      <w:r>
        <w:t>Legum</w:t>
      </w:r>
      <w:proofErr w:type="spellEnd"/>
      <w:r>
        <w:t xml:space="preserve">, 2022). </w:t>
      </w:r>
      <w:proofErr w:type="spellStart"/>
      <w:r>
        <w:t>Blyden</w:t>
      </w:r>
      <w:proofErr w:type="spellEnd"/>
      <w:r>
        <w:t xml:space="preserve"> envisioned a self-sufficient Africa free from Western domination and cultural subjugation. However, contemporary African leadership faces persistent socio-economic struggles, governance crises, and external political influences that raise questions about the applicability of </w:t>
      </w:r>
      <w:proofErr w:type="spellStart"/>
      <w:r>
        <w:t>Blyden’s</w:t>
      </w:r>
      <w:proofErr w:type="spellEnd"/>
      <w:r>
        <w:t xml:space="preserve"> thought in the modern era (</w:t>
      </w:r>
      <w:proofErr w:type="spellStart"/>
      <w:r>
        <w:t>Murithi</w:t>
      </w:r>
      <w:proofErr w:type="spellEnd"/>
      <w:r>
        <w:t xml:space="preserve">, 2023; </w:t>
      </w:r>
      <w:proofErr w:type="spellStart"/>
      <w:r>
        <w:t>Akech</w:t>
      </w:r>
      <w:proofErr w:type="spellEnd"/>
      <w:r>
        <w:t>, 2021).</w:t>
      </w:r>
    </w:p>
    <w:p w:rsidR="003C6729" w:rsidRDefault="007F2116">
      <w:pPr>
        <w:pStyle w:val="NormalWeb"/>
        <w:spacing w:line="480" w:lineRule="auto"/>
        <w:jc w:val="both"/>
      </w:pPr>
      <w:r>
        <w:t xml:space="preserve">To analyze these historical and contemporary dynamics, this study draws on </w:t>
      </w:r>
      <w:r>
        <w:rPr>
          <w:rStyle w:val="Strong"/>
        </w:rPr>
        <w:t>Postcolonial Theory</w:t>
      </w:r>
      <w:r>
        <w:t xml:space="preserve">, which interrogates the cultural, political, and economic legacies of colonialism in formerly </w:t>
      </w:r>
      <w:r>
        <w:lastRenderedPageBreak/>
        <w:t xml:space="preserve">colonized societies. Postcolonial theorists such as Frantz Fanon, </w:t>
      </w:r>
      <w:proofErr w:type="spellStart"/>
      <w:r>
        <w:t>Ngũgĩ</w:t>
      </w:r>
      <w:proofErr w:type="spellEnd"/>
      <w:r>
        <w:t xml:space="preserve"> </w:t>
      </w:r>
      <w:proofErr w:type="spellStart"/>
      <w:proofErr w:type="gramStart"/>
      <w:r>
        <w:t>wa</w:t>
      </w:r>
      <w:proofErr w:type="spellEnd"/>
      <w:proofErr w:type="gramEnd"/>
      <w:r>
        <w:t xml:space="preserve"> </w:t>
      </w:r>
      <w:proofErr w:type="spellStart"/>
      <w:r>
        <w:t>Thiong'o</w:t>
      </w:r>
      <w:proofErr w:type="spellEnd"/>
      <w:r>
        <w:t xml:space="preserve">, and Edward Said have emphasized the need to reclaim indigenous identity and knowledge systems in the face of enduring Western hegemony (Ashcroft, Griffiths, &amp; Tiffin, 2013). In this framework, </w:t>
      </w:r>
      <w:proofErr w:type="spellStart"/>
      <w:r>
        <w:t>Blyden’s</w:t>
      </w:r>
      <w:proofErr w:type="spellEnd"/>
      <w:r>
        <w:t xml:space="preserve"> emphasis on cultural reclamation, African dignity, and self-determination can be understood as early articulations of postcolonial resistance. His vision aligns with Fanon’s call for the decolonization of both the mind and the socio-political order (Fanon, 1963). Thus, Postcolonial Theory offers a critical lens through which to evaluate both </w:t>
      </w:r>
      <w:proofErr w:type="spellStart"/>
      <w:r>
        <w:t>Blyden’s</w:t>
      </w:r>
      <w:proofErr w:type="spellEnd"/>
      <w:r>
        <w:t xml:space="preserve"> intellectual legacy and the struggles of contemporary African states to escape the structural and epistemic constraints imposed by colonial histories.</w:t>
      </w:r>
    </w:p>
    <w:p w:rsidR="003C6729" w:rsidRDefault="007F2116">
      <w:pPr>
        <w:pStyle w:val="NormalWeb"/>
        <w:spacing w:line="480" w:lineRule="auto"/>
        <w:jc w:val="both"/>
      </w:pPr>
      <w:r>
        <w:t>The historical trajectory of African political thought reflects the continent's complex engagement with colonialism, resistance, and aspirations for self-governance. Pre-colonial African societies were characterized by diverse political systems ranging from centralized kingdoms to decentralized communities, each with unique governance structures and cultural values (</w:t>
      </w:r>
      <w:proofErr w:type="spellStart"/>
      <w:r>
        <w:t>Osadolor</w:t>
      </w:r>
      <w:proofErr w:type="spellEnd"/>
      <w:r>
        <w:t>, 2019). The advent of colonialism disrupted these systems, imposing Western political ideologies and economic exploitation that spurred the rise of nationalist movements (</w:t>
      </w:r>
      <w:proofErr w:type="spellStart"/>
      <w:r>
        <w:t>Zeleza</w:t>
      </w:r>
      <w:proofErr w:type="spellEnd"/>
      <w:r>
        <w:t xml:space="preserve">, 2020). </w:t>
      </w:r>
      <w:proofErr w:type="spellStart"/>
      <w:r>
        <w:t>Blyden's</w:t>
      </w:r>
      <w:proofErr w:type="spellEnd"/>
      <w:r>
        <w:t xml:space="preserve"> contributions to Pan-Africanism emerged within this context, advocating for the reclamation of African identity and sovereignty as essential components for political and economic development (</w:t>
      </w:r>
      <w:proofErr w:type="spellStart"/>
      <w:r>
        <w:t>Aborisade</w:t>
      </w:r>
      <w:proofErr w:type="spellEnd"/>
      <w:r>
        <w:t xml:space="preserve"> &amp; </w:t>
      </w:r>
      <w:proofErr w:type="spellStart"/>
      <w:r>
        <w:t>Mbah</w:t>
      </w:r>
      <w:proofErr w:type="spellEnd"/>
      <w:r>
        <w:t>, 2021).</w:t>
      </w:r>
    </w:p>
    <w:p w:rsidR="003C6729" w:rsidRDefault="007F2116">
      <w:pPr>
        <w:pStyle w:val="NormalWeb"/>
        <w:spacing w:line="480" w:lineRule="auto"/>
        <w:jc w:val="both"/>
      </w:pPr>
      <w:r>
        <w:t xml:space="preserve">Edward Wilmot </w:t>
      </w:r>
      <w:proofErr w:type="spellStart"/>
      <w:r>
        <w:t>Blyden's</w:t>
      </w:r>
      <w:proofErr w:type="spellEnd"/>
      <w:r>
        <w:t xml:space="preserve"> Pan-African ideals are rooted in his belief in the distinctiveness and dignity of African cultures and peoples. His concept of the African Personality highlighted the intrinsic value of African heritage and the need for its preservation against the forces of Western imperialism (</w:t>
      </w:r>
      <w:proofErr w:type="spellStart"/>
      <w:r>
        <w:t>Serequeberhan</w:t>
      </w:r>
      <w:proofErr w:type="spellEnd"/>
      <w:r>
        <w:t xml:space="preserve">, 2021). </w:t>
      </w:r>
      <w:proofErr w:type="spellStart"/>
      <w:r>
        <w:t>Blyden's</w:t>
      </w:r>
      <w:proofErr w:type="spellEnd"/>
      <w:r>
        <w:t xml:space="preserve"> advocacy for cultural pride, education, and self-</w:t>
      </w:r>
      <w:r>
        <w:lastRenderedPageBreak/>
        <w:t>reliance laid the foundation for subsequent Pan-Africanist leaders and movements (</w:t>
      </w:r>
      <w:proofErr w:type="spellStart"/>
      <w:r>
        <w:t>Makinda</w:t>
      </w:r>
      <w:proofErr w:type="spellEnd"/>
      <w:r>
        <w:t xml:space="preserve"> et al., 2021). His vision extended beyond political independence to encompass economic self-sufficiency, cultural revival, and continental unity as cornerstones for Africa's progress (</w:t>
      </w:r>
      <w:proofErr w:type="spellStart"/>
      <w:r>
        <w:t>Ocheni</w:t>
      </w:r>
      <w:proofErr w:type="spellEnd"/>
      <w:r>
        <w:t>, 2022).</w:t>
      </w:r>
    </w:p>
    <w:p w:rsidR="003C6729" w:rsidRDefault="007F2116">
      <w:pPr>
        <w:pStyle w:val="NormalWeb"/>
        <w:spacing w:line="480" w:lineRule="auto"/>
        <w:jc w:val="both"/>
      </w:pPr>
      <w:r>
        <w:t xml:space="preserve">Contemporary African leadership, however, grapples with multifaceted challenges that test the relevance of </w:t>
      </w:r>
      <w:proofErr w:type="spellStart"/>
      <w:r>
        <w:t>Blyden's</w:t>
      </w:r>
      <w:proofErr w:type="spellEnd"/>
      <w:r>
        <w:t xml:space="preserve"> ideology. Issues such as corruption, inadequate infrastructure, economic dependency on former colonial powers, and political instability undermine efforts toward effective governance and sustainable development (</w:t>
      </w:r>
      <w:proofErr w:type="spellStart"/>
      <w:r>
        <w:t>Tibebu</w:t>
      </w:r>
      <w:proofErr w:type="spellEnd"/>
      <w:r>
        <w:t xml:space="preserve">, 2022; </w:t>
      </w:r>
      <w:proofErr w:type="spellStart"/>
      <w:r>
        <w:t>Oluwole</w:t>
      </w:r>
      <w:proofErr w:type="spellEnd"/>
      <w:r>
        <w:t xml:space="preserve"> &amp; </w:t>
      </w:r>
      <w:proofErr w:type="spellStart"/>
      <w:r>
        <w:t>Ojo</w:t>
      </w:r>
      <w:proofErr w:type="spellEnd"/>
      <w:r>
        <w:t xml:space="preserve">, 2023). The influence of globalization and international financial institutions further complicates the pursuit of genuine self-reliance and Pan-African unity (Bond &amp; </w:t>
      </w:r>
      <w:proofErr w:type="spellStart"/>
      <w:r>
        <w:t>Sharife</w:t>
      </w:r>
      <w:proofErr w:type="spellEnd"/>
      <w:r>
        <w:t xml:space="preserve">, 2021). These challenges necessitate a critical examination of whether </w:t>
      </w:r>
      <w:proofErr w:type="spellStart"/>
      <w:r>
        <w:t>Blyden's</w:t>
      </w:r>
      <w:proofErr w:type="spellEnd"/>
      <w:r>
        <w:t xml:space="preserve"> Pan-African ideals can offer viable solutions for modern African leadership (</w:t>
      </w:r>
      <w:proofErr w:type="spellStart"/>
      <w:r>
        <w:t>Zondi</w:t>
      </w:r>
      <w:proofErr w:type="spellEnd"/>
      <w:r>
        <w:t>, 2023). Through the lens of Postcolonial Theory, it becomes evident that many of these governance issues are not merely failures of leadership but manifestations of deeper structural and epistemic continuities with colonial systems (</w:t>
      </w:r>
      <w:proofErr w:type="spellStart"/>
      <w:r>
        <w:t>Ndlovu-Gatsheni</w:t>
      </w:r>
      <w:proofErr w:type="spellEnd"/>
      <w:r>
        <w:t>, 2018).</w:t>
      </w:r>
    </w:p>
    <w:p w:rsidR="003C6729" w:rsidRDefault="007F2116">
      <w:pPr>
        <w:pStyle w:val="NormalWeb"/>
        <w:spacing w:line="480" w:lineRule="auto"/>
        <w:jc w:val="both"/>
      </w:pPr>
      <w:r>
        <w:t xml:space="preserve">This study seeks to answer the following questions: (1) </w:t>
      </w:r>
      <w:proofErr w:type="gramStart"/>
      <w:r>
        <w:t>What</w:t>
      </w:r>
      <w:proofErr w:type="gramEnd"/>
      <w:r>
        <w:t xml:space="preserve"> are the core principles of </w:t>
      </w:r>
      <w:proofErr w:type="spellStart"/>
      <w:r>
        <w:t>Blyden’s</w:t>
      </w:r>
      <w:proofErr w:type="spellEnd"/>
      <w:r>
        <w:t xml:space="preserve"> Pan-African thought? (2) How do contemporary African leaders compare with </w:t>
      </w:r>
      <w:proofErr w:type="spellStart"/>
      <w:r>
        <w:t>Blyden’s</w:t>
      </w:r>
      <w:proofErr w:type="spellEnd"/>
      <w:r>
        <w:t xml:space="preserve"> vision for Africa? (3) Can modern African leadership draw valuable lessons from </w:t>
      </w:r>
      <w:proofErr w:type="spellStart"/>
      <w:r>
        <w:t>Blyden’s</w:t>
      </w:r>
      <w:proofErr w:type="spellEnd"/>
      <w:r>
        <w:t xml:space="preserve"> ideology? By addressing these questions, this paper undertakes a comprehensive comparative analysis of </w:t>
      </w:r>
      <w:proofErr w:type="spellStart"/>
      <w:r>
        <w:t>Blyden’s</w:t>
      </w:r>
      <w:proofErr w:type="spellEnd"/>
      <w:r>
        <w:t xml:space="preserve"> thought with contemporary African leadership, exploring the successes, shortcomings, and possibilities for a renewed Pan-Africanist approach to governance. Through this exploration, the study aims to contribute to the broader discourse on African political thought, offering insights into the potential for a Pan-African renaissance in the 21st century.</w:t>
      </w:r>
    </w:p>
    <w:p w:rsidR="003C6729" w:rsidRDefault="007F2116">
      <w:pPr>
        <w:spacing w:line="480" w:lineRule="auto"/>
        <w:jc w:val="both"/>
        <w:rPr>
          <w:rFonts w:ascii="Times New Roman" w:hAnsi="Times New Roman" w:cs="Times New Roman"/>
          <w:b/>
          <w:bCs/>
        </w:rPr>
      </w:pPr>
      <w:r>
        <w:rPr>
          <w:rFonts w:ascii="Times New Roman" w:hAnsi="Times New Roman" w:cs="Times New Roman"/>
          <w:b/>
          <w:bCs/>
        </w:rPr>
        <w:lastRenderedPageBreak/>
        <w:t xml:space="preserve">2.1The Historical Context of Edward Wilmot </w:t>
      </w:r>
      <w:proofErr w:type="spellStart"/>
      <w:r>
        <w:rPr>
          <w:rFonts w:ascii="Times New Roman" w:hAnsi="Times New Roman" w:cs="Times New Roman"/>
          <w:b/>
          <w:bCs/>
        </w:rPr>
        <w:t>Blyden’s</w:t>
      </w:r>
      <w:proofErr w:type="spellEnd"/>
      <w:r>
        <w:rPr>
          <w:rFonts w:ascii="Times New Roman" w:hAnsi="Times New Roman" w:cs="Times New Roman"/>
          <w:b/>
          <w:bCs/>
        </w:rPr>
        <w:t xml:space="preserve"> Political Thought</w:t>
      </w:r>
    </w:p>
    <w:p w:rsidR="003C6729" w:rsidRDefault="007F2116">
      <w:pPr>
        <w:pStyle w:val="NormalWeb"/>
        <w:spacing w:line="480" w:lineRule="auto"/>
        <w:jc w:val="both"/>
      </w:pPr>
      <w:r>
        <w:t xml:space="preserve">Edward Wilmot </w:t>
      </w:r>
      <w:proofErr w:type="spellStart"/>
      <w:r>
        <w:t>Blyden</w:t>
      </w:r>
      <w:proofErr w:type="spellEnd"/>
      <w:r>
        <w:t xml:space="preserve"> was born in 1832 in the Virgin Islands during a period of intense racial discrimination across the African diaspora. Of Igbo descent, </w:t>
      </w:r>
      <w:proofErr w:type="spellStart"/>
      <w:r>
        <w:t>Blyden</w:t>
      </w:r>
      <w:proofErr w:type="spellEnd"/>
      <w:r>
        <w:t xml:space="preserve"> experienced systemic racism firsthand, especially in his rejection from U.S. universities on racial grounds. These early exclusions shaped his ideological path and prompted his migration to Liberia under the auspices of the American Colonization Society (ACS) (</w:t>
      </w:r>
      <w:proofErr w:type="spellStart"/>
      <w:r>
        <w:t>Blyden</w:t>
      </w:r>
      <w:proofErr w:type="spellEnd"/>
      <w:r>
        <w:t xml:space="preserve">, 1888). Liberia became the site of his intellectual blossoming, where he promoted African nationalism, cultural reclamation, and autonomy. Recent scholars argue that this migration was pivotal in shaping his Pan-Africanist outlook. </w:t>
      </w:r>
      <w:proofErr w:type="spellStart"/>
      <w:r>
        <w:t>Akurang</w:t>
      </w:r>
      <w:proofErr w:type="spellEnd"/>
      <w:r>
        <w:t xml:space="preserve">-Parry (2019) observes that </w:t>
      </w:r>
      <w:proofErr w:type="spellStart"/>
      <w:r>
        <w:t>Blyden’s</w:t>
      </w:r>
      <w:proofErr w:type="spellEnd"/>
      <w:r>
        <w:t xml:space="preserve"> embrace of Liberia allowed him to interrogate the colonial condition from within Africa and formulate a radical critique of racial oppression.</w:t>
      </w:r>
    </w:p>
    <w:p w:rsidR="003C6729" w:rsidRDefault="007F2116">
      <w:pPr>
        <w:pStyle w:val="NormalWeb"/>
        <w:spacing w:line="480" w:lineRule="auto"/>
        <w:jc w:val="both"/>
      </w:pPr>
      <w:proofErr w:type="spellStart"/>
      <w:r>
        <w:t>Blyden’s</w:t>
      </w:r>
      <w:proofErr w:type="spellEnd"/>
      <w:r>
        <w:t xml:space="preserve"> development unfolded within the turbulent 19th-century political landscape marked by European imperialism, scientific racism, and the scramble for Africa. The Berlin Conference of 1884–85 formalized colonial divisions, ignoring indigenous sovereignty and accelerating exploitative governance structures (</w:t>
      </w:r>
      <w:proofErr w:type="spellStart"/>
      <w:r>
        <w:t>Murithi</w:t>
      </w:r>
      <w:proofErr w:type="spellEnd"/>
      <w:r>
        <w:t xml:space="preserve">, 2023). At the same time, European thinkers such as David Hume and Arthur de </w:t>
      </w:r>
      <w:proofErr w:type="spellStart"/>
      <w:r>
        <w:t>Gobineau</w:t>
      </w:r>
      <w:proofErr w:type="spellEnd"/>
      <w:r>
        <w:t xml:space="preserve"> advanced racial theories that justified African subjugation. </w:t>
      </w:r>
      <w:proofErr w:type="spellStart"/>
      <w:r>
        <w:t>Blyden</w:t>
      </w:r>
      <w:proofErr w:type="spellEnd"/>
      <w:r>
        <w:t xml:space="preserve"> challenged these narratives directly, arguing in </w:t>
      </w:r>
      <w:r>
        <w:rPr>
          <w:rStyle w:val="Emphasis"/>
        </w:rPr>
        <w:t>Christianity, Islam and the Negro Race</w:t>
      </w:r>
      <w:r>
        <w:t xml:space="preserve"> (1887) that Africa possessed its own civilizational worth. </w:t>
      </w:r>
      <w:proofErr w:type="spellStart"/>
      <w:r>
        <w:t>Zeleza</w:t>
      </w:r>
      <w:proofErr w:type="spellEnd"/>
      <w:r>
        <w:t xml:space="preserve"> (2021) notes that </w:t>
      </w:r>
      <w:proofErr w:type="spellStart"/>
      <w:r>
        <w:t>Blyden's</w:t>
      </w:r>
      <w:proofErr w:type="spellEnd"/>
      <w:r>
        <w:t xml:space="preserve"> intellectual defiance positioned him as one of the earliest Afrocentric thinkers to counter the epistemic violence of colonial ideologies. His writings reject European moral authority and assert a vision of African renewal rooted in indigenous values.</w:t>
      </w:r>
    </w:p>
    <w:p w:rsidR="003C6729" w:rsidRDefault="007F2116">
      <w:pPr>
        <w:pStyle w:val="NormalWeb"/>
        <w:spacing w:line="480" w:lineRule="auto"/>
        <w:jc w:val="both"/>
      </w:pPr>
      <w:proofErr w:type="spellStart"/>
      <w:r>
        <w:lastRenderedPageBreak/>
        <w:t>Blyden’s</w:t>
      </w:r>
      <w:proofErr w:type="spellEnd"/>
      <w:r>
        <w:t xml:space="preserve"> rejection of Western epistemological dominance was inseparable from his promotion of African self-reliance. He insisted that Africans build institutions reflecting their cultural contexts rather than mimicking European systems. This call for endogenous development prefigured 20th-century </w:t>
      </w:r>
      <w:proofErr w:type="spellStart"/>
      <w:r>
        <w:t>decolonial</w:t>
      </w:r>
      <w:proofErr w:type="spellEnd"/>
      <w:r>
        <w:t xml:space="preserve"> movements. Asante (2020) notes that </w:t>
      </w:r>
      <w:proofErr w:type="spellStart"/>
      <w:r>
        <w:t>Blyden</w:t>
      </w:r>
      <w:proofErr w:type="spellEnd"/>
      <w:r>
        <w:t xml:space="preserve"> laid the foundations for later scholars like </w:t>
      </w:r>
      <w:proofErr w:type="spellStart"/>
      <w:r>
        <w:t>Cheikh</w:t>
      </w:r>
      <w:proofErr w:type="spellEnd"/>
      <w:r>
        <w:t xml:space="preserve"> Anta </w:t>
      </w:r>
      <w:proofErr w:type="spellStart"/>
      <w:r>
        <w:t>Diop</w:t>
      </w:r>
      <w:proofErr w:type="spellEnd"/>
      <w:r>
        <w:t xml:space="preserve">, who exposed how Western historiography misrepresented African civilizations. </w:t>
      </w:r>
      <w:proofErr w:type="spellStart"/>
      <w:r>
        <w:t>Ndlovu-Gatsheni</w:t>
      </w:r>
      <w:proofErr w:type="spellEnd"/>
      <w:r>
        <w:t xml:space="preserve"> (2018) builds on this argument, emphasizing the decolonization of knowledge as central to restoring African dignity. </w:t>
      </w:r>
      <w:proofErr w:type="spellStart"/>
      <w:r>
        <w:t>Blyden</w:t>
      </w:r>
      <w:proofErr w:type="spellEnd"/>
      <w:r>
        <w:t xml:space="preserve"> envisioned cultural identity as the basis for liberation, a view echoed in Cabral’s later assertion that “culture is simultaneously the seed and the fruit of liberation” (Cabral, as cited in </w:t>
      </w:r>
      <w:proofErr w:type="spellStart"/>
      <w:r>
        <w:t>Murithi</w:t>
      </w:r>
      <w:proofErr w:type="spellEnd"/>
      <w:r>
        <w:t xml:space="preserve">, 2023). </w:t>
      </w:r>
      <w:proofErr w:type="spellStart"/>
      <w:r>
        <w:t>Blyden</w:t>
      </w:r>
      <w:proofErr w:type="spellEnd"/>
      <w:r>
        <w:t xml:space="preserve"> thus advanced a vision of regeneration grounded in African agency, resisting both physical colonization and intellectual domination.</w:t>
      </w:r>
    </w:p>
    <w:p w:rsidR="003C6729" w:rsidRDefault="007F2116">
      <w:pPr>
        <w:pStyle w:val="NormalWeb"/>
        <w:spacing w:line="480" w:lineRule="auto"/>
        <w:jc w:val="both"/>
      </w:pPr>
      <w:r>
        <w:t xml:space="preserve">In addition to these theoretical critiques, </w:t>
      </w:r>
      <w:proofErr w:type="spellStart"/>
      <w:r>
        <w:t>Blyden</w:t>
      </w:r>
      <w:proofErr w:type="spellEnd"/>
      <w:r>
        <w:t xml:space="preserve"> was inspired by African resistance leaders like </w:t>
      </w:r>
      <w:proofErr w:type="spellStart"/>
      <w:r>
        <w:t>Samori</w:t>
      </w:r>
      <w:proofErr w:type="spellEnd"/>
      <w:r>
        <w:t xml:space="preserve"> </w:t>
      </w:r>
      <w:proofErr w:type="spellStart"/>
      <w:r>
        <w:t>Touré</w:t>
      </w:r>
      <w:proofErr w:type="spellEnd"/>
      <w:r>
        <w:t xml:space="preserve"> and </w:t>
      </w:r>
      <w:proofErr w:type="spellStart"/>
      <w:r>
        <w:t>Menelik</w:t>
      </w:r>
      <w:proofErr w:type="spellEnd"/>
      <w:r>
        <w:t xml:space="preserve"> II, who fought colonial powers with strategic and often successful military resistance (</w:t>
      </w:r>
      <w:proofErr w:type="spellStart"/>
      <w:r>
        <w:t>Boahen</w:t>
      </w:r>
      <w:proofErr w:type="spellEnd"/>
      <w:r>
        <w:t xml:space="preserve">, 2022). These movements reinforced </w:t>
      </w:r>
      <w:proofErr w:type="spellStart"/>
      <w:r>
        <w:t>Blyden’s</w:t>
      </w:r>
      <w:proofErr w:type="spellEnd"/>
      <w:r>
        <w:t xml:space="preserve"> belief in the capacity of African societies to manage their affairs independently. His 1872 address, </w:t>
      </w:r>
      <w:r>
        <w:rPr>
          <w:rStyle w:val="Emphasis"/>
        </w:rPr>
        <w:t>The African Problem and the Method of Its Solution</w:t>
      </w:r>
      <w:r>
        <w:t>, emphasized that Africans were not passive victims but active historical agents (</w:t>
      </w:r>
      <w:proofErr w:type="spellStart"/>
      <w:r>
        <w:t>Blyden</w:t>
      </w:r>
      <w:proofErr w:type="spellEnd"/>
      <w:r>
        <w:t xml:space="preserve">, 1872). </w:t>
      </w:r>
      <w:proofErr w:type="spellStart"/>
      <w:r>
        <w:t>Murithi</w:t>
      </w:r>
      <w:proofErr w:type="spellEnd"/>
      <w:r>
        <w:t xml:space="preserve"> (2023) connects </w:t>
      </w:r>
      <w:proofErr w:type="spellStart"/>
      <w:r>
        <w:t>Blyden’s</w:t>
      </w:r>
      <w:proofErr w:type="spellEnd"/>
      <w:r>
        <w:t xml:space="preserve"> intellectual activism to a broader tradition of African political thought that values resistance and resilience. His influence is traceable in the writings and leadership of African nationalists such as Kwame Nkrumah and Julius </w:t>
      </w:r>
      <w:proofErr w:type="spellStart"/>
      <w:r>
        <w:t>Nyerere</w:t>
      </w:r>
      <w:proofErr w:type="spellEnd"/>
      <w:r>
        <w:t xml:space="preserve">, who adopted </w:t>
      </w:r>
      <w:proofErr w:type="spellStart"/>
      <w:r>
        <w:t>Blyden’s</w:t>
      </w:r>
      <w:proofErr w:type="spellEnd"/>
      <w:r>
        <w:t xml:space="preserve"> synthesis of cultural revival and political autonomy in the mid-20th century.</w:t>
      </w:r>
    </w:p>
    <w:p w:rsidR="003C6729" w:rsidRDefault="007F2116">
      <w:pPr>
        <w:pStyle w:val="NormalWeb"/>
        <w:spacing w:line="480" w:lineRule="auto"/>
        <w:jc w:val="both"/>
      </w:pPr>
      <w:proofErr w:type="spellStart"/>
      <w:r>
        <w:lastRenderedPageBreak/>
        <w:t>Blyden’s</w:t>
      </w:r>
      <w:proofErr w:type="spellEnd"/>
      <w:r>
        <w:t xml:space="preserve"> enduring legacy lies in his formulation of the African Personality, a concept that celebrated racial pride, cultural integrity, and self-governance. This idea became central to later Pan-Africanist and decolonization movements. </w:t>
      </w:r>
      <w:proofErr w:type="spellStart"/>
      <w:r>
        <w:t>Zondi</w:t>
      </w:r>
      <w:proofErr w:type="spellEnd"/>
      <w:r>
        <w:t xml:space="preserve"> (2023) argues that </w:t>
      </w:r>
      <w:proofErr w:type="spellStart"/>
      <w:r>
        <w:t>Blyden’s</w:t>
      </w:r>
      <w:proofErr w:type="spellEnd"/>
      <w:r>
        <w:t xml:space="preserve"> thought continues to inform post-colonial efforts to reframe African identity in ways that affirm historical consciousness and agency. </w:t>
      </w:r>
      <w:proofErr w:type="spellStart"/>
      <w:r>
        <w:t>Adebajo</w:t>
      </w:r>
      <w:proofErr w:type="spellEnd"/>
      <w:r>
        <w:t xml:space="preserve"> (2021) also emphasizes that </w:t>
      </w:r>
      <w:proofErr w:type="spellStart"/>
      <w:r>
        <w:t>Blyden</w:t>
      </w:r>
      <w:proofErr w:type="spellEnd"/>
      <w:r>
        <w:t xml:space="preserve"> was not merely a precursor but a foundational architect of Pan-Africanism. His advocacy for unity, cultural renaissance, and spiritual autonomy has influenced generations of African intellectuals and political leaders, making him one of the most important figures in the genealogy of African liberation thought.</w:t>
      </w:r>
    </w:p>
    <w:p w:rsidR="003C6729" w:rsidRDefault="007F2116">
      <w:pPr>
        <w:spacing w:line="480" w:lineRule="auto"/>
        <w:jc w:val="both"/>
        <w:rPr>
          <w:rFonts w:ascii="Times New Roman" w:hAnsi="Times New Roman" w:cs="Times New Roman"/>
          <w:b/>
          <w:bCs/>
        </w:rPr>
      </w:pPr>
      <w:r>
        <w:rPr>
          <w:rFonts w:ascii="Times New Roman" w:hAnsi="Times New Roman" w:cs="Times New Roman"/>
          <w:b/>
          <w:bCs/>
        </w:rPr>
        <w:t xml:space="preserve">2.2 Core Tenets of </w:t>
      </w:r>
      <w:proofErr w:type="spellStart"/>
      <w:r>
        <w:rPr>
          <w:rFonts w:ascii="Times New Roman" w:hAnsi="Times New Roman" w:cs="Times New Roman"/>
          <w:b/>
          <w:bCs/>
        </w:rPr>
        <w:t>Blyden’s</w:t>
      </w:r>
      <w:proofErr w:type="spellEnd"/>
      <w:r>
        <w:rPr>
          <w:rFonts w:ascii="Times New Roman" w:hAnsi="Times New Roman" w:cs="Times New Roman"/>
          <w:b/>
          <w:bCs/>
        </w:rPr>
        <w:t xml:space="preserve"> Pan-Africanism</w:t>
      </w:r>
    </w:p>
    <w:p w:rsidR="003C6729" w:rsidRDefault="007F2116">
      <w:pPr>
        <w:spacing w:line="480" w:lineRule="auto"/>
        <w:jc w:val="both"/>
        <w:rPr>
          <w:rFonts w:ascii="Times New Roman" w:hAnsi="Times New Roman" w:cs="Times New Roman"/>
          <w:b/>
          <w:bCs/>
        </w:rPr>
      </w:pPr>
      <w:r>
        <w:rPr>
          <w:rFonts w:ascii="Times New Roman" w:hAnsi="Times New Roman" w:cs="Times New Roman"/>
          <w:b/>
          <w:bCs/>
        </w:rPr>
        <w:t>2.2.1 African Personality and Cultural Nationalism</w:t>
      </w:r>
    </w:p>
    <w:p w:rsidR="003C6729" w:rsidRDefault="007F2116">
      <w:pPr>
        <w:pStyle w:val="NormalWeb"/>
        <w:spacing w:line="480" w:lineRule="auto"/>
        <w:jc w:val="both"/>
      </w:pPr>
      <w:r>
        <w:t xml:space="preserve">Edward Wilmot </w:t>
      </w:r>
      <w:proofErr w:type="spellStart"/>
      <w:r>
        <w:t>Blyden</w:t>
      </w:r>
      <w:proofErr w:type="spellEnd"/>
      <w:r>
        <w:t xml:space="preserve"> developed the concept of the “African Personality,” which underscored the distinctiveness of African culture, spirituality, and social systems. He posited that Africans possessed unique intellectual and moral capabilities that were inherently different from, but not inferior to, those of Europeans. </w:t>
      </w:r>
      <w:proofErr w:type="spellStart"/>
      <w:r>
        <w:t>Blyden</w:t>
      </w:r>
      <w:proofErr w:type="spellEnd"/>
      <w:r>
        <w:t xml:space="preserve"> (1887) asserted that “the African has his peculiar endowments and capacities, which need only the proper conditions for development to enable him to take his place among the peoples of the world” (p. 123). This notion laid the foundation for the cultural nationalism that became a cornerstone of Pan-Africanism. Contemporary scholars affirm that </w:t>
      </w:r>
      <w:proofErr w:type="spellStart"/>
      <w:r>
        <w:t>Blyden’s</w:t>
      </w:r>
      <w:proofErr w:type="spellEnd"/>
      <w:r>
        <w:t xml:space="preserve"> early cultural philosophy prefigured modern African-centered political theory, which emphasizes the agency, subjectivity, and epistemic legitimacy of African societies (Asante, 2003; </w:t>
      </w:r>
      <w:proofErr w:type="spellStart"/>
      <w:r>
        <w:t>Kiros</w:t>
      </w:r>
      <w:proofErr w:type="spellEnd"/>
      <w:r>
        <w:t xml:space="preserve">, 2011; Dei, 2019). Lynch (1970) emphasizes that </w:t>
      </w:r>
      <w:proofErr w:type="spellStart"/>
      <w:r>
        <w:t>Blyden’s</w:t>
      </w:r>
      <w:proofErr w:type="spellEnd"/>
      <w:r>
        <w:t xml:space="preserve"> articulation of the African Personality sought to affirm African identity in the face of colonial subjugation. Similarly, </w:t>
      </w:r>
      <w:proofErr w:type="spellStart"/>
      <w:r>
        <w:lastRenderedPageBreak/>
        <w:t>Chinweizu</w:t>
      </w:r>
      <w:proofErr w:type="spellEnd"/>
      <w:r>
        <w:t xml:space="preserve"> (1975) argues that </w:t>
      </w:r>
      <w:proofErr w:type="spellStart"/>
      <w:r>
        <w:t>Blyden’s</w:t>
      </w:r>
      <w:proofErr w:type="spellEnd"/>
      <w:r>
        <w:t xml:space="preserve"> work provided an intellectual counter-narrative to the Eurocentric portrayals of African primitiveness, instead emphasizing Africa’s rich cultural heritage and civilizational potential.</w:t>
      </w:r>
    </w:p>
    <w:p w:rsidR="003C6729" w:rsidRDefault="007F2116">
      <w:pPr>
        <w:pStyle w:val="NormalWeb"/>
        <w:spacing w:line="480" w:lineRule="auto"/>
        <w:jc w:val="both"/>
      </w:pPr>
      <w:proofErr w:type="spellStart"/>
      <w:r>
        <w:t>Blyden’s</w:t>
      </w:r>
      <w:proofErr w:type="spellEnd"/>
      <w:r>
        <w:t xml:space="preserve"> African Personality also served as an ideological precursor for Pan-African leaders such as Kwame Nkrumah and Julius </w:t>
      </w:r>
      <w:proofErr w:type="spellStart"/>
      <w:r>
        <w:t>Nyerere</w:t>
      </w:r>
      <w:proofErr w:type="spellEnd"/>
      <w:r>
        <w:t xml:space="preserve">. Nkrumah (1963) acknowledged </w:t>
      </w:r>
      <w:proofErr w:type="spellStart"/>
      <w:r>
        <w:t>Blyden’s</w:t>
      </w:r>
      <w:proofErr w:type="spellEnd"/>
      <w:r>
        <w:t xml:space="preserve"> influence, stating that “</w:t>
      </w:r>
      <w:proofErr w:type="spellStart"/>
      <w:r>
        <w:t>Blyden’s</w:t>
      </w:r>
      <w:proofErr w:type="spellEnd"/>
      <w:r>
        <w:t xml:space="preserve"> insistence on the uniqueness of the African personality inspired our quest for an African-centered approach to governance and development” (p. 58). </w:t>
      </w:r>
      <w:proofErr w:type="spellStart"/>
      <w:r>
        <w:t>Nyerere</w:t>
      </w:r>
      <w:proofErr w:type="spellEnd"/>
      <w:r>
        <w:t xml:space="preserve"> (1967) similarly adopted </w:t>
      </w:r>
      <w:proofErr w:type="spellStart"/>
      <w:r>
        <w:t>Blyden’s</w:t>
      </w:r>
      <w:proofErr w:type="spellEnd"/>
      <w:r>
        <w:t xml:space="preserve"> emphasis on cultural nationalism, incorporating traditional African communal values into his philosophy of </w:t>
      </w:r>
      <w:proofErr w:type="spellStart"/>
      <w:r>
        <w:t>Ujamaa</w:t>
      </w:r>
      <w:proofErr w:type="spellEnd"/>
      <w:r>
        <w:t xml:space="preserve"> socialism. According to </w:t>
      </w:r>
      <w:proofErr w:type="spellStart"/>
      <w:r>
        <w:t>Ajayi</w:t>
      </w:r>
      <w:proofErr w:type="spellEnd"/>
      <w:r>
        <w:t xml:space="preserve"> (1996), both leaders saw </w:t>
      </w:r>
      <w:proofErr w:type="spellStart"/>
      <w:r>
        <w:t>Blyden’s</w:t>
      </w:r>
      <w:proofErr w:type="spellEnd"/>
      <w:r>
        <w:t xml:space="preserve"> vision as essential for fostering a sense of pride and unity among Africans, which was crucial for nation-building in the post-colonial era. </w:t>
      </w:r>
      <w:proofErr w:type="spellStart"/>
      <w:r>
        <w:t>Tibebu</w:t>
      </w:r>
      <w:proofErr w:type="spellEnd"/>
      <w:r>
        <w:t xml:space="preserve"> (2011) contends that </w:t>
      </w:r>
      <w:proofErr w:type="spellStart"/>
      <w:r>
        <w:t>Blyden’s</w:t>
      </w:r>
      <w:proofErr w:type="spellEnd"/>
      <w:r>
        <w:t xml:space="preserve"> ideas were instrumental in shaping the intellectual discourse on African self-determination and autonomy. These ideological frameworks continue to shape contemporary Pan-African thought, with scholars such as </w:t>
      </w:r>
      <w:proofErr w:type="spellStart"/>
      <w:r>
        <w:t>Adi</w:t>
      </w:r>
      <w:proofErr w:type="spellEnd"/>
      <w:r>
        <w:t xml:space="preserve"> (2018) and </w:t>
      </w:r>
      <w:proofErr w:type="spellStart"/>
      <w:r>
        <w:t>Murua</w:t>
      </w:r>
      <w:proofErr w:type="spellEnd"/>
      <w:r>
        <w:t xml:space="preserve"> (2022) emphasizing </w:t>
      </w:r>
      <w:proofErr w:type="spellStart"/>
      <w:r>
        <w:t>Blyden’s</w:t>
      </w:r>
      <w:proofErr w:type="spellEnd"/>
      <w:r>
        <w:t xml:space="preserve"> enduring influence on debates about African unity, identity, and cultural resurgence.</w:t>
      </w:r>
    </w:p>
    <w:p w:rsidR="003C6729" w:rsidRDefault="007F2116">
      <w:pPr>
        <w:pStyle w:val="NormalWeb"/>
        <w:spacing w:line="480" w:lineRule="auto"/>
        <w:jc w:val="both"/>
      </w:pPr>
      <w:proofErr w:type="spellStart"/>
      <w:r>
        <w:t>Blyden’s</w:t>
      </w:r>
      <w:proofErr w:type="spellEnd"/>
      <w:r>
        <w:t xml:space="preserve"> emphasis on cultural nationalism was a direct response to the colonial project of assimilation, which sought to impose European cultural, religious, and economic systems on African societies. He argued that Western education, particularly as propagated by missionary schools, aimed to alienate Africans from their cultural roots. In his seminal work </w:t>
      </w:r>
      <w:r>
        <w:rPr>
          <w:rStyle w:val="Emphasis"/>
        </w:rPr>
        <w:t>African Life and Customs</w:t>
      </w:r>
      <w:r>
        <w:t xml:space="preserve"> (1908), </w:t>
      </w:r>
      <w:proofErr w:type="spellStart"/>
      <w:r>
        <w:t>Blyden</w:t>
      </w:r>
      <w:proofErr w:type="spellEnd"/>
      <w:r>
        <w:t xml:space="preserve"> asserted that “the educational system introduced by Europeans has done more to dislocate the African mind than to educate it, replacing indigenous knowledge with foreign ideals that are often inapplicable to African realities” (p. 45). </w:t>
      </w:r>
      <w:proofErr w:type="spellStart"/>
      <w:r>
        <w:t>Esedebe</w:t>
      </w:r>
      <w:proofErr w:type="spellEnd"/>
      <w:r>
        <w:t xml:space="preserve"> (1994) notes that </w:t>
      </w:r>
      <w:proofErr w:type="spellStart"/>
      <w:r>
        <w:t>Blyden’s</w:t>
      </w:r>
      <w:proofErr w:type="spellEnd"/>
      <w:r>
        <w:t xml:space="preserve"> </w:t>
      </w:r>
      <w:r>
        <w:lastRenderedPageBreak/>
        <w:t xml:space="preserve">critique of colonial education influenced later African thinkers such as </w:t>
      </w:r>
      <w:proofErr w:type="spellStart"/>
      <w:r>
        <w:t>Ngũgĩ</w:t>
      </w:r>
      <w:proofErr w:type="spellEnd"/>
      <w:r>
        <w:t xml:space="preserve"> </w:t>
      </w:r>
      <w:proofErr w:type="spellStart"/>
      <w:proofErr w:type="gramStart"/>
      <w:r>
        <w:t>wa</w:t>
      </w:r>
      <w:proofErr w:type="spellEnd"/>
      <w:proofErr w:type="gramEnd"/>
      <w:r>
        <w:t xml:space="preserve"> </w:t>
      </w:r>
      <w:proofErr w:type="spellStart"/>
      <w:r>
        <w:t>Thiong’o</w:t>
      </w:r>
      <w:proofErr w:type="spellEnd"/>
      <w:r>
        <w:t xml:space="preserve">, who emphasized the decolonization of African minds through indigenous languages and epistemologies. In recent years, scholars such as Dei (2019) and </w:t>
      </w:r>
      <w:proofErr w:type="spellStart"/>
      <w:r>
        <w:t>Adjei</w:t>
      </w:r>
      <w:proofErr w:type="spellEnd"/>
      <w:r>
        <w:t xml:space="preserve"> and </w:t>
      </w:r>
      <w:proofErr w:type="spellStart"/>
      <w:r>
        <w:t>Andoh</w:t>
      </w:r>
      <w:proofErr w:type="spellEnd"/>
      <w:r>
        <w:t xml:space="preserve"> (2020) have reaffirmed the relevance of Afrocentric and culturally sustaining education as critical tools in resisting neo-colonial educational models and restoring African dignity.</w:t>
      </w:r>
    </w:p>
    <w:p w:rsidR="003C6729" w:rsidRDefault="007F2116">
      <w:pPr>
        <w:pStyle w:val="NormalWeb"/>
        <w:spacing w:line="480" w:lineRule="auto"/>
        <w:jc w:val="both"/>
      </w:pPr>
      <w:r>
        <w:t xml:space="preserve">To counter the cultural erosion perpetuated by colonial rule, </w:t>
      </w:r>
      <w:proofErr w:type="spellStart"/>
      <w:r>
        <w:t>Blyden</w:t>
      </w:r>
      <w:proofErr w:type="spellEnd"/>
      <w:r>
        <w:t xml:space="preserve"> advocated for an educational system that prioritized African history, languages, and philosophies. He envisioned schools that would not only impart technical skills but also inculcate a sense of African pride and historical consciousness. </w:t>
      </w:r>
      <w:proofErr w:type="spellStart"/>
      <w:r>
        <w:t>Blyden</w:t>
      </w:r>
      <w:proofErr w:type="spellEnd"/>
      <w:r>
        <w:t xml:space="preserve"> (1887) argued that “an education that ignores the history and culture of a people is an education that alienates them from themselves” (p. 98). This position aligns with the Afrocentric educational framework developed by Asante (2003), which insists on a pedagogy centered on African identity, agency, and worldview. </w:t>
      </w:r>
      <w:proofErr w:type="spellStart"/>
      <w:r>
        <w:t>Blyden’s</w:t>
      </w:r>
      <w:proofErr w:type="spellEnd"/>
      <w:r>
        <w:t xml:space="preserve"> educational philosophy found resonance in the works of Julius </w:t>
      </w:r>
      <w:proofErr w:type="spellStart"/>
      <w:r>
        <w:t>Nyerere</w:t>
      </w:r>
      <w:proofErr w:type="spellEnd"/>
      <w:r>
        <w:t>, who implemented reforms in Tanzania to integrate African values and histories into the national curriculum (</w:t>
      </w:r>
      <w:proofErr w:type="spellStart"/>
      <w:r>
        <w:t>Nyerere</w:t>
      </w:r>
      <w:proofErr w:type="spellEnd"/>
      <w:r>
        <w:t xml:space="preserve">, 1968). Scholars such as </w:t>
      </w:r>
      <w:proofErr w:type="spellStart"/>
      <w:r>
        <w:t>Adi</w:t>
      </w:r>
      <w:proofErr w:type="spellEnd"/>
      <w:r>
        <w:t xml:space="preserve"> (2018) and </w:t>
      </w:r>
      <w:proofErr w:type="spellStart"/>
      <w:r>
        <w:t>Anyidoho</w:t>
      </w:r>
      <w:proofErr w:type="spellEnd"/>
      <w:r>
        <w:t xml:space="preserve"> (2023) underscore the continued importance of culturally relevant curricula in addressing contemporary challenges of dislocation, marginalization, and epistemic injustice across African educational systems.</w:t>
      </w:r>
    </w:p>
    <w:p w:rsidR="003C6729" w:rsidRDefault="007F2116">
      <w:pPr>
        <w:pStyle w:val="NormalWeb"/>
        <w:spacing w:line="480" w:lineRule="auto"/>
        <w:jc w:val="both"/>
      </w:pPr>
      <w:r>
        <w:t xml:space="preserve">In sum, </w:t>
      </w:r>
      <w:proofErr w:type="spellStart"/>
      <w:r>
        <w:t>Blyden’s</w:t>
      </w:r>
      <w:proofErr w:type="spellEnd"/>
      <w:r>
        <w:t xml:space="preserve"> concept of the African Personality and his advocacy for cultural nationalism provided an intellectual foundation for the Pan-African movement. His insistence on the distinctiveness and dignity of African culture challenged colonial narratives of African inferiority and inspired subsequent generations of African leaders and scholars. As noted by </w:t>
      </w:r>
      <w:proofErr w:type="spellStart"/>
      <w:r>
        <w:t>Adi</w:t>
      </w:r>
      <w:proofErr w:type="spellEnd"/>
      <w:r>
        <w:t xml:space="preserve"> and Sherwood (2003), </w:t>
      </w:r>
      <w:proofErr w:type="spellStart"/>
      <w:r>
        <w:t>Blyden’s</w:t>
      </w:r>
      <w:proofErr w:type="spellEnd"/>
      <w:r>
        <w:t xml:space="preserve"> legacy continues to shape conversations on African identity, cultural </w:t>
      </w:r>
      <w:r>
        <w:lastRenderedPageBreak/>
        <w:t>renewal, and educational reform. His thought also provides a crucial reference point in current African-centered political theory, which emphasizes restoring Africa's historical agency, epistemic autonomy, and self-determined future (</w:t>
      </w:r>
      <w:proofErr w:type="spellStart"/>
      <w:r>
        <w:t>Kiros</w:t>
      </w:r>
      <w:proofErr w:type="spellEnd"/>
      <w:r>
        <w:t xml:space="preserve">, 2011; Dei, 2019; </w:t>
      </w:r>
      <w:proofErr w:type="spellStart"/>
      <w:r>
        <w:t>Murua</w:t>
      </w:r>
      <w:proofErr w:type="spellEnd"/>
      <w:r>
        <w:t xml:space="preserve">, 2022). The enduring significance of </w:t>
      </w:r>
      <w:proofErr w:type="spellStart"/>
      <w:r>
        <w:t>Blyden’s</w:t>
      </w:r>
      <w:proofErr w:type="spellEnd"/>
      <w:r>
        <w:t xml:space="preserve"> ideas lies in their potential to guide Africa’s response to ongoing cultural, educational, and political challenges in the 21st century.</w:t>
      </w:r>
    </w:p>
    <w:p w:rsidR="003C6729" w:rsidRDefault="007F2116">
      <w:pPr>
        <w:spacing w:line="480" w:lineRule="auto"/>
        <w:jc w:val="both"/>
        <w:rPr>
          <w:rFonts w:ascii="Times New Roman" w:hAnsi="Times New Roman" w:cs="Times New Roman"/>
          <w:b/>
          <w:bCs/>
        </w:rPr>
      </w:pPr>
      <w:r>
        <w:rPr>
          <w:rFonts w:ascii="Times New Roman" w:hAnsi="Times New Roman" w:cs="Times New Roman"/>
          <w:b/>
          <w:bCs/>
        </w:rPr>
        <w:t>2.2.2 Emancipation and African Unity</w:t>
      </w:r>
    </w:p>
    <w:p w:rsidR="003C6729" w:rsidRDefault="007F2116">
      <w:pPr>
        <w:spacing w:line="480" w:lineRule="auto"/>
        <w:jc w:val="both"/>
        <w:rPr>
          <w:rFonts w:ascii="Times New Roman" w:hAnsi="Times New Roman" w:cs="Times New Roman"/>
        </w:rPr>
      </w:pPr>
      <w:proofErr w:type="spellStart"/>
      <w:r>
        <w:rPr>
          <w:rFonts w:ascii="Times New Roman" w:hAnsi="Times New Roman" w:cs="Times New Roman"/>
        </w:rPr>
        <w:t>Blyden’s</w:t>
      </w:r>
      <w:proofErr w:type="spellEnd"/>
      <w:r>
        <w:rPr>
          <w:rFonts w:ascii="Times New Roman" w:hAnsi="Times New Roman" w:cs="Times New Roman"/>
        </w:rPr>
        <w:t xml:space="preserve"> advocacy for African self-governance and unity prefigured the later Pan-African movements led by figures such as Marcus Garvey, W.E.B. Du Bois, and later, Kwame Nkrumah. He viewed Liberia and Sierra Leone as potential models for African self-rule and argued that African states should unite to resist Western imperialism. This vision of African unity laid the groundwork for later initiatives, including the Organization of African Unity (OAU) and the African Union (AU).</w:t>
      </w:r>
    </w:p>
    <w:p w:rsidR="003C6729" w:rsidRDefault="007F2116">
      <w:pPr>
        <w:spacing w:line="480" w:lineRule="auto"/>
        <w:jc w:val="both"/>
        <w:rPr>
          <w:rFonts w:ascii="Times New Roman" w:hAnsi="Times New Roman" w:cs="Times New Roman"/>
        </w:rPr>
      </w:pPr>
      <w:r>
        <w:rPr>
          <w:rFonts w:ascii="Times New Roman" w:hAnsi="Times New Roman" w:cs="Times New Roman"/>
        </w:rPr>
        <w:t xml:space="preserve">For </w:t>
      </w:r>
      <w:proofErr w:type="spellStart"/>
      <w:r>
        <w:rPr>
          <w:rFonts w:ascii="Times New Roman" w:hAnsi="Times New Roman" w:cs="Times New Roman"/>
        </w:rPr>
        <w:t>Blyden</w:t>
      </w:r>
      <w:proofErr w:type="spellEnd"/>
      <w:r>
        <w:rPr>
          <w:rFonts w:ascii="Times New Roman" w:hAnsi="Times New Roman" w:cs="Times New Roman"/>
        </w:rPr>
        <w:t>, unity was not just political but also economic and cultural. He believed that African states should create an economic system that benefited African societies rather than serving European interests. This included promoting inter-African trade, developing local industries, and ensuring that Africa’s wealth was used for the benefit of its people.</w:t>
      </w:r>
    </w:p>
    <w:p w:rsidR="003C6729" w:rsidRDefault="007F2116">
      <w:pPr>
        <w:spacing w:line="480" w:lineRule="auto"/>
        <w:jc w:val="both"/>
        <w:rPr>
          <w:rFonts w:ascii="Times New Roman" w:hAnsi="Times New Roman" w:cs="Times New Roman"/>
          <w:b/>
          <w:bCs/>
        </w:rPr>
      </w:pPr>
      <w:r>
        <w:rPr>
          <w:rFonts w:ascii="Times New Roman" w:hAnsi="Times New Roman" w:cs="Times New Roman"/>
          <w:b/>
          <w:bCs/>
        </w:rPr>
        <w:t>3.1 Contemporary African Leadership and Political Thought</w:t>
      </w:r>
    </w:p>
    <w:p w:rsidR="003C6729" w:rsidRDefault="007F2116">
      <w:pPr>
        <w:spacing w:line="480" w:lineRule="auto"/>
        <w:jc w:val="both"/>
        <w:rPr>
          <w:rFonts w:ascii="Times New Roman" w:hAnsi="Times New Roman" w:cs="Times New Roman"/>
        </w:rPr>
      </w:pPr>
      <w:r>
        <w:rPr>
          <w:rFonts w:ascii="Times New Roman" w:hAnsi="Times New Roman" w:cs="Times New Roman"/>
        </w:rPr>
        <w:t xml:space="preserve">Despite the promises of independence in the 1950s and 1960s, many African nations continue to face governance challenges that starkly contradict the ideals of </w:t>
      </w:r>
      <w:proofErr w:type="spellStart"/>
      <w:r>
        <w:rPr>
          <w:rFonts w:ascii="Times New Roman" w:hAnsi="Times New Roman" w:cs="Times New Roman"/>
        </w:rPr>
        <w:t>Blyden’s</w:t>
      </w:r>
      <w:proofErr w:type="spellEnd"/>
      <w:r>
        <w:rPr>
          <w:rFonts w:ascii="Times New Roman" w:hAnsi="Times New Roman" w:cs="Times New Roman"/>
        </w:rPr>
        <w:t xml:space="preserve"> Pan-Africanism. </w:t>
      </w:r>
      <w:proofErr w:type="spellStart"/>
      <w:r>
        <w:rPr>
          <w:rFonts w:ascii="Times New Roman" w:hAnsi="Times New Roman" w:cs="Times New Roman"/>
        </w:rPr>
        <w:t>Blyden</w:t>
      </w:r>
      <w:proofErr w:type="spellEnd"/>
      <w:r>
        <w:rPr>
          <w:rFonts w:ascii="Times New Roman" w:hAnsi="Times New Roman" w:cs="Times New Roman"/>
        </w:rPr>
        <w:t xml:space="preserve"> envisioned a continent characterized by ethical leadership, self-reliance, and unity, yet contemporary African political landscapes are often marred by systemic inefficiencies and moral decay. According to </w:t>
      </w:r>
      <w:proofErr w:type="spellStart"/>
      <w:r>
        <w:rPr>
          <w:rFonts w:ascii="Times New Roman" w:hAnsi="Times New Roman" w:cs="Times New Roman"/>
        </w:rPr>
        <w:t>Adebajo</w:t>
      </w:r>
      <w:proofErr w:type="spellEnd"/>
      <w:r>
        <w:rPr>
          <w:rFonts w:ascii="Times New Roman" w:hAnsi="Times New Roman" w:cs="Times New Roman"/>
        </w:rPr>
        <w:t xml:space="preserve"> (2016), the post-colonial state in Africa has largely failed to fulfill </w:t>
      </w:r>
      <w:r>
        <w:rPr>
          <w:rFonts w:ascii="Times New Roman" w:hAnsi="Times New Roman" w:cs="Times New Roman"/>
        </w:rPr>
        <w:lastRenderedPageBreak/>
        <w:t xml:space="preserve">the aspirations of its citizens, perpetuating a cycle of underdevelopment and disenfranchisement. </w:t>
      </w:r>
      <w:proofErr w:type="spellStart"/>
      <w:r>
        <w:rPr>
          <w:rFonts w:ascii="Times New Roman" w:hAnsi="Times New Roman" w:cs="Times New Roman"/>
        </w:rPr>
        <w:t>Blyden</w:t>
      </w:r>
      <w:proofErr w:type="spellEnd"/>
      <w:r>
        <w:rPr>
          <w:rFonts w:ascii="Times New Roman" w:hAnsi="Times New Roman" w:cs="Times New Roman"/>
        </w:rPr>
        <w:t xml:space="preserve"> (1887) warned that “a leadership divorced from the cultural and moral fabric of its people is bound to fail” (p. 112), a sentiment echoed by scholars such as </w:t>
      </w:r>
      <w:proofErr w:type="spellStart"/>
      <w:r>
        <w:rPr>
          <w:rFonts w:ascii="Times New Roman" w:hAnsi="Times New Roman" w:cs="Times New Roman"/>
        </w:rPr>
        <w:t>Ekeh</w:t>
      </w:r>
      <w:proofErr w:type="spellEnd"/>
      <w:r>
        <w:rPr>
          <w:rFonts w:ascii="Times New Roman" w:hAnsi="Times New Roman" w:cs="Times New Roman"/>
        </w:rPr>
        <w:t xml:space="preserve"> (1975), who identified the “two publics” phenomenon in Africa – one rooted in traditional values and the other in exploitative colonial legacies.</w:t>
      </w:r>
    </w:p>
    <w:p w:rsidR="003C6729" w:rsidRDefault="007F2116">
      <w:pPr>
        <w:spacing w:line="480" w:lineRule="auto"/>
        <w:jc w:val="both"/>
        <w:rPr>
          <w:rStyle w:val="Strong"/>
          <w:rFonts w:ascii="Times New Roman" w:eastAsiaTheme="majorEastAsia" w:hAnsi="Times New Roman" w:cs="Times New Roman"/>
        </w:rPr>
      </w:pPr>
      <w:r>
        <w:rPr>
          <w:rStyle w:val="Strong"/>
          <w:rFonts w:ascii="Times New Roman" w:eastAsiaTheme="majorEastAsia" w:hAnsi="Times New Roman" w:cs="Times New Roman"/>
        </w:rPr>
        <w:t>3.2 Corruption and Political Instability</w:t>
      </w:r>
    </w:p>
    <w:p w:rsidR="003C6729" w:rsidRDefault="007F2116">
      <w:pPr>
        <w:pStyle w:val="NormalWeb"/>
        <w:spacing w:line="480" w:lineRule="auto"/>
        <w:jc w:val="both"/>
      </w:pPr>
      <w:r>
        <w:t xml:space="preserve">Many African governments struggle with entrenched corruption, severely undermining economic development and democratic governance. Transparency International’s </w:t>
      </w:r>
      <w:r>
        <w:rPr>
          <w:rStyle w:val="Emphasis"/>
        </w:rPr>
        <w:t>Corruption Perceptions Index</w:t>
      </w:r>
      <w:r>
        <w:t xml:space="preserve"> (2023) continues to rank several African countries—such as Somalia, South Sudan, Zimbabwe, Equatorial Guinea, and the Democratic Republic of Congo—among the most corrupt globally. Corruption in Africa is not merely a matter of personal moral failure but is rooted in deeper structural and historical dynamics. As </w:t>
      </w:r>
      <w:proofErr w:type="spellStart"/>
      <w:r>
        <w:t>Mbaku</w:t>
      </w:r>
      <w:proofErr w:type="spellEnd"/>
      <w:r>
        <w:t xml:space="preserve"> (2007) argues, postcolonial states inherited extractive colonial institutions that prioritized exploitation over governance, creating a legacy of predatory rule. Between 2009 and 2016, Nigeria witnessed some of its most egregious corruption scandals. High-profile cases, including the embezzlement of over $2 billion meant for military procurement under the administration of President </w:t>
      </w:r>
      <w:proofErr w:type="spellStart"/>
      <w:r>
        <w:t>Goodluck</w:t>
      </w:r>
      <w:proofErr w:type="spellEnd"/>
      <w:r>
        <w:t xml:space="preserve"> Jonathan, exposed systemic rot at the highest levels of government (</w:t>
      </w:r>
      <w:proofErr w:type="spellStart"/>
      <w:r>
        <w:t>Olarinmoye</w:t>
      </w:r>
      <w:proofErr w:type="spellEnd"/>
      <w:r>
        <w:t xml:space="preserve">, 2020). Similarly, in the Central African Republic (CAR), the concept of the "resource curse" is vividly illustrated, as diamond and gold revenues have fueled </w:t>
      </w:r>
      <w:proofErr w:type="spellStart"/>
      <w:r>
        <w:t>warlordism</w:t>
      </w:r>
      <w:proofErr w:type="spellEnd"/>
      <w:r>
        <w:t xml:space="preserve"> and patronage networks instead of development (</w:t>
      </w:r>
      <w:proofErr w:type="spellStart"/>
      <w:r>
        <w:t>Hamangiu</w:t>
      </w:r>
      <w:proofErr w:type="spellEnd"/>
      <w:r>
        <w:t xml:space="preserve">, 2021). These examples illustrate a persistent crisis of leadership that contradicts </w:t>
      </w:r>
      <w:proofErr w:type="spellStart"/>
      <w:r>
        <w:t>Blyden’s</w:t>
      </w:r>
      <w:proofErr w:type="spellEnd"/>
      <w:r>
        <w:t xml:space="preserve"> vision of ethical, service-oriented governance.</w:t>
      </w:r>
    </w:p>
    <w:p w:rsidR="003C6729" w:rsidRDefault="007F2116">
      <w:pPr>
        <w:pStyle w:val="NormalWeb"/>
        <w:spacing w:line="480" w:lineRule="auto"/>
        <w:jc w:val="both"/>
      </w:pPr>
      <w:proofErr w:type="spellStart"/>
      <w:r>
        <w:lastRenderedPageBreak/>
        <w:t>Blyden’s</w:t>
      </w:r>
      <w:proofErr w:type="spellEnd"/>
      <w:r>
        <w:t xml:space="preserve"> reflections on leadership remain strikingly relevant in this context. He warned against the rise of self-serving elites who used public office for private gain, arguing that “the true African leader must embody the virtues of honesty, humility, and service to the people” (</w:t>
      </w:r>
      <w:proofErr w:type="spellStart"/>
      <w:r>
        <w:t>Blyden</w:t>
      </w:r>
      <w:proofErr w:type="spellEnd"/>
      <w:r>
        <w:t xml:space="preserve">, 1887, p. 98). Yet leaders such as Paul </w:t>
      </w:r>
      <w:proofErr w:type="spellStart"/>
      <w:r>
        <w:t>Biya</w:t>
      </w:r>
      <w:proofErr w:type="spellEnd"/>
      <w:r>
        <w:t xml:space="preserve"> of Cameroon and </w:t>
      </w:r>
      <w:proofErr w:type="spellStart"/>
      <w:r>
        <w:t>Teodoro</w:t>
      </w:r>
      <w:proofErr w:type="spellEnd"/>
      <w:r>
        <w:t xml:space="preserve"> </w:t>
      </w:r>
      <w:proofErr w:type="spellStart"/>
      <w:r>
        <w:t>Obiang</w:t>
      </w:r>
      <w:proofErr w:type="spellEnd"/>
      <w:r>
        <w:t xml:space="preserve"> </w:t>
      </w:r>
      <w:proofErr w:type="spellStart"/>
      <w:r>
        <w:t>Nguema</w:t>
      </w:r>
      <w:proofErr w:type="spellEnd"/>
      <w:r>
        <w:t xml:space="preserve"> of Equatorial Guinea exemplify a model of authoritarian rule where state power is personalized, and national wealth is diverted into private coffers. </w:t>
      </w:r>
      <w:proofErr w:type="spellStart"/>
      <w:r>
        <w:t>Bayart’s</w:t>
      </w:r>
      <w:proofErr w:type="spellEnd"/>
      <w:r>
        <w:t xml:space="preserve"> (1993) concept of the “politics of the belly” captures this phenomenon, describing a system in which public officials engage in institutionalized pillage as part of elite consolidation. More recently, scholars like </w:t>
      </w:r>
      <w:proofErr w:type="spellStart"/>
      <w:r>
        <w:t>Cheeseman</w:t>
      </w:r>
      <w:proofErr w:type="spellEnd"/>
      <w:r>
        <w:t xml:space="preserve"> and de </w:t>
      </w:r>
      <w:proofErr w:type="spellStart"/>
      <w:r>
        <w:t>Gramont</w:t>
      </w:r>
      <w:proofErr w:type="spellEnd"/>
      <w:r>
        <w:t xml:space="preserve"> (2023) argue that corruption in Africa now exists in a hybrid form: part of statecraft, part of survival strategy, and deeply embedded in elite pacts. This institutional rot not only contradicts </w:t>
      </w:r>
      <w:proofErr w:type="spellStart"/>
      <w:r>
        <w:t>Blyden’s</w:t>
      </w:r>
      <w:proofErr w:type="spellEnd"/>
      <w:r>
        <w:t xml:space="preserve"> ethical ideals but also erodes citizens’ trust in democracy, weakens rule of law, and deepens inequality.</w:t>
      </w:r>
    </w:p>
    <w:p w:rsidR="003C6729" w:rsidRDefault="007F2116">
      <w:pPr>
        <w:pStyle w:val="NormalWeb"/>
        <w:spacing w:line="480" w:lineRule="auto"/>
        <w:jc w:val="both"/>
      </w:pPr>
      <w:r>
        <w:t xml:space="preserve">The crisis of corruption is compounded by weak and often complicit institutions that fail to uphold transparency or enforce accountability. As </w:t>
      </w:r>
      <w:proofErr w:type="spellStart"/>
      <w:r>
        <w:t>Gyimah-Boadi</w:t>
      </w:r>
      <w:proofErr w:type="spellEnd"/>
      <w:r>
        <w:t xml:space="preserve"> (2004) points out, the weakness of judicial systems, lack of independent oversight bodies, and poor civic education allow corruption to flourish unchecked. Between 2009 and 2016, Nigeria’s anti-corruption bodies such as the Economic and Financial Crimes Commission (EFCC) faced severe political interference, which hindered the prosecution of politically connected individuals (Obi, 2019). In CAR, the absence of a coherent bureaucracy and consistent legal framework has enabled non-state actors to engage in corruption with impunity, particularly in mining sectors (</w:t>
      </w:r>
      <w:proofErr w:type="spellStart"/>
      <w:r>
        <w:t>Hamangiu</w:t>
      </w:r>
      <w:proofErr w:type="spellEnd"/>
      <w:r>
        <w:t xml:space="preserve">, 2021). </w:t>
      </w:r>
      <w:proofErr w:type="spellStart"/>
      <w:r>
        <w:t>Blyden’s</w:t>
      </w:r>
      <w:proofErr w:type="spellEnd"/>
      <w:r>
        <w:t xml:space="preserve"> call for a morally grounded and civically responsible leadership finds contemporary relevance in the need for robust institutional reforms. According to </w:t>
      </w:r>
      <w:proofErr w:type="spellStart"/>
      <w:r>
        <w:t>Kelsall</w:t>
      </w:r>
      <w:proofErr w:type="spellEnd"/>
      <w:r>
        <w:t xml:space="preserve"> (2022), reforms that merely impose technocratic solutions without addressing political culture and elite incentives are doomed to fail. </w:t>
      </w:r>
      <w:proofErr w:type="spellStart"/>
      <w:r>
        <w:lastRenderedPageBreak/>
        <w:t>Blyden’s</w:t>
      </w:r>
      <w:proofErr w:type="spellEnd"/>
      <w:r>
        <w:t xml:space="preserve"> emphasis on moral education and cultural consciousness offers a complementary framework for nurturing ethical political behavior from within African societies.</w:t>
      </w:r>
    </w:p>
    <w:p w:rsidR="003C6729" w:rsidRDefault="007F2116">
      <w:pPr>
        <w:pStyle w:val="NormalWeb"/>
        <w:spacing w:line="480" w:lineRule="auto"/>
        <w:jc w:val="both"/>
      </w:pPr>
      <w:r>
        <w:t xml:space="preserve">Despite these challenges, civil society movements across the continent are pushing back against the tide of corruption and authoritarianism. As </w:t>
      </w:r>
      <w:proofErr w:type="spellStart"/>
      <w:r>
        <w:t>Adebanwi</w:t>
      </w:r>
      <w:proofErr w:type="spellEnd"/>
      <w:r>
        <w:t xml:space="preserve"> and </w:t>
      </w:r>
      <w:proofErr w:type="spellStart"/>
      <w:r>
        <w:t>Obadare</w:t>
      </w:r>
      <w:proofErr w:type="spellEnd"/>
      <w:r>
        <w:t xml:space="preserve"> (2010) observe, popular mobilizations such as Nigeria’s #</w:t>
      </w:r>
      <w:proofErr w:type="spellStart"/>
      <w:r>
        <w:t>EndSARS</w:t>
      </w:r>
      <w:proofErr w:type="spellEnd"/>
      <w:r>
        <w:t xml:space="preserve"> protests and South Africa’s #</w:t>
      </w:r>
      <w:proofErr w:type="spellStart"/>
      <w:r>
        <w:t>ZumaMustFall</w:t>
      </w:r>
      <w:proofErr w:type="spellEnd"/>
      <w:r>
        <w:t xml:space="preserve"> campaign reflect a rising public consciousness about corruption and governance failures. These movements resonate with </w:t>
      </w:r>
      <w:proofErr w:type="spellStart"/>
      <w:r>
        <w:t>Blyden’s</w:t>
      </w:r>
      <w:proofErr w:type="spellEnd"/>
      <w:r>
        <w:t xml:space="preserve"> vision of an awakened citizenry actively engaged in holding leaders accountable. More recently, digital platforms have enabled broader civic participation and increased scrutiny of public institutions (Boswell &amp; Boswell, 2021). In Nigeria, social media was instrumental in exposing police abuses and prompting judicial inquiries during the #</w:t>
      </w:r>
      <w:proofErr w:type="spellStart"/>
      <w:r>
        <w:t>EndSARS</w:t>
      </w:r>
      <w:proofErr w:type="spellEnd"/>
      <w:r>
        <w:t xml:space="preserve"> movement (</w:t>
      </w:r>
      <w:proofErr w:type="spellStart"/>
      <w:r>
        <w:t>Iwilade</w:t>
      </w:r>
      <w:proofErr w:type="spellEnd"/>
      <w:r>
        <w:t xml:space="preserve">, 2022). In Kenya and Ghana, anti-corruption watchdogs have used online tools to document and publicize misuse of funds related to pandemic relief programs. These developments point to a new generation of African activists who, inspired by both modern technologies and historical ideals like </w:t>
      </w:r>
      <w:proofErr w:type="spellStart"/>
      <w:r>
        <w:t>Blyden’s</w:t>
      </w:r>
      <w:proofErr w:type="spellEnd"/>
      <w:r>
        <w:t>, are reshaping the political landscape toward greater accountability, transparency, and justice.</w:t>
      </w:r>
    </w:p>
    <w:p w:rsidR="003C6729" w:rsidRDefault="007F2116">
      <w:pPr>
        <w:spacing w:line="480" w:lineRule="auto"/>
        <w:jc w:val="both"/>
        <w:rPr>
          <w:rStyle w:val="Strong"/>
          <w:rFonts w:ascii="Times New Roman" w:eastAsiaTheme="majorEastAsia" w:hAnsi="Times New Roman" w:cs="Times New Roman"/>
        </w:rPr>
      </w:pPr>
      <w:r>
        <w:rPr>
          <w:rStyle w:val="Strong"/>
          <w:rFonts w:ascii="Times New Roman" w:eastAsiaTheme="majorEastAsia" w:hAnsi="Times New Roman" w:cs="Times New Roman"/>
        </w:rPr>
        <w:t>3.3 Neo-Colonial Economic Dependencies</w:t>
      </w:r>
    </w:p>
    <w:p w:rsidR="003C6729" w:rsidRDefault="007F2116">
      <w:pPr>
        <w:spacing w:line="480" w:lineRule="auto"/>
        <w:jc w:val="both"/>
        <w:rPr>
          <w:rFonts w:ascii="Times New Roman" w:hAnsi="Times New Roman" w:cs="Times New Roman"/>
        </w:rPr>
      </w:pPr>
      <w:r>
        <w:rPr>
          <w:rFonts w:ascii="Times New Roman" w:hAnsi="Times New Roman" w:cs="Times New Roman"/>
        </w:rPr>
        <w:br/>
      </w:r>
      <w:proofErr w:type="spellStart"/>
      <w:r>
        <w:rPr>
          <w:rFonts w:ascii="Times New Roman" w:hAnsi="Times New Roman" w:cs="Times New Roman"/>
        </w:rPr>
        <w:t>Blyden</w:t>
      </w:r>
      <w:proofErr w:type="spellEnd"/>
      <w:r>
        <w:rPr>
          <w:rFonts w:ascii="Times New Roman" w:hAnsi="Times New Roman" w:cs="Times New Roman"/>
        </w:rPr>
        <w:t xml:space="preserve"> advocated for African economic self-sufficiency, yet many African economies remain heavily dependent on foreign aid and multinational corporations. The structural adjustment programs (SAPs) of the 1980s, imposed by the International Monetary Fund (IMF) and World Bank, mandated austerity measures that often resulted in severe socio-economic hardships for African populations (</w:t>
      </w:r>
      <w:proofErr w:type="spellStart"/>
      <w:r>
        <w:rPr>
          <w:rFonts w:ascii="Times New Roman" w:hAnsi="Times New Roman" w:cs="Times New Roman"/>
        </w:rPr>
        <w:t>Mkandawire</w:t>
      </w:r>
      <w:proofErr w:type="spellEnd"/>
      <w:r>
        <w:rPr>
          <w:rFonts w:ascii="Times New Roman" w:hAnsi="Times New Roman" w:cs="Times New Roman"/>
        </w:rPr>
        <w:t xml:space="preserve"> &amp; </w:t>
      </w:r>
      <w:proofErr w:type="spellStart"/>
      <w:r>
        <w:rPr>
          <w:rFonts w:ascii="Times New Roman" w:hAnsi="Times New Roman" w:cs="Times New Roman"/>
        </w:rPr>
        <w:t>Soludo</w:t>
      </w:r>
      <w:proofErr w:type="spellEnd"/>
      <w:r>
        <w:rPr>
          <w:rFonts w:ascii="Times New Roman" w:hAnsi="Times New Roman" w:cs="Times New Roman"/>
        </w:rPr>
        <w:t xml:space="preserve">, 1999). According to Rodney (1972), these programs </w:t>
      </w:r>
      <w:r>
        <w:rPr>
          <w:rFonts w:ascii="Times New Roman" w:hAnsi="Times New Roman" w:cs="Times New Roman"/>
        </w:rPr>
        <w:lastRenderedPageBreak/>
        <w:t xml:space="preserve">perpetuated the colonial economic structures that prioritized the export of raw materials over industrialization. </w:t>
      </w:r>
      <w:proofErr w:type="spellStart"/>
      <w:r>
        <w:rPr>
          <w:rFonts w:ascii="Times New Roman" w:hAnsi="Times New Roman" w:cs="Times New Roman"/>
        </w:rPr>
        <w:t>Blyden</w:t>
      </w:r>
      <w:proofErr w:type="spellEnd"/>
      <w:r>
        <w:rPr>
          <w:rFonts w:ascii="Times New Roman" w:hAnsi="Times New Roman" w:cs="Times New Roman"/>
        </w:rPr>
        <w:t xml:space="preserve"> (1903) warned that “economic dependence on foreign powers is the surest path to perpetual subjugation” (p. 76), emphasizing the need for Africa to harness its resources for self-reliant development.</w:t>
      </w:r>
    </w:p>
    <w:p w:rsidR="003C6729" w:rsidRDefault="007F2116">
      <w:pPr>
        <w:spacing w:line="480" w:lineRule="auto"/>
        <w:jc w:val="both"/>
        <w:rPr>
          <w:rFonts w:ascii="Times New Roman" w:hAnsi="Times New Roman" w:cs="Times New Roman"/>
        </w:rPr>
      </w:pPr>
      <w:r>
        <w:rPr>
          <w:rFonts w:ascii="Times New Roman" w:hAnsi="Times New Roman" w:cs="Times New Roman"/>
        </w:rPr>
        <w:t xml:space="preserve">The continued dominance of Western financial institutions constrains Africa’s economic sovereignty, as seen in countries like Kenya and Ghana, which grapple with high levels of external debt. According to Bond (2006), debt repayment obligations often consume a significant portion of national budgets, limiting investments in critical sectors such as education, health, and infrastructure. </w:t>
      </w:r>
      <w:proofErr w:type="spellStart"/>
      <w:r>
        <w:rPr>
          <w:rFonts w:ascii="Times New Roman" w:hAnsi="Times New Roman" w:cs="Times New Roman"/>
        </w:rPr>
        <w:t>Blyden’s</w:t>
      </w:r>
      <w:proofErr w:type="spellEnd"/>
      <w:r>
        <w:rPr>
          <w:rFonts w:ascii="Times New Roman" w:hAnsi="Times New Roman" w:cs="Times New Roman"/>
        </w:rPr>
        <w:t xml:space="preserve"> vision of economic self-sufficiency calls for a re-evaluation of Africa’s economic policies, advocating for intra-African trade, local value addition, and sustainable development practices. As argued by Nkrumah (1965), neo-colonialism remains the greatest threat to African development, necessitating a Pan-African economic strategy that aligns with </w:t>
      </w:r>
      <w:proofErr w:type="spellStart"/>
      <w:r>
        <w:rPr>
          <w:rFonts w:ascii="Times New Roman" w:hAnsi="Times New Roman" w:cs="Times New Roman"/>
        </w:rPr>
        <w:t>Blyden’s</w:t>
      </w:r>
      <w:proofErr w:type="spellEnd"/>
      <w:r>
        <w:rPr>
          <w:rFonts w:ascii="Times New Roman" w:hAnsi="Times New Roman" w:cs="Times New Roman"/>
        </w:rPr>
        <w:t xml:space="preserve"> principles.</w:t>
      </w:r>
    </w:p>
    <w:p w:rsidR="003C6729" w:rsidRDefault="007F2116">
      <w:pPr>
        <w:spacing w:line="480" w:lineRule="auto"/>
        <w:jc w:val="both"/>
        <w:rPr>
          <w:rStyle w:val="Strong"/>
          <w:rFonts w:ascii="Times New Roman" w:eastAsiaTheme="majorEastAsia" w:hAnsi="Times New Roman" w:cs="Times New Roman"/>
        </w:rPr>
      </w:pPr>
      <w:r>
        <w:rPr>
          <w:rStyle w:val="Strong"/>
          <w:rFonts w:ascii="Times New Roman" w:eastAsiaTheme="majorEastAsia" w:hAnsi="Times New Roman" w:cs="Times New Roman"/>
        </w:rPr>
        <w:t>3.4 The Crisis of Pan-Africanism in Modern Governance</w:t>
      </w:r>
    </w:p>
    <w:p w:rsidR="003C6729" w:rsidRDefault="007F2116">
      <w:pPr>
        <w:spacing w:line="480" w:lineRule="auto"/>
        <w:jc w:val="both"/>
        <w:rPr>
          <w:rFonts w:ascii="Times New Roman" w:hAnsi="Times New Roman" w:cs="Times New Roman"/>
        </w:rPr>
      </w:pPr>
      <w:r>
        <w:rPr>
          <w:rFonts w:ascii="Times New Roman" w:hAnsi="Times New Roman" w:cs="Times New Roman"/>
        </w:rPr>
        <w:br/>
        <w:t>While organizations like the African Union (AU) aim to promote regional integration, African nations often prioritize national interests over collective development. The AU’s Agenda 2063 outlines ambitious goals for continental unity, yet the failure to establish a unified African currency, the fragmentation of regional economic blocs, and persistent border conflicts illustrate the limitations of Pan-Africanism in contemporary governance (</w:t>
      </w:r>
      <w:proofErr w:type="spellStart"/>
      <w:r>
        <w:rPr>
          <w:rFonts w:ascii="Times New Roman" w:hAnsi="Times New Roman" w:cs="Times New Roman"/>
        </w:rPr>
        <w:t>Murithi</w:t>
      </w:r>
      <w:proofErr w:type="spellEnd"/>
      <w:r>
        <w:rPr>
          <w:rFonts w:ascii="Times New Roman" w:hAnsi="Times New Roman" w:cs="Times New Roman"/>
        </w:rPr>
        <w:t xml:space="preserve">, 2005). According to </w:t>
      </w:r>
      <w:proofErr w:type="spellStart"/>
      <w:r>
        <w:rPr>
          <w:rFonts w:ascii="Times New Roman" w:hAnsi="Times New Roman" w:cs="Times New Roman"/>
        </w:rPr>
        <w:t>Adedeji</w:t>
      </w:r>
      <w:proofErr w:type="spellEnd"/>
      <w:r>
        <w:rPr>
          <w:rFonts w:ascii="Times New Roman" w:hAnsi="Times New Roman" w:cs="Times New Roman"/>
        </w:rPr>
        <w:t xml:space="preserve"> (2002), the reluctance of African states to cede sovereignty to supranational bodies hampers efforts at regional integration. </w:t>
      </w:r>
      <w:proofErr w:type="spellStart"/>
      <w:r>
        <w:rPr>
          <w:rFonts w:ascii="Times New Roman" w:hAnsi="Times New Roman" w:cs="Times New Roman"/>
        </w:rPr>
        <w:t>Blyden</w:t>
      </w:r>
      <w:proofErr w:type="spellEnd"/>
      <w:r>
        <w:rPr>
          <w:rFonts w:ascii="Times New Roman" w:hAnsi="Times New Roman" w:cs="Times New Roman"/>
        </w:rPr>
        <w:t xml:space="preserve"> (1890) envisioned a united Africa where “the artificial boundaries </w:t>
      </w:r>
      <w:r>
        <w:rPr>
          <w:rFonts w:ascii="Times New Roman" w:hAnsi="Times New Roman" w:cs="Times New Roman"/>
        </w:rPr>
        <w:lastRenderedPageBreak/>
        <w:t>imposed by colonial powers would be erased in favor of a common African identity and purpose” (p. 33).</w:t>
      </w:r>
    </w:p>
    <w:p w:rsidR="003C6729" w:rsidRDefault="007F2116">
      <w:pPr>
        <w:spacing w:line="480" w:lineRule="auto"/>
        <w:jc w:val="both"/>
        <w:rPr>
          <w:rFonts w:ascii="Times New Roman" w:hAnsi="Times New Roman" w:cs="Times New Roman"/>
        </w:rPr>
      </w:pPr>
      <w:r>
        <w:rPr>
          <w:rFonts w:ascii="Times New Roman" w:hAnsi="Times New Roman" w:cs="Times New Roman"/>
        </w:rPr>
        <w:t>The challenges facing Pan-Africanism today include political rivalries, economic disparities, and external influences that undermine collective action. Scholars such as Lumumba-</w:t>
      </w:r>
      <w:proofErr w:type="spellStart"/>
      <w:r>
        <w:rPr>
          <w:rFonts w:ascii="Times New Roman" w:hAnsi="Times New Roman" w:cs="Times New Roman"/>
        </w:rPr>
        <w:t>Kasongo</w:t>
      </w:r>
      <w:proofErr w:type="spellEnd"/>
      <w:r>
        <w:rPr>
          <w:rFonts w:ascii="Times New Roman" w:hAnsi="Times New Roman" w:cs="Times New Roman"/>
        </w:rPr>
        <w:t xml:space="preserve"> (2011) argue that the legacy of colonialism continues to shape African political behavior, fostering fragmentation rather than unity. </w:t>
      </w:r>
      <w:proofErr w:type="spellStart"/>
      <w:r>
        <w:rPr>
          <w:rFonts w:ascii="Times New Roman" w:hAnsi="Times New Roman" w:cs="Times New Roman"/>
        </w:rPr>
        <w:t>Blyden’s</w:t>
      </w:r>
      <w:proofErr w:type="spellEnd"/>
      <w:r>
        <w:rPr>
          <w:rFonts w:ascii="Times New Roman" w:hAnsi="Times New Roman" w:cs="Times New Roman"/>
        </w:rPr>
        <w:t xml:space="preserve"> advocacy for cultural and political unity remains relevant, as contemporary Pan-Africanists call for reforms within the AU, greater cooperation among African states, and the establishment of mechanisms for conflict resolution and economic integration (</w:t>
      </w:r>
      <w:proofErr w:type="spellStart"/>
      <w:r>
        <w:rPr>
          <w:rFonts w:ascii="Times New Roman" w:hAnsi="Times New Roman" w:cs="Times New Roman"/>
        </w:rPr>
        <w:t>Makinda</w:t>
      </w:r>
      <w:proofErr w:type="spellEnd"/>
      <w:r>
        <w:rPr>
          <w:rFonts w:ascii="Times New Roman" w:hAnsi="Times New Roman" w:cs="Times New Roman"/>
        </w:rPr>
        <w:t xml:space="preserve"> &amp; </w:t>
      </w:r>
      <w:proofErr w:type="spellStart"/>
      <w:r>
        <w:rPr>
          <w:rFonts w:ascii="Times New Roman" w:hAnsi="Times New Roman" w:cs="Times New Roman"/>
        </w:rPr>
        <w:t>Okumu</w:t>
      </w:r>
      <w:proofErr w:type="spellEnd"/>
      <w:r>
        <w:rPr>
          <w:rFonts w:ascii="Times New Roman" w:hAnsi="Times New Roman" w:cs="Times New Roman"/>
        </w:rPr>
        <w:t>, 2008).</w:t>
      </w:r>
    </w:p>
    <w:p w:rsidR="003C6729" w:rsidRDefault="007F2116">
      <w:pPr>
        <w:spacing w:line="480" w:lineRule="auto"/>
        <w:jc w:val="both"/>
        <w:rPr>
          <w:rFonts w:ascii="Times New Roman" w:hAnsi="Times New Roman" w:cs="Times New Roman"/>
        </w:rPr>
      </w:pPr>
      <w:r>
        <w:rPr>
          <w:rFonts w:ascii="Times New Roman" w:hAnsi="Times New Roman" w:cs="Times New Roman"/>
        </w:rPr>
        <w:t xml:space="preserve">In conclusion, contemporary African leadership presents a complex landscape marked by corruption, economic dependency, and fragmented Pan-African efforts. </w:t>
      </w:r>
      <w:proofErr w:type="spellStart"/>
      <w:r>
        <w:rPr>
          <w:rFonts w:ascii="Times New Roman" w:hAnsi="Times New Roman" w:cs="Times New Roman"/>
        </w:rPr>
        <w:t>Blyden’s</w:t>
      </w:r>
      <w:proofErr w:type="spellEnd"/>
      <w:r>
        <w:rPr>
          <w:rFonts w:ascii="Times New Roman" w:hAnsi="Times New Roman" w:cs="Times New Roman"/>
        </w:rPr>
        <w:t xml:space="preserve"> political thought offers a critical lens through which these challenges can be examined, highlighting the need for ethical leadership, economic self-reliance, and regional integration. As noted by </w:t>
      </w:r>
      <w:proofErr w:type="spellStart"/>
      <w:r>
        <w:rPr>
          <w:rFonts w:ascii="Times New Roman" w:hAnsi="Times New Roman" w:cs="Times New Roman"/>
        </w:rPr>
        <w:t>Adi</w:t>
      </w:r>
      <w:proofErr w:type="spellEnd"/>
      <w:r>
        <w:rPr>
          <w:rFonts w:ascii="Times New Roman" w:hAnsi="Times New Roman" w:cs="Times New Roman"/>
        </w:rPr>
        <w:t xml:space="preserve"> (2018), </w:t>
      </w:r>
      <w:proofErr w:type="spellStart"/>
      <w:r>
        <w:rPr>
          <w:rFonts w:ascii="Times New Roman" w:hAnsi="Times New Roman" w:cs="Times New Roman"/>
        </w:rPr>
        <w:t>Blyden’s</w:t>
      </w:r>
      <w:proofErr w:type="spellEnd"/>
      <w:r>
        <w:rPr>
          <w:rFonts w:ascii="Times New Roman" w:hAnsi="Times New Roman" w:cs="Times New Roman"/>
        </w:rPr>
        <w:t xml:space="preserve"> legacy continues to inspire African intellectuals and policymakers striving to realize the continent’s potential in the 21st century.</w:t>
      </w:r>
    </w:p>
    <w:p w:rsidR="003C6729" w:rsidRDefault="007F2116">
      <w:pPr>
        <w:spacing w:line="480" w:lineRule="auto"/>
        <w:jc w:val="both"/>
        <w:rPr>
          <w:rFonts w:ascii="Times New Roman" w:hAnsi="Times New Roman" w:cs="Times New Roman"/>
        </w:rPr>
      </w:pPr>
      <w:r>
        <w:rPr>
          <w:rStyle w:val="Strong"/>
          <w:rFonts w:ascii="Times New Roman" w:eastAsiaTheme="majorEastAsia" w:hAnsi="Times New Roman" w:cs="Times New Roman"/>
        </w:rPr>
        <w:t xml:space="preserve">3.5 Lessons from </w:t>
      </w:r>
      <w:proofErr w:type="spellStart"/>
      <w:r>
        <w:rPr>
          <w:rStyle w:val="Strong"/>
          <w:rFonts w:ascii="Times New Roman" w:eastAsiaTheme="majorEastAsia" w:hAnsi="Times New Roman" w:cs="Times New Roman"/>
        </w:rPr>
        <w:t>Blyden</w:t>
      </w:r>
      <w:proofErr w:type="spellEnd"/>
      <w:r>
        <w:rPr>
          <w:rStyle w:val="Strong"/>
          <w:rFonts w:ascii="Times New Roman" w:eastAsiaTheme="majorEastAsia" w:hAnsi="Times New Roman" w:cs="Times New Roman"/>
        </w:rPr>
        <w:t xml:space="preserve"> for Contemporary African Leadership</w:t>
      </w:r>
    </w:p>
    <w:p w:rsidR="003C6729" w:rsidRDefault="007F2116">
      <w:pPr>
        <w:spacing w:line="480" w:lineRule="auto"/>
        <w:jc w:val="both"/>
        <w:rPr>
          <w:rStyle w:val="Strong"/>
          <w:rFonts w:ascii="Times New Roman" w:eastAsiaTheme="majorEastAsia" w:hAnsi="Times New Roman" w:cs="Times New Roman"/>
        </w:rPr>
      </w:pPr>
      <w:bookmarkStart w:id="1" w:name="_Hlk199060990"/>
      <w:r>
        <w:rPr>
          <w:rStyle w:val="Strong"/>
          <w:rFonts w:ascii="Times New Roman" w:eastAsiaTheme="majorEastAsia" w:hAnsi="Times New Roman" w:cs="Times New Roman"/>
        </w:rPr>
        <w:t xml:space="preserve">3.5.1 </w:t>
      </w:r>
      <w:bookmarkEnd w:id="1"/>
      <w:r>
        <w:rPr>
          <w:rStyle w:val="Strong"/>
          <w:rFonts w:ascii="Times New Roman" w:eastAsiaTheme="majorEastAsia" w:hAnsi="Times New Roman" w:cs="Times New Roman"/>
        </w:rPr>
        <w:t>Reasserting African Cultural Identity</w:t>
      </w:r>
    </w:p>
    <w:p w:rsidR="003C6729" w:rsidRDefault="007F2116">
      <w:pPr>
        <w:spacing w:line="480" w:lineRule="auto"/>
        <w:jc w:val="both"/>
        <w:rPr>
          <w:rFonts w:ascii="Times New Roman" w:eastAsiaTheme="majorEastAsia" w:hAnsi="Times New Roman" w:cs="Times New Roman"/>
        </w:rPr>
      </w:pPr>
      <w:r>
        <w:rPr>
          <w:rFonts w:ascii="Times New Roman" w:hAnsi="Times New Roman" w:cs="Times New Roman"/>
        </w:rPr>
        <w:br/>
        <w:t xml:space="preserve">Edward Wilmot </w:t>
      </w:r>
      <w:proofErr w:type="spellStart"/>
      <w:r>
        <w:rPr>
          <w:rFonts w:ascii="Times New Roman" w:hAnsi="Times New Roman" w:cs="Times New Roman"/>
        </w:rPr>
        <w:t>Blyden</w:t>
      </w:r>
      <w:proofErr w:type="spellEnd"/>
      <w:r>
        <w:rPr>
          <w:rFonts w:ascii="Times New Roman" w:hAnsi="Times New Roman" w:cs="Times New Roman"/>
        </w:rPr>
        <w:t xml:space="preserve"> emphasized the importance of African cultural identity, advocating for governance structures that reflect Africa’s rich heritage. </w:t>
      </w:r>
      <w:proofErr w:type="spellStart"/>
      <w:r>
        <w:rPr>
          <w:rFonts w:ascii="Times New Roman" w:hAnsi="Times New Roman" w:cs="Times New Roman"/>
        </w:rPr>
        <w:t>Blyden</w:t>
      </w:r>
      <w:proofErr w:type="spellEnd"/>
      <w:r>
        <w:rPr>
          <w:rFonts w:ascii="Times New Roman" w:hAnsi="Times New Roman" w:cs="Times New Roman"/>
        </w:rPr>
        <w:t xml:space="preserve"> (1887) argued that “the African mind, when nurtured by its own cultural ethos, can achieve greatness comparable to any other civilization” (p. 105). Contemporary African leaders can draw from </w:t>
      </w:r>
      <w:proofErr w:type="spellStart"/>
      <w:r>
        <w:rPr>
          <w:rFonts w:ascii="Times New Roman" w:hAnsi="Times New Roman" w:cs="Times New Roman"/>
        </w:rPr>
        <w:t>Blyden’s</w:t>
      </w:r>
      <w:proofErr w:type="spellEnd"/>
      <w:r>
        <w:rPr>
          <w:rFonts w:ascii="Times New Roman" w:hAnsi="Times New Roman" w:cs="Times New Roman"/>
        </w:rPr>
        <w:t xml:space="preserve"> vision by integrating </w:t>
      </w:r>
      <w:r>
        <w:rPr>
          <w:rFonts w:ascii="Times New Roman" w:hAnsi="Times New Roman" w:cs="Times New Roman"/>
        </w:rPr>
        <w:lastRenderedPageBreak/>
        <w:t xml:space="preserve">indigenous values into education, law, and economic policies. According to Appiah (1992), the imposition of Western paradigms has often alienated African citizens from their governance systems, leading to political apathy. </w:t>
      </w:r>
      <w:proofErr w:type="spellStart"/>
      <w:r>
        <w:rPr>
          <w:rFonts w:ascii="Times New Roman" w:hAnsi="Times New Roman" w:cs="Times New Roman"/>
        </w:rPr>
        <w:t>Blyden's</w:t>
      </w:r>
      <w:proofErr w:type="spellEnd"/>
      <w:r>
        <w:rPr>
          <w:rFonts w:ascii="Times New Roman" w:hAnsi="Times New Roman" w:cs="Times New Roman"/>
        </w:rPr>
        <w:t xml:space="preserve"> insistence on cultural pride resonates with scholars like </w:t>
      </w:r>
      <w:proofErr w:type="spellStart"/>
      <w:r>
        <w:rPr>
          <w:rFonts w:ascii="Times New Roman" w:hAnsi="Times New Roman" w:cs="Times New Roman"/>
        </w:rPr>
        <w:t>Ngũgĩ</w:t>
      </w:r>
      <w:proofErr w:type="spellEnd"/>
      <w:r>
        <w:rPr>
          <w:rFonts w:ascii="Times New Roman" w:hAnsi="Times New Roman" w:cs="Times New Roman"/>
        </w:rPr>
        <w:t xml:space="preserve"> </w:t>
      </w:r>
      <w:proofErr w:type="spellStart"/>
      <w:proofErr w:type="gramStart"/>
      <w:r>
        <w:rPr>
          <w:rFonts w:ascii="Times New Roman" w:hAnsi="Times New Roman" w:cs="Times New Roman"/>
        </w:rPr>
        <w:t>wa</w:t>
      </w:r>
      <w:proofErr w:type="spellEnd"/>
      <w:proofErr w:type="gramEnd"/>
      <w:r>
        <w:rPr>
          <w:rFonts w:ascii="Times New Roman" w:hAnsi="Times New Roman" w:cs="Times New Roman"/>
        </w:rPr>
        <w:t xml:space="preserve"> </w:t>
      </w:r>
      <w:proofErr w:type="spellStart"/>
      <w:r>
        <w:rPr>
          <w:rFonts w:ascii="Times New Roman" w:hAnsi="Times New Roman" w:cs="Times New Roman"/>
        </w:rPr>
        <w:t>Thiong'o</w:t>
      </w:r>
      <w:proofErr w:type="spellEnd"/>
      <w:r>
        <w:rPr>
          <w:rFonts w:ascii="Times New Roman" w:hAnsi="Times New Roman" w:cs="Times New Roman"/>
        </w:rPr>
        <w:t xml:space="preserve"> (1986), who contends that decolonizing the mind is a prerequisite for genuine development. African education systems, for instance, should prioritize local languages, histories, and philosophies, fostering a sense of belonging and ownership among citizens.</w:t>
      </w:r>
    </w:p>
    <w:p w:rsidR="003C6729" w:rsidRDefault="007F2116">
      <w:pPr>
        <w:spacing w:line="480" w:lineRule="auto"/>
        <w:jc w:val="both"/>
        <w:rPr>
          <w:rFonts w:ascii="Times New Roman" w:hAnsi="Times New Roman" w:cs="Times New Roman"/>
        </w:rPr>
      </w:pPr>
      <w:r>
        <w:rPr>
          <w:rFonts w:ascii="Times New Roman" w:hAnsi="Times New Roman" w:cs="Times New Roman"/>
        </w:rPr>
        <w:t xml:space="preserve">Furthermore, </w:t>
      </w:r>
      <w:proofErr w:type="spellStart"/>
      <w:r>
        <w:rPr>
          <w:rFonts w:ascii="Times New Roman" w:hAnsi="Times New Roman" w:cs="Times New Roman"/>
        </w:rPr>
        <w:t>Blyden’s</w:t>
      </w:r>
      <w:proofErr w:type="spellEnd"/>
      <w:r>
        <w:rPr>
          <w:rFonts w:ascii="Times New Roman" w:hAnsi="Times New Roman" w:cs="Times New Roman"/>
        </w:rPr>
        <w:t xml:space="preserve"> critique of Western cultural dominance highlights the need for African leaders to resist cultural imperialism. As Rodney (1972) noted, the cultural subjugation of Africa was a deliberate colonial strategy to maintain control. </w:t>
      </w:r>
      <w:proofErr w:type="spellStart"/>
      <w:r>
        <w:rPr>
          <w:rFonts w:ascii="Times New Roman" w:hAnsi="Times New Roman" w:cs="Times New Roman"/>
        </w:rPr>
        <w:t>Blyden</w:t>
      </w:r>
      <w:proofErr w:type="spellEnd"/>
      <w:r>
        <w:rPr>
          <w:rFonts w:ascii="Times New Roman" w:hAnsi="Times New Roman" w:cs="Times New Roman"/>
        </w:rPr>
        <w:t xml:space="preserve"> (1908) warned that “an African alienated from his culture is like a tree severed from its roots” (p. 64). Contemporary scholars like Asante (2003) advocate for Afrocentricity in governance, emphasizing that policies rooted in African cultural contexts are more likely to succeed. Thus, </w:t>
      </w:r>
      <w:proofErr w:type="spellStart"/>
      <w:r>
        <w:rPr>
          <w:rFonts w:ascii="Times New Roman" w:hAnsi="Times New Roman" w:cs="Times New Roman"/>
        </w:rPr>
        <w:t>Blyden’s</w:t>
      </w:r>
      <w:proofErr w:type="spellEnd"/>
      <w:r>
        <w:rPr>
          <w:rFonts w:ascii="Times New Roman" w:hAnsi="Times New Roman" w:cs="Times New Roman"/>
        </w:rPr>
        <w:t xml:space="preserve"> legacy offers a blueprint for reasserting African cultural identity in contemporary leadership.</w:t>
      </w:r>
    </w:p>
    <w:p w:rsidR="003C6729" w:rsidRDefault="007F2116">
      <w:pPr>
        <w:spacing w:line="480" w:lineRule="auto"/>
        <w:jc w:val="both"/>
        <w:rPr>
          <w:rStyle w:val="Strong"/>
          <w:rFonts w:ascii="Times New Roman" w:eastAsiaTheme="majorEastAsia" w:hAnsi="Times New Roman" w:cs="Times New Roman"/>
        </w:rPr>
      </w:pPr>
      <w:r>
        <w:rPr>
          <w:rStyle w:val="Strong"/>
          <w:rFonts w:ascii="Times New Roman" w:eastAsiaTheme="majorEastAsia" w:hAnsi="Times New Roman" w:cs="Times New Roman"/>
        </w:rPr>
        <w:t>3.5.2 Fostering Economic Self-Reliance</w:t>
      </w:r>
    </w:p>
    <w:p w:rsidR="003C6729" w:rsidRDefault="007F2116">
      <w:pPr>
        <w:spacing w:line="480" w:lineRule="auto"/>
        <w:jc w:val="both"/>
        <w:rPr>
          <w:rFonts w:ascii="Times New Roman" w:eastAsiaTheme="majorEastAsia" w:hAnsi="Times New Roman" w:cs="Times New Roman"/>
        </w:rPr>
      </w:pPr>
      <w:r>
        <w:rPr>
          <w:rFonts w:ascii="Times New Roman" w:hAnsi="Times New Roman" w:cs="Times New Roman"/>
        </w:rPr>
        <w:br/>
      </w:r>
      <w:proofErr w:type="spellStart"/>
      <w:r>
        <w:rPr>
          <w:rFonts w:ascii="Times New Roman" w:hAnsi="Times New Roman" w:cs="Times New Roman"/>
        </w:rPr>
        <w:t>Blyden</w:t>
      </w:r>
      <w:proofErr w:type="spellEnd"/>
      <w:r>
        <w:rPr>
          <w:rFonts w:ascii="Times New Roman" w:hAnsi="Times New Roman" w:cs="Times New Roman"/>
        </w:rPr>
        <w:t xml:space="preserve"> championed economic self-reliance, arguing that Africa's dependence on foreign aid undermines its sovereignty. </w:t>
      </w:r>
      <w:proofErr w:type="spellStart"/>
      <w:r>
        <w:rPr>
          <w:rFonts w:ascii="Times New Roman" w:hAnsi="Times New Roman" w:cs="Times New Roman"/>
        </w:rPr>
        <w:t>Blyden</w:t>
      </w:r>
      <w:proofErr w:type="spellEnd"/>
      <w:r>
        <w:rPr>
          <w:rFonts w:ascii="Times New Roman" w:hAnsi="Times New Roman" w:cs="Times New Roman"/>
        </w:rPr>
        <w:t xml:space="preserve"> (1890) stated, “A people who rely on external assistance for their survival will always be subservient to those who provide such assistance” (p. 87). Contemporary African states can learn from </w:t>
      </w:r>
      <w:proofErr w:type="spellStart"/>
      <w:r>
        <w:rPr>
          <w:rFonts w:ascii="Times New Roman" w:hAnsi="Times New Roman" w:cs="Times New Roman"/>
        </w:rPr>
        <w:t>Blyden</w:t>
      </w:r>
      <w:proofErr w:type="spellEnd"/>
      <w:r>
        <w:rPr>
          <w:rFonts w:ascii="Times New Roman" w:hAnsi="Times New Roman" w:cs="Times New Roman"/>
        </w:rPr>
        <w:t xml:space="preserve"> by prioritizing intra-continental trade and investing in local industries. According to </w:t>
      </w:r>
      <w:proofErr w:type="spellStart"/>
      <w:r>
        <w:rPr>
          <w:rFonts w:ascii="Times New Roman" w:hAnsi="Times New Roman" w:cs="Times New Roman"/>
        </w:rPr>
        <w:t>Mkandawire</w:t>
      </w:r>
      <w:proofErr w:type="spellEnd"/>
      <w:r>
        <w:rPr>
          <w:rFonts w:ascii="Times New Roman" w:hAnsi="Times New Roman" w:cs="Times New Roman"/>
        </w:rPr>
        <w:t xml:space="preserve"> and </w:t>
      </w:r>
      <w:proofErr w:type="spellStart"/>
      <w:r>
        <w:rPr>
          <w:rFonts w:ascii="Times New Roman" w:hAnsi="Times New Roman" w:cs="Times New Roman"/>
        </w:rPr>
        <w:t>Soludo</w:t>
      </w:r>
      <w:proofErr w:type="spellEnd"/>
      <w:r>
        <w:rPr>
          <w:rFonts w:ascii="Times New Roman" w:hAnsi="Times New Roman" w:cs="Times New Roman"/>
        </w:rPr>
        <w:t xml:space="preserve"> (1999), the structural adjustment programs imposed by international financial institutions have stifled African economic growth. </w:t>
      </w:r>
      <w:proofErr w:type="spellStart"/>
      <w:r>
        <w:rPr>
          <w:rFonts w:ascii="Times New Roman" w:hAnsi="Times New Roman" w:cs="Times New Roman"/>
        </w:rPr>
        <w:t>Blyden’s</w:t>
      </w:r>
      <w:proofErr w:type="spellEnd"/>
      <w:r>
        <w:rPr>
          <w:rFonts w:ascii="Times New Roman" w:hAnsi="Times New Roman" w:cs="Times New Roman"/>
        </w:rPr>
        <w:t xml:space="preserve"> vision aligns with Nkrumah’s (1965) call for economic emancipation through industrialization and regional cooperation.</w:t>
      </w:r>
    </w:p>
    <w:p w:rsidR="003C6729" w:rsidRDefault="007F2116">
      <w:pPr>
        <w:spacing w:line="480" w:lineRule="auto"/>
        <w:jc w:val="both"/>
        <w:rPr>
          <w:rFonts w:ascii="Times New Roman" w:hAnsi="Times New Roman" w:cs="Times New Roman"/>
        </w:rPr>
      </w:pPr>
      <w:r>
        <w:rPr>
          <w:rFonts w:ascii="Times New Roman" w:hAnsi="Times New Roman" w:cs="Times New Roman"/>
        </w:rPr>
        <w:lastRenderedPageBreak/>
        <w:t xml:space="preserve">Additionally, </w:t>
      </w:r>
      <w:proofErr w:type="spellStart"/>
      <w:r>
        <w:rPr>
          <w:rFonts w:ascii="Times New Roman" w:hAnsi="Times New Roman" w:cs="Times New Roman"/>
        </w:rPr>
        <w:t>Blyden’s</w:t>
      </w:r>
      <w:proofErr w:type="spellEnd"/>
      <w:r>
        <w:rPr>
          <w:rFonts w:ascii="Times New Roman" w:hAnsi="Times New Roman" w:cs="Times New Roman"/>
        </w:rPr>
        <w:t xml:space="preserve"> advocacy for agricultural and industrial development remains relevant. As Amin (1974) argued, Africa’s economic dependency is rooted in its colonial past, where raw materials were exported, and finished goods imported. </w:t>
      </w:r>
      <w:proofErr w:type="spellStart"/>
      <w:r>
        <w:rPr>
          <w:rFonts w:ascii="Times New Roman" w:hAnsi="Times New Roman" w:cs="Times New Roman"/>
        </w:rPr>
        <w:t>Blyden</w:t>
      </w:r>
      <w:proofErr w:type="spellEnd"/>
      <w:r>
        <w:rPr>
          <w:rFonts w:ascii="Times New Roman" w:hAnsi="Times New Roman" w:cs="Times New Roman"/>
        </w:rPr>
        <w:t xml:space="preserve"> (1887) insisted that “Africa must produce what it consumes and consume what it produces” (p. 112). Contemporary initiatives like the African Continental Free Trade Area (</w:t>
      </w:r>
      <w:proofErr w:type="spellStart"/>
      <w:r>
        <w:rPr>
          <w:rFonts w:ascii="Times New Roman" w:hAnsi="Times New Roman" w:cs="Times New Roman"/>
        </w:rPr>
        <w:t>AfCFTA</w:t>
      </w:r>
      <w:proofErr w:type="spellEnd"/>
      <w:r>
        <w:rPr>
          <w:rFonts w:ascii="Times New Roman" w:hAnsi="Times New Roman" w:cs="Times New Roman"/>
        </w:rPr>
        <w:t xml:space="preserve">) represent steps towards </w:t>
      </w:r>
      <w:proofErr w:type="spellStart"/>
      <w:r>
        <w:rPr>
          <w:rFonts w:ascii="Times New Roman" w:hAnsi="Times New Roman" w:cs="Times New Roman"/>
        </w:rPr>
        <w:t>Blyden’s</w:t>
      </w:r>
      <w:proofErr w:type="spellEnd"/>
      <w:r>
        <w:rPr>
          <w:rFonts w:ascii="Times New Roman" w:hAnsi="Times New Roman" w:cs="Times New Roman"/>
        </w:rPr>
        <w:t xml:space="preserve"> vision, fostering economic integration and reducing reliance on external markets (UNECA, 2020).</w:t>
      </w:r>
    </w:p>
    <w:p w:rsidR="003C6729" w:rsidRDefault="007F2116">
      <w:pPr>
        <w:spacing w:line="480" w:lineRule="auto"/>
        <w:jc w:val="both"/>
        <w:rPr>
          <w:rStyle w:val="Strong"/>
          <w:rFonts w:ascii="Times New Roman" w:eastAsiaTheme="majorEastAsia" w:hAnsi="Times New Roman" w:cs="Times New Roman"/>
        </w:rPr>
      </w:pPr>
      <w:r>
        <w:rPr>
          <w:rFonts w:ascii="Times New Roman" w:hAnsi="Times New Roman" w:cs="Times New Roman"/>
        </w:rPr>
        <w:t>3.5.</w:t>
      </w:r>
      <w:r>
        <w:rPr>
          <w:rFonts w:ascii="Times New Roman" w:eastAsiaTheme="majorEastAsia" w:hAnsi="Times New Roman" w:cs="Times New Roman"/>
        </w:rPr>
        <w:t>3</w:t>
      </w:r>
      <w:r>
        <w:rPr>
          <w:rFonts w:ascii="Times New Roman" w:hAnsi="Times New Roman" w:cs="Times New Roman"/>
        </w:rPr>
        <w:t xml:space="preserve"> </w:t>
      </w:r>
      <w:r>
        <w:rPr>
          <w:rStyle w:val="Strong"/>
          <w:rFonts w:ascii="Times New Roman" w:eastAsiaTheme="majorEastAsia" w:hAnsi="Times New Roman" w:cs="Times New Roman"/>
        </w:rPr>
        <w:t>Strengthening Pan-African Unity</w:t>
      </w:r>
    </w:p>
    <w:p w:rsidR="003C6729" w:rsidRDefault="007F2116">
      <w:pPr>
        <w:spacing w:line="480" w:lineRule="auto"/>
        <w:jc w:val="both"/>
        <w:rPr>
          <w:rFonts w:ascii="Times New Roman" w:eastAsiaTheme="majorEastAsia" w:hAnsi="Times New Roman" w:cs="Times New Roman"/>
        </w:rPr>
      </w:pPr>
      <w:r>
        <w:rPr>
          <w:rFonts w:ascii="Times New Roman" w:hAnsi="Times New Roman" w:cs="Times New Roman"/>
        </w:rPr>
        <w:br/>
      </w:r>
      <w:proofErr w:type="spellStart"/>
      <w:r>
        <w:rPr>
          <w:rFonts w:ascii="Times New Roman" w:hAnsi="Times New Roman" w:cs="Times New Roman"/>
        </w:rPr>
        <w:t>Blyden</w:t>
      </w:r>
      <w:proofErr w:type="spellEnd"/>
      <w:r>
        <w:rPr>
          <w:rFonts w:ascii="Times New Roman" w:hAnsi="Times New Roman" w:cs="Times New Roman"/>
        </w:rPr>
        <w:t xml:space="preserve"> was a pioneer of Pan-Africanism, envisioning a united Africa that transcends colonial borders. </w:t>
      </w:r>
      <w:proofErr w:type="spellStart"/>
      <w:r>
        <w:rPr>
          <w:rFonts w:ascii="Times New Roman" w:hAnsi="Times New Roman" w:cs="Times New Roman"/>
        </w:rPr>
        <w:t>Blyden</w:t>
      </w:r>
      <w:proofErr w:type="spellEnd"/>
      <w:r>
        <w:rPr>
          <w:rFonts w:ascii="Times New Roman" w:hAnsi="Times New Roman" w:cs="Times New Roman"/>
        </w:rPr>
        <w:t xml:space="preserve"> (1903) asserted that “the artificial divisions imposed by colonial powers must be dismantled for Africa to achieve true freedom and development” (p. 54). Contemporary African leaders can draw from this by strengthening the African Union’s role in addressing regional conflicts, promoting free trade, and advocating for a collective foreign policy. Scholars like </w:t>
      </w:r>
      <w:proofErr w:type="spellStart"/>
      <w:r>
        <w:rPr>
          <w:rFonts w:ascii="Times New Roman" w:hAnsi="Times New Roman" w:cs="Times New Roman"/>
        </w:rPr>
        <w:t>Adedeji</w:t>
      </w:r>
      <w:proofErr w:type="spellEnd"/>
      <w:r>
        <w:rPr>
          <w:rFonts w:ascii="Times New Roman" w:hAnsi="Times New Roman" w:cs="Times New Roman"/>
        </w:rPr>
        <w:t xml:space="preserve"> (2002) highlight the challenges of achieving Pan-African unity, including political rivalries and economic disparities.</w:t>
      </w:r>
    </w:p>
    <w:p w:rsidR="003C6729" w:rsidRDefault="007F2116">
      <w:pPr>
        <w:spacing w:line="480" w:lineRule="auto"/>
        <w:jc w:val="both"/>
        <w:rPr>
          <w:rFonts w:ascii="Times New Roman" w:hAnsi="Times New Roman" w:cs="Times New Roman"/>
        </w:rPr>
      </w:pPr>
      <w:r>
        <w:rPr>
          <w:rFonts w:ascii="Times New Roman" w:hAnsi="Times New Roman" w:cs="Times New Roman"/>
        </w:rPr>
        <w:t xml:space="preserve">Moreover, </w:t>
      </w:r>
      <w:proofErr w:type="spellStart"/>
      <w:r>
        <w:rPr>
          <w:rFonts w:ascii="Times New Roman" w:hAnsi="Times New Roman" w:cs="Times New Roman"/>
        </w:rPr>
        <w:t>Blyden’s</w:t>
      </w:r>
      <w:proofErr w:type="spellEnd"/>
      <w:r>
        <w:rPr>
          <w:rFonts w:ascii="Times New Roman" w:hAnsi="Times New Roman" w:cs="Times New Roman"/>
        </w:rPr>
        <w:t xml:space="preserve"> emphasis on African agency underscores the need for collaborative governance. According to </w:t>
      </w:r>
      <w:proofErr w:type="spellStart"/>
      <w:r>
        <w:rPr>
          <w:rFonts w:ascii="Times New Roman" w:hAnsi="Times New Roman" w:cs="Times New Roman"/>
        </w:rPr>
        <w:t>Murithi</w:t>
      </w:r>
      <w:proofErr w:type="spellEnd"/>
      <w:r>
        <w:rPr>
          <w:rFonts w:ascii="Times New Roman" w:hAnsi="Times New Roman" w:cs="Times New Roman"/>
        </w:rPr>
        <w:t xml:space="preserve"> (2005), the AU's success depends on its ability to foster trust and cooperation among member states. </w:t>
      </w:r>
      <w:proofErr w:type="spellStart"/>
      <w:r>
        <w:rPr>
          <w:rFonts w:ascii="Times New Roman" w:hAnsi="Times New Roman" w:cs="Times New Roman"/>
        </w:rPr>
        <w:t>Blyden</w:t>
      </w:r>
      <w:proofErr w:type="spellEnd"/>
      <w:r>
        <w:rPr>
          <w:rFonts w:ascii="Times New Roman" w:hAnsi="Times New Roman" w:cs="Times New Roman"/>
        </w:rPr>
        <w:t xml:space="preserve"> (1887) argued that “Africa’s strength lies in its unity; divided, we are vulnerable” (p. 99). The lessons from </w:t>
      </w:r>
      <w:proofErr w:type="spellStart"/>
      <w:r>
        <w:rPr>
          <w:rFonts w:ascii="Times New Roman" w:hAnsi="Times New Roman" w:cs="Times New Roman"/>
        </w:rPr>
        <w:t>Blyden</w:t>
      </w:r>
      <w:proofErr w:type="spellEnd"/>
      <w:r>
        <w:rPr>
          <w:rFonts w:ascii="Times New Roman" w:hAnsi="Times New Roman" w:cs="Times New Roman"/>
        </w:rPr>
        <w:t xml:space="preserve"> urge contemporary leaders to prioritize regional integration, collective security, and shared prosperity, ensuring that Pan-Africanism remains a guiding principle in modern governance.</w:t>
      </w:r>
    </w:p>
    <w:p w:rsidR="003C6729" w:rsidRDefault="003C6729">
      <w:pPr>
        <w:spacing w:line="480" w:lineRule="auto"/>
        <w:jc w:val="both"/>
        <w:rPr>
          <w:rFonts w:ascii="Times New Roman" w:hAnsi="Times New Roman" w:cs="Times New Roman"/>
        </w:rPr>
      </w:pPr>
    </w:p>
    <w:p w:rsidR="003C6729" w:rsidRDefault="007F2116">
      <w:pPr>
        <w:spacing w:line="480" w:lineRule="auto"/>
        <w:jc w:val="both"/>
        <w:rPr>
          <w:rFonts w:ascii="Times New Roman" w:hAnsi="Times New Roman" w:cs="Times New Roman"/>
          <w:b/>
          <w:bCs/>
        </w:rPr>
      </w:pPr>
      <w:r>
        <w:rPr>
          <w:rFonts w:ascii="Times New Roman" w:hAnsi="Times New Roman" w:cs="Times New Roman"/>
          <w:b/>
          <w:bCs/>
        </w:rPr>
        <w:lastRenderedPageBreak/>
        <w:t>Conclusion</w:t>
      </w:r>
    </w:p>
    <w:p w:rsidR="003C6729" w:rsidRDefault="007F2116">
      <w:pPr>
        <w:spacing w:line="480" w:lineRule="auto"/>
        <w:jc w:val="both"/>
        <w:rPr>
          <w:rFonts w:ascii="Times New Roman" w:hAnsi="Times New Roman" w:cs="Times New Roman"/>
        </w:rPr>
      </w:pPr>
      <w:r>
        <w:rPr>
          <w:rFonts w:ascii="Times New Roman" w:hAnsi="Times New Roman" w:cs="Times New Roman"/>
        </w:rPr>
        <w:t xml:space="preserve">Edward Wilmot </w:t>
      </w:r>
      <w:proofErr w:type="spellStart"/>
      <w:r>
        <w:rPr>
          <w:rFonts w:ascii="Times New Roman" w:hAnsi="Times New Roman" w:cs="Times New Roman"/>
        </w:rPr>
        <w:t>Blyden’s</w:t>
      </w:r>
      <w:proofErr w:type="spellEnd"/>
      <w:r>
        <w:rPr>
          <w:rFonts w:ascii="Times New Roman" w:hAnsi="Times New Roman" w:cs="Times New Roman"/>
        </w:rPr>
        <w:t xml:space="preserve"> Pan-Africanism offers a blueprint for Africa’s political and economic transformation. His advocacy for cultural preservation, self-reliance, and unity remains relevant in addressing contemporary governance challenges. However, modern African leadership has largely deviated from these ideals, succumbing to corruption, neo-colonial influences, and internal divisions. To realize </w:t>
      </w:r>
      <w:proofErr w:type="spellStart"/>
      <w:r>
        <w:rPr>
          <w:rFonts w:ascii="Times New Roman" w:hAnsi="Times New Roman" w:cs="Times New Roman"/>
        </w:rPr>
        <w:t>Blyden’s</w:t>
      </w:r>
      <w:proofErr w:type="spellEnd"/>
      <w:r>
        <w:rPr>
          <w:rFonts w:ascii="Times New Roman" w:hAnsi="Times New Roman" w:cs="Times New Roman"/>
        </w:rPr>
        <w:t xml:space="preserve"> vision, Africa must re-evaluate its leadership paradigms, prioritizing ethical governance, economic independence, and true Pan-African cooperation. The future of Africa depends on embracing these principles to build a more just, prosperous, and united continent.</w:t>
      </w:r>
    </w:p>
    <w:p w:rsidR="003C6729" w:rsidRDefault="007F2116">
      <w:pPr>
        <w:spacing w:line="480" w:lineRule="auto"/>
        <w:jc w:val="both"/>
        <w:rPr>
          <w:rFonts w:ascii="Times New Roman" w:hAnsi="Times New Roman" w:cs="Times New Roman"/>
        </w:rPr>
      </w:pPr>
      <w:proofErr w:type="spellStart"/>
      <w:r>
        <w:rPr>
          <w:rFonts w:ascii="Times New Roman" w:hAnsi="Times New Roman" w:cs="Times New Roman"/>
        </w:rPr>
        <w:t>Blyden’s</w:t>
      </w:r>
      <w:proofErr w:type="spellEnd"/>
      <w:r>
        <w:rPr>
          <w:rFonts w:ascii="Times New Roman" w:hAnsi="Times New Roman" w:cs="Times New Roman"/>
        </w:rPr>
        <w:t xml:space="preserve"> emphasis on cultural identity encourages African leaders to root their policies in indigenous values and traditions. Economic self-reliance, as envisioned by </w:t>
      </w:r>
      <w:proofErr w:type="spellStart"/>
      <w:r>
        <w:rPr>
          <w:rFonts w:ascii="Times New Roman" w:hAnsi="Times New Roman" w:cs="Times New Roman"/>
        </w:rPr>
        <w:t>Blyden</w:t>
      </w:r>
      <w:proofErr w:type="spellEnd"/>
      <w:r>
        <w:rPr>
          <w:rFonts w:ascii="Times New Roman" w:hAnsi="Times New Roman" w:cs="Times New Roman"/>
        </w:rPr>
        <w:t xml:space="preserve">, necessitates that African nations invest in local industries, reduce external dependencies, and enhance intra-continental trade. Furthermore, strengthening Pan-African unity calls for collaborative governance, conflict resolution, and collective development. Contemporary African leadership can draw from </w:t>
      </w:r>
      <w:proofErr w:type="spellStart"/>
      <w:r>
        <w:rPr>
          <w:rFonts w:ascii="Times New Roman" w:hAnsi="Times New Roman" w:cs="Times New Roman"/>
        </w:rPr>
        <w:t>Blyden’s</w:t>
      </w:r>
      <w:proofErr w:type="spellEnd"/>
      <w:r>
        <w:rPr>
          <w:rFonts w:ascii="Times New Roman" w:hAnsi="Times New Roman" w:cs="Times New Roman"/>
        </w:rPr>
        <w:t xml:space="preserve"> thought to foster sustainable development, political stability, and economic independence, ensuring that the continent’s future is shaped by its people and heritage.</w:t>
      </w:r>
    </w:p>
    <w:p w:rsidR="003C6729" w:rsidRDefault="003C6729">
      <w:pPr>
        <w:spacing w:line="360" w:lineRule="auto"/>
        <w:rPr>
          <w:rFonts w:ascii="Times New Roman" w:hAnsi="Times New Roman" w:cs="Times New Roman"/>
        </w:rPr>
      </w:pPr>
    </w:p>
    <w:p w:rsidR="003C6729" w:rsidRDefault="003C6729">
      <w:pPr>
        <w:spacing w:line="360" w:lineRule="auto"/>
      </w:pPr>
    </w:p>
    <w:p w:rsidR="008817DA" w:rsidRDefault="008817DA" w:rsidP="008817DA">
      <w:pPr>
        <w:spacing w:line="360" w:lineRule="auto"/>
      </w:pPr>
      <w:r>
        <w:t>Disclaimer (Artificial intelligence)</w:t>
      </w:r>
    </w:p>
    <w:p w:rsidR="008817DA" w:rsidRDefault="008817DA" w:rsidP="008817DA">
      <w:pPr>
        <w:spacing w:line="360" w:lineRule="auto"/>
      </w:pPr>
      <w:r>
        <w:t xml:space="preserve">Option 1: </w:t>
      </w:r>
    </w:p>
    <w:p w:rsidR="008817DA" w:rsidRDefault="008817DA" w:rsidP="008817DA">
      <w:pPr>
        <w:spacing w:line="360" w:lineRule="auto"/>
      </w:pPr>
      <w:r>
        <w:lastRenderedPageBreak/>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8817DA" w:rsidRDefault="008817DA" w:rsidP="008817DA">
      <w:pPr>
        <w:spacing w:line="360" w:lineRule="auto"/>
      </w:pPr>
      <w:r>
        <w:t xml:space="preserve">Option 2: </w:t>
      </w:r>
    </w:p>
    <w:p w:rsidR="008817DA" w:rsidRDefault="008817DA" w:rsidP="008817DA">
      <w:pPr>
        <w:spacing w:line="360" w:lineRule="auto"/>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8817DA" w:rsidRDefault="008817DA" w:rsidP="008817DA">
      <w:pPr>
        <w:spacing w:line="360" w:lineRule="auto"/>
      </w:pPr>
      <w:r>
        <w:t>Details of the AI usage are given below:</w:t>
      </w:r>
    </w:p>
    <w:p w:rsidR="008817DA" w:rsidRDefault="008817DA" w:rsidP="008817DA">
      <w:pPr>
        <w:spacing w:line="360" w:lineRule="auto"/>
      </w:pPr>
      <w:r>
        <w:t>1.</w:t>
      </w:r>
    </w:p>
    <w:p w:rsidR="008817DA" w:rsidRDefault="008817DA" w:rsidP="008817DA">
      <w:pPr>
        <w:spacing w:line="360" w:lineRule="auto"/>
      </w:pPr>
      <w:r>
        <w:t>2.</w:t>
      </w:r>
    </w:p>
    <w:p w:rsidR="008817DA" w:rsidRDefault="008817DA" w:rsidP="008817DA">
      <w:pPr>
        <w:spacing w:line="360" w:lineRule="auto"/>
      </w:pPr>
      <w:r>
        <w:t>3.</w:t>
      </w:r>
    </w:p>
    <w:p w:rsidR="003C6729" w:rsidRDefault="003C6729">
      <w:pPr>
        <w:spacing w:line="360" w:lineRule="auto"/>
      </w:pPr>
    </w:p>
    <w:p w:rsidR="003C6729" w:rsidRDefault="003C6729">
      <w:pPr>
        <w:spacing w:line="360" w:lineRule="auto"/>
      </w:pPr>
    </w:p>
    <w:p w:rsidR="003C6729" w:rsidRDefault="003C6729">
      <w:pPr>
        <w:spacing w:line="360" w:lineRule="auto"/>
      </w:pPr>
    </w:p>
    <w:p w:rsidR="003C6729" w:rsidRDefault="003C6729">
      <w:pPr>
        <w:spacing w:line="360" w:lineRule="auto"/>
      </w:pPr>
    </w:p>
    <w:p w:rsidR="003C6729" w:rsidRDefault="003C6729">
      <w:pPr>
        <w:spacing w:line="360" w:lineRule="auto"/>
      </w:pPr>
    </w:p>
    <w:p w:rsidR="003C6729" w:rsidRDefault="003C6729">
      <w:pPr>
        <w:spacing w:line="360" w:lineRule="auto"/>
      </w:pPr>
    </w:p>
    <w:p w:rsidR="003C6729" w:rsidRDefault="003C6729">
      <w:pPr>
        <w:spacing w:line="360" w:lineRule="auto"/>
      </w:pPr>
    </w:p>
    <w:p w:rsidR="003C6729" w:rsidRDefault="003C6729">
      <w:pPr>
        <w:spacing w:line="360" w:lineRule="auto"/>
      </w:pPr>
    </w:p>
    <w:p w:rsidR="003C6729" w:rsidRDefault="003C6729">
      <w:pPr>
        <w:spacing w:line="360" w:lineRule="auto"/>
      </w:pPr>
    </w:p>
    <w:p w:rsidR="003C6729" w:rsidRDefault="003C6729">
      <w:pPr>
        <w:spacing w:line="360" w:lineRule="auto"/>
      </w:pPr>
    </w:p>
    <w:p w:rsidR="003C6729" w:rsidRDefault="003C6729">
      <w:pPr>
        <w:spacing w:line="360" w:lineRule="auto"/>
      </w:pPr>
    </w:p>
    <w:p w:rsidR="003C6729" w:rsidRDefault="003C6729">
      <w:pPr>
        <w:spacing w:line="360" w:lineRule="auto"/>
      </w:pPr>
    </w:p>
    <w:p w:rsidR="003C6729" w:rsidRDefault="003C6729">
      <w:pPr>
        <w:spacing w:line="360" w:lineRule="auto"/>
      </w:pPr>
    </w:p>
    <w:p w:rsidR="003C6729" w:rsidRDefault="003C6729">
      <w:pPr>
        <w:spacing w:line="360" w:lineRule="auto"/>
      </w:pPr>
    </w:p>
    <w:p w:rsidR="003C6729" w:rsidRDefault="003C6729">
      <w:pPr>
        <w:spacing w:line="360" w:lineRule="auto"/>
      </w:pPr>
    </w:p>
    <w:p w:rsidR="003C6729" w:rsidRDefault="003C6729">
      <w:pPr>
        <w:spacing w:line="360" w:lineRule="auto"/>
        <w:rPr>
          <w:rFonts w:ascii="Times New Roman" w:hAnsi="Times New Roman" w:cs="Times New Roman"/>
        </w:rPr>
      </w:pPr>
    </w:p>
    <w:p w:rsidR="003C6729" w:rsidRDefault="007F2116">
      <w:pPr>
        <w:pStyle w:val="NormalWeb"/>
        <w:jc w:val="center"/>
        <w:rPr>
          <w:b/>
          <w:bCs/>
        </w:rPr>
      </w:pPr>
      <w:r>
        <w:rPr>
          <w:b/>
          <w:bCs/>
        </w:rPr>
        <w:t>REFERENCES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Aborisade</w:t>
      </w:r>
      <w:proofErr w:type="spellEnd"/>
      <w:r>
        <w:rPr>
          <w:rFonts w:ascii="Times New Roman" w:eastAsia="Times New Roman" w:hAnsi="Times New Roman" w:cs="Times New Roman"/>
          <w:kern w:val="0"/>
          <w14:ligatures w14:val="none"/>
        </w:rPr>
        <w:t xml:space="preserve">, F., &amp; </w:t>
      </w:r>
      <w:proofErr w:type="spellStart"/>
      <w:r>
        <w:rPr>
          <w:rFonts w:ascii="Times New Roman" w:eastAsia="Times New Roman" w:hAnsi="Times New Roman" w:cs="Times New Roman"/>
          <w:kern w:val="0"/>
          <w14:ligatures w14:val="none"/>
        </w:rPr>
        <w:t>Mbah</w:t>
      </w:r>
      <w:proofErr w:type="spellEnd"/>
      <w:r>
        <w:rPr>
          <w:rFonts w:ascii="Times New Roman" w:eastAsia="Times New Roman" w:hAnsi="Times New Roman" w:cs="Times New Roman"/>
          <w:kern w:val="0"/>
          <w14:ligatures w14:val="none"/>
        </w:rPr>
        <w:t xml:space="preserve">, F. (2021). </w:t>
      </w:r>
      <w:r>
        <w:rPr>
          <w:rFonts w:ascii="Times New Roman" w:eastAsia="Times New Roman" w:hAnsi="Times New Roman" w:cs="Times New Roman"/>
          <w:i/>
          <w:iCs/>
          <w:kern w:val="0"/>
          <w14:ligatures w14:val="none"/>
        </w:rPr>
        <w:t>Decolonizing African political thought: Philosophical foundations and contemporary relevance</w:t>
      </w:r>
      <w:r>
        <w:rPr>
          <w:rFonts w:ascii="Times New Roman" w:eastAsia="Times New Roman" w:hAnsi="Times New Roman" w:cs="Times New Roman"/>
          <w:kern w:val="0"/>
          <w14:ligatures w14:val="none"/>
        </w:rPr>
        <w:t>. Palgrave Macmillan.</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Adebajo</w:t>
      </w:r>
      <w:proofErr w:type="spellEnd"/>
      <w:r>
        <w:rPr>
          <w:rFonts w:ascii="Times New Roman" w:eastAsia="Times New Roman" w:hAnsi="Times New Roman" w:cs="Times New Roman"/>
          <w:kern w:val="0"/>
          <w14:ligatures w14:val="none"/>
        </w:rPr>
        <w:t xml:space="preserve">, A. (2016). </w:t>
      </w:r>
      <w:r>
        <w:rPr>
          <w:rFonts w:ascii="Times New Roman" w:eastAsia="Times New Roman" w:hAnsi="Times New Roman" w:cs="Times New Roman"/>
          <w:i/>
          <w:iCs/>
          <w:kern w:val="0"/>
          <w14:ligatures w14:val="none"/>
        </w:rPr>
        <w:t>The curse of Berlin: Africa after the Cold War</w:t>
      </w:r>
      <w:r>
        <w:rPr>
          <w:rFonts w:ascii="Times New Roman" w:eastAsia="Times New Roman" w:hAnsi="Times New Roman" w:cs="Times New Roman"/>
          <w:kern w:val="0"/>
          <w14:ligatures w14:val="none"/>
        </w:rPr>
        <w:t>. Hurst &amp; Company.</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Adebajo</w:t>
      </w:r>
      <w:proofErr w:type="spellEnd"/>
      <w:r>
        <w:rPr>
          <w:rFonts w:ascii="Times New Roman" w:eastAsia="Times New Roman" w:hAnsi="Times New Roman" w:cs="Times New Roman"/>
          <w:kern w:val="0"/>
          <w14:ligatures w14:val="none"/>
        </w:rPr>
        <w:t xml:space="preserve">, A. (2021). </w:t>
      </w:r>
      <w:r>
        <w:rPr>
          <w:rFonts w:ascii="Times New Roman" w:eastAsia="Times New Roman" w:hAnsi="Times New Roman" w:cs="Times New Roman"/>
          <w:i/>
          <w:iCs/>
          <w:kern w:val="0"/>
          <w14:ligatures w14:val="none"/>
        </w:rPr>
        <w:t>The Pan-African pantheon: Prophets, poets, and philosophers</w:t>
      </w:r>
      <w:r>
        <w:rPr>
          <w:rFonts w:ascii="Times New Roman" w:eastAsia="Times New Roman" w:hAnsi="Times New Roman" w:cs="Times New Roman"/>
          <w:kern w:val="0"/>
          <w14:ligatures w14:val="none"/>
        </w:rPr>
        <w:t>. Jacana Media.</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Adebanwi</w:t>
      </w:r>
      <w:proofErr w:type="spellEnd"/>
      <w:r>
        <w:rPr>
          <w:rFonts w:ascii="Times New Roman" w:eastAsia="Times New Roman" w:hAnsi="Times New Roman" w:cs="Times New Roman"/>
          <w:kern w:val="0"/>
          <w14:ligatures w14:val="none"/>
        </w:rPr>
        <w:t xml:space="preserve">, W., &amp; </w:t>
      </w:r>
      <w:proofErr w:type="spellStart"/>
      <w:r>
        <w:rPr>
          <w:rFonts w:ascii="Times New Roman" w:eastAsia="Times New Roman" w:hAnsi="Times New Roman" w:cs="Times New Roman"/>
          <w:kern w:val="0"/>
          <w14:ligatures w14:val="none"/>
        </w:rPr>
        <w:t>Obadare</w:t>
      </w:r>
      <w:proofErr w:type="spellEnd"/>
      <w:r>
        <w:rPr>
          <w:rFonts w:ascii="Times New Roman" w:eastAsia="Times New Roman" w:hAnsi="Times New Roman" w:cs="Times New Roman"/>
          <w:kern w:val="0"/>
          <w14:ligatures w14:val="none"/>
        </w:rPr>
        <w:t xml:space="preserve">, E. (2010). </w:t>
      </w:r>
      <w:r>
        <w:rPr>
          <w:rFonts w:ascii="Times New Roman" w:eastAsia="Times New Roman" w:hAnsi="Times New Roman" w:cs="Times New Roman"/>
          <w:i/>
          <w:iCs/>
          <w:kern w:val="0"/>
          <w14:ligatures w14:val="none"/>
        </w:rPr>
        <w:t>Encountering the Nigerian state</w:t>
      </w:r>
      <w:r>
        <w:rPr>
          <w:rFonts w:ascii="Times New Roman" w:eastAsia="Times New Roman" w:hAnsi="Times New Roman" w:cs="Times New Roman"/>
          <w:kern w:val="0"/>
          <w14:ligatures w14:val="none"/>
        </w:rPr>
        <w:t>. Palgrave Macmillan.</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Adekeye</w:t>
      </w:r>
      <w:proofErr w:type="spellEnd"/>
      <w:r>
        <w:rPr>
          <w:rFonts w:ascii="Times New Roman" w:eastAsia="Times New Roman" w:hAnsi="Times New Roman" w:cs="Times New Roman"/>
          <w:kern w:val="0"/>
          <w14:ligatures w14:val="none"/>
        </w:rPr>
        <w:t xml:space="preserve">, A. (2020). </w:t>
      </w:r>
      <w:r>
        <w:rPr>
          <w:rFonts w:ascii="Times New Roman" w:eastAsia="Times New Roman" w:hAnsi="Times New Roman" w:cs="Times New Roman"/>
          <w:i/>
          <w:iCs/>
          <w:kern w:val="0"/>
          <w14:ligatures w14:val="none"/>
        </w:rPr>
        <w:t>The Pan-African pantheon: Prophets, poets and philosophers</w:t>
      </w:r>
      <w:r>
        <w:rPr>
          <w:rFonts w:ascii="Times New Roman" w:eastAsia="Times New Roman" w:hAnsi="Times New Roman" w:cs="Times New Roman"/>
          <w:kern w:val="0"/>
          <w14:ligatures w14:val="none"/>
        </w:rPr>
        <w:t>. Jacana Media.</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Adedeji</w:t>
      </w:r>
      <w:proofErr w:type="spellEnd"/>
      <w:r>
        <w:rPr>
          <w:rFonts w:ascii="Times New Roman" w:eastAsia="Times New Roman" w:hAnsi="Times New Roman" w:cs="Times New Roman"/>
          <w:kern w:val="0"/>
          <w14:ligatures w14:val="none"/>
        </w:rPr>
        <w:t xml:space="preserve">, A. (2002). </w:t>
      </w:r>
      <w:r>
        <w:rPr>
          <w:rFonts w:ascii="Times New Roman" w:eastAsia="Times New Roman" w:hAnsi="Times New Roman" w:cs="Times New Roman"/>
          <w:i/>
          <w:iCs/>
          <w:kern w:val="0"/>
          <w14:ligatures w14:val="none"/>
        </w:rPr>
        <w:t>African regional economic communities: Relationships with the UN and implications for peace and security in Africa</w:t>
      </w:r>
      <w:r>
        <w:rPr>
          <w:rFonts w:ascii="Times New Roman" w:eastAsia="Times New Roman" w:hAnsi="Times New Roman" w:cs="Times New Roman"/>
          <w:kern w:val="0"/>
          <w14:ligatures w14:val="none"/>
        </w:rPr>
        <w:t>. UNU-CRIS.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Adi</w:t>
      </w:r>
      <w:proofErr w:type="spellEnd"/>
      <w:r>
        <w:rPr>
          <w:rFonts w:ascii="Times New Roman" w:eastAsia="Times New Roman" w:hAnsi="Times New Roman" w:cs="Times New Roman"/>
          <w:kern w:val="0"/>
          <w14:ligatures w14:val="none"/>
        </w:rPr>
        <w:t xml:space="preserve">, H. (2018). </w:t>
      </w:r>
      <w:r>
        <w:rPr>
          <w:rFonts w:ascii="Times New Roman" w:eastAsia="Times New Roman" w:hAnsi="Times New Roman" w:cs="Times New Roman"/>
          <w:i/>
          <w:iCs/>
          <w:kern w:val="0"/>
          <w14:ligatures w14:val="none"/>
        </w:rPr>
        <w:t>Pan-Africanism: A history</w:t>
      </w:r>
      <w:r>
        <w:rPr>
          <w:rFonts w:ascii="Times New Roman" w:eastAsia="Times New Roman" w:hAnsi="Times New Roman" w:cs="Times New Roman"/>
          <w:kern w:val="0"/>
          <w14:ligatures w14:val="none"/>
        </w:rPr>
        <w:t>. Bloomsbury Academic.</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Adi</w:t>
      </w:r>
      <w:proofErr w:type="spellEnd"/>
      <w:r>
        <w:rPr>
          <w:rFonts w:ascii="Times New Roman" w:eastAsia="Times New Roman" w:hAnsi="Times New Roman" w:cs="Times New Roman"/>
          <w:kern w:val="0"/>
          <w14:ligatures w14:val="none"/>
        </w:rPr>
        <w:t xml:space="preserve">, H., &amp; Sherwood, M. (2003). </w:t>
      </w:r>
      <w:r>
        <w:rPr>
          <w:rFonts w:ascii="Times New Roman" w:eastAsia="Times New Roman" w:hAnsi="Times New Roman" w:cs="Times New Roman"/>
          <w:i/>
          <w:iCs/>
          <w:kern w:val="0"/>
          <w14:ligatures w14:val="none"/>
        </w:rPr>
        <w:t>Pan-African history: Political figures from Africa and the Diaspora since 1787</w:t>
      </w:r>
      <w:r>
        <w:rPr>
          <w:rFonts w:ascii="Times New Roman" w:eastAsia="Times New Roman" w:hAnsi="Times New Roman" w:cs="Times New Roman"/>
          <w:kern w:val="0"/>
          <w14:ligatures w14:val="none"/>
        </w:rPr>
        <w:t>. Routledge.</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Adjei</w:t>
      </w:r>
      <w:proofErr w:type="spellEnd"/>
      <w:r>
        <w:rPr>
          <w:rFonts w:ascii="Times New Roman" w:eastAsia="Times New Roman" w:hAnsi="Times New Roman" w:cs="Times New Roman"/>
          <w:kern w:val="0"/>
          <w14:ligatures w14:val="none"/>
        </w:rPr>
        <w:t xml:space="preserve">, P. B., &amp; </w:t>
      </w:r>
      <w:proofErr w:type="spellStart"/>
      <w:r>
        <w:rPr>
          <w:rFonts w:ascii="Times New Roman" w:eastAsia="Times New Roman" w:hAnsi="Times New Roman" w:cs="Times New Roman"/>
          <w:kern w:val="0"/>
          <w14:ligatures w14:val="none"/>
        </w:rPr>
        <w:t>Andoh</w:t>
      </w:r>
      <w:proofErr w:type="spellEnd"/>
      <w:r>
        <w:rPr>
          <w:rFonts w:ascii="Times New Roman" w:eastAsia="Times New Roman" w:hAnsi="Times New Roman" w:cs="Times New Roman"/>
          <w:kern w:val="0"/>
          <w14:ligatures w14:val="none"/>
        </w:rPr>
        <w:t xml:space="preserve">, B. (2020). Culturally sustaining pedagogy in African contexts. </w:t>
      </w:r>
      <w:r>
        <w:rPr>
          <w:rFonts w:ascii="Times New Roman" w:eastAsia="Times New Roman" w:hAnsi="Times New Roman" w:cs="Times New Roman"/>
          <w:i/>
          <w:iCs/>
          <w:kern w:val="0"/>
          <w14:ligatures w14:val="none"/>
        </w:rPr>
        <w:t>International Journal of Inclusive Education</w:t>
      </w:r>
      <w:r>
        <w:rPr>
          <w:rFonts w:ascii="Times New Roman" w:eastAsia="Times New Roman" w:hAnsi="Times New Roman" w:cs="Times New Roman"/>
          <w:kern w:val="0"/>
          <w14:ligatures w14:val="none"/>
        </w:rPr>
        <w:t>, 24(2), 125–138.</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Ajayi</w:t>
      </w:r>
      <w:proofErr w:type="spellEnd"/>
      <w:r>
        <w:rPr>
          <w:rFonts w:ascii="Times New Roman" w:eastAsia="Times New Roman" w:hAnsi="Times New Roman" w:cs="Times New Roman"/>
          <w:kern w:val="0"/>
          <w14:ligatures w14:val="none"/>
        </w:rPr>
        <w:t xml:space="preserve">, J. F. A. (1996). </w:t>
      </w:r>
      <w:r>
        <w:rPr>
          <w:rFonts w:ascii="Times New Roman" w:eastAsia="Times New Roman" w:hAnsi="Times New Roman" w:cs="Times New Roman"/>
          <w:i/>
          <w:iCs/>
          <w:kern w:val="0"/>
          <w14:ligatures w14:val="none"/>
        </w:rPr>
        <w:t>The African experience with higher education</w:t>
      </w:r>
      <w:r>
        <w:rPr>
          <w:rFonts w:ascii="Times New Roman" w:eastAsia="Times New Roman" w:hAnsi="Times New Roman" w:cs="Times New Roman"/>
          <w:kern w:val="0"/>
          <w14:ligatures w14:val="none"/>
        </w:rPr>
        <w:t>. Ohio University Press.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lastRenderedPageBreak/>
        <w:t>Akech</w:t>
      </w:r>
      <w:proofErr w:type="spellEnd"/>
      <w:r>
        <w:rPr>
          <w:rFonts w:ascii="Times New Roman" w:eastAsia="Times New Roman" w:hAnsi="Times New Roman" w:cs="Times New Roman"/>
          <w:kern w:val="0"/>
          <w14:ligatures w14:val="none"/>
        </w:rPr>
        <w:t xml:space="preserve">, M. (2021). Leadership failures and the governance crisis in postcolonial Africa. </w:t>
      </w:r>
      <w:r>
        <w:rPr>
          <w:rFonts w:ascii="Times New Roman" w:eastAsia="Times New Roman" w:hAnsi="Times New Roman" w:cs="Times New Roman"/>
          <w:i/>
          <w:iCs/>
          <w:kern w:val="0"/>
          <w14:ligatures w14:val="none"/>
        </w:rPr>
        <w:t>African Journal of Political Science</w:t>
      </w:r>
      <w:r>
        <w:rPr>
          <w:rFonts w:ascii="Times New Roman" w:eastAsia="Times New Roman" w:hAnsi="Times New Roman" w:cs="Times New Roman"/>
          <w:kern w:val="0"/>
          <w14:ligatures w14:val="none"/>
        </w:rPr>
        <w:t>, 16(2), 45–59.</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Akurang</w:t>
      </w:r>
      <w:proofErr w:type="spellEnd"/>
      <w:r>
        <w:rPr>
          <w:rFonts w:ascii="Times New Roman" w:eastAsia="Times New Roman" w:hAnsi="Times New Roman" w:cs="Times New Roman"/>
          <w:kern w:val="0"/>
          <w14:ligatures w14:val="none"/>
        </w:rPr>
        <w:t xml:space="preserve">-Parry, K. O. (2019). Reassessing Edward </w:t>
      </w:r>
      <w:proofErr w:type="spellStart"/>
      <w:r>
        <w:rPr>
          <w:rFonts w:ascii="Times New Roman" w:eastAsia="Times New Roman" w:hAnsi="Times New Roman" w:cs="Times New Roman"/>
          <w:kern w:val="0"/>
          <w14:ligatures w14:val="none"/>
        </w:rPr>
        <w:t>Blyden's</w:t>
      </w:r>
      <w:proofErr w:type="spellEnd"/>
      <w:r>
        <w:rPr>
          <w:rFonts w:ascii="Times New Roman" w:eastAsia="Times New Roman" w:hAnsi="Times New Roman" w:cs="Times New Roman"/>
          <w:kern w:val="0"/>
          <w14:ligatures w14:val="none"/>
        </w:rPr>
        <w:t xml:space="preserve"> legacy in African nationalism and diaspora consciousness. </w:t>
      </w:r>
      <w:r>
        <w:rPr>
          <w:rFonts w:ascii="Times New Roman" w:eastAsia="Times New Roman" w:hAnsi="Times New Roman" w:cs="Times New Roman"/>
          <w:i/>
          <w:iCs/>
          <w:kern w:val="0"/>
          <w14:ligatures w14:val="none"/>
        </w:rPr>
        <w:t>Journal of Pan-African Studies</w:t>
      </w:r>
      <w:r>
        <w:rPr>
          <w:rFonts w:ascii="Times New Roman" w:eastAsia="Times New Roman" w:hAnsi="Times New Roman" w:cs="Times New Roman"/>
          <w:kern w:val="0"/>
          <w14:ligatures w14:val="none"/>
        </w:rPr>
        <w:t>, 13(3), 88–105.</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Amin, S. (1974). </w:t>
      </w:r>
      <w:r>
        <w:rPr>
          <w:rFonts w:ascii="Times New Roman" w:eastAsia="Times New Roman" w:hAnsi="Times New Roman" w:cs="Times New Roman"/>
          <w:i/>
          <w:iCs/>
          <w:kern w:val="0"/>
          <w14:ligatures w14:val="none"/>
        </w:rPr>
        <w:t>Accumulation on a world scale</w:t>
      </w:r>
      <w:r>
        <w:rPr>
          <w:rFonts w:ascii="Times New Roman" w:eastAsia="Times New Roman" w:hAnsi="Times New Roman" w:cs="Times New Roman"/>
          <w:kern w:val="0"/>
          <w14:ligatures w14:val="none"/>
        </w:rPr>
        <w:t>. Monthly Review Press.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Asante, M. K. (1990). </w:t>
      </w:r>
      <w:r>
        <w:rPr>
          <w:rFonts w:ascii="Times New Roman" w:eastAsia="Times New Roman" w:hAnsi="Times New Roman" w:cs="Times New Roman"/>
          <w:i/>
          <w:iCs/>
          <w:kern w:val="0"/>
          <w14:ligatures w14:val="none"/>
        </w:rPr>
        <w:t>Kemet, Afrocentricity, and knowledge</w:t>
      </w:r>
      <w:r>
        <w:rPr>
          <w:rFonts w:ascii="Times New Roman" w:eastAsia="Times New Roman" w:hAnsi="Times New Roman" w:cs="Times New Roman"/>
          <w:kern w:val="0"/>
          <w14:ligatures w14:val="none"/>
        </w:rPr>
        <w:t>. Africa World Press.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Asante, M. K. (2003). </w:t>
      </w:r>
      <w:r>
        <w:rPr>
          <w:rFonts w:ascii="Times New Roman" w:eastAsia="Times New Roman" w:hAnsi="Times New Roman" w:cs="Times New Roman"/>
          <w:i/>
          <w:iCs/>
          <w:kern w:val="0"/>
          <w14:ligatures w14:val="none"/>
        </w:rPr>
        <w:t>Afrocentricity: The theory of social change</w:t>
      </w:r>
      <w:r>
        <w:rPr>
          <w:rFonts w:ascii="Times New Roman" w:eastAsia="Times New Roman" w:hAnsi="Times New Roman" w:cs="Times New Roman"/>
          <w:kern w:val="0"/>
          <w14:ligatures w14:val="none"/>
        </w:rPr>
        <w:t>. African American Images.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Asante, M. K. (2020). </w:t>
      </w:r>
      <w:r>
        <w:rPr>
          <w:rFonts w:ascii="Times New Roman" w:eastAsia="Times New Roman" w:hAnsi="Times New Roman" w:cs="Times New Roman"/>
          <w:i/>
          <w:iCs/>
          <w:kern w:val="0"/>
          <w14:ligatures w14:val="none"/>
        </w:rPr>
        <w:t>The history of Africa: The quest for eternal harmony</w:t>
      </w:r>
      <w:r>
        <w:rPr>
          <w:rFonts w:ascii="Times New Roman" w:eastAsia="Times New Roman" w:hAnsi="Times New Roman" w:cs="Times New Roman"/>
          <w:kern w:val="0"/>
          <w14:ligatures w14:val="none"/>
        </w:rPr>
        <w:t xml:space="preserve"> (3rd </w:t>
      </w:r>
      <w:proofErr w:type="gramStart"/>
      <w:r>
        <w:rPr>
          <w:rFonts w:ascii="Times New Roman" w:eastAsia="Times New Roman" w:hAnsi="Times New Roman" w:cs="Times New Roman"/>
          <w:kern w:val="0"/>
          <w14:ligatures w14:val="none"/>
        </w:rPr>
        <w:t>ed</w:t>
      </w:r>
      <w:proofErr w:type="gramEnd"/>
      <w:r>
        <w:rPr>
          <w:rFonts w:ascii="Times New Roman" w:eastAsia="Times New Roman" w:hAnsi="Times New Roman" w:cs="Times New Roman"/>
          <w:kern w:val="0"/>
          <w14:ligatures w14:val="none"/>
        </w:rPr>
        <w:t>.). Routledge.</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Ashcroft, B., Griffiths, G., &amp; Tiffin, H. (2013). </w:t>
      </w:r>
      <w:r>
        <w:rPr>
          <w:rFonts w:ascii="Times New Roman" w:eastAsia="Times New Roman" w:hAnsi="Times New Roman" w:cs="Times New Roman"/>
          <w:i/>
          <w:iCs/>
          <w:kern w:val="0"/>
          <w14:ligatures w14:val="none"/>
        </w:rPr>
        <w:t>Post-colonial studies: The key concepts</w:t>
      </w:r>
      <w:r>
        <w:rPr>
          <w:rFonts w:ascii="Times New Roman" w:eastAsia="Times New Roman" w:hAnsi="Times New Roman" w:cs="Times New Roman"/>
          <w:kern w:val="0"/>
          <w14:ligatures w14:val="none"/>
        </w:rPr>
        <w:t xml:space="preserve"> (3rd </w:t>
      </w:r>
      <w:proofErr w:type="gramStart"/>
      <w:r>
        <w:rPr>
          <w:rFonts w:ascii="Times New Roman" w:eastAsia="Times New Roman" w:hAnsi="Times New Roman" w:cs="Times New Roman"/>
          <w:kern w:val="0"/>
          <w14:ligatures w14:val="none"/>
        </w:rPr>
        <w:t>ed</w:t>
      </w:r>
      <w:proofErr w:type="gramEnd"/>
      <w:r>
        <w:rPr>
          <w:rFonts w:ascii="Times New Roman" w:eastAsia="Times New Roman" w:hAnsi="Times New Roman" w:cs="Times New Roman"/>
          <w:kern w:val="0"/>
          <w14:ligatures w14:val="none"/>
        </w:rPr>
        <w:t>.). Routledge.</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Bayart</w:t>
      </w:r>
      <w:proofErr w:type="spellEnd"/>
      <w:r>
        <w:rPr>
          <w:rFonts w:ascii="Times New Roman" w:eastAsia="Times New Roman" w:hAnsi="Times New Roman" w:cs="Times New Roman"/>
          <w:kern w:val="0"/>
          <w14:ligatures w14:val="none"/>
        </w:rPr>
        <w:t xml:space="preserve">, J. F. (1993). </w:t>
      </w:r>
      <w:r>
        <w:rPr>
          <w:rFonts w:ascii="Times New Roman" w:eastAsia="Times New Roman" w:hAnsi="Times New Roman" w:cs="Times New Roman"/>
          <w:i/>
          <w:iCs/>
          <w:kern w:val="0"/>
          <w14:ligatures w14:val="none"/>
        </w:rPr>
        <w:t>The state in Africa: The politics of the belly</w:t>
      </w:r>
      <w:r>
        <w:rPr>
          <w:rFonts w:ascii="Times New Roman" w:eastAsia="Times New Roman" w:hAnsi="Times New Roman" w:cs="Times New Roman"/>
          <w:kern w:val="0"/>
          <w14:ligatures w14:val="none"/>
        </w:rPr>
        <w:t>. Longman.</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Blyden</w:t>
      </w:r>
      <w:proofErr w:type="spellEnd"/>
      <w:r>
        <w:rPr>
          <w:rFonts w:ascii="Times New Roman" w:eastAsia="Times New Roman" w:hAnsi="Times New Roman" w:cs="Times New Roman"/>
          <w:kern w:val="0"/>
          <w14:ligatures w14:val="none"/>
        </w:rPr>
        <w:t xml:space="preserve">, E. W. (1872). </w:t>
      </w:r>
      <w:r>
        <w:rPr>
          <w:rFonts w:ascii="Times New Roman" w:eastAsia="Times New Roman" w:hAnsi="Times New Roman" w:cs="Times New Roman"/>
          <w:i/>
          <w:iCs/>
          <w:kern w:val="0"/>
          <w14:ligatures w14:val="none"/>
        </w:rPr>
        <w:t>The African problem and the method of its solution</w:t>
      </w:r>
      <w:r>
        <w:rPr>
          <w:rFonts w:ascii="Times New Roman" w:eastAsia="Times New Roman" w:hAnsi="Times New Roman" w:cs="Times New Roman"/>
          <w:kern w:val="0"/>
          <w14:ligatures w14:val="none"/>
        </w:rPr>
        <w:t>. Government Printing Office.</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Blyden</w:t>
      </w:r>
      <w:proofErr w:type="spellEnd"/>
      <w:r>
        <w:rPr>
          <w:rFonts w:ascii="Times New Roman" w:eastAsia="Times New Roman" w:hAnsi="Times New Roman" w:cs="Times New Roman"/>
          <w:kern w:val="0"/>
          <w14:ligatures w14:val="none"/>
        </w:rPr>
        <w:t xml:space="preserve">, E. W. (1887). </w:t>
      </w:r>
      <w:r>
        <w:rPr>
          <w:rFonts w:ascii="Times New Roman" w:eastAsia="Times New Roman" w:hAnsi="Times New Roman" w:cs="Times New Roman"/>
          <w:i/>
          <w:iCs/>
          <w:kern w:val="0"/>
          <w14:ligatures w14:val="none"/>
        </w:rPr>
        <w:t>Christianity, Islam and the Negro race</w:t>
      </w:r>
      <w:r>
        <w:rPr>
          <w:rFonts w:ascii="Times New Roman" w:eastAsia="Times New Roman" w:hAnsi="Times New Roman" w:cs="Times New Roman"/>
          <w:kern w:val="0"/>
          <w14:ligatures w14:val="none"/>
        </w:rPr>
        <w:t xml:space="preserve">. W. B. </w:t>
      </w:r>
      <w:proofErr w:type="spellStart"/>
      <w:r>
        <w:rPr>
          <w:rFonts w:ascii="Times New Roman" w:eastAsia="Times New Roman" w:hAnsi="Times New Roman" w:cs="Times New Roman"/>
          <w:kern w:val="0"/>
          <w14:ligatures w14:val="none"/>
        </w:rPr>
        <w:t>Whittingham</w:t>
      </w:r>
      <w:proofErr w:type="spellEnd"/>
      <w:r>
        <w:rPr>
          <w:rFonts w:ascii="Times New Roman" w:eastAsia="Times New Roman" w:hAnsi="Times New Roman" w:cs="Times New Roman"/>
          <w:kern w:val="0"/>
          <w14:ligatures w14:val="none"/>
        </w:rPr>
        <w:t>.</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Blyden</w:t>
      </w:r>
      <w:proofErr w:type="spellEnd"/>
      <w:r>
        <w:rPr>
          <w:rFonts w:ascii="Times New Roman" w:eastAsia="Times New Roman" w:hAnsi="Times New Roman" w:cs="Times New Roman"/>
          <w:kern w:val="0"/>
          <w14:ligatures w14:val="none"/>
        </w:rPr>
        <w:t xml:space="preserve">, E. W. (1888). </w:t>
      </w:r>
      <w:r>
        <w:rPr>
          <w:rFonts w:ascii="Times New Roman" w:eastAsia="Times New Roman" w:hAnsi="Times New Roman" w:cs="Times New Roman"/>
          <w:i/>
          <w:iCs/>
          <w:kern w:val="0"/>
          <w14:ligatures w14:val="none"/>
        </w:rPr>
        <w:t>Christianity, Islam and the Negro race</w:t>
      </w:r>
      <w:r>
        <w:rPr>
          <w:rFonts w:ascii="Times New Roman" w:eastAsia="Times New Roman" w:hAnsi="Times New Roman" w:cs="Times New Roman"/>
          <w:kern w:val="0"/>
          <w14:ligatures w14:val="none"/>
        </w:rPr>
        <w:t xml:space="preserve">. Edinburgh: W. B. </w:t>
      </w:r>
      <w:proofErr w:type="spellStart"/>
      <w:r>
        <w:rPr>
          <w:rFonts w:ascii="Times New Roman" w:eastAsia="Times New Roman" w:hAnsi="Times New Roman" w:cs="Times New Roman"/>
          <w:kern w:val="0"/>
          <w14:ligatures w14:val="none"/>
        </w:rPr>
        <w:t>Whittingham</w:t>
      </w:r>
      <w:proofErr w:type="spellEnd"/>
      <w:r>
        <w:rPr>
          <w:rFonts w:ascii="Times New Roman" w:eastAsia="Times New Roman" w:hAnsi="Times New Roman" w:cs="Times New Roman"/>
          <w:kern w:val="0"/>
          <w14:ligatures w14:val="none"/>
        </w:rPr>
        <w:t>.</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Blyden</w:t>
      </w:r>
      <w:proofErr w:type="spellEnd"/>
      <w:r>
        <w:rPr>
          <w:rFonts w:ascii="Times New Roman" w:eastAsia="Times New Roman" w:hAnsi="Times New Roman" w:cs="Times New Roman"/>
          <w:kern w:val="0"/>
          <w14:ligatures w14:val="none"/>
        </w:rPr>
        <w:t xml:space="preserve">, E. W. (1890). </w:t>
      </w:r>
      <w:r>
        <w:rPr>
          <w:rFonts w:ascii="Times New Roman" w:eastAsia="Times New Roman" w:hAnsi="Times New Roman" w:cs="Times New Roman"/>
          <w:i/>
          <w:iCs/>
          <w:kern w:val="0"/>
          <w14:ligatures w14:val="none"/>
        </w:rPr>
        <w:t>West Africa before Europe</w:t>
      </w:r>
      <w:r>
        <w:rPr>
          <w:rFonts w:ascii="Times New Roman" w:eastAsia="Times New Roman" w:hAnsi="Times New Roman" w:cs="Times New Roman"/>
          <w:kern w:val="0"/>
          <w14:ligatures w14:val="none"/>
        </w:rPr>
        <w:t>. London: C.M. Phillips.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Blyden</w:t>
      </w:r>
      <w:proofErr w:type="spellEnd"/>
      <w:r>
        <w:rPr>
          <w:rFonts w:ascii="Times New Roman" w:eastAsia="Times New Roman" w:hAnsi="Times New Roman" w:cs="Times New Roman"/>
          <w:kern w:val="0"/>
          <w14:ligatures w14:val="none"/>
        </w:rPr>
        <w:t xml:space="preserve">, E. W. (1903). </w:t>
      </w:r>
      <w:r>
        <w:rPr>
          <w:rFonts w:ascii="Times New Roman" w:eastAsia="Times New Roman" w:hAnsi="Times New Roman" w:cs="Times New Roman"/>
          <w:i/>
          <w:iCs/>
          <w:kern w:val="0"/>
          <w14:ligatures w14:val="none"/>
        </w:rPr>
        <w:t>West African University</w:t>
      </w:r>
      <w:r>
        <w:rPr>
          <w:rFonts w:ascii="Times New Roman" w:eastAsia="Times New Roman" w:hAnsi="Times New Roman" w:cs="Times New Roman"/>
          <w:kern w:val="0"/>
          <w14:ligatures w14:val="none"/>
        </w:rPr>
        <w:t>. Edinburgh Review.</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Blyden</w:t>
      </w:r>
      <w:proofErr w:type="spellEnd"/>
      <w:r>
        <w:rPr>
          <w:rFonts w:ascii="Times New Roman" w:eastAsia="Times New Roman" w:hAnsi="Times New Roman" w:cs="Times New Roman"/>
          <w:kern w:val="0"/>
          <w14:ligatures w14:val="none"/>
        </w:rPr>
        <w:t xml:space="preserve">, E. W. (1908). </w:t>
      </w:r>
      <w:r>
        <w:rPr>
          <w:rFonts w:ascii="Times New Roman" w:eastAsia="Times New Roman" w:hAnsi="Times New Roman" w:cs="Times New Roman"/>
          <w:i/>
          <w:iCs/>
          <w:kern w:val="0"/>
          <w14:ligatures w14:val="none"/>
        </w:rPr>
        <w:t>African life and customs</w:t>
      </w:r>
      <w:r>
        <w:rPr>
          <w:rFonts w:ascii="Times New Roman" w:eastAsia="Times New Roman" w:hAnsi="Times New Roman" w:cs="Times New Roman"/>
          <w:kern w:val="0"/>
          <w14:ligatures w14:val="none"/>
        </w:rPr>
        <w:t>. C. M. Phillips.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Boahen</w:t>
      </w:r>
      <w:proofErr w:type="spellEnd"/>
      <w:r>
        <w:rPr>
          <w:rFonts w:ascii="Times New Roman" w:eastAsia="Times New Roman" w:hAnsi="Times New Roman" w:cs="Times New Roman"/>
          <w:kern w:val="0"/>
          <w14:ligatures w14:val="none"/>
        </w:rPr>
        <w:t xml:space="preserve">, A. A. (1987). </w:t>
      </w:r>
      <w:r>
        <w:rPr>
          <w:rFonts w:ascii="Times New Roman" w:eastAsia="Times New Roman" w:hAnsi="Times New Roman" w:cs="Times New Roman"/>
          <w:i/>
          <w:iCs/>
          <w:kern w:val="0"/>
          <w14:ligatures w14:val="none"/>
        </w:rPr>
        <w:t>African perspectives on colonialism</w:t>
      </w:r>
      <w:r>
        <w:rPr>
          <w:rFonts w:ascii="Times New Roman" w:eastAsia="Times New Roman" w:hAnsi="Times New Roman" w:cs="Times New Roman"/>
          <w:kern w:val="0"/>
          <w14:ligatures w14:val="none"/>
        </w:rPr>
        <w:t>. Johns Hopkins University Press.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Boahen</w:t>
      </w:r>
      <w:proofErr w:type="spellEnd"/>
      <w:r>
        <w:rPr>
          <w:rFonts w:ascii="Times New Roman" w:eastAsia="Times New Roman" w:hAnsi="Times New Roman" w:cs="Times New Roman"/>
          <w:kern w:val="0"/>
          <w14:ligatures w14:val="none"/>
        </w:rPr>
        <w:t xml:space="preserve">, A. A. (2022). </w:t>
      </w:r>
      <w:r>
        <w:rPr>
          <w:rFonts w:ascii="Times New Roman" w:eastAsia="Times New Roman" w:hAnsi="Times New Roman" w:cs="Times New Roman"/>
          <w:i/>
          <w:iCs/>
          <w:kern w:val="0"/>
          <w14:ligatures w14:val="none"/>
        </w:rPr>
        <w:t>African perspectives on colonialism</w:t>
      </w:r>
      <w:r>
        <w:rPr>
          <w:rFonts w:ascii="Times New Roman" w:eastAsia="Times New Roman" w:hAnsi="Times New Roman" w:cs="Times New Roman"/>
          <w:kern w:val="0"/>
          <w14:ligatures w14:val="none"/>
        </w:rPr>
        <w:t xml:space="preserve"> (Rev. </w:t>
      </w:r>
      <w:proofErr w:type="gramStart"/>
      <w:r>
        <w:rPr>
          <w:rFonts w:ascii="Times New Roman" w:eastAsia="Times New Roman" w:hAnsi="Times New Roman" w:cs="Times New Roman"/>
          <w:kern w:val="0"/>
          <w14:ligatures w14:val="none"/>
        </w:rPr>
        <w:t>ed</w:t>
      </w:r>
      <w:proofErr w:type="gramEnd"/>
      <w:r>
        <w:rPr>
          <w:rFonts w:ascii="Times New Roman" w:eastAsia="Times New Roman" w:hAnsi="Times New Roman" w:cs="Times New Roman"/>
          <w:kern w:val="0"/>
          <w14:ligatures w14:val="none"/>
        </w:rPr>
        <w:t>.). Ohio University Press.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Bond, P. (2006). </w:t>
      </w:r>
      <w:r>
        <w:rPr>
          <w:rFonts w:ascii="Times New Roman" w:eastAsia="Times New Roman" w:hAnsi="Times New Roman" w:cs="Times New Roman"/>
          <w:i/>
          <w:iCs/>
          <w:kern w:val="0"/>
          <w14:ligatures w14:val="none"/>
        </w:rPr>
        <w:t>Looting Africa: The economics of exploitation</w:t>
      </w:r>
      <w:r>
        <w:rPr>
          <w:rFonts w:ascii="Times New Roman" w:eastAsia="Times New Roman" w:hAnsi="Times New Roman" w:cs="Times New Roman"/>
          <w:kern w:val="0"/>
          <w14:ligatures w14:val="none"/>
        </w:rPr>
        <w:t>. Zed Books.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Bond, P., &amp; </w:t>
      </w:r>
      <w:proofErr w:type="spellStart"/>
      <w:r>
        <w:rPr>
          <w:rFonts w:ascii="Times New Roman" w:eastAsia="Times New Roman" w:hAnsi="Times New Roman" w:cs="Times New Roman"/>
          <w:kern w:val="0"/>
          <w14:ligatures w14:val="none"/>
        </w:rPr>
        <w:t>Sharife</w:t>
      </w:r>
      <w:proofErr w:type="spellEnd"/>
      <w:r>
        <w:rPr>
          <w:rFonts w:ascii="Times New Roman" w:eastAsia="Times New Roman" w:hAnsi="Times New Roman" w:cs="Times New Roman"/>
          <w:kern w:val="0"/>
          <w14:ligatures w14:val="none"/>
        </w:rPr>
        <w:t xml:space="preserve">, K. (2021). </w:t>
      </w:r>
      <w:r>
        <w:rPr>
          <w:rFonts w:ascii="Times New Roman" w:eastAsia="Times New Roman" w:hAnsi="Times New Roman" w:cs="Times New Roman"/>
          <w:i/>
          <w:iCs/>
          <w:kern w:val="0"/>
          <w14:ligatures w14:val="none"/>
        </w:rPr>
        <w:t>The looting continues: Globalization and Africa’s resource plunder</w:t>
      </w:r>
      <w:r>
        <w:rPr>
          <w:rFonts w:ascii="Times New Roman" w:eastAsia="Times New Roman" w:hAnsi="Times New Roman" w:cs="Times New Roman"/>
          <w:kern w:val="0"/>
          <w14:ligatures w14:val="none"/>
        </w:rPr>
        <w:t>. University of KwaZulu-Natal Press.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Boswell, A., &amp; Boswell, J. (2021). Digital activism in Africa: Civic engagement and media politics. </w:t>
      </w:r>
      <w:r>
        <w:rPr>
          <w:rFonts w:ascii="Times New Roman" w:eastAsia="Times New Roman" w:hAnsi="Times New Roman" w:cs="Times New Roman"/>
          <w:i/>
          <w:iCs/>
          <w:kern w:val="0"/>
          <w14:ligatures w14:val="none"/>
        </w:rPr>
        <w:t>African Affairs</w:t>
      </w:r>
      <w:r>
        <w:rPr>
          <w:rFonts w:ascii="Times New Roman" w:eastAsia="Times New Roman" w:hAnsi="Times New Roman" w:cs="Times New Roman"/>
          <w:kern w:val="0"/>
          <w14:ligatures w14:val="none"/>
        </w:rPr>
        <w:t>, 120(481), 1–22.</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lastRenderedPageBreak/>
        <w:t>Cheeseman</w:t>
      </w:r>
      <w:proofErr w:type="spellEnd"/>
      <w:r>
        <w:rPr>
          <w:rFonts w:ascii="Times New Roman" w:eastAsia="Times New Roman" w:hAnsi="Times New Roman" w:cs="Times New Roman"/>
          <w:kern w:val="0"/>
          <w14:ligatures w14:val="none"/>
        </w:rPr>
        <w:t xml:space="preserve">, N., &amp; de </w:t>
      </w:r>
      <w:proofErr w:type="spellStart"/>
      <w:r>
        <w:rPr>
          <w:rFonts w:ascii="Times New Roman" w:eastAsia="Times New Roman" w:hAnsi="Times New Roman" w:cs="Times New Roman"/>
          <w:kern w:val="0"/>
          <w14:ligatures w14:val="none"/>
        </w:rPr>
        <w:t>Gramont</w:t>
      </w:r>
      <w:proofErr w:type="spellEnd"/>
      <w:r>
        <w:rPr>
          <w:rFonts w:ascii="Times New Roman" w:eastAsia="Times New Roman" w:hAnsi="Times New Roman" w:cs="Times New Roman"/>
          <w:kern w:val="0"/>
          <w14:ligatures w14:val="none"/>
        </w:rPr>
        <w:t xml:space="preserve">, D. (2023). </w:t>
      </w:r>
      <w:r>
        <w:rPr>
          <w:rFonts w:ascii="Times New Roman" w:eastAsia="Times New Roman" w:hAnsi="Times New Roman" w:cs="Times New Roman"/>
          <w:i/>
          <w:iCs/>
          <w:kern w:val="0"/>
          <w14:ligatures w14:val="none"/>
        </w:rPr>
        <w:t>Authoritarian Africa: Repression, resistance and the power of ideas</w:t>
      </w:r>
      <w:r>
        <w:rPr>
          <w:rFonts w:ascii="Times New Roman" w:eastAsia="Times New Roman" w:hAnsi="Times New Roman" w:cs="Times New Roman"/>
          <w:kern w:val="0"/>
          <w14:ligatures w14:val="none"/>
        </w:rPr>
        <w:t>. Oxford University Press.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Chinweizu</w:t>
      </w:r>
      <w:proofErr w:type="spellEnd"/>
      <w:r>
        <w:rPr>
          <w:rFonts w:ascii="Times New Roman" w:eastAsia="Times New Roman" w:hAnsi="Times New Roman" w:cs="Times New Roman"/>
          <w:kern w:val="0"/>
          <w14:ligatures w14:val="none"/>
        </w:rPr>
        <w:t xml:space="preserve">. (1975). </w:t>
      </w:r>
      <w:r>
        <w:rPr>
          <w:rFonts w:ascii="Times New Roman" w:eastAsia="Times New Roman" w:hAnsi="Times New Roman" w:cs="Times New Roman"/>
          <w:i/>
          <w:iCs/>
          <w:kern w:val="0"/>
          <w14:ligatures w14:val="none"/>
        </w:rPr>
        <w:t>The West and the rest of us: White predators, Black slavers, and the African elite</w:t>
      </w:r>
      <w:r>
        <w:rPr>
          <w:rFonts w:ascii="Times New Roman" w:eastAsia="Times New Roman" w:hAnsi="Times New Roman" w:cs="Times New Roman"/>
          <w:kern w:val="0"/>
          <w14:ligatures w14:val="none"/>
        </w:rPr>
        <w:t>. NOK Publishers.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Dei, G. J. S. (2019). </w:t>
      </w:r>
      <w:r>
        <w:rPr>
          <w:rFonts w:ascii="Times New Roman" w:eastAsia="Times New Roman" w:hAnsi="Times New Roman" w:cs="Times New Roman"/>
          <w:i/>
          <w:iCs/>
          <w:kern w:val="0"/>
          <w14:ligatures w14:val="none"/>
        </w:rPr>
        <w:t>Reclaiming Indigenous knowledge: Indigenous research methodologies in education</w:t>
      </w:r>
      <w:r>
        <w:rPr>
          <w:rFonts w:ascii="Times New Roman" w:eastAsia="Times New Roman" w:hAnsi="Times New Roman" w:cs="Times New Roman"/>
          <w:kern w:val="0"/>
          <w14:ligatures w14:val="none"/>
        </w:rPr>
        <w:t>. Peter Lang.</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Diop</w:t>
      </w:r>
      <w:proofErr w:type="spellEnd"/>
      <w:r>
        <w:rPr>
          <w:rFonts w:ascii="Times New Roman" w:eastAsia="Times New Roman" w:hAnsi="Times New Roman" w:cs="Times New Roman"/>
          <w:kern w:val="0"/>
          <w14:ligatures w14:val="none"/>
        </w:rPr>
        <w:t xml:space="preserve">, C. A. (1981). </w:t>
      </w:r>
      <w:r>
        <w:rPr>
          <w:rFonts w:ascii="Times New Roman" w:eastAsia="Times New Roman" w:hAnsi="Times New Roman" w:cs="Times New Roman"/>
          <w:i/>
          <w:iCs/>
          <w:kern w:val="0"/>
          <w14:ligatures w14:val="none"/>
        </w:rPr>
        <w:t>Civilization or barbarism: An authentic anthropology</w:t>
      </w:r>
      <w:r>
        <w:rPr>
          <w:rFonts w:ascii="Times New Roman" w:eastAsia="Times New Roman" w:hAnsi="Times New Roman" w:cs="Times New Roman"/>
          <w:kern w:val="0"/>
          <w14:ligatures w14:val="none"/>
        </w:rPr>
        <w:t>. Lawrence Hill Books.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Ekeh</w:t>
      </w:r>
      <w:proofErr w:type="spellEnd"/>
      <w:r>
        <w:rPr>
          <w:rFonts w:ascii="Times New Roman" w:eastAsia="Times New Roman" w:hAnsi="Times New Roman" w:cs="Times New Roman"/>
          <w:kern w:val="0"/>
          <w14:ligatures w14:val="none"/>
        </w:rPr>
        <w:t xml:space="preserve">, P. P. (1975). Colonialism and the two publics in Africa: A theoretical statement. </w:t>
      </w:r>
      <w:r>
        <w:rPr>
          <w:rFonts w:ascii="Times New Roman" w:eastAsia="Times New Roman" w:hAnsi="Times New Roman" w:cs="Times New Roman"/>
          <w:i/>
          <w:iCs/>
          <w:kern w:val="0"/>
          <w14:ligatures w14:val="none"/>
        </w:rPr>
        <w:t>Comparative Studies in Society and History</w:t>
      </w:r>
      <w:r>
        <w:rPr>
          <w:rFonts w:ascii="Times New Roman" w:eastAsia="Times New Roman" w:hAnsi="Times New Roman" w:cs="Times New Roman"/>
          <w:kern w:val="0"/>
          <w14:ligatures w14:val="none"/>
        </w:rPr>
        <w:t>, 17(1), 91–112.</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Esedebe</w:t>
      </w:r>
      <w:proofErr w:type="spellEnd"/>
      <w:r>
        <w:rPr>
          <w:rFonts w:ascii="Times New Roman" w:eastAsia="Times New Roman" w:hAnsi="Times New Roman" w:cs="Times New Roman"/>
          <w:kern w:val="0"/>
          <w14:ligatures w14:val="none"/>
        </w:rPr>
        <w:t xml:space="preserve">, P. O. (1994). </w:t>
      </w:r>
      <w:r>
        <w:rPr>
          <w:rFonts w:ascii="Times New Roman" w:eastAsia="Times New Roman" w:hAnsi="Times New Roman" w:cs="Times New Roman"/>
          <w:i/>
          <w:iCs/>
          <w:kern w:val="0"/>
          <w14:ligatures w14:val="none"/>
        </w:rPr>
        <w:t>Pan-Africanism: The idea and movement, 1776–1991</w:t>
      </w:r>
      <w:r>
        <w:rPr>
          <w:rFonts w:ascii="Times New Roman" w:eastAsia="Times New Roman" w:hAnsi="Times New Roman" w:cs="Times New Roman"/>
          <w:kern w:val="0"/>
          <w14:ligatures w14:val="none"/>
        </w:rPr>
        <w:t>. Howard University Press.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Gyimah-Boadi</w:t>
      </w:r>
      <w:proofErr w:type="spellEnd"/>
      <w:r>
        <w:rPr>
          <w:rFonts w:ascii="Times New Roman" w:eastAsia="Times New Roman" w:hAnsi="Times New Roman" w:cs="Times New Roman"/>
          <w:kern w:val="0"/>
          <w14:ligatures w14:val="none"/>
        </w:rPr>
        <w:t xml:space="preserve">, E. (2004). </w:t>
      </w:r>
      <w:r>
        <w:rPr>
          <w:rFonts w:ascii="Times New Roman" w:eastAsia="Times New Roman" w:hAnsi="Times New Roman" w:cs="Times New Roman"/>
          <w:i/>
          <w:iCs/>
          <w:kern w:val="0"/>
          <w14:ligatures w14:val="none"/>
        </w:rPr>
        <w:t>Democratic reform in Africa: The quality of progress</w:t>
      </w:r>
      <w:r>
        <w:rPr>
          <w:rFonts w:ascii="Times New Roman" w:eastAsia="Times New Roman" w:hAnsi="Times New Roman" w:cs="Times New Roman"/>
          <w:kern w:val="0"/>
          <w14:ligatures w14:val="none"/>
        </w:rPr>
        <w:t xml:space="preserve">. Lynne </w:t>
      </w:r>
      <w:proofErr w:type="spellStart"/>
      <w:r>
        <w:rPr>
          <w:rFonts w:ascii="Times New Roman" w:eastAsia="Times New Roman" w:hAnsi="Times New Roman" w:cs="Times New Roman"/>
          <w:kern w:val="0"/>
          <w14:ligatures w14:val="none"/>
        </w:rPr>
        <w:t>Rienner</w:t>
      </w:r>
      <w:proofErr w:type="spellEnd"/>
      <w:r>
        <w:rPr>
          <w:rFonts w:ascii="Times New Roman" w:eastAsia="Times New Roman" w:hAnsi="Times New Roman" w:cs="Times New Roman"/>
          <w:kern w:val="0"/>
          <w14:ligatures w14:val="none"/>
        </w:rPr>
        <w:t xml:space="preserve"> Publishers.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Hamangiu</w:t>
      </w:r>
      <w:proofErr w:type="spellEnd"/>
      <w:r>
        <w:rPr>
          <w:rFonts w:ascii="Times New Roman" w:eastAsia="Times New Roman" w:hAnsi="Times New Roman" w:cs="Times New Roman"/>
          <w:kern w:val="0"/>
          <w14:ligatures w14:val="none"/>
        </w:rPr>
        <w:t xml:space="preserve">, V. (2021). Resource exploitation and governance in Central African Republic. </w:t>
      </w:r>
      <w:r>
        <w:rPr>
          <w:rFonts w:ascii="Times New Roman" w:eastAsia="Times New Roman" w:hAnsi="Times New Roman" w:cs="Times New Roman"/>
          <w:i/>
          <w:iCs/>
          <w:kern w:val="0"/>
          <w14:ligatures w14:val="none"/>
        </w:rPr>
        <w:t>Journal of African Conflict and Peace Studies</w:t>
      </w:r>
      <w:r>
        <w:rPr>
          <w:rFonts w:ascii="Times New Roman" w:eastAsia="Times New Roman" w:hAnsi="Times New Roman" w:cs="Times New Roman"/>
          <w:kern w:val="0"/>
          <w14:ligatures w14:val="none"/>
        </w:rPr>
        <w:t>, 9(1), 34–56.</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Iwilade</w:t>
      </w:r>
      <w:proofErr w:type="spellEnd"/>
      <w:r>
        <w:rPr>
          <w:rFonts w:ascii="Times New Roman" w:eastAsia="Times New Roman" w:hAnsi="Times New Roman" w:cs="Times New Roman"/>
          <w:kern w:val="0"/>
          <w14:ligatures w14:val="none"/>
        </w:rPr>
        <w:t>, A. (2022). Youth, technology, and resistance in Africa: Rethinking #</w:t>
      </w:r>
      <w:proofErr w:type="spellStart"/>
      <w:r>
        <w:rPr>
          <w:rFonts w:ascii="Times New Roman" w:eastAsia="Times New Roman" w:hAnsi="Times New Roman" w:cs="Times New Roman"/>
          <w:kern w:val="0"/>
          <w14:ligatures w14:val="none"/>
        </w:rPr>
        <w:t>EndSARS</w:t>
      </w:r>
      <w:proofErr w:type="spellEnd"/>
      <w:r>
        <w:rPr>
          <w:rFonts w:ascii="Times New Roman" w:eastAsia="Times New Roman" w:hAnsi="Times New Roman" w:cs="Times New Roman"/>
          <w:kern w:val="0"/>
          <w14:ligatures w14:val="none"/>
        </w:rPr>
        <w:t xml:space="preserve">. </w:t>
      </w:r>
      <w:r>
        <w:rPr>
          <w:rFonts w:ascii="Times New Roman" w:eastAsia="Times New Roman" w:hAnsi="Times New Roman" w:cs="Times New Roman"/>
          <w:i/>
          <w:iCs/>
          <w:kern w:val="0"/>
          <w14:ligatures w14:val="none"/>
        </w:rPr>
        <w:t>African Affairs</w:t>
      </w:r>
      <w:r>
        <w:rPr>
          <w:rFonts w:ascii="Times New Roman" w:eastAsia="Times New Roman" w:hAnsi="Times New Roman" w:cs="Times New Roman"/>
          <w:kern w:val="0"/>
          <w14:ligatures w14:val="none"/>
        </w:rPr>
        <w:t>, 121(484), 345–367.</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Kelsall</w:t>
      </w:r>
      <w:proofErr w:type="spellEnd"/>
      <w:r>
        <w:rPr>
          <w:rFonts w:ascii="Times New Roman" w:eastAsia="Times New Roman" w:hAnsi="Times New Roman" w:cs="Times New Roman"/>
          <w:kern w:val="0"/>
          <w14:ligatures w14:val="none"/>
        </w:rPr>
        <w:t xml:space="preserve">, T. (2022). </w:t>
      </w:r>
      <w:r>
        <w:rPr>
          <w:rFonts w:ascii="Times New Roman" w:eastAsia="Times New Roman" w:hAnsi="Times New Roman" w:cs="Times New Roman"/>
          <w:i/>
          <w:iCs/>
          <w:kern w:val="0"/>
          <w14:ligatures w14:val="none"/>
        </w:rPr>
        <w:t>Re-thinking African politics: A new institutionalist approach</w:t>
      </w:r>
      <w:r>
        <w:rPr>
          <w:rFonts w:ascii="Times New Roman" w:eastAsia="Times New Roman" w:hAnsi="Times New Roman" w:cs="Times New Roman"/>
          <w:kern w:val="0"/>
          <w14:ligatures w14:val="none"/>
        </w:rPr>
        <w:t>. Cambridge University Press.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Kiros</w:t>
      </w:r>
      <w:proofErr w:type="spellEnd"/>
      <w:r>
        <w:rPr>
          <w:rFonts w:ascii="Times New Roman" w:eastAsia="Times New Roman" w:hAnsi="Times New Roman" w:cs="Times New Roman"/>
          <w:kern w:val="0"/>
          <w14:ligatures w14:val="none"/>
        </w:rPr>
        <w:t xml:space="preserve">, T. (2011). </w:t>
      </w:r>
      <w:r>
        <w:rPr>
          <w:rFonts w:ascii="Times New Roman" w:eastAsia="Times New Roman" w:hAnsi="Times New Roman" w:cs="Times New Roman"/>
          <w:i/>
          <w:iCs/>
          <w:kern w:val="0"/>
          <w14:ligatures w14:val="none"/>
        </w:rPr>
        <w:t>Philosophy and African development: Theory and practice</w:t>
      </w:r>
      <w:r>
        <w:rPr>
          <w:rFonts w:ascii="Times New Roman" w:eastAsia="Times New Roman" w:hAnsi="Times New Roman" w:cs="Times New Roman"/>
          <w:kern w:val="0"/>
          <w14:ligatures w14:val="none"/>
        </w:rPr>
        <w:t>. Palgrave Macmillan.</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Legum</w:t>
      </w:r>
      <w:proofErr w:type="spellEnd"/>
      <w:r>
        <w:rPr>
          <w:rFonts w:ascii="Times New Roman" w:eastAsia="Times New Roman" w:hAnsi="Times New Roman" w:cs="Times New Roman"/>
          <w:kern w:val="0"/>
          <w14:ligatures w14:val="none"/>
        </w:rPr>
        <w:t xml:space="preserve">, C. (2022). </w:t>
      </w:r>
      <w:r>
        <w:rPr>
          <w:rFonts w:ascii="Times New Roman" w:eastAsia="Times New Roman" w:hAnsi="Times New Roman" w:cs="Times New Roman"/>
          <w:i/>
          <w:iCs/>
          <w:kern w:val="0"/>
          <w14:ligatures w14:val="none"/>
        </w:rPr>
        <w:t>Pan-Africanism: A short political guide</w:t>
      </w:r>
      <w:r>
        <w:rPr>
          <w:rFonts w:ascii="Times New Roman" w:eastAsia="Times New Roman" w:hAnsi="Times New Roman" w:cs="Times New Roman"/>
          <w:kern w:val="0"/>
          <w14:ligatures w14:val="none"/>
        </w:rPr>
        <w:t xml:space="preserve"> (New </w:t>
      </w:r>
      <w:proofErr w:type="gramStart"/>
      <w:r>
        <w:rPr>
          <w:rFonts w:ascii="Times New Roman" w:eastAsia="Times New Roman" w:hAnsi="Times New Roman" w:cs="Times New Roman"/>
          <w:kern w:val="0"/>
          <w14:ligatures w14:val="none"/>
        </w:rPr>
        <w:t>ed</w:t>
      </w:r>
      <w:proofErr w:type="gramEnd"/>
      <w:r>
        <w:rPr>
          <w:rFonts w:ascii="Times New Roman" w:eastAsia="Times New Roman" w:hAnsi="Times New Roman" w:cs="Times New Roman"/>
          <w:kern w:val="0"/>
          <w14:ligatures w14:val="none"/>
        </w:rPr>
        <w:t>.). Routledge.</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Lynch, H. R. (1970). </w:t>
      </w:r>
      <w:r>
        <w:rPr>
          <w:rFonts w:ascii="Times New Roman" w:eastAsia="Times New Roman" w:hAnsi="Times New Roman" w:cs="Times New Roman"/>
          <w:i/>
          <w:iCs/>
          <w:kern w:val="0"/>
          <w14:ligatures w14:val="none"/>
        </w:rPr>
        <w:t xml:space="preserve">Edward Wilmot </w:t>
      </w:r>
      <w:proofErr w:type="spellStart"/>
      <w:r>
        <w:rPr>
          <w:rFonts w:ascii="Times New Roman" w:eastAsia="Times New Roman" w:hAnsi="Times New Roman" w:cs="Times New Roman"/>
          <w:i/>
          <w:iCs/>
          <w:kern w:val="0"/>
          <w14:ligatures w14:val="none"/>
        </w:rPr>
        <w:t>Blyden</w:t>
      </w:r>
      <w:proofErr w:type="spellEnd"/>
      <w:r>
        <w:rPr>
          <w:rFonts w:ascii="Times New Roman" w:eastAsia="Times New Roman" w:hAnsi="Times New Roman" w:cs="Times New Roman"/>
          <w:i/>
          <w:iCs/>
          <w:kern w:val="0"/>
          <w14:ligatures w14:val="none"/>
        </w:rPr>
        <w:t>: Pan-Negro patriot 1832–1912</w:t>
      </w:r>
      <w:r>
        <w:rPr>
          <w:rFonts w:ascii="Times New Roman" w:eastAsia="Times New Roman" w:hAnsi="Times New Roman" w:cs="Times New Roman"/>
          <w:kern w:val="0"/>
          <w14:ligatures w14:val="none"/>
        </w:rPr>
        <w:t>. Oxford University Press.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Makinda</w:t>
      </w:r>
      <w:proofErr w:type="spellEnd"/>
      <w:r>
        <w:rPr>
          <w:rFonts w:ascii="Times New Roman" w:eastAsia="Times New Roman" w:hAnsi="Times New Roman" w:cs="Times New Roman"/>
          <w:kern w:val="0"/>
          <w14:ligatures w14:val="none"/>
        </w:rPr>
        <w:t xml:space="preserve">, S. M., &amp; </w:t>
      </w:r>
      <w:proofErr w:type="spellStart"/>
      <w:r>
        <w:rPr>
          <w:rFonts w:ascii="Times New Roman" w:eastAsia="Times New Roman" w:hAnsi="Times New Roman" w:cs="Times New Roman"/>
          <w:kern w:val="0"/>
          <w14:ligatures w14:val="none"/>
        </w:rPr>
        <w:t>Okumu</w:t>
      </w:r>
      <w:proofErr w:type="spellEnd"/>
      <w:r>
        <w:rPr>
          <w:rFonts w:ascii="Times New Roman" w:eastAsia="Times New Roman" w:hAnsi="Times New Roman" w:cs="Times New Roman"/>
          <w:kern w:val="0"/>
          <w14:ligatures w14:val="none"/>
        </w:rPr>
        <w:t xml:space="preserve">, F. W. (2008). </w:t>
      </w:r>
      <w:r>
        <w:rPr>
          <w:rFonts w:ascii="Times New Roman" w:eastAsia="Times New Roman" w:hAnsi="Times New Roman" w:cs="Times New Roman"/>
          <w:i/>
          <w:iCs/>
          <w:kern w:val="0"/>
          <w14:ligatures w14:val="none"/>
        </w:rPr>
        <w:t>The African Union: Challenges of globalization, security, and governance</w:t>
      </w:r>
      <w:r>
        <w:rPr>
          <w:rFonts w:ascii="Times New Roman" w:eastAsia="Times New Roman" w:hAnsi="Times New Roman" w:cs="Times New Roman"/>
          <w:kern w:val="0"/>
          <w14:ligatures w14:val="none"/>
        </w:rPr>
        <w:t>. Routledge.</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Makinda</w:t>
      </w:r>
      <w:proofErr w:type="spellEnd"/>
      <w:r>
        <w:rPr>
          <w:rFonts w:ascii="Times New Roman" w:eastAsia="Times New Roman" w:hAnsi="Times New Roman" w:cs="Times New Roman"/>
          <w:kern w:val="0"/>
          <w14:ligatures w14:val="none"/>
        </w:rPr>
        <w:t xml:space="preserve">, S. M., </w:t>
      </w:r>
      <w:proofErr w:type="spellStart"/>
      <w:r>
        <w:rPr>
          <w:rFonts w:ascii="Times New Roman" w:eastAsia="Times New Roman" w:hAnsi="Times New Roman" w:cs="Times New Roman"/>
          <w:kern w:val="0"/>
          <w14:ligatures w14:val="none"/>
        </w:rPr>
        <w:t>Okumu</w:t>
      </w:r>
      <w:proofErr w:type="spellEnd"/>
      <w:r>
        <w:rPr>
          <w:rFonts w:ascii="Times New Roman" w:eastAsia="Times New Roman" w:hAnsi="Times New Roman" w:cs="Times New Roman"/>
          <w:kern w:val="0"/>
          <w14:ligatures w14:val="none"/>
        </w:rPr>
        <w:t xml:space="preserve">, F. W., &amp; </w:t>
      </w:r>
      <w:proofErr w:type="spellStart"/>
      <w:r>
        <w:rPr>
          <w:rFonts w:ascii="Times New Roman" w:eastAsia="Times New Roman" w:hAnsi="Times New Roman" w:cs="Times New Roman"/>
          <w:kern w:val="0"/>
          <w14:ligatures w14:val="none"/>
        </w:rPr>
        <w:t>Mickler</w:t>
      </w:r>
      <w:proofErr w:type="spellEnd"/>
      <w:r>
        <w:rPr>
          <w:rFonts w:ascii="Times New Roman" w:eastAsia="Times New Roman" w:hAnsi="Times New Roman" w:cs="Times New Roman"/>
          <w:kern w:val="0"/>
          <w14:ligatures w14:val="none"/>
        </w:rPr>
        <w:t xml:space="preserve">, D. (2021). </w:t>
      </w:r>
      <w:r>
        <w:rPr>
          <w:rFonts w:ascii="Times New Roman" w:eastAsia="Times New Roman" w:hAnsi="Times New Roman" w:cs="Times New Roman"/>
          <w:i/>
          <w:iCs/>
          <w:kern w:val="0"/>
          <w14:ligatures w14:val="none"/>
        </w:rPr>
        <w:t>The African Union: Addressing the challenges of peace, security, and governance</w:t>
      </w:r>
      <w:r>
        <w:rPr>
          <w:rFonts w:ascii="Times New Roman" w:eastAsia="Times New Roman" w:hAnsi="Times New Roman" w:cs="Times New Roman"/>
          <w:kern w:val="0"/>
          <w14:ligatures w14:val="none"/>
        </w:rPr>
        <w:t xml:space="preserve"> (2nd </w:t>
      </w:r>
      <w:proofErr w:type="gramStart"/>
      <w:r>
        <w:rPr>
          <w:rFonts w:ascii="Times New Roman" w:eastAsia="Times New Roman" w:hAnsi="Times New Roman" w:cs="Times New Roman"/>
          <w:kern w:val="0"/>
          <w14:ligatures w14:val="none"/>
        </w:rPr>
        <w:t>ed</w:t>
      </w:r>
      <w:proofErr w:type="gramEnd"/>
      <w:r>
        <w:rPr>
          <w:rFonts w:ascii="Times New Roman" w:eastAsia="Times New Roman" w:hAnsi="Times New Roman" w:cs="Times New Roman"/>
          <w:kern w:val="0"/>
          <w14:ligatures w14:val="none"/>
        </w:rPr>
        <w:t>.). Routledge.</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Mbaku</w:t>
      </w:r>
      <w:proofErr w:type="spellEnd"/>
      <w:r>
        <w:rPr>
          <w:rFonts w:ascii="Times New Roman" w:eastAsia="Times New Roman" w:hAnsi="Times New Roman" w:cs="Times New Roman"/>
          <w:kern w:val="0"/>
          <w14:ligatures w14:val="none"/>
        </w:rPr>
        <w:t xml:space="preserve">, J. M. (2007). </w:t>
      </w:r>
      <w:r>
        <w:rPr>
          <w:rFonts w:ascii="Times New Roman" w:eastAsia="Times New Roman" w:hAnsi="Times New Roman" w:cs="Times New Roman"/>
          <w:i/>
          <w:iCs/>
          <w:kern w:val="0"/>
          <w14:ligatures w14:val="none"/>
        </w:rPr>
        <w:t>Corruption in Africa: Causes, consequences, and cleanups</w:t>
      </w:r>
      <w:r>
        <w:rPr>
          <w:rFonts w:ascii="Times New Roman" w:eastAsia="Times New Roman" w:hAnsi="Times New Roman" w:cs="Times New Roman"/>
          <w:kern w:val="0"/>
          <w14:ligatures w14:val="none"/>
        </w:rPr>
        <w:t>. Lexington Books.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lastRenderedPageBreak/>
        <w:t>Mkandawire</w:t>
      </w:r>
      <w:proofErr w:type="spellEnd"/>
      <w:r>
        <w:rPr>
          <w:rFonts w:ascii="Times New Roman" w:eastAsia="Times New Roman" w:hAnsi="Times New Roman" w:cs="Times New Roman"/>
          <w:kern w:val="0"/>
          <w14:ligatures w14:val="none"/>
        </w:rPr>
        <w:t xml:space="preserve">, T., &amp; </w:t>
      </w:r>
      <w:proofErr w:type="spellStart"/>
      <w:r>
        <w:rPr>
          <w:rFonts w:ascii="Times New Roman" w:eastAsia="Times New Roman" w:hAnsi="Times New Roman" w:cs="Times New Roman"/>
          <w:kern w:val="0"/>
          <w14:ligatures w14:val="none"/>
        </w:rPr>
        <w:t>Soludo</w:t>
      </w:r>
      <w:proofErr w:type="spellEnd"/>
      <w:r>
        <w:rPr>
          <w:rFonts w:ascii="Times New Roman" w:eastAsia="Times New Roman" w:hAnsi="Times New Roman" w:cs="Times New Roman"/>
          <w:kern w:val="0"/>
          <w14:ligatures w14:val="none"/>
        </w:rPr>
        <w:t xml:space="preserve">, C. C. (1999). </w:t>
      </w:r>
      <w:r>
        <w:rPr>
          <w:rFonts w:ascii="Times New Roman" w:eastAsia="Times New Roman" w:hAnsi="Times New Roman" w:cs="Times New Roman"/>
          <w:i/>
          <w:iCs/>
          <w:kern w:val="0"/>
          <w14:ligatures w14:val="none"/>
        </w:rPr>
        <w:t>Our continent, our future: African perspectives on structural adjustment</w:t>
      </w:r>
      <w:r>
        <w:rPr>
          <w:rFonts w:ascii="Times New Roman" w:eastAsia="Times New Roman" w:hAnsi="Times New Roman" w:cs="Times New Roman"/>
          <w:kern w:val="0"/>
          <w14:ligatures w14:val="none"/>
        </w:rPr>
        <w:t>. IDRC.</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Murithi</w:t>
      </w:r>
      <w:proofErr w:type="spellEnd"/>
      <w:r>
        <w:rPr>
          <w:rFonts w:ascii="Times New Roman" w:eastAsia="Times New Roman" w:hAnsi="Times New Roman" w:cs="Times New Roman"/>
          <w:kern w:val="0"/>
          <w14:ligatures w14:val="none"/>
        </w:rPr>
        <w:t xml:space="preserve">, T. (2005). </w:t>
      </w:r>
      <w:r>
        <w:rPr>
          <w:rFonts w:ascii="Times New Roman" w:eastAsia="Times New Roman" w:hAnsi="Times New Roman" w:cs="Times New Roman"/>
          <w:i/>
          <w:iCs/>
          <w:kern w:val="0"/>
          <w14:ligatures w14:val="none"/>
        </w:rPr>
        <w:t>The African Union: Pan-Africanism, peacebuilding, and development</w:t>
      </w:r>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Ashgate</w:t>
      </w:r>
      <w:proofErr w:type="spellEnd"/>
      <w:r>
        <w:rPr>
          <w:rFonts w:ascii="Times New Roman" w:eastAsia="Times New Roman" w:hAnsi="Times New Roman" w:cs="Times New Roman"/>
          <w:kern w:val="0"/>
          <w14:ligatures w14:val="none"/>
        </w:rPr>
        <w:t>.</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Murithi</w:t>
      </w:r>
      <w:proofErr w:type="spellEnd"/>
      <w:r>
        <w:rPr>
          <w:rFonts w:ascii="Times New Roman" w:eastAsia="Times New Roman" w:hAnsi="Times New Roman" w:cs="Times New Roman"/>
          <w:kern w:val="0"/>
          <w14:ligatures w14:val="none"/>
        </w:rPr>
        <w:t xml:space="preserve">, T. (2023). </w:t>
      </w:r>
      <w:r>
        <w:rPr>
          <w:rFonts w:ascii="Times New Roman" w:eastAsia="Times New Roman" w:hAnsi="Times New Roman" w:cs="Times New Roman"/>
          <w:i/>
          <w:iCs/>
          <w:kern w:val="0"/>
          <w14:ligatures w14:val="none"/>
        </w:rPr>
        <w:t>Ethical leadership and the quest for a just society in Africa</w:t>
      </w:r>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Rowman</w:t>
      </w:r>
      <w:proofErr w:type="spellEnd"/>
      <w:r>
        <w:rPr>
          <w:rFonts w:ascii="Times New Roman" w:eastAsia="Times New Roman" w:hAnsi="Times New Roman" w:cs="Times New Roman"/>
          <w:kern w:val="0"/>
          <w14:ligatures w14:val="none"/>
        </w:rPr>
        <w:t xml:space="preserve"> &amp; Littlefield.</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Murithi</w:t>
      </w:r>
      <w:proofErr w:type="spellEnd"/>
      <w:r>
        <w:rPr>
          <w:rFonts w:ascii="Times New Roman" w:eastAsia="Times New Roman" w:hAnsi="Times New Roman" w:cs="Times New Roman"/>
          <w:kern w:val="0"/>
          <w14:ligatures w14:val="none"/>
        </w:rPr>
        <w:t xml:space="preserve">, T. (2023). </w:t>
      </w:r>
      <w:r>
        <w:rPr>
          <w:rFonts w:ascii="Times New Roman" w:eastAsia="Times New Roman" w:hAnsi="Times New Roman" w:cs="Times New Roman"/>
          <w:i/>
          <w:iCs/>
          <w:kern w:val="0"/>
          <w14:ligatures w14:val="none"/>
        </w:rPr>
        <w:t>Pan-Africanism and the quest for African unity: State of the nation</w:t>
      </w:r>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Rowman</w:t>
      </w:r>
      <w:proofErr w:type="spellEnd"/>
      <w:r>
        <w:rPr>
          <w:rFonts w:ascii="Times New Roman" w:eastAsia="Times New Roman" w:hAnsi="Times New Roman" w:cs="Times New Roman"/>
          <w:kern w:val="0"/>
          <w14:ligatures w14:val="none"/>
        </w:rPr>
        <w:t xml:space="preserve"> &amp; Littlefield.</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Ngũgĩ</w:t>
      </w:r>
      <w:proofErr w:type="spellEnd"/>
      <w:r>
        <w:rPr>
          <w:rFonts w:ascii="Times New Roman" w:eastAsia="Times New Roman" w:hAnsi="Times New Roman" w:cs="Times New Roman"/>
          <w:kern w:val="0"/>
          <w14:ligatures w14:val="none"/>
        </w:rPr>
        <w:t xml:space="preserve"> </w:t>
      </w:r>
      <w:proofErr w:type="spellStart"/>
      <w:proofErr w:type="gramStart"/>
      <w:r>
        <w:rPr>
          <w:rFonts w:ascii="Times New Roman" w:eastAsia="Times New Roman" w:hAnsi="Times New Roman" w:cs="Times New Roman"/>
          <w:kern w:val="0"/>
          <w14:ligatures w14:val="none"/>
        </w:rPr>
        <w:t>wa</w:t>
      </w:r>
      <w:proofErr w:type="spellEnd"/>
      <w:proofErr w:type="gram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Thiong'o</w:t>
      </w:r>
      <w:proofErr w:type="spellEnd"/>
      <w:r>
        <w:rPr>
          <w:rFonts w:ascii="Times New Roman" w:eastAsia="Times New Roman" w:hAnsi="Times New Roman" w:cs="Times New Roman"/>
          <w:kern w:val="0"/>
          <w14:ligatures w14:val="none"/>
        </w:rPr>
        <w:t xml:space="preserve">. (1986). </w:t>
      </w:r>
      <w:proofErr w:type="spellStart"/>
      <w:proofErr w:type="gramStart"/>
      <w:r>
        <w:rPr>
          <w:rFonts w:ascii="Times New Roman" w:eastAsia="Times New Roman" w:hAnsi="Times New Roman" w:cs="Times New Roman"/>
          <w:i/>
          <w:iCs/>
          <w:kern w:val="0"/>
          <w14:ligatures w14:val="none"/>
        </w:rPr>
        <w:t>Decolonising</w:t>
      </w:r>
      <w:proofErr w:type="spellEnd"/>
      <w:proofErr w:type="gramEnd"/>
      <w:r>
        <w:rPr>
          <w:rFonts w:ascii="Times New Roman" w:eastAsia="Times New Roman" w:hAnsi="Times New Roman" w:cs="Times New Roman"/>
          <w:i/>
          <w:iCs/>
          <w:kern w:val="0"/>
          <w14:ligatures w14:val="none"/>
        </w:rPr>
        <w:t xml:space="preserve"> the mind: The politics of language in African literature</w:t>
      </w:r>
      <w:r>
        <w:rPr>
          <w:rFonts w:ascii="Times New Roman" w:eastAsia="Times New Roman" w:hAnsi="Times New Roman" w:cs="Times New Roman"/>
          <w:kern w:val="0"/>
          <w14:ligatures w14:val="none"/>
        </w:rPr>
        <w:t>. Heinemann.</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Nkrumah, K. (1963). </w:t>
      </w:r>
      <w:r>
        <w:rPr>
          <w:rFonts w:ascii="Times New Roman" w:eastAsia="Times New Roman" w:hAnsi="Times New Roman" w:cs="Times New Roman"/>
          <w:i/>
          <w:iCs/>
          <w:kern w:val="0"/>
          <w14:ligatures w14:val="none"/>
        </w:rPr>
        <w:t>Africa must unite</w:t>
      </w:r>
      <w:r>
        <w:rPr>
          <w:rFonts w:ascii="Times New Roman" w:eastAsia="Times New Roman" w:hAnsi="Times New Roman" w:cs="Times New Roman"/>
          <w:kern w:val="0"/>
          <w14:ligatures w14:val="none"/>
        </w:rPr>
        <w:t>. International Publishers.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Nkrumah, K. (1965). </w:t>
      </w:r>
      <w:r>
        <w:rPr>
          <w:rFonts w:ascii="Times New Roman" w:eastAsia="Times New Roman" w:hAnsi="Times New Roman" w:cs="Times New Roman"/>
          <w:i/>
          <w:iCs/>
          <w:kern w:val="0"/>
          <w14:ligatures w14:val="none"/>
        </w:rPr>
        <w:t>Neo-colonialism: The last stage of imperialism</w:t>
      </w:r>
      <w:r>
        <w:rPr>
          <w:rFonts w:ascii="Times New Roman" w:eastAsia="Times New Roman" w:hAnsi="Times New Roman" w:cs="Times New Roman"/>
          <w:kern w:val="0"/>
          <w14:ligatures w14:val="none"/>
        </w:rPr>
        <w:t>. Nelson.</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Ndlovu-Gatsheni</w:t>
      </w:r>
      <w:proofErr w:type="spellEnd"/>
      <w:r>
        <w:rPr>
          <w:rFonts w:ascii="Times New Roman" w:eastAsia="Times New Roman" w:hAnsi="Times New Roman" w:cs="Times New Roman"/>
          <w:kern w:val="0"/>
          <w14:ligatures w14:val="none"/>
        </w:rPr>
        <w:t xml:space="preserve">, S. J. (2018). </w:t>
      </w:r>
      <w:r>
        <w:rPr>
          <w:rFonts w:ascii="Times New Roman" w:eastAsia="Times New Roman" w:hAnsi="Times New Roman" w:cs="Times New Roman"/>
          <w:i/>
          <w:iCs/>
          <w:kern w:val="0"/>
          <w14:ligatures w14:val="none"/>
        </w:rPr>
        <w:t xml:space="preserve">Epistemic freedom in Africa: </w:t>
      </w:r>
      <w:proofErr w:type="spellStart"/>
      <w:r>
        <w:rPr>
          <w:rFonts w:ascii="Times New Roman" w:eastAsia="Times New Roman" w:hAnsi="Times New Roman" w:cs="Times New Roman"/>
          <w:i/>
          <w:iCs/>
          <w:kern w:val="0"/>
          <w14:ligatures w14:val="none"/>
        </w:rPr>
        <w:t>Deprovincialization</w:t>
      </w:r>
      <w:proofErr w:type="spellEnd"/>
      <w:r>
        <w:rPr>
          <w:rFonts w:ascii="Times New Roman" w:eastAsia="Times New Roman" w:hAnsi="Times New Roman" w:cs="Times New Roman"/>
          <w:i/>
          <w:iCs/>
          <w:kern w:val="0"/>
          <w14:ligatures w14:val="none"/>
        </w:rPr>
        <w:t xml:space="preserve"> and decolonization</w:t>
      </w:r>
      <w:r>
        <w:rPr>
          <w:rFonts w:ascii="Times New Roman" w:eastAsia="Times New Roman" w:hAnsi="Times New Roman" w:cs="Times New Roman"/>
          <w:kern w:val="0"/>
          <w14:ligatures w14:val="none"/>
        </w:rPr>
        <w:t>. Wits University Press.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Nyerere</w:t>
      </w:r>
      <w:proofErr w:type="spellEnd"/>
      <w:r>
        <w:rPr>
          <w:rFonts w:ascii="Times New Roman" w:eastAsia="Times New Roman" w:hAnsi="Times New Roman" w:cs="Times New Roman"/>
          <w:kern w:val="0"/>
          <w14:ligatures w14:val="none"/>
        </w:rPr>
        <w:t xml:space="preserve">, J. K. (1967). </w:t>
      </w:r>
      <w:proofErr w:type="spellStart"/>
      <w:r>
        <w:rPr>
          <w:rFonts w:ascii="Times New Roman" w:eastAsia="Times New Roman" w:hAnsi="Times New Roman" w:cs="Times New Roman"/>
          <w:i/>
          <w:iCs/>
          <w:kern w:val="0"/>
          <w14:ligatures w14:val="none"/>
        </w:rPr>
        <w:t>Ujamaa</w:t>
      </w:r>
      <w:proofErr w:type="spellEnd"/>
      <w:r>
        <w:rPr>
          <w:rFonts w:ascii="Times New Roman" w:eastAsia="Times New Roman" w:hAnsi="Times New Roman" w:cs="Times New Roman"/>
          <w:i/>
          <w:iCs/>
          <w:kern w:val="0"/>
          <w14:ligatures w14:val="none"/>
        </w:rPr>
        <w:t>: Essays on socialism</w:t>
      </w:r>
      <w:r>
        <w:rPr>
          <w:rFonts w:ascii="Times New Roman" w:eastAsia="Times New Roman" w:hAnsi="Times New Roman" w:cs="Times New Roman"/>
          <w:kern w:val="0"/>
          <w14:ligatures w14:val="none"/>
        </w:rPr>
        <w:t>. Oxford University Press.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Nyerere</w:t>
      </w:r>
      <w:proofErr w:type="spellEnd"/>
      <w:r>
        <w:rPr>
          <w:rFonts w:ascii="Times New Roman" w:eastAsia="Times New Roman" w:hAnsi="Times New Roman" w:cs="Times New Roman"/>
          <w:kern w:val="0"/>
          <w14:ligatures w14:val="none"/>
        </w:rPr>
        <w:t xml:space="preserve">, J. K. (1968). </w:t>
      </w:r>
      <w:r>
        <w:rPr>
          <w:rFonts w:ascii="Times New Roman" w:eastAsia="Times New Roman" w:hAnsi="Times New Roman" w:cs="Times New Roman"/>
          <w:i/>
          <w:iCs/>
          <w:kern w:val="0"/>
          <w14:ligatures w14:val="none"/>
        </w:rPr>
        <w:t>Freedom and socialism</w:t>
      </w:r>
      <w:r>
        <w:rPr>
          <w:rFonts w:ascii="Times New Roman" w:eastAsia="Times New Roman" w:hAnsi="Times New Roman" w:cs="Times New Roman"/>
          <w:kern w:val="0"/>
          <w14:ligatures w14:val="none"/>
        </w:rPr>
        <w:t>. Oxford University Press.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Ocheni</w:t>
      </w:r>
      <w:proofErr w:type="spellEnd"/>
      <w:r>
        <w:rPr>
          <w:rFonts w:ascii="Times New Roman" w:eastAsia="Times New Roman" w:hAnsi="Times New Roman" w:cs="Times New Roman"/>
          <w:kern w:val="0"/>
          <w14:ligatures w14:val="none"/>
        </w:rPr>
        <w:t xml:space="preserve">, S. (2022). Revisiting Pan-Africanism in contemporary Africa: Challenges and opportunities. </w:t>
      </w:r>
      <w:r>
        <w:rPr>
          <w:rFonts w:ascii="Times New Roman" w:eastAsia="Times New Roman" w:hAnsi="Times New Roman" w:cs="Times New Roman"/>
          <w:i/>
          <w:iCs/>
          <w:kern w:val="0"/>
          <w14:ligatures w14:val="none"/>
        </w:rPr>
        <w:t>African Review of Political Economy</w:t>
      </w:r>
      <w:r>
        <w:rPr>
          <w:rFonts w:ascii="Times New Roman" w:eastAsia="Times New Roman" w:hAnsi="Times New Roman" w:cs="Times New Roman"/>
          <w:kern w:val="0"/>
          <w14:ligatures w14:val="none"/>
        </w:rPr>
        <w:t>, 49(173), 1–18.</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Obi, C. (2019). Anti-corruption in Nigeria: Institutions and political economy. </w:t>
      </w:r>
      <w:r>
        <w:rPr>
          <w:rFonts w:ascii="Times New Roman" w:eastAsia="Times New Roman" w:hAnsi="Times New Roman" w:cs="Times New Roman"/>
          <w:i/>
          <w:iCs/>
          <w:kern w:val="0"/>
          <w14:ligatures w14:val="none"/>
        </w:rPr>
        <w:t>African Journal of Politics and Society</w:t>
      </w:r>
      <w:r>
        <w:rPr>
          <w:rFonts w:ascii="Times New Roman" w:eastAsia="Times New Roman" w:hAnsi="Times New Roman" w:cs="Times New Roman"/>
          <w:kern w:val="0"/>
          <w14:ligatures w14:val="none"/>
        </w:rPr>
        <w:t>, 12(1), 44–61.</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Olarinmoye</w:t>
      </w:r>
      <w:proofErr w:type="spellEnd"/>
      <w:r>
        <w:rPr>
          <w:rFonts w:ascii="Times New Roman" w:eastAsia="Times New Roman" w:hAnsi="Times New Roman" w:cs="Times New Roman"/>
          <w:kern w:val="0"/>
          <w14:ligatures w14:val="none"/>
        </w:rPr>
        <w:t xml:space="preserve">, O. (2020). Corruption and the Nigerian state: Governance failures and the rule of law. </w:t>
      </w:r>
      <w:r>
        <w:rPr>
          <w:rFonts w:ascii="Times New Roman" w:eastAsia="Times New Roman" w:hAnsi="Times New Roman" w:cs="Times New Roman"/>
          <w:i/>
          <w:iCs/>
          <w:kern w:val="0"/>
          <w14:ligatures w14:val="none"/>
        </w:rPr>
        <w:t>Journal of African Law</w:t>
      </w:r>
      <w:r>
        <w:rPr>
          <w:rFonts w:ascii="Times New Roman" w:eastAsia="Times New Roman" w:hAnsi="Times New Roman" w:cs="Times New Roman"/>
          <w:kern w:val="0"/>
          <w14:ligatures w14:val="none"/>
        </w:rPr>
        <w:t>, 64(2), 243–265.</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Oluwole</w:t>
      </w:r>
      <w:proofErr w:type="spellEnd"/>
      <w:r>
        <w:rPr>
          <w:rFonts w:ascii="Times New Roman" w:eastAsia="Times New Roman" w:hAnsi="Times New Roman" w:cs="Times New Roman"/>
          <w:kern w:val="0"/>
          <w14:ligatures w14:val="none"/>
        </w:rPr>
        <w:t xml:space="preserve">, T., &amp; </w:t>
      </w:r>
      <w:proofErr w:type="spellStart"/>
      <w:r>
        <w:rPr>
          <w:rFonts w:ascii="Times New Roman" w:eastAsia="Times New Roman" w:hAnsi="Times New Roman" w:cs="Times New Roman"/>
          <w:kern w:val="0"/>
          <w14:ligatures w14:val="none"/>
        </w:rPr>
        <w:t>Ojo</w:t>
      </w:r>
      <w:proofErr w:type="spellEnd"/>
      <w:r>
        <w:rPr>
          <w:rFonts w:ascii="Times New Roman" w:eastAsia="Times New Roman" w:hAnsi="Times New Roman" w:cs="Times New Roman"/>
          <w:kern w:val="0"/>
          <w14:ligatures w14:val="none"/>
        </w:rPr>
        <w:t xml:space="preserve">, O. (2023). Postcolonial governance and the crisis of leadership in Africa. </w:t>
      </w:r>
      <w:r>
        <w:rPr>
          <w:rFonts w:ascii="Times New Roman" w:eastAsia="Times New Roman" w:hAnsi="Times New Roman" w:cs="Times New Roman"/>
          <w:i/>
          <w:iCs/>
          <w:kern w:val="0"/>
          <w14:ligatures w14:val="none"/>
        </w:rPr>
        <w:t>Journal of African Development Studies</w:t>
      </w:r>
      <w:r>
        <w:rPr>
          <w:rFonts w:ascii="Times New Roman" w:eastAsia="Times New Roman" w:hAnsi="Times New Roman" w:cs="Times New Roman"/>
          <w:kern w:val="0"/>
          <w14:ligatures w14:val="none"/>
        </w:rPr>
        <w:t>, 14(1), 87–104.</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Osadolor</w:t>
      </w:r>
      <w:proofErr w:type="spellEnd"/>
      <w:r>
        <w:rPr>
          <w:rFonts w:ascii="Times New Roman" w:eastAsia="Times New Roman" w:hAnsi="Times New Roman" w:cs="Times New Roman"/>
          <w:kern w:val="0"/>
          <w14:ligatures w14:val="none"/>
        </w:rPr>
        <w:t xml:space="preserve">, B. (2019). Indigenous political systems and the challenges of modern African governance. </w:t>
      </w:r>
      <w:r>
        <w:rPr>
          <w:rFonts w:ascii="Times New Roman" w:eastAsia="Times New Roman" w:hAnsi="Times New Roman" w:cs="Times New Roman"/>
          <w:i/>
          <w:iCs/>
          <w:kern w:val="0"/>
          <w14:ligatures w14:val="none"/>
        </w:rPr>
        <w:t>Journal of African History and Politics</w:t>
      </w:r>
      <w:r>
        <w:rPr>
          <w:rFonts w:ascii="Times New Roman" w:eastAsia="Times New Roman" w:hAnsi="Times New Roman" w:cs="Times New Roman"/>
          <w:kern w:val="0"/>
          <w14:ligatures w14:val="none"/>
        </w:rPr>
        <w:t>, 11(3), 211–230.</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Pakenham, T. (1991). </w:t>
      </w:r>
      <w:r>
        <w:rPr>
          <w:rFonts w:ascii="Times New Roman" w:eastAsia="Times New Roman" w:hAnsi="Times New Roman" w:cs="Times New Roman"/>
          <w:i/>
          <w:iCs/>
          <w:kern w:val="0"/>
          <w14:ligatures w14:val="none"/>
        </w:rPr>
        <w:t>The scramble for Africa</w:t>
      </w:r>
      <w:r>
        <w:rPr>
          <w:rFonts w:ascii="Times New Roman" w:eastAsia="Times New Roman" w:hAnsi="Times New Roman" w:cs="Times New Roman"/>
          <w:kern w:val="0"/>
          <w14:ligatures w14:val="none"/>
        </w:rPr>
        <w:t>. Abacus.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Rodney, W. (1972). </w:t>
      </w:r>
      <w:r>
        <w:rPr>
          <w:rFonts w:ascii="Times New Roman" w:eastAsia="Times New Roman" w:hAnsi="Times New Roman" w:cs="Times New Roman"/>
          <w:i/>
          <w:iCs/>
          <w:kern w:val="0"/>
          <w14:ligatures w14:val="none"/>
        </w:rPr>
        <w:t>How Europe underdeveloped Africa</w:t>
      </w:r>
      <w:r>
        <w:rPr>
          <w:rFonts w:ascii="Times New Roman" w:eastAsia="Times New Roman" w:hAnsi="Times New Roman" w:cs="Times New Roman"/>
          <w:kern w:val="0"/>
          <w14:ligatures w14:val="none"/>
        </w:rPr>
        <w:t>. Bogle-</w:t>
      </w:r>
      <w:proofErr w:type="spellStart"/>
      <w:r>
        <w:rPr>
          <w:rFonts w:ascii="Times New Roman" w:eastAsia="Times New Roman" w:hAnsi="Times New Roman" w:cs="Times New Roman"/>
          <w:kern w:val="0"/>
          <w14:ligatures w14:val="none"/>
        </w:rPr>
        <w:t>L'Ouverture</w:t>
      </w:r>
      <w:proofErr w:type="spellEnd"/>
      <w:r>
        <w:rPr>
          <w:rFonts w:ascii="Times New Roman" w:eastAsia="Times New Roman" w:hAnsi="Times New Roman" w:cs="Times New Roman"/>
          <w:kern w:val="0"/>
          <w14:ligatures w14:val="none"/>
        </w:rPr>
        <w:t xml:space="preserve"> Publications.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Serequeberhan</w:t>
      </w:r>
      <w:proofErr w:type="spellEnd"/>
      <w:r>
        <w:rPr>
          <w:rFonts w:ascii="Times New Roman" w:eastAsia="Times New Roman" w:hAnsi="Times New Roman" w:cs="Times New Roman"/>
          <w:kern w:val="0"/>
          <w14:ligatures w14:val="none"/>
        </w:rPr>
        <w:t xml:space="preserve">, T. (2021). </w:t>
      </w:r>
      <w:r>
        <w:rPr>
          <w:rFonts w:ascii="Times New Roman" w:eastAsia="Times New Roman" w:hAnsi="Times New Roman" w:cs="Times New Roman"/>
          <w:i/>
          <w:iCs/>
          <w:kern w:val="0"/>
          <w14:ligatures w14:val="none"/>
        </w:rPr>
        <w:t>Decolonizing the African mind: African philosophy and the quest for liberty</w:t>
      </w:r>
      <w:r>
        <w:rPr>
          <w:rFonts w:ascii="Times New Roman" w:eastAsia="Times New Roman" w:hAnsi="Times New Roman" w:cs="Times New Roman"/>
          <w:kern w:val="0"/>
          <w14:ligatures w14:val="none"/>
        </w:rPr>
        <w:t>. Lexington Books.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lastRenderedPageBreak/>
        <w:t>Tibebu</w:t>
      </w:r>
      <w:proofErr w:type="spellEnd"/>
      <w:r>
        <w:rPr>
          <w:rFonts w:ascii="Times New Roman" w:eastAsia="Times New Roman" w:hAnsi="Times New Roman" w:cs="Times New Roman"/>
          <w:kern w:val="0"/>
          <w14:ligatures w14:val="none"/>
        </w:rPr>
        <w:t xml:space="preserve">, T. (2011). </w:t>
      </w:r>
      <w:r>
        <w:rPr>
          <w:rFonts w:ascii="Times New Roman" w:eastAsia="Times New Roman" w:hAnsi="Times New Roman" w:cs="Times New Roman"/>
          <w:i/>
          <w:iCs/>
          <w:kern w:val="0"/>
          <w14:ligatures w14:val="none"/>
        </w:rPr>
        <w:t xml:space="preserve">Edward Wilmot </w:t>
      </w:r>
      <w:proofErr w:type="spellStart"/>
      <w:r>
        <w:rPr>
          <w:rFonts w:ascii="Times New Roman" w:eastAsia="Times New Roman" w:hAnsi="Times New Roman" w:cs="Times New Roman"/>
          <w:i/>
          <w:iCs/>
          <w:kern w:val="0"/>
          <w14:ligatures w14:val="none"/>
        </w:rPr>
        <w:t>Blyden</w:t>
      </w:r>
      <w:proofErr w:type="spellEnd"/>
      <w:r>
        <w:rPr>
          <w:rFonts w:ascii="Times New Roman" w:eastAsia="Times New Roman" w:hAnsi="Times New Roman" w:cs="Times New Roman"/>
          <w:i/>
          <w:iCs/>
          <w:kern w:val="0"/>
          <w14:ligatures w14:val="none"/>
        </w:rPr>
        <w:t xml:space="preserve"> and the racial nationalism of Pan-Africanism</w:t>
      </w:r>
      <w:r>
        <w:rPr>
          <w:rFonts w:ascii="Times New Roman" w:eastAsia="Times New Roman" w:hAnsi="Times New Roman" w:cs="Times New Roman"/>
          <w:kern w:val="0"/>
          <w14:ligatures w14:val="none"/>
        </w:rPr>
        <w:t>. University of Rochester Press.</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Tibebu</w:t>
      </w:r>
      <w:proofErr w:type="spellEnd"/>
      <w:r>
        <w:rPr>
          <w:rFonts w:ascii="Times New Roman" w:eastAsia="Times New Roman" w:hAnsi="Times New Roman" w:cs="Times New Roman"/>
          <w:kern w:val="0"/>
          <w14:ligatures w14:val="none"/>
        </w:rPr>
        <w:t xml:space="preserve">, T. (2022). Authoritarianism and development dilemmas in Africa. </w:t>
      </w:r>
      <w:r>
        <w:rPr>
          <w:rFonts w:ascii="Times New Roman" w:eastAsia="Times New Roman" w:hAnsi="Times New Roman" w:cs="Times New Roman"/>
          <w:i/>
          <w:iCs/>
          <w:kern w:val="0"/>
          <w14:ligatures w14:val="none"/>
        </w:rPr>
        <w:t>African Affairs</w:t>
      </w:r>
      <w:r>
        <w:rPr>
          <w:rFonts w:ascii="Times New Roman" w:eastAsia="Times New Roman" w:hAnsi="Times New Roman" w:cs="Times New Roman"/>
          <w:kern w:val="0"/>
          <w14:ligatures w14:val="none"/>
        </w:rPr>
        <w:t>, 121(484), 463–486.</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Transparency International. (2023). </w:t>
      </w:r>
      <w:r>
        <w:rPr>
          <w:rFonts w:ascii="Times New Roman" w:eastAsia="Times New Roman" w:hAnsi="Times New Roman" w:cs="Times New Roman"/>
          <w:i/>
          <w:iCs/>
          <w:kern w:val="0"/>
          <w14:ligatures w14:val="none"/>
        </w:rPr>
        <w:t>Corruption perceptions index 2023</w:t>
      </w:r>
      <w:r>
        <w:rPr>
          <w:rFonts w:ascii="Times New Roman" w:eastAsia="Times New Roman" w:hAnsi="Times New Roman" w:cs="Times New Roman"/>
          <w:kern w:val="0"/>
          <w14:ligatures w14:val="none"/>
        </w:rPr>
        <w:t>. https://www.transparency.org/en/cpi</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UNECA. (2020). </w:t>
      </w:r>
      <w:r>
        <w:rPr>
          <w:rFonts w:ascii="Times New Roman" w:eastAsia="Times New Roman" w:hAnsi="Times New Roman" w:cs="Times New Roman"/>
          <w:i/>
          <w:iCs/>
          <w:kern w:val="0"/>
          <w14:ligatures w14:val="none"/>
        </w:rPr>
        <w:t>The African continental free trade area: Progress and prospects</w:t>
      </w:r>
      <w:r>
        <w:rPr>
          <w:rFonts w:ascii="Times New Roman" w:eastAsia="Times New Roman" w:hAnsi="Times New Roman" w:cs="Times New Roman"/>
          <w:kern w:val="0"/>
          <w14:ligatures w14:val="none"/>
        </w:rPr>
        <w:t>. United Nations Economic Commission for Africa.</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Zeleza</w:t>
      </w:r>
      <w:proofErr w:type="spellEnd"/>
      <w:r>
        <w:rPr>
          <w:rFonts w:ascii="Times New Roman" w:eastAsia="Times New Roman" w:hAnsi="Times New Roman" w:cs="Times New Roman"/>
          <w:kern w:val="0"/>
          <w14:ligatures w14:val="none"/>
        </w:rPr>
        <w:t xml:space="preserve">, P. T. (2020). </w:t>
      </w:r>
      <w:r>
        <w:rPr>
          <w:rFonts w:ascii="Times New Roman" w:eastAsia="Times New Roman" w:hAnsi="Times New Roman" w:cs="Times New Roman"/>
          <w:i/>
          <w:iCs/>
          <w:kern w:val="0"/>
          <w14:ligatures w14:val="none"/>
        </w:rPr>
        <w:t>The transformation of global higher education, 1945–2015</w:t>
      </w:r>
      <w:r>
        <w:rPr>
          <w:rFonts w:ascii="Times New Roman" w:eastAsia="Times New Roman" w:hAnsi="Times New Roman" w:cs="Times New Roman"/>
          <w:kern w:val="0"/>
          <w14:ligatures w14:val="none"/>
        </w:rPr>
        <w:t>. Palgrave Macmillan.</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Zeleza</w:t>
      </w:r>
      <w:proofErr w:type="spellEnd"/>
      <w:r>
        <w:rPr>
          <w:rFonts w:ascii="Times New Roman" w:eastAsia="Times New Roman" w:hAnsi="Times New Roman" w:cs="Times New Roman"/>
          <w:kern w:val="0"/>
          <w14:ligatures w14:val="none"/>
        </w:rPr>
        <w:t xml:space="preserve">, P. T. (2021). </w:t>
      </w:r>
      <w:r>
        <w:rPr>
          <w:rFonts w:ascii="Times New Roman" w:eastAsia="Times New Roman" w:hAnsi="Times New Roman" w:cs="Times New Roman"/>
          <w:i/>
          <w:iCs/>
          <w:kern w:val="0"/>
          <w14:ligatures w14:val="none"/>
        </w:rPr>
        <w:t>The troubled encounter between African intellectuals and the Western academy</w:t>
      </w:r>
      <w:r>
        <w:rPr>
          <w:rFonts w:ascii="Times New Roman" w:eastAsia="Times New Roman" w:hAnsi="Times New Roman" w:cs="Times New Roman"/>
          <w:kern w:val="0"/>
          <w14:ligatures w14:val="none"/>
        </w:rPr>
        <w:t>. Routledge.</w:t>
      </w:r>
    </w:p>
    <w:p w:rsidR="003C6729" w:rsidRDefault="007F2116">
      <w:pPr>
        <w:pStyle w:val="ListParagraph"/>
        <w:numPr>
          <w:ilvl w:val="0"/>
          <w:numId w:val="1"/>
        </w:numPr>
        <w:spacing w:after="0" w:line="360" w:lineRule="auto"/>
        <w:ind w:right="720"/>
        <w:jc w:val="both"/>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Zondi</w:t>
      </w:r>
      <w:proofErr w:type="spellEnd"/>
      <w:r>
        <w:rPr>
          <w:rFonts w:ascii="Times New Roman" w:eastAsia="Times New Roman" w:hAnsi="Times New Roman" w:cs="Times New Roman"/>
          <w:kern w:val="0"/>
          <w14:ligatures w14:val="none"/>
        </w:rPr>
        <w:t xml:space="preserve">, S. (2023). Reclaiming Africa’s future through Pan-African leadership. </w:t>
      </w:r>
      <w:r>
        <w:rPr>
          <w:rFonts w:ascii="Times New Roman" w:eastAsia="Times New Roman" w:hAnsi="Times New Roman" w:cs="Times New Roman"/>
          <w:i/>
          <w:iCs/>
          <w:kern w:val="0"/>
          <w14:ligatures w14:val="none"/>
        </w:rPr>
        <w:t>Alternatives: Global, Local, Political</w:t>
      </w:r>
      <w:r>
        <w:rPr>
          <w:rFonts w:ascii="Times New Roman" w:eastAsia="Times New Roman" w:hAnsi="Times New Roman" w:cs="Times New Roman"/>
          <w:kern w:val="0"/>
          <w14:ligatures w14:val="none"/>
        </w:rPr>
        <w:t>, 48(1), 13–28.</w:t>
      </w:r>
    </w:p>
    <w:p w:rsidR="003C6729" w:rsidRDefault="003C6729">
      <w:pPr>
        <w:spacing w:line="360" w:lineRule="auto"/>
        <w:rPr>
          <w:rFonts w:ascii="Times New Roman" w:hAnsi="Times New Roman" w:cs="Times New Roman"/>
        </w:rPr>
      </w:pPr>
    </w:p>
    <w:p w:rsidR="003C6729" w:rsidRDefault="003C6729">
      <w:pPr>
        <w:spacing w:line="360" w:lineRule="auto"/>
        <w:rPr>
          <w:rFonts w:ascii="Times New Roman" w:hAnsi="Times New Roman" w:cs="Times New Roman"/>
        </w:rPr>
      </w:pPr>
    </w:p>
    <w:p w:rsidR="003C6729" w:rsidRDefault="003C6729">
      <w:pPr>
        <w:spacing w:line="360" w:lineRule="auto"/>
        <w:rPr>
          <w:rFonts w:ascii="Times New Roman" w:hAnsi="Times New Roman" w:cs="Times New Roman"/>
        </w:rPr>
      </w:pPr>
    </w:p>
    <w:p w:rsidR="003C6729" w:rsidRDefault="003C6729">
      <w:pPr>
        <w:spacing w:line="360" w:lineRule="auto"/>
        <w:rPr>
          <w:rFonts w:ascii="Times New Roman" w:hAnsi="Times New Roman" w:cs="Times New Roman"/>
        </w:rPr>
      </w:pPr>
    </w:p>
    <w:sectPr w:rsidR="003C672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358" w:rsidRDefault="00216358">
      <w:pPr>
        <w:spacing w:line="240" w:lineRule="auto"/>
      </w:pPr>
      <w:r>
        <w:separator/>
      </w:r>
    </w:p>
  </w:endnote>
  <w:endnote w:type="continuationSeparator" w:id="0">
    <w:p w:rsidR="00216358" w:rsidRDefault="00216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SimSu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ptos Display">
    <w:altName w:val="Segoe Print"/>
    <w:charset w:val="00"/>
    <w:family w:val="swiss"/>
    <w:pitch w:val="default"/>
    <w:sig w:usb0="00000000" w:usb1="00000000" w:usb2="00000000" w:usb3="00000000" w:csb0="0000019F" w:csb1="00000000"/>
  </w:font>
  <w:font w:name="DengXian Light">
    <w:altName w:val="Microsoft YaHei"/>
    <w:charset w:val="00"/>
    <w:family w:val="auto"/>
    <w:pitch w:val="default"/>
  </w:font>
  <w:font w:name="DengXian">
    <w:altName w:val="SimSun"/>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729" w:rsidRDefault="003C6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347852"/>
    </w:sdtPr>
    <w:sdtEndPr/>
    <w:sdtContent>
      <w:p w:rsidR="003C6729" w:rsidRDefault="007F2116">
        <w:pPr>
          <w:pStyle w:val="Footer"/>
          <w:jc w:val="center"/>
        </w:pPr>
        <w:r>
          <w:fldChar w:fldCharType="begin"/>
        </w:r>
        <w:r>
          <w:instrText xml:space="preserve"> PAGE   \* MERGEFORMAT </w:instrText>
        </w:r>
        <w:r>
          <w:fldChar w:fldCharType="separate"/>
        </w:r>
        <w:r w:rsidR="003A4CFB">
          <w:rPr>
            <w:noProof/>
          </w:rPr>
          <w:t>2</w:t>
        </w:r>
        <w:r>
          <w:fldChar w:fldCharType="end"/>
        </w:r>
      </w:p>
    </w:sdtContent>
  </w:sdt>
  <w:p w:rsidR="003C6729" w:rsidRDefault="003C67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729" w:rsidRDefault="003C6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358" w:rsidRDefault="00216358">
      <w:pPr>
        <w:spacing w:after="0"/>
      </w:pPr>
      <w:r>
        <w:separator/>
      </w:r>
    </w:p>
  </w:footnote>
  <w:footnote w:type="continuationSeparator" w:id="0">
    <w:p w:rsidR="00216358" w:rsidRDefault="002163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729" w:rsidRDefault="00216358">
    <w:pPr>
      <w:pStyle w:val="Header"/>
    </w:pPr>
    <w:r>
      <w:pict w14:anchorId="55D59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965391" o:spid="_x0000_s2050" type="#_x0000_t136" style="position:absolute;margin-left:0;margin-top:0;width:593.85pt;height:65.95pt;rotation:315;z-index:-251656192;mso-position-horizontal:center;mso-position-horizontal-relative:margin;mso-position-vertical:center;mso-position-vertical-relative:margin;mso-width-relative:page;mso-height-relative:page" o:allowincell="f" fillcolor="silver" stroked="f">
          <v:fill opacity=".5"/>
          <v:textpath style="font-family:&quot;Aptos&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729" w:rsidRDefault="00216358">
    <w:pPr>
      <w:pStyle w:val="Header"/>
    </w:pPr>
    <w:r>
      <w:pict w14:anchorId="4084D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965392" o:spid="_x0000_s2051" type="#_x0000_t136" style="position:absolute;margin-left:0;margin-top:0;width:593.85pt;height:65.95pt;rotation:315;z-index:-251655168;mso-position-horizontal:center;mso-position-horizontal-relative:margin;mso-position-vertical:center;mso-position-vertical-relative:margin;mso-width-relative:page;mso-height-relative:page" o:allowincell="f" fillcolor="silver" stroked="f">
          <v:fill opacity=".5"/>
          <v:textpath style="font-family:&quot;Aptos&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729" w:rsidRDefault="00216358">
    <w:pPr>
      <w:pStyle w:val="Header"/>
    </w:pPr>
    <w:r>
      <w:pict w14:anchorId="3F8802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965390" o:spid="_x0000_s2049" type="#_x0000_t136" style="position:absolute;margin-left:0;margin-top:0;width:593.85pt;height:65.95pt;rotation:315;z-index:-251657216;mso-position-horizontal:center;mso-position-horizontal-relative:margin;mso-position-vertical:center;mso-position-vertical-relative:margin;mso-width-relative:page;mso-height-relative:page" o:allowincell="f" fillcolor="silver" stroked="f">
          <v:fill opacity=".5"/>
          <v:textpath style="font-family:&quot;Aptos&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64D9A"/>
    <w:multiLevelType w:val="multilevel"/>
    <w:tmpl w:val="76364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GwNDEzNDQ1BmJzUyUdpeDU4uLM/DyQAqNaAMsuJJwsAAAA"/>
  </w:docVars>
  <w:rsids>
    <w:rsidRoot w:val="005D7F66"/>
    <w:rsid w:val="0001499C"/>
    <w:rsid w:val="00037518"/>
    <w:rsid w:val="00073A3B"/>
    <w:rsid w:val="0009613E"/>
    <w:rsid w:val="000C28C0"/>
    <w:rsid w:val="001B1FA0"/>
    <w:rsid w:val="00216358"/>
    <w:rsid w:val="00287E66"/>
    <w:rsid w:val="002C384B"/>
    <w:rsid w:val="00315D3B"/>
    <w:rsid w:val="003A2CFF"/>
    <w:rsid w:val="003A4CFB"/>
    <w:rsid w:val="003C0724"/>
    <w:rsid w:val="003C6729"/>
    <w:rsid w:val="003D0A1F"/>
    <w:rsid w:val="004047BA"/>
    <w:rsid w:val="0045039B"/>
    <w:rsid w:val="0047229D"/>
    <w:rsid w:val="005D7F66"/>
    <w:rsid w:val="005E30C7"/>
    <w:rsid w:val="00690BB1"/>
    <w:rsid w:val="006F123B"/>
    <w:rsid w:val="006F39DF"/>
    <w:rsid w:val="00711CFB"/>
    <w:rsid w:val="00765F84"/>
    <w:rsid w:val="00792EC8"/>
    <w:rsid w:val="007B1BD0"/>
    <w:rsid w:val="007F2116"/>
    <w:rsid w:val="008601B9"/>
    <w:rsid w:val="008817DA"/>
    <w:rsid w:val="008B62F6"/>
    <w:rsid w:val="008D7CB9"/>
    <w:rsid w:val="008E0B2B"/>
    <w:rsid w:val="008F337D"/>
    <w:rsid w:val="008F4C8B"/>
    <w:rsid w:val="009346D3"/>
    <w:rsid w:val="00985ACA"/>
    <w:rsid w:val="009A73DD"/>
    <w:rsid w:val="009D2809"/>
    <w:rsid w:val="009E0D12"/>
    <w:rsid w:val="00A315FD"/>
    <w:rsid w:val="00A80B82"/>
    <w:rsid w:val="00B65AA6"/>
    <w:rsid w:val="00B75633"/>
    <w:rsid w:val="00BA54DD"/>
    <w:rsid w:val="00BE16A8"/>
    <w:rsid w:val="00C150C2"/>
    <w:rsid w:val="00C164D5"/>
    <w:rsid w:val="00CD1C82"/>
    <w:rsid w:val="00CD3EC8"/>
    <w:rsid w:val="00E26F5E"/>
    <w:rsid w:val="00EC7758"/>
    <w:rsid w:val="00F360FB"/>
    <w:rsid w:val="049435E8"/>
    <w:rsid w:val="3069423F"/>
    <w:rsid w:val="364462D0"/>
    <w:rsid w:val="6D9B3433"/>
    <w:rsid w:val="6F841A44"/>
    <w:rsid w:val="747C32A5"/>
    <w:rsid w:val="7B015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C94E2E4-B8ED-483D-B9AE-0274138E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78" w:lineRule="auto"/>
    </w:pPr>
    <w:rPr>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rPr>
      <w:kern w:val="2"/>
      <w:sz w:val="24"/>
      <w:szCs w:val="24"/>
      <w14:ligatures w14:val="standardContextual"/>
    </w:rPr>
  </w:style>
  <w:style w:type="character" w:customStyle="1" w:styleId="FooterChar">
    <w:name w:val="Footer Char"/>
    <w:basedOn w:val="DefaultParagraphFont"/>
    <w:link w:val="Footer"/>
    <w:uiPriority w:val="99"/>
    <w:rPr>
      <w:kern w:val="2"/>
      <w:sz w:val="24"/>
      <w:szCs w:val="24"/>
      <w14:ligatures w14:val="standardContextual"/>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23</Pages>
  <Words>6027</Words>
  <Characters>34357</Characters>
  <Application>Microsoft Office Word</Application>
  <DocSecurity>0</DocSecurity>
  <Lines>286</Lines>
  <Paragraphs>80</Paragraphs>
  <ScaleCrop>false</ScaleCrop>
  <Company/>
  <LinksUpToDate>false</LinksUpToDate>
  <CharactersWithSpaces>40304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OUMA</dc:creator>
  <cp:lastModifiedBy>CPU SDI 1080</cp:lastModifiedBy>
  <cp:revision>41</cp:revision>
  <dcterms:created xsi:type="dcterms:W3CDTF">2025-02-15T17:52:00Z</dcterms:created>
  <dcterms:modified xsi:type="dcterms:W3CDTF">2025-06-11T06:02:00Z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5822E0AEF5F044C7AD8DE22D56FB1A9C_13</vt:lpwstr>
  </property>
</Properties>
</file>